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34201" w14:textId="39E10EAE" w:rsidR="002A21AE" w:rsidRDefault="00057948" w:rsidP="00D84B16">
      <w:pPr>
        <w:pStyle w:val="StyleTitlePageCentered"/>
      </w:pPr>
      <w:r>
        <w:rPr>
          <w:noProof/>
        </w:rPr>
        <w:drawing>
          <wp:inline distT="0" distB="0" distL="0" distR="0" wp14:anchorId="79423332" wp14:editId="7BB2F0FC">
            <wp:extent cx="3399155" cy="1209675"/>
            <wp:effectExtent l="0" t="0" r="0" b="9525"/>
            <wp:docPr id="2" name="Picture 2"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ecslogo_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155" cy="1209675"/>
                    </a:xfrm>
                    <a:prstGeom prst="rect">
                      <a:avLst/>
                    </a:prstGeom>
                    <a:noFill/>
                    <a:ln>
                      <a:noFill/>
                    </a:ln>
                  </pic:spPr>
                </pic:pic>
              </a:graphicData>
            </a:graphic>
          </wp:inline>
        </w:drawing>
      </w:r>
    </w:p>
    <w:p w14:paraId="78B81540" w14:textId="77777777" w:rsidR="002A21AE" w:rsidRDefault="002A21AE">
      <w:pPr>
        <w:pStyle w:val="TitlePage"/>
      </w:pPr>
    </w:p>
    <w:p w14:paraId="49141FE0" w14:textId="77777777" w:rsidR="002A21AE" w:rsidRDefault="002A21AE">
      <w:pPr>
        <w:pStyle w:val="StyleTitlePageCentered"/>
      </w:pPr>
    </w:p>
    <w:p w14:paraId="2417B64F" w14:textId="77777777" w:rsidR="002A21AE" w:rsidRDefault="002A21AE">
      <w:pPr>
        <w:pStyle w:val="StyleTitlePageCentered"/>
      </w:pPr>
    </w:p>
    <w:p w14:paraId="3CB9B7B0" w14:textId="77777777" w:rsidR="002A21AE" w:rsidRDefault="002A21AE">
      <w:pPr>
        <w:pStyle w:val="StyleTitlePageCentered"/>
      </w:pPr>
    </w:p>
    <w:p w14:paraId="3BC89D40" w14:textId="4DE059D0" w:rsidR="002A21AE" w:rsidRDefault="002A21AE">
      <w:pPr>
        <w:pStyle w:val="StyleTitlePageCentered"/>
      </w:pPr>
    </w:p>
    <w:p w14:paraId="1A457093" w14:textId="591205AA" w:rsidR="002A21AE" w:rsidRDefault="00D41F17">
      <w:pPr>
        <w:pStyle w:val="StyleTitlePageCentered"/>
      </w:pPr>
      <w:r>
        <w:t>V</w:t>
      </w:r>
      <w:r w:rsidR="000C7684">
        <w:t>ist</w:t>
      </w:r>
      <w:r w:rsidR="00EB26A1">
        <w:t>A</w:t>
      </w:r>
      <w:r w:rsidR="000C7684">
        <w:t xml:space="preserve"> </w:t>
      </w:r>
      <w:r w:rsidR="002A21AE">
        <w:t xml:space="preserve">Blood Establishment Computer Software (VBECS) </w:t>
      </w:r>
      <w:r w:rsidR="00662F2F">
        <w:t>Version</w:t>
      </w:r>
      <w:r w:rsidR="002A21AE">
        <w:t xml:space="preserve"> </w:t>
      </w:r>
      <w:r w:rsidR="00C94A42">
        <w:t>2.</w:t>
      </w:r>
      <w:r w:rsidR="009C473F">
        <w:t>4.0</w:t>
      </w:r>
    </w:p>
    <w:p w14:paraId="74FC8673" w14:textId="77777777" w:rsidR="00D10407" w:rsidRDefault="00D10407">
      <w:pPr>
        <w:pStyle w:val="StyleTitlePageCentered"/>
      </w:pPr>
    </w:p>
    <w:p w14:paraId="16BEDBD2" w14:textId="77777777" w:rsidR="00D10407" w:rsidRDefault="00D10407">
      <w:pPr>
        <w:pStyle w:val="StyleTitlePageCentered"/>
      </w:pPr>
    </w:p>
    <w:p w14:paraId="3303CC73" w14:textId="22103E0C" w:rsidR="002A21AE" w:rsidRDefault="002A21AE">
      <w:pPr>
        <w:pStyle w:val="StyleTitlePageCentered"/>
      </w:pPr>
      <w:r>
        <w:t>User Guide</w:t>
      </w:r>
      <w:r w:rsidR="00F036AD">
        <w:t xml:space="preserve"> Version </w:t>
      </w:r>
      <w:r w:rsidR="009C473F">
        <w:t>1</w:t>
      </w:r>
      <w:r w:rsidR="00F036AD">
        <w:t>.0</w:t>
      </w:r>
    </w:p>
    <w:p w14:paraId="33C7245B" w14:textId="77777777" w:rsidR="008B7F48" w:rsidRDefault="008B7F48">
      <w:pPr>
        <w:pStyle w:val="StyleTitlePageCentered"/>
      </w:pPr>
    </w:p>
    <w:p w14:paraId="79CA82F5" w14:textId="0D540828" w:rsidR="002A21AE" w:rsidRPr="006E05B3" w:rsidRDefault="003679F4">
      <w:pPr>
        <w:pStyle w:val="StyleTitlePageCentered"/>
      </w:pPr>
      <w:r>
        <w:t>April</w:t>
      </w:r>
      <w:r w:rsidR="00DA3678">
        <w:t xml:space="preserve"> </w:t>
      </w:r>
      <w:r w:rsidR="00B30206">
        <w:t>20</w:t>
      </w:r>
      <w:r w:rsidR="005F6FBE">
        <w:t>2</w:t>
      </w:r>
      <w:r w:rsidR="007D3487">
        <w:t>4</w:t>
      </w:r>
    </w:p>
    <w:p w14:paraId="690EF147" w14:textId="77777777" w:rsidR="002A21AE" w:rsidRDefault="002A21AE">
      <w:pPr>
        <w:pStyle w:val="StyleTitlePageCentered"/>
      </w:pPr>
    </w:p>
    <w:p w14:paraId="7D4B2FCB" w14:textId="77777777" w:rsidR="002A21AE" w:rsidRDefault="002A21AE">
      <w:pPr>
        <w:pStyle w:val="StyleTitlePageCentered"/>
      </w:pPr>
    </w:p>
    <w:p w14:paraId="48757A61" w14:textId="77777777" w:rsidR="002A21AE" w:rsidRDefault="002A21AE">
      <w:pPr>
        <w:pStyle w:val="StyleTitlePageCentered"/>
      </w:pPr>
    </w:p>
    <w:p w14:paraId="5DE4A9FD" w14:textId="77777777" w:rsidR="002A21AE" w:rsidRDefault="002A21AE">
      <w:pPr>
        <w:pStyle w:val="StyleTitlePageCentered"/>
      </w:pPr>
    </w:p>
    <w:p w14:paraId="285A2514" w14:textId="77777777" w:rsidR="002A21AE" w:rsidRPr="00E6048C" w:rsidRDefault="002A21AE">
      <w:pPr>
        <w:pStyle w:val="StyleTitlePageCentered"/>
        <w:rPr>
          <w:b/>
        </w:rPr>
      </w:pPr>
    </w:p>
    <w:p w14:paraId="254D45C3" w14:textId="77777777" w:rsidR="002A21AE" w:rsidRDefault="002A21AE">
      <w:pPr>
        <w:pStyle w:val="StyleTitlePageCentered"/>
      </w:pPr>
    </w:p>
    <w:p w14:paraId="207A06FC" w14:textId="77777777" w:rsidR="002A21AE" w:rsidRDefault="002A21AE">
      <w:pPr>
        <w:pStyle w:val="StyleTitlePageCentered"/>
      </w:pPr>
    </w:p>
    <w:p w14:paraId="046AAD6B" w14:textId="77777777" w:rsidR="002A21AE" w:rsidRDefault="002A21AE">
      <w:pPr>
        <w:pStyle w:val="StyleTitlePageBottom"/>
      </w:pPr>
      <w:r>
        <w:t>Department of Veterans Affairs</w:t>
      </w:r>
    </w:p>
    <w:p w14:paraId="0B8B9A5F" w14:textId="77777777" w:rsidR="002A21AE" w:rsidRDefault="00B27B40">
      <w:pPr>
        <w:pStyle w:val="StyleTitlePageBottom"/>
        <w:sectPr w:rsidR="002A21AE" w:rsidSect="00EE771C">
          <w:headerReference w:type="default" r:id="rId10"/>
          <w:footerReference w:type="even" r:id="rId11"/>
          <w:footerReference w:type="default" r:id="rId12"/>
          <w:type w:val="nextColumn"/>
          <w:pgSz w:w="12240" w:h="15840" w:code="1"/>
          <w:pgMar w:top="1440" w:right="1440" w:bottom="1440" w:left="1440" w:header="720" w:footer="720" w:gutter="0"/>
          <w:cols w:space="720"/>
          <w:docGrid w:linePitch="360"/>
        </w:sectPr>
      </w:pPr>
      <w:r>
        <w:t>Enterprise Project Management</w:t>
      </w:r>
      <w:r w:rsidR="000D79B6">
        <w:t xml:space="preserve"> </w:t>
      </w:r>
      <w:r>
        <w:t>Office</w:t>
      </w:r>
    </w:p>
    <w:p w14:paraId="298F35F8" w14:textId="5B186905" w:rsidR="00062D0F" w:rsidRPr="00672710" w:rsidRDefault="00062D0F" w:rsidP="00D67527">
      <w:pPr>
        <w:pStyle w:val="TableofContents"/>
        <w:jc w:val="center"/>
      </w:pPr>
      <w:bookmarkStart w:id="0" w:name="_Toc63137949"/>
      <w:r w:rsidRPr="00D67527">
        <w:rPr>
          <w:rFonts w:ascii="Times New Roman" w:hAnsi="Times New Roman" w:cs="Times New Roman"/>
        </w:rPr>
        <w:lastRenderedPageBreak/>
        <w:t>Table of Contents</w:t>
      </w:r>
    </w:p>
    <w:p w14:paraId="76163964" w14:textId="77777777" w:rsidR="00D207B7" w:rsidRDefault="00D207B7" w:rsidP="00B116A6">
      <w:pPr>
        <w:pStyle w:val="BodyText"/>
        <w:jc w:val="center"/>
      </w:pPr>
    </w:p>
    <w:bookmarkEnd w:id="0"/>
    <w:p w14:paraId="3863CFDF" w14:textId="210D8C43" w:rsidR="00C74523" w:rsidRDefault="002A21AE">
      <w:pPr>
        <w:pStyle w:val="TOC1"/>
        <w:tabs>
          <w:tab w:val="right" w:leader="dot" w:pos="9350"/>
        </w:tabs>
        <w:rPr>
          <w:rFonts w:asciiTheme="minorHAnsi" w:eastAsiaTheme="minorEastAsia" w:hAnsiTheme="minorHAnsi" w:cstheme="minorBidi"/>
          <w:b w:val="0"/>
          <w:caps w:val="0"/>
          <w:noProof/>
          <w:kern w:val="2"/>
          <w14:ligatures w14:val="standardContextual"/>
        </w:rPr>
      </w:pPr>
      <w:r>
        <w:fldChar w:fldCharType="begin"/>
      </w:r>
      <w:r>
        <w:instrText xml:space="preserve"> TOC \o "2-3" \h \z \t "Heading 1,1" </w:instrText>
      </w:r>
      <w:r>
        <w:fldChar w:fldCharType="separate"/>
      </w:r>
      <w:hyperlink w:anchor="_Toc163644826" w:history="1">
        <w:r w:rsidR="00C74523" w:rsidRPr="00A66C95">
          <w:rPr>
            <w:rStyle w:val="Hyperlink"/>
            <w:noProof/>
          </w:rPr>
          <w:t>Introduction</w:t>
        </w:r>
        <w:r w:rsidR="00C74523">
          <w:rPr>
            <w:noProof/>
            <w:webHidden/>
          </w:rPr>
          <w:tab/>
        </w:r>
        <w:r w:rsidR="00C74523">
          <w:rPr>
            <w:noProof/>
            <w:webHidden/>
          </w:rPr>
          <w:fldChar w:fldCharType="begin"/>
        </w:r>
        <w:r w:rsidR="00C74523">
          <w:rPr>
            <w:noProof/>
            <w:webHidden/>
          </w:rPr>
          <w:instrText xml:space="preserve"> PAGEREF _Toc163644826 \h </w:instrText>
        </w:r>
        <w:r w:rsidR="00C74523">
          <w:rPr>
            <w:noProof/>
            <w:webHidden/>
          </w:rPr>
        </w:r>
        <w:r w:rsidR="00C74523">
          <w:rPr>
            <w:noProof/>
            <w:webHidden/>
          </w:rPr>
          <w:fldChar w:fldCharType="separate"/>
        </w:r>
        <w:r w:rsidR="00E2140B">
          <w:rPr>
            <w:noProof/>
            <w:webHidden/>
          </w:rPr>
          <w:t>6</w:t>
        </w:r>
        <w:r w:rsidR="00C74523">
          <w:rPr>
            <w:noProof/>
            <w:webHidden/>
          </w:rPr>
          <w:fldChar w:fldCharType="end"/>
        </w:r>
      </w:hyperlink>
    </w:p>
    <w:p w14:paraId="682A820A" w14:textId="3AFA32E8"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27" w:history="1">
        <w:r w:rsidR="00C74523" w:rsidRPr="00A66C95">
          <w:rPr>
            <w:rStyle w:val="Hyperlink"/>
            <w:noProof/>
          </w:rPr>
          <w:t>Freeware Disclaimer</w:t>
        </w:r>
        <w:r w:rsidR="00C74523">
          <w:rPr>
            <w:noProof/>
            <w:webHidden/>
          </w:rPr>
          <w:tab/>
        </w:r>
        <w:r w:rsidR="00C74523">
          <w:rPr>
            <w:noProof/>
            <w:webHidden/>
          </w:rPr>
          <w:fldChar w:fldCharType="begin"/>
        </w:r>
        <w:r w:rsidR="00C74523">
          <w:rPr>
            <w:noProof/>
            <w:webHidden/>
          </w:rPr>
          <w:instrText xml:space="preserve"> PAGEREF _Toc163644827 \h </w:instrText>
        </w:r>
        <w:r w:rsidR="00C74523">
          <w:rPr>
            <w:noProof/>
            <w:webHidden/>
          </w:rPr>
        </w:r>
        <w:r w:rsidR="00C74523">
          <w:rPr>
            <w:noProof/>
            <w:webHidden/>
          </w:rPr>
          <w:fldChar w:fldCharType="separate"/>
        </w:r>
        <w:r>
          <w:rPr>
            <w:noProof/>
            <w:webHidden/>
          </w:rPr>
          <w:t>7</w:t>
        </w:r>
        <w:r w:rsidR="00C74523">
          <w:rPr>
            <w:noProof/>
            <w:webHidden/>
          </w:rPr>
          <w:fldChar w:fldCharType="end"/>
        </w:r>
      </w:hyperlink>
    </w:p>
    <w:p w14:paraId="41CBA647" w14:textId="61AE4D9A"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28" w:history="1">
        <w:r w:rsidR="00C74523" w:rsidRPr="00A66C95">
          <w:rPr>
            <w:rStyle w:val="Hyperlink"/>
            <w:noProof/>
          </w:rPr>
          <w:t>Related Manuals and Materials</w:t>
        </w:r>
        <w:r w:rsidR="00C74523">
          <w:rPr>
            <w:noProof/>
            <w:webHidden/>
          </w:rPr>
          <w:tab/>
        </w:r>
        <w:r w:rsidR="00C74523">
          <w:rPr>
            <w:noProof/>
            <w:webHidden/>
          </w:rPr>
          <w:fldChar w:fldCharType="begin"/>
        </w:r>
        <w:r w:rsidR="00C74523">
          <w:rPr>
            <w:noProof/>
            <w:webHidden/>
          </w:rPr>
          <w:instrText xml:space="preserve"> PAGEREF _Toc163644828 \h </w:instrText>
        </w:r>
        <w:r w:rsidR="00C74523">
          <w:rPr>
            <w:noProof/>
            <w:webHidden/>
          </w:rPr>
        </w:r>
        <w:r w:rsidR="00C74523">
          <w:rPr>
            <w:noProof/>
            <w:webHidden/>
          </w:rPr>
          <w:fldChar w:fldCharType="separate"/>
        </w:r>
        <w:r>
          <w:rPr>
            <w:noProof/>
            <w:webHidden/>
          </w:rPr>
          <w:t>7</w:t>
        </w:r>
        <w:r w:rsidR="00C74523">
          <w:rPr>
            <w:noProof/>
            <w:webHidden/>
          </w:rPr>
          <w:fldChar w:fldCharType="end"/>
        </w:r>
      </w:hyperlink>
    </w:p>
    <w:p w14:paraId="3CB6DA2B" w14:textId="23835761"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829" w:history="1">
        <w:r w:rsidR="00C74523" w:rsidRPr="00A66C95">
          <w:rPr>
            <w:rStyle w:val="Hyperlink"/>
            <w:noProof/>
          </w:rPr>
          <w:t>Orientation</w:t>
        </w:r>
        <w:r w:rsidR="00C74523">
          <w:rPr>
            <w:noProof/>
            <w:webHidden/>
          </w:rPr>
          <w:tab/>
        </w:r>
        <w:r w:rsidR="00C74523">
          <w:rPr>
            <w:noProof/>
            <w:webHidden/>
          </w:rPr>
          <w:fldChar w:fldCharType="begin"/>
        </w:r>
        <w:r w:rsidR="00C74523">
          <w:rPr>
            <w:noProof/>
            <w:webHidden/>
          </w:rPr>
          <w:instrText xml:space="preserve"> PAGEREF _Toc163644829 \h </w:instrText>
        </w:r>
        <w:r w:rsidR="00C74523">
          <w:rPr>
            <w:noProof/>
            <w:webHidden/>
          </w:rPr>
        </w:r>
        <w:r w:rsidR="00C74523">
          <w:rPr>
            <w:noProof/>
            <w:webHidden/>
          </w:rPr>
          <w:fldChar w:fldCharType="separate"/>
        </w:r>
        <w:r>
          <w:rPr>
            <w:noProof/>
            <w:webHidden/>
          </w:rPr>
          <w:t>8</w:t>
        </w:r>
        <w:r w:rsidR="00C74523">
          <w:rPr>
            <w:noProof/>
            <w:webHidden/>
          </w:rPr>
          <w:fldChar w:fldCharType="end"/>
        </w:r>
      </w:hyperlink>
    </w:p>
    <w:p w14:paraId="4DDC7E6F" w14:textId="433DC2E9"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30" w:history="1">
        <w:r w:rsidR="00C74523" w:rsidRPr="00A66C95">
          <w:rPr>
            <w:rStyle w:val="Hyperlink"/>
            <w:noProof/>
          </w:rPr>
          <w:t>How This User Guide Is Organized</w:t>
        </w:r>
        <w:r w:rsidR="00C74523">
          <w:rPr>
            <w:noProof/>
            <w:webHidden/>
          </w:rPr>
          <w:tab/>
        </w:r>
        <w:r w:rsidR="00C74523">
          <w:rPr>
            <w:noProof/>
            <w:webHidden/>
          </w:rPr>
          <w:fldChar w:fldCharType="begin"/>
        </w:r>
        <w:r w:rsidR="00C74523">
          <w:rPr>
            <w:noProof/>
            <w:webHidden/>
          </w:rPr>
          <w:instrText xml:space="preserve"> PAGEREF _Toc163644830 \h </w:instrText>
        </w:r>
        <w:r w:rsidR="00C74523">
          <w:rPr>
            <w:noProof/>
            <w:webHidden/>
          </w:rPr>
        </w:r>
        <w:r w:rsidR="00C74523">
          <w:rPr>
            <w:noProof/>
            <w:webHidden/>
          </w:rPr>
          <w:fldChar w:fldCharType="separate"/>
        </w:r>
        <w:r>
          <w:rPr>
            <w:noProof/>
            <w:webHidden/>
          </w:rPr>
          <w:t>8</w:t>
        </w:r>
        <w:r w:rsidR="00C74523">
          <w:rPr>
            <w:noProof/>
            <w:webHidden/>
          </w:rPr>
          <w:fldChar w:fldCharType="end"/>
        </w:r>
      </w:hyperlink>
    </w:p>
    <w:p w14:paraId="1EEB47DC" w14:textId="317A5884"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31" w:history="1">
        <w:r w:rsidR="00C74523" w:rsidRPr="00A66C95">
          <w:rPr>
            <w:rStyle w:val="Hyperlink"/>
            <w:noProof/>
          </w:rPr>
          <w:t>Terms</w:t>
        </w:r>
        <w:r w:rsidR="00C74523">
          <w:rPr>
            <w:noProof/>
            <w:webHidden/>
          </w:rPr>
          <w:tab/>
        </w:r>
        <w:r w:rsidR="00C74523">
          <w:rPr>
            <w:noProof/>
            <w:webHidden/>
          </w:rPr>
          <w:fldChar w:fldCharType="begin"/>
        </w:r>
        <w:r w:rsidR="00C74523">
          <w:rPr>
            <w:noProof/>
            <w:webHidden/>
          </w:rPr>
          <w:instrText xml:space="preserve"> PAGEREF _Toc163644831 \h </w:instrText>
        </w:r>
        <w:r w:rsidR="00C74523">
          <w:rPr>
            <w:noProof/>
            <w:webHidden/>
          </w:rPr>
        </w:r>
        <w:r w:rsidR="00C74523">
          <w:rPr>
            <w:noProof/>
            <w:webHidden/>
          </w:rPr>
          <w:fldChar w:fldCharType="separate"/>
        </w:r>
        <w:r>
          <w:rPr>
            <w:noProof/>
            <w:webHidden/>
          </w:rPr>
          <w:t>8</w:t>
        </w:r>
        <w:r w:rsidR="00C74523">
          <w:rPr>
            <w:noProof/>
            <w:webHidden/>
          </w:rPr>
          <w:fldChar w:fldCharType="end"/>
        </w:r>
      </w:hyperlink>
    </w:p>
    <w:p w14:paraId="43308D1A" w14:textId="1FD94A9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32" w:history="1">
        <w:r w:rsidR="00C74523" w:rsidRPr="00A66C95">
          <w:rPr>
            <w:rStyle w:val="Hyperlink"/>
            <w:noProof/>
          </w:rPr>
          <w:t>Background and Basic Knowledge</w:t>
        </w:r>
        <w:r w:rsidR="00C74523">
          <w:rPr>
            <w:noProof/>
            <w:webHidden/>
          </w:rPr>
          <w:tab/>
        </w:r>
        <w:r w:rsidR="00C74523">
          <w:rPr>
            <w:noProof/>
            <w:webHidden/>
          </w:rPr>
          <w:fldChar w:fldCharType="begin"/>
        </w:r>
        <w:r w:rsidR="00C74523">
          <w:rPr>
            <w:noProof/>
            <w:webHidden/>
          </w:rPr>
          <w:instrText xml:space="preserve"> PAGEREF _Toc163644832 \h </w:instrText>
        </w:r>
        <w:r w:rsidR="00C74523">
          <w:rPr>
            <w:noProof/>
            <w:webHidden/>
          </w:rPr>
        </w:r>
        <w:r w:rsidR="00C74523">
          <w:rPr>
            <w:noProof/>
            <w:webHidden/>
          </w:rPr>
          <w:fldChar w:fldCharType="separate"/>
        </w:r>
        <w:r>
          <w:rPr>
            <w:noProof/>
            <w:webHidden/>
          </w:rPr>
          <w:t>8</w:t>
        </w:r>
        <w:r w:rsidR="00C74523">
          <w:rPr>
            <w:noProof/>
            <w:webHidden/>
          </w:rPr>
          <w:fldChar w:fldCharType="end"/>
        </w:r>
      </w:hyperlink>
    </w:p>
    <w:p w14:paraId="38A1F18B" w14:textId="70133EA5"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33" w:history="1">
        <w:r w:rsidR="00C74523" w:rsidRPr="00A66C95">
          <w:rPr>
            <w:rStyle w:val="Hyperlink"/>
            <w:noProof/>
          </w:rPr>
          <w:t>Figures and Tables</w:t>
        </w:r>
        <w:r w:rsidR="00C74523">
          <w:rPr>
            <w:noProof/>
            <w:webHidden/>
          </w:rPr>
          <w:tab/>
        </w:r>
        <w:r w:rsidR="00C74523">
          <w:rPr>
            <w:noProof/>
            <w:webHidden/>
          </w:rPr>
          <w:fldChar w:fldCharType="begin"/>
        </w:r>
        <w:r w:rsidR="00C74523">
          <w:rPr>
            <w:noProof/>
            <w:webHidden/>
          </w:rPr>
          <w:instrText xml:space="preserve"> PAGEREF _Toc163644833 \h </w:instrText>
        </w:r>
        <w:r w:rsidR="00C74523">
          <w:rPr>
            <w:noProof/>
            <w:webHidden/>
          </w:rPr>
        </w:r>
        <w:r w:rsidR="00C74523">
          <w:rPr>
            <w:noProof/>
            <w:webHidden/>
          </w:rPr>
          <w:fldChar w:fldCharType="separate"/>
        </w:r>
        <w:r>
          <w:rPr>
            <w:noProof/>
            <w:webHidden/>
          </w:rPr>
          <w:t>8</w:t>
        </w:r>
        <w:r w:rsidR="00C74523">
          <w:rPr>
            <w:noProof/>
            <w:webHidden/>
          </w:rPr>
          <w:fldChar w:fldCharType="end"/>
        </w:r>
      </w:hyperlink>
    </w:p>
    <w:p w14:paraId="37BC25D5" w14:textId="061F6A6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34" w:history="1">
        <w:r w:rsidR="00C74523" w:rsidRPr="00A66C95">
          <w:rPr>
            <w:rStyle w:val="Hyperlink"/>
            <w:noProof/>
          </w:rPr>
          <w:t>Options</w:t>
        </w:r>
        <w:r w:rsidR="00C74523">
          <w:rPr>
            <w:noProof/>
            <w:webHidden/>
          </w:rPr>
          <w:tab/>
        </w:r>
        <w:r w:rsidR="00C74523">
          <w:rPr>
            <w:noProof/>
            <w:webHidden/>
          </w:rPr>
          <w:fldChar w:fldCharType="begin"/>
        </w:r>
        <w:r w:rsidR="00C74523">
          <w:rPr>
            <w:noProof/>
            <w:webHidden/>
          </w:rPr>
          <w:instrText xml:space="preserve"> PAGEREF _Toc163644834 \h </w:instrText>
        </w:r>
        <w:r w:rsidR="00C74523">
          <w:rPr>
            <w:noProof/>
            <w:webHidden/>
          </w:rPr>
        </w:r>
        <w:r w:rsidR="00C74523">
          <w:rPr>
            <w:noProof/>
            <w:webHidden/>
          </w:rPr>
          <w:fldChar w:fldCharType="separate"/>
        </w:r>
        <w:r>
          <w:rPr>
            <w:noProof/>
            <w:webHidden/>
          </w:rPr>
          <w:t>8</w:t>
        </w:r>
        <w:r w:rsidR="00C74523">
          <w:rPr>
            <w:noProof/>
            <w:webHidden/>
          </w:rPr>
          <w:fldChar w:fldCharType="end"/>
        </w:r>
      </w:hyperlink>
    </w:p>
    <w:p w14:paraId="48042908" w14:textId="1B5BD989"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35" w:history="1">
        <w:r w:rsidR="00C74523" w:rsidRPr="00A66C95">
          <w:rPr>
            <w:rStyle w:val="Hyperlink"/>
            <w:noProof/>
          </w:rPr>
          <w:t>Supplemental Information</w:t>
        </w:r>
        <w:r w:rsidR="00C74523">
          <w:rPr>
            <w:noProof/>
            <w:webHidden/>
          </w:rPr>
          <w:tab/>
        </w:r>
        <w:r w:rsidR="00C74523">
          <w:rPr>
            <w:noProof/>
            <w:webHidden/>
          </w:rPr>
          <w:fldChar w:fldCharType="begin"/>
        </w:r>
        <w:r w:rsidR="00C74523">
          <w:rPr>
            <w:noProof/>
            <w:webHidden/>
          </w:rPr>
          <w:instrText xml:space="preserve"> PAGEREF _Toc163644835 \h </w:instrText>
        </w:r>
        <w:r w:rsidR="00C74523">
          <w:rPr>
            <w:noProof/>
            <w:webHidden/>
          </w:rPr>
        </w:r>
        <w:r w:rsidR="00C74523">
          <w:rPr>
            <w:noProof/>
            <w:webHidden/>
          </w:rPr>
          <w:fldChar w:fldCharType="separate"/>
        </w:r>
        <w:r>
          <w:rPr>
            <w:noProof/>
            <w:webHidden/>
          </w:rPr>
          <w:t>9</w:t>
        </w:r>
        <w:r w:rsidR="00C74523">
          <w:rPr>
            <w:noProof/>
            <w:webHidden/>
          </w:rPr>
          <w:fldChar w:fldCharType="end"/>
        </w:r>
      </w:hyperlink>
    </w:p>
    <w:p w14:paraId="62A6EAC6" w14:textId="1648920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36" w:history="1">
        <w:r w:rsidR="00C74523" w:rsidRPr="00A66C95">
          <w:rPr>
            <w:rStyle w:val="Hyperlink"/>
            <w:noProof/>
          </w:rPr>
          <w:t>Appendices</w:t>
        </w:r>
        <w:r w:rsidR="00C74523">
          <w:rPr>
            <w:noProof/>
            <w:webHidden/>
          </w:rPr>
          <w:tab/>
        </w:r>
        <w:r w:rsidR="00C74523">
          <w:rPr>
            <w:noProof/>
            <w:webHidden/>
          </w:rPr>
          <w:fldChar w:fldCharType="begin"/>
        </w:r>
        <w:r w:rsidR="00C74523">
          <w:rPr>
            <w:noProof/>
            <w:webHidden/>
          </w:rPr>
          <w:instrText xml:space="preserve"> PAGEREF _Toc163644836 \h </w:instrText>
        </w:r>
        <w:r w:rsidR="00C74523">
          <w:rPr>
            <w:noProof/>
            <w:webHidden/>
          </w:rPr>
        </w:r>
        <w:r w:rsidR="00C74523">
          <w:rPr>
            <w:noProof/>
            <w:webHidden/>
          </w:rPr>
          <w:fldChar w:fldCharType="separate"/>
        </w:r>
        <w:r>
          <w:rPr>
            <w:noProof/>
            <w:webHidden/>
          </w:rPr>
          <w:t>9</w:t>
        </w:r>
        <w:r w:rsidR="00C74523">
          <w:rPr>
            <w:noProof/>
            <w:webHidden/>
          </w:rPr>
          <w:fldChar w:fldCharType="end"/>
        </w:r>
      </w:hyperlink>
    </w:p>
    <w:p w14:paraId="3889AA16" w14:textId="148605A5"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37" w:history="1">
        <w:r w:rsidR="00C74523" w:rsidRPr="00A66C95">
          <w:rPr>
            <w:rStyle w:val="Hyperlink"/>
            <w:noProof/>
          </w:rPr>
          <w:t>Security</w:t>
        </w:r>
        <w:r w:rsidR="00C74523">
          <w:rPr>
            <w:noProof/>
            <w:webHidden/>
          </w:rPr>
          <w:tab/>
        </w:r>
        <w:r w:rsidR="00C74523">
          <w:rPr>
            <w:noProof/>
            <w:webHidden/>
          </w:rPr>
          <w:fldChar w:fldCharType="begin"/>
        </w:r>
        <w:r w:rsidR="00C74523">
          <w:rPr>
            <w:noProof/>
            <w:webHidden/>
          </w:rPr>
          <w:instrText xml:space="preserve"> PAGEREF _Toc163644837 \h </w:instrText>
        </w:r>
        <w:r w:rsidR="00C74523">
          <w:rPr>
            <w:noProof/>
            <w:webHidden/>
          </w:rPr>
        </w:r>
        <w:r w:rsidR="00C74523">
          <w:rPr>
            <w:noProof/>
            <w:webHidden/>
          </w:rPr>
          <w:fldChar w:fldCharType="separate"/>
        </w:r>
        <w:r>
          <w:rPr>
            <w:noProof/>
            <w:webHidden/>
          </w:rPr>
          <w:t>9</w:t>
        </w:r>
        <w:r w:rsidR="00C74523">
          <w:rPr>
            <w:noProof/>
            <w:webHidden/>
          </w:rPr>
          <w:fldChar w:fldCharType="end"/>
        </w:r>
      </w:hyperlink>
    </w:p>
    <w:p w14:paraId="144EE703" w14:textId="51554EF4"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38" w:history="1">
        <w:r w:rsidR="00C74523" w:rsidRPr="00A66C95">
          <w:rPr>
            <w:rStyle w:val="Hyperlink"/>
            <w:noProof/>
          </w:rPr>
          <w:t>Application Architecture</w:t>
        </w:r>
        <w:r w:rsidR="00C74523">
          <w:rPr>
            <w:noProof/>
            <w:webHidden/>
          </w:rPr>
          <w:tab/>
        </w:r>
        <w:r w:rsidR="00C74523">
          <w:rPr>
            <w:noProof/>
            <w:webHidden/>
          </w:rPr>
          <w:fldChar w:fldCharType="begin"/>
        </w:r>
        <w:r w:rsidR="00C74523">
          <w:rPr>
            <w:noProof/>
            <w:webHidden/>
          </w:rPr>
          <w:instrText xml:space="preserve"> PAGEREF _Toc163644838 \h </w:instrText>
        </w:r>
        <w:r w:rsidR="00C74523">
          <w:rPr>
            <w:noProof/>
            <w:webHidden/>
          </w:rPr>
        </w:r>
        <w:r w:rsidR="00C74523">
          <w:rPr>
            <w:noProof/>
            <w:webHidden/>
          </w:rPr>
          <w:fldChar w:fldCharType="separate"/>
        </w:r>
        <w:r>
          <w:rPr>
            <w:noProof/>
            <w:webHidden/>
          </w:rPr>
          <w:t>11</w:t>
        </w:r>
        <w:r w:rsidR="00C74523">
          <w:rPr>
            <w:noProof/>
            <w:webHidden/>
          </w:rPr>
          <w:fldChar w:fldCharType="end"/>
        </w:r>
      </w:hyperlink>
    </w:p>
    <w:p w14:paraId="32010979" w14:textId="5C92670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39" w:history="1">
        <w:r w:rsidR="00C74523" w:rsidRPr="00A66C95">
          <w:rPr>
            <w:rStyle w:val="Hyperlink"/>
            <w:noProof/>
          </w:rPr>
          <w:t>Options That Require VistALink</w:t>
        </w:r>
        <w:r w:rsidR="00C74523">
          <w:rPr>
            <w:noProof/>
            <w:webHidden/>
          </w:rPr>
          <w:tab/>
        </w:r>
        <w:r w:rsidR="00C74523">
          <w:rPr>
            <w:noProof/>
            <w:webHidden/>
          </w:rPr>
          <w:fldChar w:fldCharType="begin"/>
        </w:r>
        <w:r w:rsidR="00C74523">
          <w:rPr>
            <w:noProof/>
            <w:webHidden/>
          </w:rPr>
          <w:instrText xml:space="preserve"> PAGEREF _Toc163644839 \h </w:instrText>
        </w:r>
        <w:r w:rsidR="00C74523">
          <w:rPr>
            <w:noProof/>
            <w:webHidden/>
          </w:rPr>
        </w:r>
        <w:r w:rsidR="00C74523">
          <w:rPr>
            <w:noProof/>
            <w:webHidden/>
          </w:rPr>
          <w:fldChar w:fldCharType="separate"/>
        </w:r>
        <w:r>
          <w:rPr>
            <w:noProof/>
            <w:webHidden/>
          </w:rPr>
          <w:t>11</w:t>
        </w:r>
        <w:r w:rsidR="00C74523">
          <w:rPr>
            <w:noProof/>
            <w:webHidden/>
          </w:rPr>
          <w:fldChar w:fldCharType="end"/>
        </w:r>
      </w:hyperlink>
    </w:p>
    <w:p w14:paraId="6CD54750" w14:textId="00297DC0"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40" w:history="1">
        <w:r w:rsidR="00C74523" w:rsidRPr="00A66C95">
          <w:rPr>
            <w:rStyle w:val="Hyperlink"/>
            <w:noProof/>
          </w:rPr>
          <w:t>Getting Help from Customer Support</w:t>
        </w:r>
        <w:r w:rsidR="00C74523">
          <w:rPr>
            <w:noProof/>
            <w:webHidden/>
          </w:rPr>
          <w:tab/>
        </w:r>
        <w:r w:rsidR="00C74523">
          <w:rPr>
            <w:noProof/>
            <w:webHidden/>
          </w:rPr>
          <w:fldChar w:fldCharType="begin"/>
        </w:r>
        <w:r w:rsidR="00C74523">
          <w:rPr>
            <w:noProof/>
            <w:webHidden/>
          </w:rPr>
          <w:instrText xml:space="preserve"> PAGEREF _Toc163644840 \h </w:instrText>
        </w:r>
        <w:r w:rsidR="00C74523">
          <w:rPr>
            <w:noProof/>
            <w:webHidden/>
          </w:rPr>
        </w:r>
        <w:r w:rsidR="00C74523">
          <w:rPr>
            <w:noProof/>
            <w:webHidden/>
          </w:rPr>
          <w:fldChar w:fldCharType="separate"/>
        </w:r>
        <w:r>
          <w:rPr>
            <w:noProof/>
            <w:webHidden/>
          </w:rPr>
          <w:t>12</w:t>
        </w:r>
        <w:r w:rsidR="00C74523">
          <w:rPr>
            <w:noProof/>
            <w:webHidden/>
          </w:rPr>
          <w:fldChar w:fldCharType="end"/>
        </w:r>
      </w:hyperlink>
    </w:p>
    <w:p w14:paraId="4D1DB888" w14:textId="23E7B48B"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841" w:history="1">
        <w:r w:rsidR="00C74523" w:rsidRPr="00A66C95">
          <w:rPr>
            <w:rStyle w:val="Hyperlink"/>
            <w:noProof/>
          </w:rPr>
          <w:t>Using the Software</w:t>
        </w:r>
        <w:r w:rsidR="00C74523">
          <w:rPr>
            <w:noProof/>
            <w:webHidden/>
          </w:rPr>
          <w:tab/>
        </w:r>
        <w:r w:rsidR="00C74523">
          <w:rPr>
            <w:noProof/>
            <w:webHidden/>
          </w:rPr>
          <w:fldChar w:fldCharType="begin"/>
        </w:r>
        <w:r w:rsidR="00C74523">
          <w:rPr>
            <w:noProof/>
            <w:webHidden/>
          </w:rPr>
          <w:instrText xml:space="preserve"> PAGEREF _Toc163644841 \h </w:instrText>
        </w:r>
        <w:r w:rsidR="00C74523">
          <w:rPr>
            <w:noProof/>
            <w:webHidden/>
          </w:rPr>
        </w:r>
        <w:r w:rsidR="00C74523">
          <w:rPr>
            <w:noProof/>
            <w:webHidden/>
          </w:rPr>
          <w:fldChar w:fldCharType="separate"/>
        </w:r>
        <w:r>
          <w:rPr>
            <w:noProof/>
            <w:webHidden/>
          </w:rPr>
          <w:t>14</w:t>
        </w:r>
        <w:r w:rsidR="00C74523">
          <w:rPr>
            <w:noProof/>
            <w:webHidden/>
          </w:rPr>
          <w:fldChar w:fldCharType="end"/>
        </w:r>
      </w:hyperlink>
    </w:p>
    <w:p w14:paraId="083D059D" w14:textId="7DF83897"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42" w:history="1">
        <w:r w:rsidR="00C74523" w:rsidRPr="00A66C95">
          <w:rPr>
            <w:rStyle w:val="Hyperlink"/>
            <w:noProof/>
          </w:rPr>
          <w:t>Software Basics</w:t>
        </w:r>
        <w:r w:rsidR="00C74523">
          <w:rPr>
            <w:noProof/>
            <w:webHidden/>
          </w:rPr>
          <w:tab/>
        </w:r>
        <w:r w:rsidR="00C74523">
          <w:rPr>
            <w:noProof/>
            <w:webHidden/>
          </w:rPr>
          <w:fldChar w:fldCharType="begin"/>
        </w:r>
        <w:r w:rsidR="00C74523">
          <w:rPr>
            <w:noProof/>
            <w:webHidden/>
          </w:rPr>
          <w:instrText xml:space="preserve"> PAGEREF _Toc163644842 \h </w:instrText>
        </w:r>
        <w:r w:rsidR="00C74523">
          <w:rPr>
            <w:noProof/>
            <w:webHidden/>
          </w:rPr>
        </w:r>
        <w:r w:rsidR="00C74523">
          <w:rPr>
            <w:noProof/>
            <w:webHidden/>
          </w:rPr>
          <w:fldChar w:fldCharType="separate"/>
        </w:r>
        <w:r>
          <w:rPr>
            <w:noProof/>
            <w:webHidden/>
          </w:rPr>
          <w:t>14</w:t>
        </w:r>
        <w:r w:rsidR="00C74523">
          <w:rPr>
            <w:noProof/>
            <w:webHidden/>
          </w:rPr>
          <w:fldChar w:fldCharType="end"/>
        </w:r>
      </w:hyperlink>
    </w:p>
    <w:p w14:paraId="280D0119" w14:textId="318D0CEC"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43" w:history="1">
        <w:r w:rsidR="00C74523" w:rsidRPr="00A66C95">
          <w:rPr>
            <w:rStyle w:val="Hyperlink"/>
            <w:noProof/>
          </w:rPr>
          <w:t>Commonly Used System Rules</w:t>
        </w:r>
        <w:r w:rsidR="00C74523">
          <w:rPr>
            <w:noProof/>
            <w:webHidden/>
          </w:rPr>
          <w:tab/>
        </w:r>
        <w:r w:rsidR="00C74523">
          <w:rPr>
            <w:noProof/>
            <w:webHidden/>
          </w:rPr>
          <w:fldChar w:fldCharType="begin"/>
        </w:r>
        <w:r w:rsidR="00C74523">
          <w:rPr>
            <w:noProof/>
            <w:webHidden/>
          </w:rPr>
          <w:instrText xml:space="preserve"> PAGEREF _Toc163644843 \h </w:instrText>
        </w:r>
        <w:r w:rsidR="00C74523">
          <w:rPr>
            <w:noProof/>
            <w:webHidden/>
          </w:rPr>
        </w:r>
        <w:r w:rsidR="00C74523">
          <w:rPr>
            <w:noProof/>
            <w:webHidden/>
          </w:rPr>
          <w:fldChar w:fldCharType="separate"/>
        </w:r>
        <w:r>
          <w:rPr>
            <w:noProof/>
            <w:webHidden/>
          </w:rPr>
          <w:t>16</w:t>
        </w:r>
        <w:r w:rsidR="00C74523">
          <w:rPr>
            <w:noProof/>
            <w:webHidden/>
          </w:rPr>
          <w:fldChar w:fldCharType="end"/>
        </w:r>
      </w:hyperlink>
    </w:p>
    <w:p w14:paraId="15EFE43E" w14:textId="2003F03E"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44" w:history="1">
        <w:r w:rsidR="00C74523" w:rsidRPr="00A66C95">
          <w:rPr>
            <w:rStyle w:val="Hyperlink"/>
            <w:noProof/>
          </w:rPr>
          <w:t>Date and Time</w:t>
        </w:r>
        <w:r w:rsidR="00C74523">
          <w:rPr>
            <w:noProof/>
            <w:webHidden/>
          </w:rPr>
          <w:tab/>
        </w:r>
        <w:r w:rsidR="00C74523">
          <w:rPr>
            <w:noProof/>
            <w:webHidden/>
          </w:rPr>
          <w:fldChar w:fldCharType="begin"/>
        </w:r>
        <w:r w:rsidR="00C74523">
          <w:rPr>
            <w:noProof/>
            <w:webHidden/>
          </w:rPr>
          <w:instrText xml:space="preserve"> PAGEREF _Toc163644844 \h </w:instrText>
        </w:r>
        <w:r w:rsidR="00C74523">
          <w:rPr>
            <w:noProof/>
            <w:webHidden/>
          </w:rPr>
        </w:r>
        <w:r w:rsidR="00C74523">
          <w:rPr>
            <w:noProof/>
            <w:webHidden/>
          </w:rPr>
          <w:fldChar w:fldCharType="separate"/>
        </w:r>
        <w:r>
          <w:rPr>
            <w:noProof/>
            <w:webHidden/>
          </w:rPr>
          <w:t>16</w:t>
        </w:r>
        <w:r w:rsidR="00C74523">
          <w:rPr>
            <w:noProof/>
            <w:webHidden/>
          </w:rPr>
          <w:fldChar w:fldCharType="end"/>
        </w:r>
      </w:hyperlink>
    </w:p>
    <w:p w14:paraId="2F13CEEE" w14:textId="5369CC2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45" w:history="1">
        <w:r w:rsidR="00C74523" w:rsidRPr="00A66C95">
          <w:rPr>
            <w:rStyle w:val="Hyperlink"/>
            <w:noProof/>
          </w:rPr>
          <w:t>Working with Data</w:t>
        </w:r>
        <w:r w:rsidR="00C74523">
          <w:rPr>
            <w:noProof/>
            <w:webHidden/>
          </w:rPr>
          <w:tab/>
        </w:r>
        <w:r w:rsidR="00C74523">
          <w:rPr>
            <w:noProof/>
            <w:webHidden/>
          </w:rPr>
          <w:fldChar w:fldCharType="begin"/>
        </w:r>
        <w:r w:rsidR="00C74523">
          <w:rPr>
            <w:noProof/>
            <w:webHidden/>
          </w:rPr>
          <w:instrText xml:space="preserve"> PAGEREF _Toc163644845 \h </w:instrText>
        </w:r>
        <w:r w:rsidR="00C74523">
          <w:rPr>
            <w:noProof/>
            <w:webHidden/>
          </w:rPr>
        </w:r>
        <w:r w:rsidR="00C74523">
          <w:rPr>
            <w:noProof/>
            <w:webHidden/>
          </w:rPr>
          <w:fldChar w:fldCharType="separate"/>
        </w:r>
        <w:r>
          <w:rPr>
            <w:noProof/>
            <w:webHidden/>
          </w:rPr>
          <w:t>16</w:t>
        </w:r>
        <w:r w:rsidR="00C74523">
          <w:rPr>
            <w:noProof/>
            <w:webHidden/>
          </w:rPr>
          <w:fldChar w:fldCharType="end"/>
        </w:r>
      </w:hyperlink>
    </w:p>
    <w:p w14:paraId="25F640FA" w14:textId="5D50DCCA"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46" w:history="1">
        <w:r w:rsidR="00C74523" w:rsidRPr="00A66C95">
          <w:rPr>
            <w:rStyle w:val="Hyperlink"/>
            <w:noProof/>
          </w:rPr>
          <w:t>Searching the Database</w:t>
        </w:r>
        <w:r w:rsidR="00C74523">
          <w:rPr>
            <w:noProof/>
            <w:webHidden/>
          </w:rPr>
          <w:tab/>
        </w:r>
        <w:r w:rsidR="00C74523">
          <w:rPr>
            <w:noProof/>
            <w:webHidden/>
          </w:rPr>
          <w:fldChar w:fldCharType="begin"/>
        </w:r>
        <w:r w:rsidR="00C74523">
          <w:rPr>
            <w:noProof/>
            <w:webHidden/>
          </w:rPr>
          <w:instrText xml:space="preserve"> PAGEREF _Toc163644846 \h </w:instrText>
        </w:r>
        <w:r w:rsidR="00C74523">
          <w:rPr>
            <w:noProof/>
            <w:webHidden/>
          </w:rPr>
        </w:r>
        <w:r w:rsidR="00C74523">
          <w:rPr>
            <w:noProof/>
            <w:webHidden/>
          </w:rPr>
          <w:fldChar w:fldCharType="separate"/>
        </w:r>
        <w:r>
          <w:rPr>
            <w:noProof/>
            <w:webHidden/>
          </w:rPr>
          <w:t>17</w:t>
        </w:r>
        <w:r w:rsidR="00C74523">
          <w:rPr>
            <w:noProof/>
            <w:webHidden/>
          </w:rPr>
          <w:fldChar w:fldCharType="end"/>
        </w:r>
      </w:hyperlink>
    </w:p>
    <w:p w14:paraId="7327795B" w14:textId="7BB83613"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47" w:history="1">
        <w:r w:rsidR="00C74523" w:rsidRPr="00A66C95">
          <w:rPr>
            <w:rStyle w:val="Hyperlink"/>
            <w:noProof/>
          </w:rPr>
          <w:t>Testing</w:t>
        </w:r>
        <w:r w:rsidR="00C74523">
          <w:rPr>
            <w:noProof/>
            <w:webHidden/>
          </w:rPr>
          <w:tab/>
        </w:r>
        <w:r w:rsidR="00C74523">
          <w:rPr>
            <w:noProof/>
            <w:webHidden/>
          </w:rPr>
          <w:fldChar w:fldCharType="begin"/>
        </w:r>
        <w:r w:rsidR="00C74523">
          <w:rPr>
            <w:noProof/>
            <w:webHidden/>
          </w:rPr>
          <w:instrText xml:space="preserve"> PAGEREF _Toc163644847 \h </w:instrText>
        </w:r>
        <w:r w:rsidR="00C74523">
          <w:rPr>
            <w:noProof/>
            <w:webHidden/>
          </w:rPr>
        </w:r>
        <w:r w:rsidR="00C74523">
          <w:rPr>
            <w:noProof/>
            <w:webHidden/>
          </w:rPr>
          <w:fldChar w:fldCharType="separate"/>
        </w:r>
        <w:r>
          <w:rPr>
            <w:noProof/>
            <w:webHidden/>
          </w:rPr>
          <w:t>18</w:t>
        </w:r>
        <w:r w:rsidR="00C74523">
          <w:rPr>
            <w:noProof/>
            <w:webHidden/>
          </w:rPr>
          <w:fldChar w:fldCharType="end"/>
        </w:r>
      </w:hyperlink>
    </w:p>
    <w:p w14:paraId="4C677D49" w14:textId="3524EB1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48" w:history="1">
        <w:r w:rsidR="00C74523" w:rsidRPr="00A66C95">
          <w:rPr>
            <w:rStyle w:val="Hyperlink"/>
            <w:noProof/>
          </w:rPr>
          <w:t>Creating and Viewing Reports</w:t>
        </w:r>
        <w:r w:rsidR="00C74523">
          <w:rPr>
            <w:noProof/>
            <w:webHidden/>
          </w:rPr>
          <w:tab/>
        </w:r>
        <w:r w:rsidR="00C74523">
          <w:rPr>
            <w:noProof/>
            <w:webHidden/>
          </w:rPr>
          <w:fldChar w:fldCharType="begin"/>
        </w:r>
        <w:r w:rsidR="00C74523">
          <w:rPr>
            <w:noProof/>
            <w:webHidden/>
          </w:rPr>
          <w:instrText xml:space="preserve"> PAGEREF _Toc163644848 \h </w:instrText>
        </w:r>
        <w:r w:rsidR="00C74523">
          <w:rPr>
            <w:noProof/>
            <w:webHidden/>
          </w:rPr>
        </w:r>
        <w:r w:rsidR="00C74523">
          <w:rPr>
            <w:noProof/>
            <w:webHidden/>
          </w:rPr>
          <w:fldChar w:fldCharType="separate"/>
        </w:r>
        <w:r>
          <w:rPr>
            <w:noProof/>
            <w:webHidden/>
          </w:rPr>
          <w:t>21</w:t>
        </w:r>
        <w:r w:rsidR="00C74523">
          <w:rPr>
            <w:noProof/>
            <w:webHidden/>
          </w:rPr>
          <w:fldChar w:fldCharType="end"/>
        </w:r>
      </w:hyperlink>
    </w:p>
    <w:p w14:paraId="393E42A5" w14:textId="41B15243"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49" w:history="1">
        <w:r w:rsidR="00C74523" w:rsidRPr="00A66C95">
          <w:rPr>
            <w:rStyle w:val="Hyperlink"/>
            <w:noProof/>
          </w:rPr>
          <w:t>Scheduling Report Print Jobs</w:t>
        </w:r>
        <w:r w:rsidR="00C74523">
          <w:rPr>
            <w:noProof/>
            <w:webHidden/>
          </w:rPr>
          <w:tab/>
        </w:r>
        <w:r w:rsidR="00C74523">
          <w:rPr>
            <w:noProof/>
            <w:webHidden/>
          </w:rPr>
          <w:fldChar w:fldCharType="begin"/>
        </w:r>
        <w:r w:rsidR="00C74523">
          <w:rPr>
            <w:noProof/>
            <w:webHidden/>
          </w:rPr>
          <w:instrText xml:space="preserve"> PAGEREF _Toc163644849 \h </w:instrText>
        </w:r>
        <w:r w:rsidR="00C74523">
          <w:rPr>
            <w:noProof/>
            <w:webHidden/>
          </w:rPr>
        </w:r>
        <w:r w:rsidR="00C74523">
          <w:rPr>
            <w:noProof/>
            <w:webHidden/>
          </w:rPr>
          <w:fldChar w:fldCharType="separate"/>
        </w:r>
        <w:r>
          <w:rPr>
            <w:noProof/>
            <w:webHidden/>
          </w:rPr>
          <w:t>18</w:t>
        </w:r>
        <w:r w:rsidR="00C74523">
          <w:rPr>
            <w:noProof/>
            <w:webHidden/>
          </w:rPr>
          <w:fldChar w:fldCharType="end"/>
        </w:r>
      </w:hyperlink>
    </w:p>
    <w:p w14:paraId="248F87B7" w14:textId="051C7F95"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50" w:history="1">
        <w:r w:rsidR="00C74523" w:rsidRPr="00A66C95">
          <w:rPr>
            <w:rStyle w:val="Hyperlink"/>
            <w:noProof/>
          </w:rPr>
          <w:t>Report Toolbar</w:t>
        </w:r>
        <w:r w:rsidR="00C74523">
          <w:rPr>
            <w:noProof/>
            <w:webHidden/>
          </w:rPr>
          <w:tab/>
        </w:r>
        <w:r w:rsidR="00C74523">
          <w:rPr>
            <w:noProof/>
            <w:webHidden/>
          </w:rPr>
          <w:fldChar w:fldCharType="begin"/>
        </w:r>
        <w:r w:rsidR="00C74523">
          <w:rPr>
            <w:noProof/>
            <w:webHidden/>
          </w:rPr>
          <w:instrText xml:space="preserve"> PAGEREF _Toc163644850 \h </w:instrText>
        </w:r>
        <w:r w:rsidR="00C74523">
          <w:rPr>
            <w:noProof/>
            <w:webHidden/>
          </w:rPr>
        </w:r>
        <w:r w:rsidR="00C74523">
          <w:rPr>
            <w:noProof/>
            <w:webHidden/>
          </w:rPr>
          <w:fldChar w:fldCharType="separate"/>
        </w:r>
        <w:r>
          <w:rPr>
            <w:noProof/>
            <w:webHidden/>
          </w:rPr>
          <w:t>18</w:t>
        </w:r>
        <w:r w:rsidR="00C74523">
          <w:rPr>
            <w:noProof/>
            <w:webHidden/>
          </w:rPr>
          <w:fldChar w:fldCharType="end"/>
        </w:r>
      </w:hyperlink>
    </w:p>
    <w:p w14:paraId="31562DCE" w14:textId="7A12969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51" w:history="1">
        <w:r w:rsidR="00C74523" w:rsidRPr="00A66C95">
          <w:rPr>
            <w:rStyle w:val="Hyperlink"/>
            <w:noProof/>
          </w:rPr>
          <w:t>Navigation Arrows and Report Pages</w:t>
        </w:r>
        <w:r w:rsidR="00C74523">
          <w:rPr>
            <w:noProof/>
            <w:webHidden/>
          </w:rPr>
          <w:tab/>
        </w:r>
        <w:r w:rsidR="00C74523">
          <w:rPr>
            <w:noProof/>
            <w:webHidden/>
          </w:rPr>
          <w:fldChar w:fldCharType="begin"/>
        </w:r>
        <w:r w:rsidR="00C74523">
          <w:rPr>
            <w:noProof/>
            <w:webHidden/>
          </w:rPr>
          <w:instrText xml:space="preserve"> PAGEREF _Toc163644851 \h </w:instrText>
        </w:r>
        <w:r w:rsidR="00C74523">
          <w:rPr>
            <w:noProof/>
            <w:webHidden/>
          </w:rPr>
        </w:r>
        <w:r w:rsidR="00C74523">
          <w:rPr>
            <w:noProof/>
            <w:webHidden/>
          </w:rPr>
          <w:fldChar w:fldCharType="separate"/>
        </w:r>
        <w:r>
          <w:rPr>
            <w:noProof/>
            <w:webHidden/>
          </w:rPr>
          <w:t>18</w:t>
        </w:r>
        <w:r w:rsidR="00C74523">
          <w:rPr>
            <w:noProof/>
            <w:webHidden/>
          </w:rPr>
          <w:fldChar w:fldCharType="end"/>
        </w:r>
      </w:hyperlink>
    </w:p>
    <w:p w14:paraId="522805C3" w14:textId="1CDFDD7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52" w:history="1">
        <w:r w:rsidR="00C74523" w:rsidRPr="00A66C95">
          <w:rPr>
            <w:rStyle w:val="Hyperlink"/>
            <w:noProof/>
          </w:rPr>
          <w:t>Report Layout</w:t>
        </w:r>
        <w:r w:rsidR="00C74523">
          <w:rPr>
            <w:noProof/>
            <w:webHidden/>
          </w:rPr>
          <w:tab/>
        </w:r>
        <w:r w:rsidR="00C74523">
          <w:rPr>
            <w:noProof/>
            <w:webHidden/>
          </w:rPr>
          <w:fldChar w:fldCharType="begin"/>
        </w:r>
        <w:r w:rsidR="00C74523">
          <w:rPr>
            <w:noProof/>
            <w:webHidden/>
          </w:rPr>
          <w:instrText xml:space="preserve"> PAGEREF _Toc163644852 \h </w:instrText>
        </w:r>
        <w:r w:rsidR="00C74523">
          <w:rPr>
            <w:noProof/>
            <w:webHidden/>
          </w:rPr>
        </w:r>
        <w:r w:rsidR="00C74523">
          <w:rPr>
            <w:noProof/>
            <w:webHidden/>
          </w:rPr>
          <w:fldChar w:fldCharType="separate"/>
        </w:r>
        <w:r>
          <w:rPr>
            <w:noProof/>
            <w:webHidden/>
          </w:rPr>
          <w:t>19</w:t>
        </w:r>
        <w:r w:rsidR="00C74523">
          <w:rPr>
            <w:noProof/>
            <w:webHidden/>
          </w:rPr>
          <w:fldChar w:fldCharType="end"/>
        </w:r>
      </w:hyperlink>
    </w:p>
    <w:p w14:paraId="6471E015" w14:textId="6B8C5C5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53" w:history="1">
        <w:r w:rsidR="00C74523" w:rsidRPr="00A66C95">
          <w:rPr>
            <w:rStyle w:val="Hyperlink"/>
            <w:noProof/>
          </w:rPr>
          <w:t>Report Zoom-in/Zoom-out</w:t>
        </w:r>
        <w:r w:rsidR="00C74523">
          <w:rPr>
            <w:noProof/>
            <w:webHidden/>
          </w:rPr>
          <w:tab/>
        </w:r>
        <w:r w:rsidR="00C74523">
          <w:rPr>
            <w:noProof/>
            <w:webHidden/>
          </w:rPr>
          <w:fldChar w:fldCharType="begin"/>
        </w:r>
        <w:r w:rsidR="00C74523">
          <w:rPr>
            <w:noProof/>
            <w:webHidden/>
          </w:rPr>
          <w:instrText xml:space="preserve"> PAGEREF _Toc163644853 \h </w:instrText>
        </w:r>
        <w:r w:rsidR="00C74523">
          <w:rPr>
            <w:noProof/>
            <w:webHidden/>
          </w:rPr>
        </w:r>
        <w:r w:rsidR="00C74523">
          <w:rPr>
            <w:noProof/>
            <w:webHidden/>
          </w:rPr>
          <w:fldChar w:fldCharType="separate"/>
        </w:r>
        <w:r>
          <w:rPr>
            <w:noProof/>
            <w:webHidden/>
          </w:rPr>
          <w:t>19</w:t>
        </w:r>
        <w:r w:rsidR="00C74523">
          <w:rPr>
            <w:noProof/>
            <w:webHidden/>
          </w:rPr>
          <w:fldChar w:fldCharType="end"/>
        </w:r>
      </w:hyperlink>
    </w:p>
    <w:p w14:paraId="7FAE6216" w14:textId="0C1372F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54" w:history="1">
        <w:r w:rsidR="00C74523" w:rsidRPr="00A66C95">
          <w:rPr>
            <w:rStyle w:val="Hyperlink"/>
            <w:noProof/>
          </w:rPr>
          <w:t>Report Search</w:t>
        </w:r>
        <w:r w:rsidR="00C74523">
          <w:rPr>
            <w:noProof/>
            <w:webHidden/>
          </w:rPr>
          <w:tab/>
        </w:r>
        <w:r w:rsidR="00C74523">
          <w:rPr>
            <w:noProof/>
            <w:webHidden/>
          </w:rPr>
          <w:fldChar w:fldCharType="begin"/>
        </w:r>
        <w:r w:rsidR="00C74523">
          <w:rPr>
            <w:noProof/>
            <w:webHidden/>
          </w:rPr>
          <w:instrText xml:space="preserve"> PAGEREF _Toc163644854 \h </w:instrText>
        </w:r>
        <w:r w:rsidR="00C74523">
          <w:rPr>
            <w:noProof/>
            <w:webHidden/>
          </w:rPr>
        </w:r>
        <w:r w:rsidR="00C74523">
          <w:rPr>
            <w:noProof/>
            <w:webHidden/>
          </w:rPr>
          <w:fldChar w:fldCharType="separate"/>
        </w:r>
        <w:r>
          <w:rPr>
            <w:noProof/>
            <w:webHidden/>
          </w:rPr>
          <w:t>19</w:t>
        </w:r>
        <w:r w:rsidR="00C74523">
          <w:rPr>
            <w:noProof/>
            <w:webHidden/>
          </w:rPr>
          <w:fldChar w:fldCharType="end"/>
        </w:r>
      </w:hyperlink>
    </w:p>
    <w:p w14:paraId="5FF5EBBD" w14:textId="237453B7"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55" w:history="1">
        <w:r w:rsidR="00C74523" w:rsidRPr="00A66C95">
          <w:rPr>
            <w:rStyle w:val="Hyperlink"/>
            <w:noProof/>
          </w:rPr>
          <w:t>Report Export</w:t>
        </w:r>
        <w:r w:rsidR="00C74523">
          <w:rPr>
            <w:noProof/>
            <w:webHidden/>
          </w:rPr>
          <w:tab/>
        </w:r>
        <w:r w:rsidR="00C74523">
          <w:rPr>
            <w:noProof/>
            <w:webHidden/>
          </w:rPr>
          <w:fldChar w:fldCharType="begin"/>
        </w:r>
        <w:r w:rsidR="00C74523">
          <w:rPr>
            <w:noProof/>
            <w:webHidden/>
          </w:rPr>
          <w:instrText xml:space="preserve"> PAGEREF _Toc163644855 \h </w:instrText>
        </w:r>
        <w:r w:rsidR="00C74523">
          <w:rPr>
            <w:noProof/>
            <w:webHidden/>
          </w:rPr>
        </w:r>
        <w:r w:rsidR="00C74523">
          <w:rPr>
            <w:noProof/>
            <w:webHidden/>
          </w:rPr>
          <w:fldChar w:fldCharType="separate"/>
        </w:r>
        <w:r>
          <w:rPr>
            <w:noProof/>
            <w:webHidden/>
          </w:rPr>
          <w:t>20</w:t>
        </w:r>
        <w:r w:rsidR="00C74523">
          <w:rPr>
            <w:noProof/>
            <w:webHidden/>
          </w:rPr>
          <w:fldChar w:fldCharType="end"/>
        </w:r>
      </w:hyperlink>
    </w:p>
    <w:p w14:paraId="78619456" w14:textId="12627206"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56" w:history="1">
        <w:r w:rsidR="00C74523" w:rsidRPr="00A66C95">
          <w:rPr>
            <w:rStyle w:val="Hyperlink"/>
            <w:noProof/>
          </w:rPr>
          <w:t>Using VBECS</w:t>
        </w:r>
        <w:r w:rsidR="00C74523">
          <w:rPr>
            <w:noProof/>
            <w:webHidden/>
          </w:rPr>
          <w:tab/>
        </w:r>
        <w:r w:rsidR="00C74523">
          <w:rPr>
            <w:noProof/>
            <w:webHidden/>
          </w:rPr>
          <w:fldChar w:fldCharType="begin"/>
        </w:r>
        <w:r w:rsidR="00C74523">
          <w:rPr>
            <w:noProof/>
            <w:webHidden/>
          </w:rPr>
          <w:instrText xml:space="preserve"> PAGEREF _Toc163644856 \h </w:instrText>
        </w:r>
        <w:r w:rsidR="00C74523">
          <w:rPr>
            <w:noProof/>
            <w:webHidden/>
          </w:rPr>
        </w:r>
        <w:r w:rsidR="00C74523">
          <w:rPr>
            <w:noProof/>
            <w:webHidden/>
          </w:rPr>
          <w:fldChar w:fldCharType="separate"/>
        </w:r>
        <w:r>
          <w:rPr>
            <w:noProof/>
            <w:webHidden/>
          </w:rPr>
          <w:t>22</w:t>
        </w:r>
        <w:r w:rsidR="00C74523">
          <w:rPr>
            <w:noProof/>
            <w:webHidden/>
          </w:rPr>
          <w:fldChar w:fldCharType="end"/>
        </w:r>
      </w:hyperlink>
    </w:p>
    <w:p w14:paraId="5284AFE9" w14:textId="1FF44DB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57" w:history="1">
        <w:r w:rsidR="00C74523" w:rsidRPr="00A66C95">
          <w:rPr>
            <w:rStyle w:val="Hyperlink"/>
            <w:noProof/>
          </w:rPr>
          <w:t>Searching Using the Table of Contents</w:t>
        </w:r>
        <w:r w:rsidR="00C74523">
          <w:rPr>
            <w:noProof/>
            <w:webHidden/>
          </w:rPr>
          <w:tab/>
        </w:r>
        <w:r w:rsidR="00C74523">
          <w:rPr>
            <w:noProof/>
            <w:webHidden/>
          </w:rPr>
          <w:fldChar w:fldCharType="begin"/>
        </w:r>
        <w:r w:rsidR="00C74523">
          <w:rPr>
            <w:noProof/>
            <w:webHidden/>
          </w:rPr>
          <w:instrText xml:space="preserve"> PAGEREF _Toc163644857 \h </w:instrText>
        </w:r>
        <w:r w:rsidR="00C74523">
          <w:rPr>
            <w:noProof/>
            <w:webHidden/>
          </w:rPr>
        </w:r>
        <w:r w:rsidR="00C74523">
          <w:rPr>
            <w:noProof/>
            <w:webHidden/>
          </w:rPr>
          <w:fldChar w:fldCharType="separate"/>
        </w:r>
        <w:r>
          <w:rPr>
            <w:noProof/>
            <w:webHidden/>
          </w:rPr>
          <w:t>22</w:t>
        </w:r>
        <w:r w:rsidR="00C74523">
          <w:rPr>
            <w:noProof/>
            <w:webHidden/>
          </w:rPr>
          <w:fldChar w:fldCharType="end"/>
        </w:r>
      </w:hyperlink>
    </w:p>
    <w:p w14:paraId="475D6379" w14:textId="2DACFA74"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58" w:history="1">
        <w:r w:rsidR="00C74523" w:rsidRPr="00A66C95">
          <w:rPr>
            <w:rStyle w:val="Hyperlink"/>
            <w:noProof/>
          </w:rPr>
          <w:t>VistA Records in VBECS</w:t>
        </w:r>
        <w:r w:rsidR="00C74523">
          <w:rPr>
            <w:noProof/>
            <w:webHidden/>
          </w:rPr>
          <w:tab/>
        </w:r>
        <w:r w:rsidR="00C74523">
          <w:rPr>
            <w:noProof/>
            <w:webHidden/>
          </w:rPr>
          <w:fldChar w:fldCharType="begin"/>
        </w:r>
        <w:r w:rsidR="00C74523">
          <w:rPr>
            <w:noProof/>
            <w:webHidden/>
          </w:rPr>
          <w:instrText xml:space="preserve"> PAGEREF _Toc163644858 \h </w:instrText>
        </w:r>
        <w:r w:rsidR="00C74523">
          <w:rPr>
            <w:noProof/>
            <w:webHidden/>
          </w:rPr>
        </w:r>
        <w:r w:rsidR="00C74523">
          <w:rPr>
            <w:noProof/>
            <w:webHidden/>
          </w:rPr>
          <w:fldChar w:fldCharType="separate"/>
        </w:r>
        <w:r>
          <w:rPr>
            <w:noProof/>
            <w:webHidden/>
          </w:rPr>
          <w:t>23</w:t>
        </w:r>
        <w:r w:rsidR="00C74523">
          <w:rPr>
            <w:noProof/>
            <w:webHidden/>
          </w:rPr>
          <w:fldChar w:fldCharType="end"/>
        </w:r>
      </w:hyperlink>
    </w:p>
    <w:p w14:paraId="64BDED06" w14:textId="0901AB7B"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59" w:history="1">
        <w:r w:rsidR="00C74523" w:rsidRPr="00A66C95">
          <w:rPr>
            <w:rStyle w:val="Hyperlink"/>
            <w:noProof/>
          </w:rPr>
          <w:t>Accessing the System</w:t>
        </w:r>
        <w:r w:rsidR="00C74523">
          <w:rPr>
            <w:noProof/>
            <w:webHidden/>
          </w:rPr>
          <w:tab/>
        </w:r>
        <w:r w:rsidR="00C74523">
          <w:rPr>
            <w:noProof/>
            <w:webHidden/>
          </w:rPr>
          <w:fldChar w:fldCharType="begin"/>
        </w:r>
        <w:r w:rsidR="00C74523">
          <w:rPr>
            <w:noProof/>
            <w:webHidden/>
          </w:rPr>
          <w:instrText xml:space="preserve"> PAGEREF _Toc163644859 \h </w:instrText>
        </w:r>
        <w:r w:rsidR="00C74523">
          <w:rPr>
            <w:noProof/>
            <w:webHidden/>
          </w:rPr>
        </w:r>
        <w:r w:rsidR="00C74523">
          <w:rPr>
            <w:noProof/>
            <w:webHidden/>
          </w:rPr>
          <w:fldChar w:fldCharType="separate"/>
        </w:r>
        <w:r>
          <w:rPr>
            <w:noProof/>
            <w:webHidden/>
          </w:rPr>
          <w:t>24</w:t>
        </w:r>
        <w:r w:rsidR="00C74523">
          <w:rPr>
            <w:noProof/>
            <w:webHidden/>
          </w:rPr>
          <w:fldChar w:fldCharType="end"/>
        </w:r>
      </w:hyperlink>
    </w:p>
    <w:p w14:paraId="653AF7BD" w14:textId="76F6D3D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60" w:history="1">
        <w:r w:rsidR="00C74523" w:rsidRPr="00A66C95">
          <w:rPr>
            <w:rStyle w:val="Hyperlink"/>
            <w:noProof/>
          </w:rPr>
          <w:t>Log into VBECS and VistA</w:t>
        </w:r>
        <w:r w:rsidR="00C74523">
          <w:rPr>
            <w:noProof/>
            <w:webHidden/>
          </w:rPr>
          <w:tab/>
        </w:r>
        <w:r w:rsidR="00C74523">
          <w:rPr>
            <w:noProof/>
            <w:webHidden/>
          </w:rPr>
          <w:fldChar w:fldCharType="begin"/>
        </w:r>
        <w:r w:rsidR="00C74523">
          <w:rPr>
            <w:noProof/>
            <w:webHidden/>
          </w:rPr>
          <w:instrText xml:space="preserve"> PAGEREF _Toc163644860 \h </w:instrText>
        </w:r>
        <w:r w:rsidR="00C74523">
          <w:rPr>
            <w:noProof/>
            <w:webHidden/>
          </w:rPr>
        </w:r>
        <w:r w:rsidR="00C74523">
          <w:rPr>
            <w:noProof/>
            <w:webHidden/>
          </w:rPr>
          <w:fldChar w:fldCharType="separate"/>
        </w:r>
        <w:r>
          <w:rPr>
            <w:noProof/>
            <w:webHidden/>
          </w:rPr>
          <w:t>24</w:t>
        </w:r>
        <w:r w:rsidR="00C74523">
          <w:rPr>
            <w:noProof/>
            <w:webHidden/>
          </w:rPr>
          <w:fldChar w:fldCharType="end"/>
        </w:r>
      </w:hyperlink>
    </w:p>
    <w:p w14:paraId="223EF177" w14:textId="23D4E913"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61" w:history="1">
        <w:r w:rsidR="00C74523" w:rsidRPr="00A66C95">
          <w:rPr>
            <w:rStyle w:val="Hyperlink"/>
            <w:noProof/>
          </w:rPr>
          <w:t>Closing VBECS</w:t>
        </w:r>
        <w:r w:rsidR="00C74523">
          <w:rPr>
            <w:noProof/>
            <w:webHidden/>
          </w:rPr>
          <w:tab/>
        </w:r>
        <w:r w:rsidR="00C74523">
          <w:rPr>
            <w:noProof/>
            <w:webHidden/>
          </w:rPr>
          <w:fldChar w:fldCharType="begin"/>
        </w:r>
        <w:r w:rsidR="00C74523">
          <w:rPr>
            <w:noProof/>
            <w:webHidden/>
          </w:rPr>
          <w:instrText xml:space="preserve"> PAGEREF _Toc163644861 \h </w:instrText>
        </w:r>
        <w:r w:rsidR="00C74523">
          <w:rPr>
            <w:noProof/>
            <w:webHidden/>
          </w:rPr>
        </w:r>
        <w:r w:rsidR="00C74523">
          <w:rPr>
            <w:noProof/>
            <w:webHidden/>
          </w:rPr>
          <w:fldChar w:fldCharType="separate"/>
        </w:r>
        <w:r>
          <w:rPr>
            <w:noProof/>
            <w:webHidden/>
          </w:rPr>
          <w:t>28</w:t>
        </w:r>
        <w:r w:rsidR="00C74523">
          <w:rPr>
            <w:noProof/>
            <w:webHidden/>
          </w:rPr>
          <w:fldChar w:fldCharType="end"/>
        </w:r>
      </w:hyperlink>
    </w:p>
    <w:p w14:paraId="63C239F8" w14:textId="67B927E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62" w:history="1">
        <w:r w:rsidR="00C74523" w:rsidRPr="00A66C95">
          <w:rPr>
            <w:rStyle w:val="Hyperlink"/>
            <w:noProof/>
          </w:rPr>
          <w:t>Application Windows</w:t>
        </w:r>
        <w:r w:rsidR="00C74523">
          <w:rPr>
            <w:noProof/>
            <w:webHidden/>
          </w:rPr>
          <w:tab/>
        </w:r>
        <w:r w:rsidR="00C74523">
          <w:rPr>
            <w:noProof/>
            <w:webHidden/>
          </w:rPr>
          <w:fldChar w:fldCharType="begin"/>
        </w:r>
        <w:r w:rsidR="00C74523">
          <w:rPr>
            <w:noProof/>
            <w:webHidden/>
          </w:rPr>
          <w:instrText xml:space="preserve"> PAGEREF _Toc163644862 \h </w:instrText>
        </w:r>
        <w:r w:rsidR="00C74523">
          <w:rPr>
            <w:noProof/>
            <w:webHidden/>
          </w:rPr>
        </w:r>
        <w:r w:rsidR="00C74523">
          <w:rPr>
            <w:noProof/>
            <w:webHidden/>
          </w:rPr>
          <w:fldChar w:fldCharType="separate"/>
        </w:r>
        <w:r>
          <w:rPr>
            <w:noProof/>
            <w:webHidden/>
          </w:rPr>
          <w:t>31</w:t>
        </w:r>
        <w:r w:rsidR="00C74523">
          <w:rPr>
            <w:noProof/>
            <w:webHidden/>
          </w:rPr>
          <w:fldChar w:fldCharType="end"/>
        </w:r>
      </w:hyperlink>
    </w:p>
    <w:p w14:paraId="2D36D3D5" w14:textId="4DAAFA7F"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63" w:history="1">
        <w:r w:rsidR="00C74523" w:rsidRPr="00A66C95">
          <w:rPr>
            <w:rStyle w:val="Hyperlink"/>
            <w:noProof/>
          </w:rPr>
          <w:t>Keyboard Shortcuts for Windows</w:t>
        </w:r>
        <w:r w:rsidR="00C74523">
          <w:rPr>
            <w:noProof/>
            <w:webHidden/>
          </w:rPr>
          <w:tab/>
        </w:r>
        <w:r w:rsidR="00C74523">
          <w:rPr>
            <w:noProof/>
            <w:webHidden/>
          </w:rPr>
          <w:fldChar w:fldCharType="begin"/>
        </w:r>
        <w:r w:rsidR="00C74523">
          <w:rPr>
            <w:noProof/>
            <w:webHidden/>
          </w:rPr>
          <w:instrText xml:space="preserve"> PAGEREF _Toc163644863 \h </w:instrText>
        </w:r>
        <w:r w:rsidR="00C74523">
          <w:rPr>
            <w:noProof/>
            <w:webHidden/>
          </w:rPr>
        </w:r>
        <w:r w:rsidR="00C74523">
          <w:rPr>
            <w:noProof/>
            <w:webHidden/>
          </w:rPr>
          <w:fldChar w:fldCharType="separate"/>
        </w:r>
        <w:r>
          <w:rPr>
            <w:noProof/>
            <w:webHidden/>
          </w:rPr>
          <w:t>32</w:t>
        </w:r>
        <w:r w:rsidR="00C74523">
          <w:rPr>
            <w:noProof/>
            <w:webHidden/>
          </w:rPr>
          <w:fldChar w:fldCharType="end"/>
        </w:r>
      </w:hyperlink>
    </w:p>
    <w:p w14:paraId="2B696C12" w14:textId="6AE0E7CE"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64" w:history="1">
        <w:r w:rsidR="00C74523" w:rsidRPr="00A66C95">
          <w:rPr>
            <w:rStyle w:val="Hyperlink"/>
            <w:noProof/>
          </w:rPr>
          <w:t>Drop-Down Menus</w:t>
        </w:r>
        <w:r w:rsidR="00C74523">
          <w:rPr>
            <w:noProof/>
            <w:webHidden/>
          </w:rPr>
          <w:tab/>
        </w:r>
        <w:r w:rsidR="00C74523">
          <w:rPr>
            <w:noProof/>
            <w:webHidden/>
          </w:rPr>
          <w:fldChar w:fldCharType="begin"/>
        </w:r>
        <w:r w:rsidR="00C74523">
          <w:rPr>
            <w:noProof/>
            <w:webHidden/>
          </w:rPr>
          <w:instrText xml:space="preserve"> PAGEREF _Toc163644864 \h </w:instrText>
        </w:r>
        <w:r w:rsidR="00C74523">
          <w:rPr>
            <w:noProof/>
            <w:webHidden/>
          </w:rPr>
        </w:r>
        <w:r w:rsidR="00C74523">
          <w:rPr>
            <w:noProof/>
            <w:webHidden/>
          </w:rPr>
          <w:fldChar w:fldCharType="separate"/>
        </w:r>
        <w:r>
          <w:rPr>
            <w:noProof/>
            <w:webHidden/>
          </w:rPr>
          <w:t>33</w:t>
        </w:r>
        <w:r w:rsidR="00C74523">
          <w:rPr>
            <w:noProof/>
            <w:webHidden/>
          </w:rPr>
          <w:fldChar w:fldCharType="end"/>
        </w:r>
      </w:hyperlink>
    </w:p>
    <w:p w14:paraId="0663B247" w14:textId="4687297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65" w:history="1">
        <w:r w:rsidR="00C74523" w:rsidRPr="00A66C95">
          <w:rPr>
            <w:rStyle w:val="Hyperlink"/>
            <w:noProof/>
          </w:rPr>
          <w:t>Tool Tips</w:t>
        </w:r>
        <w:r w:rsidR="00C74523">
          <w:rPr>
            <w:noProof/>
            <w:webHidden/>
          </w:rPr>
          <w:tab/>
        </w:r>
        <w:r w:rsidR="00C74523">
          <w:rPr>
            <w:noProof/>
            <w:webHidden/>
          </w:rPr>
          <w:fldChar w:fldCharType="begin"/>
        </w:r>
        <w:r w:rsidR="00C74523">
          <w:rPr>
            <w:noProof/>
            <w:webHidden/>
          </w:rPr>
          <w:instrText xml:space="preserve"> PAGEREF _Toc163644865 \h </w:instrText>
        </w:r>
        <w:r w:rsidR="00C74523">
          <w:rPr>
            <w:noProof/>
            <w:webHidden/>
          </w:rPr>
        </w:r>
        <w:r w:rsidR="00C74523">
          <w:rPr>
            <w:noProof/>
            <w:webHidden/>
          </w:rPr>
          <w:fldChar w:fldCharType="separate"/>
        </w:r>
        <w:r>
          <w:rPr>
            <w:noProof/>
            <w:webHidden/>
          </w:rPr>
          <w:t>33</w:t>
        </w:r>
        <w:r w:rsidR="00C74523">
          <w:rPr>
            <w:noProof/>
            <w:webHidden/>
          </w:rPr>
          <w:fldChar w:fldCharType="end"/>
        </w:r>
      </w:hyperlink>
    </w:p>
    <w:p w14:paraId="39BB0910" w14:textId="1BBF72EF"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66" w:history="1">
        <w:r w:rsidR="00C74523" w:rsidRPr="00A66C95">
          <w:rPr>
            <w:rStyle w:val="Hyperlink"/>
            <w:noProof/>
          </w:rPr>
          <w:t>Icons and Buttons</w:t>
        </w:r>
        <w:r w:rsidR="00C74523">
          <w:rPr>
            <w:noProof/>
            <w:webHidden/>
          </w:rPr>
          <w:tab/>
        </w:r>
        <w:r w:rsidR="00C74523">
          <w:rPr>
            <w:noProof/>
            <w:webHidden/>
          </w:rPr>
          <w:fldChar w:fldCharType="begin"/>
        </w:r>
        <w:r w:rsidR="00C74523">
          <w:rPr>
            <w:noProof/>
            <w:webHidden/>
          </w:rPr>
          <w:instrText xml:space="preserve"> PAGEREF _Toc163644866 \h </w:instrText>
        </w:r>
        <w:r w:rsidR="00C74523">
          <w:rPr>
            <w:noProof/>
            <w:webHidden/>
          </w:rPr>
        </w:r>
        <w:r w:rsidR="00C74523">
          <w:rPr>
            <w:noProof/>
            <w:webHidden/>
          </w:rPr>
          <w:fldChar w:fldCharType="separate"/>
        </w:r>
        <w:r>
          <w:rPr>
            <w:noProof/>
            <w:webHidden/>
          </w:rPr>
          <w:t>33</w:t>
        </w:r>
        <w:r w:rsidR="00C74523">
          <w:rPr>
            <w:noProof/>
            <w:webHidden/>
          </w:rPr>
          <w:fldChar w:fldCharType="end"/>
        </w:r>
      </w:hyperlink>
    </w:p>
    <w:p w14:paraId="5757784A" w14:textId="5DDEF0BD"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67" w:history="1">
        <w:r w:rsidR="00C74523" w:rsidRPr="00A66C95">
          <w:rPr>
            <w:rStyle w:val="Hyperlink"/>
            <w:noProof/>
          </w:rPr>
          <w:t>Toolbars</w:t>
        </w:r>
        <w:r w:rsidR="00C74523">
          <w:rPr>
            <w:noProof/>
            <w:webHidden/>
          </w:rPr>
          <w:tab/>
        </w:r>
        <w:r w:rsidR="00C74523">
          <w:rPr>
            <w:noProof/>
            <w:webHidden/>
          </w:rPr>
          <w:fldChar w:fldCharType="begin"/>
        </w:r>
        <w:r w:rsidR="00C74523">
          <w:rPr>
            <w:noProof/>
            <w:webHidden/>
          </w:rPr>
          <w:instrText xml:space="preserve"> PAGEREF _Toc163644867 \h </w:instrText>
        </w:r>
        <w:r w:rsidR="00C74523">
          <w:rPr>
            <w:noProof/>
            <w:webHidden/>
          </w:rPr>
        </w:r>
        <w:r w:rsidR="00C74523">
          <w:rPr>
            <w:noProof/>
            <w:webHidden/>
          </w:rPr>
          <w:fldChar w:fldCharType="separate"/>
        </w:r>
        <w:r>
          <w:rPr>
            <w:noProof/>
            <w:webHidden/>
          </w:rPr>
          <w:t>34</w:t>
        </w:r>
        <w:r w:rsidR="00C74523">
          <w:rPr>
            <w:noProof/>
            <w:webHidden/>
          </w:rPr>
          <w:fldChar w:fldCharType="end"/>
        </w:r>
      </w:hyperlink>
    </w:p>
    <w:p w14:paraId="51AE81AE" w14:textId="72333C85"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68" w:history="1">
        <w:r w:rsidR="00C74523" w:rsidRPr="00A66C95">
          <w:rPr>
            <w:rStyle w:val="Hyperlink"/>
            <w:noProof/>
          </w:rPr>
          <w:t>Patient Information Toolbar</w:t>
        </w:r>
        <w:r w:rsidR="00C74523">
          <w:rPr>
            <w:noProof/>
            <w:webHidden/>
          </w:rPr>
          <w:tab/>
        </w:r>
        <w:r w:rsidR="00C74523">
          <w:rPr>
            <w:noProof/>
            <w:webHidden/>
          </w:rPr>
          <w:fldChar w:fldCharType="begin"/>
        </w:r>
        <w:r w:rsidR="00C74523">
          <w:rPr>
            <w:noProof/>
            <w:webHidden/>
          </w:rPr>
          <w:instrText xml:space="preserve"> PAGEREF _Toc163644868 \h </w:instrText>
        </w:r>
        <w:r w:rsidR="00C74523">
          <w:rPr>
            <w:noProof/>
            <w:webHidden/>
          </w:rPr>
        </w:r>
        <w:r w:rsidR="00C74523">
          <w:rPr>
            <w:noProof/>
            <w:webHidden/>
          </w:rPr>
          <w:fldChar w:fldCharType="separate"/>
        </w:r>
        <w:r>
          <w:rPr>
            <w:noProof/>
            <w:webHidden/>
          </w:rPr>
          <w:t>35</w:t>
        </w:r>
        <w:r w:rsidR="00C74523">
          <w:rPr>
            <w:noProof/>
            <w:webHidden/>
          </w:rPr>
          <w:fldChar w:fldCharType="end"/>
        </w:r>
      </w:hyperlink>
    </w:p>
    <w:p w14:paraId="2EB1BF09" w14:textId="1AE2F2CA"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69" w:history="1">
        <w:r w:rsidR="00C74523" w:rsidRPr="00A66C95">
          <w:rPr>
            <w:rStyle w:val="Hyperlink"/>
            <w:noProof/>
          </w:rPr>
          <w:drawing>
            <wp:inline distT="0" distB="0" distL="0" distR="0" wp14:anchorId="36A5BB63" wp14:editId="0F129404">
              <wp:extent cx="156845" cy="156845"/>
              <wp:effectExtent l="0" t="0" r="0" b="0"/>
              <wp:docPr id="157" name="Picture 157" descr="Blood Availability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lood Availability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C74523" w:rsidRPr="00A66C95">
          <w:rPr>
            <w:rStyle w:val="Hyperlink"/>
            <w:noProof/>
          </w:rPr>
          <w:t xml:space="preserve"> Patient Blood Availability</w:t>
        </w:r>
        <w:r w:rsidR="00C74523">
          <w:rPr>
            <w:noProof/>
            <w:webHidden/>
          </w:rPr>
          <w:tab/>
        </w:r>
        <w:r w:rsidR="00C74523">
          <w:rPr>
            <w:noProof/>
            <w:webHidden/>
          </w:rPr>
          <w:fldChar w:fldCharType="begin"/>
        </w:r>
        <w:r w:rsidR="00C74523">
          <w:rPr>
            <w:noProof/>
            <w:webHidden/>
          </w:rPr>
          <w:instrText xml:space="preserve"> PAGEREF _Toc163644869 \h </w:instrText>
        </w:r>
        <w:r w:rsidR="00C74523">
          <w:rPr>
            <w:noProof/>
            <w:webHidden/>
          </w:rPr>
        </w:r>
        <w:r w:rsidR="00C74523">
          <w:rPr>
            <w:noProof/>
            <w:webHidden/>
          </w:rPr>
          <w:fldChar w:fldCharType="separate"/>
        </w:r>
        <w:r>
          <w:rPr>
            <w:noProof/>
            <w:webHidden/>
          </w:rPr>
          <w:t>35</w:t>
        </w:r>
        <w:r w:rsidR="00C74523">
          <w:rPr>
            <w:noProof/>
            <w:webHidden/>
          </w:rPr>
          <w:fldChar w:fldCharType="end"/>
        </w:r>
      </w:hyperlink>
    </w:p>
    <w:p w14:paraId="73FA9967" w14:textId="10D00AF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70" w:history="1">
        <w:r w:rsidR="00C74523" w:rsidRPr="00A66C95">
          <w:rPr>
            <w:rStyle w:val="Hyperlink"/>
            <w:noProof/>
          </w:rPr>
          <w:drawing>
            <wp:inline distT="0" distB="0" distL="0" distR="0" wp14:anchorId="56C52921" wp14:editId="64C7C25C">
              <wp:extent cx="156845" cy="193675"/>
              <wp:effectExtent l="0" t="0" r="0" b="0"/>
              <wp:docPr id="158" name="Picture 158" descr="Medication Pro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edication Profile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C74523" w:rsidRPr="00A66C95">
          <w:rPr>
            <w:rStyle w:val="Hyperlink"/>
            <w:noProof/>
          </w:rPr>
          <w:t xml:space="preserve"> Medication Profile</w:t>
        </w:r>
        <w:r w:rsidR="00C74523">
          <w:rPr>
            <w:noProof/>
            <w:webHidden/>
          </w:rPr>
          <w:tab/>
        </w:r>
        <w:r w:rsidR="00C74523">
          <w:rPr>
            <w:noProof/>
            <w:webHidden/>
          </w:rPr>
          <w:fldChar w:fldCharType="begin"/>
        </w:r>
        <w:r w:rsidR="00C74523">
          <w:rPr>
            <w:noProof/>
            <w:webHidden/>
          </w:rPr>
          <w:instrText xml:space="preserve"> PAGEREF _Toc163644870 \h </w:instrText>
        </w:r>
        <w:r w:rsidR="00C74523">
          <w:rPr>
            <w:noProof/>
            <w:webHidden/>
          </w:rPr>
        </w:r>
        <w:r w:rsidR="00C74523">
          <w:rPr>
            <w:noProof/>
            <w:webHidden/>
          </w:rPr>
          <w:fldChar w:fldCharType="separate"/>
        </w:r>
        <w:r>
          <w:rPr>
            <w:noProof/>
            <w:webHidden/>
          </w:rPr>
          <w:t>36</w:t>
        </w:r>
        <w:r w:rsidR="00C74523">
          <w:rPr>
            <w:noProof/>
            <w:webHidden/>
          </w:rPr>
          <w:fldChar w:fldCharType="end"/>
        </w:r>
      </w:hyperlink>
    </w:p>
    <w:p w14:paraId="6FDBFC27" w14:textId="246BAE57"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71" w:history="1">
        <w:r w:rsidR="00C74523" w:rsidRPr="00A66C95">
          <w:rPr>
            <w:rStyle w:val="Hyperlink"/>
            <w:noProof/>
          </w:rPr>
          <w:drawing>
            <wp:inline distT="0" distB="0" distL="0" distR="0" wp14:anchorId="5E78286C" wp14:editId="42B3B1BE">
              <wp:extent cx="156845" cy="156845"/>
              <wp:effectExtent l="0" t="0" r="0" b="0"/>
              <wp:docPr id="159" name="Picture 159"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C74523" w:rsidRPr="00A66C95">
          <w:rPr>
            <w:rStyle w:val="Hyperlink"/>
            <w:noProof/>
          </w:rPr>
          <w:t xml:space="preserve"> View Special Instructions and Transfusion Requirements</w:t>
        </w:r>
        <w:r w:rsidR="00C74523">
          <w:rPr>
            <w:noProof/>
            <w:webHidden/>
          </w:rPr>
          <w:tab/>
        </w:r>
        <w:r w:rsidR="00C74523">
          <w:rPr>
            <w:noProof/>
            <w:webHidden/>
          </w:rPr>
          <w:fldChar w:fldCharType="begin"/>
        </w:r>
        <w:r w:rsidR="00C74523">
          <w:rPr>
            <w:noProof/>
            <w:webHidden/>
          </w:rPr>
          <w:instrText xml:space="preserve"> PAGEREF _Toc163644871 \h </w:instrText>
        </w:r>
        <w:r w:rsidR="00C74523">
          <w:rPr>
            <w:noProof/>
            <w:webHidden/>
          </w:rPr>
        </w:r>
        <w:r w:rsidR="00C74523">
          <w:rPr>
            <w:noProof/>
            <w:webHidden/>
          </w:rPr>
          <w:fldChar w:fldCharType="separate"/>
        </w:r>
        <w:r>
          <w:rPr>
            <w:noProof/>
            <w:webHidden/>
          </w:rPr>
          <w:t>37</w:t>
        </w:r>
        <w:r w:rsidR="00C74523">
          <w:rPr>
            <w:noProof/>
            <w:webHidden/>
          </w:rPr>
          <w:fldChar w:fldCharType="end"/>
        </w:r>
      </w:hyperlink>
    </w:p>
    <w:p w14:paraId="65654832" w14:textId="3472A503"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72" w:history="1">
        <w:r w:rsidR="00C74523" w:rsidRPr="00A66C95">
          <w:rPr>
            <w:rStyle w:val="Hyperlink"/>
            <w:noProof/>
          </w:rPr>
          <w:t>View Recent Orders, Recent Transfusions/Issued Units, and Transfusion Reaction History</w:t>
        </w:r>
        <w:r w:rsidR="00C74523">
          <w:rPr>
            <w:noProof/>
            <w:webHidden/>
          </w:rPr>
          <w:tab/>
        </w:r>
        <w:r w:rsidR="00C74523">
          <w:rPr>
            <w:noProof/>
            <w:webHidden/>
          </w:rPr>
          <w:fldChar w:fldCharType="begin"/>
        </w:r>
        <w:r w:rsidR="00C74523">
          <w:rPr>
            <w:noProof/>
            <w:webHidden/>
          </w:rPr>
          <w:instrText xml:space="preserve"> PAGEREF _Toc163644872 \h </w:instrText>
        </w:r>
        <w:r w:rsidR="00C74523">
          <w:rPr>
            <w:noProof/>
            <w:webHidden/>
          </w:rPr>
        </w:r>
        <w:r w:rsidR="00C74523">
          <w:rPr>
            <w:noProof/>
            <w:webHidden/>
          </w:rPr>
          <w:fldChar w:fldCharType="separate"/>
        </w:r>
        <w:r>
          <w:rPr>
            <w:noProof/>
            <w:webHidden/>
          </w:rPr>
          <w:t>39</w:t>
        </w:r>
        <w:r w:rsidR="00C74523">
          <w:rPr>
            <w:noProof/>
            <w:webHidden/>
          </w:rPr>
          <w:fldChar w:fldCharType="end"/>
        </w:r>
      </w:hyperlink>
    </w:p>
    <w:p w14:paraId="798F92E2" w14:textId="51AF2CD6"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73" w:history="1">
        <w:r w:rsidR="00C74523" w:rsidRPr="00A66C95">
          <w:rPr>
            <w:rStyle w:val="Hyperlink"/>
            <w:noProof/>
          </w:rPr>
          <w:drawing>
            <wp:inline distT="0" distB="0" distL="0" distR="0" wp14:anchorId="02B69F31" wp14:editId="3305D41F">
              <wp:extent cx="156845" cy="156845"/>
              <wp:effectExtent l="0" t="0" r="0" b="0"/>
              <wp:docPr id="226" name="Picture 226" descr="Recent Ord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ecent Orders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C74523" w:rsidRPr="00A66C95">
          <w:rPr>
            <w:rStyle w:val="Hyperlink"/>
            <w:noProof/>
          </w:rPr>
          <w:t xml:space="preserve"> Patient Information Toolbar: Recent Orders</w:t>
        </w:r>
        <w:r w:rsidR="00C74523">
          <w:rPr>
            <w:noProof/>
            <w:webHidden/>
          </w:rPr>
          <w:tab/>
        </w:r>
        <w:r w:rsidR="00C74523">
          <w:rPr>
            <w:noProof/>
            <w:webHidden/>
          </w:rPr>
          <w:fldChar w:fldCharType="begin"/>
        </w:r>
        <w:r w:rsidR="00C74523">
          <w:rPr>
            <w:noProof/>
            <w:webHidden/>
          </w:rPr>
          <w:instrText xml:space="preserve"> PAGEREF _Toc163644873 \h </w:instrText>
        </w:r>
        <w:r w:rsidR="00C74523">
          <w:rPr>
            <w:noProof/>
            <w:webHidden/>
          </w:rPr>
        </w:r>
        <w:r w:rsidR="00C74523">
          <w:rPr>
            <w:noProof/>
            <w:webHidden/>
          </w:rPr>
          <w:fldChar w:fldCharType="separate"/>
        </w:r>
        <w:r>
          <w:rPr>
            <w:noProof/>
            <w:webHidden/>
          </w:rPr>
          <w:t>39</w:t>
        </w:r>
        <w:r w:rsidR="00C74523">
          <w:rPr>
            <w:noProof/>
            <w:webHidden/>
          </w:rPr>
          <w:fldChar w:fldCharType="end"/>
        </w:r>
      </w:hyperlink>
    </w:p>
    <w:p w14:paraId="1402D773" w14:textId="6F2B32FF"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74" w:history="1">
        <w:r w:rsidR="00C74523" w:rsidRPr="00A66C95">
          <w:rPr>
            <w:rStyle w:val="Hyperlink"/>
            <w:noProof/>
          </w:rPr>
          <w:drawing>
            <wp:inline distT="0" distB="0" distL="0" distR="0" wp14:anchorId="01A78162" wp14:editId="121B4819">
              <wp:extent cx="156845" cy="156845"/>
              <wp:effectExtent l="0" t="0" r="0" b="0"/>
              <wp:docPr id="244" name="Picture 244" descr="Recent Transfusions/Issued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cent Transfusions/Issued Unit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C74523" w:rsidRPr="00A66C95">
          <w:rPr>
            <w:rStyle w:val="Hyperlink"/>
            <w:noProof/>
          </w:rPr>
          <w:t xml:space="preserve"> Patient Information Toolbar: Recent Transfusions/Issued Units</w:t>
        </w:r>
        <w:r w:rsidR="00C74523">
          <w:rPr>
            <w:noProof/>
            <w:webHidden/>
          </w:rPr>
          <w:tab/>
        </w:r>
        <w:r w:rsidR="00C74523">
          <w:rPr>
            <w:noProof/>
            <w:webHidden/>
          </w:rPr>
          <w:fldChar w:fldCharType="begin"/>
        </w:r>
        <w:r w:rsidR="00C74523">
          <w:rPr>
            <w:noProof/>
            <w:webHidden/>
          </w:rPr>
          <w:instrText xml:space="preserve"> PAGEREF _Toc163644874 \h </w:instrText>
        </w:r>
        <w:r w:rsidR="00C74523">
          <w:rPr>
            <w:noProof/>
            <w:webHidden/>
          </w:rPr>
        </w:r>
        <w:r w:rsidR="00C74523">
          <w:rPr>
            <w:noProof/>
            <w:webHidden/>
          </w:rPr>
          <w:fldChar w:fldCharType="separate"/>
        </w:r>
        <w:r>
          <w:rPr>
            <w:noProof/>
            <w:webHidden/>
          </w:rPr>
          <w:t>40</w:t>
        </w:r>
        <w:r w:rsidR="00C74523">
          <w:rPr>
            <w:noProof/>
            <w:webHidden/>
          </w:rPr>
          <w:fldChar w:fldCharType="end"/>
        </w:r>
      </w:hyperlink>
    </w:p>
    <w:p w14:paraId="4C100741" w14:textId="108ED611"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75" w:history="1">
        <w:r w:rsidR="00C74523" w:rsidRPr="00A66C95">
          <w:rPr>
            <w:rStyle w:val="Hyperlink"/>
            <w:noProof/>
          </w:rPr>
          <w:drawing>
            <wp:inline distT="0" distB="0" distL="0" distR="0" wp14:anchorId="3BA9A31A" wp14:editId="75E2EE60">
              <wp:extent cx="156845" cy="156845"/>
              <wp:effectExtent l="0" t="0" r="0" b="0"/>
              <wp:docPr id="245" name="Picture 245" descr="Transfusion Reaction Hist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ransfusion Reaction History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C74523" w:rsidRPr="00A66C95">
          <w:rPr>
            <w:rStyle w:val="Hyperlink"/>
            <w:noProof/>
          </w:rPr>
          <w:t xml:space="preserve"> Patient Information Toolbar: Transfusion Reaction History</w:t>
        </w:r>
        <w:r w:rsidR="00C74523">
          <w:rPr>
            <w:noProof/>
            <w:webHidden/>
          </w:rPr>
          <w:tab/>
        </w:r>
        <w:r w:rsidR="00C74523">
          <w:rPr>
            <w:noProof/>
            <w:webHidden/>
          </w:rPr>
          <w:fldChar w:fldCharType="begin"/>
        </w:r>
        <w:r w:rsidR="00C74523">
          <w:rPr>
            <w:noProof/>
            <w:webHidden/>
          </w:rPr>
          <w:instrText xml:space="preserve"> PAGEREF _Toc163644875 \h </w:instrText>
        </w:r>
        <w:r w:rsidR="00C74523">
          <w:rPr>
            <w:noProof/>
            <w:webHidden/>
          </w:rPr>
        </w:r>
        <w:r w:rsidR="00C74523">
          <w:rPr>
            <w:noProof/>
            <w:webHidden/>
          </w:rPr>
          <w:fldChar w:fldCharType="separate"/>
        </w:r>
        <w:r>
          <w:rPr>
            <w:noProof/>
            <w:webHidden/>
          </w:rPr>
          <w:t>40</w:t>
        </w:r>
        <w:r w:rsidR="00C74523">
          <w:rPr>
            <w:noProof/>
            <w:webHidden/>
          </w:rPr>
          <w:fldChar w:fldCharType="end"/>
        </w:r>
      </w:hyperlink>
    </w:p>
    <w:p w14:paraId="1DF33676" w14:textId="524A5489"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76" w:history="1">
        <w:r w:rsidR="00C74523" w:rsidRPr="00A66C95">
          <w:rPr>
            <w:rStyle w:val="Hyperlink"/>
            <w:noProof/>
          </w:rPr>
          <w:t>Main Status Bar</w:t>
        </w:r>
        <w:r w:rsidR="00C74523">
          <w:rPr>
            <w:noProof/>
            <w:webHidden/>
          </w:rPr>
          <w:tab/>
        </w:r>
        <w:r w:rsidR="00C74523">
          <w:rPr>
            <w:noProof/>
            <w:webHidden/>
          </w:rPr>
          <w:fldChar w:fldCharType="begin"/>
        </w:r>
        <w:r w:rsidR="00C74523">
          <w:rPr>
            <w:noProof/>
            <w:webHidden/>
          </w:rPr>
          <w:instrText xml:space="preserve"> PAGEREF _Toc163644876 \h </w:instrText>
        </w:r>
        <w:r w:rsidR="00C74523">
          <w:rPr>
            <w:noProof/>
            <w:webHidden/>
          </w:rPr>
        </w:r>
        <w:r w:rsidR="00C74523">
          <w:rPr>
            <w:noProof/>
            <w:webHidden/>
          </w:rPr>
          <w:fldChar w:fldCharType="separate"/>
        </w:r>
        <w:r>
          <w:rPr>
            <w:noProof/>
            <w:webHidden/>
          </w:rPr>
          <w:t>41</w:t>
        </w:r>
        <w:r w:rsidR="00C74523">
          <w:rPr>
            <w:noProof/>
            <w:webHidden/>
          </w:rPr>
          <w:fldChar w:fldCharType="end"/>
        </w:r>
      </w:hyperlink>
    </w:p>
    <w:p w14:paraId="167D0B49" w14:textId="1512ABF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77" w:history="1">
        <w:r w:rsidR="00C74523" w:rsidRPr="00A66C95">
          <w:rPr>
            <w:rStyle w:val="Hyperlink"/>
            <w:noProof/>
          </w:rPr>
          <w:t>Throughout VBECS</w:t>
        </w:r>
        <w:r w:rsidR="00C74523">
          <w:rPr>
            <w:noProof/>
            <w:webHidden/>
          </w:rPr>
          <w:tab/>
        </w:r>
        <w:r w:rsidR="00C74523">
          <w:rPr>
            <w:noProof/>
            <w:webHidden/>
          </w:rPr>
          <w:fldChar w:fldCharType="begin"/>
        </w:r>
        <w:r w:rsidR="00C74523">
          <w:rPr>
            <w:noProof/>
            <w:webHidden/>
          </w:rPr>
          <w:instrText xml:space="preserve"> PAGEREF _Toc163644877 \h </w:instrText>
        </w:r>
        <w:r w:rsidR="00C74523">
          <w:rPr>
            <w:noProof/>
            <w:webHidden/>
          </w:rPr>
        </w:r>
        <w:r w:rsidR="00C74523">
          <w:rPr>
            <w:noProof/>
            <w:webHidden/>
          </w:rPr>
          <w:fldChar w:fldCharType="separate"/>
        </w:r>
        <w:r>
          <w:rPr>
            <w:noProof/>
            <w:webHidden/>
          </w:rPr>
          <w:t>41</w:t>
        </w:r>
        <w:r w:rsidR="00C74523">
          <w:rPr>
            <w:noProof/>
            <w:webHidden/>
          </w:rPr>
          <w:fldChar w:fldCharType="end"/>
        </w:r>
      </w:hyperlink>
    </w:p>
    <w:p w14:paraId="5626AEC2" w14:textId="21194C5A"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78" w:history="1">
        <w:r w:rsidR="00C74523" w:rsidRPr="00A66C95">
          <w:rPr>
            <w:rStyle w:val="Hyperlink"/>
            <w:noProof/>
          </w:rPr>
          <w:t>VBECS Read-Only</w:t>
        </w:r>
        <w:r w:rsidR="00C74523">
          <w:rPr>
            <w:noProof/>
            <w:webHidden/>
          </w:rPr>
          <w:tab/>
        </w:r>
        <w:r w:rsidR="00C74523">
          <w:rPr>
            <w:noProof/>
            <w:webHidden/>
          </w:rPr>
          <w:fldChar w:fldCharType="begin"/>
        </w:r>
        <w:r w:rsidR="00C74523">
          <w:rPr>
            <w:noProof/>
            <w:webHidden/>
          </w:rPr>
          <w:instrText xml:space="preserve"> PAGEREF _Toc163644878 \h </w:instrText>
        </w:r>
        <w:r w:rsidR="00C74523">
          <w:rPr>
            <w:noProof/>
            <w:webHidden/>
          </w:rPr>
        </w:r>
        <w:r w:rsidR="00C74523">
          <w:rPr>
            <w:noProof/>
            <w:webHidden/>
          </w:rPr>
          <w:fldChar w:fldCharType="separate"/>
        </w:r>
        <w:r>
          <w:rPr>
            <w:noProof/>
            <w:webHidden/>
          </w:rPr>
          <w:t>42</w:t>
        </w:r>
        <w:r w:rsidR="00C74523">
          <w:rPr>
            <w:noProof/>
            <w:webHidden/>
          </w:rPr>
          <w:fldChar w:fldCharType="end"/>
        </w:r>
      </w:hyperlink>
    </w:p>
    <w:p w14:paraId="250B2E02" w14:textId="34C9647E"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79" w:history="1">
        <w:r w:rsidR="00C74523" w:rsidRPr="00A66C95">
          <w:rPr>
            <w:rStyle w:val="Hyperlink"/>
            <w:noProof/>
          </w:rPr>
          <w:t>Other VBECS Functions</w:t>
        </w:r>
        <w:r w:rsidR="00C74523">
          <w:rPr>
            <w:noProof/>
            <w:webHidden/>
          </w:rPr>
          <w:tab/>
        </w:r>
        <w:r w:rsidR="00C74523">
          <w:rPr>
            <w:noProof/>
            <w:webHidden/>
          </w:rPr>
          <w:fldChar w:fldCharType="begin"/>
        </w:r>
        <w:r w:rsidR="00C74523">
          <w:rPr>
            <w:noProof/>
            <w:webHidden/>
          </w:rPr>
          <w:instrText xml:space="preserve"> PAGEREF _Toc163644879 \h </w:instrText>
        </w:r>
        <w:r w:rsidR="00C74523">
          <w:rPr>
            <w:noProof/>
            <w:webHidden/>
          </w:rPr>
        </w:r>
        <w:r w:rsidR="00C74523">
          <w:rPr>
            <w:noProof/>
            <w:webHidden/>
          </w:rPr>
          <w:fldChar w:fldCharType="separate"/>
        </w:r>
        <w:r>
          <w:rPr>
            <w:noProof/>
            <w:webHidden/>
          </w:rPr>
          <w:t>42</w:t>
        </w:r>
        <w:r w:rsidR="00C74523">
          <w:rPr>
            <w:noProof/>
            <w:webHidden/>
          </w:rPr>
          <w:fldChar w:fldCharType="end"/>
        </w:r>
      </w:hyperlink>
    </w:p>
    <w:p w14:paraId="38F0BAEC" w14:textId="68806A4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80" w:history="1">
        <w:r w:rsidR="00C74523" w:rsidRPr="00A66C95">
          <w:rPr>
            <w:rStyle w:val="Hyperlink"/>
            <w:noProof/>
          </w:rPr>
          <w:t>Collecting Workload</w:t>
        </w:r>
        <w:r w:rsidR="00C74523">
          <w:rPr>
            <w:noProof/>
            <w:webHidden/>
          </w:rPr>
          <w:tab/>
        </w:r>
        <w:r w:rsidR="00C74523">
          <w:rPr>
            <w:noProof/>
            <w:webHidden/>
          </w:rPr>
          <w:fldChar w:fldCharType="begin"/>
        </w:r>
        <w:r w:rsidR="00C74523">
          <w:rPr>
            <w:noProof/>
            <w:webHidden/>
          </w:rPr>
          <w:instrText xml:space="preserve"> PAGEREF _Toc163644880 \h </w:instrText>
        </w:r>
        <w:r w:rsidR="00C74523">
          <w:rPr>
            <w:noProof/>
            <w:webHidden/>
          </w:rPr>
        </w:r>
        <w:r w:rsidR="00C74523">
          <w:rPr>
            <w:noProof/>
            <w:webHidden/>
          </w:rPr>
          <w:fldChar w:fldCharType="separate"/>
        </w:r>
        <w:r>
          <w:rPr>
            <w:noProof/>
            <w:webHidden/>
          </w:rPr>
          <w:t>42</w:t>
        </w:r>
        <w:r w:rsidR="00C74523">
          <w:rPr>
            <w:noProof/>
            <w:webHidden/>
          </w:rPr>
          <w:fldChar w:fldCharType="end"/>
        </w:r>
      </w:hyperlink>
    </w:p>
    <w:p w14:paraId="063FD26B" w14:textId="6AB3A3E5"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881" w:history="1">
        <w:r w:rsidR="00C74523" w:rsidRPr="00A66C95">
          <w:rPr>
            <w:rStyle w:val="Hyperlink"/>
            <w:noProof/>
          </w:rPr>
          <w:t>Configuring Site Parameters</w:t>
        </w:r>
        <w:r w:rsidR="00C74523">
          <w:rPr>
            <w:noProof/>
            <w:webHidden/>
          </w:rPr>
          <w:tab/>
        </w:r>
        <w:r w:rsidR="00C74523">
          <w:rPr>
            <w:noProof/>
            <w:webHidden/>
          </w:rPr>
          <w:fldChar w:fldCharType="begin"/>
        </w:r>
        <w:r w:rsidR="00C74523">
          <w:rPr>
            <w:noProof/>
            <w:webHidden/>
          </w:rPr>
          <w:instrText xml:space="preserve"> PAGEREF _Toc163644881 \h </w:instrText>
        </w:r>
        <w:r w:rsidR="00C74523">
          <w:rPr>
            <w:noProof/>
            <w:webHidden/>
          </w:rPr>
        </w:r>
        <w:r w:rsidR="00C74523">
          <w:rPr>
            <w:noProof/>
            <w:webHidden/>
          </w:rPr>
          <w:fldChar w:fldCharType="separate"/>
        </w:r>
        <w:r>
          <w:rPr>
            <w:noProof/>
            <w:webHidden/>
          </w:rPr>
          <w:t>43</w:t>
        </w:r>
        <w:r w:rsidR="00C74523">
          <w:rPr>
            <w:noProof/>
            <w:webHidden/>
          </w:rPr>
          <w:fldChar w:fldCharType="end"/>
        </w:r>
      </w:hyperlink>
    </w:p>
    <w:p w14:paraId="59780ED0" w14:textId="02899554"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82" w:history="1">
        <w:r w:rsidR="00C74523" w:rsidRPr="00A66C95">
          <w:rPr>
            <w:rStyle w:val="Hyperlink"/>
            <w:noProof/>
          </w:rPr>
          <w:t>Update User Roles</w:t>
        </w:r>
        <w:r w:rsidR="00C74523">
          <w:rPr>
            <w:noProof/>
            <w:webHidden/>
          </w:rPr>
          <w:tab/>
        </w:r>
        <w:r w:rsidR="00C74523">
          <w:rPr>
            <w:noProof/>
            <w:webHidden/>
          </w:rPr>
          <w:fldChar w:fldCharType="begin"/>
        </w:r>
        <w:r w:rsidR="00C74523">
          <w:rPr>
            <w:noProof/>
            <w:webHidden/>
          </w:rPr>
          <w:instrText xml:space="preserve"> PAGEREF _Toc163644882 \h </w:instrText>
        </w:r>
        <w:r w:rsidR="00C74523">
          <w:rPr>
            <w:noProof/>
            <w:webHidden/>
          </w:rPr>
        </w:r>
        <w:r w:rsidR="00C74523">
          <w:rPr>
            <w:noProof/>
            <w:webHidden/>
          </w:rPr>
          <w:fldChar w:fldCharType="separate"/>
        </w:r>
        <w:r>
          <w:rPr>
            <w:noProof/>
            <w:webHidden/>
          </w:rPr>
          <w:t>43</w:t>
        </w:r>
        <w:r w:rsidR="00C74523">
          <w:rPr>
            <w:noProof/>
            <w:webHidden/>
          </w:rPr>
          <w:fldChar w:fldCharType="end"/>
        </w:r>
      </w:hyperlink>
    </w:p>
    <w:p w14:paraId="6DDD2763" w14:textId="6EA45670"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83" w:history="1">
        <w:r w:rsidR="00C74523" w:rsidRPr="00A66C95">
          <w:rPr>
            <w:rStyle w:val="Hyperlink"/>
            <w:noProof/>
          </w:rPr>
          <w:t>Component Classes</w:t>
        </w:r>
        <w:r w:rsidR="00C74523">
          <w:rPr>
            <w:noProof/>
            <w:webHidden/>
          </w:rPr>
          <w:tab/>
        </w:r>
        <w:r w:rsidR="00C74523">
          <w:rPr>
            <w:noProof/>
            <w:webHidden/>
          </w:rPr>
          <w:fldChar w:fldCharType="begin"/>
        </w:r>
        <w:r w:rsidR="00C74523">
          <w:rPr>
            <w:noProof/>
            <w:webHidden/>
          </w:rPr>
          <w:instrText xml:space="preserve"> PAGEREF _Toc163644883 \h </w:instrText>
        </w:r>
        <w:r w:rsidR="00C74523">
          <w:rPr>
            <w:noProof/>
            <w:webHidden/>
          </w:rPr>
        </w:r>
        <w:r w:rsidR="00C74523">
          <w:rPr>
            <w:noProof/>
            <w:webHidden/>
          </w:rPr>
          <w:fldChar w:fldCharType="separate"/>
        </w:r>
        <w:r>
          <w:rPr>
            <w:noProof/>
            <w:webHidden/>
          </w:rPr>
          <w:t>46</w:t>
        </w:r>
        <w:r w:rsidR="00C74523">
          <w:rPr>
            <w:noProof/>
            <w:webHidden/>
          </w:rPr>
          <w:fldChar w:fldCharType="end"/>
        </w:r>
      </w:hyperlink>
    </w:p>
    <w:p w14:paraId="583CFB66" w14:textId="3CEB6DF0"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84" w:history="1">
        <w:r w:rsidR="00C74523" w:rsidRPr="00A66C95">
          <w:rPr>
            <w:rStyle w:val="Hyperlink"/>
            <w:noProof/>
          </w:rPr>
          <w:t>Configure Daily QC</w:t>
        </w:r>
        <w:r w:rsidR="00C74523">
          <w:rPr>
            <w:noProof/>
            <w:webHidden/>
          </w:rPr>
          <w:tab/>
        </w:r>
        <w:r w:rsidR="00C74523">
          <w:rPr>
            <w:noProof/>
            <w:webHidden/>
          </w:rPr>
          <w:fldChar w:fldCharType="begin"/>
        </w:r>
        <w:r w:rsidR="00C74523">
          <w:rPr>
            <w:noProof/>
            <w:webHidden/>
          </w:rPr>
          <w:instrText xml:space="preserve"> PAGEREF _Toc163644884 \h </w:instrText>
        </w:r>
        <w:r w:rsidR="00C74523">
          <w:rPr>
            <w:noProof/>
            <w:webHidden/>
          </w:rPr>
        </w:r>
        <w:r w:rsidR="00C74523">
          <w:rPr>
            <w:noProof/>
            <w:webHidden/>
          </w:rPr>
          <w:fldChar w:fldCharType="separate"/>
        </w:r>
        <w:r>
          <w:rPr>
            <w:noProof/>
            <w:webHidden/>
          </w:rPr>
          <w:t>49</w:t>
        </w:r>
        <w:r w:rsidR="00C74523">
          <w:rPr>
            <w:noProof/>
            <w:webHidden/>
          </w:rPr>
          <w:fldChar w:fldCharType="end"/>
        </w:r>
      </w:hyperlink>
    </w:p>
    <w:p w14:paraId="36854A67" w14:textId="31EAC2AC"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85" w:history="1">
        <w:r w:rsidR="00C74523" w:rsidRPr="00A66C95">
          <w:rPr>
            <w:rStyle w:val="Hyperlink"/>
            <w:noProof/>
          </w:rPr>
          <w:t>Configure Division</w:t>
        </w:r>
        <w:r w:rsidR="00C74523">
          <w:rPr>
            <w:noProof/>
            <w:webHidden/>
          </w:rPr>
          <w:tab/>
        </w:r>
        <w:r w:rsidR="00C74523">
          <w:rPr>
            <w:noProof/>
            <w:webHidden/>
          </w:rPr>
          <w:fldChar w:fldCharType="begin"/>
        </w:r>
        <w:r w:rsidR="00C74523">
          <w:rPr>
            <w:noProof/>
            <w:webHidden/>
          </w:rPr>
          <w:instrText xml:space="preserve"> PAGEREF _Toc163644885 \h </w:instrText>
        </w:r>
        <w:r w:rsidR="00C74523">
          <w:rPr>
            <w:noProof/>
            <w:webHidden/>
          </w:rPr>
        </w:r>
        <w:r w:rsidR="00C74523">
          <w:rPr>
            <w:noProof/>
            <w:webHidden/>
          </w:rPr>
          <w:fldChar w:fldCharType="separate"/>
        </w:r>
        <w:r>
          <w:rPr>
            <w:noProof/>
            <w:webHidden/>
          </w:rPr>
          <w:t>52</w:t>
        </w:r>
        <w:r w:rsidR="00C74523">
          <w:rPr>
            <w:noProof/>
            <w:webHidden/>
          </w:rPr>
          <w:fldChar w:fldCharType="end"/>
        </w:r>
      </w:hyperlink>
    </w:p>
    <w:p w14:paraId="32841CCC" w14:textId="7498D1E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86" w:history="1">
        <w:r w:rsidR="00C74523" w:rsidRPr="00A66C95">
          <w:rPr>
            <w:rStyle w:val="Hyperlink"/>
            <w:noProof/>
          </w:rPr>
          <w:t>Configure Division</w:t>
        </w:r>
        <w:r w:rsidR="00C74523">
          <w:rPr>
            <w:noProof/>
            <w:webHidden/>
          </w:rPr>
          <w:tab/>
        </w:r>
        <w:r w:rsidR="00C74523">
          <w:rPr>
            <w:noProof/>
            <w:webHidden/>
          </w:rPr>
          <w:fldChar w:fldCharType="begin"/>
        </w:r>
        <w:r w:rsidR="00C74523">
          <w:rPr>
            <w:noProof/>
            <w:webHidden/>
          </w:rPr>
          <w:instrText xml:space="preserve"> PAGEREF _Toc163644886 \h </w:instrText>
        </w:r>
        <w:r w:rsidR="00C74523">
          <w:rPr>
            <w:noProof/>
            <w:webHidden/>
          </w:rPr>
        </w:r>
        <w:r w:rsidR="00C74523">
          <w:rPr>
            <w:noProof/>
            <w:webHidden/>
          </w:rPr>
          <w:fldChar w:fldCharType="separate"/>
        </w:r>
        <w:r>
          <w:rPr>
            <w:noProof/>
            <w:webHidden/>
          </w:rPr>
          <w:t>52</w:t>
        </w:r>
        <w:r w:rsidR="00C74523">
          <w:rPr>
            <w:noProof/>
            <w:webHidden/>
          </w:rPr>
          <w:fldChar w:fldCharType="end"/>
        </w:r>
      </w:hyperlink>
    </w:p>
    <w:p w14:paraId="11518D9D" w14:textId="39C74A43"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87" w:history="1">
        <w:r w:rsidR="00C74523" w:rsidRPr="00A66C95">
          <w:rPr>
            <w:rStyle w:val="Hyperlink"/>
            <w:noProof/>
          </w:rPr>
          <w:t>Configure Testing</w:t>
        </w:r>
        <w:r w:rsidR="00C74523">
          <w:rPr>
            <w:noProof/>
            <w:webHidden/>
          </w:rPr>
          <w:tab/>
        </w:r>
        <w:r w:rsidR="00C74523">
          <w:rPr>
            <w:noProof/>
            <w:webHidden/>
          </w:rPr>
          <w:fldChar w:fldCharType="begin"/>
        </w:r>
        <w:r w:rsidR="00C74523">
          <w:rPr>
            <w:noProof/>
            <w:webHidden/>
          </w:rPr>
          <w:instrText xml:space="preserve"> PAGEREF _Toc163644887 \h </w:instrText>
        </w:r>
        <w:r w:rsidR="00C74523">
          <w:rPr>
            <w:noProof/>
            <w:webHidden/>
          </w:rPr>
        </w:r>
        <w:r w:rsidR="00C74523">
          <w:rPr>
            <w:noProof/>
            <w:webHidden/>
          </w:rPr>
          <w:fldChar w:fldCharType="separate"/>
        </w:r>
        <w:r>
          <w:rPr>
            <w:noProof/>
            <w:webHidden/>
          </w:rPr>
          <w:t>54</w:t>
        </w:r>
        <w:r w:rsidR="00C74523">
          <w:rPr>
            <w:noProof/>
            <w:webHidden/>
          </w:rPr>
          <w:fldChar w:fldCharType="end"/>
        </w:r>
      </w:hyperlink>
    </w:p>
    <w:p w14:paraId="00B268CD" w14:textId="0ED0337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88" w:history="1">
        <w:r w:rsidR="00C74523" w:rsidRPr="00A66C95">
          <w:rPr>
            <w:rStyle w:val="Hyperlink"/>
            <w:noProof/>
          </w:rPr>
          <w:t>Product Modifications</w:t>
        </w:r>
        <w:r w:rsidR="00C74523">
          <w:rPr>
            <w:noProof/>
            <w:webHidden/>
          </w:rPr>
          <w:tab/>
        </w:r>
        <w:r w:rsidR="00C74523">
          <w:rPr>
            <w:noProof/>
            <w:webHidden/>
          </w:rPr>
          <w:fldChar w:fldCharType="begin"/>
        </w:r>
        <w:r w:rsidR="00C74523">
          <w:rPr>
            <w:noProof/>
            <w:webHidden/>
          </w:rPr>
          <w:instrText xml:space="preserve"> PAGEREF _Toc163644888 \h </w:instrText>
        </w:r>
        <w:r w:rsidR="00C74523">
          <w:rPr>
            <w:noProof/>
            <w:webHidden/>
          </w:rPr>
        </w:r>
        <w:r w:rsidR="00C74523">
          <w:rPr>
            <w:noProof/>
            <w:webHidden/>
          </w:rPr>
          <w:fldChar w:fldCharType="separate"/>
        </w:r>
        <w:r>
          <w:rPr>
            <w:noProof/>
            <w:webHidden/>
          </w:rPr>
          <w:t>56</w:t>
        </w:r>
        <w:r w:rsidR="00C74523">
          <w:rPr>
            <w:noProof/>
            <w:webHidden/>
          </w:rPr>
          <w:fldChar w:fldCharType="end"/>
        </w:r>
      </w:hyperlink>
    </w:p>
    <w:p w14:paraId="576B2CC1" w14:textId="4454151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89" w:history="1">
        <w:r w:rsidR="00C74523" w:rsidRPr="00A66C95">
          <w:rPr>
            <w:rStyle w:val="Hyperlink"/>
            <w:noProof/>
          </w:rPr>
          <w:t>Order Alerts</w:t>
        </w:r>
        <w:r w:rsidR="00C74523">
          <w:rPr>
            <w:noProof/>
            <w:webHidden/>
          </w:rPr>
          <w:tab/>
        </w:r>
        <w:r w:rsidR="00C74523">
          <w:rPr>
            <w:noProof/>
            <w:webHidden/>
          </w:rPr>
          <w:fldChar w:fldCharType="begin"/>
        </w:r>
        <w:r w:rsidR="00C74523">
          <w:rPr>
            <w:noProof/>
            <w:webHidden/>
          </w:rPr>
          <w:instrText xml:space="preserve"> PAGEREF _Toc163644889 \h </w:instrText>
        </w:r>
        <w:r w:rsidR="00C74523">
          <w:rPr>
            <w:noProof/>
            <w:webHidden/>
          </w:rPr>
        </w:r>
        <w:r w:rsidR="00C74523">
          <w:rPr>
            <w:noProof/>
            <w:webHidden/>
          </w:rPr>
          <w:fldChar w:fldCharType="separate"/>
        </w:r>
        <w:r>
          <w:rPr>
            <w:noProof/>
            <w:webHidden/>
          </w:rPr>
          <w:t>58</w:t>
        </w:r>
        <w:r w:rsidR="00C74523">
          <w:rPr>
            <w:noProof/>
            <w:webHidden/>
          </w:rPr>
          <w:fldChar w:fldCharType="end"/>
        </w:r>
      </w:hyperlink>
    </w:p>
    <w:p w14:paraId="45A0CF5E" w14:textId="154D7256"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90" w:history="1">
        <w:r w:rsidR="00C74523" w:rsidRPr="00A66C95">
          <w:rPr>
            <w:rStyle w:val="Hyperlink"/>
            <w:noProof/>
          </w:rPr>
          <w:t>Login Message</w:t>
        </w:r>
        <w:r w:rsidR="00C74523">
          <w:rPr>
            <w:noProof/>
            <w:webHidden/>
          </w:rPr>
          <w:tab/>
        </w:r>
        <w:r w:rsidR="00C74523">
          <w:rPr>
            <w:noProof/>
            <w:webHidden/>
          </w:rPr>
          <w:fldChar w:fldCharType="begin"/>
        </w:r>
        <w:r w:rsidR="00C74523">
          <w:rPr>
            <w:noProof/>
            <w:webHidden/>
          </w:rPr>
          <w:instrText xml:space="preserve"> PAGEREF _Toc163644890 \h </w:instrText>
        </w:r>
        <w:r w:rsidR="00C74523">
          <w:rPr>
            <w:noProof/>
            <w:webHidden/>
          </w:rPr>
        </w:r>
        <w:r w:rsidR="00C74523">
          <w:rPr>
            <w:noProof/>
            <w:webHidden/>
          </w:rPr>
          <w:fldChar w:fldCharType="separate"/>
        </w:r>
        <w:r>
          <w:rPr>
            <w:noProof/>
            <w:webHidden/>
          </w:rPr>
          <w:t>60</w:t>
        </w:r>
        <w:r w:rsidR="00C74523">
          <w:rPr>
            <w:noProof/>
            <w:webHidden/>
          </w:rPr>
          <w:fldChar w:fldCharType="end"/>
        </w:r>
      </w:hyperlink>
    </w:p>
    <w:p w14:paraId="454013A1" w14:textId="38061E1B"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91" w:history="1">
        <w:r w:rsidR="00C74523" w:rsidRPr="00A66C95">
          <w:rPr>
            <w:rStyle w:val="Hyperlink"/>
            <w:noProof/>
          </w:rPr>
          <w:t>Local Facilities</w:t>
        </w:r>
        <w:r w:rsidR="00C74523">
          <w:rPr>
            <w:noProof/>
            <w:webHidden/>
          </w:rPr>
          <w:tab/>
        </w:r>
        <w:r w:rsidR="00C74523">
          <w:rPr>
            <w:noProof/>
            <w:webHidden/>
          </w:rPr>
          <w:fldChar w:fldCharType="begin"/>
        </w:r>
        <w:r w:rsidR="00C74523">
          <w:rPr>
            <w:noProof/>
            <w:webHidden/>
          </w:rPr>
          <w:instrText xml:space="preserve"> PAGEREF _Toc163644891 \h </w:instrText>
        </w:r>
        <w:r w:rsidR="00C74523">
          <w:rPr>
            <w:noProof/>
            <w:webHidden/>
          </w:rPr>
        </w:r>
        <w:r w:rsidR="00C74523">
          <w:rPr>
            <w:noProof/>
            <w:webHidden/>
          </w:rPr>
          <w:fldChar w:fldCharType="separate"/>
        </w:r>
        <w:r>
          <w:rPr>
            <w:noProof/>
            <w:webHidden/>
          </w:rPr>
          <w:t>62</w:t>
        </w:r>
        <w:r w:rsidR="00C74523">
          <w:rPr>
            <w:noProof/>
            <w:webHidden/>
          </w:rPr>
          <w:fldChar w:fldCharType="end"/>
        </w:r>
      </w:hyperlink>
    </w:p>
    <w:p w14:paraId="463DD018" w14:textId="55B60B6A"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92" w:history="1">
        <w:r w:rsidR="00C74523" w:rsidRPr="00A66C95">
          <w:rPr>
            <w:rStyle w:val="Hyperlink"/>
            <w:noProof/>
          </w:rPr>
          <w:t>Blood Products</w:t>
        </w:r>
        <w:r w:rsidR="00C74523">
          <w:rPr>
            <w:noProof/>
            <w:webHidden/>
          </w:rPr>
          <w:tab/>
        </w:r>
        <w:r w:rsidR="00C74523">
          <w:rPr>
            <w:noProof/>
            <w:webHidden/>
          </w:rPr>
          <w:fldChar w:fldCharType="begin"/>
        </w:r>
        <w:r w:rsidR="00C74523">
          <w:rPr>
            <w:noProof/>
            <w:webHidden/>
          </w:rPr>
          <w:instrText xml:space="preserve"> PAGEREF _Toc163644892 \h </w:instrText>
        </w:r>
        <w:r w:rsidR="00C74523">
          <w:rPr>
            <w:noProof/>
            <w:webHidden/>
          </w:rPr>
        </w:r>
        <w:r w:rsidR="00C74523">
          <w:rPr>
            <w:noProof/>
            <w:webHidden/>
          </w:rPr>
          <w:fldChar w:fldCharType="separate"/>
        </w:r>
        <w:r>
          <w:rPr>
            <w:noProof/>
            <w:webHidden/>
          </w:rPr>
          <w:t>65</w:t>
        </w:r>
        <w:r w:rsidR="00C74523">
          <w:rPr>
            <w:noProof/>
            <w:webHidden/>
          </w:rPr>
          <w:fldChar w:fldCharType="end"/>
        </w:r>
      </w:hyperlink>
    </w:p>
    <w:p w14:paraId="4C6502EF" w14:textId="219F5E90"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93" w:history="1">
        <w:r w:rsidR="00C74523" w:rsidRPr="00A66C95">
          <w:rPr>
            <w:rStyle w:val="Hyperlink"/>
            <w:noProof/>
          </w:rPr>
          <w:t>Antibodies</w:t>
        </w:r>
        <w:r w:rsidR="00C74523">
          <w:rPr>
            <w:noProof/>
            <w:webHidden/>
          </w:rPr>
          <w:tab/>
        </w:r>
        <w:r w:rsidR="00C74523">
          <w:rPr>
            <w:noProof/>
            <w:webHidden/>
          </w:rPr>
          <w:fldChar w:fldCharType="begin"/>
        </w:r>
        <w:r w:rsidR="00C74523">
          <w:rPr>
            <w:noProof/>
            <w:webHidden/>
          </w:rPr>
          <w:instrText xml:space="preserve"> PAGEREF _Toc163644893 \h </w:instrText>
        </w:r>
        <w:r w:rsidR="00C74523">
          <w:rPr>
            <w:noProof/>
            <w:webHidden/>
          </w:rPr>
        </w:r>
        <w:r w:rsidR="00C74523">
          <w:rPr>
            <w:noProof/>
            <w:webHidden/>
          </w:rPr>
          <w:fldChar w:fldCharType="separate"/>
        </w:r>
        <w:r>
          <w:rPr>
            <w:noProof/>
            <w:webHidden/>
          </w:rPr>
          <w:t>68</w:t>
        </w:r>
        <w:r w:rsidR="00C74523">
          <w:rPr>
            <w:noProof/>
            <w:webHidden/>
          </w:rPr>
          <w:fldChar w:fldCharType="end"/>
        </w:r>
      </w:hyperlink>
    </w:p>
    <w:p w14:paraId="5A2E58F9" w14:textId="41A0A2A9"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94" w:history="1">
        <w:r w:rsidR="00C74523" w:rsidRPr="00A66C95">
          <w:rPr>
            <w:rStyle w:val="Hyperlink"/>
            <w:noProof/>
          </w:rPr>
          <w:t>Canned Comments</w:t>
        </w:r>
        <w:r w:rsidR="00C74523">
          <w:rPr>
            <w:noProof/>
            <w:webHidden/>
          </w:rPr>
          <w:tab/>
        </w:r>
        <w:r w:rsidR="00C74523">
          <w:rPr>
            <w:noProof/>
            <w:webHidden/>
          </w:rPr>
          <w:fldChar w:fldCharType="begin"/>
        </w:r>
        <w:r w:rsidR="00C74523">
          <w:rPr>
            <w:noProof/>
            <w:webHidden/>
          </w:rPr>
          <w:instrText xml:space="preserve"> PAGEREF _Toc163644894 \h </w:instrText>
        </w:r>
        <w:r w:rsidR="00C74523">
          <w:rPr>
            <w:noProof/>
            <w:webHidden/>
          </w:rPr>
        </w:r>
        <w:r w:rsidR="00C74523">
          <w:rPr>
            <w:noProof/>
            <w:webHidden/>
          </w:rPr>
          <w:fldChar w:fldCharType="separate"/>
        </w:r>
        <w:r>
          <w:rPr>
            <w:noProof/>
            <w:webHidden/>
          </w:rPr>
          <w:t>70</w:t>
        </w:r>
        <w:r w:rsidR="00C74523">
          <w:rPr>
            <w:noProof/>
            <w:webHidden/>
          </w:rPr>
          <w:fldChar w:fldCharType="end"/>
        </w:r>
      </w:hyperlink>
    </w:p>
    <w:p w14:paraId="3F18339B" w14:textId="20FF0797"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895" w:history="1">
        <w:r w:rsidR="00C74523" w:rsidRPr="00A66C95">
          <w:rPr>
            <w:rStyle w:val="Hyperlink"/>
            <w:noProof/>
          </w:rPr>
          <w:t>Setting Transfusion Parameters</w:t>
        </w:r>
        <w:r w:rsidR="00C74523">
          <w:rPr>
            <w:noProof/>
            <w:webHidden/>
          </w:rPr>
          <w:tab/>
        </w:r>
        <w:r w:rsidR="00C74523">
          <w:rPr>
            <w:noProof/>
            <w:webHidden/>
          </w:rPr>
          <w:fldChar w:fldCharType="begin"/>
        </w:r>
        <w:r w:rsidR="00C74523">
          <w:rPr>
            <w:noProof/>
            <w:webHidden/>
          </w:rPr>
          <w:instrText xml:space="preserve"> PAGEREF _Toc163644895 \h </w:instrText>
        </w:r>
        <w:r w:rsidR="00C74523">
          <w:rPr>
            <w:noProof/>
            <w:webHidden/>
          </w:rPr>
        </w:r>
        <w:r w:rsidR="00C74523">
          <w:rPr>
            <w:noProof/>
            <w:webHidden/>
          </w:rPr>
          <w:fldChar w:fldCharType="separate"/>
        </w:r>
        <w:r>
          <w:rPr>
            <w:noProof/>
            <w:webHidden/>
          </w:rPr>
          <w:t>72</w:t>
        </w:r>
        <w:r w:rsidR="00C74523">
          <w:rPr>
            <w:noProof/>
            <w:webHidden/>
          </w:rPr>
          <w:fldChar w:fldCharType="end"/>
        </w:r>
      </w:hyperlink>
    </w:p>
    <w:p w14:paraId="1E809169" w14:textId="208EFD61"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96" w:history="1">
        <w:r w:rsidR="00C74523" w:rsidRPr="00A66C95">
          <w:rPr>
            <w:rStyle w:val="Hyperlink"/>
            <w:noProof/>
          </w:rPr>
          <w:t>Transfusion Complications</w:t>
        </w:r>
        <w:r w:rsidR="00C74523">
          <w:rPr>
            <w:noProof/>
            <w:webHidden/>
          </w:rPr>
          <w:tab/>
        </w:r>
        <w:r w:rsidR="00C74523">
          <w:rPr>
            <w:noProof/>
            <w:webHidden/>
          </w:rPr>
          <w:fldChar w:fldCharType="begin"/>
        </w:r>
        <w:r w:rsidR="00C74523">
          <w:rPr>
            <w:noProof/>
            <w:webHidden/>
          </w:rPr>
          <w:instrText xml:space="preserve"> PAGEREF _Toc163644896 \h </w:instrText>
        </w:r>
        <w:r w:rsidR="00C74523">
          <w:rPr>
            <w:noProof/>
            <w:webHidden/>
          </w:rPr>
        </w:r>
        <w:r w:rsidR="00C74523">
          <w:rPr>
            <w:noProof/>
            <w:webHidden/>
          </w:rPr>
          <w:fldChar w:fldCharType="separate"/>
        </w:r>
        <w:r>
          <w:rPr>
            <w:noProof/>
            <w:webHidden/>
          </w:rPr>
          <w:t>72</w:t>
        </w:r>
        <w:r w:rsidR="00C74523">
          <w:rPr>
            <w:noProof/>
            <w:webHidden/>
          </w:rPr>
          <w:fldChar w:fldCharType="end"/>
        </w:r>
      </w:hyperlink>
    </w:p>
    <w:p w14:paraId="4557234A" w14:textId="645B9FA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97" w:history="1">
        <w:r w:rsidR="00C74523" w:rsidRPr="00A66C95">
          <w:rPr>
            <w:rStyle w:val="Hyperlink"/>
            <w:noProof/>
          </w:rPr>
          <w:t>Transfusion Effectiveness</w:t>
        </w:r>
        <w:r w:rsidR="00C74523">
          <w:rPr>
            <w:noProof/>
            <w:webHidden/>
          </w:rPr>
          <w:tab/>
        </w:r>
        <w:r w:rsidR="00C74523">
          <w:rPr>
            <w:noProof/>
            <w:webHidden/>
          </w:rPr>
          <w:fldChar w:fldCharType="begin"/>
        </w:r>
        <w:r w:rsidR="00C74523">
          <w:rPr>
            <w:noProof/>
            <w:webHidden/>
          </w:rPr>
          <w:instrText xml:space="preserve"> PAGEREF _Toc163644897 \h </w:instrText>
        </w:r>
        <w:r w:rsidR="00C74523">
          <w:rPr>
            <w:noProof/>
            <w:webHidden/>
          </w:rPr>
        </w:r>
        <w:r w:rsidR="00C74523">
          <w:rPr>
            <w:noProof/>
            <w:webHidden/>
          </w:rPr>
          <w:fldChar w:fldCharType="separate"/>
        </w:r>
        <w:r>
          <w:rPr>
            <w:noProof/>
            <w:webHidden/>
          </w:rPr>
          <w:t>74</w:t>
        </w:r>
        <w:r w:rsidR="00C74523">
          <w:rPr>
            <w:noProof/>
            <w:webHidden/>
          </w:rPr>
          <w:fldChar w:fldCharType="end"/>
        </w:r>
      </w:hyperlink>
    </w:p>
    <w:p w14:paraId="3AF1A5ED" w14:textId="0C468883"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98" w:history="1">
        <w:r w:rsidR="00C74523" w:rsidRPr="00A66C95">
          <w:rPr>
            <w:rStyle w:val="Hyperlink"/>
            <w:noProof/>
          </w:rPr>
          <w:t>MSBOS</w:t>
        </w:r>
        <w:r w:rsidR="00C74523">
          <w:rPr>
            <w:noProof/>
            <w:webHidden/>
          </w:rPr>
          <w:tab/>
        </w:r>
        <w:r w:rsidR="00C74523">
          <w:rPr>
            <w:noProof/>
            <w:webHidden/>
          </w:rPr>
          <w:fldChar w:fldCharType="begin"/>
        </w:r>
        <w:r w:rsidR="00C74523">
          <w:rPr>
            <w:noProof/>
            <w:webHidden/>
          </w:rPr>
          <w:instrText xml:space="preserve"> PAGEREF _Toc163644898 \h </w:instrText>
        </w:r>
        <w:r w:rsidR="00C74523">
          <w:rPr>
            <w:noProof/>
            <w:webHidden/>
          </w:rPr>
        </w:r>
        <w:r w:rsidR="00C74523">
          <w:rPr>
            <w:noProof/>
            <w:webHidden/>
          </w:rPr>
          <w:fldChar w:fldCharType="separate"/>
        </w:r>
        <w:r>
          <w:rPr>
            <w:noProof/>
            <w:webHidden/>
          </w:rPr>
          <w:t>76</w:t>
        </w:r>
        <w:r w:rsidR="00C74523">
          <w:rPr>
            <w:noProof/>
            <w:webHidden/>
          </w:rPr>
          <w:fldChar w:fldCharType="end"/>
        </w:r>
      </w:hyperlink>
    </w:p>
    <w:p w14:paraId="637738FB" w14:textId="6E01A031"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899" w:history="1">
        <w:r w:rsidR="00C74523" w:rsidRPr="00A66C95">
          <w:rPr>
            <w:rStyle w:val="Hyperlink"/>
            <w:noProof/>
          </w:rPr>
          <w:t>Workload Codes</w:t>
        </w:r>
        <w:r w:rsidR="00C74523">
          <w:rPr>
            <w:noProof/>
            <w:webHidden/>
          </w:rPr>
          <w:tab/>
        </w:r>
        <w:r w:rsidR="00C74523">
          <w:rPr>
            <w:noProof/>
            <w:webHidden/>
          </w:rPr>
          <w:fldChar w:fldCharType="begin"/>
        </w:r>
        <w:r w:rsidR="00C74523">
          <w:rPr>
            <w:noProof/>
            <w:webHidden/>
          </w:rPr>
          <w:instrText xml:space="preserve"> PAGEREF _Toc163644899 \h </w:instrText>
        </w:r>
        <w:r w:rsidR="00C74523">
          <w:rPr>
            <w:noProof/>
            <w:webHidden/>
          </w:rPr>
        </w:r>
        <w:r w:rsidR="00C74523">
          <w:rPr>
            <w:noProof/>
            <w:webHidden/>
          </w:rPr>
          <w:fldChar w:fldCharType="separate"/>
        </w:r>
        <w:r>
          <w:rPr>
            <w:noProof/>
            <w:webHidden/>
          </w:rPr>
          <w:t>78</w:t>
        </w:r>
        <w:r w:rsidR="00C74523">
          <w:rPr>
            <w:noProof/>
            <w:webHidden/>
          </w:rPr>
          <w:fldChar w:fldCharType="end"/>
        </w:r>
      </w:hyperlink>
    </w:p>
    <w:p w14:paraId="6FD1E4C0" w14:textId="6926CD43"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00" w:history="1">
        <w:r w:rsidR="00C74523" w:rsidRPr="00A66C95">
          <w:rPr>
            <w:rStyle w:val="Hyperlink"/>
            <w:noProof/>
          </w:rPr>
          <w:t>Reagents and Supplies</w:t>
        </w:r>
        <w:r w:rsidR="00C74523">
          <w:rPr>
            <w:noProof/>
            <w:webHidden/>
          </w:rPr>
          <w:tab/>
        </w:r>
        <w:r w:rsidR="00C74523">
          <w:rPr>
            <w:noProof/>
            <w:webHidden/>
          </w:rPr>
          <w:fldChar w:fldCharType="begin"/>
        </w:r>
        <w:r w:rsidR="00C74523">
          <w:rPr>
            <w:noProof/>
            <w:webHidden/>
          </w:rPr>
          <w:instrText xml:space="preserve"> PAGEREF _Toc163644900 \h </w:instrText>
        </w:r>
        <w:r w:rsidR="00C74523">
          <w:rPr>
            <w:noProof/>
            <w:webHidden/>
          </w:rPr>
        </w:r>
        <w:r w:rsidR="00C74523">
          <w:rPr>
            <w:noProof/>
            <w:webHidden/>
          </w:rPr>
          <w:fldChar w:fldCharType="separate"/>
        </w:r>
        <w:r>
          <w:rPr>
            <w:noProof/>
            <w:webHidden/>
          </w:rPr>
          <w:t>81</w:t>
        </w:r>
        <w:r w:rsidR="00C74523">
          <w:rPr>
            <w:noProof/>
            <w:webHidden/>
          </w:rPr>
          <w:fldChar w:fldCharType="end"/>
        </w:r>
      </w:hyperlink>
    </w:p>
    <w:p w14:paraId="62418558" w14:textId="04AFA9FA"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01" w:history="1">
        <w:r w:rsidR="00C74523" w:rsidRPr="00A66C95">
          <w:rPr>
            <w:rStyle w:val="Hyperlink"/>
            <w:noProof/>
          </w:rPr>
          <w:t>Enter Daily QC Results</w:t>
        </w:r>
        <w:r w:rsidR="00C74523">
          <w:rPr>
            <w:noProof/>
            <w:webHidden/>
          </w:rPr>
          <w:tab/>
        </w:r>
        <w:r w:rsidR="00C74523">
          <w:rPr>
            <w:noProof/>
            <w:webHidden/>
          </w:rPr>
          <w:fldChar w:fldCharType="begin"/>
        </w:r>
        <w:r w:rsidR="00C74523">
          <w:rPr>
            <w:noProof/>
            <w:webHidden/>
          </w:rPr>
          <w:instrText xml:space="preserve"> PAGEREF _Toc163644901 \h </w:instrText>
        </w:r>
        <w:r w:rsidR="00C74523">
          <w:rPr>
            <w:noProof/>
            <w:webHidden/>
          </w:rPr>
        </w:r>
        <w:r w:rsidR="00C74523">
          <w:rPr>
            <w:noProof/>
            <w:webHidden/>
          </w:rPr>
          <w:fldChar w:fldCharType="separate"/>
        </w:r>
        <w:r>
          <w:rPr>
            <w:noProof/>
            <w:webHidden/>
          </w:rPr>
          <w:t>81</w:t>
        </w:r>
        <w:r w:rsidR="00C74523">
          <w:rPr>
            <w:noProof/>
            <w:webHidden/>
          </w:rPr>
          <w:fldChar w:fldCharType="end"/>
        </w:r>
      </w:hyperlink>
    </w:p>
    <w:p w14:paraId="06A57AE2" w14:textId="6113613D"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02" w:history="1">
        <w:r w:rsidR="00C74523" w:rsidRPr="00A66C95">
          <w:rPr>
            <w:rStyle w:val="Hyperlink"/>
            <w:noProof/>
          </w:rPr>
          <w:t>Reagents</w:t>
        </w:r>
        <w:r w:rsidR="00C74523">
          <w:rPr>
            <w:noProof/>
            <w:webHidden/>
          </w:rPr>
          <w:tab/>
        </w:r>
        <w:r w:rsidR="00C74523">
          <w:rPr>
            <w:noProof/>
            <w:webHidden/>
          </w:rPr>
          <w:fldChar w:fldCharType="begin"/>
        </w:r>
        <w:r w:rsidR="00C74523">
          <w:rPr>
            <w:noProof/>
            <w:webHidden/>
          </w:rPr>
          <w:instrText xml:space="preserve"> PAGEREF _Toc163644902 \h </w:instrText>
        </w:r>
        <w:r w:rsidR="00C74523">
          <w:rPr>
            <w:noProof/>
            <w:webHidden/>
          </w:rPr>
        </w:r>
        <w:r w:rsidR="00C74523">
          <w:rPr>
            <w:noProof/>
            <w:webHidden/>
          </w:rPr>
          <w:fldChar w:fldCharType="separate"/>
        </w:r>
        <w:r>
          <w:rPr>
            <w:noProof/>
            <w:webHidden/>
          </w:rPr>
          <w:t>89</w:t>
        </w:r>
        <w:r w:rsidR="00C74523">
          <w:rPr>
            <w:noProof/>
            <w:webHidden/>
          </w:rPr>
          <w:fldChar w:fldCharType="end"/>
        </w:r>
      </w:hyperlink>
    </w:p>
    <w:p w14:paraId="1567D186" w14:textId="1FB6F0F4"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03" w:history="1">
        <w:r w:rsidR="00C74523" w:rsidRPr="00A66C95">
          <w:rPr>
            <w:rStyle w:val="Hyperlink"/>
            <w:noProof/>
          </w:rPr>
          <w:t>Supplies</w:t>
        </w:r>
        <w:r w:rsidR="00C74523">
          <w:rPr>
            <w:noProof/>
            <w:webHidden/>
          </w:rPr>
          <w:tab/>
        </w:r>
        <w:r w:rsidR="00C74523">
          <w:rPr>
            <w:noProof/>
            <w:webHidden/>
          </w:rPr>
          <w:fldChar w:fldCharType="begin"/>
        </w:r>
        <w:r w:rsidR="00C74523">
          <w:rPr>
            <w:noProof/>
            <w:webHidden/>
          </w:rPr>
          <w:instrText xml:space="preserve"> PAGEREF _Toc163644903 \h </w:instrText>
        </w:r>
        <w:r w:rsidR="00C74523">
          <w:rPr>
            <w:noProof/>
            <w:webHidden/>
          </w:rPr>
        </w:r>
        <w:r w:rsidR="00C74523">
          <w:rPr>
            <w:noProof/>
            <w:webHidden/>
          </w:rPr>
          <w:fldChar w:fldCharType="separate"/>
        </w:r>
        <w:r>
          <w:rPr>
            <w:noProof/>
            <w:webHidden/>
          </w:rPr>
          <w:t>98</w:t>
        </w:r>
        <w:r w:rsidR="00C74523">
          <w:rPr>
            <w:noProof/>
            <w:webHidden/>
          </w:rPr>
          <w:fldChar w:fldCharType="end"/>
        </w:r>
      </w:hyperlink>
    </w:p>
    <w:p w14:paraId="4ADDB59B" w14:textId="53E3FD6C"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04" w:history="1">
        <w:r w:rsidR="00C74523" w:rsidRPr="00A66C95">
          <w:rPr>
            <w:rStyle w:val="Hyperlink"/>
            <w:noProof/>
          </w:rPr>
          <w:t>Equipment</w:t>
        </w:r>
        <w:r w:rsidR="00C74523">
          <w:rPr>
            <w:noProof/>
            <w:webHidden/>
          </w:rPr>
          <w:tab/>
        </w:r>
        <w:r w:rsidR="00C74523">
          <w:rPr>
            <w:noProof/>
            <w:webHidden/>
          </w:rPr>
          <w:fldChar w:fldCharType="begin"/>
        </w:r>
        <w:r w:rsidR="00C74523">
          <w:rPr>
            <w:noProof/>
            <w:webHidden/>
          </w:rPr>
          <w:instrText xml:space="preserve"> PAGEREF _Toc163644904 \h </w:instrText>
        </w:r>
        <w:r w:rsidR="00C74523">
          <w:rPr>
            <w:noProof/>
            <w:webHidden/>
          </w:rPr>
        </w:r>
        <w:r w:rsidR="00C74523">
          <w:rPr>
            <w:noProof/>
            <w:webHidden/>
          </w:rPr>
          <w:fldChar w:fldCharType="separate"/>
        </w:r>
        <w:r>
          <w:rPr>
            <w:noProof/>
            <w:webHidden/>
          </w:rPr>
          <w:t>103</w:t>
        </w:r>
        <w:r w:rsidR="00C74523">
          <w:rPr>
            <w:noProof/>
            <w:webHidden/>
          </w:rPr>
          <w:fldChar w:fldCharType="end"/>
        </w:r>
      </w:hyperlink>
    </w:p>
    <w:p w14:paraId="368CD06E" w14:textId="355B047B"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905" w:history="1">
        <w:r w:rsidR="00C74523" w:rsidRPr="00A66C95">
          <w:rPr>
            <w:rStyle w:val="Hyperlink"/>
            <w:noProof/>
          </w:rPr>
          <w:t>Component Processing</w:t>
        </w:r>
        <w:r w:rsidR="00C74523">
          <w:rPr>
            <w:noProof/>
            <w:webHidden/>
          </w:rPr>
          <w:tab/>
        </w:r>
        <w:r w:rsidR="00C74523">
          <w:rPr>
            <w:noProof/>
            <w:webHidden/>
          </w:rPr>
          <w:fldChar w:fldCharType="begin"/>
        </w:r>
        <w:r w:rsidR="00C74523">
          <w:rPr>
            <w:noProof/>
            <w:webHidden/>
          </w:rPr>
          <w:instrText xml:space="preserve"> PAGEREF _Toc163644905 \h </w:instrText>
        </w:r>
        <w:r w:rsidR="00C74523">
          <w:rPr>
            <w:noProof/>
            <w:webHidden/>
          </w:rPr>
        </w:r>
        <w:r w:rsidR="00C74523">
          <w:rPr>
            <w:noProof/>
            <w:webHidden/>
          </w:rPr>
          <w:fldChar w:fldCharType="separate"/>
        </w:r>
        <w:r>
          <w:rPr>
            <w:noProof/>
            <w:webHidden/>
          </w:rPr>
          <w:t>108</w:t>
        </w:r>
        <w:r w:rsidR="00C74523">
          <w:rPr>
            <w:noProof/>
            <w:webHidden/>
          </w:rPr>
          <w:fldChar w:fldCharType="end"/>
        </w:r>
      </w:hyperlink>
    </w:p>
    <w:p w14:paraId="5324CCA0" w14:textId="2DC324E7"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06" w:history="1">
        <w:r w:rsidR="00C74523" w:rsidRPr="00A66C95">
          <w:rPr>
            <w:rStyle w:val="Hyperlink"/>
            <w:noProof/>
          </w:rPr>
          <w:t>Shipments</w:t>
        </w:r>
        <w:r w:rsidR="00C74523">
          <w:rPr>
            <w:noProof/>
            <w:webHidden/>
          </w:rPr>
          <w:tab/>
        </w:r>
        <w:r w:rsidR="00C74523">
          <w:rPr>
            <w:noProof/>
            <w:webHidden/>
          </w:rPr>
          <w:fldChar w:fldCharType="begin"/>
        </w:r>
        <w:r w:rsidR="00C74523">
          <w:rPr>
            <w:noProof/>
            <w:webHidden/>
          </w:rPr>
          <w:instrText xml:space="preserve"> PAGEREF _Toc163644906 \h </w:instrText>
        </w:r>
        <w:r w:rsidR="00C74523">
          <w:rPr>
            <w:noProof/>
            <w:webHidden/>
          </w:rPr>
        </w:r>
        <w:r w:rsidR="00C74523">
          <w:rPr>
            <w:noProof/>
            <w:webHidden/>
          </w:rPr>
          <w:fldChar w:fldCharType="separate"/>
        </w:r>
        <w:r>
          <w:rPr>
            <w:noProof/>
            <w:webHidden/>
          </w:rPr>
          <w:t>108</w:t>
        </w:r>
        <w:r w:rsidR="00C74523">
          <w:rPr>
            <w:noProof/>
            <w:webHidden/>
          </w:rPr>
          <w:fldChar w:fldCharType="end"/>
        </w:r>
      </w:hyperlink>
    </w:p>
    <w:p w14:paraId="45CAE699" w14:textId="61D4EF0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07" w:history="1">
        <w:r w:rsidR="00C74523" w:rsidRPr="00A66C95">
          <w:rPr>
            <w:rStyle w:val="Hyperlink"/>
            <w:noProof/>
          </w:rPr>
          <w:t>Incoming Shipment</w:t>
        </w:r>
        <w:r w:rsidR="00C74523">
          <w:rPr>
            <w:noProof/>
            <w:webHidden/>
          </w:rPr>
          <w:tab/>
        </w:r>
        <w:r w:rsidR="00C74523">
          <w:rPr>
            <w:noProof/>
            <w:webHidden/>
          </w:rPr>
          <w:fldChar w:fldCharType="begin"/>
        </w:r>
        <w:r w:rsidR="00C74523">
          <w:rPr>
            <w:noProof/>
            <w:webHidden/>
          </w:rPr>
          <w:instrText xml:space="preserve"> PAGEREF _Toc163644907 \h </w:instrText>
        </w:r>
        <w:r w:rsidR="00C74523">
          <w:rPr>
            <w:noProof/>
            <w:webHidden/>
          </w:rPr>
        </w:r>
        <w:r w:rsidR="00C74523">
          <w:rPr>
            <w:noProof/>
            <w:webHidden/>
          </w:rPr>
          <w:fldChar w:fldCharType="separate"/>
        </w:r>
        <w:r>
          <w:rPr>
            <w:noProof/>
            <w:webHidden/>
          </w:rPr>
          <w:t>108</w:t>
        </w:r>
        <w:r w:rsidR="00C74523">
          <w:rPr>
            <w:noProof/>
            <w:webHidden/>
          </w:rPr>
          <w:fldChar w:fldCharType="end"/>
        </w:r>
      </w:hyperlink>
    </w:p>
    <w:p w14:paraId="13FD5892" w14:textId="70EFB3B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08" w:history="1">
        <w:r w:rsidR="00C74523" w:rsidRPr="00A66C95">
          <w:rPr>
            <w:rStyle w:val="Hyperlink"/>
            <w:noProof/>
          </w:rPr>
          <w:t>Outgoing Shipment</w:t>
        </w:r>
        <w:r w:rsidR="00C74523">
          <w:rPr>
            <w:noProof/>
            <w:webHidden/>
          </w:rPr>
          <w:tab/>
        </w:r>
        <w:r w:rsidR="00C74523">
          <w:rPr>
            <w:noProof/>
            <w:webHidden/>
          </w:rPr>
          <w:fldChar w:fldCharType="begin"/>
        </w:r>
        <w:r w:rsidR="00C74523">
          <w:rPr>
            <w:noProof/>
            <w:webHidden/>
          </w:rPr>
          <w:instrText xml:space="preserve"> PAGEREF _Toc163644908 \h </w:instrText>
        </w:r>
        <w:r w:rsidR="00C74523">
          <w:rPr>
            <w:noProof/>
            <w:webHidden/>
          </w:rPr>
        </w:r>
        <w:r w:rsidR="00C74523">
          <w:rPr>
            <w:noProof/>
            <w:webHidden/>
          </w:rPr>
          <w:fldChar w:fldCharType="separate"/>
        </w:r>
        <w:r>
          <w:rPr>
            <w:noProof/>
            <w:webHidden/>
          </w:rPr>
          <w:t>120</w:t>
        </w:r>
        <w:r w:rsidR="00C74523">
          <w:rPr>
            <w:noProof/>
            <w:webHidden/>
          </w:rPr>
          <w:fldChar w:fldCharType="end"/>
        </w:r>
      </w:hyperlink>
    </w:p>
    <w:p w14:paraId="793B9C79" w14:textId="40AAC44A"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09" w:history="1">
        <w:r w:rsidR="00C74523" w:rsidRPr="00A66C95">
          <w:rPr>
            <w:rStyle w:val="Hyperlink"/>
            <w:noProof/>
          </w:rPr>
          <w:t>Edit Invoice Text</w:t>
        </w:r>
        <w:r w:rsidR="00C74523">
          <w:rPr>
            <w:noProof/>
            <w:webHidden/>
          </w:rPr>
          <w:tab/>
        </w:r>
        <w:r w:rsidR="00C74523">
          <w:rPr>
            <w:noProof/>
            <w:webHidden/>
          </w:rPr>
          <w:fldChar w:fldCharType="begin"/>
        </w:r>
        <w:r w:rsidR="00C74523">
          <w:rPr>
            <w:noProof/>
            <w:webHidden/>
          </w:rPr>
          <w:instrText xml:space="preserve"> PAGEREF _Toc163644909 \h </w:instrText>
        </w:r>
        <w:r w:rsidR="00C74523">
          <w:rPr>
            <w:noProof/>
            <w:webHidden/>
          </w:rPr>
        </w:r>
        <w:r w:rsidR="00C74523">
          <w:rPr>
            <w:noProof/>
            <w:webHidden/>
          </w:rPr>
          <w:fldChar w:fldCharType="separate"/>
        </w:r>
        <w:r>
          <w:rPr>
            <w:noProof/>
            <w:webHidden/>
          </w:rPr>
          <w:t>127</w:t>
        </w:r>
        <w:r w:rsidR="00C74523">
          <w:rPr>
            <w:noProof/>
            <w:webHidden/>
          </w:rPr>
          <w:fldChar w:fldCharType="end"/>
        </w:r>
      </w:hyperlink>
    </w:p>
    <w:p w14:paraId="7EEEBA13" w14:textId="1487C74A"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10" w:history="1">
        <w:r w:rsidR="00C74523" w:rsidRPr="00A66C95">
          <w:rPr>
            <w:rStyle w:val="Hyperlink"/>
            <w:noProof/>
          </w:rPr>
          <w:t>Unit Search Screen</w:t>
        </w:r>
        <w:r w:rsidR="00C74523">
          <w:rPr>
            <w:noProof/>
            <w:webHidden/>
          </w:rPr>
          <w:tab/>
        </w:r>
        <w:r w:rsidR="00C74523">
          <w:rPr>
            <w:noProof/>
            <w:webHidden/>
          </w:rPr>
          <w:fldChar w:fldCharType="begin"/>
        </w:r>
        <w:r w:rsidR="00C74523">
          <w:rPr>
            <w:noProof/>
            <w:webHidden/>
          </w:rPr>
          <w:instrText xml:space="preserve"> PAGEREF _Toc163644910 \h </w:instrText>
        </w:r>
        <w:r w:rsidR="00C74523">
          <w:rPr>
            <w:noProof/>
            <w:webHidden/>
          </w:rPr>
        </w:r>
        <w:r w:rsidR="00C74523">
          <w:rPr>
            <w:noProof/>
            <w:webHidden/>
          </w:rPr>
          <w:fldChar w:fldCharType="separate"/>
        </w:r>
        <w:r>
          <w:rPr>
            <w:noProof/>
            <w:webHidden/>
          </w:rPr>
          <w:t>127</w:t>
        </w:r>
        <w:r w:rsidR="00C74523">
          <w:rPr>
            <w:noProof/>
            <w:webHidden/>
          </w:rPr>
          <w:fldChar w:fldCharType="end"/>
        </w:r>
      </w:hyperlink>
    </w:p>
    <w:p w14:paraId="27656F4D" w14:textId="5018FDE7"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11" w:history="1">
        <w:r w:rsidR="00C74523" w:rsidRPr="00A66C95">
          <w:rPr>
            <w:rStyle w:val="Hyperlink"/>
            <w:noProof/>
          </w:rPr>
          <w:t>Test Units</w:t>
        </w:r>
        <w:r w:rsidR="00C74523">
          <w:rPr>
            <w:noProof/>
            <w:webHidden/>
          </w:rPr>
          <w:tab/>
        </w:r>
        <w:r w:rsidR="00C74523">
          <w:rPr>
            <w:noProof/>
            <w:webHidden/>
          </w:rPr>
          <w:fldChar w:fldCharType="begin"/>
        </w:r>
        <w:r w:rsidR="00C74523">
          <w:rPr>
            <w:noProof/>
            <w:webHidden/>
          </w:rPr>
          <w:instrText xml:space="preserve"> PAGEREF _Toc163644911 \h </w:instrText>
        </w:r>
        <w:r w:rsidR="00C74523">
          <w:rPr>
            <w:noProof/>
            <w:webHidden/>
          </w:rPr>
        </w:r>
        <w:r w:rsidR="00C74523">
          <w:rPr>
            <w:noProof/>
            <w:webHidden/>
          </w:rPr>
          <w:fldChar w:fldCharType="separate"/>
        </w:r>
        <w:r>
          <w:rPr>
            <w:noProof/>
            <w:webHidden/>
          </w:rPr>
          <w:t>130</w:t>
        </w:r>
        <w:r w:rsidR="00C74523">
          <w:rPr>
            <w:noProof/>
            <w:webHidden/>
          </w:rPr>
          <w:fldChar w:fldCharType="end"/>
        </w:r>
      </w:hyperlink>
    </w:p>
    <w:p w14:paraId="796BB54F" w14:textId="234E238F"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12" w:history="1">
        <w:r w:rsidR="00C74523" w:rsidRPr="00A66C95">
          <w:rPr>
            <w:rStyle w:val="Hyperlink"/>
            <w:noProof/>
          </w:rPr>
          <w:t>ABO/Rh Confirmation</w:t>
        </w:r>
        <w:r w:rsidR="00C74523">
          <w:rPr>
            <w:noProof/>
            <w:webHidden/>
          </w:rPr>
          <w:tab/>
        </w:r>
        <w:r w:rsidR="00C74523">
          <w:rPr>
            <w:noProof/>
            <w:webHidden/>
          </w:rPr>
          <w:fldChar w:fldCharType="begin"/>
        </w:r>
        <w:r w:rsidR="00C74523">
          <w:rPr>
            <w:noProof/>
            <w:webHidden/>
          </w:rPr>
          <w:instrText xml:space="preserve"> PAGEREF _Toc163644912 \h </w:instrText>
        </w:r>
        <w:r w:rsidR="00C74523">
          <w:rPr>
            <w:noProof/>
            <w:webHidden/>
          </w:rPr>
        </w:r>
        <w:r w:rsidR="00C74523">
          <w:rPr>
            <w:noProof/>
            <w:webHidden/>
          </w:rPr>
          <w:fldChar w:fldCharType="separate"/>
        </w:r>
        <w:r>
          <w:rPr>
            <w:noProof/>
            <w:webHidden/>
          </w:rPr>
          <w:t>130</w:t>
        </w:r>
        <w:r w:rsidR="00C74523">
          <w:rPr>
            <w:noProof/>
            <w:webHidden/>
          </w:rPr>
          <w:fldChar w:fldCharType="end"/>
        </w:r>
      </w:hyperlink>
    </w:p>
    <w:p w14:paraId="34179DD2" w14:textId="11E0A27D"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13" w:history="1">
        <w:r w:rsidR="00C74523" w:rsidRPr="00A66C95">
          <w:rPr>
            <w:rStyle w:val="Hyperlink"/>
            <w:noProof/>
          </w:rPr>
          <w:t>Unit Antigen Typing</w:t>
        </w:r>
        <w:r w:rsidR="00C74523">
          <w:rPr>
            <w:noProof/>
            <w:webHidden/>
          </w:rPr>
          <w:tab/>
        </w:r>
        <w:r w:rsidR="00C74523">
          <w:rPr>
            <w:noProof/>
            <w:webHidden/>
          </w:rPr>
          <w:fldChar w:fldCharType="begin"/>
        </w:r>
        <w:r w:rsidR="00C74523">
          <w:rPr>
            <w:noProof/>
            <w:webHidden/>
          </w:rPr>
          <w:instrText xml:space="preserve"> PAGEREF _Toc163644913 \h </w:instrText>
        </w:r>
        <w:r w:rsidR="00C74523">
          <w:rPr>
            <w:noProof/>
            <w:webHidden/>
          </w:rPr>
        </w:r>
        <w:r w:rsidR="00C74523">
          <w:rPr>
            <w:noProof/>
            <w:webHidden/>
          </w:rPr>
          <w:fldChar w:fldCharType="separate"/>
        </w:r>
        <w:r>
          <w:rPr>
            <w:noProof/>
            <w:webHidden/>
          </w:rPr>
          <w:t>134</w:t>
        </w:r>
        <w:r w:rsidR="00C74523">
          <w:rPr>
            <w:noProof/>
            <w:webHidden/>
          </w:rPr>
          <w:fldChar w:fldCharType="end"/>
        </w:r>
      </w:hyperlink>
    </w:p>
    <w:p w14:paraId="090E6087" w14:textId="61C6DD07"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14" w:history="1">
        <w:r w:rsidR="00C74523" w:rsidRPr="00A66C95">
          <w:rPr>
            <w:rStyle w:val="Hyperlink"/>
            <w:noProof/>
          </w:rPr>
          <w:t>Modify Components</w:t>
        </w:r>
        <w:r w:rsidR="00C74523">
          <w:rPr>
            <w:noProof/>
            <w:webHidden/>
          </w:rPr>
          <w:tab/>
        </w:r>
        <w:r w:rsidR="00C74523">
          <w:rPr>
            <w:noProof/>
            <w:webHidden/>
          </w:rPr>
          <w:fldChar w:fldCharType="begin"/>
        </w:r>
        <w:r w:rsidR="00C74523">
          <w:rPr>
            <w:noProof/>
            <w:webHidden/>
          </w:rPr>
          <w:instrText xml:space="preserve"> PAGEREF _Toc163644914 \h </w:instrText>
        </w:r>
        <w:r w:rsidR="00C74523">
          <w:rPr>
            <w:noProof/>
            <w:webHidden/>
          </w:rPr>
        </w:r>
        <w:r w:rsidR="00C74523">
          <w:rPr>
            <w:noProof/>
            <w:webHidden/>
          </w:rPr>
          <w:fldChar w:fldCharType="separate"/>
        </w:r>
        <w:r>
          <w:rPr>
            <w:noProof/>
            <w:webHidden/>
          </w:rPr>
          <w:t>145</w:t>
        </w:r>
        <w:r w:rsidR="00C74523">
          <w:rPr>
            <w:noProof/>
            <w:webHidden/>
          </w:rPr>
          <w:fldChar w:fldCharType="end"/>
        </w:r>
      </w:hyperlink>
    </w:p>
    <w:p w14:paraId="0799C95A" w14:textId="7B6CF3AE"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15" w:history="1">
        <w:r w:rsidR="00C74523" w:rsidRPr="00A66C95">
          <w:rPr>
            <w:rStyle w:val="Hyperlink"/>
            <w:noProof/>
          </w:rPr>
          <w:t>Modify Units</w:t>
        </w:r>
        <w:r w:rsidR="00C74523">
          <w:rPr>
            <w:noProof/>
            <w:webHidden/>
          </w:rPr>
          <w:tab/>
        </w:r>
        <w:r w:rsidR="00C74523">
          <w:rPr>
            <w:noProof/>
            <w:webHidden/>
          </w:rPr>
          <w:fldChar w:fldCharType="begin"/>
        </w:r>
        <w:r w:rsidR="00C74523">
          <w:rPr>
            <w:noProof/>
            <w:webHidden/>
          </w:rPr>
          <w:instrText xml:space="preserve"> PAGEREF _Toc163644915 \h </w:instrText>
        </w:r>
        <w:r w:rsidR="00C74523">
          <w:rPr>
            <w:noProof/>
            <w:webHidden/>
          </w:rPr>
        </w:r>
        <w:r w:rsidR="00C74523">
          <w:rPr>
            <w:noProof/>
            <w:webHidden/>
          </w:rPr>
          <w:fldChar w:fldCharType="separate"/>
        </w:r>
        <w:r>
          <w:rPr>
            <w:noProof/>
            <w:webHidden/>
          </w:rPr>
          <w:t>145</w:t>
        </w:r>
        <w:r w:rsidR="00C74523">
          <w:rPr>
            <w:noProof/>
            <w:webHidden/>
          </w:rPr>
          <w:fldChar w:fldCharType="end"/>
        </w:r>
      </w:hyperlink>
    </w:p>
    <w:p w14:paraId="31CE3EEA" w14:textId="6999ABAF"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16" w:history="1">
        <w:r w:rsidR="00C74523" w:rsidRPr="00A66C95">
          <w:rPr>
            <w:rStyle w:val="Hyperlink"/>
            <w:noProof/>
          </w:rPr>
          <w:t>Modify Units: Split a Unit</w:t>
        </w:r>
        <w:r w:rsidR="00C74523">
          <w:rPr>
            <w:noProof/>
            <w:webHidden/>
          </w:rPr>
          <w:tab/>
        </w:r>
        <w:r w:rsidR="00C74523">
          <w:rPr>
            <w:noProof/>
            <w:webHidden/>
          </w:rPr>
          <w:fldChar w:fldCharType="begin"/>
        </w:r>
        <w:r w:rsidR="00C74523">
          <w:rPr>
            <w:noProof/>
            <w:webHidden/>
          </w:rPr>
          <w:instrText xml:space="preserve"> PAGEREF _Toc163644916 \h </w:instrText>
        </w:r>
        <w:r w:rsidR="00C74523">
          <w:rPr>
            <w:noProof/>
            <w:webHidden/>
          </w:rPr>
        </w:r>
        <w:r w:rsidR="00C74523">
          <w:rPr>
            <w:noProof/>
            <w:webHidden/>
          </w:rPr>
          <w:fldChar w:fldCharType="separate"/>
        </w:r>
        <w:r>
          <w:rPr>
            <w:noProof/>
            <w:webHidden/>
          </w:rPr>
          <w:t>157</w:t>
        </w:r>
        <w:r w:rsidR="00C74523">
          <w:rPr>
            <w:noProof/>
            <w:webHidden/>
          </w:rPr>
          <w:fldChar w:fldCharType="end"/>
        </w:r>
      </w:hyperlink>
    </w:p>
    <w:p w14:paraId="505059D8" w14:textId="3AF2110C"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17" w:history="1">
        <w:r w:rsidR="00C74523" w:rsidRPr="00A66C95">
          <w:rPr>
            <w:rStyle w:val="Hyperlink"/>
            <w:noProof/>
          </w:rPr>
          <w:t>Modify Units: Pool Units</w:t>
        </w:r>
        <w:r w:rsidR="00C74523">
          <w:rPr>
            <w:noProof/>
            <w:webHidden/>
          </w:rPr>
          <w:tab/>
        </w:r>
        <w:r w:rsidR="00C74523">
          <w:rPr>
            <w:noProof/>
            <w:webHidden/>
          </w:rPr>
          <w:fldChar w:fldCharType="begin"/>
        </w:r>
        <w:r w:rsidR="00C74523">
          <w:rPr>
            <w:noProof/>
            <w:webHidden/>
          </w:rPr>
          <w:instrText xml:space="preserve"> PAGEREF _Toc163644917 \h </w:instrText>
        </w:r>
        <w:r w:rsidR="00C74523">
          <w:rPr>
            <w:noProof/>
            <w:webHidden/>
          </w:rPr>
        </w:r>
        <w:r w:rsidR="00C74523">
          <w:rPr>
            <w:noProof/>
            <w:webHidden/>
          </w:rPr>
          <w:fldChar w:fldCharType="separate"/>
        </w:r>
        <w:r>
          <w:rPr>
            <w:noProof/>
            <w:webHidden/>
          </w:rPr>
          <w:t>160</w:t>
        </w:r>
        <w:r w:rsidR="00C74523">
          <w:rPr>
            <w:noProof/>
            <w:webHidden/>
          </w:rPr>
          <w:fldChar w:fldCharType="end"/>
        </w:r>
      </w:hyperlink>
    </w:p>
    <w:p w14:paraId="35938E35" w14:textId="46C45E7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18" w:history="1">
        <w:r w:rsidR="00C74523" w:rsidRPr="00A66C95">
          <w:rPr>
            <w:rStyle w:val="Hyperlink"/>
            <w:noProof/>
          </w:rPr>
          <w:t>Add and/or Remove Units from a Pool</w:t>
        </w:r>
        <w:r w:rsidR="00C74523">
          <w:rPr>
            <w:noProof/>
            <w:webHidden/>
          </w:rPr>
          <w:tab/>
        </w:r>
        <w:r w:rsidR="00C74523">
          <w:rPr>
            <w:noProof/>
            <w:webHidden/>
          </w:rPr>
          <w:fldChar w:fldCharType="begin"/>
        </w:r>
        <w:r w:rsidR="00C74523">
          <w:rPr>
            <w:noProof/>
            <w:webHidden/>
          </w:rPr>
          <w:instrText xml:space="preserve"> PAGEREF _Toc163644918 \h </w:instrText>
        </w:r>
        <w:r w:rsidR="00C74523">
          <w:rPr>
            <w:noProof/>
            <w:webHidden/>
          </w:rPr>
        </w:r>
        <w:r w:rsidR="00C74523">
          <w:rPr>
            <w:noProof/>
            <w:webHidden/>
          </w:rPr>
          <w:fldChar w:fldCharType="separate"/>
        </w:r>
        <w:r>
          <w:rPr>
            <w:noProof/>
            <w:webHidden/>
          </w:rPr>
          <w:t>164</w:t>
        </w:r>
        <w:r w:rsidR="00C74523">
          <w:rPr>
            <w:noProof/>
            <w:webHidden/>
          </w:rPr>
          <w:fldChar w:fldCharType="end"/>
        </w:r>
      </w:hyperlink>
    </w:p>
    <w:p w14:paraId="78C35FD1" w14:textId="04348F5C"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19" w:history="1">
        <w:r w:rsidR="00C74523" w:rsidRPr="00A66C95">
          <w:rPr>
            <w:rStyle w:val="Hyperlink"/>
            <w:noProof/>
          </w:rPr>
          <w:t>Maintain Unit Records</w:t>
        </w:r>
        <w:r w:rsidR="00C74523">
          <w:rPr>
            <w:noProof/>
            <w:webHidden/>
          </w:rPr>
          <w:tab/>
        </w:r>
        <w:r w:rsidR="00C74523">
          <w:rPr>
            <w:noProof/>
            <w:webHidden/>
          </w:rPr>
          <w:fldChar w:fldCharType="begin"/>
        </w:r>
        <w:r w:rsidR="00C74523">
          <w:rPr>
            <w:noProof/>
            <w:webHidden/>
          </w:rPr>
          <w:instrText xml:space="preserve"> PAGEREF _Toc163644919 \h </w:instrText>
        </w:r>
        <w:r w:rsidR="00C74523">
          <w:rPr>
            <w:noProof/>
            <w:webHidden/>
          </w:rPr>
        </w:r>
        <w:r w:rsidR="00C74523">
          <w:rPr>
            <w:noProof/>
            <w:webHidden/>
          </w:rPr>
          <w:fldChar w:fldCharType="separate"/>
        </w:r>
        <w:r>
          <w:rPr>
            <w:noProof/>
            <w:webHidden/>
          </w:rPr>
          <w:t>167</w:t>
        </w:r>
        <w:r w:rsidR="00C74523">
          <w:rPr>
            <w:noProof/>
            <w:webHidden/>
          </w:rPr>
          <w:fldChar w:fldCharType="end"/>
        </w:r>
      </w:hyperlink>
    </w:p>
    <w:p w14:paraId="7A3FC996" w14:textId="2EBA147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20" w:history="1">
        <w:r w:rsidR="00C74523" w:rsidRPr="00A66C95">
          <w:rPr>
            <w:rStyle w:val="Hyperlink"/>
            <w:noProof/>
          </w:rPr>
          <w:t>Edit Unit Information</w:t>
        </w:r>
        <w:r w:rsidR="00C74523">
          <w:rPr>
            <w:noProof/>
            <w:webHidden/>
          </w:rPr>
          <w:tab/>
        </w:r>
        <w:r w:rsidR="00C74523">
          <w:rPr>
            <w:noProof/>
            <w:webHidden/>
          </w:rPr>
          <w:fldChar w:fldCharType="begin"/>
        </w:r>
        <w:r w:rsidR="00C74523">
          <w:rPr>
            <w:noProof/>
            <w:webHidden/>
          </w:rPr>
          <w:instrText xml:space="preserve"> PAGEREF _Toc163644920 \h </w:instrText>
        </w:r>
        <w:r w:rsidR="00C74523">
          <w:rPr>
            <w:noProof/>
            <w:webHidden/>
          </w:rPr>
        </w:r>
        <w:r w:rsidR="00C74523">
          <w:rPr>
            <w:noProof/>
            <w:webHidden/>
          </w:rPr>
          <w:fldChar w:fldCharType="separate"/>
        </w:r>
        <w:r>
          <w:rPr>
            <w:noProof/>
            <w:webHidden/>
          </w:rPr>
          <w:t>167</w:t>
        </w:r>
        <w:r w:rsidR="00C74523">
          <w:rPr>
            <w:noProof/>
            <w:webHidden/>
          </w:rPr>
          <w:fldChar w:fldCharType="end"/>
        </w:r>
      </w:hyperlink>
    </w:p>
    <w:p w14:paraId="7C2578A6" w14:textId="0331A701"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21" w:history="1">
        <w:r w:rsidR="00C74523" w:rsidRPr="00A66C95">
          <w:rPr>
            <w:rStyle w:val="Hyperlink"/>
            <w:noProof/>
          </w:rPr>
          <w:t>Edit Financial Data</w:t>
        </w:r>
        <w:r w:rsidR="00C74523">
          <w:rPr>
            <w:noProof/>
            <w:webHidden/>
          </w:rPr>
          <w:tab/>
        </w:r>
        <w:r w:rsidR="00C74523">
          <w:rPr>
            <w:noProof/>
            <w:webHidden/>
          </w:rPr>
          <w:fldChar w:fldCharType="begin"/>
        </w:r>
        <w:r w:rsidR="00C74523">
          <w:rPr>
            <w:noProof/>
            <w:webHidden/>
          </w:rPr>
          <w:instrText xml:space="preserve"> PAGEREF _Toc163644921 \h </w:instrText>
        </w:r>
        <w:r w:rsidR="00C74523">
          <w:rPr>
            <w:noProof/>
            <w:webHidden/>
          </w:rPr>
        </w:r>
        <w:r w:rsidR="00C74523">
          <w:rPr>
            <w:noProof/>
            <w:webHidden/>
          </w:rPr>
          <w:fldChar w:fldCharType="separate"/>
        </w:r>
        <w:r>
          <w:rPr>
            <w:noProof/>
            <w:webHidden/>
          </w:rPr>
          <w:t>174</w:t>
        </w:r>
        <w:r w:rsidR="00C74523">
          <w:rPr>
            <w:noProof/>
            <w:webHidden/>
          </w:rPr>
          <w:fldChar w:fldCharType="end"/>
        </w:r>
      </w:hyperlink>
    </w:p>
    <w:p w14:paraId="44926D91" w14:textId="19D0C3B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22" w:history="1">
        <w:r w:rsidR="00C74523" w:rsidRPr="00A66C95">
          <w:rPr>
            <w:rStyle w:val="Hyperlink"/>
            <w:noProof/>
          </w:rPr>
          <w:t>Free Directed Unit For Crossover</w:t>
        </w:r>
        <w:r w:rsidR="00C74523">
          <w:rPr>
            <w:noProof/>
            <w:webHidden/>
          </w:rPr>
          <w:tab/>
        </w:r>
        <w:r w:rsidR="00C74523">
          <w:rPr>
            <w:noProof/>
            <w:webHidden/>
          </w:rPr>
          <w:fldChar w:fldCharType="begin"/>
        </w:r>
        <w:r w:rsidR="00C74523">
          <w:rPr>
            <w:noProof/>
            <w:webHidden/>
          </w:rPr>
          <w:instrText xml:space="preserve"> PAGEREF _Toc163644922 \h </w:instrText>
        </w:r>
        <w:r w:rsidR="00C74523">
          <w:rPr>
            <w:noProof/>
            <w:webHidden/>
          </w:rPr>
        </w:r>
        <w:r w:rsidR="00C74523">
          <w:rPr>
            <w:noProof/>
            <w:webHidden/>
          </w:rPr>
          <w:fldChar w:fldCharType="separate"/>
        </w:r>
        <w:r>
          <w:rPr>
            <w:noProof/>
            <w:webHidden/>
          </w:rPr>
          <w:t>176</w:t>
        </w:r>
        <w:r w:rsidR="00C74523">
          <w:rPr>
            <w:noProof/>
            <w:webHidden/>
          </w:rPr>
          <w:fldChar w:fldCharType="end"/>
        </w:r>
      </w:hyperlink>
    </w:p>
    <w:p w14:paraId="408237DB" w14:textId="6948DAC4"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23" w:history="1">
        <w:r w:rsidR="00C74523" w:rsidRPr="00A66C95">
          <w:rPr>
            <w:rStyle w:val="Hyperlink"/>
            <w:noProof/>
          </w:rPr>
          <w:t>Discard or Quarantine</w:t>
        </w:r>
        <w:r w:rsidR="00C74523">
          <w:rPr>
            <w:noProof/>
            <w:webHidden/>
          </w:rPr>
          <w:tab/>
        </w:r>
        <w:r w:rsidR="00C74523">
          <w:rPr>
            <w:noProof/>
            <w:webHidden/>
          </w:rPr>
          <w:fldChar w:fldCharType="begin"/>
        </w:r>
        <w:r w:rsidR="00C74523">
          <w:rPr>
            <w:noProof/>
            <w:webHidden/>
          </w:rPr>
          <w:instrText xml:space="preserve"> PAGEREF _Toc163644923 \h </w:instrText>
        </w:r>
        <w:r w:rsidR="00C74523">
          <w:rPr>
            <w:noProof/>
            <w:webHidden/>
          </w:rPr>
        </w:r>
        <w:r w:rsidR="00C74523">
          <w:rPr>
            <w:noProof/>
            <w:webHidden/>
          </w:rPr>
          <w:fldChar w:fldCharType="separate"/>
        </w:r>
        <w:r>
          <w:rPr>
            <w:noProof/>
            <w:webHidden/>
          </w:rPr>
          <w:t>178</w:t>
        </w:r>
        <w:r w:rsidR="00C74523">
          <w:rPr>
            <w:noProof/>
            <w:webHidden/>
          </w:rPr>
          <w:fldChar w:fldCharType="end"/>
        </w:r>
      </w:hyperlink>
    </w:p>
    <w:p w14:paraId="5EA5A0C7" w14:textId="5C0DDC78"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24" w:history="1">
        <w:r w:rsidR="00C74523" w:rsidRPr="00A66C95">
          <w:rPr>
            <w:rStyle w:val="Hyperlink"/>
            <w:noProof/>
          </w:rPr>
          <w:t>Select Units</w:t>
        </w:r>
        <w:r w:rsidR="00C74523">
          <w:rPr>
            <w:noProof/>
            <w:webHidden/>
          </w:rPr>
          <w:tab/>
        </w:r>
        <w:r w:rsidR="00C74523">
          <w:rPr>
            <w:noProof/>
            <w:webHidden/>
          </w:rPr>
          <w:fldChar w:fldCharType="begin"/>
        </w:r>
        <w:r w:rsidR="00C74523">
          <w:rPr>
            <w:noProof/>
            <w:webHidden/>
          </w:rPr>
          <w:instrText xml:space="preserve"> PAGEREF _Toc163644924 \h </w:instrText>
        </w:r>
        <w:r w:rsidR="00C74523">
          <w:rPr>
            <w:noProof/>
            <w:webHidden/>
          </w:rPr>
        </w:r>
        <w:r w:rsidR="00C74523">
          <w:rPr>
            <w:noProof/>
            <w:webHidden/>
          </w:rPr>
          <w:fldChar w:fldCharType="separate"/>
        </w:r>
        <w:r>
          <w:rPr>
            <w:noProof/>
            <w:webHidden/>
          </w:rPr>
          <w:t>184</w:t>
        </w:r>
        <w:r w:rsidR="00C74523">
          <w:rPr>
            <w:noProof/>
            <w:webHidden/>
          </w:rPr>
          <w:fldChar w:fldCharType="end"/>
        </w:r>
      </w:hyperlink>
    </w:p>
    <w:p w14:paraId="1315D26E" w14:textId="32F6E610"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25" w:history="1">
        <w:r w:rsidR="00C74523" w:rsidRPr="00A66C95">
          <w:rPr>
            <w:rStyle w:val="Hyperlink"/>
            <w:noProof/>
          </w:rPr>
          <w:t>Issue Blood Components</w:t>
        </w:r>
        <w:r w:rsidR="00C74523">
          <w:rPr>
            <w:noProof/>
            <w:webHidden/>
          </w:rPr>
          <w:tab/>
        </w:r>
        <w:r w:rsidR="00C74523">
          <w:rPr>
            <w:noProof/>
            <w:webHidden/>
          </w:rPr>
          <w:fldChar w:fldCharType="begin"/>
        </w:r>
        <w:r w:rsidR="00C74523">
          <w:rPr>
            <w:noProof/>
            <w:webHidden/>
          </w:rPr>
          <w:instrText xml:space="preserve"> PAGEREF _Toc163644925 \h </w:instrText>
        </w:r>
        <w:r w:rsidR="00C74523">
          <w:rPr>
            <w:noProof/>
            <w:webHidden/>
          </w:rPr>
        </w:r>
        <w:r w:rsidR="00C74523">
          <w:rPr>
            <w:noProof/>
            <w:webHidden/>
          </w:rPr>
          <w:fldChar w:fldCharType="separate"/>
        </w:r>
        <w:r>
          <w:rPr>
            <w:noProof/>
            <w:webHidden/>
          </w:rPr>
          <w:t>195</w:t>
        </w:r>
        <w:r w:rsidR="00C74523">
          <w:rPr>
            <w:noProof/>
            <w:webHidden/>
          </w:rPr>
          <w:fldChar w:fldCharType="end"/>
        </w:r>
      </w:hyperlink>
    </w:p>
    <w:p w14:paraId="47367B29" w14:textId="14CFBE17"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26" w:history="1">
        <w:r w:rsidR="00C74523" w:rsidRPr="00A66C95">
          <w:rPr>
            <w:rStyle w:val="Hyperlink"/>
            <w:noProof/>
          </w:rPr>
          <w:t>Return Issued Units To Blood Bank</w:t>
        </w:r>
        <w:r w:rsidR="00C74523">
          <w:rPr>
            <w:noProof/>
            <w:webHidden/>
          </w:rPr>
          <w:tab/>
        </w:r>
        <w:r w:rsidR="00C74523">
          <w:rPr>
            <w:noProof/>
            <w:webHidden/>
          </w:rPr>
          <w:fldChar w:fldCharType="begin"/>
        </w:r>
        <w:r w:rsidR="00C74523">
          <w:rPr>
            <w:noProof/>
            <w:webHidden/>
          </w:rPr>
          <w:instrText xml:space="preserve"> PAGEREF _Toc163644926 \h </w:instrText>
        </w:r>
        <w:r w:rsidR="00C74523">
          <w:rPr>
            <w:noProof/>
            <w:webHidden/>
          </w:rPr>
        </w:r>
        <w:r w:rsidR="00C74523">
          <w:rPr>
            <w:noProof/>
            <w:webHidden/>
          </w:rPr>
          <w:fldChar w:fldCharType="separate"/>
        </w:r>
        <w:r>
          <w:rPr>
            <w:noProof/>
            <w:webHidden/>
          </w:rPr>
          <w:t>209</w:t>
        </w:r>
        <w:r w:rsidR="00C74523">
          <w:rPr>
            <w:noProof/>
            <w:webHidden/>
          </w:rPr>
          <w:fldChar w:fldCharType="end"/>
        </w:r>
      </w:hyperlink>
    </w:p>
    <w:p w14:paraId="101FAC63" w14:textId="4ED051B4"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27" w:history="1">
        <w:r w:rsidR="00C74523" w:rsidRPr="00A66C95">
          <w:rPr>
            <w:rStyle w:val="Hyperlink"/>
            <w:noProof/>
          </w:rPr>
          <w:t>Release Units From Patient Assignment</w:t>
        </w:r>
        <w:r w:rsidR="00C74523">
          <w:rPr>
            <w:noProof/>
            <w:webHidden/>
          </w:rPr>
          <w:tab/>
        </w:r>
        <w:r w:rsidR="00C74523">
          <w:rPr>
            <w:noProof/>
            <w:webHidden/>
          </w:rPr>
          <w:fldChar w:fldCharType="begin"/>
        </w:r>
        <w:r w:rsidR="00C74523">
          <w:rPr>
            <w:noProof/>
            <w:webHidden/>
          </w:rPr>
          <w:instrText xml:space="preserve"> PAGEREF _Toc163644927 \h </w:instrText>
        </w:r>
        <w:r w:rsidR="00C74523">
          <w:rPr>
            <w:noProof/>
            <w:webHidden/>
          </w:rPr>
        </w:r>
        <w:r w:rsidR="00C74523">
          <w:rPr>
            <w:noProof/>
            <w:webHidden/>
          </w:rPr>
          <w:fldChar w:fldCharType="separate"/>
        </w:r>
        <w:r>
          <w:rPr>
            <w:noProof/>
            <w:webHidden/>
          </w:rPr>
          <w:t>213</w:t>
        </w:r>
        <w:r w:rsidR="00C74523">
          <w:rPr>
            <w:noProof/>
            <w:webHidden/>
          </w:rPr>
          <w:fldChar w:fldCharType="end"/>
        </w:r>
      </w:hyperlink>
    </w:p>
    <w:p w14:paraId="2A25194C" w14:textId="00809A73"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28" w:history="1">
        <w:r w:rsidR="00C74523" w:rsidRPr="00A66C95">
          <w:rPr>
            <w:rStyle w:val="Hyperlink"/>
            <w:noProof/>
          </w:rPr>
          <w:t>Print Unit Caution Tag &amp; Transfusion Record Form</w:t>
        </w:r>
        <w:r w:rsidR="00C74523">
          <w:rPr>
            <w:noProof/>
            <w:webHidden/>
          </w:rPr>
          <w:tab/>
        </w:r>
        <w:r w:rsidR="00C74523">
          <w:rPr>
            <w:noProof/>
            <w:webHidden/>
          </w:rPr>
          <w:fldChar w:fldCharType="begin"/>
        </w:r>
        <w:r w:rsidR="00C74523">
          <w:rPr>
            <w:noProof/>
            <w:webHidden/>
          </w:rPr>
          <w:instrText xml:space="preserve"> PAGEREF _Toc163644928 \h </w:instrText>
        </w:r>
        <w:r w:rsidR="00C74523">
          <w:rPr>
            <w:noProof/>
            <w:webHidden/>
          </w:rPr>
        </w:r>
        <w:r w:rsidR="00C74523">
          <w:rPr>
            <w:noProof/>
            <w:webHidden/>
          </w:rPr>
          <w:fldChar w:fldCharType="separate"/>
        </w:r>
        <w:r>
          <w:rPr>
            <w:noProof/>
            <w:webHidden/>
          </w:rPr>
          <w:t>216</w:t>
        </w:r>
        <w:r w:rsidR="00C74523">
          <w:rPr>
            <w:noProof/>
            <w:webHidden/>
          </w:rPr>
          <w:fldChar w:fldCharType="end"/>
        </w:r>
      </w:hyperlink>
    </w:p>
    <w:p w14:paraId="6C484F73" w14:textId="239126FC"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29" w:history="1">
        <w:r w:rsidR="00C74523" w:rsidRPr="00A66C95">
          <w:rPr>
            <w:rStyle w:val="Hyperlink"/>
            <w:noProof/>
          </w:rPr>
          <w:t>Invalidate Test Results</w:t>
        </w:r>
        <w:r w:rsidR="00C74523">
          <w:rPr>
            <w:noProof/>
            <w:webHidden/>
          </w:rPr>
          <w:tab/>
        </w:r>
        <w:r w:rsidR="00C74523">
          <w:rPr>
            <w:noProof/>
            <w:webHidden/>
          </w:rPr>
          <w:fldChar w:fldCharType="begin"/>
        </w:r>
        <w:r w:rsidR="00C74523">
          <w:rPr>
            <w:noProof/>
            <w:webHidden/>
          </w:rPr>
          <w:instrText xml:space="preserve"> PAGEREF _Toc163644929 \h </w:instrText>
        </w:r>
        <w:r w:rsidR="00C74523">
          <w:rPr>
            <w:noProof/>
            <w:webHidden/>
          </w:rPr>
        </w:r>
        <w:r w:rsidR="00C74523">
          <w:rPr>
            <w:noProof/>
            <w:webHidden/>
          </w:rPr>
          <w:fldChar w:fldCharType="separate"/>
        </w:r>
        <w:r>
          <w:rPr>
            <w:noProof/>
            <w:webHidden/>
          </w:rPr>
          <w:t>226</w:t>
        </w:r>
        <w:r w:rsidR="00C74523">
          <w:rPr>
            <w:noProof/>
            <w:webHidden/>
          </w:rPr>
          <w:fldChar w:fldCharType="end"/>
        </w:r>
      </w:hyperlink>
    </w:p>
    <w:p w14:paraId="2D1CDCA0" w14:textId="6F250E65"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30" w:history="1">
        <w:r w:rsidR="00C74523" w:rsidRPr="00A66C95">
          <w:rPr>
            <w:rStyle w:val="Hyperlink"/>
            <w:noProof/>
          </w:rPr>
          <w:t>Remove Final Status</w:t>
        </w:r>
        <w:r w:rsidR="00C74523">
          <w:rPr>
            <w:noProof/>
            <w:webHidden/>
          </w:rPr>
          <w:tab/>
        </w:r>
        <w:r w:rsidR="00C74523">
          <w:rPr>
            <w:noProof/>
            <w:webHidden/>
          </w:rPr>
          <w:fldChar w:fldCharType="begin"/>
        </w:r>
        <w:r w:rsidR="00C74523">
          <w:rPr>
            <w:noProof/>
            <w:webHidden/>
          </w:rPr>
          <w:instrText xml:space="preserve"> PAGEREF _Toc163644930 \h </w:instrText>
        </w:r>
        <w:r w:rsidR="00C74523">
          <w:rPr>
            <w:noProof/>
            <w:webHidden/>
          </w:rPr>
        </w:r>
        <w:r w:rsidR="00C74523">
          <w:rPr>
            <w:noProof/>
            <w:webHidden/>
          </w:rPr>
          <w:fldChar w:fldCharType="separate"/>
        </w:r>
        <w:r>
          <w:rPr>
            <w:noProof/>
            <w:webHidden/>
          </w:rPr>
          <w:t>230</w:t>
        </w:r>
        <w:r w:rsidR="00C74523">
          <w:rPr>
            <w:noProof/>
            <w:webHidden/>
          </w:rPr>
          <w:fldChar w:fldCharType="end"/>
        </w:r>
      </w:hyperlink>
    </w:p>
    <w:p w14:paraId="4748A4B1" w14:textId="2F9FE072"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931" w:history="1">
        <w:r w:rsidR="00C74523" w:rsidRPr="00A66C95">
          <w:rPr>
            <w:rStyle w:val="Hyperlink"/>
            <w:noProof/>
          </w:rPr>
          <w:t>Processing Orders</w:t>
        </w:r>
        <w:r w:rsidR="00C74523">
          <w:rPr>
            <w:noProof/>
            <w:webHidden/>
          </w:rPr>
          <w:tab/>
        </w:r>
        <w:r w:rsidR="00C74523">
          <w:rPr>
            <w:noProof/>
            <w:webHidden/>
          </w:rPr>
          <w:fldChar w:fldCharType="begin"/>
        </w:r>
        <w:r w:rsidR="00C74523">
          <w:rPr>
            <w:noProof/>
            <w:webHidden/>
          </w:rPr>
          <w:instrText xml:space="preserve"> PAGEREF _Toc163644931 \h </w:instrText>
        </w:r>
        <w:r w:rsidR="00C74523">
          <w:rPr>
            <w:noProof/>
            <w:webHidden/>
          </w:rPr>
        </w:r>
        <w:r w:rsidR="00C74523">
          <w:rPr>
            <w:noProof/>
            <w:webHidden/>
          </w:rPr>
          <w:fldChar w:fldCharType="separate"/>
        </w:r>
        <w:r>
          <w:rPr>
            <w:noProof/>
            <w:webHidden/>
          </w:rPr>
          <w:t>233</w:t>
        </w:r>
        <w:r w:rsidR="00C74523">
          <w:rPr>
            <w:noProof/>
            <w:webHidden/>
          </w:rPr>
          <w:fldChar w:fldCharType="end"/>
        </w:r>
      </w:hyperlink>
    </w:p>
    <w:p w14:paraId="48E2E77A" w14:textId="6F74AF08"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32" w:history="1">
        <w:r w:rsidR="00C74523" w:rsidRPr="00A66C95">
          <w:rPr>
            <w:rStyle w:val="Hyperlink"/>
            <w:noProof/>
          </w:rPr>
          <w:t>Accept Orders: Accept an Order</w:t>
        </w:r>
        <w:r w:rsidR="00C74523">
          <w:rPr>
            <w:noProof/>
            <w:webHidden/>
          </w:rPr>
          <w:tab/>
        </w:r>
        <w:r w:rsidR="00C74523">
          <w:rPr>
            <w:noProof/>
            <w:webHidden/>
          </w:rPr>
          <w:fldChar w:fldCharType="begin"/>
        </w:r>
        <w:r w:rsidR="00C74523">
          <w:rPr>
            <w:noProof/>
            <w:webHidden/>
          </w:rPr>
          <w:instrText xml:space="preserve"> PAGEREF _Toc163644932 \h </w:instrText>
        </w:r>
        <w:r w:rsidR="00C74523">
          <w:rPr>
            <w:noProof/>
            <w:webHidden/>
          </w:rPr>
        </w:r>
        <w:r w:rsidR="00C74523">
          <w:rPr>
            <w:noProof/>
            <w:webHidden/>
          </w:rPr>
          <w:fldChar w:fldCharType="separate"/>
        </w:r>
        <w:r>
          <w:rPr>
            <w:noProof/>
            <w:webHidden/>
          </w:rPr>
          <w:t>233</w:t>
        </w:r>
        <w:r w:rsidR="00C74523">
          <w:rPr>
            <w:noProof/>
            <w:webHidden/>
          </w:rPr>
          <w:fldChar w:fldCharType="end"/>
        </w:r>
      </w:hyperlink>
    </w:p>
    <w:p w14:paraId="43D7109B" w14:textId="3EC229CA"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33" w:history="1">
        <w:r w:rsidR="00C74523" w:rsidRPr="00A66C95">
          <w:rPr>
            <w:rStyle w:val="Hyperlink"/>
            <w:noProof/>
          </w:rPr>
          <w:t>Accept Orders: Pending Order List</w:t>
        </w:r>
        <w:r w:rsidR="00C74523">
          <w:rPr>
            <w:noProof/>
            <w:webHidden/>
          </w:rPr>
          <w:tab/>
        </w:r>
        <w:r w:rsidR="00C74523">
          <w:rPr>
            <w:noProof/>
            <w:webHidden/>
          </w:rPr>
          <w:fldChar w:fldCharType="begin"/>
        </w:r>
        <w:r w:rsidR="00C74523">
          <w:rPr>
            <w:noProof/>
            <w:webHidden/>
          </w:rPr>
          <w:instrText xml:space="preserve"> PAGEREF _Toc163644933 \h </w:instrText>
        </w:r>
        <w:r w:rsidR="00C74523">
          <w:rPr>
            <w:noProof/>
            <w:webHidden/>
          </w:rPr>
        </w:r>
        <w:r w:rsidR="00C74523">
          <w:rPr>
            <w:noProof/>
            <w:webHidden/>
          </w:rPr>
          <w:fldChar w:fldCharType="separate"/>
        </w:r>
        <w:r>
          <w:rPr>
            <w:noProof/>
            <w:webHidden/>
          </w:rPr>
          <w:t>239</w:t>
        </w:r>
        <w:r w:rsidR="00C74523">
          <w:rPr>
            <w:noProof/>
            <w:webHidden/>
          </w:rPr>
          <w:fldChar w:fldCharType="end"/>
        </w:r>
      </w:hyperlink>
    </w:p>
    <w:p w14:paraId="2CA4E99E" w14:textId="13A10C7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34" w:history="1">
        <w:r w:rsidR="00C74523" w:rsidRPr="00A66C95">
          <w:rPr>
            <w:rStyle w:val="Hyperlink"/>
            <w:noProof/>
          </w:rPr>
          <w:drawing>
            <wp:inline distT="0" distB="0" distL="0" distR="0" wp14:anchorId="1DDFDDCD" wp14:editId="304CBDF1">
              <wp:extent cx="156845" cy="156845"/>
              <wp:effectExtent l="0" t="0" r="0" b="0"/>
              <wp:docPr id="246" name="Picture 246" descr="Order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Order Ale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C74523" w:rsidRPr="00A66C95">
          <w:rPr>
            <w:rStyle w:val="Hyperlink"/>
            <w:noProof/>
          </w:rPr>
          <w:t xml:space="preserve"> Display Order Alerts</w:t>
        </w:r>
        <w:r w:rsidR="00C74523">
          <w:rPr>
            <w:noProof/>
            <w:webHidden/>
          </w:rPr>
          <w:tab/>
        </w:r>
        <w:r w:rsidR="00C74523">
          <w:rPr>
            <w:noProof/>
            <w:webHidden/>
          </w:rPr>
          <w:fldChar w:fldCharType="begin"/>
        </w:r>
        <w:r w:rsidR="00C74523">
          <w:rPr>
            <w:noProof/>
            <w:webHidden/>
          </w:rPr>
          <w:instrText xml:space="preserve"> PAGEREF _Toc163644934 \h </w:instrText>
        </w:r>
        <w:r w:rsidR="00C74523">
          <w:rPr>
            <w:noProof/>
            <w:webHidden/>
          </w:rPr>
        </w:r>
        <w:r w:rsidR="00C74523">
          <w:rPr>
            <w:noProof/>
            <w:webHidden/>
          </w:rPr>
          <w:fldChar w:fldCharType="separate"/>
        </w:r>
        <w:r>
          <w:rPr>
            <w:noProof/>
            <w:webHidden/>
          </w:rPr>
          <w:t>241</w:t>
        </w:r>
        <w:r w:rsidR="00C74523">
          <w:rPr>
            <w:noProof/>
            <w:webHidden/>
          </w:rPr>
          <w:fldChar w:fldCharType="end"/>
        </w:r>
      </w:hyperlink>
    </w:p>
    <w:p w14:paraId="4DA32E09" w14:textId="25B6DCB7"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35" w:history="1">
        <w:r w:rsidR="00C74523" w:rsidRPr="00A66C95">
          <w:rPr>
            <w:rStyle w:val="Hyperlink"/>
            <w:noProof/>
          </w:rPr>
          <w:t>CPRS Order Status Alert</w:t>
        </w:r>
        <w:r w:rsidR="00C74523">
          <w:rPr>
            <w:noProof/>
            <w:webHidden/>
          </w:rPr>
          <w:tab/>
        </w:r>
        <w:r w:rsidR="00C74523">
          <w:rPr>
            <w:noProof/>
            <w:webHidden/>
          </w:rPr>
          <w:fldChar w:fldCharType="begin"/>
        </w:r>
        <w:r w:rsidR="00C74523">
          <w:rPr>
            <w:noProof/>
            <w:webHidden/>
          </w:rPr>
          <w:instrText xml:space="preserve"> PAGEREF _Toc163644935 \h </w:instrText>
        </w:r>
        <w:r w:rsidR="00C74523">
          <w:rPr>
            <w:noProof/>
            <w:webHidden/>
          </w:rPr>
        </w:r>
        <w:r w:rsidR="00C74523">
          <w:rPr>
            <w:noProof/>
            <w:webHidden/>
          </w:rPr>
          <w:fldChar w:fldCharType="separate"/>
        </w:r>
        <w:r>
          <w:rPr>
            <w:noProof/>
            <w:webHidden/>
          </w:rPr>
          <w:t>243</w:t>
        </w:r>
        <w:r w:rsidR="00C74523">
          <w:rPr>
            <w:noProof/>
            <w:webHidden/>
          </w:rPr>
          <w:fldChar w:fldCharType="end"/>
        </w:r>
      </w:hyperlink>
    </w:p>
    <w:p w14:paraId="0829EEBB" w14:textId="318B0314"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36" w:history="1">
        <w:r w:rsidR="00C74523" w:rsidRPr="00A66C95">
          <w:rPr>
            <w:rStyle w:val="Hyperlink"/>
            <w:noProof/>
          </w:rPr>
          <w:drawing>
            <wp:inline distT="0" distB="0" distL="0" distR="0" wp14:anchorId="0B1F906F" wp14:editId="54F4A98C">
              <wp:extent cx="166370" cy="156845"/>
              <wp:effectExtent l="0" t="0" r="5080" b="0"/>
              <wp:docPr id="247" name="Picture 247"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C74523" w:rsidRPr="00A66C95">
          <w:rPr>
            <w:rStyle w:val="Hyperlink"/>
            <w:noProof/>
          </w:rPr>
          <w:t xml:space="preserve"> Display Patient Update Alerts</w:t>
        </w:r>
        <w:r w:rsidR="00C74523">
          <w:rPr>
            <w:noProof/>
            <w:webHidden/>
          </w:rPr>
          <w:tab/>
        </w:r>
        <w:r w:rsidR="00C74523">
          <w:rPr>
            <w:noProof/>
            <w:webHidden/>
          </w:rPr>
          <w:fldChar w:fldCharType="begin"/>
        </w:r>
        <w:r w:rsidR="00C74523">
          <w:rPr>
            <w:noProof/>
            <w:webHidden/>
          </w:rPr>
          <w:instrText xml:space="preserve"> PAGEREF _Toc163644936 \h </w:instrText>
        </w:r>
        <w:r w:rsidR="00C74523">
          <w:rPr>
            <w:noProof/>
            <w:webHidden/>
          </w:rPr>
        </w:r>
        <w:r w:rsidR="00C74523">
          <w:rPr>
            <w:noProof/>
            <w:webHidden/>
          </w:rPr>
          <w:fldChar w:fldCharType="separate"/>
        </w:r>
        <w:r>
          <w:rPr>
            <w:noProof/>
            <w:webHidden/>
          </w:rPr>
          <w:t>244</w:t>
        </w:r>
        <w:r w:rsidR="00C74523">
          <w:rPr>
            <w:noProof/>
            <w:webHidden/>
          </w:rPr>
          <w:fldChar w:fldCharType="end"/>
        </w:r>
      </w:hyperlink>
    </w:p>
    <w:p w14:paraId="4BB83F25" w14:textId="0C0968A4"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37" w:history="1">
        <w:r w:rsidR="00C74523" w:rsidRPr="00A66C95">
          <w:rPr>
            <w:rStyle w:val="Hyperlink"/>
            <w:noProof/>
          </w:rPr>
          <w:drawing>
            <wp:inline distT="0" distB="0" distL="0" distR="0" wp14:anchorId="491934AE" wp14:editId="6706C25D">
              <wp:extent cx="166370" cy="156845"/>
              <wp:effectExtent l="0" t="0" r="5080" b="0"/>
              <wp:docPr id="248" name="Picture 248"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C74523" w:rsidRPr="00A66C95">
          <w:rPr>
            <w:rStyle w:val="Hyperlink"/>
            <w:noProof/>
          </w:rPr>
          <w:t xml:space="preserve"> Display Patient Merge Alerts</w:t>
        </w:r>
        <w:r w:rsidR="00C74523">
          <w:rPr>
            <w:noProof/>
            <w:webHidden/>
          </w:rPr>
          <w:tab/>
        </w:r>
        <w:r w:rsidR="00C74523">
          <w:rPr>
            <w:noProof/>
            <w:webHidden/>
          </w:rPr>
          <w:fldChar w:fldCharType="begin"/>
        </w:r>
        <w:r w:rsidR="00C74523">
          <w:rPr>
            <w:noProof/>
            <w:webHidden/>
          </w:rPr>
          <w:instrText xml:space="preserve"> PAGEREF _Toc163644937 \h </w:instrText>
        </w:r>
        <w:r w:rsidR="00C74523">
          <w:rPr>
            <w:noProof/>
            <w:webHidden/>
          </w:rPr>
        </w:r>
        <w:r w:rsidR="00C74523">
          <w:rPr>
            <w:noProof/>
            <w:webHidden/>
          </w:rPr>
          <w:fldChar w:fldCharType="separate"/>
        </w:r>
        <w:r>
          <w:rPr>
            <w:noProof/>
            <w:webHidden/>
          </w:rPr>
          <w:t>245</w:t>
        </w:r>
        <w:r w:rsidR="00C74523">
          <w:rPr>
            <w:noProof/>
            <w:webHidden/>
          </w:rPr>
          <w:fldChar w:fldCharType="end"/>
        </w:r>
      </w:hyperlink>
    </w:p>
    <w:p w14:paraId="765B45A8" w14:textId="0073398D"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38" w:history="1">
        <w:r w:rsidR="00C74523" w:rsidRPr="00A66C95">
          <w:rPr>
            <w:rStyle w:val="Hyperlink"/>
            <w:noProof/>
          </w:rPr>
          <w:t>Emergency Transfusion Order Processing</w:t>
        </w:r>
        <w:r w:rsidR="00C74523">
          <w:rPr>
            <w:noProof/>
            <w:webHidden/>
          </w:rPr>
          <w:tab/>
        </w:r>
        <w:r w:rsidR="00C74523">
          <w:rPr>
            <w:noProof/>
            <w:webHidden/>
          </w:rPr>
          <w:fldChar w:fldCharType="begin"/>
        </w:r>
        <w:r w:rsidR="00C74523">
          <w:rPr>
            <w:noProof/>
            <w:webHidden/>
          </w:rPr>
          <w:instrText xml:space="preserve"> PAGEREF _Toc163644938 \h </w:instrText>
        </w:r>
        <w:r w:rsidR="00C74523">
          <w:rPr>
            <w:noProof/>
            <w:webHidden/>
          </w:rPr>
        </w:r>
        <w:r w:rsidR="00C74523">
          <w:rPr>
            <w:noProof/>
            <w:webHidden/>
          </w:rPr>
          <w:fldChar w:fldCharType="separate"/>
        </w:r>
        <w:r>
          <w:rPr>
            <w:noProof/>
            <w:webHidden/>
          </w:rPr>
          <w:t>246</w:t>
        </w:r>
        <w:r w:rsidR="00C74523">
          <w:rPr>
            <w:noProof/>
            <w:webHidden/>
          </w:rPr>
          <w:fldChar w:fldCharType="end"/>
        </w:r>
      </w:hyperlink>
    </w:p>
    <w:p w14:paraId="268C285B" w14:textId="6DF22FA6"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39" w:history="1">
        <w:r w:rsidR="00C74523" w:rsidRPr="00A66C95">
          <w:rPr>
            <w:rStyle w:val="Hyperlink"/>
            <w:noProof/>
          </w:rPr>
          <w:t>Maintain Specimen</w:t>
        </w:r>
        <w:r w:rsidR="00C74523">
          <w:rPr>
            <w:noProof/>
            <w:webHidden/>
          </w:rPr>
          <w:tab/>
        </w:r>
        <w:r w:rsidR="00C74523">
          <w:rPr>
            <w:noProof/>
            <w:webHidden/>
          </w:rPr>
          <w:fldChar w:fldCharType="begin"/>
        </w:r>
        <w:r w:rsidR="00C74523">
          <w:rPr>
            <w:noProof/>
            <w:webHidden/>
          </w:rPr>
          <w:instrText xml:space="preserve"> PAGEREF _Toc163644939 \h </w:instrText>
        </w:r>
        <w:r w:rsidR="00C74523">
          <w:rPr>
            <w:noProof/>
            <w:webHidden/>
          </w:rPr>
        </w:r>
        <w:r w:rsidR="00C74523">
          <w:rPr>
            <w:noProof/>
            <w:webHidden/>
          </w:rPr>
          <w:fldChar w:fldCharType="separate"/>
        </w:r>
        <w:r>
          <w:rPr>
            <w:noProof/>
            <w:webHidden/>
          </w:rPr>
          <w:t>249</w:t>
        </w:r>
        <w:r w:rsidR="00C74523">
          <w:rPr>
            <w:noProof/>
            <w:webHidden/>
          </w:rPr>
          <w:fldChar w:fldCharType="end"/>
        </w:r>
      </w:hyperlink>
    </w:p>
    <w:p w14:paraId="69F4FB4E" w14:textId="438D26FB"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40" w:history="1">
        <w:r w:rsidR="00C74523" w:rsidRPr="00A66C95">
          <w:rPr>
            <w:rStyle w:val="Hyperlink"/>
            <w:noProof/>
          </w:rPr>
          <w:t>Patient Testing: Cancel an Active Order</w:t>
        </w:r>
        <w:r w:rsidR="00C74523">
          <w:rPr>
            <w:noProof/>
            <w:webHidden/>
          </w:rPr>
          <w:tab/>
        </w:r>
        <w:r w:rsidR="00C74523">
          <w:rPr>
            <w:noProof/>
            <w:webHidden/>
          </w:rPr>
          <w:fldChar w:fldCharType="begin"/>
        </w:r>
        <w:r w:rsidR="00C74523">
          <w:rPr>
            <w:noProof/>
            <w:webHidden/>
          </w:rPr>
          <w:instrText xml:space="preserve"> PAGEREF _Toc163644940 \h </w:instrText>
        </w:r>
        <w:r w:rsidR="00C74523">
          <w:rPr>
            <w:noProof/>
            <w:webHidden/>
          </w:rPr>
        </w:r>
        <w:r w:rsidR="00C74523">
          <w:rPr>
            <w:noProof/>
            <w:webHidden/>
          </w:rPr>
          <w:fldChar w:fldCharType="separate"/>
        </w:r>
        <w:r>
          <w:rPr>
            <w:noProof/>
            <w:webHidden/>
          </w:rPr>
          <w:t>253</w:t>
        </w:r>
        <w:r w:rsidR="00C74523">
          <w:rPr>
            <w:noProof/>
            <w:webHidden/>
          </w:rPr>
          <w:fldChar w:fldCharType="end"/>
        </w:r>
      </w:hyperlink>
    </w:p>
    <w:p w14:paraId="7659CDC7" w14:textId="155AACEC"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41" w:history="1">
        <w:r w:rsidR="00C74523" w:rsidRPr="00A66C95">
          <w:rPr>
            <w:rStyle w:val="Hyperlink"/>
            <w:noProof/>
          </w:rPr>
          <w:t>Patient Testing: Pending Task List</w:t>
        </w:r>
        <w:r w:rsidR="00C74523">
          <w:rPr>
            <w:noProof/>
            <w:webHidden/>
          </w:rPr>
          <w:tab/>
        </w:r>
        <w:r w:rsidR="00C74523">
          <w:rPr>
            <w:noProof/>
            <w:webHidden/>
          </w:rPr>
          <w:fldChar w:fldCharType="begin"/>
        </w:r>
        <w:r w:rsidR="00C74523">
          <w:rPr>
            <w:noProof/>
            <w:webHidden/>
          </w:rPr>
          <w:instrText xml:space="preserve"> PAGEREF _Toc163644941 \h </w:instrText>
        </w:r>
        <w:r w:rsidR="00C74523">
          <w:rPr>
            <w:noProof/>
            <w:webHidden/>
          </w:rPr>
        </w:r>
        <w:r w:rsidR="00C74523">
          <w:rPr>
            <w:noProof/>
            <w:webHidden/>
          </w:rPr>
          <w:fldChar w:fldCharType="separate"/>
        </w:r>
        <w:r>
          <w:rPr>
            <w:noProof/>
            <w:webHidden/>
          </w:rPr>
          <w:t>255</w:t>
        </w:r>
        <w:r w:rsidR="00C74523">
          <w:rPr>
            <w:noProof/>
            <w:webHidden/>
          </w:rPr>
          <w:fldChar w:fldCharType="end"/>
        </w:r>
      </w:hyperlink>
    </w:p>
    <w:p w14:paraId="6E384174" w14:textId="2601F084"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42" w:history="1">
        <w:r w:rsidR="00C74523" w:rsidRPr="00A66C95">
          <w:rPr>
            <w:rStyle w:val="Hyperlink"/>
            <w:noProof/>
          </w:rPr>
          <w:t>Accept Orders: Cancel a Pending Order</w:t>
        </w:r>
        <w:r w:rsidR="00C74523">
          <w:rPr>
            <w:noProof/>
            <w:webHidden/>
          </w:rPr>
          <w:tab/>
        </w:r>
        <w:r w:rsidR="00C74523">
          <w:rPr>
            <w:noProof/>
            <w:webHidden/>
          </w:rPr>
          <w:fldChar w:fldCharType="begin"/>
        </w:r>
        <w:r w:rsidR="00C74523">
          <w:rPr>
            <w:noProof/>
            <w:webHidden/>
          </w:rPr>
          <w:instrText xml:space="preserve"> PAGEREF _Toc163644942 \h </w:instrText>
        </w:r>
        <w:r w:rsidR="00C74523">
          <w:rPr>
            <w:noProof/>
            <w:webHidden/>
          </w:rPr>
        </w:r>
        <w:r w:rsidR="00C74523">
          <w:rPr>
            <w:noProof/>
            <w:webHidden/>
          </w:rPr>
          <w:fldChar w:fldCharType="separate"/>
        </w:r>
        <w:r>
          <w:rPr>
            <w:noProof/>
            <w:webHidden/>
          </w:rPr>
          <w:t>258</w:t>
        </w:r>
        <w:r w:rsidR="00C74523">
          <w:rPr>
            <w:noProof/>
            <w:webHidden/>
          </w:rPr>
          <w:fldChar w:fldCharType="end"/>
        </w:r>
      </w:hyperlink>
    </w:p>
    <w:p w14:paraId="7F33EA36" w14:textId="2281B75A"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43" w:history="1">
        <w:r w:rsidR="00C74523" w:rsidRPr="00A66C95">
          <w:rPr>
            <w:rStyle w:val="Hyperlink"/>
            <w:noProof/>
          </w:rPr>
          <w:t>Order Reflex Tests</w:t>
        </w:r>
        <w:r w:rsidR="00C74523">
          <w:rPr>
            <w:noProof/>
            <w:webHidden/>
          </w:rPr>
          <w:tab/>
        </w:r>
        <w:r w:rsidR="00C74523">
          <w:rPr>
            <w:noProof/>
            <w:webHidden/>
          </w:rPr>
          <w:fldChar w:fldCharType="begin"/>
        </w:r>
        <w:r w:rsidR="00C74523">
          <w:rPr>
            <w:noProof/>
            <w:webHidden/>
          </w:rPr>
          <w:instrText xml:space="preserve"> PAGEREF _Toc163644943 \h </w:instrText>
        </w:r>
        <w:r w:rsidR="00C74523">
          <w:rPr>
            <w:noProof/>
            <w:webHidden/>
          </w:rPr>
        </w:r>
        <w:r w:rsidR="00C74523">
          <w:rPr>
            <w:noProof/>
            <w:webHidden/>
          </w:rPr>
          <w:fldChar w:fldCharType="separate"/>
        </w:r>
        <w:r>
          <w:rPr>
            <w:noProof/>
            <w:webHidden/>
          </w:rPr>
          <w:t>260</w:t>
        </w:r>
        <w:r w:rsidR="00C74523">
          <w:rPr>
            <w:noProof/>
            <w:webHidden/>
          </w:rPr>
          <w:fldChar w:fldCharType="end"/>
        </w:r>
      </w:hyperlink>
    </w:p>
    <w:p w14:paraId="05AD0930" w14:textId="3FDD984A"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944" w:history="1">
        <w:r w:rsidR="00C74523" w:rsidRPr="00A66C95">
          <w:rPr>
            <w:rStyle w:val="Hyperlink"/>
            <w:noProof/>
          </w:rPr>
          <w:t>Patient Services</w:t>
        </w:r>
        <w:r w:rsidR="00C74523">
          <w:rPr>
            <w:noProof/>
            <w:webHidden/>
          </w:rPr>
          <w:tab/>
        </w:r>
        <w:r w:rsidR="00C74523">
          <w:rPr>
            <w:noProof/>
            <w:webHidden/>
          </w:rPr>
          <w:fldChar w:fldCharType="begin"/>
        </w:r>
        <w:r w:rsidR="00C74523">
          <w:rPr>
            <w:noProof/>
            <w:webHidden/>
          </w:rPr>
          <w:instrText xml:space="preserve"> PAGEREF _Toc163644944 \h </w:instrText>
        </w:r>
        <w:r w:rsidR="00C74523">
          <w:rPr>
            <w:noProof/>
            <w:webHidden/>
          </w:rPr>
        </w:r>
        <w:r w:rsidR="00C74523">
          <w:rPr>
            <w:noProof/>
            <w:webHidden/>
          </w:rPr>
          <w:fldChar w:fldCharType="separate"/>
        </w:r>
        <w:r>
          <w:rPr>
            <w:noProof/>
            <w:webHidden/>
          </w:rPr>
          <w:t>263</w:t>
        </w:r>
        <w:r w:rsidR="00C74523">
          <w:rPr>
            <w:noProof/>
            <w:webHidden/>
          </w:rPr>
          <w:fldChar w:fldCharType="end"/>
        </w:r>
      </w:hyperlink>
    </w:p>
    <w:p w14:paraId="5A463BBF" w14:textId="259B1F4C"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45" w:history="1">
        <w:r w:rsidR="00C74523" w:rsidRPr="00A66C95">
          <w:rPr>
            <w:rStyle w:val="Hyperlink"/>
            <w:noProof/>
          </w:rPr>
          <w:t>Patient Search Screen</w:t>
        </w:r>
        <w:r w:rsidR="00C74523">
          <w:rPr>
            <w:noProof/>
            <w:webHidden/>
          </w:rPr>
          <w:tab/>
        </w:r>
        <w:r w:rsidR="00C74523">
          <w:rPr>
            <w:noProof/>
            <w:webHidden/>
          </w:rPr>
          <w:fldChar w:fldCharType="begin"/>
        </w:r>
        <w:r w:rsidR="00C74523">
          <w:rPr>
            <w:noProof/>
            <w:webHidden/>
          </w:rPr>
          <w:instrText xml:space="preserve"> PAGEREF _Toc163644945 \h </w:instrText>
        </w:r>
        <w:r w:rsidR="00C74523">
          <w:rPr>
            <w:noProof/>
            <w:webHidden/>
          </w:rPr>
        </w:r>
        <w:r w:rsidR="00C74523">
          <w:rPr>
            <w:noProof/>
            <w:webHidden/>
          </w:rPr>
          <w:fldChar w:fldCharType="separate"/>
        </w:r>
        <w:r>
          <w:rPr>
            <w:noProof/>
            <w:webHidden/>
          </w:rPr>
          <w:t>263</w:t>
        </w:r>
        <w:r w:rsidR="00C74523">
          <w:rPr>
            <w:noProof/>
            <w:webHidden/>
          </w:rPr>
          <w:fldChar w:fldCharType="end"/>
        </w:r>
      </w:hyperlink>
    </w:p>
    <w:p w14:paraId="536EE8E6" w14:textId="35A37BC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46" w:history="1">
        <w:r w:rsidR="00C74523" w:rsidRPr="00A66C95">
          <w:rPr>
            <w:rStyle w:val="Hyperlink"/>
            <w:noProof/>
          </w:rPr>
          <w:t>Patient Merge</w:t>
        </w:r>
        <w:r w:rsidR="00C74523">
          <w:rPr>
            <w:noProof/>
            <w:webHidden/>
          </w:rPr>
          <w:tab/>
        </w:r>
        <w:r w:rsidR="00C74523">
          <w:rPr>
            <w:noProof/>
            <w:webHidden/>
          </w:rPr>
          <w:fldChar w:fldCharType="begin"/>
        </w:r>
        <w:r w:rsidR="00C74523">
          <w:rPr>
            <w:noProof/>
            <w:webHidden/>
          </w:rPr>
          <w:instrText xml:space="preserve"> PAGEREF _Toc163644946 \h </w:instrText>
        </w:r>
        <w:r w:rsidR="00C74523">
          <w:rPr>
            <w:noProof/>
            <w:webHidden/>
          </w:rPr>
        </w:r>
        <w:r w:rsidR="00C74523">
          <w:rPr>
            <w:noProof/>
            <w:webHidden/>
          </w:rPr>
          <w:fldChar w:fldCharType="separate"/>
        </w:r>
        <w:r>
          <w:rPr>
            <w:noProof/>
            <w:webHidden/>
          </w:rPr>
          <w:t>266</w:t>
        </w:r>
        <w:r w:rsidR="00C74523">
          <w:rPr>
            <w:noProof/>
            <w:webHidden/>
          </w:rPr>
          <w:fldChar w:fldCharType="end"/>
        </w:r>
      </w:hyperlink>
    </w:p>
    <w:p w14:paraId="60E9A994" w14:textId="37D66D4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47" w:history="1">
        <w:r w:rsidR="00C74523" w:rsidRPr="00A66C95">
          <w:rPr>
            <w:rStyle w:val="Hyperlink"/>
            <w:noProof/>
          </w:rPr>
          <w:t>Updated Patients and Deceased Patients</w:t>
        </w:r>
        <w:r w:rsidR="00C74523">
          <w:rPr>
            <w:noProof/>
            <w:webHidden/>
          </w:rPr>
          <w:tab/>
        </w:r>
        <w:r w:rsidR="00C74523">
          <w:rPr>
            <w:noProof/>
            <w:webHidden/>
          </w:rPr>
          <w:fldChar w:fldCharType="begin"/>
        </w:r>
        <w:r w:rsidR="00C74523">
          <w:rPr>
            <w:noProof/>
            <w:webHidden/>
          </w:rPr>
          <w:instrText xml:space="preserve"> PAGEREF _Toc163644947 \h </w:instrText>
        </w:r>
        <w:r w:rsidR="00C74523">
          <w:rPr>
            <w:noProof/>
            <w:webHidden/>
          </w:rPr>
        </w:r>
        <w:r w:rsidR="00C74523">
          <w:rPr>
            <w:noProof/>
            <w:webHidden/>
          </w:rPr>
          <w:fldChar w:fldCharType="separate"/>
        </w:r>
        <w:r>
          <w:rPr>
            <w:noProof/>
            <w:webHidden/>
          </w:rPr>
          <w:t>270</w:t>
        </w:r>
        <w:r w:rsidR="00C74523">
          <w:rPr>
            <w:noProof/>
            <w:webHidden/>
          </w:rPr>
          <w:fldChar w:fldCharType="end"/>
        </w:r>
      </w:hyperlink>
    </w:p>
    <w:p w14:paraId="7F1B6D6D" w14:textId="486BC2F7"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48" w:history="1">
        <w:r w:rsidR="00C74523" w:rsidRPr="00A66C95">
          <w:rPr>
            <w:rStyle w:val="Hyperlink"/>
            <w:noProof/>
          </w:rPr>
          <w:t>Patient Testing: General Instructions</w:t>
        </w:r>
        <w:r w:rsidR="00C74523">
          <w:rPr>
            <w:noProof/>
            <w:webHidden/>
          </w:rPr>
          <w:tab/>
        </w:r>
        <w:r w:rsidR="00C74523">
          <w:rPr>
            <w:noProof/>
            <w:webHidden/>
          </w:rPr>
          <w:fldChar w:fldCharType="begin"/>
        </w:r>
        <w:r w:rsidR="00C74523">
          <w:rPr>
            <w:noProof/>
            <w:webHidden/>
          </w:rPr>
          <w:instrText xml:space="preserve"> PAGEREF _Toc163644948 \h </w:instrText>
        </w:r>
        <w:r w:rsidR="00C74523">
          <w:rPr>
            <w:noProof/>
            <w:webHidden/>
          </w:rPr>
        </w:r>
        <w:r w:rsidR="00C74523">
          <w:rPr>
            <w:noProof/>
            <w:webHidden/>
          </w:rPr>
          <w:fldChar w:fldCharType="separate"/>
        </w:r>
        <w:r>
          <w:rPr>
            <w:noProof/>
            <w:webHidden/>
          </w:rPr>
          <w:t>271</w:t>
        </w:r>
        <w:r w:rsidR="00C74523">
          <w:rPr>
            <w:noProof/>
            <w:webHidden/>
          </w:rPr>
          <w:fldChar w:fldCharType="end"/>
        </w:r>
      </w:hyperlink>
    </w:p>
    <w:p w14:paraId="5A41E68E" w14:textId="0A2E615F"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49" w:history="1">
        <w:r w:rsidR="00C74523" w:rsidRPr="00A66C95">
          <w:rPr>
            <w:rStyle w:val="Hyperlink"/>
            <w:noProof/>
          </w:rPr>
          <w:t>Patient Testing: Record a Patient ABO/Rh</w:t>
        </w:r>
        <w:r w:rsidR="00C74523">
          <w:rPr>
            <w:noProof/>
            <w:webHidden/>
          </w:rPr>
          <w:tab/>
        </w:r>
        <w:r w:rsidR="00C74523">
          <w:rPr>
            <w:noProof/>
            <w:webHidden/>
          </w:rPr>
          <w:fldChar w:fldCharType="begin"/>
        </w:r>
        <w:r w:rsidR="00C74523">
          <w:rPr>
            <w:noProof/>
            <w:webHidden/>
          </w:rPr>
          <w:instrText xml:space="preserve"> PAGEREF _Toc163644949 \h </w:instrText>
        </w:r>
        <w:r w:rsidR="00C74523">
          <w:rPr>
            <w:noProof/>
            <w:webHidden/>
          </w:rPr>
        </w:r>
        <w:r w:rsidR="00C74523">
          <w:rPr>
            <w:noProof/>
            <w:webHidden/>
          </w:rPr>
          <w:fldChar w:fldCharType="separate"/>
        </w:r>
        <w:r>
          <w:rPr>
            <w:noProof/>
            <w:webHidden/>
          </w:rPr>
          <w:t>277</w:t>
        </w:r>
        <w:r w:rsidR="00C74523">
          <w:rPr>
            <w:noProof/>
            <w:webHidden/>
          </w:rPr>
          <w:fldChar w:fldCharType="end"/>
        </w:r>
      </w:hyperlink>
    </w:p>
    <w:p w14:paraId="2D36CE72" w14:textId="104E62A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50" w:history="1">
        <w:r w:rsidR="00C74523" w:rsidRPr="00A66C95">
          <w:rPr>
            <w:rStyle w:val="Hyperlink"/>
            <w:noProof/>
          </w:rPr>
          <w:t>Patient Testing: Record a Patient Antibody Screen</w:t>
        </w:r>
        <w:r w:rsidR="00C74523">
          <w:rPr>
            <w:noProof/>
            <w:webHidden/>
          </w:rPr>
          <w:tab/>
        </w:r>
        <w:r w:rsidR="00C74523">
          <w:rPr>
            <w:noProof/>
            <w:webHidden/>
          </w:rPr>
          <w:fldChar w:fldCharType="begin"/>
        </w:r>
        <w:r w:rsidR="00C74523">
          <w:rPr>
            <w:noProof/>
            <w:webHidden/>
          </w:rPr>
          <w:instrText xml:space="preserve"> PAGEREF _Toc163644950 \h </w:instrText>
        </w:r>
        <w:r w:rsidR="00C74523">
          <w:rPr>
            <w:noProof/>
            <w:webHidden/>
          </w:rPr>
        </w:r>
        <w:r w:rsidR="00C74523">
          <w:rPr>
            <w:noProof/>
            <w:webHidden/>
          </w:rPr>
          <w:fldChar w:fldCharType="separate"/>
        </w:r>
        <w:r>
          <w:rPr>
            <w:noProof/>
            <w:webHidden/>
          </w:rPr>
          <w:t>280</w:t>
        </w:r>
        <w:r w:rsidR="00C74523">
          <w:rPr>
            <w:noProof/>
            <w:webHidden/>
          </w:rPr>
          <w:fldChar w:fldCharType="end"/>
        </w:r>
      </w:hyperlink>
    </w:p>
    <w:p w14:paraId="2A9AC4BB" w14:textId="41E78564"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51" w:history="1">
        <w:r w:rsidR="00C74523" w:rsidRPr="00A66C95">
          <w:rPr>
            <w:rStyle w:val="Hyperlink"/>
            <w:noProof/>
          </w:rPr>
          <w:t>Patient Testing: Record a Direct Antiglobulin Test</w:t>
        </w:r>
        <w:r w:rsidR="00C74523">
          <w:rPr>
            <w:noProof/>
            <w:webHidden/>
          </w:rPr>
          <w:tab/>
        </w:r>
        <w:r w:rsidR="00C74523">
          <w:rPr>
            <w:noProof/>
            <w:webHidden/>
          </w:rPr>
          <w:fldChar w:fldCharType="begin"/>
        </w:r>
        <w:r w:rsidR="00C74523">
          <w:rPr>
            <w:noProof/>
            <w:webHidden/>
          </w:rPr>
          <w:instrText xml:space="preserve"> PAGEREF _Toc163644951 \h </w:instrText>
        </w:r>
        <w:r w:rsidR="00C74523">
          <w:rPr>
            <w:noProof/>
            <w:webHidden/>
          </w:rPr>
        </w:r>
        <w:r w:rsidR="00C74523">
          <w:rPr>
            <w:noProof/>
            <w:webHidden/>
          </w:rPr>
          <w:fldChar w:fldCharType="separate"/>
        </w:r>
        <w:r>
          <w:rPr>
            <w:noProof/>
            <w:webHidden/>
          </w:rPr>
          <w:t>282</w:t>
        </w:r>
        <w:r w:rsidR="00C74523">
          <w:rPr>
            <w:noProof/>
            <w:webHidden/>
          </w:rPr>
          <w:fldChar w:fldCharType="end"/>
        </w:r>
      </w:hyperlink>
    </w:p>
    <w:p w14:paraId="0E7A0132" w14:textId="7B8DBE11"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52" w:history="1">
        <w:r w:rsidR="00C74523" w:rsidRPr="00A66C95">
          <w:rPr>
            <w:rStyle w:val="Hyperlink"/>
            <w:noProof/>
          </w:rPr>
          <w:t>Patient Testing: Record a Crossmatch</w:t>
        </w:r>
        <w:r w:rsidR="00C74523">
          <w:rPr>
            <w:noProof/>
            <w:webHidden/>
          </w:rPr>
          <w:tab/>
        </w:r>
        <w:r w:rsidR="00C74523">
          <w:rPr>
            <w:noProof/>
            <w:webHidden/>
          </w:rPr>
          <w:fldChar w:fldCharType="begin"/>
        </w:r>
        <w:r w:rsidR="00C74523">
          <w:rPr>
            <w:noProof/>
            <w:webHidden/>
          </w:rPr>
          <w:instrText xml:space="preserve"> PAGEREF _Toc163644952 \h </w:instrText>
        </w:r>
        <w:r w:rsidR="00C74523">
          <w:rPr>
            <w:noProof/>
            <w:webHidden/>
          </w:rPr>
        </w:r>
        <w:r w:rsidR="00C74523">
          <w:rPr>
            <w:noProof/>
            <w:webHidden/>
          </w:rPr>
          <w:fldChar w:fldCharType="separate"/>
        </w:r>
        <w:r>
          <w:rPr>
            <w:noProof/>
            <w:webHidden/>
          </w:rPr>
          <w:t>285</w:t>
        </w:r>
        <w:r w:rsidR="00C74523">
          <w:rPr>
            <w:noProof/>
            <w:webHidden/>
          </w:rPr>
          <w:fldChar w:fldCharType="end"/>
        </w:r>
      </w:hyperlink>
    </w:p>
    <w:p w14:paraId="798C84AC" w14:textId="28A35EC7"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53" w:history="1">
        <w:r w:rsidR="00C74523" w:rsidRPr="00A66C95">
          <w:rPr>
            <w:rStyle w:val="Hyperlink"/>
            <w:noProof/>
          </w:rPr>
          <w:t>Patient Testing: Record a Patient Antigen Typing</w:t>
        </w:r>
        <w:r w:rsidR="00C74523">
          <w:rPr>
            <w:noProof/>
            <w:webHidden/>
          </w:rPr>
          <w:tab/>
        </w:r>
        <w:r w:rsidR="00C74523">
          <w:rPr>
            <w:noProof/>
            <w:webHidden/>
          </w:rPr>
          <w:fldChar w:fldCharType="begin"/>
        </w:r>
        <w:r w:rsidR="00C74523">
          <w:rPr>
            <w:noProof/>
            <w:webHidden/>
          </w:rPr>
          <w:instrText xml:space="preserve"> PAGEREF _Toc163644953 \h </w:instrText>
        </w:r>
        <w:r w:rsidR="00C74523">
          <w:rPr>
            <w:noProof/>
            <w:webHidden/>
          </w:rPr>
        </w:r>
        <w:r w:rsidR="00C74523">
          <w:rPr>
            <w:noProof/>
            <w:webHidden/>
          </w:rPr>
          <w:fldChar w:fldCharType="separate"/>
        </w:r>
        <w:r>
          <w:rPr>
            <w:noProof/>
            <w:webHidden/>
          </w:rPr>
          <w:t>290</w:t>
        </w:r>
        <w:r w:rsidR="00C74523">
          <w:rPr>
            <w:noProof/>
            <w:webHidden/>
          </w:rPr>
          <w:fldChar w:fldCharType="end"/>
        </w:r>
      </w:hyperlink>
    </w:p>
    <w:p w14:paraId="1ECAAC74" w14:textId="75D9531D"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54" w:history="1">
        <w:r w:rsidR="00C74523" w:rsidRPr="00A66C95">
          <w:rPr>
            <w:rStyle w:val="Hyperlink"/>
            <w:noProof/>
          </w:rPr>
          <w:t>Patient Testing: Enter Antibody Identification Results</w:t>
        </w:r>
        <w:r w:rsidR="00C74523">
          <w:rPr>
            <w:noProof/>
            <w:webHidden/>
          </w:rPr>
          <w:tab/>
        </w:r>
        <w:r w:rsidR="00C74523">
          <w:rPr>
            <w:noProof/>
            <w:webHidden/>
          </w:rPr>
          <w:fldChar w:fldCharType="begin"/>
        </w:r>
        <w:r w:rsidR="00C74523">
          <w:rPr>
            <w:noProof/>
            <w:webHidden/>
          </w:rPr>
          <w:instrText xml:space="preserve"> PAGEREF _Toc163644954 \h </w:instrText>
        </w:r>
        <w:r w:rsidR="00C74523">
          <w:rPr>
            <w:noProof/>
            <w:webHidden/>
          </w:rPr>
        </w:r>
        <w:r w:rsidR="00C74523">
          <w:rPr>
            <w:noProof/>
            <w:webHidden/>
          </w:rPr>
          <w:fldChar w:fldCharType="separate"/>
        </w:r>
        <w:r>
          <w:rPr>
            <w:noProof/>
            <w:webHidden/>
          </w:rPr>
          <w:t>296</w:t>
        </w:r>
        <w:r w:rsidR="00C74523">
          <w:rPr>
            <w:noProof/>
            <w:webHidden/>
          </w:rPr>
          <w:fldChar w:fldCharType="end"/>
        </w:r>
      </w:hyperlink>
    </w:p>
    <w:p w14:paraId="60469C41" w14:textId="6BCB17AE"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55" w:history="1">
        <w:r w:rsidR="00C74523" w:rsidRPr="00A66C95">
          <w:rPr>
            <w:rStyle w:val="Hyperlink"/>
            <w:noProof/>
          </w:rPr>
          <w:t>Patient Testing: Record a Transfusion Reaction Workup</w:t>
        </w:r>
        <w:r w:rsidR="00C74523">
          <w:rPr>
            <w:noProof/>
            <w:webHidden/>
          </w:rPr>
          <w:tab/>
        </w:r>
        <w:r w:rsidR="00C74523">
          <w:rPr>
            <w:noProof/>
            <w:webHidden/>
          </w:rPr>
          <w:fldChar w:fldCharType="begin"/>
        </w:r>
        <w:r w:rsidR="00C74523">
          <w:rPr>
            <w:noProof/>
            <w:webHidden/>
          </w:rPr>
          <w:instrText xml:space="preserve"> PAGEREF _Toc163644955 \h </w:instrText>
        </w:r>
        <w:r w:rsidR="00C74523">
          <w:rPr>
            <w:noProof/>
            <w:webHidden/>
          </w:rPr>
        </w:r>
        <w:r w:rsidR="00C74523">
          <w:rPr>
            <w:noProof/>
            <w:webHidden/>
          </w:rPr>
          <w:fldChar w:fldCharType="separate"/>
        </w:r>
        <w:r>
          <w:rPr>
            <w:noProof/>
            <w:webHidden/>
          </w:rPr>
          <w:t>299</w:t>
        </w:r>
        <w:r w:rsidR="00C74523">
          <w:rPr>
            <w:noProof/>
            <w:webHidden/>
          </w:rPr>
          <w:fldChar w:fldCharType="end"/>
        </w:r>
      </w:hyperlink>
    </w:p>
    <w:p w14:paraId="0FE559B6" w14:textId="00824AF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56" w:history="1">
        <w:r w:rsidR="00C74523" w:rsidRPr="00A66C95">
          <w:rPr>
            <w:rStyle w:val="Hyperlink"/>
            <w:noProof/>
          </w:rPr>
          <w:t>Finalize/Print TRW</w:t>
        </w:r>
        <w:r w:rsidR="00C74523">
          <w:rPr>
            <w:noProof/>
            <w:webHidden/>
          </w:rPr>
          <w:tab/>
        </w:r>
        <w:r w:rsidR="00C74523">
          <w:rPr>
            <w:noProof/>
            <w:webHidden/>
          </w:rPr>
          <w:fldChar w:fldCharType="begin"/>
        </w:r>
        <w:r w:rsidR="00C74523">
          <w:rPr>
            <w:noProof/>
            <w:webHidden/>
          </w:rPr>
          <w:instrText xml:space="preserve"> PAGEREF _Toc163644956 \h </w:instrText>
        </w:r>
        <w:r w:rsidR="00C74523">
          <w:rPr>
            <w:noProof/>
            <w:webHidden/>
          </w:rPr>
        </w:r>
        <w:r w:rsidR="00C74523">
          <w:rPr>
            <w:noProof/>
            <w:webHidden/>
          </w:rPr>
          <w:fldChar w:fldCharType="separate"/>
        </w:r>
        <w:r>
          <w:rPr>
            <w:noProof/>
            <w:webHidden/>
          </w:rPr>
          <w:t>310</w:t>
        </w:r>
        <w:r w:rsidR="00C74523">
          <w:rPr>
            <w:noProof/>
            <w:webHidden/>
          </w:rPr>
          <w:fldChar w:fldCharType="end"/>
        </w:r>
      </w:hyperlink>
    </w:p>
    <w:p w14:paraId="6CAF4466" w14:textId="40977670"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57" w:history="1">
        <w:r w:rsidR="00C74523" w:rsidRPr="00A66C95">
          <w:rPr>
            <w:rStyle w:val="Hyperlink"/>
            <w:noProof/>
          </w:rPr>
          <w:t>Maintain Patient Records</w:t>
        </w:r>
        <w:r w:rsidR="00C74523">
          <w:rPr>
            <w:noProof/>
            <w:webHidden/>
          </w:rPr>
          <w:tab/>
        </w:r>
        <w:r w:rsidR="00C74523">
          <w:rPr>
            <w:noProof/>
            <w:webHidden/>
          </w:rPr>
          <w:fldChar w:fldCharType="begin"/>
        </w:r>
        <w:r w:rsidR="00C74523">
          <w:rPr>
            <w:noProof/>
            <w:webHidden/>
          </w:rPr>
          <w:instrText xml:space="preserve"> PAGEREF _Toc163644957 \h </w:instrText>
        </w:r>
        <w:r w:rsidR="00C74523">
          <w:rPr>
            <w:noProof/>
            <w:webHidden/>
          </w:rPr>
        </w:r>
        <w:r w:rsidR="00C74523">
          <w:rPr>
            <w:noProof/>
            <w:webHidden/>
          </w:rPr>
          <w:fldChar w:fldCharType="separate"/>
        </w:r>
        <w:r>
          <w:rPr>
            <w:noProof/>
            <w:webHidden/>
          </w:rPr>
          <w:t>315</w:t>
        </w:r>
        <w:r w:rsidR="00C74523">
          <w:rPr>
            <w:noProof/>
            <w:webHidden/>
          </w:rPr>
          <w:fldChar w:fldCharType="end"/>
        </w:r>
      </w:hyperlink>
    </w:p>
    <w:p w14:paraId="1AE0007B" w14:textId="7057A174"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58" w:history="1">
        <w:r w:rsidR="00C74523" w:rsidRPr="00A66C95">
          <w:rPr>
            <w:rStyle w:val="Hyperlink"/>
            <w:noProof/>
          </w:rPr>
          <w:t>Special Instructions &amp; Transfusion Requirements: Enter a Transfusion Requirement</w:t>
        </w:r>
        <w:r w:rsidR="00C74523">
          <w:rPr>
            <w:noProof/>
            <w:webHidden/>
          </w:rPr>
          <w:tab/>
        </w:r>
        <w:r w:rsidR="00C74523">
          <w:rPr>
            <w:noProof/>
            <w:webHidden/>
          </w:rPr>
          <w:fldChar w:fldCharType="begin"/>
        </w:r>
        <w:r w:rsidR="00C74523">
          <w:rPr>
            <w:noProof/>
            <w:webHidden/>
          </w:rPr>
          <w:instrText xml:space="preserve"> PAGEREF _Toc163644958 \h </w:instrText>
        </w:r>
        <w:r w:rsidR="00C74523">
          <w:rPr>
            <w:noProof/>
            <w:webHidden/>
          </w:rPr>
        </w:r>
        <w:r w:rsidR="00C74523">
          <w:rPr>
            <w:noProof/>
            <w:webHidden/>
          </w:rPr>
          <w:fldChar w:fldCharType="separate"/>
        </w:r>
        <w:r>
          <w:rPr>
            <w:noProof/>
            <w:webHidden/>
          </w:rPr>
          <w:t>315</w:t>
        </w:r>
        <w:r w:rsidR="00C74523">
          <w:rPr>
            <w:noProof/>
            <w:webHidden/>
          </w:rPr>
          <w:fldChar w:fldCharType="end"/>
        </w:r>
      </w:hyperlink>
    </w:p>
    <w:p w14:paraId="1E7F393D" w14:textId="793DF40C"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59" w:history="1">
        <w:r w:rsidR="00C74523" w:rsidRPr="00A66C95">
          <w:rPr>
            <w:rStyle w:val="Hyperlink"/>
            <w:noProof/>
          </w:rPr>
          <w:t>Special Instructions &amp; Transfusion Requirements: Enter and Remove Special Instructions</w:t>
        </w:r>
        <w:r w:rsidR="00C74523">
          <w:rPr>
            <w:noProof/>
            <w:webHidden/>
          </w:rPr>
          <w:tab/>
        </w:r>
        <w:r w:rsidR="00C74523">
          <w:rPr>
            <w:noProof/>
            <w:webHidden/>
          </w:rPr>
          <w:fldChar w:fldCharType="begin"/>
        </w:r>
        <w:r w:rsidR="00C74523">
          <w:rPr>
            <w:noProof/>
            <w:webHidden/>
          </w:rPr>
          <w:instrText xml:space="preserve"> PAGEREF _Toc163644959 \h </w:instrText>
        </w:r>
        <w:r w:rsidR="00C74523">
          <w:rPr>
            <w:noProof/>
            <w:webHidden/>
          </w:rPr>
        </w:r>
        <w:r w:rsidR="00C74523">
          <w:rPr>
            <w:noProof/>
            <w:webHidden/>
          </w:rPr>
          <w:fldChar w:fldCharType="separate"/>
        </w:r>
        <w:r>
          <w:rPr>
            <w:noProof/>
            <w:webHidden/>
          </w:rPr>
          <w:t>320</w:t>
        </w:r>
        <w:r w:rsidR="00C74523">
          <w:rPr>
            <w:noProof/>
            <w:webHidden/>
          </w:rPr>
          <w:fldChar w:fldCharType="end"/>
        </w:r>
      </w:hyperlink>
    </w:p>
    <w:p w14:paraId="11C3A8BD" w14:textId="19A1F7F2"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60" w:history="1">
        <w:r w:rsidR="00C74523" w:rsidRPr="00A66C95">
          <w:rPr>
            <w:rStyle w:val="Hyperlink"/>
            <w:noProof/>
          </w:rPr>
          <w:t>Post-Transfusion Information</w:t>
        </w:r>
        <w:r w:rsidR="00C74523">
          <w:rPr>
            <w:noProof/>
            <w:webHidden/>
          </w:rPr>
          <w:tab/>
        </w:r>
        <w:r w:rsidR="00C74523">
          <w:rPr>
            <w:noProof/>
            <w:webHidden/>
          </w:rPr>
          <w:fldChar w:fldCharType="begin"/>
        </w:r>
        <w:r w:rsidR="00C74523">
          <w:rPr>
            <w:noProof/>
            <w:webHidden/>
          </w:rPr>
          <w:instrText xml:space="preserve"> PAGEREF _Toc163644960 \h </w:instrText>
        </w:r>
        <w:r w:rsidR="00C74523">
          <w:rPr>
            <w:noProof/>
            <w:webHidden/>
          </w:rPr>
        </w:r>
        <w:r w:rsidR="00C74523">
          <w:rPr>
            <w:noProof/>
            <w:webHidden/>
          </w:rPr>
          <w:fldChar w:fldCharType="separate"/>
        </w:r>
        <w:r>
          <w:rPr>
            <w:noProof/>
            <w:webHidden/>
          </w:rPr>
          <w:t>323</w:t>
        </w:r>
        <w:r w:rsidR="00C74523">
          <w:rPr>
            <w:noProof/>
            <w:webHidden/>
          </w:rPr>
          <w:fldChar w:fldCharType="end"/>
        </w:r>
      </w:hyperlink>
    </w:p>
    <w:p w14:paraId="1A2D0A64" w14:textId="3EE4432E"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61" w:history="1">
        <w:r w:rsidR="00C74523" w:rsidRPr="00A66C95">
          <w:rPr>
            <w:rStyle w:val="Hyperlink"/>
            <w:noProof/>
            <w:snapToGrid w:val="0"/>
          </w:rPr>
          <w:t>Document ABO Incompatible Transfusions</w:t>
        </w:r>
        <w:r w:rsidR="00C74523">
          <w:rPr>
            <w:noProof/>
            <w:webHidden/>
          </w:rPr>
          <w:tab/>
        </w:r>
        <w:r w:rsidR="00C74523">
          <w:rPr>
            <w:noProof/>
            <w:webHidden/>
          </w:rPr>
          <w:fldChar w:fldCharType="begin"/>
        </w:r>
        <w:r w:rsidR="00C74523">
          <w:rPr>
            <w:noProof/>
            <w:webHidden/>
          </w:rPr>
          <w:instrText xml:space="preserve"> PAGEREF _Toc163644961 \h </w:instrText>
        </w:r>
        <w:r w:rsidR="00C74523">
          <w:rPr>
            <w:noProof/>
            <w:webHidden/>
          </w:rPr>
        </w:r>
        <w:r w:rsidR="00C74523">
          <w:rPr>
            <w:noProof/>
            <w:webHidden/>
          </w:rPr>
          <w:fldChar w:fldCharType="separate"/>
        </w:r>
        <w:r>
          <w:rPr>
            <w:noProof/>
            <w:webHidden/>
          </w:rPr>
          <w:t>329</w:t>
        </w:r>
        <w:r w:rsidR="00C74523">
          <w:rPr>
            <w:noProof/>
            <w:webHidden/>
          </w:rPr>
          <w:fldChar w:fldCharType="end"/>
        </w:r>
      </w:hyperlink>
    </w:p>
    <w:p w14:paraId="4CF46CDA" w14:textId="4171281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62" w:history="1">
        <w:r w:rsidR="00C74523" w:rsidRPr="00A66C95">
          <w:rPr>
            <w:rStyle w:val="Hyperlink"/>
            <w:noProof/>
          </w:rPr>
          <w:t>Justify ABO/Rh Change</w:t>
        </w:r>
        <w:r w:rsidR="00C74523">
          <w:rPr>
            <w:noProof/>
            <w:webHidden/>
          </w:rPr>
          <w:tab/>
        </w:r>
        <w:r w:rsidR="00C74523">
          <w:rPr>
            <w:noProof/>
            <w:webHidden/>
          </w:rPr>
          <w:fldChar w:fldCharType="begin"/>
        </w:r>
        <w:r w:rsidR="00C74523">
          <w:rPr>
            <w:noProof/>
            <w:webHidden/>
          </w:rPr>
          <w:instrText xml:space="preserve"> PAGEREF _Toc163644962 \h </w:instrText>
        </w:r>
        <w:r w:rsidR="00C74523">
          <w:rPr>
            <w:noProof/>
            <w:webHidden/>
          </w:rPr>
        </w:r>
        <w:r w:rsidR="00C74523">
          <w:rPr>
            <w:noProof/>
            <w:webHidden/>
          </w:rPr>
          <w:fldChar w:fldCharType="separate"/>
        </w:r>
        <w:r>
          <w:rPr>
            <w:noProof/>
            <w:webHidden/>
          </w:rPr>
          <w:t>331</w:t>
        </w:r>
        <w:r w:rsidR="00C74523">
          <w:rPr>
            <w:noProof/>
            <w:webHidden/>
          </w:rPr>
          <w:fldChar w:fldCharType="end"/>
        </w:r>
      </w:hyperlink>
    </w:p>
    <w:p w14:paraId="5800CED2" w14:textId="0173EFBA"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963" w:history="1">
        <w:r w:rsidR="00C74523" w:rsidRPr="00A66C95">
          <w:rPr>
            <w:rStyle w:val="Hyperlink"/>
            <w:noProof/>
          </w:rPr>
          <w:t>Automated Testing</w:t>
        </w:r>
        <w:r w:rsidR="00C74523">
          <w:rPr>
            <w:noProof/>
            <w:webHidden/>
          </w:rPr>
          <w:tab/>
        </w:r>
        <w:r w:rsidR="00C74523">
          <w:rPr>
            <w:noProof/>
            <w:webHidden/>
          </w:rPr>
          <w:fldChar w:fldCharType="begin"/>
        </w:r>
        <w:r w:rsidR="00C74523">
          <w:rPr>
            <w:noProof/>
            <w:webHidden/>
          </w:rPr>
          <w:instrText xml:space="preserve"> PAGEREF _Toc163644963 \h </w:instrText>
        </w:r>
        <w:r w:rsidR="00C74523">
          <w:rPr>
            <w:noProof/>
            <w:webHidden/>
          </w:rPr>
        </w:r>
        <w:r w:rsidR="00C74523">
          <w:rPr>
            <w:noProof/>
            <w:webHidden/>
          </w:rPr>
          <w:fldChar w:fldCharType="separate"/>
        </w:r>
        <w:r>
          <w:rPr>
            <w:noProof/>
            <w:webHidden/>
          </w:rPr>
          <w:t>334</w:t>
        </w:r>
        <w:r w:rsidR="00C74523">
          <w:rPr>
            <w:noProof/>
            <w:webHidden/>
          </w:rPr>
          <w:fldChar w:fldCharType="end"/>
        </w:r>
      </w:hyperlink>
    </w:p>
    <w:p w14:paraId="320B3026" w14:textId="0AD2AF24"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64" w:history="1">
        <w:r w:rsidR="00C74523" w:rsidRPr="00A66C95">
          <w:rPr>
            <w:rStyle w:val="Hyperlink"/>
            <w:noProof/>
          </w:rPr>
          <w:t>Automated Testing Interface</w:t>
        </w:r>
        <w:r w:rsidR="00C74523">
          <w:rPr>
            <w:noProof/>
            <w:webHidden/>
          </w:rPr>
          <w:tab/>
        </w:r>
        <w:r w:rsidR="00C74523">
          <w:rPr>
            <w:noProof/>
            <w:webHidden/>
          </w:rPr>
          <w:fldChar w:fldCharType="begin"/>
        </w:r>
        <w:r w:rsidR="00C74523">
          <w:rPr>
            <w:noProof/>
            <w:webHidden/>
          </w:rPr>
          <w:instrText xml:space="preserve"> PAGEREF _Toc163644964 \h </w:instrText>
        </w:r>
        <w:r w:rsidR="00C74523">
          <w:rPr>
            <w:noProof/>
            <w:webHidden/>
          </w:rPr>
        </w:r>
        <w:r w:rsidR="00C74523">
          <w:rPr>
            <w:noProof/>
            <w:webHidden/>
          </w:rPr>
          <w:fldChar w:fldCharType="separate"/>
        </w:r>
        <w:r>
          <w:rPr>
            <w:noProof/>
            <w:webHidden/>
          </w:rPr>
          <w:t>334</w:t>
        </w:r>
        <w:r w:rsidR="00C74523">
          <w:rPr>
            <w:noProof/>
            <w:webHidden/>
          </w:rPr>
          <w:fldChar w:fldCharType="end"/>
        </w:r>
      </w:hyperlink>
    </w:p>
    <w:p w14:paraId="7242DDD2" w14:textId="3B1CE12F"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65" w:history="1">
        <w:r w:rsidR="00C74523" w:rsidRPr="00A66C95">
          <w:rPr>
            <w:rStyle w:val="Hyperlink"/>
            <w:noProof/>
          </w:rPr>
          <w:t>Automated Testing Review for Blood Units</w:t>
        </w:r>
        <w:r w:rsidR="00C74523">
          <w:rPr>
            <w:noProof/>
            <w:webHidden/>
          </w:rPr>
          <w:tab/>
        </w:r>
        <w:r w:rsidR="00C74523">
          <w:rPr>
            <w:noProof/>
            <w:webHidden/>
          </w:rPr>
          <w:fldChar w:fldCharType="begin"/>
        </w:r>
        <w:r w:rsidR="00C74523">
          <w:rPr>
            <w:noProof/>
            <w:webHidden/>
          </w:rPr>
          <w:instrText xml:space="preserve"> PAGEREF _Toc163644965 \h </w:instrText>
        </w:r>
        <w:r w:rsidR="00C74523">
          <w:rPr>
            <w:noProof/>
            <w:webHidden/>
          </w:rPr>
        </w:r>
        <w:r w:rsidR="00C74523">
          <w:rPr>
            <w:noProof/>
            <w:webHidden/>
          </w:rPr>
          <w:fldChar w:fldCharType="separate"/>
        </w:r>
        <w:r>
          <w:rPr>
            <w:noProof/>
            <w:webHidden/>
          </w:rPr>
          <w:t>338</w:t>
        </w:r>
        <w:r w:rsidR="00C74523">
          <w:rPr>
            <w:noProof/>
            <w:webHidden/>
          </w:rPr>
          <w:fldChar w:fldCharType="end"/>
        </w:r>
      </w:hyperlink>
    </w:p>
    <w:p w14:paraId="0A44AE17" w14:textId="7C98E761"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66" w:history="1">
        <w:r w:rsidR="00C74523" w:rsidRPr="00A66C95">
          <w:rPr>
            <w:rStyle w:val="Hyperlink"/>
            <w:noProof/>
          </w:rPr>
          <w:t>Automated Testing Review for Patients</w:t>
        </w:r>
        <w:r w:rsidR="00C74523">
          <w:rPr>
            <w:noProof/>
            <w:webHidden/>
          </w:rPr>
          <w:tab/>
        </w:r>
        <w:r w:rsidR="00C74523">
          <w:rPr>
            <w:noProof/>
            <w:webHidden/>
          </w:rPr>
          <w:fldChar w:fldCharType="begin"/>
        </w:r>
        <w:r w:rsidR="00C74523">
          <w:rPr>
            <w:noProof/>
            <w:webHidden/>
          </w:rPr>
          <w:instrText xml:space="preserve"> PAGEREF _Toc163644966 \h </w:instrText>
        </w:r>
        <w:r w:rsidR="00C74523">
          <w:rPr>
            <w:noProof/>
            <w:webHidden/>
          </w:rPr>
        </w:r>
        <w:r w:rsidR="00C74523">
          <w:rPr>
            <w:noProof/>
            <w:webHidden/>
          </w:rPr>
          <w:fldChar w:fldCharType="separate"/>
        </w:r>
        <w:r>
          <w:rPr>
            <w:noProof/>
            <w:webHidden/>
          </w:rPr>
          <w:t>342</w:t>
        </w:r>
        <w:r w:rsidR="00C74523">
          <w:rPr>
            <w:noProof/>
            <w:webHidden/>
          </w:rPr>
          <w:fldChar w:fldCharType="end"/>
        </w:r>
      </w:hyperlink>
    </w:p>
    <w:p w14:paraId="07D751F2" w14:textId="19DC0713"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967" w:history="1">
        <w:r w:rsidR="00C74523" w:rsidRPr="00A66C95">
          <w:rPr>
            <w:rStyle w:val="Hyperlink"/>
            <w:noProof/>
          </w:rPr>
          <w:t>Reports</w:t>
        </w:r>
        <w:r w:rsidR="00C74523">
          <w:rPr>
            <w:noProof/>
            <w:webHidden/>
          </w:rPr>
          <w:tab/>
        </w:r>
        <w:r w:rsidR="00C74523">
          <w:rPr>
            <w:noProof/>
            <w:webHidden/>
          </w:rPr>
          <w:fldChar w:fldCharType="begin"/>
        </w:r>
        <w:r w:rsidR="00C74523">
          <w:rPr>
            <w:noProof/>
            <w:webHidden/>
          </w:rPr>
          <w:instrText xml:space="preserve"> PAGEREF _Toc163644967 \h </w:instrText>
        </w:r>
        <w:r w:rsidR="00C74523">
          <w:rPr>
            <w:noProof/>
            <w:webHidden/>
          </w:rPr>
        </w:r>
        <w:r w:rsidR="00C74523">
          <w:rPr>
            <w:noProof/>
            <w:webHidden/>
          </w:rPr>
          <w:fldChar w:fldCharType="separate"/>
        </w:r>
        <w:r>
          <w:rPr>
            <w:noProof/>
            <w:webHidden/>
          </w:rPr>
          <w:t>348</w:t>
        </w:r>
        <w:r w:rsidR="00C74523">
          <w:rPr>
            <w:noProof/>
            <w:webHidden/>
          </w:rPr>
          <w:fldChar w:fldCharType="end"/>
        </w:r>
      </w:hyperlink>
    </w:p>
    <w:p w14:paraId="6A6F5D1F" w14:textId="377B4A24"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68" w:history="1">
        <w:r w:rsidR="00C74523" w:rsidRPr="00A66C95">
          <w:rPr>
            <w:rStyle w:val="Hyperlink"/>
            <w:noProof/>
          </w:rPr>
          <w:t>Administrative Data Report</w:t>
        </w:r>
        <w:r w:rsidR="00C74523">
          <w:rPr>
            <w:noProof/>
            <w:webHidden/>
          </w:rPr>
          <w:tab/>
        </w:r>
        <w:r w:rsidR="00C74523">
          <w:rPr>
            <w:noProof/>
            <w:webHidden/>
          </w:rPr>
          <w:fldChar w:fldCharType="begin"/>
        </w:r>
        <w:r w:rsidR="00C74523">
          <w:rPr>
            <w:noProof/>
            <w:webHidden/>
          </w:rPr>
          <w:instrText xml:space="preserve"> PAGEREF _Toc163644968 \h </w:instrText>
        </w:r>
        <w:r w:rsidR="00C74523">
          <w:rPr>
            <w:noProof/>
            <w:webHidden/>
          </w:rPr>
        </w:r>
        <w:r w:rsidR="00C74523">
          <w:rPr>
            <w:noProof/>
            <w:webHidden/>
          </w:rPr>
          <w:fldChar w:fldCharType="separate"/>
        </w:r>
        <w:r>
          <w:rPr>
            <w:noProof/>
            <w:webHidden/>
          </w:rPr>
          <w:t>348</w:t>
        </w:r>
        <w:r w:rsidR="00C74523">
          <w:rPr>
            <w:noProof/>
            <w:webHidden/>
          </w:rPr>
          <w:fldChar w:fldCharType="end"/>
        </w:r>
      </w:hyperlink>
    </w:p>
    <w:p w14:paraId="4D544E8B" w14:textId="72ACFAF2"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69" w:history="1">
        <w:r w:rsidR="00C74523" w:rsidRPr="00A66C95">
          <w:rPr>
            <w:rStyle w:val="Hyperlink"/>
            <w:noProof/>
          </w:rPr>
          <w:t>Audit Trail</w:t>
        </w:r>
        <w:r w:rsidR="00C74523">
          <w:rPr>
            <w:noProof/>
            <w:webHidden/>
          </w:rPr>
          <w:tab/>
        </w:r>
        <w:r w:rsidR="00C74523">
          <w:rPr>
            <w:noProof/>
            <w:webHidden/>
          </w:rPr>
          <w:fldChar w:fldCharType="begin"/>
        </w:r>
        <w:r w:rsidR="00C74523">
          <w:rPr>
            <w:noProof/>
            <w:webHidden/>
          </w:rPr>
          <w:instrText xml:space="preserve"> PAGEREF _Toc163644969 \h </w:instrText>
        </w:r>
        <w:r w:rsidR="00C74523">
          <w:rPr>
            <w:noProof/>
            <w:webHidden/>
          </w:rPr>
        </w:r>
        <w:r w:rsidR="00C74523">
          <w:rPr>
            <w:noProof/>
            <w:webHidden/>
          </w:rPr>
          <w:fldChar w:fldCharType="separate"/>
        </w:r>
        <w:r>
          <w:rPr>
            <w:noProof/>
            <w:webHidden/>
          </w:rPr>
          <w:t>350</w:t>
        </w:r>
        <w:r w:rsidR="00C74523">
          <w:rPr>
            <w:noProof/>
            <w:webHidden/>
          </w:rPr>
          <w:fldChar w:fldCharType="end"/>
        </w:r>
      </w:hyperlink>
    </w:p>
    <w:p w14:paraId="365613FF" w14:textId="0C4C9E72"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70" w:history="1">
        <w:r w:rsidR="00C74523" w:rsidRPr="00A66C95">
          <w:rPr>
            <w:rStyle w:val="Hyperlink"/>
            <w:noProof/>
          </w:rPr>
          <w:t>Blood Availability</w:t>
        </w:r>
        <w:r w:rsidR="00C74523">
          <w:rPr>
            <w:noProof/>
            <w:webHidden/>
          </w:rPr>
          <w:tab/>
        </w:r>
        <w:r w:rsidR="00C74523">
          <w:rPr>
            <w:noProof/>
            <w:webHidden/>
          </w:rPr>
          <w:fldChar w:fldCharType="begin"/>
        </w:r>
        <w:r w:rsidR="00C74523">
          <w:rPr>
            <w:noProof/>
            <w:webHidden/>
          </w:rPr>
          <w:instrText xml:space="preserve"> PAGEREF _Toc163644970 \h </w:instrText>
        </w:r>
        <w:r w:rsidR="00C74523">
          <w:rPr>
            <w:noProof/>
            <w:webHidden/>
          </w:rPr>
        </w:r>
        <w:r w:rsidR="00C74523">
          <w:rPr>
            <w:noProof/>
            <w:webHidden/>
          </w:rPr>
          <w:fldChar w:fldCharType="separate"/>
        </w:r>
        <w:r>
          <w:rPr>
            <w:noProof/>
            <w:webHidden/>
          </w:rPr>
          <w:t>352</w:t>
        </w:r>
        <w:r w:rsidR="00C74523">
          <w:rPr>
            <w:noProof/>
            <w:webHidden/>
          </w:rPr>
          <w:fldChar w:fldCharType="end"/>
        </w:r>
      </w:hyperlink>
    </w:p>
    <w:p w14:paraId="1F49EDE3" w14:textId="7B733304"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71" w:history="1">
        <w:r w:rsidR="00C74523" w:rsidRPr="00A66C95">
          <w:rPr>
            <w:rStyle w:val="Hyperlink"/>
            <w:noProof/>
          </w:rPr>
          <w:t>Cost Accounting Report</w:t>
        </w:r>
        <w:r w:rsidR="00C74523">
          <w:rPr>
            <w:noProof/>
            <w:webHidden/>
          </w:rPr>
          <w:tab/>
        </w:r>
        <w:r w:rsidR="00C74523">
          <w:rPr>
            <w:noProof/>
            <w:webHidden/>
          </w:rPr>
          <w:fldChar w:fldCharType="begin"/>
        </w:r>
        <w:r w:rsidR="00C74523">
          <w:rPr>
            <w:noProof/>
            <w:webHidden/>
          </w:rPr>
          <w:instrText xml:space="preserve"> PAGEREF _Toc163644971 \h </w:instrText>
        </w:r>
        <w:r w:rsidR="00C74523">
          <w:rPr>
            <w:noProof/>
            <w:webHidden/>
          </w:rPr>
        </w:r>
        <w:r w:rsidR="00C74523">
          <w:rPr>
            <w:noProof/>
            <w:webHidden/>
          </w:rPr>
          <w:fldChar w:fldCharType="separate"/>
        </w:r>
        <w:r>
          <w:rPr>
            <w:noProof/>
            <w:webHidden/>
          </w:rPr>
          <w:t>354</w:t>
        </w:r>
        <w:r w:rsidR="00C74523">
          <w:rPr>
            <w:noProof/>
            <w:webHidden/>
          </w:rPr>
          <w:fldChar w:fldCharType="end"/>
        </w:r>
      </w:hyperlink>
    </w:p>
    <w:p w14:paraId="7237E58B" w14:textId="7793C50E"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72" w:history="1">
        <w:r w:rsidR="00C74523" w:rsidRPr="00A66C95">
          <w:rPr>
            <w:rStyle w:val="Hyperlink"/>
            <w:noProof/>
          </w:rPr>
          <w:t>C:T Ratio Report</w:t>
        </w:r>
        <w:r w:rsidR="00C74523">
          <w:rPr>
            <w:noProof/>
            <w:webHidden/>
          </w:rPr>
          <w:tab/>
        </w:r>
        <w:r w:rsidR="00C74523">
          <w:rPr>
            <w:noProof/>
            <w:webHidden/>
          </w:rPr>
          <w:fldChar w:fldCharType="begin"/>
        </w:r>
        <w:r w:rsidR="00C74523">
          <w:rPr>
            <w:noProof/>
            <w:webHidden/>
          </w:rPr>
          <w:instrText xml:space="preserve"> PAGEREF _Toc163644972 \h </w:instrText>
        </w:r>
        <w:r w:rsidR="00C74523">
          <w:rPr>
            <w:noProof/>
            <w:webHidden/>
          </w:rPr>
        </w:r>
        <w:r w:rsidR="00C74523">
          <w:rPr>
            <w:noProof/>
            <w:webHidden/>
          </w:rPr>
          <w:fldChar w:fldCharType="separate"/>
        </w:r>
        <w:r>
          <w:rPr>
            <w:noProof/>
            <w:webHidden/>
          </w:rPr>
          <w:t>356</w:t>
        </w:r>
        <w:r w:rsidR="00C74523">
          <w:rPr>
            <w:noProof/>
            <w:webHidden/>
          </w:rPr>
          <w:fldChar w:fldCharType="end"/>
        </w:r>
      </w:hyperlink>
    </w:p>
    <w:p w14:paraId="656DFBA8" w14:textId="238FCCE8"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73" w:history="1">
        <w:r w:rsidR="00C74523" w:rsidRPr="00A66C95">
          <w:rPr>
            <w:rStyle w:val="Hyperlink"/>
            <w:noProof/>
          </w:rPr>
          <w:t>CPRS Blood Bank Report (Used by JLV)</w:t>
        </w:r>
        <w:r w:rsidR="00C74523">
          <w:rPr>
            <w:noProof/>
            <w:webHidden/>
          </w:rPr>
          <w:tab/>
        </w:r>
        <w:r w:rsidR="00C74523">
          <w:rPr>
            <w:noProof/>
            <w:webHidden/>
          </w:rPr>
          <w:fldChar w:fldCharType="begin"/>
        </w:r>
        <w:r w:rsidR="00C74523">
          <w:rPr>
            <w:noProof/>
            <w:webHidden/>
          </w:rPr>
          <w:instrText xml:space="preserve"> PAGEREF _Toc163644973 \h </w:instrText>
        </w:r>
        <w:r w:rsidR="00C74523">
          <w:rPr>
            <w:noProof/>
            <w:webHidden/>
          </w:rPr>
        </w:r>
        <w:r w:rsidR="00C74523">
          <w:rPr>
            <w:noProof/>
            <w:webHidden/>
          </w:rPr>
          <w:fldChar w:fldCharType="separate"/>
        </w:r>
        <w:r>
          <w:rPr>
            <w:noProof/>
            <w:webHidden/>
          </w:rPr>
          <w:t>358</w:t>
        </w:r>
        <w:r w:rsidR="00C74523">
          <w:rPr>
            <w:noProof/>
            <w:webHidden/>
          </w:rPr>
          <w:fldChar w:fldCharType="end"/>
        </w:r>
      </w:hyperlink>
    </w:p>
    <w:p w14:paraId="475C471B" w14:textId="519DBF40"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74" w:history="1">
        <w:r w:rsidR="00C74523" w:rsidRPr="00A66C95">
          <w:rPr>
            <w:rStyle w:val="Hyperlink"/>
            <w:noProof/>
          </w:rPr>
          <w:t>Division Transfusion Report</w:t>
        </w:r>
        <w:r w:rsidR="00C74523">
          <w:rPr>
            <w:noProof/>
            <w:webHidden/>
          </w:rPr>
          <w:tab/>
        </w:r>
        <w:r w:rsidR="00C74523">
          <w:rPr>
            <w:noProof/>
            <w:webHidden/>
          </w:rPr>
          <w:fldChar w:fldCharType="begin"/>
        </w:r>
        <w:r w:rsidR="00C74523">
          <w:rPr>
            <w:noProof/>
            <w:webHidden/>
          </w:rPr>
          <w:instrText xml:space="preserve"> PAGEREF _Toc163644974 \h </w:instrText>
        </w:r>
        <w:r w:rsidR="00C74523">
          <w:rPr>
            <w:noProof/>
            <w:webHidden/>
          </w:rPr>
        </w:r>
        <w:r w:rsidR="00C74523">
          <w:rPr>
            <w:noProof/>
            <w:webHidden/>
          </w:rPr>
          <w:fldChar w:fldCharType="separate"/>
        </w:r>
        <w:r>
          <w:rPr>
            <w:noProof/>
            <w:webHidden/>
          </w:rPr>
          <w:t>360</w:t>
        </w:r>
        <w:r w:rsidR="00C74523">
          <w:rPr>
            <w:noProof/>
            <w:webHidden/>
          </w:rPr>
          <w:fldChar w:fldCharType="end"/>
        </w:r>
      </w:hyperlink>
    </w:p>
    <w:p w14:paraId="3A209FF0" w14:textId="5376810B"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75" w:history="1">
        <w:r w:rsidR="00C74523" w:rsidRPr="00A66C95">
          <w:rPr>
            <w:rStyle w:val="Hyperlink"/>
            <w:noProof/>
          </w:rPr>
          <w:t>Division Workload Report</w:t>
        </w:r>
        <w:r w:rsidR="00C74523">
          <w:rPr>
            <w:noProof/>
            <w:webHidden/>
          </w:rPr>
          <w:tab/>
        </w:r>
        <w:r w:rsidR="00C74523">
          <w:rPr>
            <w:noProof/>
            <w:webHidden/>
          </w:rPr>
          <w:fldChar w:fldCharType="begin"/>
        </w:r>
        <w:r w:rsidR="00C74523">
          <w:rPr>
            <w:noProof/>
            <w:webHidden/>
          </w:rPr>
          <w:instrText xml:space="preserve"> PAGEREF _Toc163644975 \h </w:instrText>
        </w:r>
        <w:r w:rsidR="00C74523">
          <w:rPr>
            <w:noProof/>
            <w:webHidden/>
          </w:rPr>
        </w:r>
        <w:r w:rsidR="00C74523">
          <w:rPr>
            <w:noProof/>
            <w:webHidden/>
          </w:rPr>
          <w:fldChar w:fldCharType="separate"/>
        </w:r>
        <w:r>
          <w:rPr>
            <w:noProof/>
            <w:webHidden/>
          </w:rPr>
          <w:t>362</w:t>
        </w:r>
        <w:r w:rsidR="00C74523">
          <w:rPr>
            <w:noProof/>
            <w:webHidden/>
          </w:rPr>
          <w:fldChar w:fldCharType="end"/>
        </w:r>
      </w:hyperlink>
    </w:p>
    <w:p w14:paraId="10A49ED2" w14:textId="5BA742FF"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76" w:history="1">
        <w:r w:rsidR="00C74523" w:rsidRPr="00A66C95">
          <w:rPr>
            <w:rStyle w:val="Hyperlink"/>
            <w:noProof/>
          </w:rPr>
          <w:t>Exception Report</w:t>
        </w:r>
        <w:r w:rsidR="00C74523">
          <w:rPr>
            <w:noProof/>
            <w:webHidden/>
          </w:rPr>
          <w:tab/>
        </w:r>
        <w:r w:rsidR="00C74523">
          <w:rPr>
            <w:noProof/>
            <w:webHidden/>
          </w:rPr>
          <w:fldChar w:fldCharType="begin"/>
        </w:r>
        <w:r w:rsidR="00C74523">
          <w:rPr>
            <w:noProof/>
            <w:webHidden/>
          </w:rPr>
          <w:instrText xml:space="preserve"> PAGEREF _Toc163644976 \h </w:instrText>
        </w:r>
        <w:r w:rsidR="00C74523">
          <w:rPr>
            <w:noProof/>
            <w:webHidden/>
          </w:rPr>
        </w:r>
        <w:r w:rsidR="00C74523">
          <w:rPr>
            <w:noProof/>
            <w:webHidden/>
          </w:rPr>
          <w:fldChar w:fldCharType="separate"/>
        </w:r>
        <w:r>
          <w:rPr>
            <w:noProof/>
            <w:webHidden/>
          </w:rPr>
          <w:t>364</w:t>
        </w:r>
        <w:r w:rsidR="00C74523">
          <w:rPr>
            <w:noProof/>
            <w:webHidden/>
          </w:rPr>
          <w:fldChar w:fldCharType="end"/>
        </w:r>
      </w:hyperlink>
    </w:p>
    <w:p w14:paraId="166D8F98" w14:textId="44FB4F3F"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77" w:history="1">
        <w:r w:rsidR="00C74523" w:rsidRPr="00A66C95">
          <w:rPr>
            <w:rStyle w:val="Hyperlink"/>
            <w:noProof/>
          </w:rPr>
          <w:t>Finalize/Print TRW (See Patient Services, Finalize/Print TRW)</w:t>
        </w:r>
        <w:r w:rsidR="00C74523">
          <w:rPr>
            <w:noProof/>
            <w:webHidden/>
          </w:rPr>
          <w:tab/>
        </w:r>
        <w:r w:rsidR="00C74523">
          <w:rPr>
            <w:noProof/>
            <w:webHidden/>
          </w:rPr>
          <w:fldChar w:fldCharType="begin"/>
        </w:r>
        <w:r w:rsidR="00C74523">
          <w:rPr>
            <w:noProof/>
            <w:webHidden/>
          </w:rPr>
          <w:instrText xml:space="preserve"> PAGEREF _Toc163644977 \h </w:instrText>
        </w:r>
        <w:r w:rsidR="00C74523">
          <w:rPr>
            <w:noProof/>
            <w:webHidden/>
          </w:rPr>
        </w:r>
        <w:r w:rsidR="00C74523">
          <w:rPr>
            <w:noProof/>
            <w:webHidden/>
          </w:rPr>
          <w:fldChar w:fldCharType="separate"/>
        </w:r>
        <w:r>
          <w:rPr>
            <w:noProof/>
            <w:webHidden/>
          </w:rPr>
          <w:t>366</w:t>
        </w:r>
        <w:r w:rsidR="00C74523">
          <w:rPr>
            <w:noProof/>
            <w:webHidden/>
          </w:rPr>
          <w:fldChar w:fldCharType="end"/>
        </w:r>
      </w:hyperlink>
    </w:p>
    <w:p w14:paraId="042A81A1" w14:textId="63D92623"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78" w:history="1">
        <w:r w:rsidR="00C74523" w:rsidRPr="00A66C95">
          <w:rPr>
            <w:rStyle w:val="Hyperlink"/>
            <w:noProof/>
          </w:rPr>
          <w:t>Inappropriate Transfusion Request Report</w:t>
        </w:r>
        <w:r w:rsidR="00C74523">
          <w:rPr>
            <w:noProof/>
            <w:webHidden/>
          </w:rPr>
          <w:tab/>
        </w:r>
        <w:r w:rsidR="00C74523">
          <w:rPr>
            <w:noProof/>
            <w:webHidden/>
          </w:rPr>
          <w:fldChar w:fldCharType="begin"/>
        </w:r>
        <w:r w:rsidR="00C74523">
          <w:rPr>
            <w:noProof/>
            <w:webHidden/>
          </w:rPr>
          <w:instrText xml:space="preserve"> PAGEREF _Toc163644978 \h </w:instrText>
        </w:r>
        <w:r w:rsidR="00C74523">
          <w:rPr>
            <w:noProof/>
            <w:webHidden/>
          </w:rPr>
        </w:r>
        <w:r w:rsidR="00C74523">
          <w:rPr>
            <w:noProof/>
            <w:webHidden/>
          </w:rPr>
          <w:fldChar w:fldCharType="separate"/>
        </w:r>
        <w:r>
          <w:rPr>
            <w:noProof/>
            <w:webHidden/>
          </w:rPr>
          <w:t>366</w:t>
        </w:r>
        <w:r w:rsidR="00C74523">
          <w:rPr>
            <w:noProof/>
            <w:webHidden/>
          </w:rPr>
          <w:fldChar w:fldCharType="end"/>
        </w:r>
      </w:hyperlink>
    </w:p>
    <w:p w14:paraId="6DBBB4EF" w14:textId="35D96D52"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79" w:history="1">
        <w:r w:rsidR="00C74523" w:rsidRPr="00A66C95">
          <w:rPr>
            <w:rStyle w:val="Hyperlink"/>
            <w:noProof/>
          </w:rPr>
          <w:t>Issued/Returned Unit Report</w:t>
        </w:r>
        <w:r w:rsidR="00C74523">
          <w:rPr>
            <w:noProof/>
            <w:webHidden/>
          </w:rPr>
          <w:tab/>
        </w:r>
        <w:r w:rsidR="00C74523">
          <w:rPr>
            <w:noProof/>
            <w:webHidden/>
          </w:rPr>
          <w:fldChar w:fldCharType="begin"/>
        </w:r>
        <w:r w:rsidR="00C74523">
          <w:rPr>
            <w:noProof/>
            <w:webHidden/>
          </w:rPr>
          <w:instrText xml:space="preserve"> PAGEREF _Toc163644979 \h </w:instrText>
        </w:r>
        <w:r w:rsidR="00C74523">
          <w:rPr>
            <w:noProof/>
            <w:webHidden/>
          </w:rPr>
        </w:r>
        <w:r w:rsidR="00C74523">
          <w:rPr>
            <w:noProof/>
            <w:webHidden/>
          </w:rPr>
          <w:fldChar w:fldCharType="separate"/>
        </w:r>
        <w:r>
          <w:rPr>
            <w:noProof/>
            <w:webHidden/>
          </w:rPr>
          <w:t>367</w:t>
        </w:r>
        <w:r w:rsidR="00C74523">
          <w:rPr>
            <w:noProof/>
            <w:webHidden/>
          </w:rPr>
          <w:fldChar w:fldCharType="end"/>
        </w:r>
      </w:hyperlink>
    </w:p>
    <w:p w14:paraId="55191E8C" w14:textId="4DDF0736"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80" w:history="1">
        <w:r w:rsidR="00C74523" w:rsidRPr="00A66C95">
          <w:rPr>
            <w:rStyle w:val="Hyperlink"/>
            <w:noProof/>
          </w:rPr>
          <w:t>Medication Profile (See Patient Information Toolbar)</w:t>
        </w:r>
        <w:r w:rsidR="00C74523">
          <w:rPr>
            <w:noProof/>
            <w:webHidden/>
          </w:rPr>
          <w:tab/>
        </w:r>
        <w:r w:rsidR="00C74523">
          <w:rPr>
            <w:noProof/>
            <w:webHidden/>
          </w:rPr>
          <w:fldChar w:fldCharType="begin"/>
        </w:r>
        <w:r w:rsidR="00C74523">
          <w:rPr>
            <w:noProof/>
            <w:webHidden/>
          </w:rPr>
          <w:instrText xml:space="preserve"> PAGEREF _Toc163644980 \h </w:instrText>
        </w:r>
        <w:r w:rsidR="00C74523">
          <w:rPr>
            <w:noProof/>
            <w:webHidden/>
          </w:rPr>
        </w:r>
        <w:r w:rsidR="00C74523">
          <w:rPr>
            <w:noProof/>
            <w:webHidden/>
          </w:rPr>
          <w:fldChar w:fldCharType="separate"/>
        </w:r>
        <w:r>
          <w:rPr>
            <w:noProof/>
            <w:webHidden/>
          </w:rPr>
          <w:t>368</w:t>
        </w:r>
        <w:r w:rsidR="00C74523">
          <w:rPr>
            <w:noProof/>
            <w:webHidden/>
          </w:rPr>
          <w:fldChar w:fldCharType="end"/>
        </w:r>
      </w:hyperlink>
    </w:p>
    <w:p w14:paraId="3FB5C616" w14:textId="15B2C48E"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81" w:history="1">
        <w:r w:rsidR="00C74523" w:rsidRPr="00A66C95">
          <w:rPr>
            <w:rStyle w:val="Hyperlink"/>
            <w:noProof/>
          </w:rPr>
          <w:t>Order History Report</w:t>
        </w:r>
        <w:r w:rsidR="00C74523">
          <w:rPr>
            <w:noProof/>
            <w:webHidden/>
          </w:rPr>
          <w:tab/>
        </w:r>
        <w:r w:rsidR="00C74523">
          <w:rPr>
            <w:noProof/>
            <w:webHidden/>
          </w:rPr>
          <w:fldChar w:fldCharType="begin"/>
        </w:r>
        <w:r w:rsidR="00C74523">
          <w:rPr>
            <w:noProof/>
            <w:webHidden/>
          </w:rPr>
          <w:instrText xml:space="preserve"> PAGEREF _Toc163644981 \h </w:instrText>
        </w:r>
        <w:r w:rsidR="00C74523">
          <w:rPr>
            <w:noProof/>
            <w:webHidden/>
          </w:rPr>
        </w:r>
        <w:r w:rsidR="00C74523">
          <w:rPr>
            <w:noProof/>
            <w:webHidden/>
          </w:rPr>
          <w:fldChar w:fldCharType="separate"/>
        </w:r>
        <w:r>
          <w:rPr>
            <w:noProof/>
            <w:webHidden/>
          </w:rPr>
          <w:t>368</w:t>
        </w:r>
        <w:r w:rsidR="00C74523">
          <w:rPr>
            <w:noProof/>
            <w:webHidden/>
          </w:rPr>
          <w:fldChar w:fldCharType="end"/>
        </w:r>
      </w:hyperlink>
    </w:p>
    <w:p w14:paraId="3B7D230B" w14:textId="420F94F9"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82" w:history="1">
        <w:r w:rsidR="00C74523" w:rsidRPr="00A66C95">
          <w:rPr>
            <w:rStyle w:val="Hyperlink"/>
            <w:noProof/>
          </w:rPr>
          <w:t>Patient History Report</w:t>
        </w:r>
        <w:r w:rsidR="00C74523">
          <w:rPr>
            <w:noProof/>
            <w:webHidden/>
          </w:rPr>
          <w:tab/>
        </w:r>
        <w:r w:rsidR="00C74523">
          <w:rPr>
            <w:noProof/>
            <w:webHidden/>
          </w:rPr>
          <w:fldChar w:fldCharType="begin"/>
        </w:r>
        <w:r w:rsidR="00C74523">
          <w:rPr>
            <w:noProof/>
            <w:webHidden/>
          </w:rPr>
          <w:instrText xml:space="preserve"> PAGEREF _Toc163644982 \h </w:instrText>
        </w:r>
        <w:r w:rsidR="00C74523">
          <w:rPr>
            <w:noProof/>
            <w:webHidden/>
          </w:rPr>
        </w:r>
        <w:r w:rsidR="00C74523">
          <w:rPr>
            <w:noProof/>
            <w:webHidden/>
          </w:rPr>
          <w:fldChar w:fldCharType="separate"/>
        </w:r>
        <w:r>
          <w:rPr>
            <w:noProof/>
            <w:webHidden/>
          </w:rPr>
          <w:t>371</w:t>
        </w:r>
        <w:r w:rsidR="00C74523">
          <w:rPr>
            <w:noProof/>
            <w:webHidden/>
          </w:rPr>
          <w:fldChar w:fldCharType="end"/>
        </w:r>
      </w:hyperlink>
    </w:p>
    <w:p w14:paraId="4AB629CC" w14:textId="3828DD8D"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83" w:history="1">
        <w:r w:rsidR="00C74523" w:rsidRPr="00A66C95">
          <w:rPr>
            <w:rStyle w:val="Hyperlink"/>
            <w:noProof/>
          </w:rPr>
          <w:t>Patient Testing Worklist and Testing Worklist Reports</w:t>
        </w:r>
        <w:r w:rsidR="00C74523">
          <w:rPr>
            <w:noProof/>
            <w:webHidden/>
          </w:rPr>
          <w:tab/>
        </w:r>
        <w:r w:rsidR="00C74523">
          <w:rPr>
            <w:noProof/>
            <w:webHidden/>
          </w:rPr>
          <w:fldChar w:fldCharType="begin"/>
        </w:r>
        <w:r w:rsidR="00C74523">
          <w:rPr>
            <w:noProof/>
            <w:webHidden/>
          </w:rPr>
          <w:instrText xml:space="preserve"> PAGEREF _Toc163644983 \h </w:instrText>
        </w:r>
        <w:r w:rsidR="00C74523">
          <w:rPr>
            <w:noProof/>
            <w:webHidden/>
          </w:rPr>
        </w:r>
        <w:r w:rsidR="00C74523">
          <w:rPr>
            <w:noProof/>
            <w:webHidden/>
          </w:rPr>
          <w:fldChar w:fldCharType="separate"/>
        </w:r>
        <w:r>
          <w:rPr>
            <w:noProof/>
            <w:webHidden/>
          </w:rPr>
          <w:t>373</w:t>
        </w:r>
        <w:r w:rsidR="00C74523">
          <w:rPr>
            <w:noProof/>
            <w:webHidden/>
          </w:rPr>
          <w:fldChar w:fldCharType="end"/>
        </w:r>
      </w:hyperlink>
    </w:p>
    <w:p w14:paraId="496E57EB" w14:textId="254D097D"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84" w:history="1">
        <w:r w:rsidR="00C74523" w:rsidRPr="00A66C95">
          <w:rPr>
            <w:rStyle w:val="Hyperlink"/>
            <w:noProof/>
          </w:rPr>
          <w:t>Prolonged Transfusion Time Report</w:t>
        </w:r>
        <w:r w:rsidR="00C74523">
          <w:rPr>
            <w:noProof/>
            <w:webHidden/>
          </w:rPr>
          <w:tab/>
        </w:r>
        <w:r w:rsidR="00C74523">
          <w:rPr>
            <w:noProof/>
            <w:webHidden/>
          </w:rPr>
          <w:fldChar w:fldCharType="begin"/>
        </w:r>
        <w:r w:rsidR="00C74523">
          <w:rPr>
            <w:noProof/>
            <w:webHidden/>
          </w:rPr>
          <w:instrText xml:space="preserve"> PAGEREF _Toc163644984 \h </w:instrText>
        </w:r>
        <w:r w:rsidR="00C74523">
          <w:rPr>
            <w:noProof/>
            <w:webHidden/>
          </w:rPr>
        </w:r>
        <w:r w:rsidR="00C74523">
          <w:rPr>
            <w:noProof/>
            <w:webHidden/>
          </w:rPr>
          <w:fldChar w:fldCharType="separate"/>
        </w:r>
        <w:r>
          <w:rPr>
            <w:noProof/>
            <w:webHidden/>
          </w:rPr>
          <w:t>376</w:t>
        </w:r>
        <w:r w:rsidR="00C74523">
          <w:rPr>
            <w:noProof/>
            <w:webHidden/>
          </w:rPr>
          <w:fldChar w:fldCharType="end"/>
        </w:r>
      </w:hyperlink>
    </w:p>
    <w:p w14:paraId="292F9FEC" w14:textId="054A60E0"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85" w:history="1">
        <w:r w:rsidR="00C74523" w:rsidRPr="00A66C95">
          <w:rPr>
            <w:rStyle w:val="Hyperlink"/>
            <w:noProof/>
          </w:rPr>
          <w:t>Transfusion Complications Report</w:t>
        </w:r>
        <w:r w:rsidR="00C74523">
          <w:rPr>
            <w:noProof/>
            <w:webHidden/>
          </w:rPr>
          <w:tab/>
        </w:r>
        <w:r w:rsidR="00C74523">
          <w:rPr>
            <w:noProof/>
            <w:webHidden/>
          </w:rPr>
          <w:fldChar w:fldCharType="begin"/>
        </w:r>
        <w:r w:rsidR="00C74523">
          <w:rPr>
            <w:noProof/>
            <w:webHidden/>
          </w:rPr>
          <w:instrText xml:space="preserve"> PAGEREF _Toc163644985 \h </w:instrText>
        </w:r>
        <w:r w:rsidR="00C74523">
          <w:rPr>
            <w:noProof/>
            <w:webHidden/>
          </w:rPr>
        </w:r>
        <w:r w:rsidR="00C74523">
          <w:rPr>
            <w:noProof/>
            <w:webHidden/>
          </w:rPr>
          <w:fldChar w:fldCharType="separate"/>
        </w:r>
        <w:r>
          <w:rPr>
            <w:noProof/>
            <w:webHidden/>
          </w:rPr>
          <w:t>378</w:t>
        </w:r>
        <w:r w:rsidR="00C74523">
          <w:rPr>
            <w:noProof/>
            <w:webHidden/>
          </w:rPr>
          <w:fldChar w:fldCharType="end"/>
        </w:r>
      </w:hyperlink>
    </w:p>
    <w:p w14:paraId="2316FA80" w14:textId="08F21587"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86" w:history="1">
        <w:r w:rsidR="00C74523" w:rsidRPr="00A66C95">
          <w:rPr>
            <w:rStyle w:val="Hyperlink"/>
            <w:noProof/>
          </w:rPr>
          <w:t>Transfusion Effectiveness Report</w:t>
        </w:r>
        <w:r w:rsidR="00C74523">
          <w:rPr>
            <w:noProof/>
            <w:webHidden/>
          </w:rPr>
          <w:tab/>
        </w:r>
        <w:r w:rsidR="00C74523">
          <w:rPr>
            <w:noProof/>
            <w:webHidden/>
          </w:rPr>
          <w:fldChar w:fldCharType="begin"/>
        </w:r>
        <w:r w:rsidR="00C74523">
          <w:rPr>
            <w:noProof/>
            <w:webHidden/>
          </w:rPr>
          <w:instrText xml:space="preserve"> PAGEREF _Toc163644986 \h </w:instrText>
        </w:r>
        <w:r w:rsidR="00C74523">
          <w:rPr>
            <w:noProof/>
            <w:webHidden/>
          </w:rPr>
        </w:r>
        <w:r w:rsidR="00C74523">
          <w:rPr>
            <w:noProof/>
            <w:webHidden/>
          </w:rPr>
          <w:fldChar w:fldCharType="separate"/>
        </w:r>
        <w:r>
          <w:rPr>
            <w:noProof/>
            <w:webHidden/>
          </w:rPr>
          <w:t>380</w:t>
        </w:r>
        <w:r w:rsidR="00C74523">
          <w:rPr>
            <w:noProof/>
            <w:webHidden/>
          </w:rPr>
          <w:fldChar w:fldCharType="end"/>
        </w:r>
      </w:hyperlink>
    </w:p>
    <w:p w14:paraId="4394CB34" w14:textId="4329FC8F"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87" w:history="1">
        <w:r w:rsidR="00C74523" w:rsidRPr="00A66C95">
          <w:rPr>
            <w:rStyle w:val="Hyperlink"/>
            <w:noProof/>
          </w:rPr>
          <w:t>Transfusion Reaction Count Report</w:t>
        </w:r>
        <w:r w:rsidR="00C74523">
          <w:rPr>
            <w:noProof/>
            <w:webHidden/>
          </w:rPr>
          <w:tab/>
        </w:r>
        <w:r w:rsidR="00C74523">
          <w:rPr>
            <w:noProof/>
            <w:webHidden/>
          </w:rPr>
          <w:fldChar w:fldCharType="begin"/>
        </w:r>
        <w:r w:rsidR="00C74523">
          <w:rPr>
            <w:noProof/>
            <w:webHidden/>
          </w:rPr>
          <w:instrText xml:space="preserve"> PAGEREF _Toc163644987 \h </w:instrText>
        </w:r>
        <w:r w:rsidR="00C74523">
          <w:rPr>
            <w:noProof/>
            <w:webHidden/>
          </w:rPr>
        </w:r>
        <w:r w:rsidR="00C74523">
          <w:rPr>
            <w:noProof/>
            <w:webHidden/>
          </w:rPr>
          <w:fldChar w:fldCharType="separate"/>
        </w:r>
        <w:r>
          <w:rPr>
            <w:noProof/>
            <w:webHidden/>
          </w:rPr>
          <w:t>382</w:t>
        </w:r>
        <w:r w:rsidR="00C74523">
          <w:rPr>
            <w:noProof/>
            <w:webHidden/>
          </w:rPr>
          <w:fldChar w:fldCharType="end"/>
        </w:r>
      </w:hyperlink>
    </w:p>
    <w:p w14:paraId="3E446767" w14:textId="4BCFC231"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88" w:history="1">
        <w:r w:rsidR="00C74523" w:rsidRPr="00A66C95">
          <w:rPr>
            <w:rStyle w:val="Hyperlink"/>
            <w:noProof/>
          </w:rPr>
          <w:t>Transfusion Requirements Report</w:t>
        </w:r>
        <w:r w:rsidR="00C74523">
          <w:rPr>
            <w:noProof/>
            <w:webHidden/>
          </w:rPr>
          <w:tab/>
        </w:r>
        <w:r w:rsidR="00C74523">
          <w:rPr>
            <w:noProof/>
            <w:webHidden/>
          </w:rPr>
          <w:fldChar w:fldCharType="begin"/>
        </w:r>
        <w:r w:rsidR="00C74523">
          <w:rPr>
            <w:noProof/>
            <w:webHidden/>
          </w:rPr>
          <w:instrText xml:space="preserve"> PAGEREF _Toc163644988 \h </w:instrText>
        </w:r>
        <w:r w:rsidR="00C74523">
          <w:rPr>
            <w:noProof/>
            <w:webHidden/>
          </w:rPr>
        </w:r>
        <w:r w:rsidR="00C74523">
          <w:rPr>
            <w:noProof/>
            <w:webHidden/>
          </w:rPr>
          <w:fldChar w:fldCharType="separate"/>
        </w:r>
        <w:r>
          <w:rPr>
            <w:noProof/>
            <w:webHidden/>
          </w:rPr>
          <w:t>384</w:t>
        </w:r>
        <w:r w:rsidR="00C74523">
          <w:rPr>
            <w:noProof/>
            <w:webHidden/>
          </w:rPr>
          <w:fldChar w:fldCharType="end"/>
        </w:r>
      </w:hyperlink>
    </w:p>
    <w:p w14:paraId="613FA844" w14:textId="198D280F"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89" w:history="1">
        <w:r w:rsidR="00C74523" w:rsidRPr="00A66C95">
          <w:rPr>
            <w:rStyle w:val="Hyperlink"/>
            <w:noProof/>
          </w:rPr>
          <w:t>Unit History Report</w:t>
        </w:r>
        <w:r w:rsidR="00C74523">
          <w:rPr>
            <w:noProof/>
            <w:webHidden/>
          </w:rPr>
          <w:tab/>
        </w:r>
        <w:r w:rsidR="00C74523">
          <w:rPr>
            <w:noProof/>
            <w:webHidden/>
          </w:rPr>
          <w:fldChar w:fldCharType="begin"/>
        </w:r>
        <w:r w:rsidR="00C74523">
          <w:rPr>
            <w:noProof/>
            <w:webHidden/>
          </w:rPr>
          <w:instrText xml:space="preserve"> PAGEREF _Toc163644989 \h </w:instrText>
        </w:r>
        <w:r w:rsidR="00C74523">
          <w:rPr>
            <w:noProof/>
            <w:webHidden/>
          </w:rPr>
        </w:r>
        <w:r w:rsidR="00C74523">
          <w:rPr>
            <w:noProof/>
            <w:webHidden/>
          </w:rPr>
          <w:fldChar w:fldCharType="separate"/>
        </w:r>
        <w:r>
          <w:rPr>
            <w:noProof/>
            <w:webHidden/>
          </w:rPr>
          <w:t>386</w:t>
        </w:r>
        <w:r w:rsidR="00C74523">
          <w:rPr>
            <w:noProof/>
            <w:webHidden/>
          </w:rPr>
          <w:fldChar w:fldCharType="end"/>
        </w:r>
      </w:hyperlink>
    </w:p>
    <w:p w14:paraId="62272E57" w14:textId="492E0202"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990" w:history="1">
        <w:r w:rsidR="00C74523" w:rsidRPr="00A66C95">
          <w:rPr>
            <w:rStyle w:val="Hyperlink"/>
            <w:noProof/>
          </w:rPr>
          <w:t>References</w:t>
        </w:r>
        <w:r w:rsidR="00C74523">
          <w:rPr>
            <w:noProof/>
            <w:webHidden/>
          </w:rPr>
          <w:tab/>
        </w:r>
        <w:r w:rsidR="00C74523">
          <w:rPr>
            <w:noProof/>
            <w:webHidden/>
          </w:rPr>
          <w:fldChar w:fldCharType="begin"/>
        </w:r>
        <w:r w:rsidR="00C74523">
          <w:rPr>
            <w:noProof/>
            <w:webHidden/>
          </w:rPr>
          <w:instrText xml:space="preserve"> PAGEREF _Toc163644990 \h </w:instrText>
        </w:r>
        <w:r w:rsidR="00C74523">
          <w:rPr>
            <w:noProof/>
            <w:webHidden/>
          </w:rPr>
        </w:r>
        <w:r w:rsidR="00C74523">
          <w:rPr>
            <w:noProof/>
            <w:webHidden/>
          </w:rPr>
          <w:fldChar w:fldCharType="separate"/>
        </w:r>
        <w:r>
          <w:rPr>
            <w:noProof/>
            <w:webHidden/>
          </w:rPr>
          <w:t>389</w:t>
        </w:r>
        <w:r w:rsidR="00C74523">
          <w:rPr>
            <w:noProof/>
            <w:webHidden/>
          </w:rPr>
          <w:fldChar w:fldCharType="end"/>
        </w:r>
      </w:hyperlink>
    </w:p>
    <w:p w14:paraId="1429A031" w14:textId="4AF94570"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991" w:history="1">
        <w:r w:rsidR="00C74523" w:rsidRPr="00A66C95">
          <w:rPr>
            <w:rStyle w:val="Hyperlink"/>
            <w:noProof/>
          </w:rPr>
          <w:t>Glossary</w:t>
        </w:r>
        <w:r w:rsidR="00C74523">
          <w:rPr>
            <w:noProof/>
            <w:webHidden/>
          </w:rPr>
          <w:tab/>
        </w:r>
        <w:r w:rsidR="00C74523">
          <w:rPr>
            <w:noProof/>
            <w:webHidden/>
          </w:rPr>
          <w:fldChar w:fldCharType="begin"/>
        </w:r>
        <w:r w:rsidR="00C74523">
          <w:rPr>
            <w:noProof/>
            <w:webHidden/>
          </w:rPr>
          <w:instrText xml:space="preserve"> PAGEREF _Toc163644991 \h </w:instrText>
        </w:r>
        <w:r w:rsidR="00C74523">
          <w:rPr>
            <w:noProof/>
            <w:webHidden/>
          </w:rPr>
        </w:r>
        <w:r w:rsidR="00C74523">
          <w:rPr>
            <w:noProof/>
            <w:webHidden/>
          </w:rPr>
          <w:fldChar w:fldCharType="separate"/>
        </w:r>
        <w:r>
          <w:rPr>
            <w:noProof/>
            <w:webHidden/>
          </w:rPr>
          <w:t>392</w:t>
        </w:r>
        <w:r w:rsidR="00C74523">
          <w:rPr>
            <w:noProof/>
            <w:webHidden/>
          </w:rPr>
          <w:fldChar w:fldCharType="end"/>
        </w:r>
      </w:hyperlink>
    </w:p>
    <w:p w14:paraId="1BF33073" w14:textId="3A9C1F19"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4992" w:history="1">
        <w:r w:rsidR="00C74523" w:rsidRPr="00A66C95">
          <w:rPr>
            <w:rStyle w:val="Hyperlink"/>
            <w:noProof/>
          </w:rPr>
          <w:t>Appendices</w:t>
        </w:r>
        <w:r w:rsidR="00C74523">
          <w:rPr>
            <w:noProof/>
            <w:webHidden/>
          </w:rPr>
          <w:tab/>
        </w:r>
        <w:r w:rsidR="00C74523">
          <w:rPr>
            <w:noProof/>
            <w:webHidden/>
          </w:rPr>
          <w:fldChar w:fldCharType="begin"/>
        </w:r>
        <w:r w:rsidR="00C74523">
          <w:rPr>
            <w:noProof/>
            <w:webHidden/>
          </w:rPr>
          <w:instrText xml:space="preserve"> PAGEREF _Toc163644992 \h </w:instrText>
        </w:r>
        <w:r w:rsidR="00C74523">
          <w:rPr>
            <w:noProof/>
            <w:webHidden/>
          </w:rPr>
        </w:r>
        <w:r w:rsidR="00C74523">
          <w:rPr>
            <w:noProof/>
            <w:webHidden/>
          </w:rPr>
          <w:fldChar w:fldCharType="separate"/>
        </w:r>
        <w:r>
          <w:rPr>
            <w:noProof/>
            <w:webHidden/>
          </w:rPr>
          <w:t>402</w:t>
        </w:r>
        <w:r w:rsidR="00C74523">
          <w:rPr>
            <w:noProof/>
            <w:webHidden/>
          </w:rPr>
          <w:fldChar w:fldCharType="end"/>
        </w:r>
      </w:hyperlink>
    </w:p>
    <w:p w14:paraId="5B966B8A" w14:textId="4C08A365"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93" w:history="1">
        <w:r w:rsidR="00C74523" w:rsidRPr="00A66C95">
          <w:rPr>
            <w:rStyle w:val="Hyperlink"/>
            <w:noProof/>
          </w:rPr>
          <w:t>Appendix A: Downtime Forms and Instructions</w:t>
        </w:r>
        <w:r w:rsidR="00C74523">
          <w:rPr>
            <w:noProof/>
            <w:webHidden/>
          </w:rPr>
          <w:tab/>
        </w:r>
        <w:r w:rsidR="00C74523">
          <w:rPr>
            <w:noProof/>
            <w:webHidden/>
          </w:rPr>
          <w:fldChar w:fldCharType="begin"/>
        </w:r>
        <w:r w:rsidR="00C74523">
          <w:rPr>
            <w:noProof/>
            <w:webHidden/>
          </w:rPr>
          <w:instrText xml:space="preserve"> PAGEREF _Toc163644993 \h </w:instrText>
        </w:r>
        <w:r w:rsidR="00C74523">
          <w:rPr>
            <w:noProof/>
            <w:webHidden/>
          </w:rPr>
        </w:r>
        <w:r w:rsidR="00C74523">
          <w:rPr>
            <w:noProof/>
            <w:webHidden/>
          </w:rPr>
          <w:fldChar w:fldCharType="separate"/>
        </w:r>
        <w:r>
          <w:rPr>
            <w:noProof/>
            <w:webHidden/>
          </w:rPr>
          <w:t>402</w:t>
        </w:r>
        <w:r w:rsidR="00C74523">
          <w:rPr>
            <w:noProof/>
            <w:webHidden/>
          </w:rPr>
          <w:fldChar w:fldCharType="end"/>
        </w:r>
      </w:hyperlink>
    </w:p>
    <w:p w14:paraId="34A87D14" w14:textId="4A294D3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94" w:history="1">
        <w:r w:rsidR="00C74523" w:rsidRPr="00A66C95">
          <w:rPr>
            <w:rStyle w:val="Hyperlink"/>
            <w:noProof/>
          </w:rPr>
          <w:t>Patient Testing Form</w:t>
        </w:r>
        <w:r w:rsidR="00C74523">
          <w:rPr>
            <w:noProof/>
            <w:webHidden/>
          </w:rPr>
          <w:tab/>
        </w:r>
        <w:r w:rsidR="00C74523">
          <w:rPr>
            <w:noProof/>
            <w:webHidden/>
          </w:rPr>
          <w:fldChar w:fldCharType="begin"/>
        </w:r>
        <w:r w:rsidR="00C74523">
          <w:rPr>
            <w:noProof/>
            <w:webHidden/>
          </w:rPr>
          <w:instrText xml:space="preserve"> PAGEREF _Toc163644994 \h </w:instrText>
        </w:r>
        <w:r w:rsidR="00C74523">
          <w:rPr>
            <w:noProof/>
            <w:webHidden/>
          </w:rPr>
        </w:r>
        <w:r w:rsidR="00C74523">
          <w:rPr>
            <w:noProof/>
            <w:webHidden/>
          </w:rPr>
          <w:fldChar w:fldCharType="separate"/>
        </w:r>
        <w:r>
          <w:rPr>
            <w:noProof/>
            <w:webHidden/>
          </w:rPr>
          <w:t>403</w:t>
        </w:r>
        <w:r w:rsidR="00C74523">
          <w:rPr>
            <w:noProof/>
            <w:webHidden/>
          </w:rPr>
          <w:fldChar w:fldCharType="end"/>
        </w:r>
      </w:hyperlink>
    </w:p>
    <w:p w14:paraId="3ED329FA" w14:textId="439F364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95" w:history="1">
        <w:r w:rsidR="00C74523" w:rsidRPr="00A66C95">
          <w:rPr>
            <w:rStyle w:val="Hyperlink"/>
            <w:noProof/>
          </w:rPr>
          <w:t>Unit ABO/Rh Confirmation Form</w:t>
        </w:r>
        <w:r w:rsidR="00C74523">
          <w:rPr>
            <w:noProof/>
            <w:webHidden/>
          </w:rPr>
          <w:tab/>
        </w:r>
        <w:r w:rsidR="00C74523">
          <w:rPr>
            <w:noProof/>
            <w:webHidden/>
          </w:rPr>
          <w:fldChar w:fldCharType="begin"/>
        </w:r>
        <w:r w:rsidR="00C74523">
          <w:rPr>
            <w:noProof/>
            <w:webHidden/>
          </w:rPr>
          <w:instrText xml:space="preserve"> PAGEREF _Toc163644995 \h </w:instrText>
        </w:r>
        <w:r w:rsidR="00C74523">
          <w:rPr>
            <w:noProof/>
            <w:webHidden/>
          </w:rPr>
        </w:r>
        <w:r w:rsidR="00C74523">
          <w:rPr>
            <w:noProof/>
            <w:webHidden/>
          </w:rPr>
          <w:fldChar w:fldCharType="separate"/>
        </w:r>
        <w:r>
          <w:rPr>
            <w:noProof/>
            <w:webHidden/>
          </w:rPr>
          <w:t>406</w:t>
        </w:r>
        <w:r w:rsidR="00C74523">
          <w:rPr>
            <w:noProof/>
            <w:webHidden/>
          </w:rPr>
          <w:fldChar w:fldCharType="end"/>
        </w:r>
      </w:hyperlink>
    </w:p>
    <w:p w14:paraId="45FE4120" w14:textId="33C2D831"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96" w:history="1">
        <w:r w:rsidR="00C74523" w:rsidRPr="00A66C95">
          <w:rPr>
            <w:rStyle w:val="Hyperlink"/>
            <w:noProof/>
          </w:rPr>
          <w:t>Unit Issue and Inspection Log</w:t>
        </w:r>
        <w:r w:rsidR="00C74523">
          <w:rPr>
            <w:noProof/>
            <w:webHidden/>
          </w:rPr>
          <w:tab/>
        </w:r>
        <w:r w:rsidR="00C74523">
          <w:rPr>
            <w:noProof/>
            <w:webHidden/>
          </w:rPr>
          <w:fldChar w:fldCharType="begin"/>
        </w:r>
        <w:r w:rsidR="00C74523">
          <w:rPr>
            <w:noProof/>
            <w:webHidden/>
          </w:rPr>
          <w:instrText xml:space="preserve"> PAGEREF _Toc163644996 \h </w:instrText>
        </w:r>
        <w:r w:rsidR="00C74523">
          <w:rPr>
            <w:noProof/>
            <w:webHidden/>
          </w:rPr>
        </w:r>
        <w:r w:rsidR="00C74523">
          <w:rPr>
            <w:noProof/>
            <w:webHidden/>
          </w:rPr>
          <w:fldChar w:fldCharType="separate"/>
        </w:r>
        <w:r>
          <w:rPr>
            <w:noProof/>
            <w:webHidden/>
          </w:rPr>
          <w:t>407</w:t>
        </w:r>
        <w:r w:rsidR="00C74523">
          <w:rPr>
            <w:noProof/>
            <w:webHidden/>
          </w:rPr>
          <w:fldChar w:fldCharType="end"/>
        </w:r>
      </w:hyperlink>
    </w:p>
    <w:p w14:paraId="46153248" w14:textId="15F2AD3A"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97" w:history="1">
        <w:r w:rsidR="00C74523" w:rsidRPr="00A66C95">
          <w:rPr>
            <w:rStyle w:val="Hyperlink"/>
            <w:noProof/>
          </w:rPr>
          <w:t>Unit Modification Form</w:t>
        </w:r>
        <w:r w:rsidR="00C74523">
          <w:rPr>
            <w:noProof/>
            <w:webHidden/>
          </w:rPr>
          <w:tab/>
        </w:r>
        <w:r w:rsidR="00C74523">
          <w:rPr>
            <w:noProof/>
            <w:webHidden/>
          </w:rPr>
          <w:fldChar w:fldCharType="begin"/>
        </w:r>
        <w:r w:rsidR="00C74523">
          <w:rPr>
            <w:noProof/>
            <w:webHidden/>
          </w:rPr>
          <w:instrText xml:space="preserve"> PAGEREF _Toc163644997 \h </w:instrText>
        </w:r>
        <w:r w:rsidR="00C74523">
          <w:rPr>
            <w:noProof/>
            <w:webHidden/>
          </w:rPr>
        </w:r>
        <w:r w:rsidR="00C74523">
          <w:rPr>
            <w:noProof/>
            <w:webHidden/>
          </w:rPr>
          <w:fldChar w:fldCharType="separate"/>
        </w:r>
        <w:r>
          <w:rPr>
            <w:noProof/>
            <w:webHidden/>
          </w:rPr>
          <w:t>408</w:t>
        </w:r>
        <w:r w:rsidR="00C74523">
          <w:rPr>
            <w:noProof/>
            <w:webHidden/>
          </w:rPr>
          <w:fldChar w:fldCharType="end"/>
        </w:r>
      </w:hyperlink>
    </w:p>
    <w:p w14:paraId="3636BCD6" w14:textId="19A57724"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4998" w:history="1">
        <w:r w:rsidR="00C74523" w:rsidRPr="00A66C95">
          <w:rPr>
            <w:rStyle w:val="Hyperlink"/>
            <w:noProof/>
          </w:rPr>
          <w:t>Appendix B: Database Table Information</w:t>
        </w:r>
        <w:r w:rsidR="00C74523">
          <w:rPr>
            <w:noProof/>
            <w:webHidden/>
          </w:rPr>
          <w:tab/>
        </w:r>
        <w:r w:rsidR="00C74523">
          <w:rPr>
            <w:noProof/>
            <w:webHidden/>
          </w:rPr>
          <w:fldChar w:fldCharType="begin"/>
        </w:r>
        <w:r w:rsidR="00C74523">
          <w:rPr>
            <w:noProof/>
            <w:webHidden/>
          </w:rPr>
          <w:instrText xml:space="preserve"> PAGEREF _Toc163644998 \h </w:instrText>
        </w:r>
        <w:r w:rsidR="00C74523">
          <w:rPr>
            <w:noProof/>
            <w:webHidden/>
          </w:rPr>
        </w:r>
        <w:r w:rsidR="00C74523">
          <w:rPr>
            <w:noProof/>
            <w:webHidden/>
          </w:rPr>
          <w:fldChar w:fldCharType="separate"/>
        </w:r>
        <w:r>
          <w:rPr>
            <w:noProof/>
            <w:webHidden/>
          </w:rPr>
          <w:t>410</w:t>
        </w:r>
        <w:r w:rsidR="00C74523">
          <w:rPr>
            <w:noProof/>
            <w:webHidden/>
          </w:rPr>
          <w:fldChar w:fldCharType="end"/>
        </w:r>
      </w:hyperlink>
    </w:p>
    <w:p w14:paraId="6CF73EEC" w14:textId="39516EFC"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4999" w:history="1">
        <w:r w:rsidR="00C74523" w:rsidRPr="00A66C95">
          <w:rPr>
            <w:rStyle w:val="Hyperlink"/>
            <w:noProof/>
          </w:rPr>
          <w:t>Antibody and Antigen Tables</w:t>
        </w:r>
        <w:r w:rsidR="00C74523">
          <w:rPr>
            <w:noProof/>
            <w:webHidden/>
          </w:rPr>
          <w:tab/>
        </w:r>
        <w:r w:rsidR="00C74523">
          <w:rPr>
            <w:noProof/>
            <w:webHidden/>
          </w:rPr>
          <w:fldChar w:fldCharType="begin"/>
        </w:r>
        <w:r w:rsidR="00C74523">
          <w:rPr>
            <w:noProof/>
            <w:webHidden/>
          </w:rPr>
          <w:instrText xml:space="preserve"> PAGEREF _Toc163644999 \h </w:instrText>
        </w:r>
        <w:r w:rsidR="00C74523">
          <w:rPr>
            <w:noProof/>
            <w:webHidden/>
          </w:rPr>
        </w:r>
        <w:r w:rsidR="00C74523">
          <w:rPr>
            <w:noProof/>
            <w:webHidden/>
          </w:rPr>
          <w:fldChar w:fldCharType="separate"/>
        </w:r>
        <w:r>
          <w:rPr>
            <w:noProof/>
            <w:webHidden/>
          </w:rPr>
          <w:t>410</w:t>
        </w:r>
        <w:r w:rsidR="00C74523">
          <w:rPr>
            <w:noProof/>
            <w:webHidden/>
          </w:rPr>
          <w:fldChar w:fldCharType="end"/>
        </w:r>
      </w:hyperlink>
    </w:p>
    <w:p w14:paraId="6435D420" w14:textId="314E0A8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00" w:history="1">
        <w:r w:rsidR="00C74523" w:rsidRPr="00A66C95">
          <w:rPr>
            <w:rStyle w:val="Hyperlink"/>
            <w:noProof/>
          </w:rPr>
          <w:t>Antibody and Antigen Table: Irregular Antibodies</w:t>
        </w:r>
        <w:r w:rsidR="00C74523">
          <w:rPr>
            <w:noProof/>
            <w:webHidden/>
          </w:rPr>
          <w:tab/>
        </w:r>
        <w:r w:rsidR="00C74523">
          <w:rPr>
            <w:noProof/>
            <w:webHidden/>
          </w:rPr>
          <w:fldChar w:fldCharType="begin"/>
        </w:r>
        <w:r w:rsidR="00C74523">
          <w:rPr>
            <w:noProof/>
            <w:webHidden/>
          </w:rPr>
          <w:instrText xml:space="preserve"> PAGEREF _Toc163645000 \h </w:instrText>
        </w:r>
        <w:r w:rsidR="00C74523">
          <w:rPr>
            <w:noProof/>
            <w:webHidden/>
          </w:rPr>
        </w:r>
        <w:r w:rsidR="00C74523">
          <w:rPr>
            <w:noProof/>
            <w:webHidden/>
          </w:rPr>
          <w:fldChar w:fldCharType="separate"/>
        </w:r>
        <w:r>
          <w:rPr>
            <w:noProof/>
            <w:webHidden/>
          </w:rPr>
          <w:t>410</w:t>
        </w:r>
        <w:r w:rsidR="00C74523">
          <w:rPr>
            <w:noProof/>
            <w:webHidden/>
          </w:rPr>
          <w:fldChar w:fldCharType="end"/>
        </w:r>
      </w:hyperlink>
    </w:p>
    <w:p w14:paraId="0017BB27" w14:textId="7DFF7B05"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01" w:history="1">
        <w:r w:rsidR="00C74523" w:rsidRPr="00A66C95">
          <w:rPr>
            <w:rStyle w:val="Hyperlink"/>
            <w:noProof/>
          </w:rPr>
          <w:t>Antibody and Antigen Table: Database Conversion</w:t>
        </w:r>
        <w:r w:rsidR="00C74523">
          <w:rPr>
            <w:noProof/>
            <w:webHidden/>
          </w:rPr>
          <w:tab/>
        </w:r>
        <w:r w:rsidR="00C74523">
          <w:rPr>
            <w:noProof/>
            <w:webHidden/>
          </w:rPr>
          <w:fldChar w:fldCharType="begin"/>
        </w:r>
        <w:r w:rsidR="00C74523">
          <w:rPr>
            <w:noProof/>
            <w:webHidden/>
          </w:rPr>
          <w:instrText xml:space="preserve"> PAGEREF _Toc163645001 \h </w:instrText>
        </w:r>
        <w:r w:rsidR="00C74523">
          <w:rPr>
            <w:noProof/>
            <w:webHidden/>
          </w:rPr>
        </w:r>
        <w:r w:rsidR="00C74523">
          <w:rPr>
            <w:noProof/>
            <w:webHidden/>
          </w:rPr>
          <w:fldChar w:fldCharType="separate"/>
        </w:r>
        <w:r>
          <w:rPr>
            <w:noProof/>
            <w:webHidden/>
          </w:rPr>
          <w:t>413</w:t>
        </w:r>
        <w:r w:rsidR="00C74523">
          <w:rPr>
            <w:noProof/>
            <w:webHidden/>
          </w:rPr>
          <w:fldChar w:fldCharType="end"/>
        </w:r>
      </w:hyperlink>
    </w:p>
    <w:p w14:paraId="29736D62" w14:textId="483278BD"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02" w:history="1">
        <w:r w:rsidR="00C74523" w:rsidRPr="00A66C95">
          <w:rPr>
            <w:rStyle w:val="Hyperlink"/>
            <w:noProof/>
          </w:rPr>
          <w:t>Antibody Screen Test Interpretation</w:t>
        </w:r>
        <w:r w:rsidR="00C74523">
          <w:rPr>
            <w:noProof/>
            <w:webHidden/>
          </w:rPr>
          <w:tab/>
        </w:r>
        <w:r w:rsidR="00C74523">
          <w:rPr>
            <w:noProof/>
            <w:webHidden/>
          </w:rPr>
          <w:fldChar w:fldCharType="begin"/>
        </w:r>
        <w:r w:rsidR="00C74523">
          <w:rPr>
            <w:noProof/>
            <w:webHidden/>
          </w:rPr>
          <w:instrText xml:space="preserve"> PAGEREF _Toc163645002 \h </w:instrText>
        </w:r>
        <w:r w:rsidR="00C74523">
          <w:rPr>
            <w:noProof/>
            <w:webHidden/>
          </w:rPr>
        </w:r>
        <w:r w:rsidR="00C74523">
          <w:rPr>
            <w:noProof/>
            <w:webHidden/>
          </w:rPr>
          <w:fldChar w:fldCharType="separate"/>
        </w:r>
        <w:r>
          <w:rPr>
            <w:noProof/>
            <w:webHidden/>
          </w:rPr>
          <w:t>414</w:t>
        </w:r>
        <w:r w:rsidR="00C74523">
          <w:rPr>
            <w:noProof/>
            <w:webHidden/>
          </w:rPr>
          <w:fldChar w:fldCharType="end"/>
        </w:r>
      </w:hyperlink>
    </w:p>
    <w:p w14:paraId="4C381481" w14:textId="0F6AD8F6"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03" w:history="1">
        <w:r w:rsidR="00C74523" w:rsidRPr="00A66C95">
          <w:rPr>
            <w:rStyle w:val="Hyperlink"/>
            <w:noProof/>
          </w:rPr>
          <w:t>Canned Comment Category Types and Text</w:t>
        </w:r>
        <w:r w:rsidR="00C74523">
          <w:rPr>
            <w:noProof/>
            <w:webHidden/>
          </w:rPr>
          <w:tab/>
        </w:r>
        <w:r w:rsidR="00C74523">
          <w:rPr>
            <w:noProof/>
            <w:webHidden/>
          </w:rPr>
          <w:fldChar w:fldCharType="begin"/>
        </w:r>
        <w:r w:rsidR="00C74523">
          <w:rPr>
            <w:noProof/>
            <w:webHidden/>
          </w:rPr>
          <w:instrText xml:space="preserve"> PAGEREF _Toc163645003 \h </w:instrText>
        </w:r>
        <w:r w:rsidR="00C74523">
          <w:rPr>
            <w:noProof/>
            <w:webHidden/>
          </w:rPr>
        </w:r>
        <w:r w:rsidR="00C74523">
          <w:rPr>
            <w:noProof/>
            <w:webHidden/>
          </w:rPr>
          <w:fldChar w:fldCharType="separate"/>
        </w:r>
        <w:r>
          <w:rPr>
            <w:noProof/>
            <w:webHidden/>
          </w:rPr>
          <w:t>414</w:t>
        </w:r>
        <w:r w:rsidR="00C74523">
          <w:rPr>
            <w:noProof/>
            <w:webHidden/>
          </w:rPr>
          <w:fldChar w:fldCharType="end"/>
        </w:r>
      </w:hyperlink>
    </w:p>
    <w:p w14:paraId="1E77806B" w14:textId="7BB37A9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04" w:history="1">
        <w:r w:rsidR="00C74523" w:rsidRPr="00A66C95">
          <w:rPr>
            <w:rStyle w:val="Hyperlink"/>
            <w:noProof/>
          </w:rPr>
          <w:t>CPRS Orderable Blood Components (Component Classes) Mapped to ICCBBA Component Classes</w:t>
        </w:r>
        <w:r w:rsidR="00C74523">
          <w:rPr>
            <w:noProof/>
            <w:webHidden/>
          </w:rPr>
          <w:tab/>
        </w:r>
        <w:r w:rsidR="00C74523">
          <w:rPr>
            <w:noProof/>
            <w:webHidden/>
          </w:rPr>
          <w:fldChar w:fldCharType="begin"/>
        </w:r>
        <w:r w:rsidR="00C74523">
          <w:rPr>
            <w:noProof/>
            <w:webHidden/>
          </w:rPr>
          <w:instrText xml:space="preserve"> PAGEREF _Toc163645004 \h </w:instrText>
        </w:r>
        <w:r w:rsidR="00C74523">
          <w:rPr>
            <w:noProof/>
            <w:webHidden/>
          </w:rPr>
        </w:r>
        <w:r w:rsidR="00C74523">
          <w:rPr>
            <w:noProof/>
            <w:webHidden/>
          </w:rPr>
          <w:fldChar w:fldCharType="separate"/>
        </w:r>
        <w:r>
          <w:rPr>
            <w:noProof/>
            <w:webHidden/>
          </w:rPr>
          <w:t>420</w:t>
        </w:r>
        <w:r w:rsidR="00C74523">
          <w:rPr>
            <w:noProof/>
            <w:webHidden/>
          </w:rPr>
          <w:fldChar w:fldCharType="end"/>
        </w:r>
      </w:hyperlink>
    </w:p>
    <w:p w14:paraId="69863D65" w14:textId="6DCE341D"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05" w:history="1">
        <w:r w:rsidR="00C74523" w:rsidRPr="00A66C95">
          <w:rPr>
            <w:rStyle w:val="Hyperlink"/>
            <w:noProof/>
          </w:rPr>
          <w:t>Details in Audit Trail Report</w:t>
        </w:r>
        <w:r w:rsidR="00C74523">
          <w:rPr>
            <w:noProof/>
            <w:webHidden/>
          </w:rPr>
          <w:tab/>
        </w:r>
        <w:r w:rsidR="00C74523">
          <w:rPr>
            <w:noProof/>
            <w:webHidden/>
          </w:rPr>
          <w:fldChar w:fldCharType="begin"/>
        </w:r>
        <w:r w:rsidR="00C74523">
          <w:rPr>
            <w:noProof/>
            <w:webHidden/>
          </w:rPr>
          <w:instrText xml:space="preserve"> PAGEREF _Toc163645005 \h </w:instrText>
        </w:r>
        <w:r w:rsidR="00C74523">
          <w:rPr>
            <w:noProof/>
            <w:webHidden/>
          </w:rPr>
        </w:r>
        <w:r w:rsidR="00C74523">
          <w:rPr>
            <w:noProof/>
            <w:webHidden/>
          </w:rPr>
          <w:fldChar w:fldCharType="separate"/>
        </w:r>
        <w:r>
          <w:rPr>
            <w:noProof/>
            <w:webHidden/>
          </w:rPr>
          <w:t>420</w:t>
        </w:r>
        <w:r w:rsidR="00C74523">
          <w:rPr>
            <w:noProof/>
            <w:webHidden/>
          </w:rPr>
          <w:fldChar w:fldCharType="end"/>
        </w:r>
      </w:hyperlink>
    </w:p>
    <w:p w14:paraId="5DEE3231" w14:textId="4152A1AF"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06" w:history="1">
        <w:r w:rsidR="00C74523" w:rsidRPr="00A66C95">
          <w:rPr>
            <w:rStyle w:val="Hyperlink"/>
            <w:noProof/>
          </w:rPr>
          <w:t>Details in Exception Report</w:t>
        </w:r>
        <w:r w:rsidR="00C74523">
          <w:rPr>
            <w:noProof/>
            <w:webHidden/>
          </w:rPr>
          <w:tab/>
        </w:r>
        <w:r w:rsidR="00C74523">
          <w:rPr>
            <w:noProof/>
            <w:webHidden/>
          </w:rPr>
          <w:fldChar w:fldCharType="begin"/>
        </w:r>
        <w:r w:rsidR="00C74523">
          <w:rPr>
            <w:noProof/>
            <w:webHidden/>
          </w:rPr>
          <w:instrText xml:space="preserve"> PAGEREF _Toc163645006 \h </w:instrText>
        </w:r>
        <w:r w:rsidR="00C74523">
          <w:rPr>
            <w:noProof/>
            <w:webHidden/>
          </w:rPr>
        </w:r>
        <w:r w:rsidR="00C74523">
          <w:rPr>
            <w:noProof/>
            <w:webHidden/>
          </w:rPr>
          <w:fldChar w:fldCharType="separate"/>
        </w:r>
        <w:r>
          <w:rPr>
            <w:noProof/>
            <w:webHidden/>
          </w:rPr>
          <w:t>425</w:t>
        </w:r>
        <w:r w:rsidR="00C74523">
          <w:rPr>
            <w:noProof/>
            <w:webHidden/>
          </w:rPr>
          <w:fldChar w:fldCharType="end"/>
        </w:r>
      </w:hyperlink>
    </w:p>
    <w:p w14:paraId="16086E3A" w14:textId="2CCA3C1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07" w:history="1">
        <w:r w:rsidR="00C74523" w:rsidRPr="00A66C95">
          <w:rPr>
            <w:rStyle w:val="Hyperlink"/>
            <w:noProof/>
          </w:rPr>
          <w:t>Product Modification Targets</w:t>
        </w:r>
        <w:r w:rsidR="00C74523">
          <w:rPr>
            <w:noProof/>
            <w:webHidden/>
          </w:rPr>
          <w:tab/>
        </w:r>
        <w:r w:rsidR="00C74523">
          <w:rPr>
            <w:noProof/>
            <w:webHidden/>
          </w:rPr>
          <w:fldChar w:fldCharType="begin"/>
        </w:r>
        <w:r w:rsidR="00C74523">
          <w:rPr>
            <w:noProof/>
            <w:webHidden/>
          </w:rPr>
          <w:instrText xml:space="preserve"> PAGEREF _Toc163645007 \h </w:instrText>
        </w:r>
        <w:r w:rsidR="00C74523">
          <w:rPr>
            <w:noProof/>
            <w:webHidden/>
          </w:rPr>
        </w:r>
        <w:r w:rsidR="00C74523">
          <w:rPr>
            <w:noProof/>
            <w:webHidden/>
          </w:rPr>
          <w:fldChar w:fldCharType="separate"/>
        </w:r>
        <w:r>
          <w:rPr>
            <w:noProof/>
            <w:webHidden/>
          </w:rPr>
          <w:t>427</w:t>
        </w:r>
        <w:r w:rsidR="00C74523">
          <w:rPr>
            <w:noProof/>
            <w:webHidden/>
          </w:rPr>
          <w:fldChar w:fldCharType="end"/>
        </w:r>
      </w:hyperlink>
    </w:p>
    <w:p w14:paraId="5C79542D" w14:textId="2E8FE829"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08" w:history="1">
        <w:r w:rsidR="00C74523" w:rsidRPr="00A66C95">
          <w:rPr>
            <w:rStyle w:val="Hyperlink"/>
            <w:noProof/>
          </w:rPr>
          <w:t>Order Status Flowchart</w:t>
        </w:r>
        <w:r w:rsidR="00C74523">
          <w:rPr>
            <w:noProof/>
            <w:webHidden/>
          </w:rPr>
          <w:tab/>
        </w:r>
        <w:r w:rsidR="00C74523">
          <w:rPr>
            <w:noProof/>
            <w:webHidden/>
          </w:rPr>
          <w:fldChar w:fldCharType="begin"/>
        </w:r>
        <w:r w:rsidR="00C74523">
          <w:rPr>
            <w:noProof/>
            <w:webHidden/>
          </w:rPr>
          <w:instrText xml:space="preserve"> PAGEREF _Toc163645008 \h </w:instrText>
        </w:r>
        <w:r w:rsidR="00C74523">
          <w:rPr>
            <w:noProof/>
            <w:webHidden/>
          </w:rPr>
        </w:r>
        <w:r w:rsidR="00C74523">
          <w:rPr>
            <w:noProof/>
            <w:webHidden/>
          </w:rPr>
          <w:fldChar w:fldCharType="separate"/>
        </w:r>
        <w:r>
          <w:rPr>
            <w:noProof/>
            <w:webHidden/>
          </w:rPr>
          <w:t>428</w:t>
        </w:r>
        <w:r w:rsidR="00C74523">
          <w:rPr>
            <w:noProof/>
            <w:webHidden/>
          </w:rPr>
          <w:fldChar w:fldCharType="end"/>
        </w:r>
      </w:hyperlink>
    </w:p>
    <w:p w14:paraId="359F2986" w14:textId="25D22573"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09" w:history="1">
        <w:r w:rsidR="00C74523" w:rsidRPr="00A66C95">
          <w:rPr>
            <w:rStyle w:val="Hyperlink"/>
            <w:noProof/>
          </w:rPr>
          <w:t>Rules for Electronic and Serologic Crossmatch</w:t>
        </w:r>
        <w:r w:rsidR="00C74523">
          <w:rPr>
            <w:noProof/>
            <w:webHidden/>
          </w:rPr>
          <w:tab/>
        </w:r>
        <w:r w:rsidR="00C74523">
          <w:rPr>
            <w:noProof/>
            <w:webHidden/>
          </w:rPr>
          <w:fldChar w:fldCharType="begin"/>
        </w:r>
        <w:r w:rsidR="00C74523">
          <w:rPr>
            <w:noProof/>
            <w:webHidden/>
          </w:rPr>
          <w:instrText xml:space="preserve"> PAGEREF _Toc163645009 \h </w:instrText>
        </w:r>
        <w:r w:rsidR="00C74523">
          <w:rPr>
            <w:noProof/>
            <w:webHidden/>
          </w:rPr>
        </w:r>
        <w:r w:rsidR="00C74523">
          <w:rPr>
            <w:noProof/>
            <w:webHidden/>
          </w:rPr>
          <w:fldChar w:fldCharType="separate"/>
        </w:r>
        <w:r>
          <w:rPr>
            <w:noProof/>
            <w:webHidden/>
          </w:rPr>
          <w:t>429</w:t>
        </w:r>
        <w:r w:rsidR="00C74523">
          <w:rPr>
            <w:noProof/>
            <w:webHidden/>
          </w:rPr>
          <w:fldChar w:fldCharType="end"/>
        </w:r>
      </w:hyperlink>
    </w:p>
    <w:p w14:paraId="3608D817" w14:textId="599DC553"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10" w:history="1">
        <w:r w:rsidR="00C74523" w:rsidRPr="00A66C95">
          <w:rPr>
            <w:rStyle w:val="Hyperlink"/>
            <w:noProof/>
          </w:rPr>
          <w:t>Unit Status Flowchart</w:t>
        </w:r>
        <w:r w:rsidR="00C74523">
          <w:rPr>
            <w:noProof/>
            <w:webHidden/>
          </w:rPr>
          <w:tab/>
        </w:r>
        <w:r w:rsidR="00C74523">
          <w:rPr>
            <w:noProof/>
            <w:webHidden/>
          </w:rPr>
          <w:fldChar w:fldCharType="begin"/>
        </w:r>
        <w:r w:rsidR="00C74523">
          <w:rPr>
            <w:noProof/>
            <w:webHidden/>
          </w:rPr>
          <w:instrText xml:space="preserve"> PAGEREF _Toc163645010 \h </w:instrText>
        </w:r>
        <w:r w:rsidR="00C74523">
          <w:rPr>
            <w:noProof/>
            <w:webHidden/>
          </w:rPr>
        </w:r>
        <w:r w:rsidR="00C74523">
          <w:rPr>
            <w:noProof/>
            <w:webHidden/>
          </w:rPr>
          <w:fldChar w:fldCharType="separate"/>
        </w:r>
        <w:r>
          <w:rPr>
            <w:noProof/>
            <w:webHidden/>
          </w:rPr>
          <w:t>430</w:t>
        </w:r>
        <w:r w:rsidR="00C74523">
          <w:rPr>
            <w:noProof/>
            <w:webHidden/>
          </w:rPr>
          <w:fldChar w:fldCharType="end"/>
        </w:r>
      </w:hyperlink>
    </w:p>
    <w:p w14:paraId="0C56BF1A" w14:textId="0AA8047C"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11" w:history="1">
        <w:r w:rsidR="00C74523" w:rsidRPr="00A66C95">
          <w:rPr>
            <w:rStyle w:val="Hyperlink"/>
            <w:noProof/>
          </w:rPr>
          <w:t>VBECS Maximum Surgical Blood Order Schedule</w:t>
        </w:r>
        <w:r w:rsidR="00C74523">
          <w:rPr>
            <w:noProof/>
            <w:webHidden/>
          </w:rPr>
          <w:tab/>
        </w:r>
        <w:r w:rsidR="00C74523">
          <w:rPr>
            <w:noProof/>
            <w:webHidden/>
          </w:rPr>
          <w:fldChar w:fldCharType="begin"/>
        </w:r>
        <w:r w:rsidR="00C74523">
          <w:rPr>
            <w:noProof/>
            <w:webHidden/>
          </w:rPr>
          <w:instrText xml:space="preserve"> PAGEREF _Toc163645011 \h </w:instrText>
        </w:r>
        <w:r w:rsidR="00C74523">
          <w:rPr>
            <w:noProof/>
            <w:webHidden/>
          </w:rPr>
        </w:r>
        <w:r w:rsidR="00C74523">
          <w:rPr>
            <w:noProof/>
            <w:webHidden/>
          </w:rPr>
          <w:fldChar w:fldCharType="separate"/>
        </w:r>
        <w:r>
          <w:rPr>
            <w:noProof/>
            <w:webHidden/>
          </w:rPr>
          <w:t>432</w:t>
        </w:r>
        <w:r w:rsidR="00C74523">
          <w:rPr>
            <w:noProof/>
            <w:webHidden/>
          </w:rPr>
          <w:fldChar w:fldCharType="end"/>
        </w:r>
      </w:hyperlink>
    </w:p>
    <w:p w14:paraId="76EE0CA1" w14:textId="024BECF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12" w:history="1">
        <w:r w:rsidR="00C74523" w:rsidRPr="00A66C95">
          <w:rPr>
            <w:rStyle w:val="Hyperlink"/>
            <w:noProof/>
          </w:rPr>
          <w:t>BCE COTS Message Updates</w:t>
        </w:r>
        <w:r w:rsidR="00C74523">
          <w:rPr>
            <w:noProof/>
            <w:webHidden/>
          </w:rPr>
          <w:tab/>
        </w:r>
        <w:r w:rsidR="00C74523">
          <w:rPr>
            <w:noProof/>
            <w:webHidden/>
          </w:rPr>
          <w:fldChar w:fldCharType="begin"/>
        </w:r>
        <w:r w:rsidR="00C74523">
          <w:rPr>
            <w:noProof/>
            <w:webHidden/>
          </w:rPr>
          <w:instrText xml:space="preserve"> PAGEREF _Toc163645012 \h </w:instrText>
        </w:r>
        <w:r w:rsidR="00C74523">
          <w:rPr>
            <w:noProof/>
            <w:webHidden/>
          </w:rPr>
        </w:r>
        <w:r w:rsidR="00C74523">
          <w:rPr>
            <w:noProof/>
            <w:webHidden/>
          </w:rPr>
          <w:fldChar w:fldCharType="separate"/>
        </w:r>
        <w:r>
          <w:rPr>
            <w:noProof/>
            <w:webHidden/>
          </w:rPr>
          <w:t>433</w:t>
        </w:r>
        <w:r w:rsidR="00C74523">
          <w:rPr>
            <w:noProof/>
            <w:webHidden/>
          </w:rPr>
          <w:fldChar w:fldCharType="end"/>
        </w:r>
      </w:hyperlink>
    </w:p>
    <w:p w14:paraId="25676192" w14:textId="62D224D1"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13" w:history="1">
        <w:r w:rsidR="00C74523" w:rsidRPr="00A66C95">
          <w:rPr>
            <w:rStyle w:val="Hyperlink"/>
            <w:noProof/>
          </w:rPr>
          <w:t>Workload Process to Use Case Mapping Table</w:t>
        </w:r>
        <w:r w:rsidR="00C74523">
          <w:rPr>
            <w:noProof/>
            <w:webHidden/>
          </w:rPr>
          <w:tab/>
        </w:r>
        <w:r w:rsidR="00C74523">
          <w:rPr>
            <w:noProof/>
            <w:webHidden/>
          </w:rPr>
          <w:fldChar w:fldCharType="begin"/>
        </w:r>
        <w:r w:rsidR="00C74523">
          <w:rPr>
            <w:noProof/>
            <w:webHidden/>
          </w:rPr>
          <w:instrText xml:space="preserve"> PAGEREF _Toc163645013 \h </w:instrText>
        </w:r>
        <w:r w:rsidR="00C74523">
          <w:rPr>
            <w:noProof/>
            <w:webHidden/>
          </w:rPr>
        </w:r>
        <w:r w:rsidR="00C74523">
          <w:rPr>
            <w:noProof/>
            <w:webHidden/>
          </w:rPr>
          <w:fldChar w:fldCharType="separate"/>
        </w:r>
        <w:r>
          <w:rPr>
            <w:noProof/>
            <w:webHidden/>
          </w:rPr>
          <w:t>436</w:t>
        </w:r>
        <w:r w:rsidR="00C74523">
          <w:rPr>
            <w:noProof/>
            <w:webHidden/>
          </w:rPr>
          <w:fldChar w:fldCharType="end"/>
        </w:r>
      </w:hyperlink>
    </w:p>
    <w:p w14:paraId="0A16D2DE" w14:textId="2434E552"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14" w:history="1">
        <w:r w:rsidR="00C74523" w:rsidRPr="00A66C95">
          <w:rPr>
            <w:rStyle w:val="Hyperlink"/>
            <w:noProof/>
          </w:rPr>
          <w:t>Appendix C: VBECS Work Flow</w:t>
        </w:r>
        <w:r w:rsidR="00C74523">
          <w:rPr>
            <w:noProof/>
            <w:webHidden/>
          </w:rPr>
          <w:tab/>
        </w:r>
        <w:r w:rsidR="00C74523">
          <w:rPr>
            <w:noProof/>
            <w:webHidden/>
          </w:rPr>
          <w:fldChar w:fldCharType="begin"/>
        </w:r>
        <w:r w:rsidR="00C74523">
          <w:rPr>
            <w:noProof/>
            <w:webHidden/>
          </w:rPr>
          <w:instrText xml:space="preserve"> PAGEREF _Toc163645014 \h </w:instrText>
        </w:r>
        <w:r w:rsidR="00C74523">
          <w:rPr>
            <w:noProof/>
            <w:webHidden/>
          </w:rPr>
        </w:r>
        <w:r w:rsidR="00C74523">
          <w:rPr>
            <w:noProof/>
            <w:webHidden/>
          </w:rPr>
          <w:fldChar w:fldCharType="separate"/>
        </w:r>
        <w:r>
          <w:rPr>
            <w:noProof/>
            <w:webHidden/>
          </w:rPr>
          <w:t>446</w:t>
        </w:r>
        <w:r w:rsidR="00C74523">
          <w:rPr>
            <w:noProof/>
            <w:webHidden/>
          </w:rPr>
          <w:fldChar w:fldCharType="end"/>
        </w:r>
      </w:hyperlink>
    </w:p>
    <w:p w14:paraId="28A4444D" w14:textId="0023636E"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15" w:history="1">
        <w:r w:rsidR="00C74523" w:rsidRPr="00A66C95">
          <w:rPr>
            <w:rStyle w:val="Hyperlink"/>
            <w:noProof/>
          </w:rPr>
          <w:t>Appendix D: Limitations and Restrictions</w:t>
        </w:r>
        <w:r w:rsidR="00C74523">
          <w:rPr>
            <w:noProof/>
            <w:webHidden/>
          </w:rPr>
          <w:tab/>
        </w:r>
        <w:r w:rsidR="00C74523">
          <w:rPr>
            <w:noProof/>
            <w:webHidden/>
          </w:rPr>
          <w:fldChar w:fldCharType="begin"/>
        </w:r>
        <w:r w:rsidR="00C74523">
          <w:rPr>
            <w:noProof/>
            <w:webHidden/>
          </w:rPr>
          <w:instrText xml:space="preserve"> PAGEREF _Toc163645015 \h </w:instrText>
        </w:r>
        <w:r w:rsidR="00C74523">
          <w:rPr>
            <w:noProof/>
            <w:webHidden/>
          </w:rPr>
        </w:r>
        <w:r w:rsidR="00C74523">
          <w:rPr>
            <w:noProof/>
            <w:webHidden/>
          </w:rPr>
          <w:fldChar w:fldCharType="separate"/>
        </w:r>
        <w:r>
          <w:rPr>
            <w:noProof/>
            <w:webHidden/>
          </w:rPr>
          <w:t>449</w:t>
        </w:r>
        <w:r w:rsidR="00C74523">
          <w:rPr>
            <w:noProof/>
            <w:webHidden/>
          </w:rPr>
          <w:fldChar w:fldCharType="end"/>
        </w:r>
      </w:hyperlink>
    </w:p>
    <w:p w14:paraId="40DCF38C" w14:textId="603003C7"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16" w:history="1">
        <w:r w:rsidR="00C74523" w:rsidRPr="00A66C95">
          <w:rPr>
            <w:rStyle w:val="Hyperlink"/>
            <w:noProof/>
          </w:rPr>
          <w:t>Appendix E: Known Defects and Anomalies</w:t>
        </w:r>
        <w:r w:rsidR="00C74523">
          <w:rPr>
            <w:noProof/>
            <w:webHidden/>
          </w:rPr>
          <w:tab/>
        </w:r>
        <w:r w:rsidR="00C74523">
          <w:rPr>
            <w:noProof/>
            <w:webHidden/>
          </w:rPr>
          <w:fldChar w:fldCharType="begin"/>
        </w:r>
        <w:r w:rsidR="00C74523">
          <w:rPr>
            <w:noProof/>
            <w:webHidden/>
          </w:rPr>
          <w:instrText xml:space="preserve"> PAGEREF _Toc163645016 \h </w:instrText>
        </w:r>
        <w:r w:rsidR="00C74523">
          <w:rPr>
            <w:noProof/>
            <w:webHidden/>
          </w:rPr>
        </w:r>
        <w:r w:rsidR="00C74523">
          <w:rPr>
            <w:noProof/>
            <w:webHidden/>
          </w:rPr>
          <w:fldChar w:fldCharType="separate"/>
        </w:r>
        <w:r>
          <w:rPr>
            <w:noProof/>
            <w:webHidden/>
          </w:rPr>
          <w:t>465</w:t>
        </w:r>
        <w:r w:rsidR="00C74523">
          <w:rPr>
            <w:noProof/>
            <w:webHidden/>
          </w:rPr>
          <w:fldChar w:fldCharType="end"/>
        </w:r>
      </w:hyperlink>
    </w:p>
    <w:p w14:paraId="777816D3" w14:textId="04CCF7F9"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17" w:history="1">
        <w:r w:rsidR="00C74523" w:rsidRPr="00A66C95">
          <w:rPr>
            <w:rStyle w:val="Hyperlink"/>
            <w:noProof/>
          </w:rPr>
          <w:t>Appendix F: System Validation</w:t>
        </w:r>
        <w:r w:rsidR="00C74523">
          <w:rPr>
            <w:noProof/>
            <w:webHidden/>
          </w:rPr>
          <w:tab/>
        </w:r>
        <w:r w:rsidR="00C74523">
          <w:rPr>
            <w:noProof/>
            <w:webHidden/>
          </w:rPr>
          <w:fldChar w:fldCharType="begin"/>
        </w:r>
        <w:r w:rsidR="00C74523">
          <w:rPr>
            <w:noProof/>
            <w:webHidden/>
          </w:rPr>
          <w:instrText xml:space="preserve"> PAGEREF _Toc163645017 \h </w:instrText>
        </w:r>
        <w:r w:rsidR="00C74523">
          <w:rPr>
            <w:noProof/>
            <w:webHidden/>
          </w:rPr>
        </w:r>
        <w:r w:rsidR="00C74523">
          <w:rPr>
            <w:noProof/>
            <w:webHidden/>
          </w:rPr>
          <w:fldChar w:fldCharType="separate"/>
        </w:r>
        <w:r>
          <w:rPr>
            <w:noProof/>
            <w:webHidden/>
          </w:rPr>
          <w:t>466</w:t>
        </w:r>
        <w:r w:rsidR="00C74523">
          <w:rPr>
            <w:noProof/>
            <w:webHidden/>
          </w:rPr>
          <w:fldChar w:fldCharType="end"/>
        </w:r>
      </w:hyperlink>
    </w:p>
    <w:p w14:paraId="55109C1B" w14:textId="4BC88975"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18" w:history="1">
        <w:r w:rsidR="00C74523" w:rsidRPr="00A66C95">
          <w:rPr>
            <w:rStyle w:val="Hyperlink"/>
            <w:noProof/>
          </w:rPr>
          <w:t>Introduction</w:t>
        </w:r>
        <w:r w:rsidR="00C74523">
          <w:rPr>
            <w:noProof/>
            <w:webHidden/>
          </w:rPr>
          <w:tab/>
        </w:r>
        <w:r w:rsidR="00C74523">
          <w:rPr>
            <w:noProof/>
            <w:webHidden/>
          </w:rPr>
          <w:fldChar w:fldCharType="begin"/>
        </w:r>
        <w:r w:rsidR="00C74523">
          <w:rPr>
            <w:noProof/>
            <w:webHidden/>
          </w:rPr>
          <w:instrText xml:space="preserve"> PAGEREF _Toc163645018 \h </w:instrText>
        </w:r>
        <w:r w:rsidR="00C74523">
          <w:rPr>
            <w:noProof/>
            <w:webHidden/>
          </w:rPr>
        </w:r>
        <w:r w:rsidR="00C74523">
          <w:rPr>
            <w:noProof/>
            <w:webHidden/>
          </w:rPr>
          <w:fldChar w:fldCharType="separate"/>
        </w:r>
        <w:r>
          <w:rPr>
            <w:noProof/>
            <w:webHidden/>
          </w:rPr>
          <w:t>466</w:t>
        </w:r>
        <w:r w:rsidR="00C74523">
          <w:rPr>
            <w:noProof/>
            <w:webHidden/>
          </w:rPr>
          <w:fldChar w:fldCharType="end"/>
        </w:r>
      </w:hyperlink>
    </w:p>
    <w:p w14:paraId="79419098" w14:textId="3D78DEEF"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19" w:history="1">
        <w:r w:rsidR="00C74523" w:rsidRPr="00A66C95">
          <w:rPr>
            <w:rStyle w:val="Hyperlink"/>
            <w:noProof/>
          </w:rPr>
          <w:t>Validation Plan</w:t>
        </w:r>
        <w:r w:rsidR="00C74523">
          <w:rPr>
            <w:noProof/>
            <w:webHidden/>
          </w:rPr>
          <w:tab/>
        </w:r>
        <w:r w:rsidR="00C74523">
          <w:rPr>
            <w:noProof/>
            <w:webHidden/>
          </w:rPr>
          <w:fldChar w:fldCharType="begin"/>
        </w:r>
        <w:r w:rsidR="00C74523">
          <w:rPr>
            <w:noProof/>
            <w:webHidden/>
          </w:rPr>
          <w:instrText xml:space="preserve"> PAGEREF _Toc163645019 \h </w:instrText>
        </w:r>
        <w:r w:rsidR="00C74523">
          <w:rPr>
            <w:noProof/>
            <w:webHidden/>
          </w:rPr>
        </w:r>
        <w:r w:rsidR="00C74523">
          <w:rPr>
            <w:noProof/>
            <w:webHidden/>
          </w:rPr>
          <w:fldChar w:fldCharType="separate"/>
        </w:r>
        <w:r>
          <w:rPr>
            <w:noProof/>
            <w:webHidden/>
          </w:rPr>
          <w:t>466</w:t>
        </w:r>
        <w:r w:rsidR="00C74523">
          <w:rPr>
            <w:noProof/>
            <w:webHidden/>
          </w:rPr>
          <w:fldChar w:fldCharType="end"/>
        </w:r>
      </w:hyperlink>
    </w:p>
    <w:p w14:paraId="635520C9" w14:textId="5491F5D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20" w:history="1">
        <w:r w:rsidR="00C74523" w:rsidRPr="00A66C95">
          <w:rPr>
            <w:rStyle w:val="Hyperlink"/>
            <w:noProof/>
          </w:rPr>
          <w:t>Record System Settings</w:t>
        </w:r>
        <w:r w:rsidR="00C74523">
          <w:rPr>
            <w:noProof/>
            <w:webHidden/>
          </w:rPr>
          <w:tab/>
        </w:r>
        <w:r w:rsidR="00C74523">
          <w:rPr>
            <w:noProof/>
            <w:webHidden/>
          </w:rPr>
          <w:fldChar w:fldCharType="begin"/>
        </w:r>
        <w:r w:rsidR="00C74523">
          <w:rPr>
            <w:noProof/>
            <w:webHidden/>
          </w:rPr>
          <w:instrText xml:space="preserve"> PAGEREF _Toc163645020 \h </w:instrText>
        </w:r>
        <w:r w:rsidR="00C74523">
          <w:rPr>
            <w:noProof/>
            <w:webHidden/>
          </w:rPr>
        </w:r>
        <w:r w:rsidR="00C74523">
          <w:rPr>
            <w:noProof/>
            <w:webHidden/>
          </w:rPr>
          <w:fldChar w:fldCharType="separate"/>
        </w:r>
        <w:r>
          <w:rPr>
            <w:noProof/>
            <w:webHidden/>
          </w:rPr>
          <w:t>468</w:t>
        </w:r>
        <w:r w:rsidR="00C74523">
          <w:rPr>
            <w:noProof/>
            <w:webHidden/>
          </w:rPr>
          <w:fldChar w:fldCharType="end"/>
        </w:r>
      </w:hyperlink>
    </w:p>
    <w:p w14:paraId="53D7ABBD" w14:textId="75C2B58E"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21" w:history="1">
        <w:r w:rsidR="00C74523" w:rsidRPr="00A66C95">
          <w:rPr>
            <w:rStyle w:val="Hyperlink"/>
            <w:noProof/>
          </w:rPr>
          <w:t>Configure Division</w:t>
        </w:r>
        <w:r w:rsidR="00C74523">
          <w:rPr>
            <w:noProof/>
            <w:webHidden/>
          </w:rPr>
          <w:tab/>
        </w:r>
        <w:r w:rsidR="00C74523">
          <w:rPr>
            <w:noProof/>
            <w:webHidden/>
          </w:rPr>
          <w:fldChar w:fldCharType="begin"/>
        </w:r>
        <w:r w:rsidR="00C74523">
          <w:rPr>
            <w:noProof/>
            <w:webHidden/>
          </w:rPr>
          <w:instrText xml:space="preserve"> PAGEREF _Toc163645021 \h </w:instrText>
        </w:r>
        <w:r w:rsidR="00C74523">
          <w:rPr>
            <w:noProof/>
            <w:webHidden/>
          </w:rPr>
        </w:r>
        <w:r w:rsidR="00C74523">
          <w:rPr>
            <w:noProof/>
            <w:webHidden/>
          </w:rPr>
          <w:fldChar w:fldCharType="separate"/>
        </w:r>
        <w:r>
          <w:rPr>
            <w:noProof/>
            <w:webHidden/>
          </w:rPr>
          <w:t>468</w:t>
        </w:r>
        <w:r w:rsidR="00C74523">
          <w:rPr>
            <w:noProof/>
            <w:webHidden/>
          </w:rPr>
          <w:fldChar w:fldCharType="end"/>
        </w:r>
      </w:hyperlink>
    </w:p>
    <w:p w14:paraId="13E46102" w14:textId="49FB298C"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22" w:history="1">
        <w:r w:rsidR="00C74523" w:rsidRPr="00A66C95">
          <w:rPr>
            <w:rStyle w:val="Hyperlink"/>
            <w:noProof/>
          </w:rPr>
          <w:t>Configure Testing: Full Service</w:t>
        </w:r>
        <w:r w:rsidR="00C74523">
          <w:rPr>
            <w:noProof/>
            <w:webHidden/>
          </w:rPr>
          <w:tab/>
        </w:r>
        <w:r w:rsidR="00C74523">
          <w:rPr>
            <w:noProof/>
            <w:webHidden/>
          </w:rPr>
          <w:fldChar w:fldCharType="begin"/>
        </w:r>
        <w:r w:rsidR="00C74523">
          <w:rPr>
            <w:noProof/>
            <w:webHidden/>
          </w:rPr>
          <w:instrText xml:space="preserve"> PAGEREF _Toc163645022 \h </w:instrText>
        </w:r>
        <w:r w:rsidR="00C74523">
          <w:rPr>
            <w:noProof/>
            <w:webHidden/>
          </w:rPr>
        </w:r>
        <w:r w:rsidR="00C74523">
          <w:rPr>
            <w:noProof/>
            <w:webHidden/>
          </w:rPr>
          <w:fldChar w:fldCharType="separate"/>
        </w:r>
        <w:r>
          <w:rPr>
            <w:noProof/>
            <w:webHidden/>
          </w:rPr>
          <w:t>468</w:t>
        </w:r>
        <w:r w:rsidR="00C74523">
          <w:rPr>
            <w:noProof/>
            <w:webHidden/>
          </w:rPr>
          <w:fldChar w:fldCharType="end"/>
        </w:r>
      </w:hyperlink>
    </w:p>
    <w:p w14:paraId="3B6A3A0E" w14:textId="18B4DEEE"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23" w:history="1">
        <w:r w:rsidR="00C74523" w:rsidRPr="00A66C95">
          <w:rPr>
            <w:rStyle w:val="Hyperlink"/>
            <w:noProof/>
          </w:rPr>
          <w:t>Product Modifications: Full Service</w:t>
        </w:r>
        <w:r w:rsidR="00C74523">
          <w:rPr>
            <w:noProof/>
            <w:webHidden/>
          </w:rPr>
          <w:tab/>
        </w:r>
        <w:r w:rsidR="00C74523">
          <w:rPr>
            <w:noProof/>
            <w:webHidden/>
          </w:rPr>
          <w:fldChar w:fldCharType="begin"/>
        </w:r>
        <w:r w:rsidR="00C74523">
          <w:rPr>
            <w:noProof/>
            <w:webHidden/>
          </w:rPr>
          <w:instrText xml:space="preserve"> PAGEREF _Toc163645023 \h </w:instrText>
        </w:r>
        <w:r w:rsidR="00C74523">
          <w:rPr>
            <w:noProof/>
            <w:webHidden/>
          </w:rPr>
        </w:r>
        <w:r w:rsidR="00C74523">
          <w:rPr>
            <w:noProof/>
            <w:webHidden/>
          </w:rPr>
          <w:fldChar w:fldCharType="separate"/>
        </w:r>
        <w:r>
          <w:rPr>
            <w:noProof/>
            <w:webHidden/>
          </w:rPr>
          <w:t>469</w:t>
        </w:r>
        <w:r w:rsidR="00C74523">
          <w:rPr>
            <w:noProof/>
            <w:webHidden/>
          </w:rPr>
          <w:fldChar w:fldCharType="end"/>
        </w:r>
      </w:hyperlink>
    </w:p>
    <w:p w14:paraId="75420AFE" w14:textId="3DCB8E1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24" w:history="1">
        <w:r w:rsidR="00C74523" w:rsidRPr="00A66C95">
          <w:rPr>
            <w:rStyle w:val="Hyperlink"/>
            <w:noProof/>
          </w:rPr>
          <w:t>Order Alerts</w:t>
        </w:r>
        <w:r w:rsidR="00C74523">
          <w:rPr>
            <w:noProof/>
            <w:webHidden/>
          </w:rPr>
          <w:tab/>
        </w:r>
        <w:r w:rsidR="00C74523">
          <w:rPr>
            <w:noProof/>
            <w:webHidden/>
          </w:rPr>
          <w:fldChar w:fldCharType="begin"/>
        </w:r>
        <w:r w:rsidR="00C74523">
          <w:rPr>
            <w:noProof/>
            <w:webHidden/>
          </w:rPr>
          <w:instrText xml:space="preserve"> PAGEREF _Toc163645024 \h </w:instrText>
        </w:r>
        <w:r w:rsidR="00C74523">
          <w:rPr>
            <w:noProof/>
            <w:webHidden/>
          </w:rPr>
        </w:r>
        <w:r w:rsidR="00C74523">
          <w:rPr>
            <w:noProof/>
            <w:webHidden/>
          </w:rPr>
          <w:fldChar w:fldCharType="separate"/>
        </w:r>
        <w:r>
          <w:rPr>
            <w:noProof/>
            <w:webHidden/>
          </w:rPr>
          <w:t>470</w:t>
        </w:r>
        <w:r w:rsidR="00C74523">
          <w:rPr>
            <w:noProof/>
            <w:webHidden/>
          </w:rPr>
          <w:fldChar w:fldCharType="end"/>
        </w:r>
      </w:hyperlink>
    </w:p>
    <w:p w14:paraId="01AC9F4C" w14:textId="7B154D3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25" w:history="1">
        <w:r w:rsidR="00C74523" w:rsidRPr="00A66C95">
          <w:rPr>
            <w:rStyle w:val="Hyperlink"/>
            <w:noProof/>
          </w:rPr>
          <w:t>Configure Daily QC: Full Service</w:t>
        </w:r>
        <w:r w:rsidR="00C74523">
          <w:rPr>
            <w:noProof/>
            <w:webHidden/>
          </w:rPr>
          <w:tab/>
        </w:r>
        <w:r w:rsidR="00C74523">
          <w:rPr>
            <w:noProof/>
            <w:webHidden/>
          </w:rPr>
          <w:fldChar w:fldCharType="begin"/>
        </w:r>
        <w:r w:rsidR="00C74523">
          <w:rPr>
            <w:noProof/>
            <w:webHidden/>
          </w:rPr>
          <w:instrText xml:space="preserve"> PAGEREF _Toc163645025 \h </w:instrText>
        </w:r>
        <w:r w:rsidR="00C74523">
          <w:rPr>
            <w:noProof/>
            <w:webHidden/>
          </w:rPr>
        </w:r>
        <w:r w:rsidR="00C74523">
          <w:rPr>
            <w:noProof/>
            <w:webHidden/>
          </w:rPr>
          <w:fldChar w:fldCharType="separate"/>
        </w:r>
        <w:r>
          <w:rPr>
            <w:noProof/>
            <w:webHidden/>
          </w:rPr>
          <w:t>471</w:t>
        </w:r>
        <w:r w:rsidR="00C74523">
          <w:rPr>
            <w:noProof/>
            <w:webHidden/>
          </w:rPr>
          <w:fldChar w:fldCharType="end"/>
        </w:r>
      </w:hyperlink>
    </w:p>
    <w:p w14:paraId="5667E52C" w14:textId="705FC972"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26" w:history="1">
        <w:r w:rsidR="00C74523" w:rsidRPr="00A66C95">
          <w:rPr>
            <w:rStyle w:val="Hyperlink"/>
            <w:noProof/>
          </w:rPr>
          <w:t>Maintain Minimum Levels: Full Service</w:t>
        </w:r>
        <w:r w:rsidR="00C74523">
          <w:rPr>
            <w:noProof/>
            <w:webHidden/>
          </w:rPr>
          <w:tab/>
        </w:r>
        <w:r w:rsidR="00C74523">
          <w:rPr>
            <w:noProof/>
            <w:webHidden/>
          </w:rPr>
          <w:fldChar w:fldCharType="begin"/>
        </w:r>
        <w:r w:rsidR="00C74523">
          <w:rPr>
            <w:noProof/>
            <w:webHidden/>
          </w:rPr>
          <w:instrText xml:space="preserve"> PAGEREF _Toc163645026 \h </w:instrText>
        </w:r>
        <w:r w:rsidR="00C74523">
          <w:rPr>
            <w:noProof/>
            <w:webHidden/>
          </w:rPr>
        </w:r>
        <w:r w:rsidR="00C74523">
          <w:rPr>
            <w:noProof/>
            <w:webHidden/>
          </w:rPr>
          <w:fldChar w:fldCharType="separate"/>
        </w:r>
        <w:r>
          <w:rPr>
            <w:noProof/>
            <w:webHidden/>
          </w:rPr>
          <w:t>472</w:t>
        </w:r>
        <w:r w:rsidR="00C74523">
          <w:rPr>
            <w:noProof/>
            <w:webHidden/>
          </w:rPr>
          <w:fldChar w:fldCharType="end"/>
        </w:r>
      </w:hyperlink>
    </w:p>
    <w:p w14:paraId="6ACFBC86" w14:textId="56372C3B"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27" w:history="1">
        <w:r w:rsidR="00C74523" w:rsidRPr="00A66C95">
          <w:rPr>
            <w:rStyle w:val="Hyperlink"/>
            <w:noProof/>
          </w:rPr>
          <w:t>Log In Reagents: Full Service</w:t>
        </w:r>
        <w:r w:rsidR="00C74523">
          <w:rPr>
            <w:noProof/>
            <w:webHidden/>
          </w:rPr>
          <w:tab/>
        </w:r>
        <w:r w:rsidR="00C74523">
          <w:rPr>
            <w:noProof/>
            <w:webHidden/>
          </w:rPr>
          <w:fldChar w:fldCharType="begin"/>
        </w:r>
        <w:r w:rsidR="00C74523">
          <w:rPr>
            <w:noProof/>
            <w:webHidden/>
          </w:rPr>
          <w:instrText xml:space="preserve"> PAGEREF _Toc163645027 \h </w:instrText>
        </w:r>
        <w:r w:rsidR="00C74523">
          <w:rPr>
            <w:noProof/>
            <w:webHidden/>
          </w:rPr>
        </w:r>
        <w:r w:rsidR="00C74523">
          <w:rPr>
            <w:noProof/>
            <w:webHidden/>
          </w:rPr>
          <w:fldChar w:fldCharType="separate"/>
        </w:r>
        <w:r>
          <w:rPr>
            <w:noProof/>
            <w:webHidden/>
          </w:rPr>
          <w:t>473</w:t>
        </w:r>
        <w:r w:rsidR="00C74523">
          <w:rPr>
            <w:noProof/>
            <w:webHidden/>
          </w:rPr>
          <w:fldChar w:fldCharType="end"/>
        </w:r>
      </w:hyperlink>
    </w:p>
    <w:p w14:paraId="3E8054F8" w14:textId="6B8D824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28" w:history="1">
        <w:r w:rsidR="00C74523" w:rsidRPr="00A66C95">
          <w:rPr>
            <w:rStyle w:val="Hyperlink"/>
            <w:noProof/>
          </w:rPr>
          <w:t>Blood Products</w:t>
        </w:r>
        <w:r w:rsidR="00C74523">
          <w:rPr>
            <w:noProof/>
            <w:webHidden/>
          </w:rPr>
          <w:tab/>
        </w:r>
        <w:r w:rsidR="00C74523">
          <w:rPr>
            <w:noProof/>
            <w:webHidden/>
          </w:rPr>
          <w:fldChar w:fldCharType="begin"/>
        </w:r>
        <w:r w:rsidR="00C74523">
          <w:rPr>
            <w:noProof/>
            <w:webHidden/>
          </w:rPr>
          <w:instrText xml:space="preserve"> PAGEREF _Toc163645028 \h </w:instrText>
        </w:r>
        <w:r w:rsidR="00C74523">
          <w:rPr>
            <w:noProof/>
            <w:webHidden/>
          </w:rPr>
        </w:r>
        <w:r w:rsidR="00C74523">
          <w:rPr>
            <w:noProof/>
            <w:webHidden/>
          </w:rPr>
          <w:fldChar w:fldCharType="separate"/>
        </w:r>
        <w:r>
          <w:rPr>
            <w:noProof/>
            <w:webHidden/>
          </w:rPr>
          <w:t>474</w:t>
        </w:r>
        <w:r w:rsidR="00C74523">
          <w:rPr>
            <w:noProof/>
            <w:webHidden/>
          </w:rPr>
          <w:fldChar w:fldCharType="end"/>
        </w:r>
      </w:hyperlink>
    </w:p>
    <w:p w14:paraId="5C488456" w14:textId="5EF3673D"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29" w:history="1">
        <w:r w:rsidR="00C74523" w:rsidRPr="00A66C95">
          <w:rPr>
            <w:rStyle w:val="Hyperlink"/>
            <w:noProof/>
          </w:rPr>
          <w:t>Local Facilities</w:t>
        </w:r>
        <w:r w:rsidR="00C74523">
          <w:rPr>
            <w:noProof/>
            <w:webHidden/>
          </w:rPr>
          <w:tab/>
        </w:r>
        <w:r w:rsidR="00C74523">
          <w:rPr>
            <w:noProof/>
            <w:webHidden/>
          </w:rPr>
          <w:fldChar w:fldCharType="begin"/>
        </w:r>
        <w:r w:rsidR="00C74523">
          <w:rPr>
            <w:noProof/>
            <w:webHidden/>
          </w:rPr>
          <w:instrText xml:space="preserve"> PAGEREF _Toc163645029 \h </w:instrText>
        </w:r>
        <w:r w:rsidR="00C74523">
          <w:rPr>
            <w:noProof/>
            <w:webHidden/>
          </w:rPr>
        </w:r>
        <w:r w:rsidR="00C74523">
          <w:rPr>
            <w:noProof/>
            <w:webHidden/>
          </w:rPr>
          <w:fldChar w:fldCharType="separate"/>
        </w:r>
        <w:r>
          <w:rPr>
            <w:noProof/>
            <w:webHidden/>
          </w:rPr>
          <w:t>475</w:t>
        </w:r>
        <w:r w:rsidR="00C74523">
          <w:rPr>
            <w:noProof/>
            <w:webHidden/>
          </w:rPr>
          <w:fldChar w:fldCharType="end"/>
        </w:r>
      </w:hyperlink>
    </w:p>
    <w:p w14:paraId="6509B3B4" w14:textId="53DE5D61"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30" w:history="1">
        <w:r w:rsidR="00C74523" w:rsidRPr="00A66C95">
          <w:rPr>
            <w:rStyle w:val="Hyperlink"/>
            <w:noProof/>
          </w:rPr>
          <w:t>Component Classes</w:t>
        </w:r>
        <w:r w:rsidR="00C74523">
          <w:rPr>
            <w:noProof/>
            <w:webHidden/>
          </w:rPr>
          <w:tab/>
        </w:r>
        <w:r w:rsidR="00C74523">
          <w:rPr>
            <w:noProof/>
            <w:webHidden/>
          </w:rPr>
          <w:fldChar w:fldCharType="begin"/>
        </w:r>
        <w:r w:rsidR="00C74523">
          <w:rPr>
            <w:noProof/>
            <w:webHidden/>
          </w:rPr>
          <w:instrText xml:space="preserve"> PAGEREF _Toc163645030 \h </w:instrText>
        </w:r>
        <w:r w:rsidR="00C74523">
          <w:rPr>
            <w:noProof/>
            <w:webHidden/>
          </w:rPr>
        </w:r>
        <w:r w:rsidR="00C74523">
          <w:rPr>
            <w:noProof/>
            <w:webHidden/>
          </w:rPr>
          <w:fldChar w:fldCharType="separate"/>
        </w:r>
        <w:r>
          <w:rPr>
            <w:noProof/>
            <w:webHidden/>
          </w:rPr>
          <w:t>476</w:t>
        </w:r>
        <w:r w:rsidR="00C74523">
          <w:rPr>
            <w:noProof/>
            <w:webHidden/>
          </w:rPr>
          <w:fldChar w:fldCharType="end"/>
        </w:r>
      </w:hyperlink>
    </w:p>
    <w:p w14:paraId="403FDFC6" w14:textId="6E42126C"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31" w:history="1">
        <w:r w:rsidR="00C74523" w:rsidRPr="00A66C95">
          <w:rPr>
            <w:rStyle w:val="Hyperlink"/>
            <w:noProof/>
          </w:rPr>
          <w:t>Transfusion Complications</w:t>
        </w:r>
        <w:r w:rsidR="00C74523">
          <w:rPr>
            <w:noProof/>
            <w:webHidden/>
          </w:rPr>
          <w:tab/>
        </w:r>
        <w:r w:rsidR="00C74523">
          <w:rPr>
            <w:noProof/>
            <w:webHidden/>
          </w:rPr>
          <w:fldChar w:fldCharType="begin"/>
        </w:r>
        <w:r w:rsidR="00C74523">
          <w:rPr>
            <w:noProof/>
            <w:webHidden/>
          </w:rPr>
          <w:instrText xml:space="preserve"> PAGEREF _Toc163645031 \h </w:instrText>
        </w:r>
        <w:r w:rsidR="00C74523">
          <w:rPr>
            <w:noProof/>
            <w:webHidden/>
          </w:rPr>
        </w:r>
        <w:r w:rsidR="00C74523">
          <w:rPr>
            <w:noProof/>
            <w:webHidden/>
          </w:rPr>
          <w:fldChar w:fldCharType="separate"/>
        </w:r>
        <w:r>
          <w:rPr>
            <w:noProof/>
            <w:webHidden/>
          </w:rPr>
          <w:t>477</w:t>
        </w:r>
        <w:r w:rsidR="00C74523">
          <w:rPr>
            <w:noProof/>
            <w:webHidden/>
          </w:rPr>
          <w:fldChar w:fldCharType="end"/>
        </w:r>
      </w:hyperlink>
    </w:p>
    <w:p w14:paraId="6D789188" w14:textId="10AAF1B6"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32" w:history="1">
        <w:r w:rsidR="00C74523" w:rsidRPr="00A66C95">
          <w:rPr>
            <w:rStyle w:val="Hyperlink"/>
            <w:noProof/>
          </w:rPr>
          <w:t>Transfusion Effectiveness</w:t>
        </w:r>
        <w:r w:rsidR="00C74523">
          <w:rPr>
            <w:noProof/>
            <w:webHidden/>
          </w:rPr>
          <w:tab/>
        </w:r>
        <w:r w:rsidR="00C74523">
          <w:rPr>
            <w:noProof/>
            <w:webHidden/>
          </w:rPr>
          <w:fldChar w:fldCharType="begin"/>
        </w:r>
        <w:r w:rsidR="00C74523">
          <w:rPr>
            <w:noProof/>
            <w:webHidden/>
          </w:rPr>
          <w:instrText xml:space="preserve"> PAGEREF _Toc163645032 \h </w:instrText>
        </w:r>
        <w:r w:rsidR="00C74523">
          <w:rPr>
            <w:noProof/>
            <w:webHidden/>
          </w:rPr>
        </w:r>
        <w:r w:rsidR="00C74523">
          <w:rPr>
            <w:noProof/>
            <w:webHidden/>
          </w:rPr>
          <w:fldChar w:fldCharType="separate"/>
        </w:r>
        <w:r>
          <w:rPr>
            <w:noProof/>
            <w:webHidden/>
          </w:rPr>
          <w:t>478</w:t>
        </w:r>
        <w:r w:rsidR="00C74523">
          <w:rPr>
            <w:noProof/>
            <w:webHidden/>
          </w:rPr>
          <w:fldChar w:fldCharType="end"/>
        </w:r>
      </w:hyperlink>
    </w:p>
    <w:p w14:paraId="4574101B" w14:textId="01CBBAFF"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33" w:history="1">
        <w:r w:rsidR="00C74523" w:rsidRPr="00A66C95">
          <w:rPr>
            <w:rStyle w:val="Hyperlink"/>
            <w:noProof/>
            <w:snapToGrid w:val="0"/>
          </w:rPr>
          <w:t>Workload Codes</w:t>
        </w:r>
        <w:r w:rsidR="00C74523">
          <w:rPr>
            <w:noProof/>
            <w:webHidden/>
          </w:rPr>
          <w:tab/>
        </w:r>
        <w:r w:rsidR="00C74523">
          <w:rPr>
            <w:noProof/>
            <w:webHidden/>
          </w:rPr>
          <w:fldChar w:fldCharType="begin"/>
        </w:r>
        <w:r w:rsidR="00C74523">
          <w:rPr>
            <w:noProof/>
            <w:webHidden/>
          </w:rPr>
          <w:instrText xml:space="preserve"> PAGEREF _Toc163645033 \h </w:instrText>
        </w:r>
        <w:r w:rsidR="00C74523">
          <w:rPr>
            <w:noProof/>
            <w:webHidden/>
          </w:rPr>
        </w:r>
        <w:r w:rsidR="00C74523">
          <w:rPr>
            <w:noProof/>
            <w:webHidden/>
          </w:rPr>
          <w:fldChar w:fldCharType="separate"/>
        </w:r>
        <w:r>
          <w:rPr>
            <w:noProof/>
            <w:webHidden/>
          </w:rPr>
          <w:t>479</w:t>
        </w:r>
        <w:r w:rsidR="00C74523">
          <w:rPr>
            <w:noProof/>
            <w:webHidden/>
          </w:rPr>
          <w:fldChar w:fldCharType="end"/>
        </w:r>
      </w:hyperlink>
    </w:p>
    <w:p w14:paraId="109AC5D6" w14:textId="232E6F3A"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34" w:history="1">
        <w:r w:rsidR="00C74523" w:rsidRPr="00A66C95">
          <w:rPr>
            <w:rStyle w:val="Hyperlink"/>
            <w:noProof/>
            <w:snapToGrid w:val="0"/>
          </w:rPr>
          <w:t xml:space="preserve">Canned </w:t>
        </w:r>
        <w:r w:rsidR="00C74523" w:rsidRPr="00A66C95">
          <w:rPr>
            <w:rStyle w:val="Hyperlink"/>
            <w:noProof/>
          </w:rPr>
          <w:t>Comments</w:t>
        </w:r>
        <w:r w:rsidR="00C74523">
          <w:rPr>
            <w:noProof/>
            <w:webHidden/>
          </w:rPr>
          <w:tab/>
        </w:r>
        <w:r w:rsidR="00C74523">
          <w:rPr>
            <w:noProof/>
            <w:webHidden/>
          </w:rPr>
          <w:fldChar w:fldCharType="begin"/>
        </w:r>
        <w:r w:rsidR="00C74523">
          <w:rPr>
            <w:noProof/>
            <w:webHidden/>
          </w:rPr>
          <w:instrText xml:space="preserve"> PAGEREF _Toc163645034 \h </w:instrText>
        </w:r>
        <w:r w:rsidR="00C74523">
          <w:rPr>
            <w:noProof/>
            <w:webHidden/>
          </w:rPr>
        </w:r>
        <w:r w:rsidR="00C74523">
          <w:rPr>
            <w:noProof/>
            <w:webHidden/>
          </w:rPr>
          <w:fldChar w:fldCharType="separate"/>
        </w:r>
        <w:r>
          <w:rPr>
            <w:noProof/>
            <w:webHidden/>
          </w:rPr>
          <w:t>479</w:t>
        </w:r>
        <w:r w:rsidR="00C74523">
          <w:rPr>
            <w:noProof/>
            <w:webHidden/>
          </w:rPr>
          <w:fldChar w:fldCharType="end"/>
        </w:r>
      </w:hyperlink>
    </w:p>
    <w:p w14:paraId="1CA4570B" w14:textId="5BB0934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35" w:history="1">
        <w:r w:rsidR="00C74523" w:rsidRPr="00A66C95">
          <w:rPr>
            <w:rStyle w:val="Hyperlink"/>
            <w:noProof/>
          </w:rPr>
          <w:t>MSBOS</w:t>
        </w:r>
        <w:r w:rsidR="00C74523">
          <w:rPr>
            <w:noProof/>
            <w:webHidden/>
          </w:rPr>
          <w:tab/>
        </w:r>
        <w:r w:rsidR="00C74523">
          <w:rPr>
            <w:noProof/>
            <w:webHidden/>
          </w:rPr>
          <w:fldChar w:fldCharType="begin"/>
        </w:r>
        <w:r w:rsidR="00C74523">
          <w:rPr>
            <w:noProof/>
            <w:webHidden/>
          </w:rPr>
          <w:instrText xml:space="preserve"> PAGEREF _Toc163645035 \h </w:instrText>
        </w:r>
        <w:r w:rsidR="00C74523">
          <w:rPr>
            <w:noProof/>
            <w:webHidden/>
          </w:rPr>
        </w:r>
        <w:r w:rsidR="00C74523">
          <w:rPr>
            <w:noProof/>
            <w:webHidden/>
          </w:rPr>
          <w:fldChar w:fldCharType="separate"/>
        </w:r>
        <w:r>
          <w:rPr>
            <w:noProof/>
            <w:webHidden/>
          </w:rPr>
          <w:t>479</w:t>
        </w:r>
        <w:r w:rsidR="00C74523">
          <w:rPr>
            <w:noProof/>
            <w:webHidden/>
          </w:rPr>
          <w:fldChar w:fldCharType="end"/>
        </w:r>
      </w:hyperlink>
    </w:p>
    <w:p w14:paraId="67AC1297" w14:textId="7F89C340"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36" w:history="1">
        <w:r w:rsidR="00C74523" w:rsidRPr="00A66C95">
          <w:rPr>
            <w:rStyle w:val="Hyperlink"/>
            <w:noProof/>
            <w:snapToGrid w:val="0"/>
          </w:rPr>
          <w:t>Edit Invoice Text</w:t>
        </w:r>
        <w:r w:rsidR="00C74523">
          <w:rPr>
            <w:noProof/>
            <w:webHidden/>
          </w:rPr>
          <w:tab/>
        </w:r>
        <w:r w:rsidR="00C74523">
          <w:rPr>
            <w:noProof/>
            <w:webHidden/>
          </w:rPr>
          <w:fldChar w:fldCharType="begin"/>
        </w:r>
        <w:r w:rsidR="00C74523">
          <w:rPr>
            <w:noProof/>
            <w:webHidden/>
          </w:rPr>
          <w:instrText xml:space="preserve"> PAGEREF _Toc163645036 \h </w:instrText>
        </w:r>
        <w:r w:rsidR="00C74523">
          <w:rPr>
            <w:noProof/>
            <w:webHidden/>
          </w:rPr>
        </w:r>
        <w:r w:rsidR="00C74523">
          <w:rPr>
            <w:noProof/>
            <w:webHidden/>
          </w:rPr>
          <w:fldChar w:fldCharType="separate"/>
        </w:r>
        <w:r>
          <w:rPr>
            <w:noProof/>
            <w:webHidden/>
          </w:rPr>
          <w:t>479</w:t>
        </w:r>
        <w:r w:rsidR="00C74523">
          <w:rPr>
            <w:noProof/>
            <w:webHidden/>
          </w:rPr>
          <w:fldChar w:fldCharType="end"/>
        </w:r>
      </w:hyperlink>
    </w:p>
    <w:p w14:paraId="4F5223A4" w14:textId="1F4347E5"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37" w:history="1">
        <w:r w:rsidR="00C74523" w:rsidRPr="00A66C95">
          <w:rPr>
            <w:rStyle w:val="Hyperlink"/>
            <w:noProof/>
            <w:snapToGrid w:val="0"/>
          </w:rPr>
          <w:t>Antibodies</w:t>
        </w:r>
        <w:r w:rsidR="00C74523">
          <w:rPr>
            <w:noProof/>
            <w:webHidden/>
          </w:rPr>
          <w:tab/>
        </w:r>
        <w:r w:rsidR="00C74523">
          <w:rPr>
            <w:noProof/>
            <w:webHidden/>
          </w:rPr>
          <w:fldChar w:fldCharType="begin"/>
        </w:r>
        <w:r w:rsidR="00C74523">
          <w:rPr>
            <w:noProof/>
            <w:webHidden/>
          </w:rPr>
          <w:instrText xml:space="preserve"> PAGEREF _Toc163645037 \h </w:instrText>
        </w:r>
        <w:r w:rsidR="00C74523">
          <w:rPr>
            <w:noProof/>
            <w:webHidden/>
          </w:rPr>
        </w:r>
        <w:r w:rsidR="00C74523">
          <w:rPr>
            <w:noProof/>
            <w:webHidden/>
          </w:rPr>
          <w:fldChar w:fldCharType="separate"/>
        </w:r>
        <w:r>
          <w:rPr>
            <w:noProof/>
            <w:webHidden/>
          </w:rPr>
          <w:t>480</w:t>
        </w:r>
        <w:r w:rsidR="00C74523">
          <w:rPr>
            <w:noProof/>
            <w:webHidden/>
          </w:rPr>
          <w:fldChar w:fldCharType="end"/>
        </w:r>
      </w:hyperlink>
    </w:p>
    <w:p w14:paraId="1D2E1CED" w14:textId="2697BEB7"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38" w:history="1">
        <w:r w:rsidR="00C74523" w:rsidRPr="00A66C95">
          <w:rPr>
            <w:rStyle w:val="Hyperlink"/>
            <w:noProof/>
          </w:rPr>
          <w:t>Update User Roles</w:t>
        </w:r>
        <w:r w:rsidR="00C74523">
          <w:rPr>
            <w:noProof/>
            <w:webHidden/>
          </w:rPr>
          <w:tab/>
        </w:r>
        <w:r w:rsidR="00C74523">
          <w:rPr>
            <w:noProof/>
            <w:webHidden/>
          </w:rPr>
          <w:fldChar w:fldCharType="begin"/>
        </w:r>
        <w:r w:rsidR="00C74523">
          <w:rPr>
            <w:noProof/>
            <w:webHidden/>
          </w:rPr>
          <w:instrText xml:space="preserve"> PAGEREF _Toc163645038 \h </w:instrText>
        </w:r>
        <w:r w:rsidR="00C74523">
          <w:rPr>
            <w:noProof/>
            <w:webHidden/>
          </w:rPr>
        </w:r>
        <w:r w:rsidR="00C74523">
          <w:rPr>
            <w:noProof/>
            <w:webHidden/>
          </w:rPr>
          <w:fldChar w:fldCharType="separate"/>
        </w:r>
        <w:r>
          <w:rPr>
            <w:noProof/>
            <w:webHidden/>
          </w:rPr>
          <w:t>481</w:t>
        </w:r>
        <w:r w:rsidR="00C74523">
          <w:rPr>
            <w:noProof/>
            <w:webHidden/>
          </w:rPr>
          <w:fldChar w:fldCharType="end"/>
        </w:r>
      </w:hyperlink>
    </w:p>
    <w:p w14:paraId="0D187B7B" w14:textId="09327B58"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39" w:history="1">
        <w:r w:rsidR="00C74523" w:rsidRPr="00A66C95">
          <w:rPr>
            <w:rStyle w:val="Hyperlink"/>
            <w:noProof/>
            <w:snapToGrid w:val="0"/>
          </w:rPr>
          <w:t>Testing</w:t>
        </w:r>
        <w:r w:rsidR="00C74523">
          <w:rPr>
            <w:noProof/>
            <w:webHidden/>
          </w:rPr>
          <w:tab/>
        </w:r>
        <w:r w:rsidR="00C74523">
          <w:rPr>
            <w:noProof/>
            <w:webHidden/>
          </w:rPr>
          <w:fldChar w:fldCharType="begin"/>
        </w:r>
        <w:r w:rsidR="00C74523">
          <w:rPr>
            <w:noProof/>
            <w:webHidden/>
          </w:rPr>
          <w:instrText xml:space="preserve"> PAGEREF _Toc163645039 \h </w:instrText>
        </w:r>
        <w:r w:rsidR="00C74523">
          <w:rPr>
            <w:noProof/>
            <w:webHidden/>
          </w:rPr>
        </w:r>
        <w:r w:rsidR="00C74523">
          <w:rPr>
            <w:noProof/>
            <w:webHidden/>
          </w:rPr>
          <w:fldChar w:fldCharType="separate"/>
        </w:r>
        <w:r>
          <w:rPr>
            <w:noProof/>
            <w:webHidden/>
          </w:rPr>
          <w:t>481</w:t>
        </w:r>
        <w:r w:rsidR="00C74523">
          <w:rPr>
            <w:noProof/>
            <w:webHidden/>
          </w:rPr>
          <w:fldChar w:fldCharType="end"/>
        </w:r>
      </w:hyperlink>
    </w:p>
    <w:p w14:paraId="7F45C6D1" w14:textId="0EDF631F"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40" w:history="1">
        <w:r w:rsidR="00C74523" w:rsidRPr="00A66C95">
          <w:rPr>
            <w:rStyle w:val="Hyperlink"/>
            <w:noProof/>
          </w:rPr>
          <w:t>VBECS Forms and Reports</w:t>
        </w:r>
        <w:r w:rsidR="00C74523">
          <w:rPr>
            <w:noProof/>
            <w:webHidden/>
          </w:rPr>
          <w:tab/>
        </w:r>
        <w:r w:rsidR="00C74523">
          <w:rPr>
            <w:noProof/>
            <w:webHidden/>
          </w:rPr>
          <w:fldChar w:fldCharType="begin"/>
        </w:r>
        <w:r w:rsidR="00C74523">
          <w:rPr>
            <w:noProof/>
            <w:webHidden/>
          </w:rPr>
          <w:instrText xml:space="preserve"> PAGEREF _Toc163645040 \h </w:instrText>
        </w:r>
        <w:r w:rsidR="00C74523">
          <w:rPr>
            <w:noProof/>
            <w:webHidden/>
          </w:rPr>
        </w:r>
        <w:r w:rsidR="00C74523">
          <w:rPr>
            <w:noProof/>
            <w:webHidden/>
          </w:rPr>
          <w:fldChar w:fldCharType="separate"/>
        </w:r>
        <w:r>
          <w:rPr>
            <w:noProof/>
            <w:webHidden/>
          </w:rPr>
          <w:t>482</w:t>
        </w:r>
        <w:r w:rsidR="00C74523">
          <w:rPr>
            <w:noProof/>
            <w:webHidden/>
          </w:rPr>
          <w:fldChar w:fldCharType="end"/>
        </w:r>
      </w:hyperlink>
    </w:p>
    <w:p w14:paraId="32E9356A" w14:textId="7C40BD77"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41" w:history="1">
        <w:r w:rsidR="00C74523" w:rsidRPr="00A66C95">
          <w:rPr>
            <w:rStyle w:val="Hyperlink"/>
            <w:noProof/>
          </w:rPr>
          <w:t>Appendix G: Work Process Flowcharts</w:t>
        </w:r>
        <w:r w:rsidR="00C74523">
          <w:rPr>
            <w:noProof/>
            <w:webHidden/>
          </w:rPr>
          <w:tab/>
        </w:r>
        <w:r w:rsidR="00C74523">
          <w:rPr>
            <w:noProof/>
            <w:webHidden/>
          </w:rPr>
          <w:fldChar w:fldCharType="begin"/>
        </w:r>
        <w:r w:rsidR="00C74523">
          <w:rPr>
            <w:noProof/>
            <w:webHidden/>
          </w:rPr>
          <w:instrText xml:space="preserve"> PAGEREF _Toc163645041 \h </w:instrText>
        </w:r>
        <w:r w:rsidR="00C74523">
          <w:rPr>
            <w:noProof/>
            <w:webHidden/>
          </w:rPr>
        </w:r>
        <w:r w:rsidR="00C74523">
          <w:rPr>
            <w:noProof/>
            <w:webHidden/>
          </w:rPr>
          <w:fldChar w:fldCharType="separate"/>
        </w:r>
        <w:r>
          <w:rPr>
            <w:noProof/>
            <w:webHidden/>
          </w:rPr>
          <w:t>483</w:t>
        </w:r>
        <w:r w:rsidR="00C74523">
          <w:rPr>
            <w:noProof/>
            <w:webHidden/>
          </w:rPr>
          <w:fldChar w:fldCharType="end"/>
        </w:r>
      </w:hyperlink>
    </w:p>
    <w:p w14:paraId="37B2F628" w14:textId="63721AEB"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42" w:history="1">
        <w:r w:rsidR="00C74523" w:rsidRPr="00A66C95">
          <w:rPr>
            <w:rStyle w:val="Hyperlink"/>
            <w:noProof/>
          </w:rPr>
          <w:t>Appendix H: Frequently Asked Questions</w:t>
        </w:r>
        <w:r w:rsidR="00C74523">
          <w:rPr>
            <w:noProof/>
            <w:webHidden/>
          </w:rPr>
          <w:tab/>
        </w:r>
        <w:r w:rsidR="00C74523">
          <w:rPr>
            <w:noProof/>
            <w:webHidden/>
          </w:rPr>
          <w:fldChar w:fldCharType="begin"/>
        </w:r>
        <w:r w:rsidR="00C74523">
          <w:rPr>
            <w:noProof/>
            <w:webHidden/>
          </w:rPr>
          <w:instrText xml:space="preserve"> PAGEREF _Toc163645042 \h </w:instrText>
        </w:r>
        <w:r w:rsidR="00C74523">
          <w:rPr>
            <w:noProof/>
            <w:webHidden/>
          </w:rPr>
        </w:r>
        <w:r w:rsidR="00C74523">
          <w:rPr>
            <w:noProof/>
            <w:webHidden/>
          </w:rPr>
          <w:fldChar w:fldCharType="separate"/>
        </w:r>
        <w:r>
          <w:rPr>
            <w:noProof/>
            <w:webHidden/>
          </w:rPr>
          <w:t>493</w:t>
        </w:r>
        <w:r w:rsidR="00C74523">
          <w:rPr>
            <w:noProof/>
            <w:webHidden/>
          </w:rPr>
          <w:fldChar w:fldCharType="end"/>
        </w:r>
      </w:hyperlink>
    </w:p>
    <w:p w14:paraId="679A1D6B" w14:textId="58774228"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43" w:history="1">
        <w:r w:rsidR="00C74523" w:rsidRPr="00A66C95">
          <w:rPr>
            <w:rStyle w:val="Hyperlink"/>
            <w:noProof/>
          </w:rPr>
          <w:t>Appendix I: Common Error Corrections</w:t>
        </w:r>
        <w:r w:rsidR="00C74523">
          <w:rPr>
            <w:noProof/>
            <w:webHidden/>
          </w:rPr>
          <w:tab/>
        </w:r>
        <w:r w:rsidR="00C74523">
          <w:rPr>
            <w:noProof/>
            <w:webHidden/>
          </w:rPr>
          <w:fldChar w:fldCharType="begin"/>
        </w:r>
        <w:r w:rsidR="00C74523">
          <w:rPr>
            <w:noProof/>
            <w:webHidden/>
          </w:rPr>
          <w:instrText xml:space="preserve"> PAGEREF _Toc163645043 \h </w:instrText>
        </w:r>
        <w:r w:rsidR="00C74523">
          <w:rPr>
            <w:noProof/>
            <w:webHidden/>
          </w:rPr>
        </w:r>
        <w:r w:rsidR="00C74523">
          <w:rPr>
            <w:noProof/>
            <w:webHidden/>
          </w:rPr>
          <w:fldChar w:fldCharType="separate"/>
        </w:r>
        <w:r>
          <w:rPr>
            <w:noProof/>
            <w:webHidden/>
          </w:rPr>
          <w:t>494</w:t>
        </w:r>
        <w:r w:rsidR="00C74523">
          <w:rPr>
            <w:noProof/>
            <w:webHidden/>
          </w:rPr>
          <w:fldChar w:fldCharType="end"/>
        </w:r>
      </w:hyperlink>
    </w:p>
    <w:p w14:paraId="1E677740" w14:textId="7C23FAE5"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44" w:history="1">
        <w:r w:rsidR="00C74523" w:rsidRPr="00A66C95">
          <w:rPr>
            <w:rStyle w:val="Hyperlink"/>
            <w:noProof/>
          </w:rPr>
          <w:t>Correct Patient Test Results</w:t>
        </w:r>
        <w:r w:rsidR="00C74523">
          <w:rPr>
            <w:noProof/>
            <w:webHidden/>
          </w:rPr>
          <w:tab/>
        </w:r>
        <w:r w:rsidR="00C74523">
          <w:rPr>
            <w:noProof/>
            <w:webHidden/>
          </w:rPr>
          <w:fldChar w:fldCharType="begin"/>
        </w:r>
        <w:r w:rsidR="00C74523">
          <w:rPr>
            <w:noProof/>
            <w:webHidden/>
          </w:rPr>
          <w:instrText xml:space="preserve"> PAGEREF _Toc163645044 \h </w:instrText>
        </w:r>
        <w:r w:rsidR="00C74523">
          <w:rPr>
            <w:noProof/>
            <w:webHidden/>
          </w:rPr>
        </w:r>
        <w:r w:rsidR="00C74523">
          <w:rPr>
            <w:noProof/>
            <w:webHidden/>
          </w:rPr>
          <w:fldChar w:fldCharType="separate"/>
        </w:r>
        <w:r>
          <w:rPr>
            <w:noProof/>
            <w:webHidden/>
          </w:rPr>
          <w:t>494</w:t>
        </w:r>
        <w:r w:rsidR="00C74523">
          <w:rPr>
            <w:noProof/>
            <w:webHidden/>
          </w:rPr>
          <w:fldChar w:fldCharType="end"/>
        </w:r>
      </w:hyperlink>
    </w:p>
    <w:p w14:paraId="0256A2E0" w14:textId="108DDB25"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45" w:history="1">
        <w:r w:rsidR="00C74523" w:rsidRPr="00A66C95">
          <w:rPr>
            <w:rStyle w:val="Hyperlink"/>
            <w:noProof/>
          </w:rPr>
          <w:t>Invalidate Test Results</w:t>
        </w:r>
        <w:r w:rsidR="00C74523">
          <w:rPr>
            <w:noProof/>
            <w:webHidden/>
          </w:rPr>
          <w:tab/>
        </w:r>
        <w:r w:rsidR="00C74523">
          <w:rPr>
            <w:noProof/>
            <w:webHidden/>
          </w:rPr>
          <w:fldChar w:fldCharType="begin"/>
        </w:r>
        <w:r w:rsidR="00C74523">
          <w:rPr>
            <w:noProof/>
            <w:webHidden/>
          </w:rPr>
          <w:instrText xml:space="preserve"> PAGEREF _Toc163645045 \h </w:instrText>
        </w:r>
        <w:r w:rsidR="00C74523">
          <w:rPr>
            <w:noProof/>
            <w:webHidden/>
          </w:rPr>
        </w:r>
        <w:r w:rsidR="00C74523">
          <w:rPr>
            <w:noProof/>
            <w:webHidden/>
          </w:rPr>
          <w:fldChar w:fldCharType="separate"/>
        </w:r>
        <w:r>
          <w:rPr>
            <w:noProof/>
            <w:webHidden/>
          </w:rPr>
          <w:t>494</w:t>
        </w:r>
        <w:r w:rsidR="00C74523">
          <w:rPr>
            <w:noProof/>
            <w:webHidden/>
          </w:rPr>
          <w:fldChar w:fldCharType="end"/>
        </w:r>
      </w:hyperlink>
    </w:p>
    <w:p w14:paraId="50B32FEF" w14:textId="48BAB803"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46" w:history="1">
        <w:r w:rsidR="00C74523" w:rsidRPr="00A66C95">
          <w:rPr>
            <w:rStyle w:val="Hyperlink"/>
            <w:noProof/>
          </w:rPr>
          <w:t>UN-Pooling a Pooled Unit (in the computer only)</w:t>
        </w:r>
        <w:r w:rsidR="00C74523">
          <w:rPr>
            <w:noProof/>
            <w:webHidden/>
          </w:rPr>
          <w:tab/>
        </w:r>
        <w:r w:rsidR="00C74523">
          <w:rPr>
            <w:noProof/>
            <w:webHidden/>
          </w:rPr>
          <w:fldChar w:fldCharType="begin"/>
        </w:r>
        <w:r w:rsidR="00C74523">
          <w:rPr>
            <w:noProof/>
            <w:webHidden/>
          </w:rPr>
          <w:instrText xml:space="preserve"> PAGEREF _Toc163645046 \h </w:instrText>
        </w:r>
        <w:r w:rsidR="00C74523">
          <w:rPr>
            <w:noProof/>
            <w:webHidden/>
          </w:rPr>
        </w:r>
        <w:r w:rsidR="00C74523">
          <w:rPr>
            <w:noProof/>
            <w:webHidden/>
          </w:rPr>
          <w:fldChar w:fldCharType="separate"/>
        </w:r>
        <w:r>
          <w:rPr>
            <w:noProof/>
            <w:webHidden/>
          </w:rPr>
          <w:t>495</w:t>
        </w:r>
        <w:r w:rsidR="00C74523">
          <w:rPr>
            <w:noProof/>
            <w:webHidden/>
          </w:rPr>
          <w:fldChar w:fldCharType="end"/>
        </w:r>
      </w:hyperlink>
    </w:p>
    <w:p w14:paraId="0542C563" w14:textId="252FAB17" w:rsidR="00C74523" w:rsidRDefault="00E2140B">
      <w:pPr>
        <w:pStyle w:val="TOC3"/>
        <w:tabs>
          <w:tab w:val="right" w:leader="dot" w:pos="9350"/>
        </w:tabs>
        <w:rPr>
          <w:rFonts w:asciiTheme="minorHAnsi" w:eastAsiaTheme="minorEastAsia" w:hAnsiTheme="minorHAnsi" w:cstheme="minorBidi"/>
          <w:noProof/>
          <w:kern w:val="2"/>
          <w14:ligatures w14:val="standardContextual"/>
        </w:rPr>
      </w:pPr>
      <w:hyperlink w:anchor="_Toc163645047" w:history="1">
        <w:r w:rsidR="00C74523" w:rsidRPr="00A66C95">
          <w:rPr>
            <w:rStyle w:val="Hyperlink"/>
            <w:noProof/>
          </w:rPr>
          <w:t>UN-Modifying a Unit</w:t>
        </w:r>
        <w:r w:rsidR="00C74523">
          <w:rPr>
            <w:noProof/>
            <w:webHidden/>
          </w:rPr>
          <w:tab/>
        </w:r>
        <w:r w:rsidR="00C74523">
          <w:rPr>
            <w:noProof/>
            <w:webHidden/>
          </w:rPr>
          <w:fldChar w:fldCharType="begin"/>
        </w:r>
        <w:r w:rsidR="00C74523">
          <w:rPr>
            <w:noProof/>
            <w:webHidden/>
          </w:rPr>
          <w:instrText xml:space="preserve"> PAGEREF _Toc163645047 \h </w:instrText>
        </w:r>
        <w:r w:rsidR="00C74523">
          <w:rPr>
            <w:noProof/>
            <w:webHidden/>
          </w:rPr>
        </w:r>
        <w:r w:rsidR="00C74523">
          <w:rPr>
            <w:noProof/>
            <w:webHidden/>
          </w:rPr>
          <w:fldChar w:fldCharType="separate"/>
        </w:r>
        <w:r>
          <w:rPr>
            <w:noProof/>
            <w:webHidden/>
          </w:rPr>
          <w:t>495</w:t>
        </w:r>
        <w:r w:rsidR="00C74523">
          <w:rPr>
            <w:noProof/>
            <w:webHidden/>
          </w:rPr>
          <w:fldChar w:fldCharType="end"/>
        </w:r>
      </w:hyperlink>
    </w:p>
    <w:p w14:paraId="6D9B1E1C" w14:textId="52CC1C28"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48" w:history="1">
        <w:r w:rsidR="00C74523" w:rsidRPr="00A66C95">
          <w:rPr>
            <w:rStyle w:val="Hyperlink"/>
            <w:noProof/>
          </w:rPr>
          <w:t>Appendix J: Recommended Report Usage</w:t>
        </w:r>
        <w:r w:rsidR="00C74523">
          <w:rPr>
            <w:noProof/>
            <w:webHidden/>
          </w:rPr>
          <w:tab/>
        </w:r>
        <w:r w:rsidR="00C74523">
          <w:rPr>
            <w:noProof/>
            <w:webHidden/>
          </w:rPr>
          <w:fldChar w:fldCharType="begin"/>
        </w:r>
        <w:r w:rsidR="00C74523">
          <w:rPr>
            <w:noProof/>
            <w:webHidden/>
          </w:rPr>
          <w:instrText xml:space="preserve"> PAGEREF _Toc163645048 \h </w:instrText>
        </w:r>
        <w:r w:rsidR="00C74523">
          <w:rPr>
            <w:noProof/>
            <w:webHidden/>
          </w:rPr>
        </w:r>
        <w:r w:rsidR="00C74523">
          <w:rPr>
            <w:noProof/>
            <w:webHidden/>
          </w:rPr>
          <w:fldChar w:fldCharType="separate"/>
        </w:r>
        <w:r>
          <w:rPr>
            <w:noProof/>
            <w:webHidden/>
          </w:rPr>
          <w:t>496</w:t>
        </w:r>
        <w:r w:rsidR="00C74523">
          <w:rPr>
            <w:noProof/>
            <w:webHidden/>
          </w:rPr>
          <w:fldChar w:fldCharType="end"/>
        </w:r>
      </w:hyperlink>
    </w:p>
    <w:p w14:paraId="72DF0C62" w14:textId="543F1EB1"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49" w:history="1">
        <w:r w:rsidR="00C74523" w:rsidRPr="00A66C95">
          <w:rPr>
            <w:rStyle w:val="Hyperlink"/>
            <w:noProof/>
          </w:rPr>
          <w:t>Appendix K: Barcode Scanner Configuration and Troubleshooting</w:t>
        </w:r>
        <w:r w:rsidR="00C74523">
          <w:rPr>
            <w:noProof/>
            <w:webHidden/>
          </w:rPr>
          <w:tab/>
        </w:r>
        <w:r w:rsidR="00C74523">
          <w:rPr>
            <w:noProof/>
            <w:webHidden/>
          </w:rPr>
          <w:fldChar w:fldCharType="begin"/>
        </w:r>
        <w:r w:rsidR="00C74523">
          <w:rPr>
            <w:noProof/>
            <w:webHidden/>
          </w:rPr>
          <w:instrText xml:space="preserve"> PAGEREF _Toc163645049 \h </w:instrText>
        </w:r>
        <w:r w:rsidR="00C74523">
          <w:rPr>
            <w:noProof/>
            <w:webHidden/>
          </w:rPr>
        </w:r>
        <w:r w:rsidR="00C74523">
          <w:rPr>
            <w:noProof/>
            <w:webHidden/>
          </w:rPr>
          <w:fldChar w:fldCharType="separate"/>
        </w:r>
        <w:r>
          <w:rPr>
            <w:noProof/>
            <w:webHidden/>
          </w:rPr>
          <w:t>498</w:t>
        </w:r>
        <w:r w:rsidR="00C74523">
          <w:rPr>
            <w:noProof/>
            <w:webHidden/>
          </w:rPr>
          <w:fldChar w:fldCharType="end"/>
        </w:r>
      </w:hyperlink>
    </w:p>
    <w:p w14:paraId="71EB0150" w14:textId="71D8DECC"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50" w:history="1">
        <w:r w:rsidR="00C74523" w:rsidRPr="00A66C95">
          <w:rPr>
            <w:rStyle w:val="Hyperlink"/>
            <w:noProof/>
          </w:rPr>
          <w:t>Appendix L: System Responses to Active Transfusion Requirements in Select Unit and Issue Blood Component</w:t>
        </w:r>
        <w:r w:rsidR="00C74523">
          <w:rPr>
            <w:noProof/>
            <w:webHidden/>
          </w:rPr>
          <w:tab/>
        </w:r>
        <w:r w:rsidR="00C74523">
          <w:rPr>
            <w:noProof/>
            <w:webHidden/>
          </w:rPr>
          <w:fldChar w:fldCharType="begin"/>
        </w:r>
        <w:r w:rsidR="00C74523">
          <w:rPr>
            <w:noProof/>
            <w:webHidden/>
          </w:rPr>
          <w:instrText xml:space="preserve"> PAGEREF _Toc163645050 \h </w:instrText>
        </w:r>
        <w:r w:rsidR="00C74523">
          <w:rPr>
            <w:noProof/>
            <w:webHidden/>
          </w:rPr>
        </w:r>
        <w:r w:rsidR="00C74523">
          <w:rPr>
            <w:noProof/>
            <w:webHidden/>
          </w:rPr>
          <w:fldChar w:fldCharType="separate"/>
        </w:r>
        <w:r>
          <w:rPr>
            <w:noProof/>
            <w:webHidden/>
          </w:rPr>
          <w:t>499</w:t>
        </w:r>
        <w:r w:rsidR="00C74523">
          <w:rPr>
            <w:noProof/>
            <w:webHidden/>
          </w:rPr>
          <w:fldChar w:fldCharType="end"/>
        </w:r>
      </w:hyperlink>
    </w:p>
    <w:p w14:paraId="5F9E41B0" w14:textId="130A23B5" w:rsidR="00C74523" w:rsidRDefault="00E2140B">
      <w:pPr>
        <w:pStyle w:val="TOC2"/>
        <w:tabs>
          <w:tab w:val="right" w:leader="dot" w:pos="9350"/>
        </w:tabs>
        <w:rPr>
          <w:rFonts w:asciiTheme="minorHAnsi" w:eastAsiaTheme="minorEastAsia" w:hAnsiTheme="minorHAnsi" w:cstheme="minorBidi"/>
          <w:smallCaps w:val="0"/>
          <w:noProof/>
          <w:kern w:val="2"/>
          <w14:ligatures w14:val="standardContextual"/>
        </w:rPr>
      </w:pPr>
      <w:hyperlink w:anchor="_Toc163645051" w:history="1">
        <w:r w:rsidR="00C74523" w:rsidRPr="00A66C95">
          <w:rPr>
            <w:rStyle w:val="Hyperlink"/>
            <w:noProof/>
          </w:rPr>
          <w:t>Appendix M: Workload Process Mapping to Application Option Table</w:t>
        </w:r>
        <w:r w:rsidR="00C74523">
          <w:rPr>
            <w:noProof/>
            <w:webHidden/>
          </w:rPr>
          <w:tab/>
        </w:r>
        <w:r w:rsidR="00C74523">
          <w:rPr>
            <w:noProof/>
            <w:webHidden/>
          </w:rPr>
          <w:fldChar w:fldCharType="begin"/>
        </w:r>
        <w:r w:rsidR="00C74523">
          <w:rPr>
            <w:noProof/>
            <w:webHidden/>
          </w:rPr>
          <w:instrText xml:space="preserve"> PAGEREF _Toc163645051 \h </w:instrText>
        </w:r>
        <w:r w:rsidR="00C74523">
          <w:rPr>
            <w:noProof/>
            <w:webHidden/>
          </w:rPr>
        </w:r>
        <w:r w:rsidR="00C74523">
          <w:rPr>
            <w:noProof/>
            <w:webHidden/>
          </w:rPr>
          <w:fldChar w:fldCharType="separate"/>
        </w:r>
        <w:r>
          <w:rPr>
            <w:noProof/>
            <w:webHidden/>
          </w:rPr>
          <w:t>508</w:t>
        </w:r>
        <w:r w:rsidR="00C74523">
          <w:rPr>
            <w:noProof/>
            <w:webHidden/>
          </w:rPr>
          <w:fldChar w:fldCharType="end"/>
        </w:r>
      </w:hyperlink>
    </w:p>
    <w:p w14:paraId="554ADEDE" w14:textId="7112C3EB"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5052" w:history="1">
        <w:r w:rsidR="00C74523" w:rsidRPr="00A66C95">
          <w:rPr>
            <w:rStyle w:val="Hyperlink"/>
            <w:noProof/>
          </w:rPr>
          <w:t>Index</w:t>
        </w:r>
        <w:r w:rsidR="00C74523">
          <w:rPr>
            <w:noProof/>
            <w:webHidden/>
          </w:rPr>
          <w:tab/>
        </w:r>
        <w:r w:rsidR="00C74523">
          <w:rPr>
            <w:noProof/>
            <w:webHidden/>
          </w:rPr>
          <w:fldChar w:fldCharType="begin"/>
        </w:r>
        <w:r w:rsidR="00C74523">
          <w:rPr>
            <w:noProof/>
            <w:webHidden/>
          </w:rPr>
          <w:instrText xml:space="preserve"> PAGEREF _Toc163645052 \h </w:instrText>
        </w:r>
        <w:r w:rsidR="00C74523">
          <w:rPr>
            <w:noProof/>
            <w:webHidden/>
          </w:rPr>
        </w:r>
        <w:r w:rsidR="00C74523">
          <w:rPr>
            <w:noProof/>
            <w:webHidden/>
          </w:rPr>
          <w:fldChar w:fldCharType="separate"/>
        </w:r>
        <w:r>
          <w:rPr>
            <w:noProof/>
            <w:webHidden/>
          </w:rPr>
          <w:t>516</w:t>
        </w:r>
        <w:r w:rsidR="00C74523">
          <w:rPr>
            <w:noProof/>
            <w:webHidden/>
          </w:rPr>
          <w:fldChar w:fldCharType="end"/>
        </w:r>
      </w:hyperlink>
    </w:p>
    <w:p w14:paraId="3454D400" w14:textId="3F49F431" w:rsidR="00C74523" w:rsidRDefault="00E2140B">
      <w:pPr>
        <w:pStyle w:val="TOC1"/>
        <w:tabs>
          <w:tab w:val="right" w:leader="dot" w:pos="9350"/>
        </w:tabs>
        <w:rPr>
          <w:rFonts w:asciiTheme="minorHAnsi" w:eastAsiaTheme="minorEastAsia" w:hAnsiTheme="minorHAnsi" w:cstheme="minorBidi"/>
          <w:b w:val="0"/>
          <w:caps w:val="0"/>
          <w:noProof/>
          <w:kern w:val="2"/>
          <w14:ligatures w14:val="standardContextual"/>
        </w:rPr>
      </w:pPr>
      <w:hyperlink w:anchor="_Toc163645053" w:history="1">
        <w:r w:rsidR="00C74523" w:rsidRPr="00A66C95">
          <w:rPr>
            <w:rStyle w:val="Hyperlink"/>
            <w:noProof/>
          </w:rPr>
          <w:t>Revision History</w:t>
        </w:r>
        <w:r w:rsidR="00C74523">
          <w:rPr>
            <w:noProof/>
            <w:webHidden/>
          </w:rPr>
          <w:tab/>
        </w:r>
        <w:r w:rsidR="00C74523">
          <w:rPr>
            <w:noProof/>
            <w:webHidden/>
          </w:rPr>
          <w:fldChar w:fldCharType="begin"/>
        </w:r>
        <w:r w:rsidR="00C74523">
          <w:rPr>
            <w:noProof/>
            <w:webHidden/>
          </w:rPr>
          <w:instrText xml:space="preserve"> PAGEREF _Toc163645053 \h </w:instrText>
        </w:r>
        <w:r w:rsidR="00C74523">
          <w:rPr>
            <w:noProof/>
            <w:webHidden/>
          </w:rPr>
        </w:r>
        <w:r w:rsidR="00C74523">
          <w:rPr>
            <w:noProof/>
            <w:webHidden/>
          </w:rPr>
          <w:fldChar w:fldCharType="separate"/>
        </w:r>
        <w:r>
          <w:rPr>
            <w:noProof/>
            <w:webHidden/>
          </w:rPr>
          <w:t>522</w:t>
        </w:r>
        <w:r w:rsidR="00C74523">
          <w:rPr>
            <w:noProof/>
            <w:webHidden/>
          </w:rPr>
          <w:fldChar w:fldCharType="end"/>
        </w:r>
      </w:hyperlink>
    </w:p>
    <w:p w14:paraId="3ADB784C" w14:textId="3555C650" w:rsidR="0036198D" w:rsidRDefault="002A21AE" w:rsidP="00061AEC">
      <w:pPr>
        <w:pStyle w:val="Heading1"/>
        <w:rPr>
          <w:rFonts w:ascii="Times New Roman" w:hAnsi="Times New Roman" w:cs="Times New Roman"/>
          <w:kern w:val="0"/>
          <w:sz w:val="22"/>
          <w:szCs w:val="22"/>
        </w:rPr>
      </w:pPr>
      <w:r>
        <w:rPr>
          <w:rFonts w:ascii="Times New Roman" w:hAnsi="Times New Roman" w:cs="Times New Roman"/>
          <w:kern w:val="0"/>
          <w:sz w:val="22"/>
          <w:szCs w:val="22"/>
        </w:rPr>
        <w:lastRenderedPageBreak/>
        <w:fldChar w:fldCharType="end"/>
      </w:r>
    </w:p>
    <w:p w14:paraId="0940373A" w14:textId="23E8F3BE" w:rsidR="002A21AE" w:rsidRPr="00BF677A" w:rsidRDefault="002A21AE" w:rsidP="00061AEC">
      <w:pPr>
        <w:pStyle w:val="Heading1"/>
        <w:rPr>
          <w:rFonts w:ascii="Arial Bold" w:hAnsi="Arial Bold"/>
        </w:rPr>
      </w:pPr>
      <w:bookmarkStart w:id="1" w:name="_Toc163644826"/>
      <w:r>
        <w:t>Introduction</w:t>
      </w:r>
      <w:bookmarkEnd w:id="1"/>
      <w:r>
        <w:fldChar w:fldCharType="begin"/>
      </w:r>
      <w:r>
        <w:instrText xml:space="preserve"> XE </w:instrText>
      </w:r>
      <w:r w:rsidR="00FA7E65">
        <w:instrText>“</w:instrText>
      </w:r>
      <w:r>
        <w:instrText>Introduction</w:instrText>
      </w:r>
      <w:r w:rsidR="00FA7E65">
        <w:instrText>”</w:instrText>
      </w:r>
      <w:r w:rsidR="00DE2677">
        <w:instrText xml:space="preserve"> </w:instrText>
      </w:r>
      <w:r>
        <w:fldChar w:fldCharType="end"/>
      </w:r>
    </w:p>
    <w:p w14:paraId="6F425561" w14:textId="74AEF313" w:rsidR="0036198D" w:rsidRPr="0036198D" w:rsidRDefault="0036198D" w:rsidP="0036198D">
      <w:pPr>
        <w:pStyle w:val="BodyText"/>
      </w:pPr>
      <w:bookmarkStart w:id="2" w:name="OLE_LINK41"/>
      <w:bookmarkStart w:id="3" w:name="OLE_LINK42"/>
      <w:bookmarkStart w:id="4" w:name="OLE_LINK7"/>
      <w:bookmarkStart w:id="5" w:name="OLE_LINK8"/>
      <w:r w:rsidRPr="0036198D">
        <w:t>VistA Blood Establishment Computer Software (VBECS) is an improved Blood Bank application that facilitates ongoing compliance with Food and Drug Administration (FDA) standards for medical devices and enhances the Department of Veterans Affairs (VAs) ability to produce high-quality blood products and services to veterans. The system follows blood bank standards, standards of national accrediting agencies, FDA regulations and VA policies.</w:t>
      </w:r>
    </w:p>
    <w:p w14:paraId="5ED26AF7" w14:textId="77777777" w:rsidR="0036198D" w:rsidRPr="00393691" w:rsidRDefault="0036198D" w:rsidP="0036198D">
      <w:pPr>
        <w:pStyle w:val="BodyText"/>
        <w:rPr>
          <w:rFonts w:ascii="Arial" w:hAnsi="Arial"/>
          <w:b/>
          <w:szCs w:val="24"/>
        </w:rPr>
      </w:pPr>
      <w:r w:rsidRPr="00393691">
        <w:rPr>
          <w:rFonts w:ascii="Arial" w:hAnsi="Arial"/>
          <w:b/>
          <w:szCs w:val="24"/>
        </w:rPr>
        <w:t>Intended Use</w:t>
      </w:r>
    </w:p>
    <w:p w14:paraId="44E13193" w14:textId="77777777" w:rsidR="0036198D" w:rsidRPr="0036198D" w:rsidRDefault="0036198D" w:rsidP="0036198D">
      <w:pPr>
        <w:pStyle w:val="BodyText"/>
      </w:pPr>
      <w:r w:rsidRPr="0036198D">
        <w:t>VBECS is a computer software application that manages transfusion service activities. The purpose of VBECS is to automate the documentation and record keeping of selected daily activities of the transfusion service.</w:t>
      </w:r>
    </w:p>
    <w:p w14:paraId="0E379D03" w14:textId="77777777" w:rsidR="0036198D" w:rsidRPr="00393691" w:rsidRDefault="0036198D" w:rsidP="0036198D">
      <w:pPr>
        <w:pStyle w:val="BodyText"/>
        <w:rPr>
          <w:rFonts w:ascii="Arial" w:hAnsi="Arial"/>
          <w:b/>
          <w:szCs w:val="24"/>
        </w:rPr>
      </w:pPr>
      <w:r w:rsidRPr="00393691">
        <w:rPr>
          <w:rFonts w:ascii="Arial" w:hAnsi="Arial"/>
          <w:b/>
          <w:szCs w:val="24"/>
        </w:rPr>
        <w:t>Indications for Use</w:t>
      </w:r>
    </w:p>
    <w:p w14:paraId="3E2EFEB4" w14:textId="77777777" w:rsidR="0036198D" w:rsidRPr="0036198D" w:rsidRDefault="0036198D" w:rsidP="0036198D">
      <w:pPr>
        <w:pStyle w:val="BodyText"/>
      </w:pPr>
      <w:r w:rsidRPr="0036198D">
        <w:t>The main purpose of VBECS is to automate the daily processing of blood inventory and patient transfusions in a hospital transfusion service. The purpose of VBECS is to automate the documentation and record keeping of selected activities of a hospital transfusion service.</w:t>
      </w:r>
    </w:p>
    <w:p w14:paraId="2BEE042D" w14:textId="404A1DED" w:rsidR="0036198D" w:rsidRPr="00393691" w:rsidRDefault="0036198D" w:rsidP="0036198D">
      <w:pPr>
        <w:pStyle w:val="BodyText"/>
        <w:rPr>
          <w:rFonts w:ascii="Arial" w:hAnsi="Arial"/>
          <w:b/>
          <w:szCs w:val="24"/>
        </w:rPr>
      </w:pPr>
      <w:r w:rsidRPr="00393691">
        <w:rPr>
          <w:rFonts w:ascii="Arial" w:hAnsi="Arial"/>
          <w:b/>
          <w:szCs w:val="24"/>
        </w:rPr>
        <w:t xml:space="preserve">VBECS </w:t>
      </w:r>
      <w:r w:rsidR="007510C0">
        <w:rPr>
          <w:rFonts w:ascii="Arial" w:hAnsi="Arial"/>
          <w:b/>
          <w:szCs w:val="24"/>
        </w:rPr>
        <w:t>A</w:t>
      </w:r>
      <w:r w:rsidRPr="00393691">
        <w:rPr>
          <w:rFonts w:ascii="Arial" w:hAnsi="Arial"/>
          <w:b/>
          <w:szCs w:val="24"/>
        </w:rPr>
        <w:t>ccommodates:</w:t>
      </w:r>
    </w:p>
    <w:p w14:paraId="65230272" w14:textId="77777777" w:rsidR="0036198D" w:rsidRPr="0036198D" w:rsidRDefault="0036198D" w:rsidP="00394BCB">
      <w:pPr>
        <w:pStyle w:val="BodyText"/>
        <w:numPr>
          <w:ilvl w:val="0"/>
          <w:numId w:val="83"/>
        </w:numPr>
        <w:spacing w:before="0" w:after="0"/>
      </w:pPr>
      <w:r w:rsidRPr="0036198D">
        <w:t>The processing of blood component shipments.</w:t>
      </w:r>
    </w:p>
    <w:p w14:paraId="0B21AFED" w14:textId="77777777" w:rsidR="0036198D" w:rsidRPr="0036198D" w:rsidRDefault="0036198D" w:rsidP="00394BCB">
      <w:pPr>
        <w:pStyle w:val="BodyText"/>
        <w:numPr>
          <w:ilvl w:val="0"/>
          <w:numId w:val="83"/>
        </w:numPr>
        <w:spacing w:before="0" w:after="0"/>
      </w:pPr>
      <w:r w:rsidRPr="0036198D">
        <w:t>The modification of blood units.</w:t>
      </w:r>
    </w:p>
    <w:p w14:paraId="2666C8C7" w14:textId="77777777" w:rsidR="0036198D" w:rsidRPr="0036198D" w:rsidRDefault="0036198D" w:rsidP="00394BCB">
      <w:pPr>
        <w:pStyle w:val="BodyText"/>
        <w:numPr>
          <w:ilvl w:val="0"/>
          <w:numId w:val="83"/>
        </w:numPr>
        <w:spacing w:before="0" w:after="0"/>
      </w:pPr>
      <w:r w:rsidRPr="0036198D">
        <w:t>Electronic receipt of orders from the Department of Veterans Affairs VistA computer system.</w:t>
      </w:r>
    </w:p>
    <w:p w14:paraId="50313E2D" w14:textId="76B00E7E" w:rsidR="0036198D" w:rsidRPr="0036198D" w:rsidRDefault="0036198D" w:rsidP="00394BCB">
      <w:pPr>
        <w:pStyle w:val="BodyText"/>
        <w:numPr>
          <w:ilvl w:val="0"/>
          <w:numId w:val="83"/>
        </w:numPr>
        <w:spacing w:before="0" w:after="0"/>
      </w:pPr>
      <w:r w:rsidRPr="0036198D">
        <w:t>The recording of patient compatibility testing, transfusions, transfusion processing requirements and special instructions.</w:t>
      </w:r>
    </w:p>
    <w:p w14:paraId="10C1048F" w14:textId="092628D2" w:rsidR="0045199A" w:rsidRDefault="0045199A" w:rsidP="0045199A">
      <w:pPr>
        <w:pStyle w:val="Heading4"/>
      </w:pPr>
      <w:r>
        <w:t xml:space="preserve">Limitations and Restrictions </w:t>
      </w:r>
    </w:p>
    <w:p w14:paraId="57D8A1DD" w14:textId="77777777" w:rsidR="0045199A" w:rsidRPr="0045199A" w:rsidRDefault="0045199A" w:rsidP="0045199A">
      <w:pPr>
        <w:pStyle w:val="Heading4"/>
        <w:rPr>
          <w:rFonts w:ascii="Times New Roman" w:hAnsi="Times New Roman"/>
          <w:b w:val="0"/>
          <w:spacing w:val="-5"/>
          <w:szCs w:val="22"/>
        </w:rPr>
      </w:pPr>
      <w:r w:rsidRPr="0045199A">
        <w:rPr>
          <w:rFonts w:ascii="Times New Roman" w:hAnsi="Times New Roman"/>
        </w:rPr>
        <w:t>VBECS does not support:</w:t>
      </w:r>
      <w:r w:rsidRPr="0045199A">
        <w:rPr>
          <w:rFonts w:ascii="Times New Roman" w:hAnsi="Times New Roman"/>
          <w:vanish/>
        </w:rPr>
        <w:t>DR 5105</w:t>
      </w:r>
    </w:p>
    <w:p w14:paraId="2CC672CE" w14:textId="77777777" w:rsidR="0045199A" w:rsidRPr="005E26A6" w:rsidRDefault="0045199A" w:rsidP="0045199A">
      <w:pPr>
        <w:pStyle w:val="ListBullet"/>
      </w:pPr>
      <w:r>
        <w:t>Blood dono</w:t>
      </w:r>
      <w:r w:rsidRPr="005E26A6">
        <w:t>r collection activities</w:t>
      </w:r>
      <w:r>
        <w:t xml:space="preserve"> (donor module)</w:t>
      </w:r>
    </w:p>
    <w:p w14:paraId="542F024E" w14:textId="77777777" w:rsidR="0045199A" w:rsidRPr="005E26A6" w:rsidRDefault="0045199A" w:rsidP="0045199A">
      <w:pPr>
        <w:pStyle w:val="ListBullet"/>
      </w:pPr>
      <w:r w:rsidRPr="005E26A6">
        <w:t>Direct data entry of antibody identification</w:t>
      </w:r>
    </w:p>
    <w:p w14:paraId="2A785064" w14:textId="77777777" w:rsidR="0045199A" w:rsidRPr="005E26A6" w:rsidRDefault="0045199A" w:rsidP="0045199A">
      <w:pPr>
        <w:pStyle w:val="ListBullet"/>
      </w:pPr>
      <w:r w:rsidRPr="005E26A6">
        <w:t xml:space="preserve">Direct data entry of transfusion reaction workups </w:t>
      </w:r>
    </w:p>
    <w:p w14:paraId="64B0CEF0" w14:textId="77777777" w:rsidR="0045199A" w:rsidRPr="005E26A6" w:rsidRDefault="0045199A" w:rsidP="0045199A">
      <w:pPr>
        <w:pStyle w:val="ListBullet"/>
      </w:pPr>
      <w:r w:rsidRPr="005E26A6">
        <w:t>Patient testing, transfusions, and blood components recorded in Legacy VistA are not available in VBECS</w:t>
      </w:r>
    </w:p>
    <w:p w14:paraId="6DFFB962" w14:textId="77777777" w:rsidR="0045199A" w:rsidRDefault="0045199A" w:rsidP="0045199A">
      <w:pPr>
        <w:pStyle w:val="ListBullet"/>
      </w:pPr>
      <w:r w:rsidRPr="005E26A6">
        <w:t>Pediatric blood product preparation</w:t>
      </w:r>
    </w:p>
    <w:p w14:paraId="0677C989" w14:textId="77777777" w:rsidR="0045199A" w:rsidRPr="005E26A6" w:rsidRDefault="0045199A" w:rsidP="0045199A">
      <w:pPr>
        <w:pStyle w:val="ListBullet"/>
      </w:pPr>
      <w:r>
        <w:t>Printing of blood product labels</w:t>
      </w:r>
    </w:p>
    <w:p w14:paraId="3C7B33A8" w14:textId="77777777" w:rsidR="0045199A" w:rsidRPr="005E26A6" w:rsidRDefault="0045199A" w:rsidP="0045199A">
      <w:pPr>
        <w:pStyle w:val="ListBullet"/>
      </w:pPr>
      <w:r w:rsidRPr="005E26A6">
        <w:t>User defined customized queries or reports</w:t>
      </w:r>
    </w:p>
    <w:p w14:paraId="5D799849" w14:textId="77777777" w:rsidR="0045199A" w:rsidRPr="005E26A6" w:rsidRDefault="0045199A" w:rsidP="0045199A">
      <w:pPr>
        <w:pStyle w:val="ListBullet"/>
      </w:pPr>
      <w:r w:rsidRPr="005E26A6">
        <w:t>User editing blood product, antigen, antibody, or transfusion reaction tables</w:t>
      </w:r>
    </w:p>
    <w:p w14:paraId="1CD403B6" w14:textId="77777777" w:rsidR="0045199A" w:rsidRDefault="0045199A" w:rsidP="0045199A">
      <w:pPr>
        <w:pStyle w:val="ListBullet"/>
      </w:pPr>
      <w:r w:rsidRPr="005E26A6">
        <w:t>Validation record storage</w:t>
      </w:r>
    </w:p>
    <w:p w14:paraId="0C9F12C5" w14:textId="77777777" w:rsidR="0045199A" w:rsidRDefault="0045199A" w:rsidP="0045199A">
      <w:pPr>
        <w:rPr>
          <w:sz w:val="22"/>
          <w:szCs w:val="22"/>
        </w:rPr>
      </w:pPr>
    </w:p>
    <w:p w14:paraId="39108FFE" w14:textId="6978C13E" w:rsidR="005039C8" w:rsidRPr="005563CA" w:rsidRDefault="005039C8" w:rsidP="005563CA">
      <w:pPr>
        <w:rPr>
          <w:sz w:val="22"/>
          <w:szCs w:val="22"/>
        </w:rPr>
      </w:pPr>
      <w:r w:rsidRPr="005563CA">
        <w:rPr>
          <w:sz w:val="22"/>
          <w:szCs w:val="22"/>
        </w:rPr>
        <w:t xml:space="preserve">BCE information </w:t>
      </w:r>
      <w:r w:rsidRPr="000B3D31">
        <w:rPr>
          <w:sz w:val="22"/>
          <w:szCs w:val="22"/>
        </w:rPr>
        <w:t>applies</w:t>
      </w:r>
      <w:r w:rsidRPr="005563CA">
        <w:rPr>
          <w:sz w:val="22"/>
          <w:szCs w:val="22"/>
        </w:rPr>
        <w:t xml:space="preserve"> ONLY when a BCE COTS product is available for communication and is configured.</w:t>
      </w:r>
    </w:p>
    <w:p w14:paraId="43A5F5CB" w14:textId="77777777" w:rsidR="005039C8" w:rsidRDefault="005039C8" w:rsidP="001B0B0C">
      <w:pPr>
        <w:rPr>
          <w:sz w:val="22"/>
          <w:szCs w:val="22"/>
        </w:rPr>
      </w:pPr>
    </w:p>
    <w:p w14:paraId="30C8F1B7" w14:textId="4AC3654F" w:rsidR="00B82DFE" w:rsidRPr="00911832" w:rsidRDefault="0045199A" w:rsidP="0045199A">
      <w:pPr>
        <w:rPr>
          <w:sz w:val="22"/>
          <w:szCs w:val="22"/>
        </w:rPr>
      </w:pPr>
      <w:r w:rsidRPr="00911832">
        <w:rPr>
          <w:sz w:val="22"/>
          <w:szCs w:val="22"/>
        </w:rPr>
        <w:t>Limitations and Restrictions are listed in</w:t>
      </w:r>
      <w:r w:rsidR="001B0B0C" w:rsidRPr="00911832">
        <w:rPr>
          <w:sz w:val="22"/>
          <w:szCs w:val="22"/>
        </w:rPr>
        <w:t xml:space="preserve"> </w:t>
      </w:r>
      <w:r w:rsidR="00EE455E" w:rsidRPr="00EE455E">
        <w:rPr>
          <w:sz w:val="22"/>
          <w:szCs w:val="22"/>
        </w:rPr>
        <w:t>Appendix D: Limitations and Restrictions</w:t>
      </w:r>
      <w:r w:rsidR="00394BCB">
        <w:rPr>
          <w:sz w:val="22"/>
          <w:szCs w:val="22"/>
        </w:rPr>
        <w:t xml:space="preserve"> </w:t>
      </w:r>
      <w:r w:rsidRPr="00911832">
        <w:rPr>
          <w:sz w:val="22"/>
          <w:szCs w:val="22"/>
        </w:rPr>
        <w:t xml:space="preserve">by option as well as throughout this document as part of the detailed information associated with the functionality. </w:t>
      </w:r>
    </w:p>
    <w:p w14:paraId="055ACB0D" w14:textId="27EDB68C" w:rsidR="0045199A" w:rsidRPr="00F77D81" w:rsidRDefault="0045199A" w:rsidP="0045199A">
      <w:pPr>
        <w:rPr>
          <w:sz w:val="22"/>
          <w:szCs w:val="22"/>
        </w:rPr>
      </w:pPr>
      <w:r w:rsidRPr="00F77D81">
        <w:rPr>
          <w:vanish/>
          <w:sz w:val="22"/>
          <w:szCs w:val="22"/>
        </w:rPr>
        <w:t>DR 5105</w:t>
      </w:r>
    </w:p>
    <w:bookmarkEnd w:id="2"/>
    <w:bookmarkEnd w:id="3"/>
    <w:bookmarkEnd w:id="4"/>
    <w:bookmarkEnd w:id="5"/>
    <w:p w14:paraId="072C6474" w14:textId="77777777" w:rsidR="002A21AE" w:rsidRPr="00AB3B2D" w:rsidRDefault="00057948">
      <w:pPr>
        <w:pStyle w:val="Caution"/>
        <w:rPr>
          <w:i w:val="0"/>
        </w:rPr>
      </w:pPr>
      <w:r>
        <w:rPr>
          <w:noProof/>
        </w:rPr>
        <w:lastRenderedPageBreak/>
        <w:drawing>
          <wp:inline distT="0" distB="0" distL="0" distR="0" wp14:anchorId="4105AF37" wp14:editId="3D45A94B">
            <wp:extent cx="267970" cy="221615"/>
            <wp:effectExtent l="0" t="0" r="0" b="6985"/>
            <wp:docPr id="10" name="Picture 1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ution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 xml:space="preserve">Unauthorized access or misuse of this system and/or its data is </w:t>
      </w:r>
      <w:r w:rsidR="000A6837">
        <w:t>a federal crime. Use of all data, printed or electronic, must</w:t>
      </w:r>
      <w:r w:rsidR="002A21AE">
        <w:t xml:space="preserve"> be in accordance with VA policy on security and privacy.</w:t>
      </w:r>
      <w:r w:rsidR="00AB3B2D">
        <w:rPr>
          <w:i w:val="0"/>
          <w:vanish/>
        </w:rPr>
        <w:t xml:space="preserve"> DR 3513</w:t>
      </w:r>
    </w:p>
    <w:p w14:paraId="4D16687E" w14:textId="33F22690" w:rsidR="002A21AE" w:rsidRDefault="00057948">
      <w:pPr>
        <w:pStyle w:val="Caution"/>
      </w:pPr>
      <w:r>
        <w:rPr>
          <w:noProof/>
        </w:rPr>
        <w:drawing>
          <wp:inline distT="0" distB="0" distL="0" distR="0" wp14:anchorId="6250DE53" wp14:editId="1D5281BF">
            <wp:extent cx="267970" cy="221615"/>
            <wp:effectExtent l="0" t="0" r="0" b="6985"/>
            <wp:docPr id="11" name="Picture 1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ution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w:t>
      </w:r>
      <w:r w:rsidR="00E0239F">
        <w:t>s</w:t>
      </w:r>
      <w:r w:rsidR="002A21AE">
        <w:t xml:space="preserve"> the implementer to assume total responsibility for the software and become a registered manufacturer of a medical device, subject to FDA regulations.</w:t>
      </w:r>
    </w:p>
    <w:p w14:paraId="6FB38602" w14:textId="77777777" w:rsidR="002A21AE" w:rsidRDefault="002A21AE">
      <w:pPr>
        <w:pStyle w:val="Heading2"/>
      </w:pPr>
      <w:bookmarkStart w:id="6" w:name="_Toc163644827"/>
      <w:r>
        <w:t>Freeware Disclaimer</w:t>
      </w:r>
      <w:bookmarkEnd w:id="6"/>
      <w:r>
        <w:fldChar w:fldCharType="begin"/>
      </w:r>
      <w:r>
        <w:instrText xml:space="preserve"> XE </w:instrText>
      </w:r>
      <w:r w:rsidR="00FA7E65">
        <w:instrText>“</w:instrText>
      </w:r>
      <w:r>
        <w:instrText>Freeware Disclaimer</w:instrText>
      </w:r>
      <w:r w:rsidR="00FA7E65">
        <w:instrText>”</w:instrText>
      </w:r>
      <w:r>
        <w:instrText xml:space="preserve"> </w:instrText>
      </w:r>
      <w:r>
        <w:fldChar w:fldCharType="end"/>
      </w:r>
    </w:p>
    <w:p w14:paraId="5528EB91" w14:textId="609D1BF3" w:rsidR="004C7D98" w:rsidRPr="004C7D98" w:rsidRDefault="00091DC8" w:rsidP="004C7D98">
      <w:pPr>
        <w:pStyle w:val="BodyText"/>
      </w:pPr>
      <w:r w:rsidRPr="004C7D98">
        <w:t>Requests for VBECS</w:t>
      </w:r>
      <w:r w:rsidR="004501DE">
        <w:t xml:space="preserve"> source code</w:t>
      </w:r>
      <w:r w:rsidRPr="004C7D98">
        <w:t xml:space="preserve"> may be submitted </w:t>
      </w:r>
      <w:r w:rsidR="003B64FF" w:rsidRPr="004C7D98">
        <w:t xml:space="preserve">through the Freedom of Information Act (FOIA). </w:t>
      </w:r>
      <w:r w:rsidR="004C7D98" w:rsidRPr="004C7D98">
        <w:t>Effective on September 19, 2011, the Department of Veterans Affairs will accept</w:t>
      </w:r>
      <w:r w:rsidR="00AF37FE">
        <w:t xml:space="preserve"> FOIA requests electronically. </w:t>
      </w:r>
      <w:r w:rsidR="004C7D98" w:rsidRPr="004C7D98">
        <w:t>Most VA Central Off</w:t>
      </w:r>
      <w:r w:rsidR="004C7D98">
        <w:t xml:space="preserve">ice (VACO) Offices </w:t>
      </w:r>
      <w:r w:rsidR="004C7D98" w:rsidRPr="004C7D98">
        <w:t>are in the process of establ</w:t>
      </w:r>
      <w:r w:rsidR="004C7D98">
        <w:t xml:space="preserve">ishing an electronic mailbox. </w:t>
      </w:r>
      <w:r w:rsidR="004C7D98" w:rsidRPr="004C7D98">
        <w:t xml:space="preserve">In the meantime, the FOIA Service will accept electronic FOIA requests for any VACO FOIA Office that does not yet have a mailbox in </w:t>
      </w:r>
      <w:r w:rsidR="00671459" w:rsidRPr="004C7D98">
        <w:t>place and</w:t>
      </w:r>
      <w:r w:rsidR="004C7D98" w:rsidRPr="004C7D98">
        <w:t xml:space="preserve"> will forward your request to the appropriate office for processing.  </w:t>
      </w:r>
    </w:p>
    <w:p w14:paraId="1DE208CC" w14:textId="672AAB9C" w:rsidR="003B64FF" w:rsidRPr="00234D60" w:rsidRDefault="00CD5D6A" w:rsidP="00234D60">
      <w:pPr>
        <w:pStyle w:val="BodyText"/>
      </w:pPr>
      <w:r>
        <w:t>Submit requests</w:t>
      </w:r>
      <w:r w:rsidR="003B64FF">
        <w:t xml:space="preserve"> to</w:t>
      </w:r>
      <w:r w:rsidR="007C6538">
        <w:t xml:space="preserve"> </w:t>
      </w:r>
      <w:r w:rsidR="00711206" w:rsidRPr="00711206">
        <w:rPr>
          <w:highlight w:val="yellow"/>
        </w:rPr>
        <w:t>REDACTED</w:t>
      </w:r>
      <w:r w:rsidR="00911832">
        <w:t xml:space="preserve"> </w:t>
      </w:r>
      <w:r w:rsidR="00234D60">
        <w:rPr>
          <w:vanish/>
        </w:rPr>
        <w:t>DR</w:t>
      </w:r>
    </w:p>
    <w:p w14:paraId="03783BE7" w14:textId="0DC08152" w:rsidR="002A21AE" w:rsidRDefault="002A21AE" w:rsidP="00634FC7">
      <w:pPr>
        <w:pStyle w:val="Heading2"/>
      </w:pPr>
      <w:bookmarkStart w:id="7" w:name="_Toc163644828"/>
      <w:r>
        <w:t>Related Manuals and Materials</w:t>
      </w:r>
      <w:bookmarkEnd w:id="7"/>
      <w:r>
        <w:fldChar w:fldCharType="begin"/>
      </w:r>
      <w:r>
        <w:instrText xml:space="preserve"> XE </w:instrText>
      </w:r>
      <w:r w:rsidR="00FA7E65">
        <w:instrText>“</w:instrText>
      </w:r>
      <w:r>
        <w:instrText>Related Manuals and Materials</w:instrText>
      </w:r>
      <w:r w:rsidR="00FA7E65">
        <w:instrText>”</w:instrText>
      </w:r>
      <w:r>
        <w:instrText xml:space="preserve"> </w:instrText>
      </w:r>
      <w:r>
        <w:fldChar w:fldCharType="end"/>
      </w:r>
    </w:p>
    <w:p w14:paraId="30253169" w14:textId="7757541A" w:rsidR="009153A8" w:rsidRPr="00151456" w:rsidRDefault="009153A8" w:rsidP="009153A8">
      <w:pPr>
        <w:pStyle w:val="ListBullet"/>
      </w:pPr>
      <w:r>
        <w:rPr>
          <w:i/>
        </w:rPr>
        <w:t>VBECS 2.</w:t>
      </w:r>
      <w:r w:rsidR="005E5828">
        <w:rPr>
          <w:i/>
        </w:rPr>
        <w:t>4.0</w:t>
      </w:r>
      <w:r>
        <w:rPr>
          <w:i/>
        </w:rPr>
        <w:t xml:space="preserve"> Admin User Guide</w:t>
      </w:r>
    </w:p>
    <w:p w14:paraId="1DC47681" w14:textId="6B3F767B" w:rsidR="009153A8" w:rsidRPr="009153A8" w:rsidRDefault="009153A8" w:rsidP="00861486">
      <w:pPr>
        <w:pStyle w:val="ListBullet"/>
      </w:pPr>
      <w:r>
        <w:rPr>
          <w:i/>
        </w:rPr>
        <w:t>VBECS 2.</w:t>
      </w:r>
      <w:r w:rsidR="005E5828">
        <w:rPr>
          <w:i/>
        </w:rPr>
        <w:t>4.0</w:t>
      </w:r>
      <w:r>
        <w:rPr>
          <w:i/>
        </w:rPr>
        <w:t xml:space="preserve"> Release Notes</w:t>
      </w:r>
    </w:p>
    <w:p w14:paraId="369EAC77" w14:textId="52DD3953" w:rsidR="002A21AE" w:rsidRPr="004501DE" w:rsidRDefault="002A21AE">
      <w:pPr>
        <w:pStyle w:val="ListBullet"/>
      </w:pPr>
      <w:r>
        <w:rPr>
          <w:i/>
        </w:rPr>
        <w:t>VBEC</w:t>
      </w:r>
      <w:r w:rsidR="00A628A7">
        <w:rPr>
          <w:i/>
        </w:rPr>
        <w:t>S</w:t>
      </w:r>
      <w:r>
        <w:rPr>
          <w:i/>
        </w:rPr>
        <w:t xml:space="preserve"> </w:t>
      </w:r>
      <w:r w:rsidR="00C94A42">
        <w:rPr>
          <w:i/>
        </w:rPr>
        <w:t>2.</w:t>
      </w:r>
      <w:r w:rsidR="005E5828">
        <w:rPr>
          <w:i/>
        </w:rPr>
        <w:t>4.0</w:t>
      </w:r>
      <w:r w:rsidR="008C75A6">
        <w:rPr>
          <w:i/>
        </w:rPr>
        <w:t xml:space="preserve"> </w:t>
      </w:r>
      <w:r>
        <w:rPr>
          <w:i/>
        </w:rPr>
        <w:t>Technical Manual-Security Guide</w:t>
      </w:r>
    </w:p>
    <w:p w14:paraId="2896E41B" w14:textId="13A74070" w:rsidR="004501DE" w:rsidRPr="00394BCB" w:rsidRDefault="004501DE">
      <w:pPr>
        <w:pStyle w:val="ListBullet"/>
        <w:rPr>
          <w:iCs/>
        </w:rPr>
      </w:pPr>
      <w:r w:rsidRPr="00394BCB">
        <w:rPr>
          <w:iCs/>
        </w:rPr>
        <w:t xml:space="preserve">VBECS </w:t>
      </w:r>
      <w:r w:rsidR="00810E22" w:rsidRPr="00394BCB">
        <w:rPr>
          <w:iCs/>
        </w:rPr>
        <w:t>Frequently Asked Questions (</w:t>
      </w:r>
      <w:r w:rsidRPr="00394BCB">
        <w:rPr>
          <w:iCs/>
        </w:rPr>
        <w:t>FAQ</w:t>
      </w:r>
      <w:r w:rsidR="00810E22" w:rsidRPr="00394BCB">
        <w:rPr>
          <w:iCs/>
        </w:rPr>
        <w:t>s)</w:t>
      </w:r>
    </w:p>
    <w:p w14:paraId="5BB52642" w14:textId="4098BF85" w:rsidR="00151456" w:rsidRDefault="00151456" w:rsidP="009153A8">
      <w:pPr>
        <w:pStyle w:val="ListBullet"/>
        <w:numPr>
          <w:ilvl w:val="0"/>
          <w:numId w:val="0"/>
        </w:numPr>
      </w:pPr>
    </w:p>
    <w:p w14:paraId="56B8A2A4" w14:textId="2B02E89B" w:rsidR="00770D97" w:rsidRDefault="00770D97" w:rsidP="008A734B">
      <w:pPr>
        <w:pStyle w:val="BodyText"/>
      </w:pPr>
      <w:r>
        <w:t>T</w:t>
      </w:r>
      <w:r w:rsidR="00DA52CF" w:rsidRPr="00DA52CF">
        <w:rPr>
          <w:iCs/>
        </w:rPr>
        <w:t>h</w:t>
      </w:r>
      <w:r>
        <w:rPr>
          <w:iCs/>
        </w:rPr>
        <w:t>is</w:t>
      </w:r>
      <w:r w:rsidR="00DA52CF">
        <w:rPr>
          <w:i/>
        </w:rPr>
        <w:t xml:space="preserve"> </w:t>
      </w:r>
      <w:r w:rsidR="00FC6E3B" w:rsidRPr="00FC6E3B">
        <w:rPr>
          <w:i/>
        </w:rPr>
        <w:t xml:space="preserve">VBECS </w:t>
      </w:r>
      <w:r w:rsidR="004D0A70">
        <w:rPr>
          <w:i/>
        </w:rPr>
        <w:t>2.</w:t>
      </w:r>
      <w:r w:rsidR="005E5828">
        <w:rPr>
          <w:i/>
        </w:rPr>
        <w:t>4.0</w:t>
      </w:r>
      <w:r w:rsidR="004D0A70">
        <w:rPr>
          <w:i/>
        </w:rPr>
        <w:t xml:space="preserve"> </w:t>
      </w:r>
      <w:r w:rsidR="00FC6E3B" w:rsidRPr="00FC6E3B">
        <w:rPr>
          <w:i/>
        </w:rPr>
        <w:t>User Guide</w:t>
      </w:r>
      <w:r w:rsidR="00FC6E3B">
        <w:t xml:space="preserve"> </w:t>
      </w:r>
      <w:r w:rsidR="00437114">
        <w:t>can</w:t>
      </w:r>
      <w:r w:rsidR="00091DC8">
        <w:t xml:space="preserve"> be obtained from</w:t>
      </w:r>
      <w:r>
        <w:t>:</w:t>
      </w:r>
    </w:p>
    <w:p w14:paraId="044453DC" w14:textId="3B291ACA" w:rsidR="00770D97" w:rsidRPr="007F445A" w:rsidRDefault="00E2140B" w:rsidP="00770D97">
      <w:pPr>
        <w:pStyle w:val="TableTextBullet"/>
        <w:rPr>
          <w:rFonts w:ascii="Times New Roman" w:hAnsi="Times New Roman"/>
          <w:sz w:val="22"/>
          <w:szCs w:val="22"/>
        </w:rPr>
      </w:pPr>
      <w:hyperlink r:id="rId23" w:history="1">
        <w:r w:rsidR="00770D97" w:rsidRPr="007F445A">
          <w:rPr>
            <w:rStyle w:val="Hyperlink"/>
            <w:rFonts w:ascii="Times New Roman" w:hAnsi="Times New Roman"/>
            <w:sz w:val="22"/>
            <w:szCs w:val="22"/>
          </w:rPr>
          <w:t>VistA Documentation Library (VDL) Web site</w:t>
        </w:r>
      </w:hyperlink>
      <w:r w:rsidR="00770D97" w:rsidRPr="007F445A">
        <w:rPr>
          <w:rFonts w:ascii="Times New Roman" w:hAnsi="Times New Roman"/>
          <w:sz w:val="22"/>
          <w:szCs w:val="22"/>
        </w:rPr>
        <w:t xml:space="preserve"> (content may have redactions)</w:t>
      </w:r>
    </w:p>
    <w:p w14:paraId="4C51D013" w14:textId="328B21C8" w:rsidR="00770D97" w:rsidRPr="00711206" w:rsidRDefault="00711206" w:rsidP="00770D97">
      <w:pPr>
        <w:pStyle w:val="TableTextBullet"/>
        <w:rPr>
          <w:rFonts w:ascii="Times New Roman" w:hAnsi="Times New Roman"/>
          <w:sz w:val="22"/>
          <w:szCs w:val="22"/>
          <w:highlight w:val="yellow"/>
        </w:rPr>
      </w:pPr>
      <w:r w:rsidRPr="00711206">
        <w:rPr>
          <w:rFonts w:ascii="Times New Roman" w:hAnsi="Times New Roman"/>
          <w:sz w:val="22"/>
          <w:szCs w:val="22"/>
          <w:highlight w:val="yellow"/>
        </w:rPr>
        <w:t>REDACTED</w:t>
      </w:r>
    </w:p>
    <w:p w14:paraId="3F5EA408" w14:textId="77777777" w:rsidR="00B94CCD" w:rsidRDefault="00B94CCD">
      <w:pPr>
        <w:rPr>
          <w:rFonts w:ascii="Arial" w:hAnsi="Arial" w:cs="Arial"/>
          <w:b/>
          <w:bCs/>
          <w:kern w:val="32"/>
          <w:sz w:val="36"/>
          <w:szCs w:val="32"/>
        </w:rPr>
      </w:pPr>
      <w:r>
        <w:br w:type="page"/>
      </w:r>
    </w:p>
    <w:p w14:paraId="2CC79A14" w14:textId="77777777" w:rsidR="002A21AE" w:rsidRDefault="002A21AE" w:rsidP="000D4810">
      <w:pPr>
        <w:pStyle w:val="Heading1"/>
      </w:pPr>
      <w:bookmarkStart w:id="8" w:name="_Toc163644829"/>
      <w:r>
        <w:lastRenderedPageBreak/>
        <w:t>Orientation</w:t>
      </w:r>
      <w:bookmarkEnd w:id="8"/>
      <w:r>
        <w:fldChar w:fldCharType="begin"/>
      </w:r>
      <w:r>
        <w:instrText xml:space="preserve"> XE </w:instrText>
      </w:r>
      <w:r w:rsidR="00FA7E65">
        <w:instrText>“</w:instrText>
      </w:r>
      <w:r>
        <w:instrText>Orientation</w:instrText>
      </w:r>
      <w:r w:rsidR="00FA7E65">
        <w:instrText>”</w:instrText>
      </w:r>
      <w:r>
        <w:instrText xml:space="preserve"> </w:instrText>
      </w:r>
      <w:r>
        <w:fldChar w:fldCharType="end"/>
      </w:r>
    </w:p>
    <w:p w14:paraId="006EBC93" w14:textId="77777777" w:rsidR="002A21AE" w:rsidRDefault="002A21AE" w:rsidP="00FA7E65">
      <w:pPr>
        <w:pStyle w:val="BodyText"/>
      </w:pPr>
      <w:r>
        <w:t>This section covers:</w:t>
      </w:r>
    </w:p>
    <w:p w14:paraId="3344F592" w14:textId="77777777" w:rsidR="009F591F" w:rsidRDefault="009F591F" w:rsidP="009F591F">
      <w:pPr>
        <w:pStyle w:val="ListBullet"/>
      </w:pPr>
      <w:r>
        <w:t>How This User Guide Is Organized</w:t>
      </w:r>
    </w:p>
    <w:p w14:paraId="778DB548" w14:textId="77777777" w:rsidR="002A21AE" w:rsidRDefault="002A21AE">
      <w:pPr>
        <w:pStyle w:val="ListBullet"/>
      </w:pPr>
      <w:r>
        <w:t>Security: who can use VBECS</w:t>
      </w:r>
    </w:p>
    <w:p w14:paraId="12708F4C" w14:textId="77777777" w:rsidR="005E6F80" w:rsidRDefault="005E6F80" w:rsidP="005E6F80">
      <w:pPr>
        <w:pStyle w:val="ListBullet"/>
      </w:pPr>
      <w:r>
        <w:t>Application Architecture: the architectural requirements for VBECS</w:t>
      </w:r>
    </w:p>
    <w:p w14:paraId="4A2B0B4E" w14:textId="77777777" w:rsidR="002A21AE" w:rsidRDefault="000C7684">
      <w:pPr>
        <w:pStyle w:val="ListBullet"/>
      </w:pPr>
      <w:r w:rsidRPr="000C7684">
        <w:rPr>
          <w:bCs/>
        </w:rPr>
        <w:t>VistA</w:t>
      </w:r>
      <w:r w:rsidR="002A21AE">
        <w:t xml:space="preserve"> and VBECS: how VBECS compares to </w:t>
      </w:r>
      <w:r w:rsidRPr="000C7684">
        <w:rPr>
          <w:bCs/>
        </w:rPr>
        <w:t>VistA</w:t>
      </w:r>
      <w:r w:rsidR="002A21AE">
        <w:t xml:space="preserve"> </w:t>
      </w:r>
    </w:p>
    <w:p w14:paraId="4D6A82C9" w14:textId="647C782E" w:rsidR="00361EC2" w:rsidRDefault="002A21AE" w:rsidP="00A9231F">
      <w:pPr>
        <w:pStyle w:val="ListBullet"/>
      </w:pPr>
      <w:r>
        <w:t>Customer Support: how to get help</w:t>
      </w:r>
      <w:r w:rsidR="00BD12FB" w:rsidRPr="00A9231F">
        <w:rPr>
          <w:vanish/>
        </w:rPr>
        <w:t>UC_84</w:t>
      </w:r>
    </w:p>
    <w:p w14:paraId="0A2825D3" w14:textId="77777777" w:rsidR="009F591F" w:rsidRDefault="009F591F" w:rsidP="009F591F">
      <w:pPr>
        <w:pStyle w:val="Heading2"/>
      </w:pPr>
      <w:bookmarkStart w:id="9" w:name="_Toc163644830"/>
      <w:r>
        <w:t>How This User Guide Is Organized</w:t>
      </w:r>
      <w:bookmarkEnd w:id="9"/>
      <w:r>
        <w:fldChar w:fldCharType="begin"/>
      </w:r>
      <w:r>
        <w:instrText xml:space="preserve"> XE “How This User Guide Is Organized” </w:instrText>
      </w:r>
      <w:r>
        <w:fldChar w:fldCharType="end"/>
      </w:r>
    </w:p>
    <w:p w14:paraId="413FCA19" w14:textId="77777777" w:rsidR="009F591F" w:rsidRDefault="009F591F" w:rsidP="009F591F">
      <w:pPr>
        <w:pStyle w:val="Heading3"/>
        <w:ind w:left="720" w:hanging="720"/>
      </w:pPr>
      <w:bookmarkStart w:id="10" w:name="_Toc163644831"/>
      <w:r>
        <w:t>Terms</w:t>
      </w:r>
      <w:bookmarkEnd w:id="10"/>
      <w:r>
        <w:fldChar w:fldCharType="begin"/>
      </w:r>
      <w:r>
        <w:instrText xml:space="preserve"> XE “Terms” </w:instrText>
      </w:r>
      <w:r>
        <w:fldChar w:fldCharType="end"/>
      </w:r>
    </w:p>
    <w:p w14:paraId="4738EEA2" w14:textId="77777777" w:rsidR="009F591F" w:rsidRPr="001B3283" w:rsidRDefault="009F591F" w:rsidP="009F591F">
      <w:pPr>
        <w:pStyle w:val="BodyText"/>
      </w:pPr>
      <w:r w:rsidRPr="001B3283">
        <w:t>For consistency and space considerations, the pronouns “he,” “him,” and “his” are used as pronouns of indeterminate gender equally applicable to males and females.</w:t>
      </w:r>
    </w:p>
    <w:p w14:paraId="6E27969D" w14:textId="77777777" w:rsidR="009F591F" w:rsidRDefault="009F591F" w:rsidP="009F591F">
      <w:pPr>
        <w:pStyle w:val="BodyText"/>
      </w:pPr>
      <w:r>
        <w:t xml:space="preserve">In many instances, a user may scan a barcode or enter data manually (by typing). The term “enter” is used throughout this guide to mean “enter manually.” </w:t>
      </w:r>
    </w:p>
    <w:p w14:paraId="7FC9F619" w14:textId="77777777" w:rsidR="009F591F" w:rsidRDefault="009F591F" w:rsidP="009F591F">
      <w:pPr>
        <w:pStyle w:val="BodyText"/>
      </w:pPr>
      <w:r>
        <w:t>See the Glossary for definitions of other terms and acronyms used in this guide.</w:t>
      </w:r>
    </w:p>
    <w:p w14:paraId="01F32109" w14:textId="77777777" w:rsidR="009F591F" w:rsidRDefault="009F591F" w:rsidP="009F591F">
      <w:pPr>
        <w:pStyle w:val="Heading3"/>
      </w:pPr>
      <w:bookmarkStart w:id="11" w:name="_Toc163644832"/>
      <w:r>
        <w:t>Background and Basic Knowledge</w:t>
      </w:r>
      <w:bookmarkEnd w:id="11"/>
      <w:r>
        <w:fldChar w:fldCharType="begin"/>
      </w:r>
      <w:r>
        <w:instrText xml:space="preserve"> XE “Background and Basic Knowledge” </w:instrText>
      </w:r>
      <w:r>
        <w:fldChar w:fldCharType="end"/>
      </w:r>
    </w:p>
    <w:p w14:paraId="674704CC" w14:textId="77777777" w:rsidR="009F591F" w:rsidRDefault="009F591F" w:rsidP="009F591F">
      <w:pPr>
        <w:pStyle w:val="BodyText"/>
      </w:pPr>
      <w:r>
        <w:t>The Introduction, Orientation, and Using the Software sections provide the background and basic knowledge VBECS users need.</w:t>
      </w:r>
    </w:p>
    <w:p w14:paraId="2A8FFE99" w14:textId="77777777" w:rsidR="009F591F" w:rsidRDefault="009F591F" w:rsidP="009F591F">
      <w:pPr>
        <w:pStyle w:val="Heading3"/>
      </w:pPr>
      <w:bookmarkStart w:id="12" w:name="_Toc163644833"/>
      <w:r>
        <w:t>Figures and Tables</w:t>
      </w:r>
      <w:bookmarkEnd w:id="12"/>
      <w:r w:rsidR="00AB6531">
        <w:fldChar w:fldCharType="begin"/>
      </w:r>
      <w:r w:rsidR="00AB6531">
        <w:instrText xml:space="preserve"> XE "</w:instrText>
      </w:r>
      <w:r w:rsidR="00AB6531" w:rsidRPr="00686ED1">
        <w:instrText>Figures and Tables</w:instrText>
      </w:r>
      <w:r w:rsidR="00AB6531">
        <w:instrText xml:space="preserve">" </w:instrText>
      </w:r>
      <w:r w:rsidR="00AB6531">
        <w:fldChar w:fldCharType="end"/>
      </w:r>
    </w:p>
    <w:p w14:paraId="7127010E" w14:textId="77777777" w:rsidR="009F591F" w:rsidRDefault="009F591F" w:rsidP="009F591F">
      <w:pPr>
        <w:pStyle w:val="BodyText"/>
      </w:pPr>
      <w:r>
        <w:rPr>
          <w:rFonts w:eastAsia="Arial Unicode MS"/>
        </w:rPr>
        <w:t>If you refer to figures and tables from the user guide in your local policy and procedure documents, you may wish to use their titles only, without figure or table numbers: as the user guide is updated, those numbers may change.</w:t>
      </w:r>
    </w:p>
    <w:p w14:paraId="00606F40" w14:textId="77777777" w:rsidR="009F591F" w:rsidRDefault="009F591F" w:rsidP="009F591F">
      <w:pPr>
        <w:pStyle w:val="Heading3"/>
      </w:pPr>
      <w:bookmarkStart w:id="13" w:name="_Toc163644834"/>
      <w:r>
        <w:t>Options</w:t>
      </w:r>
      <w:bookmarkEnd w:id="13"/>
      <w:r>
        <w:fldChar w:fldCharType="begin"/>
      </w:r>
      <w:r>
        <w:instrText xml:space="preserve"> XE “Options” </w:instrText>
      </w:r>
      <w:r>
        <w:fldChar w:fldCharType="end"/>
      </w:r>
    </w:p>
    <w:p w14:paraId="0E9892CA" w14:textId="77777777" w:rsidR="009F591F" w:rsidRDefault="009F591F" w:rsidP="009F591F">
      <w:pPr>
        <w:pStyle w:val="BodyText"/>
      </w:pPr>
      <w:r>
        <w:t>The Configuring Site Parameters, Component Processing, Processing Orders, Patient Services, and Reports sections cover VBECS options.</w:t>
      </w:r>
    </w:p>
    <w:p w14:paraId="0E440D21" w14:textId="77777777" w:rsidR="009F591F" w:rsidRDefault="009F591F" w:rsidP="009F591F">
      <w:pPr>
        <w:pStyle w:val="BodyText"/>
      </w:pPr>
      <w:r>
        <w:t>Each option section starts with an introduction, a short paragraph that explains what a function allows a user to do, followed by:</w:t>
      </w:r>
    </w:p>
    <w:p w14:paraId="63B8603E" w14:textId="77777777" w:rsidR="009F591F" w:rsidRDefault="009F591F" w:rsidP="009F591F">
      <w:pPr>
        <w:pStyle w:val="ListBullet"/>
      </w:pPr>
      <w:r>
        <w:t>Assumptions: tasks that must be completed before performing a function.</w:t>
      </w:r>
    </w:p>
    <w:p w14:paraId="335111D5" w14:textId="77777777" w:rsidR="009F591F" w:rsidRDefault="009F591F" w:rsidP="009F591F">
      <w:pPr>
        <w:pStyle w:val="ListBullet"/>
      </w:pPr>
      <w:r>
        <w:t>Outcome: results of performing a function.</w:t>
      </w:r>
    </w:p>
    <w:p w14:paraId="4825E63B" w14:textId="77777777" w:rsidR="009F591F" w:rsidRDefault="009F591F" w:rsidP="009F591F">
      <w:pPr>
        <w:pStyle w:val="ListBullet"/>
      </w:pPr>
      <w:r>
        <w:t>Limitations and Restrictions: features of the system that are restricted by and exist within this function.</w:t>
      </w:r>
    </w:p>
    <w:p w14:paraId="70FE34B4" w14:textId="77777777" w:rsidR="009F591F" w:rsidRDefault="009F591F" w:rsidP="009F591F">
      <w:pPr>
        <w:pStyle w:val="ListBullet"/>
      </w:pPr>
      <w:r>
        <w:t>Additional Information: information that helps the user perform a function.</w:t>
      </w:r>
    </w:p>
    <w:p w14:paraId="6338E456" w14:textId="77777777" w:rsidR="009F591F" w:rsidRDefault="009F591F" w:rsidP="009F591F">
      <w:pPr>
        <w:pStyle w:val="ListBullet"/>
      </w:pPr>
      <w:bookmarkStart w:id="14" w:name="OLE_LINK21"/>
      <w:bookmarkStart w:id="15" w:name="OLE_LINK22"/>
      <w:r>
        <w:t>User Roles with Access to This Option: which users may perform this option in whole or in part.</w:t>
      </w:r>
    </w:p>
    <w:p w14:paraId="189C9654" w14:textId="77777777" w:rsidR="009F591F" w:rsidRDefault="009F591F" w:rsidP="009F591F">
      <w:pPr>
        <w:pStyle w:val="ListBullet"/>
      </w:pPr>
      <w:r>
        <w:t>A detailed description of what the function allows each user to do. Two or more arrows (</w:t>
      </w:r>
      <w:r w:rsidRPr="00EC7489">
        <w:rPr>
          <w:rFonts w:ascii="Wingdings 3" w:hAnsi="Wingdings 3" w:cs="Wingdings"/>
        </w:rPr>
        <w:t></w:t>
      </w:r>
      <w:r>
        <w:t>) indicate functions limited to a specific role.</w:t>
      </w:r>
    </w:p>
    <w:bookmarkEnd w:id="14"/>
    <w:bookmarkEnd w:id="15"/>
    <w:p w14:paraId="4A3FDB3F" w14:textId="77777777" w:rsidR="009F591F" w:rsidRDefault="009F591F" w:rsidP="009F591F">
      <w:pPr>
        <w:pStyle w:val="ListBullet"/>
      </w:pPr>
      <w:r>
        <w:t>Table of steps for the basic path (user and VBECS actions).</w:t>
      </w:r>
    </w:p>
    <w:p w14:paraId="0ECAEBB6" w14:textId="77777777" w:rsidR="009F591F" w:rsidRDefault="009F591F" w:rsidP="009F591F">
      <w:pPr>
        <w:pStyle w:val="ListBullet"/>
      </w:pPr>
      <w:r>
        <w:t>Tables of steps for alternate paths (user and VBECS actions).</w:t>
      </w:r>
    </w:p>
    <w:p w14:paraId="19C16735" w14:textId="77777777" w:rsidR="009F591F" w:rsidRDefault="009F591F" w:rsidP="009F591F">
      <w:pPr>
        <w:pStyle w:val="ListBullet"/>
      </w:pPr>
      <w:r>
        <w:t>Figures (examples of reports, screen shots, etc.).</w:t>
      </w:r>
    </w:p>
    <w:p w14:paraId="2BA117AC" w14:textId="77777777" w:rsidR="009F591F" w:rsidRDefault="009F591F" w:rsidP="009F591F">
      <w:pPr>
        <w:pStyle w:val="ListBullet"/>
      </w:pPr>
      <w:r>
        <w:t>Table of alerts that may occur during an option.</w:t>
      </w:r>
    </w:p>
    <w:p w14:paraId="5E15FCE5" w14:textId="77777777" w:rsidR="009F591F" w:rsidRDefault="009F591F" w:rsidP="009F591F">
      <w:pPr>
        <w:pStyle w:val="Caution"/>
      </w:pPr>
      <w:r>
        <w:lastRenderedPageBreak/>
        <w:t xml:space="preserve">A </w:t>
      </w:r>
      <w:r w:rsidRPr="008B6F70">
        <w:rPr>
          <w:rStyle w:val="BullhornChar"/>
          <w:i w:val="0"/>
        </w:rPr>
        <w:t></w:t>
      </w:r>
      <w:r w:rsidRPr="00D62E87">
        <w:rPr>
          <w:rFonts w:ascii="Webdings" w:hAnsi="Webdings"/>
        </w:rPr>
        <w:t></w:t>
      </w:r>
      <w:r>
        <w:t>(bullhorn) indicates that VBECS emits an audible alert. Keep the sound on to hear the alerts (see Volume for instructions on adjusting the volume).</w:t>
      </w:r>
    </w:p>
    <w:p w14:paraId="0C93CE1D" w14:textId="77777777" w:rsidR="009F591F" w:rsidRDefault="009F591F" w:rsidP="009F591F">
      <w:pPr>
        <w:pStyle w:val="ListBullet"/>
      </w:pPr>
      <w:r>
        <w:t>Outlined, italicized text highlights tips, warnings, and cautions, for example:</w:t>
      </w:r>
    </w:p>
    <w:p w14:paraId="1D56D7C0" w14:textId="77777777" w:rsidR="009F591F" w:rsidRDefault="009F591F" w:rsidP="009F591F">
      <w:pPr>
        <w:pStyle w:val="Caution"/>
      </w:pPr>
      <w:r>
        <w:t xml:space="preserve">A </w:t>
      </w:r>
      <w:r w:rsidR="00057948">
        <w:rPr>
          <w:noProof/>
        </w:rPr>
        <w:drawing>
          <wp:inline distT="0" distB="0" distL="0" distR="0" wp14:anchorId="3D0124E9" wp14:editId="5C0CD19F">
            <wp:extent cx="267970" cy="221615"/>
            <wp:effectExtent l="0" t="0" r="0" b="6985"/>
            <wp:docPr id="12" name="Picture 1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t xml:space="preserve"> signals potential hazards throughout this guide as they occur. </w:t>
      </w:r>
    </w:p>
    <w:p w14:paraId="279F907B" w14:textId="77777777" w:rsidR="009F591F" w:rsidRDefault="009F591F" w:rsidP="009F591F">
      <w:pPr>
        <w:pStyle w:val="Heading3"/>
      </w:pPr>
      <w:bookmarkStart w:id="16" w:name="_Toc163644835"/>
      <w:r>
        <w:t>Supplemental Information</w:t>
      </w:r>
      <w:bookmarkEnd w:id="16"/>
      <w:r>
        <w:fldChar w:fldCharType="begin"/>
      </w:r>
      <w:r>
        <w:instrText xml:space="preserve"> XE “Supplemental Information” </w:instrText>
      </w:r>
      <w:r>
        <w:fldChar w:fldCharType="end"/>
      </w:r>
    </w:p>
    <w:p w14:paraId="2F768D36" w14:textId="77777777" w:rsidR="009F591F" w:rsidRDefault="009F591F" w:rsidP="009F591F">
      <w:pPr>
        <w:pStyle w:val="BodyText"/>
      </w:pPr>
      <w:r>
        <w:t>The third group of sections (References, Glossary) provides knowledge that may be needed beyond the standard, daily use of VBECS.</w:t>
      </w:r>
    </w:p>
    <w:p w14:paraId="721411E1" w14:textId="77777777" w:rsidR="009F591F" w:rsidRDefault="009F591F" w:rsidP="009F591F">
      <w:pPr>
        <w:pStyle w:val="Heading3"/>
      </w:pPr>
      <w:bookmarkStart w:id="17" w:name="_Toc163644836"/>
      <w:r>
        <w:t>Appendices</w:t>
      </w:r>
      <w:bookmarkEnd w:id="17"/>
      <w:r>
        <w:fldChar w:fldCharType="begin"/>
      </w:r>
      <w:r>
        <w:instrText xml:space="preserve"> XE “Appendices” </w:instrText>
      </w:r>
      <w:r>
        <w:fldChar w:fldCharType="end"/>
      </w:r>
    </w:p>
    <w:p w14:paraId="06FEC699" w14:textId="77777777" w:rsidR="009F591F" w:rsidRDefault="009F591F" w:rsidP="009F591F">
      <w:pPr>
        <w:pStyle w:val="BodyText"/>
      </w:pPr>
      <w:r>
        <w:t>The appendices contain truth tables, diagrams, and other materials for reference.</w:t>
      </w:r>
    </w:p>
    <w:p w14:paraId="771597BF" w14:textId="77777777" w:rsidR="009F591F" w:rsidRDefault="009F591F" w:rsidP="009F591F">
      <w:pPr>
        <w:pStyle w:val="BodyText"/>
      </w:pPr>
      <w:r>
        <w:t>Click a section name or page number in the table of contents to move to a section. The index does not incorporate this feature.</w:t>
      </w:r>
    </w:p>
    <w:p w14:paraId="126B751F" w14:textId="77777777" w:rsidR="002A21AE" w:rsidRDefault="002A21AE" w:rsidP="009F591F">
      <w:pPr>
        <w:pStyle w:val="Heading2"/>
      </w:pPr>
      <w:bookmarkStart w:id="18" w:name="_Toc163644837"/>
      <w:r>
        <w:t>Security</w:t>
      </w:r>
      <w:bookmarkEnd w:id="18"/>
      <w:r>
        <w:fldChar w:fldCharType="begin"/>
      </w:r>
      <w:r>
        <w:instrText xml:space="preserve"> XE </w:instrText>
      </w:r>
      <w:r w:rsidR="00FA7E65">
        <w:instrText>“</w:instrText>
      </w:r>
      <w:r>
        <w:instrText>Security</w:instrText>
      </w:r>
      <w:r w:rsidR="00FA7E65">
        <w:instrText>”</w:instrText>
      </w:r>
      <w:r>
        <w:instrText xml:space="preserve"> </w:instrText>
      </w:r>
      <w:r>
        <w:fldChar w:fldCharType="end"/>
      </w:r>
    </w:p>
    <w:p w14:paraId="3F78EE1E" w14:textId="77777777" w:rsidR="002A21AE" w:rsidRDefault="002A21AE" w:rsidP="00FA7E65">
      <w:pPr>
        <w:pStyle w:val="BodyText"/>
      </w:pPr>
      <w:r>
        <w:rPr>
          <w:i/>
        </w:rPr>
        <w:t>User roles</w:t>
      </w:r>
      <w:r>
        <w:t xml:space="preserve"> identify who can access which functions. Not every VBECS user has access to all VBECS options or functions within options. Two or more arrows (</w:t>
      </w:r>
      <w:r w:rsidRPr="00EC7489">
        <w:rPr>
          <w:rFonts w:ascii="Wingdings 3" w:hAnsi="Wingdings 3" w:cs="Wingdings"/>
        </w:rPr>
        <w:t></w:t>
      </w:r>
      <w:r>
        <w:t>) indicate functions limited to a specific role.</w:t>
      </w:r>
    </w:p>
    <w:p w14:paraId="1D53D628" w14:textId="77777777" w:rsidR="00D93651" w:rsidRPr="00D93651" w:rsidRDefault="00057948" w:rsidP="00D93651">
      <w:pPr>
        <w:pStyle w:val="Caution"/>
      </w:pPr>
      <w:r>
        <w:rPr>
          <w:noProof/>
        </w:rPr>
        <w:drawing>
          <wp:inline distT="0" distB="0" distL="0" distR="0" wp14:anchorId="2A2234B5" wp14:editId="56144BC7">
            <wp:extent cx="267970" cy="221615"/>
            <wp:effectExtent l="0" t="0" r="0" b="6985"/>
            <wp:docPr id="13" name="Picture 1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03FB7">
        <w:t>It is critical that e</w:t>
      </w:r>
      <w:r w:rsidR="00D93651">
        <w:t xml:space="preserve">ach </w:t>
      </w:r>
      <w:r w:rsidR="003C244C">
        <w:t>site</w:t>
      </w:r>
      <w:r w:rsidR="00D93651" w:rsidRPr="00D93651">
        <w:t xml:space="preserve"> </w:t>
      </w:r>
      <w:r w:rsidR="00D93651">
        <w:t xml:space="preserve">evaluate its staff and </w:t>
      </w:r>
      <w:r w:rsidR="00D93651" w:rsidRPr="00D93651">
        <w:t xml:space="preserve">determine </w:t>
      </w:r>
      <w:r w:rsidR="00D93651">
        <w:t xml:space="preserve">appropriate </w:t>
      </w:r>
      <w:r w:rsidR="00D93651" w:rsidRPr="00D93651">
        <w:t>secu</w:t>
      </w:r>
      <w:r w:rsidR="00D93651">
        <w:t>r</w:t>
      </w:r>
      <w:r w:rsidR="00D93651" w:rsidRPr="00D93651">
        <w:t xml:space="preserve">ity </w:t>
      </w:r>
      <w:r w:rsidR="00D93651">
        <w:t>levels</w:t>
      </w:r>
      <w:r w:rsidR="00903FB7">
        <w:t xml:space="preserve"> based on training and qualifications</w:t>
      </w:r>
      <w:r w:rsidR="00D93651" w:rsidRPr="00D93651">
        <w:t>.</w:t>
      </w:r>
    </w:p>
    <w:p w14:paraId="344B8D88" w14:textId="77777777" w:rsidR="002A21AE" w:rsidRDefault="002A21AE" w:rsidP="00FA7E65">
      <w:pPr>
        <w:pStyle w:val="BodyText"/>
      </w:pPr>
      <w:r>
        <w:t xml:space="preserve">User roles also govern which options are available and which warnings can be overridden. </w:t>
      </w:r>
      <w:r>
        <w:rPr>
          <w:vanish/>
        </w:rPr>
        <w:t xml:space="preserve">BR_6.02 </w:t>
      </w:r>
      <w:r>
        <w:t>VBECS displays options that are not available to a user</w:t>
      </w:r>
      <w:r w:rsidR="00494EC6">
        <w:t xml:space="preserve"> in gray text</w:t>
      </w:r>
      <w:r>
        <w:t>.</w:t>
      </w:r>
    </w:p>
    <w:p w14:paraId="51815B71" w14:textId="602F87E4" w:rsidR="00827C1C" w:rsidRDefault="00827C1C" w:rsidP="00827C1C">
      <w:pPr>
        <w:pStyle w:val="BodyText"/>
        <w:rPr>
          <w:snapToGrid w:val="0"/>
        </w:rPr>
      </w:pPr>
      <w:r>
        <w:t>Each of the six user roles is associated with a</w:t>
      </w:r>
      <w:r>
        <w:rPr>
          <w:snapToGrid w:val="0"/>
        </w:rPr>
        <w:t xml:space="preserve"> security level (see </w:t>
      </w:r>
      <w:r w:rsidR="00EE455E">
        <w:t xml:space="preserve">Table </w:t>
      </w:r>
      <w:r w:rsidR="00EE455E">
        <w:rPr>
          <w:noProof/>
        </w:rPr>
        <w:t>1</w:t>
      </w:r>
      <w:r>
        <w:rPr>
          <w:snapToGrid w:val="0"/>
        </w:rPr>
        <w:t xml:space="preserve">). Privileges accumulate as the security level increases. For example, a Lead Technologist’s privileges include those of a Blood Bank Technologist and Enhanced Technologist. </w:t>
      </w:r>
    </w:p>
    <w:p w14:paraId="6A9DF15D" w14:textId="7BA5B525" w:rsidR="00D24746" w:rsidRDefault="00413ECA" w:rsidP="00D24746">
      <w:pPr>
        <w:pStyle w:val="Caption"/>
        <w:tabs>
          <w:tab w:val="left" w:pos="4740"/>
        </w:tabs>
      </w:pPr>
      <w:bookmarkStart w:id="19" w:name="_Ref126468477"/>
      <w:bookmarkStart w:id="20" w:name="_Ref126484343"/>
      <w:r>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w:t>
      </w:r>
      <w:r w:rsidR="004E20BD">
        <w:rPr>
          <w:noProof/>
        </w:rPr>
        <w:fldChar w:fldCharType="end"/>
      </w:r>
      <w:bookmarkEnd w:id="19"/>
      <w:r>
        <w:t xml:space="preserve">: </w:t>
      </w:r>
      <w:r>
        <w:rPr>
          <w:vanish/>
        </w:rPr>
        <w:t xml:space="preserve">PT_19.01 </w:t>
      </w:r>
      <w:r>
        <w:t>User Roles and Functions</w:t>
      </w:r>
      <w:bookmarkEnd w:id="20"/>
      <w:r w:rsidR="00321988">
        <w:fldChar w:fldCharType="begin"/>
      </w:r>
      <w:r w:rsidR="00321988">
        <w:instrText xml:space="preserve"> XE "Tables:</w:instrText>
      </w:r>
      <w:r w:rsidR="00321988" w:rsidRPr="00B97AF3">
        <w:instrText>User Roles and Functions</w:instrText>
      </w:r>
      <w:r w:rsidR="00321988">
        <w:instrText xml:space="preserve">" </w:instrText>
      </w:r>
      <w:r w:rsidR="00321988">
        <w:fldChar w:fldCharType="end"/>
      </w:r>
    </w:p>
    <w:tbl>
      <w:tblPr>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7"/>
        <w:gridCol w:w="4431"/>
        <w:gridCol w:w="2322"/>
      </w:tblGrid>
      <w:tr w:rsidR="0028759D" w:rsidRPr="00D25382" w14:paraId="0285F8D3" w14:textId="77777777" w:rsidTr="00D93AB0">
        <w:trPr>
          <w:cantSplit/>
          <w:tblHeader/>
        </w:trPr>
        <w:tc>
          <w:tcPr>
            <w:tcW w:w="2607" w:type="dxa"/>
            <w:shd w:val="clear" w:color="auto" w:fill="B3B3B3"/>
            <w:vAlign w:val="bottom"/>
          </w:tcPr>
          <w:p w14:paraId="350DBF5E" w14:textId="77777777" w:rsidR="0028759D" w:rsidRDefault="0028759D" w:rsidP="0005347A">
            <w:pPr>
              <w:pStyle w:val="TableText"/>
              <w:rPr>
                <w:b/>
              </w:rPr>
            </w:pPr>
            <w:r>
              <w:rPr>
                <w:b/>
              </w:rPr>
              <w:t>Security Levels and User Roles</w:t>
            </w:r>
          </w:p>
        </w:tc>
        <w:tc>
          <w:tcPr>
            <w:tcW w:w="4431" w:type="dxa"/>
            <w:shd w:val="clear" w:color="auto" w:fill="B3B3B3"/>
            <w:vAlign w:val="bottom"/>
          </w:tcPr>
          <w:p w14:paraId="6B734520" w14:textId="77777777" w:rsidR="0028759D" w:rsidRDefault="0028759D" w:rsidP="0005347A">
            <w:pPr>
              <w:pStyle w:val="TableText"/>
              <w:rPr>
                <w:b/>
              </w:rPr>
            </w:pPr>
            <w:r>
              <w:rPr>
                <w:b/>
              </w:rPr>
              <w:t>Accessible Functions</w:t>
            </w:r>
          </w:p>
        </w:tc>
        <w:tc>
          <w:tcPr>
            <w:tcW w:w="2322" w:type="dxa"/>
            <w:shd w:val="clear" w:color="auto" w:fill="B3B3B3"/>
            <w:vAlign w:val="bottom"/>
          </w:tcPr>
          <w:p w14:paraId="402FBD82" w14:textId="77777777" w:rsidR="0028759D" w:rsidRPr="00D25382" w:rsidRDefault="0028759D" w:rsidP="0005347A">
            <w:pPr>
              <w:pStyle w:val="TableText"/>
              <w:rPr>
                <w:b/>
              </w:rPr>
            </w:pPr>
            <w:r w:rsidRPr="00D25382">
              <w:rPr>
                <w:b/>
              </w:rPr>
              <w:t>Who Should Fill These Roles?</w:t>
            </w:r>
          </w:p>
        </w:tc>
      </w:tr>
      <w:tr w:rsidR="0028759D" w14:paraId="0681040E" w14:textId="77777777" w:rsidTr="00D93AB0">
        <w:trPr>
          <w:cantSplit/>
        </w:trPr>
        <w:tc>
          <w:tcPr>
            <w:tcW w:w="2607" w:type="dxa"/>
            <w:vAlign w:val="center"/>
          </w:tcPr>
          <w:p w14:paraId="68A76CE6" w14:textId="77777777" w:rsidR="0028759D" w:rsidRDefault="0028759D" w:rsidP="0005347A">
            <w:pPr>
              <w:pStyle w:val="TableText"/>
            </w:pPr>
            <w:r>
              <w:t>Level 1: Blood Bank Technologist (all users)</w:t>
            </w:r>
          </w:p>
        </w:tc>
        <w:tc>
          <w:tcPr>
            <w:tcW w:w="4431" w:type="dxa"/>
          </w:tcPr>
          <w:p w14:paraId="7A09A0E0" w14:textId="77777777" w:rsidR="0028759D" w:rsidRDefault="0028759D" w:rsidP="0005347A">
            <w:pPr>
              <w:pStyle w:val="TableTextBullet"/>
            </w:pPr>
            <w:r>
              <w:t>Standard access:</w:t>
            </w:r>
          </w:p>
          <w:p w14:paraId="5E6DA2BD" w14:textId="77777777" w:rsidR="0028759D" w:rsidRDefault="0028759D" w:rsidP="00C63FA9">
            <w:pPr>
              <w:pStyle w:val="TableTextBullet"/>
              <w:numPr>
                <w:ilvl w:val="1"/>
                <w:numId w:val="12"/>
              </w:numPr>
              <w:tabs>
                <w:tab w:val="clear" w:pos="1440"/>
              </w:tabs>
              <w:ind w:left="616"/>
            </w:pPr>
            <w:r>
              <w:t>patient and donor testing</w:t>
            </w:r>
          </w:p>
          <w:p w14:paraId="2F09261F" w14:textId="77777777" w:rsidR="0028759D" w:rsidRDefault="0028759D" w:rsidP="00C63FA9">
            <w:pPr>
              <w:pStyle w:val="TableTextBullet"/>
              <w:numPr>
                <w:ilvl w:val="1"/>
                <w:numId w:val="12"/>
              </w:numPr>
              <w:tabs>
                <w:tab w:val="clear" w:pos="1440"/>
              </w:tabs>
              <w:ind w:left="616"/>
            </w:pPr>
            <w:r>
              <w:t>accepting and canceling orders</w:t>
            </w:r>
          </w:p>
          <w:p w14:paraId="0D08379A" w14:textId="77777777" w:rsidR="0028759D" w:rsidRDefault="0028759D" w:rsidP="00C63FA9">
            <w:pPr>
              <w:pStyle w:val="TableTextBullet"/>
              <w:numPr>
                <w:ilvl w:val="1"/>
                <w:numId w:val="12"/>
              </w:numPr>
              <w:tabs>
                <w:tab w:val="clear" w:pos="1440"/>
              </w:tabs>
              <w:ind w:left="616"/>
            </w:pPr>
            <w:r>
              <w:t>modifying units</w:t>
            </w:r>
          </w:p>
          <w:p w14:paraId="0F49B53D" w14:textId="77777777" w:rsidR="0028759D" w:rsidRDefault="0028759D" w:rsidP="00C63FA9">
            <w:pPr>
              <w:pStyle w:val="TableTextBullet"/>
              <w:numPr>
                <w:ilvl w:val="1"/>
                <w:numId w:val="12"/>
              </w:numPr>
              <w:tabs>
                <w:tab w:val="clear" w:pos="1440"/>
              </w:tabs>
              <w:ind w:left="616"/>
            </w:pPr>
            <w:r>
              <w:t>processing shipments</w:t>
            </w:r>
          </w:p>
          <w:p w14:paraId="19BA91AC" w14:textId="77777777" w:rsidR="0028759D" w:rsidRDefault="0028759D" w:rsidP="00C63FA9">
            <w:pPr>
              <w:pStyle w:val="TableTextBullet"/>
              <w:numPr>
                <w:ilvl w:val="1"/>
                <w:numId w:val="12"/>
              </w:numPr>
              <w:tabs>
                <w:tab w:val="clear" w:pos="1440"/>
              </w:tabs>
              <w:ind w:left="616"/>
            </w:pPr>
            <w:r>
              <w:t>selecting and issuing blood that does not require higher level overrides</w:t>
            </w:r>
          </w:p>
          <w:p w14:paraId="257322EA" w14:textId="77777777" w:rsidR="0028759D" w:rsidRDefault="0028759D" w:rsidP="00C63FA9">
            <w:pPr>
              <w:pStyle w:val="TableTextBullet"/>
              <w:numPr>
                <w:ilvl w:val="1"/>
                <w:numId w:val="12"/>
              </w:numPr>
              <w:tabs>
                <w:tab w:val="clear" w:pos="1440"/>
              </w:tabs>
              <w:ind w:left="616"/>
            </w:pPr>
            <w:r>
              <w:t>processing transfusion reaction workups</w:t>
            </w:r>
          </w:p>
          <w:p w14:paraId="4D0F4406" w14:textId="77777777" w:rsidR="0028759D" w:rsidRDefault="0028759D" w:rsidP="00C63FA9">
            <w:pPr>
              <w:pStyle w:val="TableTextBullet"/>
              <w:numPr>
                <w:ilvl w:val="1"/>
                <w:numId w:val="12"/>
              </w:numPr>
              <w:tabs>
                <w:tab w:val="clear" w:pos="1440"/>
              </w:tabs>
              <w:ind w:left="616"/>
            </w:pPr>
            <w:r>
              <w:t>add patient’s transfusion requirements</w:t>
            </w:r>
          </w:p>
          <w:p w14:paraId="5DB16BED" w14:textId="77777777" w:rsidR="0028759D" w:rsidRDefault="0028759D" w:rsidP="00C63FA9">
            <w:pPr>
              <w:pStyle w:val="TableTextBullet"/>
              <w:numPr>
                <w:ilvl w:val="1"/>
                <w:numId w:val="12"/>
              </w:numPr>
              <w:tabs>
                <w:tab w:val="clear" w:pos="1440"/>
              </w:tabs>
              <w:ind w:left="616"/>
            </w:pPr>
            <w:r>
              <w:t>accessing report functions</w:t>
            </w:r>
          </w:p>
          <w:p w14:paraId="7A864374" w14:textId="77777777" w:rsidR="0028759D" w:rsidRDefault="0028759D" w:rsidP="00C63FA9">
            <w:pPr>
              <w:pStyle w:val="TableTextBullet"/>
              <w:numPr>
                <w:ilvl w:val="1"/>
                <w:numId w:val="12"/>
              </w:numPr>
              <w:tabs>
                <w:tab w:val="clear" w:pos="1440"/>
              </w:tabs>
              <w:ind w:left="616"/>
            </w:pPr>
            <w:r>
              <w:t>enter daily QC results</w:t>
            </w:r>
          </w:p>
          <w:p w14:paraId="0BD6A99D" w14:textId="77777777" w:rsidR="0028759D" w:rsidRDefault="0028759D" w:rsidP="00C63FA9">
            <w:pPr>
              <w:pStyle w:val="TableTextBullet"/>
              <w:numPr>
                <w:ilvl w:val="1"/>
                <w:numId w:val="12"/>
              </w:numPr>
              <w:tabs>
                <w:tab w:val="clear" w:pos="1440"/>
              </w:tabs>
              <w:ind w:left="616"/>
            </w:pPr>
            <w:r>
              <w:t>discard/quarantine blood units</w:t>
            </w:r>
          </w:p>
          <w:p w14:paraId="453591E0" w14:textId="77777777" w:rsidR="0028759D" w:rsidRDefault="0028759D" w:rsidP="00C63FA9">
            <w:pPr>
              <w:pStyle w:val="TableTextBullet"/>
              <w:numPr>
                <w:ilvl w:val="1"/>
                <w:numId w:val="12"/>
              </w:numPr>
              <w:tabs>
                <w:tab w:val="clear" w:pos="1440"/>
              </w:tabs>
              <w:ind w:left="616"/>
            </w:pPr>
            <w:r>
              <w:t>release units from patient assignment</w:t>
            </w:r>
          </w:p>
          <w:p w14:paraId="332A0DCD" w14:textId="77777777" w:rsidR="0028759D" w:rsidRDefault="0028759D" w:rsidP="00C63FA9">
            <w:pPr>
              <w:pStyle w:val="TableTextBullet"/>
              <w:numPr>
                <w:ilvl w:val="1"/>
                <w:numId w:val="12"/>
              </w:numPr>
              <w:tabs>
                <w:tab w:val="clear" w:pos="1440"/>
              </w:tabs>
              <w:ind w:left="616"/>
            </w:pPr>
            <w:r>
              <w:t>return issued units to blood bank</w:t>
            </w:r>
          </w:p>
          <w:p w14:paraId="6F6039A0" w14:textId="77777777" w:rsidR="0028759D" w:rsidRDefault="0028759D" w:rsidP="0005347A">
            <w:pPr>
              <w:pStyle w:val="TableTextBullet"/>
            </w:pPr>
            <w:r>
              <w:t>Activate/edit some shipper information.</w:t>
            </w:r>
          </w:p>
          <w:p w14:paraId="2D9327E4" w14:textId="77777777" w:rsidR="0028759D" w:rsidRDefault="0028759D" w:rsidP="0005347A">
            <w:pPr>
              <w:pStyle w:val="TableTextBullet"/>
            </w:pPr>
            <w:r>
              <w:t>Activate/edit some blood product information.</w:t>
            </w:r>
          </w:p>
          <w:p w14:paraId="598FAC41" w14:textId="4869760B" w:rsidR="0053686A" w:rsidRDefault="0053686A" w:rsidP="0053686A">
            <w:pPr>
              <w:pStyle w:val="TableTextBullet"/>
            </w:pPr>
            <w:r>
              <w:t>Add new local facility, not already on the table issued with VBECS.</w:t>
            </w:r>
          </w:p>
        </w:tc>
        <w:tc>
          <w:tcPr>
            <w:tcW w:w="2322" w:type="dxa"/>
            <w:vAlign w:val="center"/>
          </w:tcPr>
          <w:p w14:paraId="77D020A3" w14:textId="77777777" w:rsidR="0028759D" w:rsidRDefault="0028759D" w:rsidP="0005347A">
            <w:pPr>
              <w:pStyle w:val="TableText"/>
            </w:pPr>
            <w:r>
              <w:t>Rotating technologists, n</w:t>
            </w:r>
            <w:r w:rsidRPr="003738EE">
              <w:t>ew employees</w:t>
            </w:r>
            <w:r>
              <w:t>,</w:t>
            </w:r>
            <w:r w:rsidRPr="003738EE">
              <w:t xml:space="preserve"> and </w:t>
            </w:r>
            <w:r>
              <w:t>s</w:t>
            </w:r>
            <w:r w:rsidRPr="003738EE">
              <w:t xml:space="preserve">tudents </w:t>
            </w:r>
            <w:r>
              <w:t>trained</w:t>
            </w:r>
            <w:r w:rsidRPr="003738EE">
              <w:t xml:space="preserve"> to perform </w:t>
            </w:r>
            <w:r>
              <w:t xml:space="preserve">associated tasks and </w:t>
            </w:r>
            <w:r w:rsidRPr="003738EE">
              <w:t>overrides</w:t>
            </w:r>
            <w:r>
              <w:t>.</w:t>
            </w:r>
          </w:p>
        </w:tc>
      </w:tr>
      <w:tr w:rsidR="0028759D" w14:paraId="1A904010" w14:textId="77777777" w:rsidTr="00D93AB0">
        <w:trPr>
          <w:cantSplit/>
        </w:trPr>
        <w:tc>
          <w:tcPr>
            <w:tcW w:w="2607" w:type="dxa"/>
            <w:vAlign w:val="center"/>
          </w:tcPr>
          <w:p w14:paraId="1E8543DC" w14:textId="120035A6" w:rsidR="0028759D" w:rsidRDefault="0028759D" w:rsidP="0005347A">
            <w:pPr>
              <w:pStyle w:val="TableText"/>
            </w:pPr>
            <w:bookmarkStart w:id="21" w:name="OLE_LINK1"/>
            <w:bookmarkStart w:id="22" w:name="OLE_LINK2"/>
            <w:r w:rsidRPr="00EC7489">
              <w:rPr>
                <w:rFonts w:ascii="Wingdings 3" w:hAnsi="Wingdings 3" w:cs="Wingdings"/>
              </w:rPr>
              <w:t></w:t>
            </w:r>
            <w:r w:rsidRPr="00EC7489">
              <w:rPr>
                <w:rFonts w:ascii="Wingdings 3" w:hAnsi="Wingdings 3" w:cs="Wingdings"/>
              </w:rPr>
              <w:t></w:t>
            </w:r>
            <w:r>
              <w:t xml:space="preserve"> </w:t>
            </w:r>
            <w:bookmarkEnd w:id="21"/>
            <w:bookmarkEnd w:id="22"/>
            <w:r>
              <w:t>Level 2: Enhanced Technologist</w:t>
            </w:r>
          </w:p>
        </w:tc>
        <w:tc>
          <w:tcPr>
            <w:tcW w:w="4431" w:type="dxa"/>
          </w:tcPr>
          <w:p w14:paraId="7989204A" w14:textId="77777777" w:rsidR="0028759D" w:rsidRDefault="0028759D" w:rsidP="0005347A">
            <w:pPr>
              <w:pStyle w:val="TableTextBullet"/>
            </w:pPr>
            <w:r>
              <w:t>Edit unit cost.</w:t>
            </w:r>
          </w:p>
          <w:p w14:paraId="1CA8C121" w14:textId="77777777" w:rsidR="0028759D" w:rsidRDefault="0028759D" w:rsidP="0005347A">
            <w:pPr>
              <w:pStyle w:val="TableTextBullet"/>
            </w:pPr>
            <w:r>
              <w:t>Modify/issue expired blood products.</w:t>
            </w:r>
          </w:p>
          <w:p w14:paraId="1105C76A" w14:textId="77777777" w:rsidR="0028759D" w:rsidRDefault="0028759D" w:rsidP="0005347A">
            <w:pPr>
              <w:pStyle w:val="TableTextBullet"/>
            </w:pPr>
            <w:r>
              <w:t>Release blood products from quarantine.</w:t>
            </w:r>
          </w:p>
          <w:p w14:paraId="25BFD85E" w14:textId="77777777" w:rsidR="0028759D" w:rsidRDefault="0028759D" w:rsidP="0005347A">
            <w:pPr>
              <w:pStyle w:val="TableTextBullet"/>
            </w:pPr>
            <w:r>
              <w:t xml:space="preserve">Edit unit information prior to defining patient associations. </w:t>
            </w:r>
          </w:p>
          <w:p w14:paraId="4BDC6417" w14:textId="77777777" w:rsidR="0028759D" w:rsidRDefault="0028759D" w:rsidP="0005347A">
            <w:pPr>
              <w:pStyle w:val="TableTextBullet"/>
            </w:pPr>
            <w:r>
              <w:t>Edit verified unit confirmation testing.</w:t>
            </w:r>
          </w:p>
          <w:p w14:paraId="60F8AD4E" w14:textId="77777777" w:rsidR="0028759D" w:rsidRDefault="0028759D" w:rsidP="0005347A">
            <w:pPr>
              <w:pStyle w:val="TableTextBullet"/>
            </w:pPr>
            <w:r>
              <w:t xml:space="preserve">Edit patient record/verified data and test results (except the ABO/Rh for historic record and the antibody field, which results in an antigen negative requirement). </w:t>
            </w:r>
          </w:p>
          <w:p w14:paraId="3F1D7934" w14:textId="77777777" w:rsidR="0028759D" w:rsidRDefault="0028759D" w:rsidP="0005347A">
            <w:pPr>
              <w:pStyle w:val="TableTextBullet"/>
            </w:pPr>
            <w:r>
              <w:t>Release directed units to the main blood supply.</w:t>
            </w:r>
          </w:p>
        </w:tc>
        <w:tc>
          <w:tcPr>
            <w:tcW w:w="2322" w:type="dxa"/>
            <w:vAlign w:val="center"/>
          </w:tcPr>
          <w:p w14:paraId="68BFA0FF" w14:textId="77777777" w:rsidR="0028759D" w:rsidRDefault="0028759D" w:rsidP="0005347A">
            <w:pPr>
              <w:pStyle w:val="TableText"/>
            </w:pPr>
            <w:r>
              <w:rPr>
                <w:szCs w:val="20"/>
              </w:rPr>
              <w:t>Experienced t</w:t>
            </w:r>
            <w:r>
              <w:t>echnologists trained to process associated overrides and options.</w:t>
            </w:r>
          </w:p>
        </w:tc>
      </w:tr>
      <w:tr w:rsidR="0028759D" w:rsidRPr="005D0D6B" w14:paraId="53890470" w14:textId="77777777" w:rsidTr="00D93AB0">
        <w:trPr>
          <w:cantSplit/>
        </w:trPr>
        <w:tc>
          <w:tcPr>
            <w:tcW w:w="2607" w:type="dxa"/>
            <w:vAlign w:val="center"/>
          </w:tcPr>
          <w:p w14:paraId="2AF66F18"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3: Lead Technologist</w:t>
            </w:r>
          </w:p>
        </w:tc>
        <w:tc>
          <w:tcPr>
            <w:tcW w:w="4431" w:type="dxa"/>
          </w:tcPr>
          <w:p w14:paraId="4B10B7EC" w14:textId="77777777" w:rsidR="0028759D" w:rsidRDefault="0028759D" w:rsidP="0005347A">
            <w:pPr>
              <w:pStyle w:val="TableTextBullet"/>
              <w:rPr>
                <w:rFonts w:cs="Arial"/>
                <w:szCs w:val="16"/>
              </w:rPr>
            </w:pPr>
            <w:r>
              <w:rPr>
                <w:rFonts w:cs="Arial"/>
                <w:szCs w:val="16"/>
              </w:rPr>
              <w:t>Select/issue ABO incompatible blood.</w:t>
            </w:r>
          </w:p>
          <w:p w14:paraId="5B6CA828" w14:textId="77777777" w:rsidR="0028759D" w:rsidRDefault="0028759D" w:rsidP="0005347A">
            <w:pPr>
              <w:pStyle w:val="TableTextBullet"/>
              <w:rPr>
                <w:rFonts w:cs="Arial"/>
                <w:szCs w:val="16"/>
              </w:rPr>
            </w:pPr>
            <w:r>
              <w:t>Select/issue antigen positive or untyped red blood cells (for the clinically significant antibodies in the table).</w:t>
            </w:r>
          </w:p>
          <w:p w14:paraId="727BF50C" w14:textId="77777777" w:rsidR="0028759D" w:rsidRDefault="0028759D" w:rsidP="0005347A">
            <w:pPr>
              <w:pStyle w:val="TableTextBullet"/>
              <w:rPr>
                <w:rFonts w:cs="Arial"/>
                <w:szCs w:val="16"/>
              </w:rPr>
            </w:pPr>
            <w:r>
              <w:rPr>
                <w:rFonts w:cs="Arial"/>
                <w:szCs w:val="16"/>
              </w:rPr>
              <w:t>Maintain login message.</w:t>
            </w:r>
          </w:p>
        </w:tc>
        <w:tc>
          <w:tcPr>
            <w:tcW w:w="2322" w:type="dxa"/>
            <w:vAlign w:val="center"/>
          </w:tcPr>
          <w:p w14:paraId="1874CA7E" w14:textId="77777777" w:rsidR="0028759D" w:rsidRPr="005D0D6B" w:rsidRDefault="0028759D" w:rsidP="0005347A">
            <w:pPr>
              <w:pStyle w:val="TableText"/>
            </w:pPr>
            <w:r>
              <w:t>Experienced technologists trained to process associated overrides and options (e.g., evening- or night-shift supervisors).</w:t>
            </w:r>
          </w:p>
        </w:tc>
      </w:tr>
      <w:tr w:rsidR="0028759D" w:rsidRPr="005D0D6B" w14:paraId="23D2851D" w14:textId="77777777" w:rsidTr="00D93AB0">
        <w:trPr>
          <w:cantSplit/>
        </w:trPr>
        <w:tc>
          <w:tcPr>
            <w:tcW w:w="2607" w:type="dxa"/>
            <w:vAlign w:val="center"/>
          </w:tcPr>
          <w:p w14:paraId="4A7C0D29"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4: Traditional Supervisor</w:t>
            </w:r>
          </w:p>
        </w:tc>
        <w:tc>
          <w:tcPr>
            <w:tcW w:w="4431" w:type="dxa"/>
            <w:vAlign w:val="bottom"/>
          </w:tcPr>
          <w:p w14:paraId="1411BAE2" w14:textId="77777777" w:rsidR="0028759D" w:rsidRDefault="0028759D" w:rsidP="00421203">
            <w:pPr>
              <w:pStyle w:val="TableTextBullet"/>
            </w:pPr>
            <w:r>
              <w:t>Maintain reagent minimum levels.</w:t>
            </w:r>
          </w:p>
          <w:p w14:paraId="073B338A" w14:textId="77777777" w:rsidR="0028759D" w:rsidRDefault="0028759D" w:rsidP="00421203">
            <w:pPr>
              <w:pStyle w:val="TableTextBullet"/>
            </w:pPr>
            <w:r>
              <w:t>Edit permanent record of the patient’s historic ABO/Rh.</w:t>
            </w:r>
          </w:p>
          <w:p w14:paraId="0534FAE5" w14:textId="77777777" w:rsidR="0028759D" w:rsidRDefault="0028759D" w:rsidP="00421203">
            <w:pPr>
              <w:pStyle w:val="TableTextBullet"/>
            </w:pPr>
            <w:r>
              <w:t>Edit Transfusion Requirements (TRs) and Special Instructions (SIs).</w:t>
            </w:r>
          </w:p>
          <w:p w14:paraId="5C89DAC9" w14:textId="77777777" w:rsidR="0028759D" w:rsidRDefault="0028759D" w:rsidP="00421203">
            <w:pPr>
              <w:pStyle w:val="TableTextBullet"/>
            </w:pPr>
            <w:r>
              <w:t>Edit patient record red cell antibody permanent fields (match antigens in the antigen table).</w:t>
            </w:r>
          </w:p>
          <w:p w14:paraId="2F9B48AE" w14:textId="77777777" w:rsidR="0028759D" w:rsidRDefault="0028759D" w:rsidP="00421203">
            <w:pPr>
              <w:pStyle w:val="TableTextBullet"/>
              <w:rPr>
                <w:rFonts w:cs="Arial"/>
                <w:szCs w:val="16"/>
              </w:rPr>
            </w:pPr>
            <w:r>
              <w:rPr>
                <w:rFonts w:cs="Arial"/>
                <w:szCs w:val="16"/>
              </w:rPr>
              <w:t>Edit a blood unit’s record (</w:t>
            </w:r>
            <w:r>
              <w:t>verified unit data when unit has any previous patient associations</w:t>
            </w:r>
            <w:r>
              <w:rPr>
                <w:rFonts w:cs="Arial"/>
                <w:szCs w:val="16"/>
              </w:rPr>
              <w:t>).</w:t>
            </w:r>
          </w:p>
          <w:p w14:paraId="7340181F" w14:textId="77777777" w:rsidR="0028759D" w:rsidRDefault="0028759D" w:rsidP="00421203">
            <w:pPr>
              <w:pStyle w:val="TableTextBullet"/>
            </w:pPr>
            <w:r>
              <w:t>Edit a Patient’s Transfusion Record.</w:t>
            </w:r>
          </w:p>
          <w:p w14:paraId="2981AD4C" w14:textId="77777777" w:rsidR="0028759D" w:rsidRDefault="0028759D" w:rsidP="00421203">
            <w:pPr>
              <w:pStyle w:val="TableTextBullet"/>
            </w:pPr>
            <w:r>
              <w:t>Remove a Blood Unit’s Final Status.</w:t>
            </w:r>
          </w:p>
          <w:p w14:paraId="7CEA4017" w14:textId="060F97D1" w:rsidR="00421203" w:rsidRDefault="00421203" w:rsidP="00421203">
            <w:pPr>
              <w:pStyle w:val="TableTextBullet"/>
            </w:pPr>
            <w:r w:rsidRPr="00EC209A">
              <w:t>Edit a blood product’s maximum storage time.</w:t>
            </w:r>
          </w:p>
        </w:tc>
        <w:tc>
          <w:tcPr>
            <w:tcW w:w="2322" w:type="dxa"/>
            <w:vAlign w:val="center"/>
          </w:tcPr>
          <w:p w14:paraId="41A9A2AC" w14:textId="77777777" w:rsidR="0028759D" w:rsidRPr="005D0D6B" w:rsidRDefault="0028759D" w:rsidP="0005347A">
            <w:pPr>
              <w:pStyle w:val="TableText"/>
            </w:pPr>
            <w:r>
              <w:rPr>
                <w:szCs w:val="20"/>
              </w:rPr>
              <w:t>Experienced b</w:t>
            </w:r>
            <w:r>
              <w:t>lood bank supervisors trained to process associated overrides and options</w:t>
            </w:r>
          </w:p>
        </w:tc>
      </w:tr>
      <w:tr w:rsidR="0028759D" w14:paraId="6B451824" w14:textId="77777777" w:rsidTr="00D93AB0">
        <w:trPr>
          <w:cantSplit/>
        </w:trPr>
        <w:tc>
          <w:tcPr>
            <w:tcW w:w="2607" w:type="dxa"/>
            <w:vAlign w:val="center"/>
          </w:tcPr>
          <w:p w14:paraId="5E498133"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5: Enhanced Supervisor</w:t>
            </w:r>
          </w:p>
        </w:tc>
        <w:tc>
          <w:tcPr>
            <w:tcW w:w="4431" w:type="dxa"/>
            <w:vAlign w:val="bottom"/>
          </w:tcPr>
          <w:p w14:paraId="44EE6F4C" w14:textId="77777777" w:rsidR="0028759D" w:rsidRDefault="0028759D" w:rsidP="0005347A">
            <w:pPr>
              <w:pStyle w:val="TableTextBullet"/>
            </w:pPr>
            <w:r>
              <w:t>Edit antigen frequency table to reflect local population.</w:t>
            </w:r>
          </w:p>
          <w:p w14:paraId="04BAB699" w14:textId="77777777" w:rsidR="0028759D" w:rsidRDefault="0028759D" w:rsidP="0005347A">
            <w:pPr>
              <w:pStyle w:val="TableTextBullet"/>
              <w:rPr>
                <w:rFonts w:cs="Arial"/>
              </w:rPr>
            </w:pPr>
            <w:r>
              <w:t>Edit and create canned comments for the division.</w:t>
            </w:r>
          </w:p>
          <w:p w14:paraId="09FBCA60" w14:textId="77777777" w:rsidR="0028759D" w:rsidRDefault="0028759D" w:rsidP="0005347A">
            <w:pPr>
              <w:pStyle w:val="TableTextBullet"/>
              <w:rPr>
                <w:rFonts w:cs="Arial"/>
              </w:rPr>
            </w:pPr>
            <w:r>
              <w:t>Edit and create consultative reports, templates, MSBOS, reagents, and equipment maintenance logs for the division.</w:t>
            </w:r>
          </w:p>
        </w:tc>
        <w:tc>
          <w:tcPr>
            <w:tcW w:w="2322" w:type="dxa"/>
            <w:vAlign w:val="center"/>
          </w:tcPr>
          <w:p w14:paraId="1B8F8098" w14:textId="77777777" w:rsidR="0028759D" w:rsidRDefault="0028759D" w:rsidP="0005347A">
            <w:pPr>
              <w:pStyle w:val="TableText"/>
            </w:pPr>
            <w:r>
              <w:rPr>
                <w:szCs w:val="20"/>
              </w:rPr>
              <w:t>Experienced b</w:t>
            </w:r>
            <w:r>
              <w:t>lood bank supervisors or VBECS administrators trained to process associated overrides and options</w:t>
            </w:r>
          </w:p>
        </w:tc>
      </w:tr>
      <w:tr w:rsidR="0028759D" w14:paraId="55C9C872" w14:textId="77777777" w:rsidTr="00D93AB0">
        <w:trPr>
          <w:cantSplit/>
        </w:trPr>
        <w:tc>
          <w:tcPr>
            <w:tcW w:w="2607" w:type="dxa"/>
            <w:vAlign w:val="center"/>
          </w:tcPr>
          <w:p w14:paraId="54BBFD83" w14:textId="77777777" w:rsidR="0028759D" w:rsidRDefault="0028759D" w:rsidP="0005347A">
            <w:pPr>
              <w:pStyle w:val="TableText"/>
            </w:pPr>
            <w:r w:rsidRPr="00EC7489">
              <w:rPr>
                <w:rFonts w:ascii="Wingdings 3" w:hAnsi="Wingdings 3" w:cs="Wingdings"/>
              </w:rPr>
              <w:lastRenderedPageBreak/>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6: Administrator/Supervisor </w:t>
            </w:r>
          </w:p>
        </w:tc>
        <w:tc>
          <w:tcPr>
            <w:tcW w:w="4431" w:type="dxa"/>
            <w:vAlign w:val="bottom"/>
          </w:tcPr>
          <w:p w14:paraId="4AF95BBD" w14:textId="77777777" w:rsidR="0028759D" w:rsidRDefault="0028759D" w:rsidP="0005347A">
            <w:pPr>
              <w:pStyle w:val="TableTextBullet"/>
            </w:pPr>
            <w:r>
              <w:t xml:space="preserve">Define VBECS users’ security settings. </w:t>
            </w:r>
          </w:p>
          <w:p w14:paraId="5B4130A2" w14:textId="77777777" w:rsidR="0028759D" w:rsidRDefault="0028759D" w:rsidP="0005347A">
            <w:pPr>
              <w:pStyle w:val="TableTextBullet"/>
            </w:pPr>
            <w:r>
              <w:t>Define the division as full service or transfusion only.</w:t>
            </w:r>
          </w:p>
          <w:p w14:paraId="6EF3A1EC" w14:textId="77777777" w:rsidR="0028759D" w:rsidRDefault="0028759D" w:rsidP="0005347A">
            <w:pPr>
              <w:pStyle w:val="TableTextBullet"/>
            </w:pPr>
            <w:r>
              <w:t xml:space="preserve">Enable electronic crossmatch at the division. </w:t>
            </w:r>
          </w:p>
          <w:p w14:paraId="1397CA3B" w14:textId="77777777" w:rsidR="0028759D" w:rsidRDefault="0028759D" w:rsidP="0005347A">
            <w:pPr>
              <w:pStyle w:val="TableTextBullet"/>
            </w:pPr>
            <w:r>
              <w:t>Populate International Council for Commonality in Blood Banking Automation, Inc. (ICCBBA) number for the division.</w:t>
            </w:r>
          </w:p>
          <w:p w14:paraId="4135F7B3" w14:textId="77777777" w:rsidR="0028759D" w:rsidRDefault="0028759D" w:rsidP="0005347A">
            <w:pPr>
              <w:pStyle w:val="TableTextBullet"/>
            </w:pPr>
            <w:r>
              <w:t>Define valid unit modifications for the division.</w:t>
            </w:r>
          </w:p>
          <w:p w14:paraId="4E6C65B1" w14:textId="77777777" w:rsidR="0028759D" w:rsidRDefault="0028759D" w:rsidP="0005347A">
            <w:pPr>
              <w:pStyle w:val="TableTextBullet"/>
            </w:pPr>
            <w:r>
              <w:t>Assign workload codes for the division.</w:t>
            </w:r>
          </w:p>
          <w:p w14:paraId="2F862512" w14:textId="77777777" w:rsidR="0028759D" w:rsidRDefault="0028759D" w:rsidP="0005347A">
            <w:pPr>
              <w:pStyle w:val="TableTextBullet"/>
            </w:pPr>
            <w:r>
              <w:t>Configure testing.</w:t>
            </w:r>
          </w:p>
          <w:p w14:paraId="48490159" w14:textId="77777777" w:rsidR="0028759D" w:rsidRDefault="0028759D" w:rsidP="0005347A">
            <w:pPr>
              <w:pStyle w:val="TableTextBullet"/>
              <w:rPr>
                <w:rFonts w:cs="Arial"/>
                <w:color w:val="000000"/>
              </w:rPr>
            </w:pPr>
            <w:r>
              <w:t>Configure division.</w:t>
            </w:r>
          </w:p>
        </w:tc>
        <w:tc>
          <w:tcPr>
            <w:tcW w:w="2322" w:type="dxa"/>
            <w:vAlign w:val="center"/>
          </w:tcPr>
          <w:p w14:paraId="33C59D0F" w14:textId="77777777" w:rsidR="0028759D" w:rsidRDefault="0028759D" w:rsidP="0005347A">
            <w:pPr>
              <w:pStyle w:val="TableText"/>
            </w:pPr>
            <w:r>
              <w:t>VBECS administrators trained to process all overrides and options</w:t>
            </w:r>
            <w:r>
              <w:rPr>
                <w:szCs w:val="20"/>
              </w:rPr>
              <w:t xml:space="preserve"> not designed to change frequently</w:t>
            </w:r>
            <w:r>
              <w:t xml:space="preserve">. This role may be assigned temporarily to a blood bank supervisor at setup to configure the division. </w:t>
            </w:r>
          </w:p>
          <w:p w14:paraId="3F27073D" w14:textId="77777777" w:rsidR="0028759D" w:rsidRDefault="0028759D" w:rsidP="0005347A">
            <w:pPr>
              <w:pStyle w:val="TableText"/>
            </w:pPr>
          </w:p>
          <w:p w14:paraId="574D913D" w14:textId="77777777" w:rsidR="0028759D" w:rsidRDefault="0028759D" w:rsidP="0005347A">
            <w:pPr>
              <w:pStyle w:val="TableText"/>
            </w:pPr>
          </w:p>
        </w:tc>
      </w:tr>
    </w:tbl>
    <w:p w14:paraId="27E667F9" w14:textId="7CBB7784" w:rsidR="00770D97" w:rsidRPr="00C63FA9" w:rsidRDefault="002A21AE" w:rsidP="00D93AB0">
      <w:pPr>
        <w:pStyle w:val="BodyText"/>
        <w:keepNext/>
      </w:pPr>
      <w:r>
        <w:t>The VA Wide Area Network (WAN) is protected from unauthorized access.</w:t>
      </w:r>
      <w:r w:rsidR="00467CDF">
        <w:t xml:space="preserve"> </w:t>
      </w:r>
      <w:r>
        <w:t xml:space="preserve"> The hardware running the VBECS application and its database </w:t>
      </w:r>
      <w:r w:rsidR="004D0A70">
        <w:t>are</w:t>
      </w:r>
      <w:r>
        <w:t xml:space="preserve"> </w:t>
      </w:r>
      <w:r w:rsidR="004C5C76">
        <w:t xml:space="preserve">located in </w:t>
      </w:r>
      <w:r w:rsidR="00770D97">
        <w:t xml:space="preserve">one of three </w:t>
      </w:r>
      <w:r w:rsidR="004C5C76">
        <w:t xml:space="preserve">Microsoft Azure for Government (MAG) </w:t>
      </w:r>
      <w:r w:rsidR="00770D97" w:rsidRPr="00C63FA9">
        <w:t>r</w:t>
      </w:r>
      <w:r w:rsidR="004C5C76" w:rsidRPr="00C63FA9">
        <w:t>egion</w:t>
      </w:r>
      <w:r w:rsidR="00770D97" w:rsidRPr="00C63FA9">
        <w:t>al data centers:</w:t>
      </w:r>
    </w:p>
    <w:p w14:paraId="6A603AF1" w14:textId="77777777" w:rsidR="00770D97" w:rsidRPr="00C63FA9" w:rsidRDefault="00770D97" w:rsidP="00D93AB0">
      <w:pPr>
        <w:pStyle w:val="TableTextBullet"/>
        <w:keepNext/>
        <w:rPr>
          <w:rFonts w:ascii="Times New Roman" w:hAnsi="Times New Roman"/>
          <w:sz w:val="22"/>
          <w:szCs w:val="22"/>
        </w:rPr>
      </w:pPr>
      <w:r w:rsidRPr="00C63FA9">
        <w:rPr>
          <w:rFonts w:ascii="Times New Roman" w:hAnsi="Times New Roman"/>
          <w:sz w:val="22"/>
          <w:szCs w:val="22"/>
        </w:rPr>
        <w:t>EAST (Virginia)</w:t>
      </w:r>
    </w:p>
    <w:p w14:paraId="39BC0FB0" w14:textId="77777777" w:rsidR="00770D97" w:rsidRPr="00C63FA9" w:rsidRDefault="00770D97" w:rsidP="00D93AB0">
      <w:pPr>
        <w:pStyle w:val="TableTextBullet"/>
        <w:keepNext/>
        <w:rPr>
          <w:rFonts w:ascii="Times New Roman" w:hAnsi="Times New Roman"/>
          <w:sz w:val="22"/>
          <w:szCs w:val="22"/>
        </w:rPr>
      </w:pPr>
      <w:r w:rsidRPr="00C63FA9">
        <w:rPr>
          <w:rFonts w:ascii="Times New Roman" w:hAnsi="Times New Roman"/>
          <w:sz w:val="22"/>
          <w:szCs w:val="22"/>
        </w:rPr>
        <w:t>SOUTH (Texas)</w:t>
      </w:r>
    </w:p>
    <w:p w14:paraId="29763304" w14:textId="77777777" w:rsidR="00770D97" w:rsidRPr="00C63FA9" w:rsidRDefault="00770D97" w:rsidP="003E663B">
      <w:pPr>
        <w:pStyle w:val="TableTextBullet"/>
        <w:rPr>
          <w:rFonts w:ascii="Times New Roman" w:hAnsi="Times New Roman"/>
          <w:sz w:val="22"/>
          <w:szCs w:val="22"/>
        </w:rPr>
      </w:pPr>
      <w:r w:rsidRPr="00C63FA9">
        <w:rPr>
          <w:rFonts w:ascii="Times New Roman" w:hAnsi="Times New Roman"/>
          <w:sz w:val="22"/>
          <w:szCs w:val="22"/>
        </w:rPr>
        <w:t>SOUTHWEST (Arizona)</w:t>
      </w:r>
    </w:p>
    <w:p w14:paraId="3CAE0026" w14:textId="41206394" w:rsidR="004A2D6F" w:rsidRPr="00C63FA9" w:rsidRDefault="004C5C76" w:rsidP="004A2D6F">
      <w:pPr>
        <w:pStyle w:val="BodyText"/>
      </w:pPr>
      <w:r w:rsidRPr="00C63FA9">
        <w:t xml:space="preserve">All </w:t>
      </w:r>
      <w:r w:rsidR="00D52853" w:rsidRPr="00C63FA9">
        <w:t xml:space="preserve">sites are </w:t>
      </w:r>
      <w:r w:rsidR="002A21AE" w:rsidRPr="00C63FA9">
        <w:t xml:space="preserve">secure </w:t>
      </w:r>
      <w:r w:rsidR="00D52853" w:rsidRPr="00C63FA9">
        <w:t>data centers where they are protected against</w:t>
      </w:r>
      <w:r w:rsidR="002A21AE" w:rsidRPr="00C63FA9">
        <w:t xml:space="preserve"> unauthorized modifications and accidental damage.</w:t>
      </w:r>
    </w:p>
    <w:p w14:paraId="7A4889D8" w14:textId="77777777" w:rsidR="002A21AE" w:rsidRDefault="002A21AE" w:rsidP="0031313E">
      <w:pPr>
        <w:pStyle w:val="Heading2"/>
      </w:pPr>
      <w:bookmarkStart w:id="23" w:name="_Toc163644838"/>
      <w:r>
        <w:t>Application Architecture</w:t>
      </w:r>
      <w:bookmarkEnd w:id="23"/>
      <w:r>
        <w:fldChar w:fldCharType="begin"/>
      </w:r>
      <w:r>
        <w:instrText xml:space="preserve"> XE </w:instrText>
      </w:r>
      <w:r w:rsidR="00FA7E65">
        <w:instrText>“</w:instrText>
      </w:r>
      <w:r>
        <w:instrText>Application Architecture</w:instrText>
      </w:r>
      <w:r w:rsidR="00FA7E65">
        <w:instrText>”</w:instrText>
      </w:r>
      <w:r>
        <w:instrText xml:space="preserve"> </w:instrText>
      </w:r>
      <w:r>
        <w:fldChar w:fldCharType="end"/>
      </w:r>
    </w:p>
    <w:p w14:paraId="4BDD0DB7" w14:textId="77777777" w:rsidR="004F6DF9" w:rsidRDefault="004F6DF9" w:rsidP="004F6DF9">
      <w:pPr>
        <w:pStyle w:val="BodyText"/>
      </w:pPr>
      <w:r>
        <w:t>VBECS operates as a discrete application and interfaces with other VA systems using Health Level 7 (HL7) and VistALink.</w:t>
      </w:r>
    </w:p>
    <w:p w14:paraId="7A641532" w14:textId="23125CCD" w:rsidR="004F6DF9" w:rsidRDefault="004F6DF9" w:rsidP="004F6DF9">
      <w:pPr>
        <w:pStyle w:val="BodyText"/>
      </w:pPr>
      <w:r>
        <w:t>VBECS is a Windows-based application hosted on a server. Users access VBECS through a graphical user interface and other VA systems interface with VBECS through Health Level 7 (HL7) and VistALink.</w:t>
      </w:r>
    </w:p>
    <w:p w14:paraId="6C8E18B2" w14:textId="77777777" w:rsidR="004F6DF9" w:rsidRDefault="004F6DF9" w:rsidP="004F6DF9">
      <w:pPr>
        <w:pStyle w:val="BodyText"/>
      </w:pPr>
      <w:r>
        <w:t>The major goals of the application are:</w:t>
      </w:r>
    </w:p>
    <w:p w14:paraId="2256567B" w14:textId="77777777" w:rsidR="004F6DF9" w:rsidRDefault="004F6DF9" w:rsidP="004F6DF9">
      <w:pPr>
        <w:pStyle w:val="ListBullet"/>
      </w:pPr>
      <w:r>
        <w:t xml:space="preserve">Improve the safety of blood/blood component transfusions by decreasing the risk of errors through effective use of current technology such as barcode scanning, retrieval of previous records to be used for comparison, and detection of inconsistencies in data input </w:t>
      </w:r>
    </w:p>
    <w:p w14:paraId="65408339" w14:textId="77777777" w:rsidR="004F6DF9" w:rsidRDefault="004F6DF9" w:rsidP="004F6DF9">
      <w:pPr>
        <w:pStyle w:val="ListBullet"/>
      </w:pPr>
      <w:r>
        <w:t>Improve the quality of patient care through evaluation of transfusion appropriateness and follow-up on the effectiveness of transfusions</w:t>
      </w:r>
    </w:p>
    <w:p w14:paraId="76F71A0A" w14:textId="77777777" w:rsidR="004F6DF9" w:rsidRDefault="004F6DF9" w:rsidP="004F6DF9">
      <w:pPr>
        <w:pStyle w:val="ListBullet"/>
      </w:pPr>
      <w:r>
        <w:t>Provide comprehensive reporting capabilities for quality monitoring within the transfusion service and for clinicians</w:t>
      </w:r>
    </w:p>
    <w:p w14:paraId="00AEE6E6" w14:textId="77777777" w:rsidR="004F6DF9" w:rsidRDefault="004F6DF9" w:rsidP="004F6DF9">
      <w:pPr>
        <w:pStyle w:val="BodyText"/>
      </w:pPr>
      <w:r>
        <w:t xml:space="preserve">VBECS operates in accordance with FDA regulations regarding change to a medical device. Areas of operation that are part of the VistA Blood Bank v5.2 software medical device (except for the donor module) are contained in this encapsulated VBECS package. Patient orders originate and are received from the Computerized Patient Record System (CPRS) and Laboratory applications. </w:t>
      </w:r>
    </w:p>
    <w:p w14:paraId="24025757" w14:textId="76DBA937" w:rsidR="00190420" w:rsidRDefault="00D3324B" w:rsidP="002A249F">
      <w:pPr>
        <w:pStyle w:val="Heading3"/>
      </w:pPr>
      <w:bookmarkStart w:id="24" w:name="_Ref162946416"/>
      <w:bookmarkStart w:id="25" w:name="_Toc163644839"/>
      <w:r>
        <w:t>O</w:t>
      </w:r>
      <w:r w:rsidR="00190420">
        <w:t>ptions That Require VistALink</w:t>
      </w:r>
      <w:bookmarkEnd w:id="24"/>
      <w:bookmarkEnd w:id="25"/>
    </w:p>
    <w:p w14:paraId="08DD718F" w14:textId="77777777" w:rsidR="00D3324B" w:rsidRDefault="00D3324B" w:rsidP="00D3324B">
      <w:pPr>
        <w:pStyle w:val="BodyText"/>
      </w:pPr>
      <w:r>
        <w:t>These options require a connection through VistALink. When VistALink is not active and VBECS requires access to VistA</w:t>
      </w:r>
      <w:r w:rsidR="008452BB">
        <w:t xml:space="preserve"> data</w:t>
      </w:r>
      <w:r>
        <w:t xml:space="preserve">, VBECS </w:t>
      </w:r>
      <w:r w:rsidR="004E13DE">
        <w:t>prompts</w:t>
      </w:r>
      <w:r>
        <w:t xml:space="preserve"> the user to activate VistALink.</w:t>
      </w:r>
      <w:r w:rsidR="00423948">
        <w:t xml:space="preserve"> When VistALink is not available, VBECS </w:t>
      </w:r>
      <w:r w:rsidR="00714365">
        <w:t>warns the user and asks him to</w:t>
      </w:r>
      <w:r w:rsidR="00423948" w:rsidRPr="009F4E8F">
        <w:t xml:space="preserve"> try again later.</w:t>
      </w:r>
    </w:p>
    <w:p w14:paraId="325A4355" w14:textId="77777777" w:rsidR="00C46850" w:rsidRPr="00D93651" w:rsidRDefault="00057948" w:rsidP="00C46850">
      <w:pPr>
        <w:pStyle w:val="Caution"/>
      </w:pPr>
      <w:r>
        <w:rPr>
          <w:noProof/>
        </w:rPr>
        <w:drawing>
          <wp:inline distT="0" distB="0" distL="0" distR="0" wp14:anchorId="048E138E" wp14:editId="4A8CB463">
            <wp:extent cx="267970" cy="221615"/>
            <wp:effectExtent l="0" t="0" r="0" b="6985"/>
            <wp:docPr id="14" name="Picture 1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bookmarkStart w:id="26" w:name="OLE_LINK57"/>
      <w:bookmarkStart w:id="27" w:name="OLE_LINK58"/>
      <w:r w:rsidR="00C46850">
        <w:t xml:space="preserve">Contact your local support </w:t>
      </w:r>
      <w:r w:rsidR="00E055FF">
        <w:t>staff immediately when VistALink is not available. VBECS, VistA and CPRS all depend on VistALink to exchange information</w:t>
      </w:r>
      <w:r w:rsidR="00C46850" w:rsidRPr="00D93651">
        <w:t>.</w:t>
      </w:r>
      <w:bookmarkEnd w:id="26"/>
      <w:bookmarkEnd w:id="27"/>
    </w:p>
    <w:p w14:paraId="4BD5D930" w14:textId="77777777" w:rsidR="00956F9E" w:rsidRPr="00D612CA" w:rsidRDefault="00956F9E" w:rsidP="00956F9E">
      <w:pPr>
        <w:pStyle w:val="ListBullet"/>
        <w:numPr>
          <w:ilvl w:val="0"/>
          <w:numId w:val="0"/>
        </w:numPr>
        <w:ind w:left="288" w:hanging="288"/>
      </w:pPr>
      <w:r w:rsidRPr="00956F9E">
        <w:rPr>
          <w:vanish/>
        </w:rPr>
        <w:lastRenderedPageBreak/>
        <w:t>UC</w:t>
      </w:r>
      <w:bookmarkStart w:id="28" w:name="_Ref126467435"/>
      <w:bookmarkStart w:id="29" w:name="_Toc97523611"/>
      <w:bookmarkStart w:id="30" w:name="_Toc97527581"/>
      <w:bookmarkStart w:id="31" w:name="_Ref126467267"/>
      <w:bookmarkStart w:id="32" w:name="_Ref126722632"/>
      <w:r w:rsidRPr="00956F9E">
        <w:t xml:space="preserve"> </w:t>
      </w:r>
      <w:r>
        <w:t xml:space="preserve">Main </w:t>
      </w:r>
      <w:r w:rsidRPr="00D612CA">
        <w:t>Menu: Orders</w:t>
      </w:r>
    </w:p>
    <w:p w14:paraId="65F9E0F3" w14:textId="77777777" w:rsidR="00956F9E" w:rsidRDefault="00956F9E" w:rsidP="00956F9E">
      <w:pPr>
        <w:pStyle w:val="ListBullet"/>
        <w:tabs>
          <w:tab w:val="num" w:pos="720"/>
        </w:tabs>
        <w:spacing w:after="120"/>
        <w:ind w:left="720"/>
      </w:pPr>
      <w:r>
        <w:t>Accept Orders: Pending Order List</w:t>
      </w:r>
      <w:r w:rsidRPr="00953FEE">
        <w:t xml:space="preserve"> </w:t>
      </w:r>
      <w:r w:rsidRPr="00722837">
        <w:rPr>
          <w:vanish/>
        </w:rPr>
        <w:t>UC_88</w:t>
      </w:r>
    </w:p>
    <w:p w14:paraId="3E37B44D" w14:textId="77777777" w:rsidR="00956F9E" w:rsidRDefault="00956F9E" w:rsidP="00956F9E">
      <w:pPr>
        <w:pStyle w:val="ListBullet"/>
        <w:numPr>
          <w:ilvl w:val="0"/>
          <w:numId w:val="0"/>
        </w:numPr>
      </w:pPr>
      <w:r>
        <w:t xml:space="preserve">Main </w:t>
      </w:r>
      <w:r w:rsidRPr="00D612CA">
        <w:t xml:space="preserve">Menu: </w:t>
      </w:r>
      <w:r>
        <w:t>Blood Units</w:t>
      </w:r>
    </w:p>
    <w:p w14:paraId="7A0CC8A2" w14:textId="77777777" w:rsidR="00956F9E" w:rsidRDefault="00956F9E" w:rsidP="00956F9E">
      <w:pPr>
        <w:pStyle w:val="ListBullet"/>
        <w:tabs>
          <w:tab w:val="num" w:pos="720"/>
        </w:tabs>
        <w:ind w:left="720"/>
      </w:pPr>
      <w:r>
        <w:t>Edit Unit Information (used when editing patient restrictions)</w:t>
      </w:r>
    </w:p>
    <w:p w14:paraId="5779E6D0" w14:textId="77777777" w:rsidR="00956F9E" w:rsidRPr="00953FEE" w:rsidRDefault="00956F9E" w:rsidP="00956F9E">
      <w:pPr>
        <w:pStyle w:val="ListBullet"/>
        <w:tabs>
          <w:tab w:val="num" w:pos="720"/>
        </w:tabs>
        <w:spacing w:after="120"/>
        <w:ind w:left="720"/>
      </w:pPr>
      <w:r w:rsidRPr="00953FEE">
        <w:t xml:space="preserve">Return Issued Units To Blood Bank </w:t>
      </w:r>
      <w:r w:rsidRPr="00953FEE">
        <w:rPr>
          <w:vanish/>
        </w:rPr>
        <w:t>UC_59</w:t>
      </w:r>
    </w:p>
    <w:p w14:paraId="7A988C0E" w14:textId="77777777" w:rsidR="00956F9E" w:rsidRPr="00D612CA" w:rsidRDefault="00956F9E" w:rsidP="00956F9E">
      <w:pPr>
        <w:pStyle w:val="ListBullet"/>
        <w:numPr>
          <w:ilvl w:val="0"/>
          <w:numId w:val="0"/>
        </w:numPr>
      </w:pPr>
      <w:r>
        <w:t xml:space="preserve">Main </w:t>
      </w:r>
      <w:r w:rsidRPr="00D612CA">
        <w:t>Menu: Patients</w:t>
      </w:r>
    </w:p>
    <w:p w14:paraId="4941F4C3" w14:textId="77777777" w:rsidR="00956F9E" w:rsidRPr="00D612CA" w:rsidRDefault="00956F9E" w:rsidP="00956F9E">
      <w:pPr>
        <w:pStyle w:val="ListBullet"/>
        <w:tabs>
          <w:tab w:val="num" w:pos="720"/>
        </w:tabs>
        <w:ind w:left="720"/>
      </w:pPr>
      <w:r w:rsidRPr="00D612CA">
        <w:t xml:space="preserve">Post-Transfusion Information </w:t>
      </w:r>
      <w:r w:rsidRPr="00D612CA">
        <w:rPr>
          <w:vanish/>
        </w:rPr>
        <w:t>UC_70</w:t>
      </w:r>
      <w:r w:rsidRPr="00D612CA">
        <w:t xml:space="preserve"> </w:t>
      </w:r>
      <w:r w:rsidRPr="00D612CA">
        <w:rPr>
          <w:vanish/>
        </w:rPr>
        <w:t>DR 4354</w:t>
      </w:r>
    </w:p>
    <w:p w14:paraId="0257CA77" w14:textId="77777777" w:rsidR="00956F9E" w:rsidRPr="00953FEE" w:rsidRDefault="00956F9E" w:rsidP="00956F9E">
      <w:pPr>
        <w:pStyle w:val="ListBullet"/>
        <w:tabs>
          <w:tab w:val="num" w:pos="720"/>
        </w:tabs>
        <w:ind w:left="720"/>
      </w:pPr>
      <w:r w:rsidRPr="00D612CA">
        <w:t>Return</w:t>
      </w:r>
      <w:r w:rsidRPr="00953FEE">
        <w:t xml:space="preserve"> Issued Units To Blood Bank </w:t>
      </w:r>
      <w:r w:rsidRPr="00953FEE">
        <w:rPr>
          <w:vanish/>
        </w:rPr>
        <w:t>UC_59</w:t>
      </w:r>
    </w:p>
    <w:p w14:paraId="7CFEE0BD" w14:textId="77777777" w:rsidR="00956F9E" w:rsidRPr="00D612CA" w:rsidRDefault="00956F9E" w:rsidP="00956F9E">
      <w:pPr>
        <w:pStyle w:val="ListBullet"/>
        <w:tabs>
          <w:tab w:val="num" w:pos="720"/>
        </w:tabs>
        <w:spacing w:after="120"/>
        <w:ind w:left="720"/>
      </w:pPr>
      <w:r w:rsidRPr="00D612CA">
        <w:t>Issue Blood Components</w:t>
      </w:r>
      <w:r w:rsidR="009C7B46">
        <w:t xml:space="preserve"> (to include a hospital location)</w:t>
      </w:r>
      <w:r w:rsidRPr="00D612CA">
        <w:t xml:space="preserve"> </w:t>
      </w:r>
      <w:r w:rsidRPr="00D612CA">
        <w:rPr>
          <w:vanish/>
        </w:rPr>
        <w:t>UC_73</w:t>
      </w:r>
      <w:r w:rsidR="009C7B46">
        <w:rPr>
          <w:vanish/>
        </w:rPr>
        <w:t xml:space="preserve"> </w:t>
      </w:r>
      <w:r w:rsidR="009C7B46" w:rsidRPr="009C7B46">
        <w:rPr>
          <w:vanish/>
        </w:rPr>
        <w:t xml:space="preserve">DR 5073 </w:t>
      </w:r>
    </w:p>
    <w:p w14:paraId="5900A4A1" w14:textId="77777777" w:rsidR="00956F9E" w:rsidRPr="00D612CA" w:rsidRDefault="00956F9E" w:rsidP="00956F9E">
      <w:pPr>
        <w:pStyle w:val="ListBullet"/>
        <w:numPr>
          <w:ilvl w:val="0"/>
          <w:numId w:val="0"/>
        </w:numPr>
        <w:ind w:left="288" w:hanging="288"/>
      </w:pPr>
      <w:r>
        <w:t xml:space="preserve">Main </w:t>
      </w:r>
      <w:r w:rsidRPr="00D612CA">
        <w:t>Menu: Shipments</w:t>
      </w:r>
    </w:p>
    <w:p w14:paraId="08B88989" w14:textId="77777777" w:rsidR="00956F9E" w:rsidRPr="00D612CA" w:rsidRDefault="00956F9E" w:rsidP="00956F9E">
      <w:pPr>
        <w:pStyle w:val="ListBullet"/>
        <w:tabs>
          <w:tab w:val="num" w:pos="720"/>
        </w:tabs>
        <w:spacing w:after="120"/>
        <w:ind w:left="720"/>
      </w:pPr>
      <w:r w:rsidRPr="00D612CA">
        <w:t xml:space="preserve">Incoming Shipment (used when restricting units to patients) </w:t>
      </w:r>
      <w:r w:rsidRPr="00D612CA">
        <w:rPr>
          <w:vanish/>
        </w:rPr>
        <w:t>UC_01</w:t>
      </w:r>
    </w:p>
    <w:p w14:paraId="2A810677" w14:textId="77777777" w:rsidR="00956F9E" w:rsidRPr="00D612CA" w:rsidRDefault="00956F9E" w:rsidP="00956F9E">
      <w:pPr>
        <w:pStyle w:val="ListBullet"/>
        <w:numPr>
          <w:ilvl w:val="0"/>
          <w:numId w:val="0"/>
        </w:numPr>
        <w:ind w:left="288" w:hanging="288"/>
      </w:pPr>
      <w:r>
        <w:t xml:space="preserve">Main </w:t>
      </w:r>
      <w:r w:rsidRPr="00D612CA">
        <w:t>Menu: Tools</w:t>
      </w:r>
    </w:p>
    <w:p w14:paraId="32E1D7D3" w14:textId="05AD2988" w:rsidR="00956F9E" w:rsidRPr="00D612CA" w:rsidRDefault="00956F9E" w:rsidP="00956F9E">
      <w:pPr>
        <w:pStyle w:val="ListBullet"/>
        <w:tabs>
          <w:tab w:val="num" w:pos="720"/>
        </w:tabs>
        <w:ind w:left="720"/>
      </w:pPr>
      <w:r w:rsidRPr="00D612CA">
        <w:t xml:space="preserve">Blood Products </w:t>
      </w:r>
      <w:r w:rsidRPr="00D612CA">
        <w:rPr>
          <w:vanish/>
        </w:rPr>
        <w:t>UC_08</w:t>
      </w:r>
    </w:p>
    <w:p w14:paraId="1D219644" w14:textId="5F1EE799" w:rsidR="00956F9E" w:rsidRPr="00D612CA" w:rsidRDefault="00956F9E" w:rsidP="00956F9E">
      <w:pPr>
        <w:pStyle w:val="ListBullet"/>
        <w:tabs>
          <w:tab w:val="num" w:pos="720"/>
        </w:tabs>
        <w:ind w:left="720"/>
      </w:pPr>
      <w:r w:rsidRPr="00D612CA">
        <w:t xml:space="preserve">Component Classes </w:t>
      </w:r>
      <w:r w:rsidRPr="00D612CA">
        <w:rPr>
          <w:vanish/>
        </w:rPr>
        <w:t>UC_5</w:t>
      </w:r>
      <w:r w:rsidR="00C15955">
        <w:rPr>
          <w:vanish/>
        </w:rPr>
        <w:t>0</w:t>
      </w:r>
    </w:p>
    <w:p w14:paraId="2C8E75A9" w14:textId="3FA7C454" w:rsidR="00956F9E" w:rsidRPr="00D612CA" w:rsidRDefault="00956F9E" w:rsidP="00956F9E">
      <w:pPr>
        <w:pStyle w:val="ListBullet"/>
        <w:tabs>
          <w:tab w:val="num" w:pos="720"/>
        </w:tabs>
        <w:ind w:left="720"/>
      </w:pPr>
      <w:r w:rsidRPr="00D612CA">
        <w:t xml:space="preserve">Transfusion Complications </w:t>
      </w:r>
      <w:r w:rsidRPr="00D612CA">
        <w:rPr>
          <w:vanish/>
        </w:rPr>
        <w:t>UC_3</w:t>
      </w:r>
      <w:r w:rsidR="00C15955">
        <w:rPr>
          <w:vanish/>
        </w:rPr>
        <w:t>4</w:t>
      </w:r>
    </w:p>
    <w:p w14:paraId="7044AEC1" w14:textId="2223AC00" w:rsidR="00956F9E" w:rsidRPr="00D612CA" w:rsidRDefault="00956F9E" w:rsidP="00956F9E">
      <w:pPr>
        <w:pStyle w:val="ListBullet"/>
        <w:tabs>
          <w:tab w:val="num" w:pos="720"/>
        </w:tabs>
        <w:ind w:left="720"/>
      </w:pPr>
      <w:r w:rsidRPr="00D612CA">
        <w:t xml:space="preserve">Transfusion Effectiveness </w:t>
      </w:r>
      <w:r w:rsidRPr="00D612CA">
        <w:rPr>
          <w:vanish/>
        </w:rPr>
        <w:t>UC_3</w:t>
      </w:r>
      <w:r w:rsidR="00C15955">
        <w:rPr>
          <w:vanish/>
        </w:rPr>
        <w:t>3</w:t>
      </w:r>
    </w:p>
    <w:p w14:paraId="15F12491" w14:textId="4D8A3B8A" w:rsidR="00956F9E" w:rsidRPr="00D612CA" w:rsidRDefault="00956F9E" w:rsidP="00956F9E">
      <w:pPr>
        <w:pStyle w:val="ListBullet"/>
        <w:tabs>
          <w:tab w:val="num" w:pos="720"/>
        </w:tabs>
        <w:spacing w:after="120"/>
        <w:ind w:left="720"/>
      </w:pPr>
      <w:r w:rsidRPr="00D612CA">
        <w:t xml:space="preserve"> Workload Codes </w:t>
      </w:r>
      <w:r w:rsidRPr="00D612CA">
        <w:rPr>
          <w:vanish/>
        </w:rPr>
        <w:t>UC_2</w:t>
      </w:r>
      <w:r w:rsidR="00C15955">
        <w:rPr>
          <w:vanish/>
        </w:rPr>
        <w:t>9</w:t>
      </w:r>
    </w:p>
    <w:p w14:paraId="5F148B4B" w14:textId="77777777" w:rsidR="00956F9E" w:rsidRPr="00D612CA" w:rsidRDefault="00956F9E" w:rsidP="0077424C">
      <w:pPr>
        <w:pStyle w:val="ListBullet"/>
        <w:keepNext/>
        <w:numPr>
          <w:ilvl w:val="0"/>
          <w:numId w:val="0"/>
        </w:numPr>
        <w:ind w:left="288" w:hanging="288"/>
      </w:pPr>
      <w:r>
        <w:t xml:space="preserve">Main </w:t>
      </w:r>
      <w:r w:rsidRPr="00D612CA">
        <w:t>Menu: Supervisor</w:t>
      </w:r>
    </w:p>
    <w:p w14:paraId="32309410" w14:textId="77777777" w:rsidR="00956F9E" w:rsidRDefault="00956F9E" w:rsidP="00956F9E">
      <w:pPr>
        <w:pStyle w:val="ListBullet"/>
        <w:tabs>
          <w:tab w:val="num" w:pos="720"/>
        </w:tabs>
        <w:spacing w:after="120"/>
        <w:ind w:left="720"/>
        <w:rPr>
          <w:lang w:val="fr-FR"/>
        </w:rPr>
      </w:pPr>
      <w:r w:rsidRPr="00D612CA">
        <w:rPr>
          <w:snapToGrid w:val="0"/>
          <w:lang w:val="fr-FR"/>
        </w:rPr>
        <w:t>Document ABO</w:t>
      </w:r>
      <w:r w:rsidRPr="006E05B3">
        <w:rPr>
          <w:snapToGrid w:val="0"/>
          <w:lang w:val="fr-FR"/>
        </w:rPr>
        <w:t xml:space="preserve"> Incompatible </w:t>
      </w:r>
      <w:r w:rsidRPr="00F3392A">
        <w:rPr>
          <w:snapToGrid w:val="0"/>
          <w:lang w:val="fr-FR"/>
        </w:rPr>
        <w:t>Transfusion</w:t>
      </w:r>
      <w:r w:rsidRPr="00F3392A">
        <w:rPr>
          <w:lang w:val="fr-FR"/>
        </w:rPr>
        <w:t xml:space="preserve"> </w:t>
      </w:r>
      <w:r w:rsidRPr="00F3392A">
        <w:rPr>
          <w:vanish/>
          <w:lang w:val="fr-FR"/>
        </w:rPr>
        <w:t>U</w:t>
      </w:r>
      <w:r w:rsidR="00F3392A" w:rsidRPr="00F3392A">
        <w:rPr>
          <w:vanish/>
          <w:lang w:val="fr-FR"/>
        </w:rPr>
        <w:t>C</w:t>
      </w:r>
      <w:r w:rsidR="00F3392A">
        <w:rPr>
          <w:vanish/>
          <w:lang w:val="fr-FR"/>
        </w:rPr>
        <w:t>_69</w:t>
      </w:r>
    </w:p>
    <w:p w14:paraId="0CACFF29" w14:textId="77777777" w:rsidR="00956F9E" w:rsidRPr="00A8078B" w:rsidRDefault="00956F9E" w:rsidP="00956F9E">
      <w:pPr>
        <w:pStyle w:val="ListBullet"/>
        <w:numPr>
          <w:ilvl w:val="0"/>
          <w:numId w:val="0"/>
        </w:numPr>
      </w:pPr>
      <w:r w:rsidRPr="00A8078B">
        <w:t>Main Menu: Reports</w:t>
      </w:r>
    </w:p>
    <w:p w14:paraId="63C57719" w14:textId="77777777" w:rsidR="00956F9E" w:rsidRPr="00A8078B" w:rsidRDefault="00956F9E" w:rsidP="00956F9E">
      <w:pPr>
        <w:pStyle w:val="ListBullet"/>
        <w:tabs>
          <w:tab w:val="num" w:pos="720"/>
        </w:tabs>
        <w:ind w:left="720"/>
      </w:pPr>
      <w:r w:rsidRPr="00A8078B">
        <w:t xml:space="preserve">Transfusion Complications Report </w:t>
      </w:r>
      <w:r w:rsidRPr="00A8078B">
        <w:rPr>
          <w:vanish/>
        </w:rPr>
        <w:t>UC_90</w:t>
      </w:r>
    </w:p>
    <w:p w14:paraId="2976E48F" w14:textId="77777777" w:rsidR="00956F9E" w:rsidRPr="00A8078B" w:rsidRDefault="00956F9E" w:rsidP="00956F9E">
      <w:pPr>
        <w:pStyle w:val="ListBullet"/>
        <w:tabs>
          <w:tab w:val="num" w:pos="720"/>
        </w:tabs>
        <w:ind w:left="720"/>
      </w:pPr>
      <w:r w:rsidRPr="00A8078B">
        <w:t xml:space="preserve">Transfusion Effectiveness Report </w:t>
      </w:r>
      <w:r w:rsidRPr="00A8078B">
        <w:rPr>
          <w:vanish/>
        </w:rPr>
        <w:t>UC_91</w:t>
      </w:r>
    </w:p>
    <w:p w14:paraId="512AF9B2" w14:textId="77777777" w:rsidR="00956F9E" w:rsidRPr="00A8078B" w:rsidRDefault="00956F9E" w:rsidP="00956F9E">
      <w:pPr>
        <w:pStyle w:val="ListBullet"/>
        <w:tabs>
          <w:tab w:val="num" w:pos="720"/>
        </w:tabs>
        <w:ind w:left="720"/>
      </w:pPr>
      <w:r w:rsidRPr="00A8078B">
        <w:t xml:space="preserve">Transfusion Requirements Report </w:t>
      </w:r>
      <w:r w:rsidRPr="00A8078B">
        <w:rPr>
          <w:vanish/>
        </w:rPr>
        <w:t>UC_89</w:t>
      </w:r>
      <w:r w:rsidRPr="00A8078B">
        <w:t xml:space="preserve"> </w:t>
      </w:r>
    </w:p>
    <w:p w14:paraId="78BA00E5" w14:textId="77777777" w:rsidR="00956F9E" w:rsidRPr="00A8078B" w:rsidRDefault="00956F9E" w:rsidP="00956F9E">
      <w:pPr>
        <w:pStyle w:val="ListBullet"/>
        <w:tabs>
          <w:tab w:val="num" w:pos="720"/>
        </w:tabs>
        <w:spacing w:after="120"/>
        <w:ind w:left="720"/>
      </w:pPr>
      <w:r w:rsidRPr="00A8078B">
        <w:t xml:space="preserve">Medication Profile </w:t>
      </w:r>
      <w:r w:rsidRPr="00A8078B">
        <w:rPr>
          <w:vanish/>
        </w:rPr>
        <w:t>UC_46</w:t>
      </w:r>
      <w:r w:rsidRPr="00A8078B">
        <w:t>(Reports or from the Patient Tool Bar icon)</w:t>
      </w:r>
    </w:p>
    <w:p w14:paraId="12C14C3A" w14:textId="77777777" w:rsidR="00956F9E" w:rsidRPr="00A8078B" w:rsidRDefault="00956F9E" w:rsidP="00956F9E">
      <w:pPr>
        <w:pStyle w:val="ListBullet"/>
        <w:numPr>
          <w:ilvl w:val="0"/>
          <w:numId w:val="0"/>
        </w:numPr>
      </w:pPr>
      <w:r w:rsidRPr="00A8078B">
        <w:t>Main menu window, icon in the bottom of the window:</w:t>
      </w:r>
    </w:p>
    <w:p w14:paraId="22E5BCA1" w14:textId="6924E975" w:rsidR="00EB34E1" w:rsidRDefault="00956F9E" w:rsidP="00384BF1">
      <w:pPr>
        <w:pStyle w:val="ListBullet"/>
        <w:tabs>
          <w:tab w:val="num" w:pos="720"/>
        </w:tabs>
        <w:ind w:left="720"/>
      </w:pPr>
      <w:r w:rsidRPr="00A8078B">
        <w:t>Display Order Alerts</w:t>
      </w:r>
      <w:r w:rsidR="00C15955" w:rsidRPr="00A8078B">
        <w:t xml:space="preserve"> </w:t>
      </w:r>
      <w:r w:rsidR="00C15955" w:rsidRPr="00A8078B">
        <w:rPr>
          <w:vanish/>
        </w:rPr>
        <w:t>UC_84</w:t>
      </w:r>
      <w:bookmarkStart w:id="33" w:name="_Toc81909529"/>
      <w:bookmarkEnd w:id="28"/>
      <w:bookmarkEnd w:id="29"/>
      <w:bookmarkEnd w:id="30"/>
      <w:bookmarkEnd w:id="31"/>
      <w:bookmarkEnd w:id="32"/>
    </w:p>
    <w:p w14:paraId="130C8867" w14:textId="250A9AEA" w:rsidR="00DD077F" w:rsidRPr="00AA44E5" w:rsidRDefault="00DD077F" w:rsidP="00384BF1">
      <w:pPr>
        <w:pStyle w:val="Heading2"/>
      </w:pPr>
      <w:bookmarkStart w:id="34" w:name="_Toc163644840"/>
      <w:r w:rsidRPr="00384BF1">
        <w:t xml:space="preserve">Getting Help </w:t>
      </w:r>
      <w:r w:rsidR="006A1388" w:rsidRPr="00384BF1">
        <w:t>f</w:t>
      </w:r>
      <w:r w:rsidRPr="00384BF1">
        <w:t>rom Customer Support</w:t>
      </w:r>
      <w:bookmarkEnd w:id="33"/>
      <w:bookmarkEnd w:id="34"/>
    </w:p>
    <w:p w14:paraId="494C7B89" w14:textId="77777777" w:rsidR="00B5499A" w:rsidRPr="00BD5547" w:rsidRDefault="00B5499A" w:rsidP="00B5499A">
      <w:pPr>
        <w:keepNext/>
        <w:spacing w:before="240" w:after="60"/>
        <w:rPr>
          <w:sz w:val="22"/>
          <w:szCs w:val="22"/>
        </w:rPr>
      </w:pPr>
      <w:r w:rsidRPr="00BD5547">
        <w:rPr>
          <w:sz w:val="22"/>
          <w:szCs w:val="22"/>
        </w:rPr>
        <w:t xml:space="preserve">Contact your </w:t>
      </w:r>
      <w:r w:rsidRPr="00BD5547">
        <w:rPr>
          <w:b/>
          <w:sz w:val="22"/>
          <w:szCs w:val="22"/>
        </w:rPr>
        <w:t>Local/Regional</w:t>
      </w:r>
      <w:r w:rsidRPr="00BD5547">
        <w:rPr>
          <w:sz w:val="22"/>
          <w:szCs w:val="22"/>
        </w:rPr>
        <w:t xml:space="preserve"> Office of Information Technology (OIT) or Laboratory Information Manager (LIM) if you encounter VistA or CPRS connection problems and for training support </w:t>
      </w:r>
      <w:r w:rsidRPr="00BD5547">
        <w:rPr>
          <w:b/>
          <w:bCs/>
          <w:sz w:val="22"/>
          <w:szCs w:val="22"/>
          <w:u w:val="single"/>
        </w:rPr>
        <w:t xml:space="preserve">before </w:t>
      </w:r>
      <w:r w:rsidRPr="00BD5547">
        <w:rPr>
          <w:sz w:val="22"/>
          <w:szCs w:val="22"/>
        </w:rPr>
        <w:t>contacting the Service Desk (SD).</w:t>
      </w:r>
    </w:p>
    <w:p w14:paraId="162C158F" w14:textId="77777777" w:rsidR="00B5499A" w:rsidRPr="00BD5547" w:rsidRDefault="00B5499A" w:rsidP="00B5499A">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BD5547">
        <w:rPr>
          <w:b/>
          <w:noProof/>
          <w:sz w:val="22"/>
          <w:szCs w:val="22"/>
        </w:rPr>
        <w:drawing>
          <wp:inline distT="0" distB="0" distL="0" distR="0" wp14:anchorId="5004F1AC" wp14:editId="0FCEA5B9">
            <wp:extent cx="266700" cy="219075"/>
            <wp:effectExtent l="0" t="0" r="0" b="9525"/>
            <wp:docPr id="1152" name="Picture 115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Caution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BD5547">
        <w:rPr>
          <w:b/>
          <w:bCs/>
          <w:sz w:val="22"/>
          <w:szCs w:val="22"/>
        </w:rPr>
        <w:t xml:space="preserve">Please ensure local/regional VistA Support contact information is available at all times. </w:t>
      </w:r>
    </w:p>
    <w:p w14:paraId="3443B9CF" w14:textId="77777777" w:rsidR="00B5499A" w:rsidRPr="00BD5547" w:rsidRDefault="00B5499A" w:rsidP="00B5499A">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BD5547">
        <w:rPr>
          <w:b/>
          <w:bCs/>
          <w:sz w:val="22"/>
          <w:szCs w:val="22"/>
        </w:rPr>
        <w:t>If you experience an FDA reportable adverse event (patient death or serious injury) that VBECS may have caused or contributed to, contact the Service Desk directly to enter a ticket for Blood Bank software support.</w:t>
      </w:r>
      <w:r w:rsidRPr="00BD5547">
        <w:rPr>
          <w:b/>
          <w:bCs/>
          <w:vanish/>
          <w:sz w:val="22"/>
          <w:szCs w:val="22"/>
        </w:rPr>
        <w:t xml:space="preserve"> </w:t>
      </w:r>
    </w:p>
    <w:p w14:paraId="253C1025" w14:textId="77777777" w:rsidR="00B5499A" w:rsidRPr="00F04B98" w:rsidRDefault="00B5499A" w:rsidP="00B5499A">
      <w:pPr>
        <w:pStyle w:val="BodyText"/>
      </w:pPr>
      <w:r w:rsidRPr="00D13252">
        <w:rPr>
          <w:u w:val="single"/>
        </w:rPr>
        <w:t>If the problem remains unresolved after local VistA triage</w:t>
      </w:r>
      <w:r w:rsidRPr="00D13252">
        <w:t xml:space="preserve">, call the Service Desk (below) and specify the </w:t>
      </w:r>
      <w:r w:rsidRPr="00C46DE2">
        <w:t>Affected Service</w:t>
      </w:r>
      <w:r w:rsidRPr="00F04B98">
        <w:t xml:space="preserve"> be set as VBECS (VistA - Blood Establishment Computer Software)</w:t>
      </w:r>
    </w:p>
    <w:p w14:paraId="527CFD5B" w14:textId="77777777" w:rsidR="006474A9" w:rsidRPr="00101850" w:rsidRDefault="006474A9" w:rsidP="006474A9">
      <w:pPr>
        <w:pStyle w:val="BodyText"/>
        <w:rPr>
          <w:b/>
          <w:noProof/>
        </w:rPr>
      </w:pPr>
      <w:r w:rsidRPr="00101850">
        <w:rPr>
          <w:b/>
          <w:noProof/>
        </w:rPr>
        <w:t>Service Desk</w:t>
      </w:r>
      <w:r w:rsidRPr="00101850">
        <w:rPr>
          <w:b/>
        </w:rPr>
        <w:fldChar w:fldCharType="begin"/>
      </w:r>
      <w:r w:rsidRPr="00101850">
        <w:rPr>
          <w:b/>
          <w:noProof/>
        </w:rPr>
        <w:instrText xml:space="preserve"> XE "Service Desk" </w:instrText>
      </w:r>
      <w:r w:rsidRPr="00101850">
        <w:rPr>
          <w:b/>
        </w:rPr>
        <w:fldChar w:fldCharType="end"/>
      </w:r>
      <w:r w:rsidRPr="00101850">
        <w:rPr>
          <w:b/>
          <w:noProof/>
        </w:rPr>
        <w:t xml:space="preserve"> Contact</w:t>
      </w:r>
    </w:p>
    <w:p w14:paraId="201063CE" w14:textId="787BAEBA" w:rsidR="006474A9" w:rsidRPr="00101850" w:rsidRDefault="006474A9" w:rsidP="006474A9">
      <w:r>
        <w:t>Call</w:t>
      </w:r>
      <w:r w:rsidRPr="00101850">
        <w:t xml:space="preserve"> the Service Desk </w:t>
      </w:r>
      <w:r w:rsidR="00711206" w:rsidRPr="00711206">
        <w:rPr>
          <w:highlight w:val="yellow"/>
        </w:rPr>
        <w:t>REDACTED</w:t>
      </w:r>
    </w:p>
    <w:p w14:paraId="2FD18C3C" w14:textId="0B46ABC3" w:rsidR="006474A9" w:rsidRPr="003603A3" w:rsidRDefault="006474A9" w:rsidP="006474A9">
      <w:pPr>
        <w:pStyle w:val="BodyText"/>
        <w:rPr>
          <w:lang w:eastAsia="x-none"/>
        </w:rPr>
      </w:pPr>
      <w:r>
        <w:lastRenderedPageBreak/>
        <w:t>Refer to the</w:t>
      </w:r>
      <w:r w:rsidRPr="003603A3">
        <w:t xml:space="preserve"> </w:t>
      </w:r>
      <w:r w:rsidR="00711206" w:rsidRPr="00711206">
        <w:rPr>
          <w:highlight w:val="yellow"/>
        </w:rPr>
        <w:t>REDACTED</w:t>
      </w:r>
      <w:r w:rsidRPr="003603A3">
        <w:t xml:space="preserve"> on </w:t>
      </w:r>
      <w:r>
        <w:t>the VBECS</w:t>
      </w:r>
      <w:r w:rsidRPr="003603A3">
        <w:t xml:space="preserve"> SharePoint site </w:t>
      </w:r>
      <w:r>
        <w:t>for up-to-date information about contacting the Service Desk</w:t>
      </w:r>
      <w:r w:rsidRPr="003603A3">
        <w:t>.</w:t>
      </w:r>
    </w:p>
    <w:p w14:paraId="14FDAEB2" w14:textId="77777777" w:rsidR="006474A9" w:rsidRPr="004A41FD" w:rsidRDefault="006474A9" w:rsidP="006474A9">
      <w:pPr>
        <w:pStyle w:val="BodyText"/>
        <w:rPr>
          <w:noProof/>
        </w:rPr>
      </w:pPr>
      <w:r w:rsidRPr="00101850">
        <w:t xml:space="preserve">For troubleshooting error messages in VBECS </w:t>
      </w:r>
      <w:r>
        <w:t>similar to</w:t>
      </w:r>
      <w:r w:rsidRPr="00101850">
        <w:t xml:space="preserve"> Contact Your System Administrator, contact the Service Desk.</w:t>
      </w:r>
      <w:r w:rsidRPr="004A41FD">
        <w:fldChar w:fldCharType="begin"/>
      </w:r>
      <w:r w:rsidRPr="00170ABF">
        <w:instrText xml:space="preserve"> XE "Customer Support" </w:instrText>
      </w:r>
      <w:r w:rsidRPr="004A41FD">
        <w:fldChar w:fldCharType="end"/>
      </w:r>
    </w:p>
    <w:p w14:paraId="203C1789" w14:textId="77777777" w:rsidR="00217D9D" w:rsidRDefault="00217D9D" w:rsidP="00B5499A">
      <w:pPr>
        <w:pStyle w:val="BodyText"/>
      </w:pPr>
    </w:p>
    <w:p w14:paraId="726D085E" w14:textId="77777777" w:rsidR="00217D9D" w:rsidRPr="00E62957" w:rsidRDefault="00217D9D" w:rsidP="00B5499A">
      <w:pPr>
        <w:pStyle w:val="BodyText"/>
        <w:rPr>
          <w:noProof/>
        </w:rPr>
      </w:pPr>
    </w:p>
    <w:p w14:paraId="48AE7282" w14:textId="77777777" w:rsidR="00384BF1" w:rsidRDefault="00384BF1">
      <w:pPr>
        <w:rPr>
          <w:rFonts w:ascii="Arial" w:hAnsi="Arial" w:cs="Arial"/>
          <w:b/>
          <w:bCs/>
          <w:kern w:val="32"/>
          <w:sz w:val="36"/>
          <w:szCs w:val="32"/>
        </w:rPr>
      </w:pPr>
      <w:r>
        <w:br w:type="page"/>
      </w:r>
    </w:p>
    <w:p w14:paraId="43AEB071" w14:textId="61F9D6B3" w:rsidR="002A21AE" w:rsidRPr="00963680" w:rsidRDefault="002A21AE" w:rsidP="00826461">
      <w:pPr>
        <w:pStyle w:val="Heading1"/>
      </w:pPr>
      <w:bookmarkStart w:id="35" w:name="_Toc163644841"/>
      <w:r w:rsidRPr="00963680">
        <w:lastRenderedPageBreak/>
        <w:t>Using the Software</w:t>
      </w:r>
      <w:bookmarkEnd w:id="35"/>
      <w:r w:rsidRPr="00963680">
        <w:fldChar w:fldCharType="begin"/>
      </w:r>
      <w:r w:rsidRPr="00963680">
        <w:instrText xml:space="preserve"> XE </w:instrText>
      </w:r>
      <w:r w:rsidR="00FA7E65" w:rsidRPr="00963680">
        <w:instrText>“</w:instrText>
      </w:r>
      <w:r w:rsidRPr="00963680">
        <w:instrText>Using the Software</w:instrText>
      </w:r>
      <w:r w:rsidR="00FA7E65" w:rsidRPr="00963680">
        <w:instrText>”</w:instrText>
      </w:r>
      <w:r w:rsidRPr="00963680">
        <w:instrText xml:space="preserve"> </w:instrText>
      </w:r>
      <w:r w:rsidRPr="00963680">
        <w:fldChar w:fldCharType="end"/>
      </w:r>
    </w:p>
    <w:p w14:paraId="1FB3C867" w14:textId="77777777" w:rsidR="002A21AE" w:rsidRDefault="002A21AE" w:rsidP="00FA7E65">
      <w:pPr>
        <w:pStyle w:val="BodyText"/>
      </w:pPr>
      <w:r w:rsidRPr="00963680">
        <w:t>Using the Software explains:</w:t>
      </w:r>
    </w:p>
    <w:p w14:paraId="4F1BD9BB" w14:textId="77777777" w:rsidR="002A21AE" w:rsidRDefault="002A21AE">
      <w:pPr>
        <w:pStyle w:val="ListBullet"/>
      </w:pPr>
      <w:r>
        <w:t xml:space="preserve">How to access VBECS and </w:t>
      </w:r>
      <w:r w:rsidR="000C7684" w:rsidRPr="000C7684">
        <w:rPr>
          <w:bCs/>
        </w:rPr>
        <w:t>VistA</w:t>
      </w:r>
    </w:p>
    <w:p w14:paraId="7A7CAB41" w14:textId="77777777" w:rsidR="002A21AE" w:rsidRDefault="002A21AE">
      <w:pPr>
        <w:pStyle w:val="ListBullet"/>
      </w:pPr>
      <w:r>
        <w:t>What users will see on the screen</w:t>
      </w:r>
    </w:p>
    <w:p w14:paraId="1BC2D207" w14:textId="77777777" w:rsidR="002A21AE" w:rsidRDefault="002A21AE">
      <w:pPr>
        <w:pStyle w:val="ListBullet"/>
      </w:pPr>
      <w:r>
        <w:t>What the icons and other symbols mean</w:t>
      </w:r>
    </w:p>
    <w:p w14:paraId="1C00224C" w14:textId="77777777" w:rsidR="002A21AE" w:rsidRDefault="002A21AE">
      <w:pPr>
        <w:pStyle w:val="ListBullet"/>
      </w:pPr>
      <w:r>
        <w:t>Which conventions are used in this guide</w:t>
      </w:r>
    </w:p>
    <w:p w14:paraId="4C308996" w14:textId="206DD8F2" w:rsidR="002A21AE" w:rsidRDefault="002A21AE">
      <w:pPr>
        <w:pStyle w:val="ListBullet"/>
      </w:pPr>
      <w:r>
        <w:t xml:space="preserve">How to exit VBECS </w:t>
      </w:r>
    </w:p>
    <w:p w14:paraId="7D1B205F" w14:textId="77777777" w:rsidR="002A21AE" w:rsidRDefault="002A21AE">
      <w:pPr>
        <w:pStyle w:val="Heading2"/>
      </w:pPr>
      <w:bookmarkStart w:id="36" w:name="_Toc78678591"/>
      <w:bookmarkStart w:id="37" w:name="_Toc163644842"/>
      <w:r>
        <w:t>Software Basics</w:t>
      </w:r>
      <w:bookmarkEnd w:id="36"/>
      <w:bookmarkEnd w:id="37"/>
      <w:r>
        <w:fldChar w:fldCharType="begin"/>
      </w:r>
      <w:r>
        <w:instrText xml:space="preserve"> XE </w:instrText>
      </w:r>
      <w:r w:rsidR="00FA7E65">
        <w:instrText>“</w:instrText>
      </w:r>
      <w:r>
        <w:instrText>Software Basics</w:instrText>
      </w:r>
      <w:r w:rsidR="00FA7E65">
        <w:instrText>”</w:instrText>
      </w:r>
      <w:r>
        <w:instrText xml:space="preserve"> </w:instrText>
      </w:r>
      <w:r>
        <w:fldChar w:fldCharType="end"/>
      </w:r>
    </w:p>
    <w:p w14:paraId="14B5D766" w14:textId="2632D34D" w:rsidR="00045762" w:rsidRDefault="00045762" w:rsidP="00045762">
      <w:pPr>
        <w:pStyle w:val="ListBullet"/>
      </w:pPr>
      <w:r>
        <w:t xml:space="preserve">When a message window requires a user response and VBECS displays it </w:t>
      </w:r>
      <w:r w:rsidRPr="00BA627C">
        <w:t xml:space="preserve">behind the active window, the user must minimize the active window </w:t>
      </w:r>
      <w:r>
        <w:t xml:space="preserve">or </w:t>
      </w:r>
      <w:r w:rsidRPr="00BA627C">
        <w:t xml:space="preserve">click and drag dialog boxes to expose the </w:t>
      </w:r>
      <w:r>
        <w:t>message window</w:t>
      </w:r>
      <w:r w:rsidR="00A4315F">
        <w:t>.</w:t>
      </w:r>
    </w:p>
    <w:p w14:paraId="06939553" w14:textId="77777777" w:rsidR="002A21AE" w:rsidRDefault="002A21AE">
      <w:pPr>
        <w:pStyle w:val="ListBullet"/>
      </w:pPr>
      <w:r>
        <w:t xml:space="preserve">A user may click </w:t>
      </w:r>
      <w:r>
        <w:rPr>
          <w:b/>
        </w:rPr>
        <w:t>Cancel</w:t>
      </w:r>
      <w:r>
        <w:t xml:space="preserve">, </w:t>
      </w:r>
      <w:r>
        <w:rPr>
          <w:b/>
        </w:rPr>
        <w:t>Close</w:t>
      </w:r>
      <w:r>
        <w:t xml:space="preserve">, or </w:t>
      </w:r>
      <w:r w:rsidRPr="00D1343E">
        <w:rPr>
          <w:rStyle w:val="BodyTextChar"/>
          <w:rFonts w:ascii="Wingdings 2" w:hAnsi="Wingdings 2"/>
          <w:b/>
        </w:rPr>
        <w:t></w:t>
      </w:r>
      <w:r>
        <w:t xml:space="preserve"> in the upper right corner at any time to exit without saving.</w:t>
      </w:r>
    </w:p>
    <w:p w14:paraId="66D444C7" w14:textId="77777777" w:rsidR="002A21AE" w:rsidRDefault="002A21AE">
      <w:pPr>
        <w:pStyle w:val="ListBullet"/>
      </w:pPr>
      <w:r>
        <w:t>All operations depend on the user being logged into the appropriate division.</w:t>
      </w:r>
    </w:p>
    <w:p w14:paraId="785F65E6" w14:textId="4188C5A2" w:rsidR="002A21AE" w:rsidRDefault="002A21AE">
      <w:pPr>
        <w:pStyle w:val="ListBullet"/>
      </w:pPr>
      <w:r>
        <w:t>A user may click a column heading to resort the items in that column</w:t>
      </w:r>
      <w:r w:rsidR="00A76428">
        <w:t xml:space="preserve"> (</w:t>
      </w:r>
      <w:r w:rsidR="00EE455E">
        <w:t xml:space="preserve">Figure </w:t>
      </w:r>
      <w:r w:rsidR="00EE455E">
        <w:rPr>
          <w:noProof/>
        </w:rPr>
        <w:t>1</w:t>
      </w:r>
      <w:r w:rsidR="00A76428">
        <w:t xml:space="preserve"> and </w:t>
      </w:r>
      <w:r w:rsidR="00EE455E">
        <w:t xml:space="preserve">Figure </w:t>
      </w:r>
      <w:r w:rsidR="00EE455E">
        <w:rPr>
          <w:noProof/>
        </w:rPr>
        <w:t>2</w:t>
      </w:r>
      <w:r w:rsidR="00A76428">
        <w:t>)</w:t>
      </w:r>
      <w:r>
        <w:t>.</w:t>
      </w:r>
    </w:p>
    <w:p w14:paraId="7ED52010" w14:textId="77777777" w:rsidR="00163C35" w:rsidRDefault="002A21AE" w:rsidP="00163C35">
      <w:pPr>
        <w:pStyle w:val="ListBullet"/>
      </w:pPr>
      <w:r>
        <w:rPr>
          <w:vanish/>
          <w:spacing w:val="0"/>
        </w:rPr>
        <w:t xml:space="preserve">BR_2.48 </w:t>
      </w:r>
      <w:r>
        <w:t>Reaction results entries are allowed for only those reagents defined as part of the reagent rack</w:t>
      </w:r>
      <w:r w:rsidR="00F53A23">
        <w:t>.</w:t>
      </w:r>
    </w:p>
    <w:p w14:paraId="513BFB39" w14:textId="41CE55C4" w:rsidR="002A21AE" w:rsidRDefault="002A21AE">
      <w:pPr>
        <w:pStyle w:val="ListBullet"/>
      </w:pPr>
      <w:r>
        <w:t>Select a date from the calendar in the drop-down list to edit a date, or click each part of the date to edit the date and time</w:t>
      </w:r>
      <w:r w:rsidR="00F2615F">
        <w:t xml:space="preserve"> (</w:t>
      </w:r>
      <w:r w:rsidR="00EE455E">
        <w:t xml:space="preserve">Figure </w:t>
      </w:r>
      <w:r w:rsidR="00EE455E">
        <w:rPr>
          <w:noProof/>
        </w:rPr>
        <w:t>3</w:t>
      </w:r>
      <w:r w:rsidR="00622085">
        <w:t xml:space="preserve"> and</w:t>
      </w:r>
      <w:r w:rsidR="00DB4AE0">
        <w:rPr>
          <w:b/>
        </w:rPr>
        <w:t xml:space="preserve"> </w:t>
      </w:r>
      <w:r w:rsidR="00EE455E">
        <w:t xml:space="preserve">Figure </w:t>
      </w:r>
      <w:r w:rsidR="00EE455E">
        <w:rPr>
          <w:noProof/>
        </w:rPr>
        <w:t>4</w:t>
      </w:r>
      <w:r w:rsidR="00622085">
        <w:t>).</w:t>
      </w:r>
    </w:p>
    <w:p w14:paraId="0521ABD4" w14:textId="77777777" w:rsidR="000C156B" w:rsidRPr="00AA4AB6" w:rsidRDefault="007F6441" w:rsidP="000C156B">
      <w:pPr>
        <w:pStyle w:val="ListBullet"/>
      </w:pPr>
      <w:r>
        <w:rPr>
          <w:rFonts w:eastAsia="Arial Unicode MS"/>
        </w:rPr>
        <w:t>Labels shown in figures</w:t>
      </w:r>
      <w:r w:rsidR="000C156B">
        <w:rPr>
          <w:rFonts w:eastAsia="Arial Unicode MS"/>
        </w:rPr>
        <w:t xml:space="preserve"> are visual aids only and do not represent actual labels</w:t>
      </w:r>
      <w:r>
        <w:rPr>
          <w:rFonts w:eastAsia="Arial Unicode MS"/>
        </w:rPr>
        <w:t>.</w:t>
      </w:r>
    </w:p>
    <w:p w14:paraId="09B1C660" w14:textId="77777777" w:rsidR="00023520" w:rsidRPr="002B06B2" w:rsidRDefault="00057948" w:rsidP="002B06B2">
      <w:pPr>
        <w:pStyle w:val="Caution"/>
      </w:pPr>
      <w:r>
        <w:rPr>
          <w:noProof/>
        </w:rPr>
        <w:drawing>
          <wp:inline distT="0" distB="0" distL="0" distR="0" wp14:anchorId="58C7CF6F" wp14:editId="34446CC9">
            <wp:extent cx="267970" cy="221615"/>
            <wp:effectExtent l="0" t="0" r="0" b="6985"/>
            <wp:docPr id="18" name="Picture 1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3640CD">
        <w:t xml:space="preserve"> </w:t>
      </w:r>
      <w:r w:rsidR="002B06B2">
        <w:t>Although t</w:t>
      </w:r>
      <w:r w:rsidR="00023520" w:rsidRPr="002B06B2">
        <w:t>he copy-and-paste function is enabled</w:t>
      </w:r>
      <w:r w:rsidR="002B06B2">
        <w:t>, do</w:t>
      </w:r>
      <w:r w:rsidR="00023520" w:rsidRPr="002B06B2">
        <w:t xml:space="preserve"> not use it to enter patient identification information. </w:t>
      </w:r>
      <w:r w:rsidR="005A68C1">
        <w:t>It is highly</w:t>
      </w:r>
      <w:r w:rsidR="00023520" w:rsidRPr="002B06B2">
        <w:t xml:space="preserve"> recommend</w:t>
      </w:r>
      <w:r w:rsidR="005A68C1">
        <w:t>ed</w:t>
      </w:r>
      <w:r w:rsidR="00023520" w:rsidRPr="002B06B2">
        <w:t xml:space="preserve"> that the user scan this information when possible</w:t>
      </w:r>
      <w:r w:rsidR="002B06B2">
        <w:t>;</w:t>
      </w:r>
      <w:r w:rsidR="00023520" w:rsidRPr="002B06B2">
        <w:t xml:space="preserve"> otherwise</w:t>
      </w:r>
      <w:r w:rsidR="002B06B2">
        <w:t>,</w:t>
      </w:r>
      <w:r w:rsidR="00A137C8">
        <w:t xml:space="preserve"> enter it</w:t>
      </w:r>
      <w:r w:rsidR="00A137C8" w:rsidRPr="00703B36">
        <w:rPr>
          <w:vanish/>
        </w:rPr>
        <w:t xml:space="preserve"> </w:t>
      </w:r>
      <w:r w:rsidR="00C83CF0" w:rsidRPr="002B06B2">
        <w:rPr>
          <w:vanish/>
        </w:rPr>
        <w:t>(DR 2,519)</w:t>
      </w:r>
      <w:r w:rsidR="00C83CF0" w:rsidRPr="002B06B2">
        <w:t>.</w:t>
      </w:r>
    </w:p>
    <w:p w14:paraId="0413FF1C" w14:textId="5FF094D3" w:rsidR="001A234F" w:rsidRDefault="001A234F" w:rsidP="00A76428">
      <w:pPr>
        <w:pStyle w:val="Caption"/>
        <w:tabs>
          <w:tab w:val="left" w:pos="4860"/>
        </w:tabs>
      </w:pPr>
      <w:bookmarkStart w:id="38" w:name="_Ref12648236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w:t>
      </w:r>
      <w:r w:rsidR="004E20BD">
        <w:rPr>
          <w:noProof/>
        </w:rPr>
        <w:fldChar w:fldCharType="end"/>
      </w:r>
      <w:bookmarkEnd w:id="38"/>
      <w:r w:rsidR="002418C9">
        <w:t>: Click to Sort by Patient Name</w:t>
      </w:r>
    </w:p>
    <w:p w14:paraId="0E2E8B6C" w14:textId="77777777" w:rsidR="000A2260" w:rsidRDefault="00057948" w:rsidP="000A2260">
      <w:pPr>
        <w:pStyle w:val="BodyText"/>
      </w:pPr>
      <w:r>
        <w:rPr>
          <w:noProof/>
        </w:rPr>
        <w:drawing>
          <wp:inline distT="0" distB="0" distL="0" distR="0" wp14:anchorId="03499D5E" wp14:editId="6101AED4">
            <wp:extent cx="5486400" cy="1597660"/>
            <wp:effectExtent l="0" t="0" r="0" b="2540"/>
            <wp:docPr id="19" name="Picture 19" descr="Click to Sort by Patient Nam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ick to Sort by Patient Name screen 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2AA77531" w14:textId="44D0774C" w:rsidR="00730FE6" w:rsidRDefault="0086195D" w:rsidP="00AA6FFB">
      <w:pPr>
        <w:pStyle w:val="Caption"/>
        <w:tabs>
          <w:tab w:val="left" w:pos="4860"/>
        </w:tabs>
      </w:pPr>
      <w:bookmarkStart w:id="39" w:name="_Ref126482369"/>
      <w:bookmarkStart w:id="40" w:name="_Ref126467446"/>
      <w:bookmarkStart w:id="41" w:name="_Ref12646750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2</w:t>
      </w:r>
      <w:r w:rsidR="004E20BD">
        <w:rPr>
          <w:noProof/>
        </w:rPr>
        <w:fldChar w:fldCharType="end"/>
      </w:r>
      <w:bookmarkEnd w:id="39"/>
      <w:r>
        <w:t>: Click to Sort by Request</w:t>
      </w:r>
    </w:p>
    <w:p w14:paraId="7547B329" w14:textId="77777777" w:rsidR="0086195D" w:rsidRDefault="00057948" w:rsidP="00A542EE">
      <w:pPr>
        <w:pStyle w:val="BodyText"/>
      </w:pPr>
      <w:r>
        <w:rPr>
          <w:b/>
          <w:noProof/>
        </w:rPr>
        <w:drawing>
          <wp:inline distT="0" distB="0" distL="0" distR="0" wp14:anchorId="7E56F6B3" wp14:editId="4108BB4D">
            <wp:extent cx="5486400" cy="1597660"/>
            <wp:effectExtent l="0" t="0" r="0" b="2540"/>
            <wp:docPr id="20" name="Picture 20" descr="Click to Sort by Requ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ck to Sort by Request screen 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5AB12E58" w14:textId="77777777" w:rsidR="00A542EE" w:rsidRDefault="00A542EE" w:rsidP="00AA6FFB">
      <w:pPr>
        <w:pStyle w:val="Caption"/>
        <w:tabs>
          <w:tab w:val="left" w:pos="4860"/>
        </w:tabs>
        <w:sectPr w:rsidR="00A542EE" w:rsidSect="00EE771C">
          <w:footerReference w:type="default" r:id="rId28"/>
          <w:pgSz w:w="12240" w:h="15840" w:code="1"/>
          <w:pgMar w:top="1440" w:right="1440" w:bottom="1440" w:left="1440" w:header="720" w:footer="720" w:gutter="0"/>
          <w:pgNumType w:start="1"/>
          <w:cols w:space="720"/>
          <w:docGrid w:linePitch="360"/>
        </w:sectPr>
      </w:pPr>
    </w:p>
    <w:p w14:paraId="5A4BC8F3" w14:textId="6DB7682F" w:rsidR="00A542EE" w:rsidRDefault="008F3522" w:rsidP="00EE11ED">
      <w:pPr>
        <w:pStyle w:val="Caption"/>
      </w:pPr>
      <w:bookmarkStart w:id="42" w:name="_Ref12648315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w:t>
      </w:r>
      <w:r w:rsidR="004E20BD">
        <w:rPr>
          <w:noProof/>
        </w:rPr>
        <w:fldChar w:fldCharType="end"/>
      </w:r>
      <w:bookmarkEnd w:id="40"/>
      <w:bookmarkEnd w:id="42"/>
      <w:r>
        <w:t>: Select a Date from the Calendar</w:t>
      </w:r>
    </w:p>
    <w:p w14:paraId="2868EA18" w14:textId="77777777" w:rsidR="004D098F" w:rsidRDefault="00057948" w:rsidP="007C191F">
      <w:pPr>
        <w:pStyle w:val="BodyText"/>
      </w:pPr>
      <w:bookmarkStart w:id="43" w:name="_Ref126483168"/>
      <w:r>
        <w:rPr>
          <w:noProof/>
        </w:rPr>
        <w:drawing>
          <wp:inline distT="0" distB="0" distL="0" distR="0" wp14:anchorId="53B89FAD" wp14:editId="2FA1C899">
            <wp:extent cx="1939925" cy="1958340"/>
            <wp:effectExtent l="0" t="0" r="3175" b="3810"/>
            <wp:docPr id="21" name="Picture 21" descr="Select a Date from the Calenda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lect a Date from the Calendar screen cap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9925" cy="1958340"/>
                    </a:xfrm>
                    <a:prstGeom prst="rect">
                      <a:avLst/>
                    </a:prstGeom>
                    <a:noFill/>
                    <a:ln>
                      <a:noFill/>
                    </a:ln>
                  </pic:spPr>
                </pic:pic>
              </a:graphicData>
            </a:graphic>
          </wp:inline>
        </w:drawing>
      </w:r>
    </w:p>
    <w:p w14:paraId="5BE97010" w14:textId="77777777" w:rsidR="00250F92" w:rsidRDefault="00250F92" w:rsidP="007C191F">
      <w:pPr>
        <w:pStyle w:val="BodyText"/>
      </w:pPr>
    </w:p>
    <w:p w14:paraId="5E6520E1" w14:textId="0D92D2B4" w:rsidR="007952C0" w:rsidRDefault="007952C0" w:rsidP="007952C0">
      <w:pPr>
        <w:pStyle w:val="Caption"/>
      </w:pPr>
      <w:bookmarkStart w:id="44" w:name="_Ref524523891"/>
      <w:bookmarkEnd w:id="41"/>
      <w:bookmarkEnd w:id="43"/>
      <w:r>
        <w:t xml:space="preserve">Figure </w:t>
      </w:r>
      <w:r>
        <w:rPr>
          <w:noProof/>
        </w:rPr>
        <w:fldChar w:fldCharType="begin"/>
      </w:r>
      <w:r>
        <w:rPr>
          <w:noProof/>
        </w:rPr>
        <w:instrText xml:space="preserve"> SEQ Figure \* ARABIC </w:instrText>
      </w:r>
      <w:r>
        <w:rPr>
          <w:noProof/>
        </w:rPr>
        <w:fldChar w:fldCharType="separate"/>
      </w:r>
      <w:r w:rsidR="00E2140B">
        <w:rPr>
          <w:noProof/>
        </w:rPr>
        <w:t>4</w:t>
      </w:r>
      <w:r>
        <w:rPr>
          <w:noProof/>
        </w:rPr>
        <w:fldChar w:fldCharType="end"/>
      </w:r>
      <w:bookmarkEnd w:id="44"/>
      <w:r>
        <w:t>: Edit the Date and Time</w:t>
      </w:r>
    </w:p>
    <w:p w14:paraId="68AB3E03" w14:textId="77777777" w:rsidR="007952C0" w:rsidRPr="00207521" w:rsidRDefault="007952C0" w:rsidP="007952C0">
      <w:pPr>
        <w:pStyle w:val="BodyText"/>
      </w:pPr>
      <w:r>
        <w:rPr>
          <w:noProof/>
        </w:rPr>
        <w:drawing>
          <wp:inline distT="0" distB="0" distL="0" distR="0" wp14:anchorId="0C76F6F9" wp14:editId="6ED165F0">
            <wp:extent cx="1450340" cy="563245"/>
            <wp:effectExtent l="0" t="0" r="0" b="8255"/>
            <wp:docPr id="6" name="Picture 6" descr="Edit the Date and Tim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dit the Date and Time screen 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0340" cy="563245"/>
                    </a:xfrm>
                    <a:prstGeom prst="rect">
                      <a:avLst/>
                    </a:prstGeom>
                    <a:noFill/>
                    <a:ln>
                      <a:noFill/>
                    </a:ln>
                  </pic:spPr>
                </pic:pic>
              </a:graphicData>
            </a:graphic>
          </wp:inline>
        </w:drawing>
      </w:r>
    </w:p>
    <w:p w14:paraId="6B2AE653" w14:textId="77777777" w:rsidR="006C79C7" w:rsidRDefault="006C79C7">
      <w:pPr>
        <w:rPr>
          <w:rFonts w:ascii="Arial" w:hAnsi="Arial" w:cs="Arial"/>
          <w:b/>
          <w:bCs/>
          <w:i/>
          <w:iCs/>
          <w:sz w:val="28"/>
          <w:szCs w:val="28"/>
        </w:rPr>
      </w:pPr>
      <w:r>
        <w:br w:type="page"/>
      </w:r>
    </w:p>
    <w:p w14:paraId="4B7F864E" w14:textId="2573EBD4" w:rsidR="00C47F9D" w:rsidRDefault="00C47F9D" w:rsidP="00C47F9D">
      <w:pPr>
        <w:pStyle w:val="Heading2"/>
      </w:pPr>
      <w:bookmarkStart w:id="45" w:name="_Toc163644843"/>
      <w:r>
        <w:lastRenderedPageBreak/>
        <w:t>Commonly Used System Rules</w:t>
      </w:r>
      <w:bookmarkEnd w:id="45"/>
      <w:r>
        <w:fldChar w:fldCharType="begin"/>
      </w:r>
      <w:r>
        <w:instrText xml:space="preserve"> XE "</w:instrText>
      </w:r>
      <w:r w:rsidRPr="003536AD">
        <w:instrText>Commonly Used System Rules</w:instrText>
      </w:r>
      <w:r>
        <w:instrText xml:space="preserve">" </w:instrText>
      </w:r>
      <w:r>
        <w:fldChar w:fldCharType="end"/>
      </w:r>
    </w:p>
    <w:p w14:paraId="76503300" w14:textId="77777777" w:rsidR="00C47F9D" w:rsidRDefault="00C47F9D" w:rsidP="00C47F9D">
      <w:pPr>
        <w:pStyle w:val="BodyText"/>
      </w:pPr>
      <w:r>
        <w:t>This section includes system rules that apply to several or all options.</w:t>
      </w:r>
    </w:p>
    <w:p w14:paraId="7DC190F1" w14:textId="77777777" w:rsidR="00995145" w:rsidRDefault="00995145" w:rsidP="00C47F9D">
      <w:pPr>
        <w:pStyle w:val="Heading3"/>
      </w:pPr>
      <w:bookmarkStart w:id="46" w:name="_Toc163644844"/>
      <w:r>
        <w:t>Date and Time</w:t>
      </w:r>
      <w:bookmarkEnd w:id="46"/>
      <w:r w:rsidR="00A51F68">
        <w:fldChar w:fldCharType="begin"/>
      </w:r>
      <w:r w:rsidR="00A51F68">
        <w:instrText xml:space="preserve"> XE "</w:instrText>
      </w:r>
      <w:r w:rsidR="00A51F68" w:rsidRPr="00FA7A9D">
        <w:instrText>Date and Time</w:instrText>
      </w:r>
      <w:r w:rsidR="00A51F68">
        <w:instrText xml:space="preserve">" </w:instrText>
      </w:r>
      <w:r w:rsidR="00A51F68">
        <w:fldChar w:fldCharType="end"/>
      </w:r>
    </w:p>
    <w:p w14:paraId="05E256D4" w14:textId="24FCF763" w:rsidR="00995145" w:rsidRDefault="009204CC" w:rsidP="00995145">
      <w:pPr>
        <w:pStyle w:val="ListBullet"/>
      </w:pPr>
      <w:r>
        <w:t xml:space="preserve">Users must contact the </w:t>
      </w:r>
      <w:r w:rsidR="005364D9">
        <w:t>Service</w:t>
      </w:r>
      <w:r>
        <w:t xml:space="preserve"> Desk </w:t>
      </w:r>
      <w:r w:rsidR="00995145">
        <w:t>when the date or time is incorrect.</w:t>
      </w:r>
    </w:p>
    <w:p w14:paraId="5729BE6F" w14:textId="77777777" w:rsidR="0038414C" w:rsidRDefault="0038414C" w:rsidP="0038414C">
      <w:pPr>
        <w:pStyle w:val="ListBullet"/>
      </w:pPr>
      <w:r>
        <w:t xml:space="preserve">The date, time, and time zone </w:t>
      </w:r>
      <w:r w:rsidRPr="0038414C">
        <w:t xml:space="preserve">in VBECS is defined where the blood bank is located. </w:t>
      </w:r>
      <w:r>
        <w:t>Any requests for</w:t>
      </w:r>
      <w:r w:rsidRPr="0038414C">
        <w:t xml:space="preserve"> data from </w:t>
      </w:r>
      <w:r>
        <w:t>a particul</w:t>
      </w:r>
      <w:r w:rsidR="008B2A87">
        <w:t>ar blood b</w:t>
      </w:r>
      <w:r>
        <w:t xml:space="preserve">ank </w:t>
      </w:r>
      <w:r w:rsidRPr="0038414C">
        <w:t>database will reflect the time zone where the data was created and not the time zone where the report is generated.</w:t>
      </w:r>
      <w:r>
        <w:t xml:space="preserve"> </w:t>
      </w:r>
      <w:r>
        <w:rPr>
          <w:vanish/>
        </w:rPr>
        <w:t>DR 3838</w:t>
      </w:r>
    </w:p>
    <w:p w14:paraId="777B83BC" w14:textId="5252AFD9" w:rsidR="00A51F68" w:rsidRPr="00995145" w:rsidRDefault="00063AED" w:rsidP="00995145">
      <w:pPr>
        <w:pStyle w:val="ListBullet"/>
      </w:pPr>
      <w:r>
        <w:t>Refer to</w:t>
      </w:r>
      <w:r w:rsidR="00A51F68">
        <w:t xml:space="preserve"> </w:t>
      </w:r>
      <w:r w:rsidRPr="00063AED">
        <w:rPr>
          <w:i/>
        </w:rPr>
        <w:t xml:space="preserve">VBECS </w:t>
      </w:r>
      <w:r w:rsidR="00B03BDD">
        <w:rPr>
          <w:i/>
        </w:rPr>
        <w:t>2.</w:t>
      </w:r>
      <w:r w:rsidR="005E5828">
        <w:rPr>
          <w:i/>
        </w:rPr>
        <w:t>4.0</w:t>
      </w:r>
      <w:r w:rsidR="00531617">
        <w:rPr>
          <w:i/>
        </w:rPr>
        <w:t xml:space="preserve"> </w:t>
      </w:r>
      <w:r w:rsidR="00671B56">
        <w:rPr>
          <w:i/>
        </w:rPr>
        <w:t xml:space="preserve">Admin User </w:t>
      </w:r>
      <w:r w:rsidRPr="00063AED">
        <w:rPr>
          <w:i/>
        </w:rPr>
        <w:t>Guide</w:t>
      </w:r>
      <w:r w:rsidRPr="00063AED">
        <w:t xml:space="preserve"> </w:t>
      </w:r>
      <w:r w:rsidR="00A51F68">
        <w:t>to change the time zone.</w:t>
      </w:r>
    </w:p>
    <w:p w14:paraId="21408DA1" w14:textId="77777777" w:rsidR="00A62384" w:rsidRDefault="00A62384" w:rsidP="00A62384">
      <w:pPr>
        <w:pStyle w:val="Heading3"/>
      </w:pPr>
      <w:bookmarkStart w:id="47" w:name="_Toc163644845"/>
      <w:r>
        <w:t>Working with Data</w:t>
      </w:r>
      <w:bookmarkEnd w:id="47"/>
      <w:r>
        <w:fldChar w:fldCharType="begin"/>
      </w:r>
      <w:r>
        <w:instrText xml:space="preserve"> XE </w:instrText>
      </w:r>
      <w:r w:rsidR="00FA7E65">
        <w:instrText>“</w:instrText>
      </w:r>
      <w:r>
        <w:instrText>Working with Data</w:instrText>
      </w:r>
      <w:r w:rsidR="00FA7E65">
        <w:instrText>”</w:instrText>
      </w:r>
      <w:r>
        <w:instrText xml:space="preserve"> </w:instrText>
      </w:r>
      <w:r>
        <w:fldChar w:fldCharType="end"/>
      </w:r>
    </w:p>
    <w:p w14:paraId="44861B20" w14:textId="7687B012" w:rsidR="009C003E" w:rsidRDefault="009C003E" w:rsidP="00AD73C0">
      <w:pPr>
        <w:pStyle w:val="ListBullet"/>
      </w:pPr>
      <w:r>
        <w:t>VBECS will emit an audible alert when a user exceeds the maximum character limit for a field.</w:t>
      </w:r>
      <w:r>
        <w:rPr>
          <w:vanish/>
        </w:rPr>
        <w:t xml:space="preserve"> DR 3825</w:t>
      </w:r>
    </w:p>
    <w:p w14:paraId="67CB78F5" w14:textId="77777777" w:rsidR="002B6B38" w:rsidRDefault="002B6B38" w:rsidP="002B6B38">
      <w:pPr>
        <w:pStyle w:val="ListBullet"/>
      </w:pPr>
      <w:r>
        <w:t xml:space="preserve">The user may enter interpretations and reactions in full-service facilities. The user may enter only interpretations in transfusion-only facilities. </w:t>
      </w:r>
    </w:p>
    <w:p w14:paraId="03EC4326" w14:textId="77777777" w:rsidR="0067711F" w:rsidRDefault="0067711F" w:rsidP="003B2567">
      <w:pPr>
        <w:pStyle w:val="ListBullet"/>
      </w:pPr>
      <w:r>
        <w:t>Information displayed on a</w:t>
      </w:r>
      <w:r w:rsidR="00AC7D83">
        <w:t>n active</w:t>
      </w:r>
      <w:r>
        <w:t xml:space="preserve"> window is updated with information</w:t>
      </w:r>
      <w:r w:rsidR="00AC7D83">
        <w:t xml:space="preserve"> from other options only when</w:t>
      </w:r>
      <w:r w:rsidR="00C242AA">
        <w:t xml:space="preserve"> it is refreshed (i.e., closed and reopened</w:t>
      </w:r>
      <w:r w:rsidR="00AC7D83">
        <w:t>)</w:t>
      </w:r>
      <w:r w:rsidR="00F569CC">
        <w:t xml:space="preserve"> in </w:t>
      </w:r>
      <w:r>
        <w:t xml:space="preserve">the </w:t>
      </w:r>
      <w:r w:rsidR="00AC7D83">
        <w:t>active window</w:t>
      </w:r>
      <w:r>
        <w:t>.</w:t>
      </w:r>
    </w:p>
    <w:p w14:paraId="19D8AAC0" w14:textId="77777777" w:rsidR="00A62384" w:rsidRDefault="00A62384" w:rsidP="00A62384">
      <w:pPr>
        <w:pStyle w:val="ListBullet"/>
      </w:pPr>
      <w:r>
        <w:rPr>
          <w:vanish/>
          <w:spacing w:val="0"/>
        </w:rPr>
        <w:t xml:space="preserve">BR_1.03 </w:t>
      </w:r>
      <w:r>
        <w:t>When VBECS displays a scanner icon next to a data entry field, a user may enter or scan the data.</w:t>
      </w:r>
      <w:r w:rsidR="00340676">
        <w:t xml:space="preserve"> The Caps Lock key must not be engaged.</w:t>
      </w:r>
      <w:r w:rsidR="00340676" w:rsidRPr="00340676">
        <w:rPr>
          <w:vanish/>
        </w:rPr>
        <w:t xml:space="preserve"> (DR 2,733)</w:t>
      </w:r>
      <w:r w:rsidR="00340676">
        <w:t xml:space="preserve"> </w:t>
      </w:r>
    </w:p>
    <w:p w14:paraId="281B4618" w14:textId="77777777" w:rsidR="00E83D83" w:rsidRPr="00E83D83" w:rsidRDefault="00E83D83" w:rsidP="00E83D83">
      <w:pPr>
        <w:pStyle w:val="ListBullet"/>
        <w:rPr>
          <w:spacing w:val="0"/>
        </w:rPr>
      </w:pPr>
      <w:r w:rsidRPr="00E83D83">
        <w:rPr>
          <w:vanish/>
          <w:spacing w:val="0"/>
        </w:rPr>
        <w:t xml:space="preserve">BR_1.71 </w:t>
      </w:r>
      <w:r w:rsidRPr="00E83D83">
        <w:rPr>
          <w:spacing w:val="0"/>
        </w:rPr>
        <w:t>Entry of Codabar labeled blood units is disabled.</w:t>
      </w:r>
    </w:p>
    <w:p w14:paraId="395CBEFE" w14:textId="77777777" w:rsidR="00413ECA" w:rsidRDefault="00413ECA" w:rsidP="00413ECA">
      <w:pPr>
        <w:pStyle w:val="ListBullet"/>
      </w:pPr>
      <w:r>
        <w:rPr>
          <w:vanish/>
          <w:spacing w:val="0"/>
        </w:rPr>
        <w:t xml:space="preserve">BR_28.26 </w:t>
      </w:r>
      <w:r>
        <w:t>VBECS captures all technologist IDs and the name of the technologist who displays and/or prints testing information on reports associated with entering test results on a worksheet.</w:t>
      </w:r>
    </w:p>
    <w:p w14:paraId="3617D98F" w14:textId="7D68720E" w:rsidR="00413ECA" w:rsidRDefault="00413ECA" w:rsidP="0077424C">
      <w:pPr>
        <w:pStyle w:val="ListBullet"/>
        <w:keepLines/>
      </w:pPr>
      <w:r>
        <w:rPr>
          <w:vanish/>
          <w:spacing w:val="0"/>
        </w:rPr>
        <w:t>BR_40.06</w:t>
      </w:r>
      <w:r w:rsidR="00D415FB">
        <w:rPr>
          <w:vanish/>
          <w:spacing w:val="0"/>
        </w:rPr>
        <w:t xml:space="preserve"> </w:t>
      </w:r>
      <w:r w:rsidR="004E0817">
        <w:rPr>
          <w:spacing w:val="0"/>
        </w:rPr>
        <w:t>With each valid keystroke entry in</w:t>
      </w:r>
      <w:r w:rsidR="003937C6" w:rsidRPr="004E0817">
        <w:rPr>
          <w:spacing w:val="0"/>
        </w:rPr>
        <w:t xml:space="preserve"> the antibody screen </w:t>
      </w:r>
      <w:r w:rsidR="004E0817">
        <w:rPr>
          <w:spacing w:val="0"/>
        </w:rPr>
        <w:t>and</w:t>
      </w:r>
      <w:r w:rsidR="003937C6" w:rsidRPr="004E0817">
        <w:rPr>
          <w:spacing w:val="0"/>
        </w:rPr>
        <w:t xml:space="preserve"> crossmatch test grids, VBECS moves </w:t>
      </w:r>
      <w:r>
        <w:t xml:space="preserve">the cursor from top to bottom in the </w:t>
      </w:r>
      <w:r w:rsidR="00AB4BD9">
        <w:t>far-left</w:t>
      </w:r>
      <w:r>
        <w:t xml:space="preserve"> column within the cells in which results are being entered. The cursor returns to the top cell in the next column to the right and so on across the worksheet grid. The cursor stays in the reaction results cells by default (the technologist may navigate independently) until the last entry is made in the reaction result portion of the grid</w:t>
      </w:r>
      <w:r w:rsidR="00D415FB">
        <w:t>, t</w:t>
      </w:r>
      <w:r>
        <w:t>hen the cursor moves to the first (top) interpretation cell.</w:t>
      </w:r>
    </w:p>
    <w:p w14:paraId="4C022122" w14:textId="77777777" w:rsidR="00E73E6C" w:rsidRDefault="00A32CB7" w:rsidP="00A32CB7">
      <w:pPr>
        <w:pStyle w:val="ListBullet"/>
      </w:pPr>
      <w:bookmarkStart w:id="48" w:name="OLE_LINK35"/>
      <w:bookmarkStart w:id="49" w:name="OLE_LINK36"/>
      <w:r>
        <w:t>To clear an entry in a test grid cell, press</w:t>
      </w:r>
      <w:r w:rsidR="004F3C85">
        <w:t xml:space="preserve"> the</w:t>
      </w:r>
      <w:r>
        <w:t xml:space="preserve"> </w:t>
      </w:r>
      <w:r w:rsidRPr="00A32CB7">
        <w:rPr>
          <w:b/>
        </w:rPr>
        <w:t>Backspace</w:t>
      </w:r>
      <w:r w:rsidR="004F3C85">
        <w:t xml:space="preserve"> key.</w:t>
      </w:r>
    </w:p>
    <w:p w14:paraId="08BDFB8F" w14:textId="77777777" w:rsidR="00A32CB7" w:rsidRDefault="00E73E6C" w:rsidP="00E73E6C">
      <w:pPr>
        <w:pStyle w:val="ListBullet"/>
      </w:pPr>
      <w:r>
        <w:t xml:space="preserve">VBECS allows selection of deceased patients without a warning message presented when VBECS has not received a patient death update message from VistA. </w:t>
      </w:r>
      <w:r>
        <w:rPr>
          <w:vanish/>
        </w:rPr>
        <w:t>DR 3064</w:t>
      </w:r>
    </w:p>
    <w:bookmarkEnd w:id="48"/>
    <w:bookmarkEnd w:id="49"/>
    <w:p w14:paraId="7B684721" w14:textId="77777777" w:rsidR="00413ECA" w:rsidRDefault="00413ECA" w:rsidP="00413ECA">
      <w:pPr>
        <w:pStyle w:val="ListBullet"/>
      </w:pPr>
      <w:r w:rsidRPr="009174D5">
        <w:rPr>
          <w:vanish/>
          <w:spacing w:val="0"/>
        </w:rPr>
        <w:t>BR_2.18</w:t>
      </w:r>
      <w:r>
        <w:rPr>
          <w:vanish/>
          <w:spacing w:val="0"/>
        </w:rPr>
        <w:t xml:space="preserve"> </w:t>
      </w:r>
      <w:r>
        <w:t xml:space="preserve">VBECS displays the data that a user enters in a session. The user may edit the data and </w:t>
      </w:r>
      <w:r w:rsidR="008A7BDA">
        <w:t xml:space="preserve">save them. </w:t>
      </w:r>
      <w:r>
        <w:t xml:space="preserve">VBECS warns </w:t>
      </w:r>
      <w:r w:rsidR="008A7BDA">
        <w:t>the user that if he chooses to cancel using the cancel or “X” button or by leaving/refreshing the current page, VBECS will not save any data changes entered during the session</w:t>
      </w:r>
      <w:r>
        <w:t xml:space="preserve">. VBECS </w:t>
      </w:r>
      <w:r w:rsidR="00A62384" w:rsidRPr="00CF619F">
        <w:t>closes the form and</w:t>
      </w:r>
      <w:r w:rsidR="005A3214">
        <w:t xml:space="preserve"> </w:t>
      </w:r>
      <w:r w:rsidRPr="00CF619F">
        <w:t>returns the user to the main menu screen that may include unrelated open windows</w:t>
      </w:r>
      <w:r>
        <w:t>.</w:t>
      </w:r>
    </w:p>
    <w:p w14:paraId="6A7DC74E" w14:textId="77777777" w:rsidR="00413ECA" w:rsidRDefault="00413ECA" w:rsidP="00413ECA">
      <w:pPr>
        <w:pStyle w:val="ListBullet"/>
      </w:pPr>
      <w:r>
        <w:rPr>
          <w:vanish/>
          <w:spacing w:val="0"/>
        </w:rPr>
        <w:t xml:space="preserve">BR_38.08 </w:t>
      </w:r>
      <w:r>
        <w:t xml:space="preserve">VBECS displays </w:t>
      </w:r>
      <w:r w:rsidR="00941683">
        <w:t xml:space="preserve">and enforces active </w:t>
      </w:r>
      <w:r w:rsidR="003937C6">
        <w:t>Transfusion R</w:t>
      </w:r>
      <w:r>
        <w:t xml:space="preserve">equirements </w:t>
      </w:r>
      <w:r w:rsidR="003937C6">
        <w:t xml:space="preserve">(TRs) </w:t>
      </w:r>
      <w:r>
        <w:t>to all divisions in a multi</w:t>
      </w:r>
      <w:r w:rsidR="00941683">
        <w:t>divisional database.</w:t>
      </w:r>
    </w:p>
    <w:p w14:paraId="7653E129" w14:textId="77777777" w:rsidR="00413ECA" w:rsidRDefault="00413ECA" w:rsidP="00413ECA">
      <w:pPr>
        <w:pStyle w:val="ListBullet"/>
      </w:pPr>
      <w:r>
        <w:rPr>
          <w:vanish/>
          <w:spacing w:val="0"/>
        </w:rPr>
        <w:t xml:space="preserve">BR_52.04 </w:t>
      </w:r>
      <w:r>
        <w:t>The user may not edit the title column of the data grid that specifies the reagent used in the test with a patient specimen.</w:t>
      </w:r>
    </w:p>
    <w:p w14:paraId="0AF1DC55" w14:textId="77777777" w:rsidR="00413ECA" w:rsidRDefault="00413ECA" w:rsidP="00413ECA">
      <w:pPr>
        <w:pStyle w:val="ListBullet"/>
      </w:pPr>
      <w:r>
        <w:rPr>
          <w:vanish/>
          <w:spacing w:val="0"/>
        </w:rPr>
        <w:t xml:space="preserve">BR_2.01 </w:t>
      </w:r>
      <w:r>
        <w:t>Unless otherwise indicated, data entry and retrieval are restricted to the division logged into.</w:t>
      </w:r>
    </w:p>
    <w:p w14:paraId="7B9E54DC" w14:textId="77777777" w:rsidR="00413ECA" w:rsidRDefault="00413ECA" w:rsidP="00413ECA">
      <w:pPr>
        <w:pStyle w:val="ListBullet"/>
      </w:pPr>
      <w:r>
        <w:rPr>
          <w:vanish/>
          <w:spacing w:val="0"/>
        </w:rPr>
        <w:t xml:space="preserve">BR_56.08 </w:t>
      </w:r>
      <w:r w:rsidR="00AD6662" w:rsidRPr="00AD6662">
        <w:rPr>
          <w:spacing w:val="0"/>
        </w:rPr>
        <w:t>To enter data after VBECS has been unavailable, a</w:t>
      </w:r>
      <w:r w:rsidRPr="00AD6662">
        <w:t xml:space="preserve"> u</w:t>
      </w:r>
      <w:r>
        <w:t xml:space="preserve">ser may </w:t>
      </w:r>
      <w:r w:rsidR="00AD6662">
        <w:t>enter</w:t>
      </w:r>
      <w:r>
        <w:t xml:space="preserve"> a past date, time, and the technologist who performed the work.</w:t>
      </w:r>
    </w:p>
    <w:p w14:paraId="042A6DAB" w14:textId="77777777" w:rsidR="00413ECA" w:rsidRDefault="00413ECA" w:rsidP="00413ECA">
      <w:pPr>
        <w:pStyle w:val="ListBullet"/>
      </w:pPr>
      <w:r>
        <w:rPr>
          <w:vanish/>
          <w:spacing w:val="0"/>
        </w:rPr>
        <w:t xml:space="preserve">BR_77.10 </w:t>
      </w:r>
      <w:r>
        <w:t>VBECS displays changes in reverse chronological order.</w:t>
      </w:r>
    </w:p>
    <w:p w14:paraId="6ABDE268" w14:textId="77777777" w:rsidR="00A62384" w:rsidRDefault="00413ECA" w:rsidP="00413ECA">
      <w:pPr>
        <w:pStyle w:val="ListBullet"/>
      </w:pPr>
      <w:r>
        <w:rPr>
          <w:vanish/>
          <w:spacing w:val="0"/>
        </w:rPr>
        <w:t xml:space="preserve">BR_3.22 </w:t>
      </w:r>
      <w:r>
        <w:t>VBECS calculates and displays the days (hours, if less than one day) remaining until a unit’s expiration based on the date and time of unit selection entered during modification.</w:t>
      </w:r>
    </w:p>
    <w:p w14:paraId="11A38CD8" w14:textId="3675EFC3" w:rsidR="00E83D83" w:rsidRDefault="00A62384" w:rsidP="00E83D83">
      <w:pPr>
        <w:pStyle w:val="ListBullet"/>
      </w:pPr>
      <w:r w:rsidRPr="00E83D83">
        <w:rPr>
          <w:vanish/>
        </w:rPr>
        <w:lastRenderedPageBreak/>
        <w:t xml:space="preserve">BR_1.23 </w:t>
      </w:r>
      <w:bookmarkStart w:id="50" w:name="_Hlk100753392"/>
      <w:r w:rsidR="00E83D83" w:rsidRPr="00E83D83">
        <w:t>A scanned ISBT 128 expiration date barcode is identified by the presence of hidden identifier</w:t>
      </w:r>
      <w:r w:rsidR="00F70825">
        <w:t>s</w:t>
      </w:r>
      <w:r w:rsidR="00E83D83" w:rsidRPr="00E83D83">
        <w:t xml:space="preserve">. </w:t>
      </w:r>
      <w:bookmarkEnd w:id="50"/>
      <w:r w:rsidR="00E83D83" w:rsidRPr="00E83D83">
        <w:t xml:space="preserve">Once the hidden identifier is removed, there are two possible formats of the barcode, one involving the date only and another involving date and time. If no time in the barcode, then 23:59 is assumed. </w:t>
      </w:r>
    </w:p>
    <w:p w14:paraId="71F9119F" w14:textId="05E61BBD" w:rsidR="006B317D" w:rsidRPr="006B317D" w:rsidRDefault="00062337" w:rsidP="00447812">
      <w:pPr>
        <w:pStyle w:val="ListBullet"/>
      </w:pPr>
      <w:r w:rsidRPr="006B317D">
        <w:rPr>
          <w:vanish/>
        </w:rPr>
        <w:t xml:space="preserve">BR_1.79 </w:t>
      </w:r>
      <w:r w:rsidRPr="00AC04C2">
        <w:t>VBECS supports the scanning of ISBT 128 2-d barcodes by detecting the appropriate hidden identifier. Once the hidden identifier is removed, the 2-d barcode represents one or more scan codes, depending on the value scanned.</w:t>
      </w:r>
    </w:p>
    <w:p w14:paraId="13C48420" w14:textId="77BEE8E2" w:rsidR="004E2550" w:rsidRPr="004E2550" w:rsidRDefault="004E2550" w:rsidP="004E2550">
      <w:pPr>
        <w:pStyle w:val="ListBullet"/>
      </w:pPr>
      <w:r w:rsidRPr="004E2550">
        <w:rPr>
          <w:vanish/>
        </w:rPr>
        <w:t xml:space="preserve">BR_1.78 </w:t>
      </w:r>
      <w:r w:rsidRPr="004E2550">
        <w:t>VBECS supports the scanning of ISBT 128 special testing information barcodes by detecting the appropriate hidden identifiers.</w:t>
      </w:r>
      <w:r>
        <w:t xml:space="preserve"> </w:t>
      </w:r>
      <w:r w:rsidRPr="0030088C">
        <w:rPr>
          <w:rFonts w:cs="Arial"/>
        </w:rPr>
        <w:t xml:space="preserve">Once the hidden identifier is removed, the </w:t>
      </w:r>
      <w:r>
        <w:rPr>
          <w:rFonts w:cs="Arial"/>
        </w:rPr>
        <w:t>special testing code is a varying length of digits, depending on the type of special testing barcode scanned.</w:t>
      </w:r>
    </w:p>
    <w:p w14:paraId="4A5F04DF" w14:textId="3AB0F9A7" w:rsidR="00A62384" w:rsidRDefault="00A62384" w:rsidP="00A62384">
      <w:pPr>
        <w:pStyle w:val="ListBullet"/>
      </w:pPr>
      <w:r>
        <w:t>Data are never deleted: they are saved indefinitely.</w:t>
      </w:r>
    </w:p>
    <w:p w14:paraId="3A4AC703" w14:textId="77777777" w:rsidR="00EF6BBD" w:rsidRDefault="00EF6BBD" w:rsidP="00A62384">
      <w:pPr>
        <w:pStyle w:val="ListBullet"/>
      </w:pPr>
      <w:r>
        <w:t xml:space="preserve">Although a user may </w:t>
      </w:r>
      <w:r w:rsidR="00C71503">
        <w:t xml:space="preserve">appear to </w:t>
      </w:r>
      <w:r>
        <w:t>select and delete data in gray fields, VBECS does not save such edits.</w:t>
      </w:r>
    </w:p>
    <w:p w14:paraId="61C19C6C" w14:textId="77777777" w:rsidR="00993A74" w:rsidRDefault="00993A74" w:rsidP="00A62384">
      <w:pPr>
        <w:pStyle w:val="ListBullet"/>
      </w:pPr>
      <w:r>
        <w:t xml:space="preserve">A column’s width may be adjusted or hidden for a session. This view returns to the default presentation when the view is opened again. </w:t>
      </w:r>
      <w:r w:rsidRPr="00C242AA">
        <w:rPr>
          <w:vanish/>
        </w:rPr>
        <w:t>DR 2218</w:t>
      </w:r>
    </w:p>
    <w:p w14:paraId="5B9ACF5F" w14:textId="77777777" w:rsidR="003128E0" w:rsidRDefault="003128E0" w:rsidP="003128E0">
      <w:pPr>
        <w:pStyle w:val="ListBullet"/>
      </w:pPr>
      <w:r w:rsidRPr="003128E0">
        <w:rPr>
          <w:vanish/>
        </w:rPr>
        <w:t xml:space="preserve">BR_2.19 </w:t>
      </w:r>
      <w:r>
        <w:t>The ABO/Rh confirmation worklist may be sorted by Unit ID, ABO/Rh, Product Type, Component Type, or Date/Time Received. When displaying the Date/Time Received, seconds are not displayed, but are used to sort the worklist when selecting Date/Time Received for the worklist sort criteria.</w:t>
      </w:r>
    </w:p>
    <w:p w14:paraId="5D125E2E" w14:textId="77777777" w:rsidR="00A62384" w:rsidRDefault="00A62384" w:rsidP="00A62384">
      <w:pPr>
        <w:pStyle w:val="Heading3"/>
      </w:pPr>
      <w:bookmarkStart w:id="51" w:name="_Toc163644846"/>
      <w:r>
        <w:t>Searching the Database</w:t>
      </w:r>
      <w:bookmarkEnd w:id="51"/>
      <w:r>
        <w:fldChar w:fldCharType="begin"/>
      </w:r>
      <w:r>
        <w:instrText xml:space="preserve"> XE </w:instrText>
      </w:r>
      <w:r w:rsidR="00FA7E65">
        <w:instrText>“</w:instrText>
      </w:r>
      <w:r>
        <w:instrText>Searching the Database</w:instrText>
      </w:r>
      <w:r w:rsidR="00FA7E65">
        <w:instrText>”</w:instrText>
      </w:r>
      <w:r>
        <w:instrText xml:space="preserve"> </w:instrText>
      </w:r>
      <w:r>
        <w:fldChar w:fldCharType="end"/>
      </w:r>
    </w:p>
    <w:p w14:paraId="24B3EF6B" w14:textId="77777777" w:rsidR="00A62384" w:rsidRDefault="00A62384" w:rsidP="00A62384">
      <w:pPr>
        <w:pStyle w:val="ListBullet"/>
      </w:pPr>
      <w:r>
        <w:rPr>
          <w:vanish/>
          <w:spacing w:val="0"/>
        </w:rPr>
        <w:t xml:space="preserve">BR_3.20 </w:t>
      </w:r>
      <w:r>
        <w:rPr>
          <w:rFonts w:cs="Arial"/>
        </w:rPr>
        <w:t>A user may</w:t>
      </w:r>
      <w:r>
        <w:t xml:space="preserve"> search for a patient by:</w:t>
      </w:r>
    </w:p>
    <w:p w14:paraId="25F49425" w14:textId="278DB675" w:rsidR="00A62384" w:rsidRDefault="005D2D3B" w:rsidP="0077424C">
      <w:pPr>
        <w:pStyle w:val="ListBullet2"/>
        <w:ind w:left="990" w:hanging="342"/>
      </w:pPr>
      <w:r>
        <w:t>Patient’s l</w:t>
      </w:r>
      <w:r w:rsidR="00A62384">
        <w:t>ast name</w:t>
      </w:r>
      <w:r w:rsidR="00141237">
        <w:t xml:space="preserve"> (symbols such as</w:t>
      </w:r>
      <w:r>
        <w:t xml:space="preserve"> an apostrophe and/or dash are not allowed)</w:t>
      </w:r>
    </w:p>
    <w:p w14:paraId="32E412BA" w14:textId="1E2B9A51" w:rsidR="00A62384" w:rsidRDefault="005D2D3B" w:rsidP="0077424C">
      <w:pPr>
        <w:pStyle w:val="ListBullet2"/>
        <w:ind w:left="990" w:hanging="342"/>
      </w:pPr>
      <w:r>
        <w:t xml:space="preserve">Patient’s </w:t>
      </w:r>
      <w:r w:rsidR="00A62384">
        <w:t>ID</w:t>
      </w:r>
      <w:r w:rsidR="00882CF0">
        <w:t xml:space="preserve"> </w:t>
      </w:r>
      <w:r w:rsidR="00EB26C9">
        <w:t>(omit hyphens)</w:t>
      </w:r>
      <w:r w:rsidR="006F2228">
        <w:t xml:space="preserve"> (“Full”)</w:t>
      </w:r>
    </w:p>
    <w:p w14:paraId="72AF47C1" w14:textId="2E223C52" w:rsidR="00A62384" w:rsidRDefault="005D2D3B" w:rsidP="0077424C">
      <w:pPr>
        <w:pStyle w:val="ListBullet2"/>
        <w:ind w:left="990" w:hanging="342"/>
      </w:pPr>
      <w:r>
        <w:t>Patient’s last i</w:t>
      </w:r>
      <w:r w:rsidR="00A62384">
        <w:t xml:space="preserve">nitial and last four </w:t>
      </w:r>
      <w:r>
        <w:t>digits</w:t>
      </w:r>
      <w:r w:rsidR="00A62384">
        <w:t xml:space="preserve"> of the ID</w:t>
      </w:r>
      <w:r w:rsidR="006F2228">
        <w:t xml:space="preserve"> (“Last </w:t>
      </w:r>
      <w:r>
        <w:t>4</w:t>
      </w:r>
      <w:r w:rsidR="006F2228">
        <w:t>”)</w:t>
      </w:r>
    </w:p>
    <w:p w14:paraId="49609D51" w14:textId="32C0E268" w:rsidR="00A62384" w:rsidRDefault="005D2D3B" w:rsidP="0077424C">
      <w:pPr>
        <w:pStyle w:val="ListBullet2"/>
        <w:ind w:left="990" w:hanging="342"/>
      </w:pPr>
      <w:r>
        <w:t>Patient’s l</w:t>
      </w:r>
      <w:r w:rsidR="00A62384">
        <w:t xml:space="preserve">ast four </w:t>
      </w:r>
      <w:r>
        <w:t>digits</w:t>
      </w:r>
      <w:r w:rsidR="00A62384">
        <w:t xml:space="preserve"> of the ID</w:t>
      </w:r>
      <w:r w:rsidR="006F2228">
        <w:t xml:space="preserve"> (“Last 4”)</w:t>
      </w:r>
    </w:p>
    <w:p w14:paraId="3736A7AF" w14:textId="77777777" w:rsidR="005D2D3B" w:rsidRPr="005D2D3B" w:rsidRDefault="005D2D3B" w:rsidP="005D2D3B">
      <w:pPr>
        <w:pStyle w:val="ListBullet"/>
        <w:rPr>
          <w:rFonts w:cs="Arial"/>
        </w:rPr>
      </w:pPr>
      <w:r w:rsidRPr="005D2D3B">
        <w:rPr>
          <w:rFonts w:cs="Arial"/>
        </w:rPr>
        <w:t>For example, for a patient whose last name is TEST with an ID of 000-11-2222:</w:t>
      </w:r>
    </w:p>
    <w:p w14:paraId="46CBBCEA" w14:textId="7BF7FBAC" w:rsidR="005D2D3B" w:rsidRPr="00374A4B" w:rsidRDefault="005D2D3B" w:rsidP="0077424C">
      <w:pPr>
        <w:pStyle w:val="ListBullet2"/>
        <w:ind w:left="990" w:hanging="342"/>
      </w:pPr>
      <w:r w:rsidRPr="00374A4B">
        <w:t xml:space="preserve">Patient's last name: user enters "TEST" </w:t>
      </w:r>
    </w:p>
    <w:p w14:paraId="111B3CC5" w14:textId="0ED23BA3" w:rsidR="005D2D3B" w:rsidRPr="00374A4B" w:rsidRDefault="005D2D3B" w:rsidP="0077424C">
      <w:pPr>
        <w:pStyle w:val="ListBullet2"/>
        <w:ind w:left="990" w:hanging="342"/>
      </w:pPr>
      <w:r w:rsidRPr="00374A4B">
        <w:t>Patient's ID: user enters "000112</w:t>
      </w:r>
      <w:r w:rsidR="00326905">
        <w:t>2</w:t>
      </w:r>
      <w:r w:rsidRPr="00374A4B">
        <w:t>22" (no dashes or spaces)</w:t>
      </w:r>
    </w:p>
    <w:p w14:paraId="5CF70A49" w14:textId="74294097" w:rsidR="005D2D3B" w:rsidRPr="00374A4B" w:rsidRDefault="005D2D3B" w:rsidP="0077424C">
      <w:pPr>
        <w:pStyle w:val="ListBullet2"/>
        <w:ind w:left="990" w:hanging="342"/>
      </w:pPr>
      <w:r w:rsidRPr="00374A4B">
        <w:t>Patient's last initial and last four digits of the patient ID: user enters "T2222" (no dashes or spaces)</w:t>
      </w:r>
    </w:p>
    <w:p w14:paraId="0C527F9E" w14:textId="7E6E7210" w:rsidR="005D2D3B" w:rsidRPr="00374A4B" w:rsidRDefault="005D2D3B" w:rsidP="0077424C">
      <w:pPr>
        <w:pStyle w:val="ListBullet2"/>
        <w:ind w:left="990" w:hanging="342"/>
      </w:pPr>
      <w:r w:rsidRPr="00374A4B">
        <w:t xml:space="preserve">Patient's last four digits of the patient ID: user enters "2222" </w:t>
      </w:r>
    </w:p>
    <w:p w14:paraId="35DFDB02" w14:textId="576FEE0C" w:rsidR="005D2D3B" w:rsidRPr="000A23ED" w:rsidRDefault="005D2D3B" w:rsidP="00181A5E">
      <w:pPr>
        <w:pStyle w:val="ListBullet"/>
      </w:pPr>
      <w:r w:rsidRPr="000A23ED">
        <w:t xml:space="preserve">The </w:t>
      </w:r>
      <w:r w:rsidRPr="00181A5E">
        <w:rPr>
          <w:rFonts w:cs="Arial"/>
        </w:rPr>
        <w:t>system</w:t>
      </w:r>
      <w:r w:rsidRPr="000A23ED">
        <w:t xml:space="preserve"> displays all patients that fit the search criteria, allowing the user to select a patient from a pick list.</w:t>
      </w:r>
    </w:p>
    <w:p w14:paraId="5A2FFFA3" w14:textId="6555E42D" w:rsidR="005D2D3B" w:rsidRPr="000A23ED" w:rsidRDefault="005D2D3B" w:rsidP="000A23ED">
      <w:pPr>
        <w:pStyle w:val="TableText"/>
        <w:ind w:left="648"/>
        <w:rPr>
          <w:rFonts w:ascii="Times New Roman" w:hAnsi="Times New Roman"/>
          <w:sz w:val="22"/>
          <w:szCs w:val="22"/>
        </w:rPr>
      </w:pPr>
      <w:r w:rsidRPr="00BF4EC3">
        <w:rPr>
          <w:rFonts w:ascii="Times New Roman" w:hAnsi="Times New Roman"/>
          <w:b/>
          <w:sz w:val="22"/>
          <w:szCs w:val="22"/>
        </w:rPr>
        <w:t>Note:</w:t>
      </w:r>
      <w:r w:rsidRPr="000A23ED">
        <w:rPr>
          <w:rFonts w:ascii="Times New Roman" w:hAnsi="Times New Roman"/>
          <w:sz w:val="22"/>
          <w:szCs w:val="22"/>
        </w:rPr>
        <w:t xml:space="preserve"> Searching by last four digits on the patient ID in VBECS against the VistA database will return matches on the last four digits or the first four digits.</w:t>
      </w:r>
      <w:r w:rsidR="00A113B2">
        <w:rPr>
          <w:rFonts w:ascii="Times New Roman" w:hAnsi="Times New Roman"/>
          <w:sz w:val="22"/>
          <w:szCs w:val="22"/>
        </w:rPr>
        <w:t xml:space="preserve"> </w:t>
      </w:r>
      <w:r w:rsidRPr="000A23ED">
        <w:rPr>
          <w:rFonts w:ascii="Times New Roman" w:hAnsi="Times New Roman"/>
          <w:sz w:val="22"/>
          <w:szCs w:val="22"/>
        </w:rPr>
        <w:t>The following search formats in VistA are not allowed in VBECS:</w:t>
      </w:r>
    </w:p>
    <w:p w14:paraId="7E6F0121" w14:textId="77777777" w:rsidR="005D2D3B" w:rsidRPr="000A23ED" w:rsidRDefault="005D2D3B" w:rsidP="0077424C">
      <w:pPr>
        <w:pStyle w:val="ListBullet2"/>
        <w:ind w:left="990" w:hanging="342"/>
      </w:pPr>
      <w:r w:rsidRPr="000A23ED">
        <w:t>Last name, first name</w:t>
      </w:r>
    </w:p>
    <w:p w14:paraId="038B44EE" w14:textId="6E1ABF14" w:rsidR="005D2D3B" w:rsidRPr="000A23ED" w:rsidRDefault="005D2D3B" w:rsidP="0077424C">
      <w:pPr>
        <w:pStyle w:val="ListBullet2"/>
        <w:ind w:left="990" w:hanging="342"/>
      </w:pPr>
      <w:r w:rsidRPr="000A23ED">
        <w:t>Various patient ID lengths other than 4 or 9 digits</w:t>
      </w:r>
    </w:p>
    <w:p w14:paraId="01205455" w14:textId="57506883" w:rsidR="005D2D3B" w:rsidRPr="000A23ED" w:rsidRDefault="003E2E8A" w:rsidP="0077424C">
      <w:pPr>
        <w:pStyle w:val="ListBullet2"/>
        <w:ind w:left="990" w:hanging="342"/>
      </w:pPr>
      <w:r w:rsidRPr="000A23ED">
        <w:t>VistA Patient ID</w:t>
      </w:r>
    </w:p>
    <w:p w14:paraId="1A7FFCFA" w14:textId="77777777" w:rsidR="00A62384" w:rsidRDefault="00A62384" w:rsidP="00A62384">
      <w:pPr>
        <w:pStyle w:val="ListBullet"/>
      </w:pPr>
      <w:r>
        <w:rPr>
          <w:vanish/>
          <w:spacing w:val="0"/>
        </w:rPr>
        <w:t xml:space="preserve">BR_4.01 </w:t>
      </w:r>
      <w:r>
        <w:t xml:space="preserve">A user must scan or enter a unit ID and a product code to select a unit from inventory. </w:t>
      </w:r>
    </w:p>
    <w:p w14:paraId="3B18C069" w14:textId="77777777" w:rsidR="00A62384" w:rsidRDefault="00A62384" w:rsidP="00A62384">
      <w:pPr>
        <w:pStyle w:val="ListBullet"/>
        <w:rPr>
          <w:vanish/>
          <w:spacing w:val="0"/>
        </w:rPr>
      </w:pPr>
      <w:r>
        <w:rPr>
          <w:vanish/>
          <w:spacing w:val="0"/>
        </w:rPr>
        <w:t>BR_6.02 This rule is included in the Security section.)</w:t>
      </w:r>
    </w:p>
    <w:p w14:paraId="3F9A61D3" w14:textId="77777777" w:rsidR="00413ECA" w:rsidRDefault="00A62384" w:rsidP="00413ECA">
      <w:pPr>
        <w:pStyle w:val="ListBullet"/>
      </w:pPr>
      <w:r w:rsidRPr="00B36B12">
        <w:rPr>
          <w:vanish/>
          <w:spacing w:val="0"/>
        </w:rPr>
        <w:t>BR_27.13</w:t>
      </w:r>
      <w:r>
        <w:rPr>
          <w:vanish/>
          <w:spacing w:val="0"/>
        </w:rPr>
        <w:t xml:space="preserve"> </w:t>
      </w:r>
      <w:r>
        <w:t>When VBECS does not find a unit record, it displays an error message stating that the unit wa</w:t>
      </w:r>
      <w:r w:rsidR="00413ECA">
        <w:t>s not found and instructing the user to reenter unit information. A user may close this message</w:t>
      </w:r>
      <w:r w:rsidR="0049278C">
        <w:t xml:space="preserve">, click </w:t>
      </w:r>
      <w:r w:rsidR="0049278C" w:rsidRPr="0049278C">
        <w:rPr>
          <w:b/>
        </w:rPr>
        <w:t>Clear</w:t>
      </w:r>
      <w:r w:rsidR="0049278C">
        <w:t>,</w:t>
      </w:r>
      <w:r w:rsidR="00413ECA">
        <w:t xml:space="preserve"> and enter </w:t>
      </w:r>
      <w:r w:rsidR="0049278C">
        <w:t>another</w:t>
      </w:r>
      <w:r w:rsidR="00413ECA">
        <w:t xml:space="preserve"> unit ID and product code.</w:t>
      </w:r>
      <w:r w:rsidR="0049278C">
        <w:t xml:space="preserve"> </w:t>
      </w:r>
    </w:p>
    <w:p w14:paraId="20A7A1CA" w14:textId="77777777" w:rsidR="00D776D1" w:rsidRDefault="00413ECA" w:rsidP="00D776D1">
      <w:pPr>
        <w:pStyle w:val="ListBullet"/>
      </w:pPr>
      <w:r>
        <w:rPr>
          <w:vanish/>
          <w:spacing w:val="0"/>
        </w:rPr>
        <w:t xml:space="preserve">BR_5.02 </w:t>
      </w:r>
      <w:r>
        <w:t>VBECS lists all or part of a division</w:t>
      </w:r>
      <w:r w:rsidR="00FA7E65">
        <w:t>’</w:t>
      </w:r>
      <w:r w:rsidR="00A62384">
        <w:t>s blood component inventory, based on system rules. A user may enter a varied co</w:t>
      </w:r>
      <w:r w:rsidR="00D776D1">
        <w:t>mbination of unit information to create a customized list of selectable units, including:</w:t>
      </w:r>
    </w:p>
    <w:p w14:paraId="59F67675" w14:textId="77777777" w:rsidR="00D776D1" w:rsidRDefault="00D776D1" w:rsidP="0077424C">
      <w:pPr>
        <w:pStyle w:val="ListBullet2"/>
        <w:ind w:left="990" w:hanging="342"/>
      </w:pPr>
      <w:r>
        <w:t>Unit ID</w:t>
      </w:r>
    </w:p>
    <w:p w14:paraId="5F2B498F" w14:textId="77777777" w:rsidR="00D776D1" w:rsidRDefault="00D776D1" w:rsidP="0077424C">
      <w:pPr>
        <w:pStyle w:val="ListBullet2"/>
        <w:ind w:left="990" w:hanging="342"/>
      </w:pPr>
      <w:r>
        <w:t>Product type</w:t>
      </w:r>
    </w:p>
    <w:p w14:paraId="1AB1D1BC" w14:textId="77777777" w:rsidR="00D776D1" w:rsidRDefault="00D776D1" w:rsidP="0077424C">
      <w:pPr>
        <w:pStyle w:val="ListBullet2"/>
        <w:ind w:left="990" w:hanging="342"/>
      </w:pPr>
      <w:r>
        <w:t>ABO/Rh</w:t>
      </w:r>
    </w:p>
    <w:p w14:paraId="32C7EA85" w14:textId="417D26E3" w:rsidR="00D776D1" w:rsidRDefault="00D776D1" w:rsidP="0077424C">
      <w:pPr>
        <w:pStyle w:val="ListBullet2"/>
        <w:ind w:left="990" w:hanging="342"/>
      </w:pPr>
      <w:r>
        <w:lastRenderedPageBreak/>
        <w:t>Special testing</w:t>
      </w:r>
      <w:r w:rsidR="00C233B7">
        <w:t xml:space="preserve"> (CMV Neg, SC Neg, or equal to or greater than (= &gt;)</w:t>
      </w:r>
      <w:r w:rsidR="002D3BEC">
        <w:t xml:space="preserve"> 2 </w:t>
      </w:r>
      <w:r w:rsidR="00823261">
        <w:t>mL RBC</w:t>
      </w:r>
      <w:r w:rsidR="005E43F0">
        <w:t xml:space="preserve"> </w:t>
      </w:r>
      <w:r w:rsidR="00823261">
        <w:t>Contamination)</w:t>
      </w:r>
    </w:p>
    <w:p w14:paraId="3A7CC643" w14:textId="77777777" w:rsidR="00D776D1" w:rsidRDefault="00D776D1" w:rsidP="0077424C">
      <w:pPr>
        <w:pStyle w:val="ListBullet2"/>
        <w:ind w:left="990" w:hanging="342"/>
      </w:pPr>
      <w:r>
        <w:t>RBC antigens (available only for the RED BLOOD CELLS component class)</w:t>
      </w:r>
    </w:p>
    <w:p w14:paraId="5FCEB8ED" w14:textId="77777777" w:rsidR="00A62384" w:rsidRDefault="00D776D1" w:rsidP="0077424C">
      <w:pPr>
        <w:pStyle w:val="ListBullet2"/>
        <w:ind w:left="990" w:hanging="342"/>
      </w:pPr>
      <w:r>
        <w:t>Received date range</w:t>
      </w:r>
    </w:p>
    <w:p w14:paraId="18994BF8" w14:textId="77777777" w:rsidR="00A62384" w:rsidRDefault="00A62384" w:rsidP="0077424C">
      <w:pPr>
        <w:pStyle w:val="ListBullet2"/>
        <w:ind w:left="990" w:hanging="342"/>
      </w:pPr>
      <w:r>
        <w:t>Expiration date range</w:t>
      </w:r>
    </w:p>
    <w:p w14:paraId="55DFB22A" w14:textId="77777777" w:rsidR="00A62384" w:rsidRDefault="00A62384" w:rsidP="00181A5E">
      <w:pPr>
        <w:pStyle w:val="ListBullet"/>
      </w:pPr>
      <w:r>
        <w:t xml:space="preserve">VBECS displays this unit information in the selection list whether full inventory, subset, or filtered subset: </w:t>
      </w:r>
    </w:p>
    <w:p w14:paraId="01C2E4E8" w14:textId="77777777" w:rsidR="00A62384" w:rsidRDefault="00A62384" w:rsidP="0077424C">
      <w:pPr>
        <w:pStyle w:val="ListBullet2"/>
        <w:ind w:left="990" w:hanging="342"/>
      </w:pPr>
      <w:r>
        <w:t>Unit ID</w:t>
      </w:r>
    </w:p>
    <w:p w14:paraId="2CD43E1F" w14:textId="77777777" w:rsidR="00A62384" w:rsidRDefault="00A62384" w:rsidP="0077424C">
      <w:pPr>
        <w:pStyle w:val="ListBullet2"/>
        <w:ind w:left="990" w:hanging="342"/>
      </w:pPr>
      <w:r>
        <w:t>Unit ABO/Rh</w:t>
      </w:r>
    </w:p>
    <w:p w14:paraId="655FFAB0" w14:textId="77777777" w:rsidR="00A62384" w:rsidRDefault="00A62384" w:rsidP="0077424C">
      <w:pPr>
        <w:pStyle w:val="ListBullet2"/>
        <w:ind w:left="990" w:hanging="342"/>
      </w:pPr>
      <w:r>
        <w:t>Product short name</w:t>
      </w:r>
    </w:p>
    <w:p w14:paraId="2E211119" w14:textId="77777777" w:rsidR="00A62384" w:rsidRDefault="00A62384" w:rsidP="0077424C">
      <w:pPr>
        <w:pStyle w:val="ListBullet2"/>
        <w:ind w:left="990" w:hanging="342"/>
      </w:pPr>
      <w:r>
        <w:t>Product code</w:t>
      </w:r>
    </w:p>
    <w:p w14:paraId="4599B9C8" w14:textId="77777777" w:rsidR="00A62384" w:rsidRDefault="00A62384" w:rsidP="0077424C">
      <w:pPr>
        <w:pStyle w:val="ListBullet2"/>
        <w:ind w:left="990" w:hanging="342"/>
      </w:pPr>
      <w:r>
        <w:t>Unit status</w:t>
      </w:r>
    </w:p>
    <w:p w14:paraId="3579155C" w14:textId="77777777" w:rsidR="00A62384" w:rsidRDefault="00A62384" w:rsidP="0077424C">
      <w:pPr>
        <w:pStyle w:val="ListBullet2"/>
        <w:ind w:left="990" w:hanging="342"/>
      </w:pPr>
      <w:r>
        <w:t>Unit expiration date</w:t>
      </w:r>
    </w:p>
    <w:p w14:paraId="01352CE3" w14:textId="77777777" w:rsidR="00A62384" w:rsidRDefault="00A62384" w:rsidP="0077424C">
      <w:pPr>
        <w:pStyle w:val="ListBullet2"/>
        <w:ind w:left="990" w:hanging="342"/>
      </w:pPr>
      <w:r>
        <w:t>Donation type</w:t>
      </w:r>
    </w:p>
    <w:p w14:paraId="7007B85C" w14:textId="77777777" w:rsidR="00176C67" w:rsidRDefault="00176C67" w:rsidP="0077424C">
      <w:pPr>
        <w:pStyle w:val="ListBullet2"/>
        <w:ind w:left="990" w:hanging="342"/>
      </w:pPr>
      <w:r>
        <w:t>Restricted f</w:t>
      </w:r>
      <w:r w:rsidR="00823261">
        <w:t>or patient name, when available</w:t>
      </w:r>
    </w:p>
    <w:p w14:paraId="73388E97" w14:textId="77777777" w:rsidR="00A62384" w:rsidRDefault="00A62384" w:rsidP="0077424C">
      <w:pPr>
        <w:pStyle w:val="ListBullet2"/>
        <w:ind w:left="990" w:hanging="342"/>
      </w:pPr>
      <w:r>
        <w:t>Date and time received (standard format)</w:t>
      </w:r>
    </w:p>
    <w:p w14:paraId="5BC33542" w14:textId="77777777" w:rsidR="00A62384" w:rsidRDefault="00A62384" w:rsidP="00A62384">
      <w:pPr>
        <w:pStyle w:val="Heading3"/>
      </w:pPr>
      <w:bookmarkStart w:id="52" w:name="_Toc163644847"/>
      <w:r>
        <w:t>Testing</w:t>
      </w:r>
      <w:bookmarkEnd w:id="52"/>
      <w:r>
        <w:fldChar w:fldCharType="begin"/>
      </w:r>
      <w:r>
        <w:instrText xml:space="preserve"> XE </w:instrText>
      </w:r>
      <w:r w:rsidR="00FA7E65">
        <w:instrText>“</w:instrText>
      </w:r>
      <w:r>
        <w:instrText>Testing</w:instrText>
      </w:r>
      <w:r w:rsidR="00FA7E65">
        <w:instrText>”</w:instrText>
      </w:r>
      <w:r>
        <w:instrText xml:space="preserve"> </w:instrText>
      </w:r>
      <w:r>
        <w:fldChar w:fldCharType="end"/>
      </w:r>
    </w:p>
    <w:p w14:paraId="6ADF0F4C" w14:textId="77777777" w:rsidR="00FB5C42" w:rsidRDefault="00154095" w:rsidP="00A62384">
      <w:pPr>
        <w:pStyle w:val="Lis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377EE1">
        <w:t xml:space="preserve">Administrator/Supervisors may configure reagent racks to use </w:t>
      </w:r>
      <w:r w:rsidR="002C1235">
        <w:t xml:space="preserve">a </w:t>
      </w:r>
      <w:r w:rsidR="00377EE1">
        <w:t>tube</w:t>
      </w:r>
      <w:r w:rsidR="003937C6">
        <w:t xml:space="preserve">, solid phase, </w:t>
      </w:r>
      <w:r w:rsidR="00377EE1">
        <w:t xml:space="preserve">or gel </w:t>
      </w:r>
      <w:r w:rsidR="002C1235">
        <w:t>method</w:t>
      </w:r>
      <w:r w:rsidR="00377EE1">
        <w:t xml:space="preserve">. </w:t>
      </w:r>
    </w:p>
    <w:p w14:paraId="0A5ACD26" w14:textId="77777777" w:rsidR="004B7774" w:rsidRDefault="000873D0" w:rsidP="0077424C">
      <w:pPr>
        <w:pStyle w:val="ListBullet2"/>
        <w:ind w:left="990" w:hanging="342"/>
      </w:pPr>
      <w:r>
        <w:t xml:space="preserve">VBECS allows a user to </w:t>
      </w:r>
      <w:r w:rsidR="001F33D5">
        <w:t>perform QC testing at AHG and later perform patient testing at all phases using a rack configured for AHG only</w:t>
      </w:r>
      <w:r>
        <w:t xml:space="preserve">. </w:t>
      </w:r>
    </w:p>
    <w:p w14:paraId="587CEC11" w14:textId="77777777" w:rsidR="004B7774" w:rsidRDefault="00FF4225" w:rsidP="0077424C">
      <w:pPr>
        <w:pStyle w:val="ListBullet2"/>
        <w:ind w:left="990" w:hanging="342"/>
      </w:pPr>
      <w:r>
        <w:t xml:space="preserve">VBECS does not verify that the phase of testing matches the reagents used for testing. </w:t>
      </w:r>
    </w:p>
    <w:p w14:paraId="4B792A08" w14:textId="77777777" w:rsidR="00FB5C42" w:rsidRDefault="000F57D8" w:rsidP="0077424C">
      <w:pPr>
        <w:pStyle w:val="ListBullet2"/>
        <w:ind w:left="990" w:hanging="342"/>
      </w:pPr>
      <w:r>
        <w:t xml:space="preserve">Users </w:t>
      </w:r>
      <w:r w:rsidR="00B3507E">
        <w:t>working with</w:t>
      </w:r>
      <w:r w:rsidR="00D47277">
        <w:t xml:space="preserve"> reagent racks </w:t>
      </w:r>
      <w:r w:rsidR="00B3507E">
        <w:t>containing</w:t>
      </w:r>
      <w:r w:rsidR="00D47277">
        <w:t xml:space="preserve"> different reagents must </w:t>
      </w:r>
      <w:r w:rsidR="001911CF">
        <w:t>do so in accordance with</w:t>
      </w:r>
      <w:r w:rsidR="00D47277">
        <w:t xml:space="preserve"> local policy and procedure</w:t>
      </w:r>
      <w:r w:rsidR="00440BE1">
        <w:t>s</w:t>
      </w:r>
      <w:r w:rsidR="00D47277">
        <w:t xml:space="preserve">. </w:t>
      </w:r>
    </w:p>
    <w:p w14:paraId="024E574B" w14:textId="77777777" w:rsidR="0048460C" w:rsidRDefault="00A62384" w:rsidP="00A62384">
      <w:pPr>
        <w:pStyle w:val="ListBullet"/>
      </w:pPr>
      <w:r>
        <w:t>Reaction result cells in the data grid contain only symbols. A legend of the symbols and their meanings, specific to the data grid and its truth tables, is located in the bottom left corner of the form and is available to the user throughout data entry.</w:t>
      </w:r>
      <w:r w:rsidR="0048460C" w:rsidRPr="0048460C">
        <w:t xml:space="preserve"> </w:t>
      </w:r>
    </w:p>
    <w:p w14:paraId="51CE13A8" w14:textId="0A6C6200" w:rsidR="00D05436" w:rsidRDefault="0048460C" w:rsidP="00731D3A">
      <w:pPr>
        <w:pStyle w:val="ListBullet"/>
      </w:pPr>
      <w:r>
        <w:t xml:space="preserve">Entry of a symbol (not a number or letter) </w:t>
      </w:r>
      <w:r w:rsidRPr="0048460C">
        <w:t xml:space="preserve">into a test grid reaction result cell or interpretation </w:t>
      </w:r>
      <w:r>
        <w:t>field</w:t>
      </w:r>
      <w:r w:rsidRPr="0048460C">
        <w:t xml:space="preserve"> </w:t>
      </w:r>
      <w:r>
        <w:t>will not elicit a sy</w:t>
      </w:r>
      <w:r w:rsidRPr="0048460C">
        <w:t>stem response. The entry of the symbol is not allowed and does not overwrite the previous entry, if any</w:t>
      </w:r>
      <w:r w:rsidR="002106D5">
        <w:t xml:space="preserve">. </w:t>
      </w:r>
      <w:r w:rsidR="002106D5" w:rsidRPr="00331163">
        <w:t xml:space="preserve">See </w:t>
      </w:r>
      <w:r w:rsidR="00EE455E">
        <w:t xml:space="preserve">Table </w:t>
      </w:r>
      <w:r w:rsidR="00EE455E">
        <w:rPr>
          <w:noProof/>
        </w:rPr>
        <w:t>2</w:t>
      </w:r>
      <w:r w:rsidR="000405D5">
        <w:t xml:space="preserve"> </w:t>
      </w:r>
      <w:r w:rsidR="00D05436">
        <w:t>for valid observed test result entries.</w:t>
      </w:r>
    </w:p>
    <w:p w14:paraId="0C4F8B61" w14:textId="6DC5A168" w:rsidR="00E755C0" w:rsidRDefault="00E755C0" w:rsidP="00D05436">
      <w:pPr>
        <w:pStyle w:val="ListBullet"/>
      </w:pPr>
      <w:r>
        <w:t xml:space="preserve">After entering a canned or free-text comment in the testing comment field of the testing grid, the user must press </w:t>
      </w:r>
      <w:r w:rsidRPr="00E755C0">
        <w:rPr>
          <w:b/>
        </w:rPr>
        <w:t>Enter</w:t>
      </w:r>
      <w:r>
        <w:t xml:space="preserve"> to store the comment.</w:t>
      </w:r>
    </w:p>
    <w:p w14:paraId="62A2CB72" w14:textId="39B7DBA4" w:rsidR="00B071D4" w:rsidRDefault="00A62384" w:rsidP="00B071D4">
      <w:pPr>
        <w:pStyle w:val="ListBullet"/>
      </w:pPr>
      <w:r>
        <w:t xml:space="preserve">The user may enter canned comments in comment cells by selecting from a pick </w:t>
      </w:r>
      <w:r w:rsidR="00671459">
        <w:t>list or</w:t>
      </w:r>
      <w:r>
        <w:t xml:space="preserve"> enter free-text</w:t>
      </w:r>
      <w:r w:rsidR="005A3214">
        <w:t xml:space="preserve"> </w:t>
      </w:r>
      <w:r w:rsidR="00B071D4">
        <w:t>comments by selecting “Other.”</w:t>
      </w:r>
    </w:p>
    <w:p w14:paraId="3A93D913" w14:textId="77777777" w:rsidR="006B317D" w:rsidRDefault="006B317D">
      <w:pPr>
        <w:rPr>
          <w:b/>
          <w:sz w:val="22"/>
          <w:szCs w:val="22"/>
        </w:rPr>
      </w:pPr>
      <w:bookmarkStart w:id="53" w:name="_Ref256686283"/>
      <w:bookmarkStart w:id="54" w:name="_Ref524524574"/>
      <w:bookmarkStart w:id="55" w:name="_Ref524524567"/>
      <w:r>
        <w:br w:type="page"/>
      </w:r>
    </w:p>
    <w:p w14:paraId="1A63D1FF" w14:textId="4E4A0876" w:rsidR="00A62384" w:rsidRDefault="00B071D4" w:rsidP="000405D5">
      <w:pPr>
        <w:pStyle w:val="Caption"/>
        <w:tabs>
          <w:tab w:val="left" w:pos="4740"/>
        </w:tabs>
      </w:pPr>
      <w:bookmarkStart w:id="56" w:name="_Ref149117268"/>
      <w:r>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w:t>
      </w:r>
      <w:r w:rsidR="004E20BD">
        <w:rPr>
          <w:noProof/>
        </w:rPr>
        <w:fldChar w:fldCharType="end"/>
      </w:r>
      <w:bookmarkEnd w:id="53"/>
      <w:bookmarkEnd w:id="54"/>
      <w:bookmarkEnd w:id="56"/>
      <w:r>
        <w:t>: Valid Observed Test Result Entries</w:t>
      </w:r>
      <w:bookmarkEnd w:id="55"/>
      <w:r>
        <w:fldChar w:fldCharType="begin"/>
      </w:r>
      <w:r>
        <w:instrText xml:space="preserve"> XE “Tables:Valid Observed Test Results Entries” </w:instrText>
      </w:r>
      <w:r>
        <w:fldChar w:fldCharType="end"/>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F77F81" w14:paraId="0B06DB98" w14:textId="77777777">
        <w:trPr>
          <w:tblHeader/>
        </w:trPr>
        <w:tc>
          <w:tcPr>
            <w:tcW w:w="720" w:type="dxa"/>
            <w:shd w:val="clear" w:color="auto" w:fill="B3B3B3"/>
            <w:vAlign w:val="bottom"/>
          </w:tcPr>
          <w:p w14:paraId="027BE79A" w14:textId="77777777" w:rsidR="00F77F81" w:rsidRDefault="00F77F81" w:rsidP="008E68C8">
            <w:pPr>
              <w:pStyle w:val="TableText"/>
              <w:jc w:val="center"/>
              <w:rPr>
                <w:b/>
              </w:rPr>
            </w:pPr>
            <w:r>
              <w:rPr>
                <w:b/>
              </w:rPr>
              <w:t>Entry</w:t>
            </w:r>
          </w:p>
        </w:tc>
        <w:tc>
          <w:tcPr>
            <w:tcW w:w="3780" w:type="dxa"/>
            <w:gridSpan w:val="2"/>
            <w:shd w:val="clear" w:color="auto" w:fill="B3B3B3"/>
            <w:vAlign w:val="bottom"/>
          </w:tcPr>
          <w:p w14:paraId="6670A8C1" w14:textId="77777777" w:rsidR="00F77F81" w:rsidRDefault="00F77F81" w:rsidP="008E68C8">
            <w:pPr>
              <w:pStyle w:val="TableText"/>
              <w:jc w:val="center"/>
              <w:rPr>
                <w:b/>
              </w:rPr>
            </w:pPr>
            <w:r>
              <w:rPr>
                <w:b/>
              </w:rPr>
              <w:t>VBECS Translation</w:t>
            </w:r>
          </w:p>
        </w:tc>
      </w:tr>
      <w:tr w:rsidR="00F77F81" w14:paraId="211CEA4F" w14:textId="77777777">
        <w:tc>
          <w:tcPr>
            <w:tcW w:w="720" w:type="dxa"/>
            <w:vAlign w:val="bottom"/>
          </w:tcPr>
          <w:p w14:paraId="21231AC8" w14:textId="77777777" w:rsidR="00F77F81" w:rsidRDefault="00F77F81" w:rsidP="008E68C8">
            <w:pPr>
              <w:pStyle w:val="TableText"/>
              <w:jc w:val="center"/>
            </w:pPr>
            <w:r>
              <w:t>H</w:t>
            </w:r>
          </w:p>
        </w:tc>
        <w:tc>
          <w:tcPr>
            <w:tcW w:w="2520" w:type="dxa"/>
            <w:vAlign w:val="bottom"/>
          </w:tcPr>
          <w:p w14:paraId="5AC725D9" w14:textId="77777777" w:rsidR="00F77F81" w:rsidRDefault="00F77F81" w:rsidP="008E68C8">
            <w:pPr>
              <w:pStyle w:val="TableText"/>
            </w:pPr>
            <w:r>
              <w:t>Hemolysis</w:t>
            </w:r>
          </w:p>
        </w:tc>
        <w:tc>
          <w:tcPr>
            <w:tcW w:w="1260" w:type="dxa"/>
            <w:vAlign w:val="bottom"/>
          </w:tcPr>
          <w:p w14:paraId="2503E2B4" w14:textId="77777777" w:rsidR="00F77F81" w:rsidRDefault="00F77F81" w:rsidP="008E68C8">
            <w:pPr>
              <w:pStyle w:val="TableText"/>
            </w:pPr>
            <w:r>
              <w:t>Positive</w:t>
            </w:r>
          </w:p>
        </w:tc>
      </w:tr>
      <w:tr w:rsidR="00F77F81" w14:paraId="16C9A938" w14:textId="77777777">
        <w:tc>
          <w:tcPr>
            <w:tcW w:w="720" w:type="dxa"/>
            <w:vAlign w:val="bottom"/>
          </w:tcPr>
          <w:p w14:paraId="6D55A726" w14:textId="77777777" w:rsidR="00F77F81" w:rsidRDefault="00F77F81" w:rsidP="008E68C8">
            <w:pPr>
              <w:pStyle w:val="TableText"/>
              <w:jc w:val="center"/>
            </w:pPr>
            <w:r>
              <w:t>W</w:t>
            </w:r>
          </w:p>
        </w:tc>
        <w:tc>
          <w:tcPr>
            <w:tcW w:w="2520" w:type="dxa"/>
            <w:vAlign w:val="bottom"/>
          </w:tcPr>
          <w:p w14:paraId="09FA3D77" w14:textId="77777777" w:rsidR="00F77F81" w:rsidRDefault="00F77F81" w:rsidP="008E68C8">
            <w:pPr>
              <w:pStyle w:val="TableText"/>
            </w:pPr>
            <w:r>
              <w:t>Weak</w:t>
            </w:r>
          </w:p>
        </w:tc>
        <w:tc>
          <w:tcPr>
            <w:tcW w:w="1260" w:type="dxa"/>
            <w:vAlign w:val="bottom"/>
          </w:tcPr>
          <w:p w14:paraId="6014BDFE" w14:textId="77777777" w:rsidR="00F77F81" w:rsidRDefault="00F77F81" w:rsidP="008E68C8">
            <w:pPr>
              <w:pStyle w:val="TableText"/>
            </w:pPr>
            <w:r>
              <w:t>Positive</w:t>
            </w:r>
          </w:p>
        </w:tc>
      </w:tr>
      <w:tr w:rsidR="00F77F81" w14:paraId="228E424E" w14:textId="77777777">
        <w:tc>
          <w:tcPr>
            <w:tcW w:w="720" w:type="dxa"/>
            <w:vAlign w:val="bottom"/>
          </w:tcPr>
          <w:p w14:paraId="516D8B0E" w14:textId="77777777" w:rsidR="00F77F81" w:rsidRDefault="00F77F81" w:rsidP="008E68C8">
            <w:pPr>
              <w:pStyle w:val="TableText"/>
              <w:jc w:val="center"/>
            </w:pPr>
            <w:r>
              <w:t>F</w:t>
            </w:r>
          </w:p>
        </w:tc>
        <w:tc>
          <w:tcPr>
            <w:tcW w:w="2520" w:type="dxa"/>
            <w:vAlign w:val="bottom"/>
          </w:tcPr>
          <w:p w14:paraId="727C7D63" w14:textId="77777777" w:rsidR="00F77F81" w:rsidRDefault="00F77F81" w:rsidP="008E68C8">
            <w:pPr>
              <w:pStyle w:val="TableText"/>
            </w:pPr>
            <w:r>
              <w:t>Mixed Field</w:t>
            </w:r>
          </w:p>
        </w:tc>
        <w:tc>
          <w:tcPr>
            <w:tcW w:w="1260" w:type="dxa"/>
            <w:vAlign w:val="bottom"/>
          </w:tcPr>
          <w:p w14:paraId="2CE32EFC" w14:textId="77777777" w:rsidR="00F77F81" w:rsidRDefault="00F77F81" w:rsidP="008E68C8">
            <w:pPr>
              <w:pStyle w:val="TableText"/>
            </w:pPr>
            <w:r>
              <w:t>Positive</w:t>
            </w:r>
          </w:p>
        </w:tc>
      </w:tr>
      <w:tr w:rsidR="00F77F81" w14:paraId="18B36765" w14:textId="77777777">
        <w:tc>
          <w:tcPr>
            <w:tcW w:w="720" w:type="dxa"/>
            <w:vAlign w:val="bottom"/>
          </w:tcPr>
          <w:p w14:paraId="46926C1F" w14:textId="77777777" w:rsidR="00F77F81" w:rsidRDefault="00F77F81" w:rsidP="008E68C8">
            <w:pPr>
              <w:pStyle w:val="TableText"/>
              <w:jc w:val="center"/>
            </w:pPr>
            <w:r>
              <w:t>M</w:t>
            </w:r>
          </w:p>
        </w:tc>
        <w:tc>
          <w:tcPr>
            <w:tcW w:w="2520" w:type="dxa"/>
            <w:vAlign w:val="bottom"/>
          </w:tcPr>
          <w:p w14:paraId="7A4ACD88" w14:textId="77777777" w:rsidR="00F77F81" w:rsidRDefault="00F77F81" w:rsidP="008E68C8">
            <w:pPr>
              <w:pStyle w:val="TableText"/>
            </w:pPr>
            <w:r>
              <w:t>Microscopic</w:t>
            </w:r>
          </w:p>
        </w:tc>
        <w:tc>
          <w:tcPr>
            <w:tcW w:w="1260" w:type="dxa"/>
            <w:vAlign w:val="bottom"/>
          </w:tcPr>
          <w:p w14:paraId="22BBC64E" w14:textId="77777777" w:rsidR="00F77F81" w:rsidRDefault="00F77F81" w:rsidP="008E68C8">
            <w:pPr>
              <w:pStyle w:val="TableText"/>
            </w:pPr>
            <w:r>
              <w:t>Positive</w:t>
            </w:r>
          </w:p>
        </w:tc>
      </w:tr>
      <w:tr w:rsidR="00F77F81" w14:paraId="079713C9" w14:textId="77777777">
        <w:tc>
          <w:tcPr>
            <w:tcW w:w="720" w:type="dxa"/>
            <w:vAlign w:val="bottom"/>
          </w:tcPr>
          <w:p w14:paraId="359244FD" w14:textId="77777777" w:rsidR="00F77F81" w:rsidRDefault="00F77F81" w:rsidP="008E68C8">
            <w:pPr>
              <w:pStyle w:val="TableText"/>
              <w:jc w:val="center"/>
            </w:pPr>
            <w:r>
              <w:t>1</w:t>
            </w:r>
          </w:p>
        </w:tc>
        <w:tc>
          <w:tcPr>
            <w:tcW w:w="2520" w:type="dxa"/>
            <w:vAlign w:val="bottom"/>
          </w:tcPr>
          <w:p w14:paraId="476D79B2" w14:textId="77777777" w:rsidR="00F77F81" w:rsidRDefault="00F77F81" w:rsidP="008E68C8">
            <w:pPr>
              <w:pStyle w:val="TableText"/>
            </w:pPr>
            <w:r>
              <w:t>1+</w:t>
            </w:r>
          </w:p>
        </w:tc>
        <w:tc>
          <w:tcPr>
            <w:tcW w:w="1260" w:type="dxa"/>
            <w:vAlign w:val="bottom"/>
          </w:tcPr>
          <w:p w14:paraId="4DE28F0F" w14:textId="77777777" w:rsidR="00F77F81" w:rsidRDefault="00F77F81" w:rsidP="008E68C8">
            <w:pPr>
              <w:pStyle w:val="TableText"/>
            </w:pPr>
            <w:r>
              <w:t>Positive</w:t>
            </w:r>
          </w:p>
        </w:tc>
      </w:tr>
      <w:tr w:rsidR="00F77F81" w14:paraId="4DAB3E03" w14:textId="77777777">
        <w:tc>
          <w:tcPr>
            <w:tcW w:w="720" w:type="dxa"/>
            <w:vAlign w:val="bottom"/>
          </w:tcPr>
          <w:p w14:paraId="49DEB79F" w14:textId="77777777" w:rsidR="00F77F81" w:rsidRDefault="00F77F81" w:rsidP="008E68C8">
            <w:pPr>
              <w:pStyle w:val="TableText"/>
              <w:jc w:val="center"/>
            </w:pPr>
            <w:r>
              <w:t>2</w:t>
            </w:r>
          </w:p>
        </w:tc>
        <w:tc>
          <w:tcPr>
            <w:tcW w:w="2520" w:type="dxa"/>
            <w:vAlign w:val="bottom"/>
          </w:tcPr>
          <w:p w14:paraId="0037320C" w14:textId="77777777" w:rsidR="00F77F81" w:rsidRDefault="00F77F81" w:rsidP="008E68C8">
            <w:pPr>
              <w:pStyle w:val="TableText"/>
            </w:pPr>
            <w:r>
              <w:t>2+</w:t>
            </w:r>
          </w:p>
        </w:tc>
        <w:tc>
          <w:tcPr>
            <w:tcW w:w="1260" w:type="dxa"/>
            <w:vAlign w:val="bottom"/>
          </w:tcPr>
          <w:p w14:paraId="60879D52" w14:textId="77777777" w:rsidR="00F77F81" w:rsidRDefault="00F77F81" w:rsidP="008E68C8">
            <w:pPr>
              <w:pStyle w:val="TableText"/>
            </w:pPr>
            <w:r>
              <w:t>Positive</w:t>
            </w:r>
          </w:p>
        </w:tc>
      </w:tr>
      <w:tr w:rsidR="00F77F81" w14:paraId="5FA7D9AD" w14:textId="77777777">
        <w:tc>
          <w:tcPr>
            <w:tcW w:w="720" w:type="dxa"/>
            <w:vAlign w:val="bottom"/>
          </w:tcPr>
          <w:p w14:paraId="3D76DE8B" w14:textId="77777777" w:rsidR="00F77F81" w:rsidRDefault="00F77F81" w:rsidP="008E68C8">
            <w:pPr>
              <w:pStyle w:val="TableText"/>
              <w:jc w:val="center"/>
            </w:pPr>
            <w:r>
              <w:t>3</w:t>
            </w:r>
          </w:p>
        </w:tc>
        <w:tc>
          <w:tcPr>
            <w:tcW w:w="2520" w:type="dxa"/>
            <w:vAlign w:val="bottom"/>
          </w:tcPr>
          <w:p w14:paraId="14445217" w14:textId="77777777" w:rsidR="00F77F81" w:rsidRDefault="00F77F81" w:rsidP="008E68C8">
            <w:pPr>
              <w:pStyle w:val="TableText"/>
            </w:pPr>
            <w:r>
              <w:t>3+</w:t>
            </w:r>
          </w:p>
        </w:tc>
        <w:tc>
          <w:tcPr>
            <w:tcW w:w="1260" w:type="dxa"/>
            <w:vAlign w:val="bottom"/>
          </w:tcPr>
          <w:p w14:paraId="1C0DFCCC" w14:textId="77777777" w:rsidR="00F77F81" w:rsidRDefault="00F77F81" w:rsidP="008E68C8">
            <w:pPr>
              <w:pStyle w:val="TableText"/>
            </w:pPr>
            <w:r>
              <w:t>Positive</w:t>
            </w:r>
          </w:p>
        </w:tc>
      </w:tr>
      <w:tr w:rsidR="00F77F81" w14:paraId="1744A003" w14:textId="77777777">
        <w:tc>
          <w:tcPr>
            <w:tcW w:w="720" w:type="dxa"/>
            <w:vAlign w:val="bottom"/>
          </w:tcPr>
          <w:p w14:paraId="4556AB32" w14:textId="77777777" w:rsidR="00F77F81" w:rsidRDefault="00F77F81" w:rsidP="008E68C8">
            <w:pPr>
              <w:pStyle w:val="TableText"/>
              <w:jc w:val="center"/>
            </w:pPr>
            <w:r>
              <w:t>4</w:t>
            </w:r>
          </w:p>
        </w:tc>
        <w:tc>
          <w:tcPr>
            <w:tcW w:w="2520" w:type="dxa"/>
            <w:vAlign w:val="bottom"/>
          </w:tcPr>
          <w:p w14:paraId="28F285D7" w14:textId="77777777" w:rsidR="00F77F81" w:rsidRDefault="00F77F81" w:rsidP="008E68C8">
            <w:pPr>
              <w:pStyle w:val="TableText"/>
            </w:pPr>
            <w:r>
              <w:t>4+</w:t>
            </w:r>
          </w:p>
        </w:tc>
        <w:tc>
          <w:tcPr>
            <w:tcW w:w="1260" w:type="dxa"/>
            <w:vAlign w:val="bottom"/>
          </w:tcPr>
          <w:p w14:paraId="7B05596D" w14:textId="77777777" w:rsidR="00F77F81" w:rsidRDefault="00F77F81" w:rsidP="008E68C8">
            <w:pPr>
              <w:pStyle w:val="TableText"/>
            </w:pPr>
            <w:r>
              <w:t>Positive</w:t>
            </w:r>
          </w:p>
        </w:tc>
      </w:tr>
      <w:tr w:rsidR="00F77F81" w14:paraId="010F6622" w14:textId="77777777">
        <w:tc>
          <w:tcPr>
            <w:tcW w:w="720" w:type="dxa"/>
            <w:vAlign w:val="bottom"/>
          </w:tcPr>
          <w:p w14:paraId="3EBB5ED8" w14:textId="77777777" w:rsidR="00F77F81" w:rsidRDefault="00F77F81" w:rsidP="008E68C8">
            <w:pPr>
              <w:pStyle w:val="TableText"/>
              <w:jc w:val="center"/>
            </w:pPr>
            <w:r>
              <w:t>X</w:t>
            </w:r>
          </w:p>
        </w:tc>
        <w:tc>
          <w:tcPr>
            <w:tcW w:w="2520" w:type="dxa"/>
            <w:vAlign w:val="bottom"/>
          </w:tcPr>
          <w:p w14:paraId="35325072" w14:textId="77777777" w:rsidR="00F77F81" w:rsidRDefault="00F77F81" w:rsidP="008E68C8">
            <w:pPr>
              <w:pStyle w:val="TableText"/>
            </w:pPr>
            <w:r>
              <w:t>Not Tested</w:t>
            </w:r>
          </w:p>
        </w:tc>
        <w:tc>
          <w:tcPr>
            <w:tcW w:w="1260" w:type="dxa"/>
            <w:vAlign w:val="bottom"/>
          </w:tcPr>
          <w:p w14:paraId="6645064B" w14:textId="77777777" w:rsidR="00F77F81" w:rsidRDefault="00F77F81" w:rsidP="008E68C8">
            <w:pPr>
              <w:pStyle w:val="TableText"/>
            </w:pPr>
            <w:r>
              <w:t>Not Tested</w:t>
            </w:r>
          </w:p>
        </w:tc>
      </w:tr>
      <w:tr w:rsidR="00F77F81" w14:paraId="4D225D99" w14:textId="77777777">
        <w:tc>
          <w:tcPr>
            <w:tcW w:w="720" w:type="dxa"/>
            <w:vAlign w:val="bottom"/>
          </w:tcPr>
          <w:p w14:paraId="46CDD5A2" w14:textId="77777777" w:rsidR="00F77F81" w:rsidRDefault="00F77F81" w:rsidP="008E68C8">
            <w:pPr>
              <w:pStyle w:val="TableText"/>
              <w:jc w:val="center"/>
            </w:pPr>
            <w:r>
              <w:t>0</w:t>
            </w:r>
          </w:p>
        </w:tc>
        <w:tc>
          <w:tcPr>
            <w:tcW w:w="2520" w:type="dxa"/>
            <w:vAlign w:val="bottom"/>
          </w:tcPr>
          <w:p w14:paraId="618972EE" w14:textId="77777777" w:rsidR="00F77F81" w:rsidRDefault="00F77F81" w:rsidP="008E68C8">
            <w:pPr>
              <w:pStyle w:val="TableText"/>
            </w:pPr>
            <w:r>
              <w:t>No Agglutination</w:t>
            </w:r>
          </w:p>
        </w:tc>
        <w:tc>
          <w:tcPr>
            <w:tcW w:w="1260" w:type="dxa"/>
            <w:vAlign w:val="bottom"/>
          </w:tcPr>
          <w:p w14:paraId="710AF9E9" w14:textId="77777777" w:rsidR="00F77F81" w:rsidRDefault="00F77F81" w:rsidP="008E68C8">
            <w:pPr>
              <w:pStyle w:val="TableText"/>
            </w:pPr>
            <w:r>
              <w:t>Negative</w:t>
            </w:r>
          </w:p>
        </w:tc>
      </w:tr>
      <w:tr w:rsidR="00F77F81" w14:paraId="6A07F0FD" w14:textId="77777777">
        <w:tc>
          <w:tcPr>
            <w:tcW w:w="720" w:type="dxa"/>
            <w:vAlign w:val="bottom"/>
          </w:tcPr>
          <w:p w14:paraId="3A6D9D76" w14:textId="77777777" w:rsidR="00F77F81" w:rsidRDefault="00F77F81" w:rsidP="008E68C8">
            <w:pPr>
              <w:pStyle w:val="TableText"/>
              <w:jc w:val="center"/>
            </w:pPr>
            <w:r>
              <w:t>R</w:t>
            </w:r>
          </w:p>
        </w:tc>
        <w:tc>
          <w:tcPr>
            <w:tcW w:w="2520" w:type="dxa"/>
            <w:vAlign w:val="bottom"/>
          </w:tcPr>
          <w:p w14:paraId="1A3E7A68" w14:textId="77777777" w:rsidR="00F77F81" w:rsidRDefault="00F77F81" w:rsidP="008E68C8">
            <w:pPr>
              <w:pStyle w:val="TableText"/>
            </w:pPr>
            <w:r>
              <w:t>Rouleaux, No Agglutination</w:t>
            </w:r>
          </w:p>
        </w:tc>
        <w:tc>
          <w:tcPr>
            <w:tcW w:w="1260" w:type="dxa"/>
            <w:vAlign w:val="bottom"/>
          </w:tcPr>
          <w:p w14:paraId="69EAA6A5" w14:textId="77777777" w:rsidR="00F77F81" w:rsidRDefault="00F77F81" w:rsidP="008E68C8">
            <w:pPr>
              <w:pStyle w:val="TableText"/>
            </w:pPr>
            <w:r>
              <w:t>Negative</w:t>
            </w:r>
          </w:p>
        </w:tc>
      </w:tr>
    </w:tbl>
    <w:p w14:paraId="4DB50D13" w14:textId="77777777" w:rsidR="00F77F81" w:rsidRDefault="00F77F81" w:rsidP="00F77F81">
      <w:pPr>
        <w:pStyle w:val="ListBullet"/>
      </w:pPr>
      <w:r>
        <w:t>When recording test results:</w:t>
      </w:r>
    </w:p>
    <w:p w14:paraId="35C372B6" w14:textId="77777777" w:rsidR="00CF5E49" w:rsidRDefault="00F77F81" w:rsidP="0077424C">
      <w:pPr>
        <w:pStyle w:val="ListBullet2"/>
        <w:ind w:left="990" w:hanging="342"/>
      </w:pPr>
      <w:r>
        <w:t>In the Test Details window, click a check box to select a rack.</w:t>
      </w:r>
    </w:p>
    <w:p w14:paraId="26147DAB" w14:textId="77777777" w:rsidR="00CF5E49" w:rsidRDefault="00F77F81" w:rsidP="0077424C">
      <w:pPr>
        <w:pStyle w:val="ListBullet2"/>
        <w:ind w:left="990" w:hanging="342"/>
      </w:pPr>
      <w:r>
        <w:t>In the Date Tested field, select the default date and time (current date and time) for testing performed, which the user may edit to a past date and time.</w:t>
      </w:r>
    </w:p>
    <w:p w14:paraId="7B25E2E2" w14:textId="77777777" w:rsidR="00CF5E49" w:rsidRDefault="00F77F81" w:rsidP="0077424C">
      <w:pPr>
        <w:pStyle w:val="ListBullet2"/>
        <w:ind w:left="990" w:hanging="342"/>
      </w:pPr>
      <w:r>
        <w:t>In the Tested By field, select the default identification (current user) for the testing technologist or another user from the drop-down menu.</w:t>
      </w:r>
    </w:p>
    <w:p w14:paraId="777DE92A" w14:textId="77777777" w:rsidR="00CF5E49" w:rsidRPr="00D0406D" w:rsidRDefault="00F77F81" w:rsidP="0077424C">
      <w:pPr>
        <w:pStyle w:val="ListBullet2"/>
        <w:ind w:left="990" w:hanging="342"/>
      </w:pPr>
      <w:r w:rsidRPr="00D0406D">
        <w:t>Click the appropriate radio button to determine the grid configuration for antibody screen and crossma</w:t>
      </w:r>
      <w:r w:rsidR="006F2884" w:rsidRPr="00D0406D">
        <w:t xml:space="preserve">tch grids [All phases </w:t>
      </w:r>
      <w:r w:rsidRPr="00D0406D">
        <w:t xml:space="preserve">or </w:t>
      </w:r>
      <w:r w:rsidR="00594F8A" w:rsidRPr="00D0406D">
        <w:t>Anti-Human Globulin (</w:t>
      </w:r>
      <w:r w:rsidRPr="00D0406D">
        <w:t>AHG</w:t>
      </w:r>
      <w:r w:rsidR="00594F8A" w:rsidRPr="00D0406D">
        <w:t>)</w:t>
      </w:r>
      <w:r w:rsidRPr="00D0406D">
        <w:t xml:space="preserve"> only</w:t>
      </w:r>
      <w:r w:rsidR="006F2884" w:rsidRPr="00D0406D">
        <w:t xml:space="preserve"> (pre-checked default varies with local configuration)</w:t>
      </w:r>
      <w:r w:rsidRPr="00D0406D">
        <w:t>].</w:t>
      </w:r>
      <w:r w:rsidR="00F15743" w:rsidRPr="00D0406D">
        <w:t xml:space="preserve"> </w:t>
      </w:r>
      <w:r w:rsidR="00F15743" w:rsidRPr="00D0406D">
        <w:rPr>
          <w:vanish/>
        </w:rPr>
        <w:t>DR 4345</w:t>
      </w:r>
    </w:p>
    <w:p w14:paraId="3466F435" w14:textId="77777777" w:rsidR="00F77F81" w:rsidRDefault="00F77F81" w:rsidP="0077424C">
      <w:pPr>
        <w:pStyle w:val="ListBullet2"/>
        <w:ind w:left="990" w:hanging="342"/>
      </w:pPr>
      <w:r>
        <w:t xml:space="preserve">When an automated instrument is used, click the </w:t>
      </w:r>
      <w:r>
        <w:rPr>
          <w:b/>
          <w:bCs/>
        </w:rPr>
        <w:t>Using Automated Instrument</w:t>
      </w:r>
      <w:r>
        <w:t xml:space="preserve"> check box, enter the instrument name in the Instrument Name field, and click the</w:t>
      </w:r>
      <w:r w:rsidR="00F77C01">
        <w:rPr>
          <w:b/>
        </w:rPr>
        <w:t xml:space="preserve"> Instrument QC’d</w:t>
      </w:r>
      <w:r>
        <w:rPr>
          <w:b/>
        </w:rPr>
        <w:t>?</w:t>
      </w:r>
      <w:r>
        <w:t xml:space="preserve"> check box, as appropriate.</w:t>
      </w:r>
    </w:p>
    <w:p w14:paraId="35D8AC8B" w14:textId="77777777" w:rsidR="00023201" w:rsidRDefault="00F77F81" w:rsidP="00687072">
      <w:pPr>
        <w:pStyle w:val="ListBullet"/>
      </w:pPr>
      <w:r w:rsidRPr="00CB01DE">
        <w:rPr>
          <w:vanish/>
          <w:spacing w:val="0"/>
        </w:rPr>
        <w:t>BR_2.07</w:t>
      </w:r>
      <w:r w:rsidRPr="00CB01DE">
        <w:rPr>
          <w:vanish/>
          <w:color w:val="0000FF"/>
          <w:spacing w:val="0"/>
        </w:rPr>
        <w:t xml:space="preserve"> </w:t>
      </w:r>
      <w:r w:rsidR="00CB01DE">
        <w:t xml:space="preserve">VBECS requires Red Blood Cells, Whole Blood, Granulocytes and Leukocytes to have ABO confirmation testing (forward typing), and Rh confirmation testing for units labeled as Rh negative. Units </w:t>
      </w:r>
      <w:r w:rsidR="00CB01DE" w:rsidRPr="00E44A83">
        <w:t>labeled with an ABO group of “Pooled” cannot be confirmed</w:t>
      </w:r>
      <w:r w:rsidR="00CB01DE">
        <w:t>.</w:t>
      </w:r>
    </w:p>
    <w:p w14:paraId="39FC05ED" w14:textId="3E999EE9" w:rsidR="00F77F81" w:rsidRDefault="00F77F81" w:rsidP="00884C4F">
      <w:pPr>
        <w:pStyle w:val="ListBullet"/>
      </w:pPr>
      <w:r w:rsidRPr="00023201">
        <w:rPr>
          <w:vanish/>
          <w:spacing w:val="0"/>
        </w:rPr>
        <w:t xml:space="preserve">BR_2.22 </w:t>
      </w:r>
      <w:r>
        <w:t>The user may not edit VBECS-populated grid worksheet fields that contain unit or patient data.</w:t>
      </w:r>
    </w:p>
    <w:p w14:paraId="147C31F0" w14:textId="77777777" w:rsidR="00F77F81" w:rsidRDefault="00F77F81" w:rsidP="00F77F81">
      <w:pPr>
        <w:pStyle w:val="ListBullet"/>
      </w:pPr>
      <w:r>
        <w:rPr>
          <w:vanish/>
        </w:rPr>
        <w:t xml:space="preserve">BR_2.23 </w:t>
      </w:r>
      <w:r>
        <w:t>The user may sort worksheet entries only before beginning data entry, preferably during unit selection. When the user wishes to sort a worksheet after entering the first reaction result, he must exit without saving the work and begin again.</w:t>
      </w:r>
    </w:p>
    <w:p w14:paraId="7B9479AF" w14:textId="77777777" w:rsidR="00F77F81" w:rsidRDefault="00C549FA" w:rsidP="00F77F81">
      <w:pPr>
        <w:pStyle w:val="ListBullet"/>
      </w:pPr>
      <w:r w:rsidRPr="00896F17">
        <w:rPr>
          <w:rStyle w:val="BullhornChar"/>
        </w:rPr>
        <w:t></w:t>
      </w:r>
      <w:r>
        <w:rPr>
          <w:rFonts w:ascii="Webdings" w:hAnsi="Webdings"/>
        </w:rPr>
        <w:t></w:t>
      </w:r>
      <w:r w:rsidRPr="00263B24">
        <w:t>Wh</w:t>
      </w:r>
      <w:r>
        <w:t>en</w:t>
      </w:r>
      <w:r w:rsidR="00A62384">
        <w:t xml:space="preserve"> a user enters an invalid symbol in a cell, VBECS emits an audible alert and prevents the cursor from moving to th</w:t>
      </w:r>
      <w:r w:rsidR="00F77F81">
        <w:t>e next cell.</w:t>
      </w:r>
    </w:p>
    <w:p w14:paraId="0A0D22F1" w14:textId="77777777" w:rsidR="00F77F81" w:rsidRDefault="00F77F81" w:rsidP="00F77F81">
      <w:pPr>
        <w:pStyle w:val="ListBullet"/>
      </w:pPr>
      <w:r>
        <w:rPr>
          <w:vanish/>
          <w:spacing w:val="0"/>
        </w:rPr>
        <w:t xml:space="preserve">BR_2.29 </w:t>
      </w:r>
      <w:r>
        <w:t>VBECS moves the cursor to the comment cell automatically, when applicable; the user may also use the mouse to move to another cell.</w:t>
      </w:r>
    </w:p>
    <w:p w14:paraId="35022E79" w14:textId="4AC09629" w:rsidR="00F77F81" w:rsidRDefault="00F77F81" w:rsidP="00F77F81">
      <w:pPr>
        <w:pStyle w:val="ListBullet"/>
      </w:pPr>
      <w:r>
        <w:rPr>
          <w:vanish/>
          <w:spacing w:val="0"/>
        </w:rPr>
        <w:t xml:space="preserve">BR_2.36, BR_2.37, BR_2.38 </w:t>
      </w:r>
      <w:r>
        <w:t>VBECS displays</w:t>
      </w:r>
      <w:r>
        <w:rPr>
          <w:highlight w:val="red"/>
        </w:rPr>
        <w:fldChar w:fldCharType="begin">
          <w:ffData>
            <w:name w:val="Text1"/>
            <w:enabled/>
            <w:calcOnExit w:val="0"/>
            <w:textInput>
              <w:default w:val=" E "/>
              <w:maxLength w:val="3"/>
            </w:textInput>
          </w:ffData>
        </w:fldChar>
      </w:r>
      <w:r>
        <w:rPr>
          <w:highlight w:val="red"/>
        </w:rPr>
        <w:instrText xml:space="preserve"> FORMTEXT </w:instrText>
      </w:r>
      <w:r>
        <w:rPr>
          <w:highlight w:val="red"/>
        </w:rPr>
      </w:r>
      <w:r>
        <w:rPr>
          <w:highlight w:val="red"/>
        </w:rPr>
        <w:fldChar w:fldCharType="separate"/>
      </w:r>
      <w:r w:rsidR="005755DC">
        <w:rPr>
          <w:noProof/>
          <w:highlight w:val="red"/>
        </w:rPr>
        <w:t xml:space="preserve"> E </w:t>
      </w:r>
      <w:r>
        <w:rPr>
          <w:highlight w:val="red"/>
        </w:rPr>
        <w:fldChar w:fldCharType="end"/>
      </w:r>
      <w:r>
        <w:t>(error) at the beginning of invalid rows and</w:t>
      </w:r>
      <w:r>
        <w:rPr>
          <w:highlight w:val="green"/>
        </w:rPr>
        <w:fldChar w:fldCharType="begin">
          <w:ffData>
            <w:name w:val=""/>
            <w:enabled/>
            <w:calcOnExit w:val="0"/>
            <w:textInput>
              <w:default w:val=" V "/>
              <w:maxLength w:val="3"/>
            </w:textInput>
          </w:ffData>
        </w:fldChar>
      </w:r>
      <w:r>
        <w:rPr>
          <w:highlight w:val="green"/>
        </w:rPr>
        <w:instrText xml:space="preserve"> FORMTEXT </w:instrText>
      </w:r>
      <w:r>
        <w:rPr>
          <w:highlight w:val="green"/>
        </w:rPr>
      </w:r>
      <w:r>
        <w:rPr>
          <w:highlight w:val="green"/>
        </w:rPr>
        <w:fldChar w:fldCharType="separate"/>
      </w:r>
      <w:r w:rsidR="005755DC">
        <w:rPr>
          <w:noProof/>
          <w:highlight w:val="green"/>
        </w:rPr>
        <w:t xml:space="preserve"> V </w:t>
      </w:r>
      <w:r>
        <w:rPr>
          <w:highlight w:val="green"/>
        </w:rPr>
        <w:fldChar w:fldCharType="end"/>
      </w:r>
      <w:r>
        <w:t>(valid reagent) or</w:t>
      </w:r>
      <w:r w:rsidRPr="00A6799C">
        <w:rPr>
          <w:highlight w:val="yellow"/>
        </w:rPr>
        <w:fldChar w:fldCharType="begin">
          <w:ffData>
            <w:name w:val=""/>
            <w:enabled/>
            <w:calcOnExit w:val="0"/>
            <w:textInput>
              <w:default w:val=" W  "/>
              <w:maxLength w:val="4"/>
            </w:textInput>
          </w:ffData>
        </w:fldChar>
      </w:r>
      <w:r w:rsidRPr="00A6799C">
        <w:rPr>
          <w:highlight w:val="yellow"/>
        </w:rPr>
        <w:instrText xml:space="preserve"> FORMTEXT </w:instrText>
      </w:r>
      <w:r w:rsidRPr="00A6799C">
        <w:rPr>
          <w:highlight w:val="yellow"/>
        </w:rPr>
      </w:r>
      <w:r w:rsidRPr="00A6799C">
        <w:rPr>
          <w:highlight w:val="yellow"/>
        </w:rPr>
        <w:fldChar w:fldCharType="separate"/>
      </w:r>
      <w:r w:rsidR="005755DC">
        <w:rPr>
          <w:noProof/>
          <w:highlight w:val="yellow"/>
        </w:rPr>
        <w:t xml:space="preserve"> W  </w:t>
      </w:r>
      <w:r w:rsidRPr="00A6799C">
        <w:rPr>
          <w:highlight w:val="yellow"/>
        </w:rPr>
        <w:fldChar w:fldCharType="end"/>
      </w:r>
      <w:r>
        <w:t xml:space="preserve">(reagent will expire within 24 hours) at the beginning of valid rows. These warning icons change as the user updates information. When the user holds the mouse over an icon, VBECS displays the message associated with the truth table interpretation (as with a tool tip). </w:t>
      </w:r>
    </w:p>
    <w:p w14:paraId="2FBDB744" w14:textId="77777777" w:rsidR="00F77F81" w:rsidRDefault="00F77F81" w:rsidP="00F77F81">
      <w:pPr>
        <w:pStyle w:val="ListBullet"/>
      </w:pPr>
      <w:r>
        <w:rPr>
          <w:vanish/>
          <w:spacing w:val="0"/>
        </w:rPr>
        <w:t xml:space="preserve">BR_2.39 </w:t>
      </w:r>
      <w:r>
        <w:t>VBECS compares user-entered interpretations with truth table data.</w:t>
      </w:r>
    </w:p>
    <w:p w14:paraId="1C2C8758" w14:textId="77777777" w:rsidR="00F77F81" w:rsidRDefault="00F77F81" w:rsidP="00F77F81">
      <w:pPr>
        <w:pStyle w:val="ListBullet"/>
      </w:pPr>
      <w:r>
        <w:t xml:space="preserve">The user performs tests and enters data simultaneously. </w:t>
      </w:r>
    </w:p>
    <w:p w14:paraId="7350F410" w14:textId="77777777" w:rsidR="00F77F81" w:rsidRDefault="00F77F81" w:rsidP="00F77F81">
      <w:pPr>
        <w:pStyle w:val="ListBullet"/>
      </w:pPr>
      <w:r>
        <w:t>Throughout this option, the user may view the patient’s VBECS demographics, including the information entered in the patient Special Instructions (SIs), Transfusion Requirements (TRs), and other clinical lab results related to the transfusion through CPRS.</w:t>
      </w:r>
    </w:p>
    <w:p w14:paraId="03AFF364" w14:textId="77777777" w:rsidR="00A62384" w:rsidRDefault="00F77F81" w:rsidP="00F77F81">
      <w:pPr>
        <w:pStyle w:val="ListBullet"/>
      </w:pPr>
      <w:r>
        <w:t>The historical ABO/Rh display includes the date and division of creation or indicates that the record is from the</w:t>
      </w:r>
      <w:r w:rsidR="00A62384">
        <w:t xml:space="preserve"> </w:t>
      </w:r>
      <w:r w:rsidR="000C7684" w:rsidRPr="000C7684">
        <w:t>VistA</w:t>
      </w:r>
      <w:r w:rsidR="00A62384">
        <w:t xml:space="preserve"> database conversion.</w:t>
      </w:r>
    </w:p>
    <w:p w14:paraId="1018F442" w14:textId="77777777" w:rsidR="006C0002" w:rsidRDefault="00A62384" w:rsidP="006C0002">
      <w:pPr>
        <w:pStyle w:val="ListBullet"/>
      </w:pPr>
      <w:r>
        <w:rPr>
          <w:vanish/>
          <w:spacing w:val="0"/>
        </w:rPr>
        <w:lastRenderedPageBreak/>
        <w:t xml:space="preserve">BR_56.06 </w:t>
      </w:r>
      <w:r>
        <w:t>The test record captures the ente</w:t>
      </w:r>
      <w:r w:rsidR="006C0002">
        <w:t>ring and testing technologists’ ID and the display/print technologists’ name, the division, date, and time of the save, the content (details of the verified testing), QC rack ID (if not by automated instrument), test method, automated test instrument information, if indicated, data entries, interpretations, and comments. (When the configuration changes in Configure Testing after the test data are entered, the record is retrievable as originally configured.)</w:t>
      </w:r>
    </w:p>
    <w:p w14:paraId="285F52E8" w14:textId="570A816E" w:rsidR="002317C3" w:rsidRDefault="00C549FA" w:rsidP="002317C3">
      <w:pPr>
        <w:pStyle w:val="ListBullet"/>
      </w:pPr>
      <w:r w:rsidRPr="00896F17">
        <w:rPr>
          <w:rStyle w:val="BullhornChar"/>
        </w:rPr>
        <w:t></w:t>
      </w:r>
      <w:r>
        <w:rPr>
          <w:rFonts w:ascii="Webdings" w:hAnsi="Webdings"/>
        </w:rPr>
        <w:t></w:t>
      </w:r>
      <w:r w:rsidR="0073350C" w:rsidRPr="0073350C">
        <w:rPr>
          <w:rStyle w:val="BodyTextChar"/>
          <w:vanish/>
        </w:rPr>
        <w:t>BR_56.07</w:t>
      </w:r>
      <w:r w:rsidR="00BE616B">
        <w:rPr>
          <w:rStyle w:val="BodyTextChar"/>
          <w:vanish/>
        </w:rPr>
        <w:t xml:space="preserve"> </w:t>
      </w:r>
      <w:r w:rsidRPr="00263B24">
        <w:t>Wh</w:t>
      </w:r>
      <w:r>
        <w:t>en</w:t>
      </w:r>
      <w:r w:rsidR="00A62384">
        <w:t xml:space="preserve"> a </w:t>
      </w:r>
      <w:r w:rsidR="003C244C">
        <w:t>site</w:t>
      </w:r>
      <w:r w:rsidR="00A62384">
        <w:t xml:space="preserve"> is defin</w:t>
      </w:r>
      <w:r w:rsidR="002317C3">
        <w:t>ed as “full service” and daily QC was not performed on the selected rack or the Not in Use Today check box was checked for the 24-hour period (beginning with the time set for the alert defined in Configure Daily QC</w:t>
      </w:r>
      <w:r w:rsidR="006274F7">
        <w:t xml:space="preserve"> and including the date/time tested), </w:t>
      </w:r>
      <w:r w:rsidR="002317C3">
        <w:t xml:space="preserve">VBECS emits an audible alert, warns the user and asks whether he wishes to continue. </w:t>
      </w:r>
      <w:r w:rsidR="002317C3">
        <w:rPr>
          <w:b/>
        </w:rPr>
        <w:t>Yes</w:t>
      </w:r>
      <w:r w:rsidR="002317C3">
        <w:t xml:space="preserve"> requires a comment and captures details for inclusion in the Exception Report (exception type: QC not performed on rack used for testing). </w:t>
      </w:r>
      <w:r w:rsidR="002317C3">
        <w:rPr>
          <w:b/>
        </w:rPr>
        <w:t>No</w:t>
      </w:r>
      <w:r w:rsidR="002317C3">
        <w:t xml:space="preserve"> allows the user to select a different rack or cancel and return to the main menu.</w:t>
      </w:r>
    </w:p>
    <w:p w14:paraId="4B2256BB" w14:textId="77777777" w:rsidR="002317C3" w:rsidRPr="001F4C96" w:rsidRDefault="002317C3" w:rsidP="002317C3">
      <w:pPr>
        <w:pStyle w:val="ListBullet"/>
      </w:pPr>
      <w:r w:rsidRPr="001F4C96">
        <w:rPr>
          <w:vanish/>
          <w:spacing w:val="0"/>
        </w:rPr>
        <w:t xml:space="preserve">BR_28.09 </w:t>
      </w:r>
      <w:r w:rsidRPr="001F4C96">
        <w:t>When reagent</w:t>
      </w:r>
      <w:r w:rsidR="00F93F8F" w:rsidRPr="001F4C96">
        <w:t>s or antisera are</w:t>
      </w:r>
      <w:r w:rsidRPr="001F4C96">
        <w:t xml:space="preserve"> within 24 hours of expiration (23:59 on th</w:t>
      </w:r>
      <w:r w:rsidR="001F4C96" w:rsidRPr="001F4C96">
        <w:t xml:space="preserve">e expiration date), VBECS warns the user when the </w:t>
      </w:r>
      <w:r w:rsidRPr="001F4C96">
        <w:t xml:space="preserve">reagent will expire and asks whether the user wishes to continue. </w:t>
      </w:r>
      <w:r w:rsidRPr="001F4C96">
        <w:rPr>
          <w:b/>
        </w:rPr>
        <w:t>Yes</w:t>
      </w:r>
      <w:r w:rsidRPr="001F4C96">
        <w:t xml:space="preserve"> allows the user to continue testing. </w:t>
      </w:r>
      <w:r w:rsidRPr="001F4C96">
        <w:rPr>
          <w:b/>
        </w:rPr>
        <w:t xml:space="preserve">No </w:t>
      </w:r>
      <w:r w:rsidRPr="001F4C96">
        <w:t>moves the cursor to a cleared lot number cell, which is ready for the user to enter a new lot number.</w:t>
      </w:r>
    </w:p>
    <w:p w14:paraId="7F66147A" w14:textId="77777777" w:rsidR="002317C3" w:rsidRDefault="002317C3" w:rsidP="002317C3">
      <w:pPr>
        <w:pStyle w:val="ListBullet"/>
      </w:pPr>
      <w:r>
        <w:rPr>
          <w:vanish/>
          <w:spacing w:val="0"/>
        </w:rPr>
        <w:t xml:space="preserve">BR_3.56 </w:t>
      </w:r>
      <w:r>
        <w:t>The unit record will capture the entering tech ID, and display and/or print the entering tech name; the selecting tech ID, and display and/or print the selecting tech name; division, date, and time of the save; and the content (details of the unit selection), if indicated, data entries, interpretations, and comments.</w:t>
      </w:r>
    </w:p>
    <w:p w14:paraId="0A2C96A4" w14:textId="774119CF" w:rsidR="002317C3" w:rsidRDefault="002317C3" w:rsidP="002317C3">
      <w:pPr>
        <w:pStyle w:val="ListBullet"/>
      </w:pPr>
      <w:r>
        <w:rPr>
          <w:vanish/>
          <w:spacing w:val="0"/>
        </w:rPr>
        <w:t xml:space="preserve">BR_56.02 </w:t>
      </w:r>
      <w:r>
        <w:t xml:space="preserve">VBECS allows a user to save partially completed tests and allows the same or different user to complete the tests later. A first or second user may enter only new results and may not edit prior entries. VBECS allows the user to save partially completed testing. The user may return to complete the pending </w:t>
      </w:r>
      <w:r w:rsidR="00671459">
        <w:t>tasks but</w:t>
      </w:r>
      <w:r>
        <w:t xml:space="preserve"> may not edit saved interpretations.</w:t>
      </w:r>
    </w:p>
    <w:p w14:paraId="1D243931" w14:textId="77777777" w:rsidR="006B317D" w:rsidRDefault="006B317D">
      <w:pPr>
        <w:rPr>
          <w:rFonts w:ascii="Arial" w:hAnsi="Arial" w:cs="Arial"/>
          <w:b/>
          <w:bCs/>
          <w:sz w:val="26"/>
          <w:szCs w:val="26"/>
        </w:rPr>
      </w:pPr>
      <w:r>
        <w:br w:type="page"/>
      </w:r>
    </w:p>
    <w:p w14:paraId="33306362" w14:textId="0417B916" w:rsidR="00D05436" w:rsidRDefault="002317C3" w:rsidP="006B317D">
      <w:pPr>
        <w:pStyle w:val="Heading3"/>
      </w:pPr>
      <w:bookmarkStart w:id="57" w:name="_Toc163644848"/>
      <w:r>
        <w:lastRenderedPageBreak/>
        <w:t>Creating and Viewing Reports</w:t>
      </w:r>
      <w:bookmarkEnd w:id="57"/>
      <w:r w:rsidRPr="00D05436">
        <w:fldChar w:fldCharType="begin"/>
      </w:r>
      <w:r>
        <w:instrText xml:space="preserve"> XE “Creating and Viewing Reports” </w:instrText>
      </w:r>
      <w:r w:rsidRPr="00D05436">
        <w:fldChar w:fldCharType="end"/>
      </w:r>
    </w:p>
    <w:p w14:paraId="0B11C987" w14:textId="7770767E" w:rsidR="002317C3" w:rsidRDefault="002317C3" w:rsidP="006B317D">
      <w:pPr>
        <w:pStyle w:val="ListBullet"/>
        <w:keepNext/>
      </w:pPr>
      <w:r>
        <w:t xml:space="preserve">Click </w:t>
      </w:r>
      <w:r w:rsidRPr="002D4435">
        <w:rPr>
          <w:rFonts w:ascii="Wingdings" w:hAnsi="Wingdings"/>
        </w:rPr>
        <w:t></w:t>
      </w:r>
      <w:r>
        <w:t xml:space="preserve"> in the Include Report Sections area to select all report sections</w:t>
      </w:r>
      <w:r w:rsidR="00E365A8">
        <w:t xml:space="preserve"> (</w:t>
      </w:r>
      <w:r w:rsidR="00EE455E">
        <w:t xml:space="preserve">Figure </w:t>
      </w:r>
      <w:r w:rsidR="00EE455E">
        <w:rPr>
          <w:noProof/>
        </w:rPr>
        <w:t>5</w:t>
      </w:r>
      <w:r w:rsidR="00E365A8">
        <w:t>)</w:t>
      </w:r>
      <w:r>
        <w:t>.</w:t>
      </w:r>
    </w:p>
    <w:p w14:paraId="446CE50F" w14:textId="42438AEB" w:rsidR="005B6E37" w:rsidRDefault="002317C3" w:rsidP="006B317D">
      <w:pPr>
        <w:pStyle w:val="ListBullet"/>
        <w:keepNext/>
        <w:sectPr w:rsidR="005B6E37" w:rsidSect="0003045D">
          <w:headerReference w:type="default" r:id="rId31"/>
          <w:footerReference w:type="default" r:id="rId32"/>
          <w:type w:val="nextColumn"/>
          <w:pgSz w:w="12240" w:h="15840" w:code="1"/>
          <w:pgMar w:top="1440" w:right="1440" w:bottom="1440" w:left="1440" w:header="720" w:footer="720" w:gutter="0"/>
          <w:cols w:space="720"/>
          <w:docGrid w:linePitch="360"/>
        </w:sectPr>
      </w:pPr>
      <w:r>
        <w:t xml:space="preserve">Click </w:t>
      </w:r>
      <w:r w:rsidRPr="00D1343E">
        <w:rPr>
          <w:rFonts w:ascii="Wingdings 2" w:hAnsi="Wingdings 2" w:cs="Geneva"/>
          <w:b/>
        </w:rPr>
        <w:t></w:t>
      </w:r>
      <w:r>
        <w:t xml:space="preserve"> in the Include Report Sections area to clear all report sections</w:t>
      </w:r>
      <w:r w:rsidR="00931AD5">
        <w:t xml:space="preserve"> (</w:t>
      </w:r>
      <w:r w:rsidR="00EE455E">
        <w:t xml:space="preserve">Figure </w:t>
      </w:r>
      <w:r w:rsidR="00EE455E">
        <w:rPr>
          <w:noProof/>
        </w:rPr>
        <w:t>6</w:t>
      </w:r>
      <w:r w:rsidR="00931AD5">
        <w:t>)</w:t>
      </w:r>
      <w:r>
        <w:t>.</w:t>
      </w:r>
    </w:p>
    <w:p w14:paraId="209C3FF3" w14:textId="5168B2B1" w:rsidR="005B6E37" w:rsidRDefault="005B6E37" w:rsidP="005B6E37">
      <w:pPr>
        <w:pStyle w:val="Caption"/>
      </w:pPr>
      <w:bookmarkStart w:id="58" w:name="_Ref12715433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5</w:t>
      </w:r>
      <w:r w:rsidR="004E20BD">
        <w:rPr>
          <w:noProof/>
        </w:rPr>
        <w:fldChar w:fldCharType="end"/>
      </w:r>
      <w:bookmarkEnd w:id="58"/>
      <w:r>
        <w:t>: Click to Select All Report Sections</w:t>
      </w:r>
    </w:p>
    <w:p w14:paraId="254E1C67" w14:textId="36792A98" w:rsidR="00814342" w:rsidRPr="00814342" w:rsidRDefault="0003045D" w:rsidP="00814342">
      <w:r>
        <w:rPr>
          <w:noProof/>
        </w:rPr>
        <w:drawing>
          <wp:inline distT="0" distB="0" distL="0" distR="0" wp14:anchorId="6163CBC1" wp14:editId="791AB108">
            <wp:extent cx="2971800" cy="3381375"/>
            <wp:effectExtent l="0" t="0" r="0" b="9525"/>
            <wp:docPr id="9" name="Picture 9" descr="Click to Select All Report Secti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ick to Select All Report Sections screen 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381375"/>
                    </a:xfrm>
                    <a:prstGeom prst="rect">
                      <a:avLst/>
                    </a:prstGeom>
                    <a:noFill/>
                    <a:ln>
                      <a:noFill/>
                    </a:ln>
                  </pic:spPr>
                </pic:pic>
              </a:graphicData>
            </a:graphic>
          </wp:inline>
        </w:drawing>
      </w:r>
    </w:p>
    <w:p w14:paraId="40A46E10" w14:textId="08EDC7E0" w:rsidR="005B6E37" w:rsidRDefault="005B6E37" w:rsidP="005B6E37">
      <w:pPr>
        <w:pStyle w:val="Caption"/>
      </w:pPr>
      <w:bookmarkStart w:id="59" w:name="_Ref1271543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w:t>
      </w:r>
      <w:r w:rsidR="004E20BD">
        <w:rPr>
          <w:noProof/>
        </w:rPr>
        <w:fldChar w:fldCharType="end"/>
      </w:r>
      <w:bookmarkEnd w:id="59"/>
      <w:r>
        <w:t xml:space="preserve">: Click to Clear All Report Sections </w:t>
      </w:r>
    </w:p>
    <w:p w14:paraId="7F1F430F" w14:textId="5C594E32" w:rsidR="005B6E37" w:rsidRDefault="00057948" w:rsidP="00814342">
      <w:pPr>
        <w:pStyle w:val="BodyText"/>
        <w:sectPr w:rsidR="005B6E37" w:rsidSect="00E57AC5">
          <w:type w:val="continuous"/>
          <w:pgSz w:w="12240" w:h="15840" w:code="1"/>
          <w:pgMar w:top="1440" w:right="1440" w:bottom="1440" w:left="1440" w:header="720" w:footer="720" w:gutter="0"/>
          <w:cols w:num="2" w:space="720"/>
          <w:docGrid w:linePitch="360"/>
        </w:sectPr>
      </w:pPr>
      <w:r>
        <w:rPr>
          <w:noProof/>
        </w:rPr>
        <w:drawing>
          <wp:inline distT="0" distB="0" distL="0" distR="0" wp14:anchorId="4C2D0539" wp14:editId="457A00B6">
            <wp:extent cx="2974340" cy="3399155"/>
            <wp:effectExtent l="0" t="0" r="0" b="0"/>
            <wp:docPr id="23" name="Picture 23" descr="Click to Clear All Report Secti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ck to Clear All Report Sections screen 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4340" cy="3399155"/>
                    </a:xfrm>
                    <a:prstGeom prst="rect">
                      <a:avLst/>
                    </a:prstGeom>
                    <a:noFill/>
                    <a:ln>
                      <a:noFill/>
                    </a:ln>
                  </pic:spPr>
                </pic:pic>
              </a:graphicData>
            </a:graphic>
          </wp:inline>
        </w:drawing>
      </w:r>
    </w:p>
    <w:p w14:paraId="15C70280" w14:textId="0BA04DD5" w:rsidR="002317C3" w:rsidRDefault="002317C3" w:rsidP="005B6E37">
      <w:pPr>
        <w:pStyle w:val="ListBullet"/>
      </w:pPr>
      <w:r>
        <w:rPr>
          <w:vanish/>
        </w:rPr>
        <w:t xml:space="preserve">BR_20.17 </w:t>
      </w: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click the </w:t>
      </w:r>
      <w:r>
        <w:rPr>
          <w:b/>
        </w:rPr>
        <w:t>Schedule Print Job</w:t>
      </w:r>
      <w:r>
        <w:t xml:space="preserve"> </w:t>
      </w:r>
      <w:r w:rsidRPr="00BF2E41">
        <w:t>radio button</w:t>
      </w:r>
      <w:r>
        <w:rPr>
          <w:b/>
        </w:rPr>
        <w:t xml:space="preserve"> </w:t>
      </w:r>
      <w:r>
        <w:t xml:space="preserve">and </w:t>
      </w:r>
      <w:r>
        <w:rPr>
          <w:b/>
        </w:rPr>
        <w:t>OK</w:t>
      </w:r>
      <w:r>
        <w:t xml:space="preserve">, then enter or select a print date and printer name, then click </w:t>
      </w:r>
      <w:r>
        <w:rPr>
          <w:b/>
        </w:rPr>
        <w:t>OK</w:t>
      </w:r>
      <w:r>
        <w:t xml:space="preserve"> to view and print the report.</w:t>
      </w:r>
    </w:p>
    <w:p w14:paraId="0EB7B41B" w14:textId="77777777" w:rsidR="00855A2D" w:rsidRPr="00855A2D" w:rsidRDefault="00855A2D" w:rsidP="002317C3">
      <w:pPr>
        <w:pStyle w:val="ListBullet"/>
      </w:pPr>
      <w:r w:rsidRPr="00855A2D">
        <w:rPr>
          <w:spacing w:val="0"/>
        </w:rPr>
        <w:t>Reports are printed only in their entirety.</w:t>
      </w:r>
    </w:p>
    <w:p w14:paraId="38852DDA" w14:textId="77777777" w:rsidR="002317C3" w:rsidRDefault="002317C3" w:rsidP="002317C3">
      <w:pPr>
        <w:pStyle w:val="ListBullet"/>
      </w:pPr>
      <w:r>
        <w:rPr>
          <w:vanish/>
          <w:spacing w:val="0"/>
        </w:rPr>
        <w:t xml:space="preserve">BR_77.02 </w:t>
      </w:r>
      <w:r>
        <w:t xml:space="preserve">A single-division report includes information from one division. </w:t>
      </w:r>
    </w:p>
    <w:p w14:paraId="683CC6F4" w14:textId="77777777" w:rsidR="002317C3" w:rsidRDefault="002317C3" w:rsidP="002317C3">
      <w:pPr>
        <w:pStyle w:val="ListBullet"/>
      </w:pPr>
      <w:r>
        <w:rPr>
          <w:vanish/>
          <w:spacing w:val="0"/>
        </w:rPr>
        <w:t xml:space="preserve">BR_104.02 </w:t>
      </w:r>
      <w:r>
        <w:t>When a site is a single division or a user does not have multidivisional access and a report has a multiple-division option, the user may not select a multidivisional report.</w:t>
      </w:r>
    </w:p>
    <w:p w14:paraId="7EA978C5" w14:textId="77777777" w:rsidR="002317C3" w:rsidRDefault="002317C3" w:rsidP="002317C3">
      <w:pPr>
        <w:pStyle w:val="ListBullet"/>
      </w:pPr>
      <w:r>
        <w:rPr>
          <w:vanish/>
          <w:spacing w:val="0"/>
        </w:rPr>
        <w:t xml:space="preserve">BR_27.10 </w:t>
      </w:r>
      <w:r>
        <w:t>VBECS maintains a cumulative history of all transactions, including testing and status changes, for every blood unit entered in the database (Unit History Report).</w:t>
      </w:r>
    </w:p>
    <w:p w14:paraId="468B209E" w14:textId="3BB3A1CF" w:rsidR="002317C3" w:rsidRDefault="002317C3" w:rsidP="002317C3">
      <w:pPr>
        <w:pStyle w:val="ListBullet"/>
      </w:pPr>
      <w:r>
        <w:rPr>
          <w:vanish/>
          <w:spacing w:val="0"/>
        </w:rPr>
        <w:t xml:space="preserve">BR_12.02 </w:t>
      </w:r>
      <w:r>
        <w:t xml:space="preserve">VBECS captures changes to verified data for inclusion in an audit trail report (Audit Trail Report, Unit History Report, </w:t>
      </w:r>
      <w:r w:rsidR="001F530A">
        <w:t xml:space="preserve">and </w:t>
      </w:r>
      <w:r>
        <w:t>Patient History Report).</w:t>
      </w:r>
    </w:p>
    <w:p w14:paraId="626F1B66" w14:textId="77777777" w:rsidR="002317C3" w:rsidRDefault="002317C3" w:rsidP="002317C3">
      <w:pPr>
        <w:pStyle w:val="ListBullet"/>
      </w:pPr>
      <w:r>
        <w:rPr>
          <w:vanish/>
          <w:spacing w:val="0"/>
        </w:rPr>
        <w:t xml:space="preserve">BR_56.10 </w:t>
      </w:r>
      <w:r>
        <w:t>VBECS displays patient ABO/Rh results in reverse chronological order, regardless of division, then from the</w:t>
      </w:r>
      <w:r w:rsidR="00A62384">
        <w:t xml:space="preserve"> </w:t>
      </w:r>
      <w:r w:rsidR="000C7684" w:rsidRPr="000C7684">
        <w:rPr>
          <w:bCs/>
        </w:rPr>
        <w:t>VistA</w:t>
      </w:r>
      <w:r w:rsidR="00A62384">
        <w:t xml:space="preserve"> database conversion. When no ABO/Rh records exist, VBECS displays “NR” (no records). When there are discrep</w:t>
      </w:r>
      <w:r>
        <w:t xml:space="preserve">ant ABO/Rh results from the same </w:t>
      </w:r>
      <w:r w:rsidR="00AE2C2C">
        <w:t>universal ID (UID)</w:t>
      </w:r>
      <w:r>
        <w:t xml:space="preserve"> or from two specimen UIDs, VBECS displays the results recorded just prior to the latest result that created the discrepancy and warns the user.</w:t>
      </w:r>
    </w:p>
    <w:p w14:paraId="17200A0C" w14:textId="5BCF84AB" w:rsidR="002317C3" w:rsidRDefault="002317C3" w:rsidP="00096820">
      <w:pPr>
        <w:pStyle w:val="ListBullet"/>
      </w:pPr>
      <w:r w:rsidRPr="00C464E2">
        <w:rPr>
          <w:vanish/>
          <w:spacing w:val="0"/>
        </w:rPr>
        <w:t xml:space="preserve">BR_49.07 </w:t>
      </w:r>
      <w:r>
        <w:rPr>
          <w:noProof/>
        </w:rPr>
        <w:t>When no information that fulfills search criteria is available, VBECS notifies the user that no information is available, per entered search criteria.</w:t>
      </w:r>
    </w:p>
    <w:p w14:paraId="432E27C1" w14:textId="50B9C61D" w:rsidR="002317C3" w:rsidRDefault="002317C3" w:rsidP="002317C3">
      <w:pPr>
        <w:pStyle w:val="ListBullet"/>
      </w:pPr>
      <w:r>
        <w:rPr>
          <w:noProof/>
          <w:vanish/>
          <w:spacing w:val="0"/>
        </w:rPr>
        <w:t>BR_77.01</w:t>
      </w:r>
      <w:r w:rsidR="00F33FC0">
        <w:rPr>
          <w:noProof/>
          <w:vanish/>
          <w:spacing w:val="0"/>
        </w:rPr>
        <w:t>,</w:t>
      </w:r>
      <w:r>
        <w:rPr>
          <w:noProof/>
          <w:vanish/>
          <w:spacing w:val="0"/>
        </w:rPr>
        <w:t xml:space="preserve"> </w:t>
      </w:r>
      <w:r w:rsidR="00F33FC0">
        <w:rPr>
          <w:vanish/>
          <w:spacing w:val="0"/>
        </w:rPr>
        <w:t xml:space="preserve">BR_77.03, </w:t>
      </w:r>
      <w:r w:rsidR="00F33FC0">
        <w:rPr>
          <w:noProof/>
          <w:vanish/>
          <w:spacing w:val="0"/>
        </w:rPr>
        <w:t>BR_77.05</w:t>
      </w:r>
      <w:r>
        <w:t>The user may change the default start and end dates</w:t>
      </w:r>
      <w:r w:rsidR="00E43586">
        <w:t xml:space="preserve"> (the previous day). The end date</w:t>
      </w:r>
      <w:r>
        <w:t xml:space="preserve"> must be later than</w:t>
      </w:r>
      <w:r w:rsidR="00F33FC0">
        <w:t xml:space="preserve"> or the same as</w:t>
      </w:r>
      <w:r>
        <w:t xml:space="preserve"> the start date</w:t>
      </w:r>
      <w:r w:rsidR="00F33FC0">
        <w:t xml:space="preserve">. Report activity begins at and includes midnight on the start </w:t>
      </w:r>
      <w:r w:rsidR="00671459">
        <w:t>date and</w:t>
      </w:r>
      <w:r w:rsidR="00F33FC0">
        <w:t xml:space="preserve"> ends </w:t>
      </w:r>
      <w:r w:rsidR="00354248">
        <w:lastRenderedPageBreak/>
        <w:t>23:59</w:t>
      </w:r>
      <w:r w:rsidR="00F33FC0">
        <w:t xml:space="preserve"> on the end date. When the date range includes the current date, VBECS displays “Preliminary” in the header on each page of the report.</w:t>
      </w:r>
    </w:p>
    <w:p w14:paraId="5CB7F632" w14:textId="77777777" w:rsidR="002317C3" w:rsidRDefault="002317C3" w:rsidP="002317C3">
      <w:pPr>
        <w:pStyle w:val="ListBullet"/>
      </w:pPr>
      <w:r>
        <w:rPr>
          <w:vanish/>
          <w:spacing w:val="0"/>
        </w:rPr>
        <w:t xml:space="preserve">BR_77.07 </w:t>
      </w:r>
      <w:r>
        <w:t>VBECS displays headers on every page of a report; it displays search and sort criteria and date ranges at the end of the report. VBECS identifies whether reports are generated from a test environment or from a production environment.</w:t>
      </w:r>
    </w:p>
    <w:p w14:paraId="04D617E6" w14:textId="5A61EC5F" w:rsidR="00D9320F" w:rsidRDefault="002317C3" w:rsidP="00D9320F">
      <w:pPr>
        <w:pStyle w:val="ListBullet"/>
      </w:pPr>
      <w:r w:rsidRPr="00FF2D14">
        <w:rPr>
          <w:vanish/>
        </w:rPr>
        <w:t xml:space="preserve">BR_77.11 </w:t>
      </w:r>
      <w:r w:rsidR="00767ECE">
        <w:t xml:space="preserve">The user may choose to schedule a report to run at a future date and time and print on a designated printer. When a date range is supplied for the report, the report's end date must occur before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 </w:t>
      </w:r>
      <w:r w:rsidR="00AB4BD9" w:rsidRPr="00AB4BD9">
        <w:rPr>
          <w:vanish/>
        </w:rPr>
        <w:t>Defect 210516</w:t>
      </w:r>
    </w:p>
    <w:p w14:paraId="2071D4CD" w14:textId="77777777" w:rsidR="00A62384" w:rsidRDefault="002317C3" w:rsidP="002317C3">
      <w:pPr>
        <w:pStyle w:val="ListBullet"/>
      </w:pPr>
      <w:r>
        <w:t xml:space="preserve">Local record retention policy instructs users to print, review, document, and save the </w:t>
      </w:r>
      <w:r w:rsidR="002D2971">
        <w:rPr>
          <w:rFonts w:eastAsia="Arial Unicode MS"/>
        </w:rPr>
        <w:t>Audit Trail, Exception, and Testing Worklist Reports</w:t>
      </w:r>
      <w:r>
        <w:t xml:space="preserve">. The reports contain only data entries generated in the user’s login division. </w:t>
      </w:r>
      <w:r>
        <w:rPr>
          <w:vanish/>
          <w:spacing w:val="0"/>
        </w:rPr>
        <w:t xml:space="preserve">BR_77.08 </w:t>
      </w:r>
      <w:r>
        <w:t>Each entry includes an area for supervisor acknowledgement (signature or initials and date of</w:t>
      </w:r>
      <w:r w:rsidR="00A62384">
        <w:t xml:space="preserve"> review) and comment.</w:t>
      </w:r>
    </w:p>
    <w:p w14:paraId="49FD7E8F" w14:textId="77777777" w:rsidR="002C0B9B" w:rsidRPr="002C0B9B" w:rsidRDefault="002C0B9B" w:rsidP="002C0B9B">
      <w:pPr>
        <w:pStyle w:val="ListBullet"/>
      </w:pPr>
      <w:r>
        <w:t xml:space="preserve">The search functionality (binoculars icon) may not </w:t>
      </w:r>
      <w:r w:rsidR="0045199A">
        <w:t>work</w:t>
      </w:r>
      <w:r>
        <w:t xml:space="preserve"> in a displayed report. </w:t>
      </w:r>
      <w:r w:rsidRPr="002C0B9B">
        <w:rPr>
          <w:vanish/>
        </w:rPr>
        <w:t>DR 2538</w:t>
      </w:r>
    </w:p>
    <w:p w14:paraId="1CED15BC" w14:textId="77777777" w:rsidR="00413ECA" w:rsidRDefault="00A62384" w:rsidP="00413ECA">
      <w:pPr>
        <w:pStyle w:val="ListBullet"/>
      </w:pPr>
      <w:r w:rsidRPr="00BC74C6">
        <w:rPr>
          <w:vanish/>
          <w:spacing w:val="0"/>
        </w:rPr>
        <w:t xml:space="preserve">BR_65.01 </w:t>
      </w:r>
      <w:r>
        <w:t>VBECS displays the patient historical ABO/Rh</w:t>
      </w:r>
      <w:r w:rsidR="000A0BE8">
        <w:t>, antibodies identified, antigen negative requirements, and</w:t>
      </w:r>
      <w:r>
        <w:t xml:space="preserve"> </w:t>
      </w:r>
      <w:r w:rsidR="000A0BE8">
        <w:t xml:space="preserve">transfusion reaction history </w:t>
      </w:r>
      <w:r>
        <w:t xml:space="preserve">(date, division of testing, whether from the </w:t>
      </w:r>
      <w:r w:rsidR="000C7684" w:rsidRPr="00BC74C6">
        <w:rPr>
          <w:bCs/>
        </w:rPr>
        <w:t>VistA</w:t>
      </w:r>
      <w:r w:rsidR="00413ECA">
        <w:t xml:space="preserve"> database conversion)</w:t>
      </w:r>
      <w:r w:rsidR="00F53A23">
        <w:t>,</w:t>
      </w:r>
      <w:r w:rsidR="00413ECA">
        <w:t xml:space="preserve"> </w:t>
      </w:r>
      <w:r w:rsidR="000A0BE8">
        <w:t xml:space="preserve">and </w:t>
      </w:r>
      <w:r w:rsidR="00413ECA">
        <w:t>whether the historical ABO/Rh was changed.</w:t>
      </w:r>
    </w:p>
    <w:p w14:paraId="4E678258" w14:textId="0B1D7A30" w:rsidR="0092694F" w:rsidRPr="003E663B" w:rsidRDefault="00413ECA" w:rsidP="003D6B91">
      <w:pPr>
        <w:pStyle w:val="ListBullet"/>
        <w:rPr>
          <w:rStyle w:val="CommentReference"/>
          <w:sz w:val="22"/>
          <w:szCs w:val="22"/>
        </w:rPr>
      </w:pPr>
      <w:r>
        <w:rPr>
          <w:vanish/>
          <w:spacing w:val="0"/>
        </w:rPr>
        <w:t xml:space="preserve">BR_65.02 </w:t>
      </w:r>
      <w:r>
        <w:t>When a patient has a history of an ABO/Rh change justified through Justify ABO/Rh Change, VBECS displays “History of justified ABO/Rh change” next to the</w:t>
      </w:r>
      <w:r>
        <w:rPr>
          <w:rStyle w:val="CommentReference"/>
          <w:sz w:val="22"/>
        </w:rPr>
        <w:t xml:space="preserve"> historical ABO/Rh information</w:t>
      </w:r>
      <w:r w:rsidR="008925E8">
        <w:rPr>
          <w:rStyle w:val="CommentReference"/>
          <w:sz w:val="22"/>
        </w:rPr>
        <w:t>.</w:t>
      </w:r>
    </w:p>
    <w:p w14:paraId="04E5405C" w14:textId="2A20693D" w:rsidR="00EA07D7" w:rsidRDefault="00EA07D7" w:rsidP="003D6B91">
      <w:pPr>
        <w:pStyle w:val="ListBullet"/>
      </w:pPr>
      <w:r>
        <w:t xml:space="preserve">Refer to the </w:t>
      </w:r>
      <w:r w:rsidRPr="003E663B">
        <w:rPr>
          <w:i/>
          <w:iCs/>
        </w:rPr>
        <w:t>VBECS Technical Manual-Security Guide</w:t>
      </w:r>
      <w:r>
        <w:t xml:space="preserve"> for details on which workstation settings may affect the appearance of a report preview.</w:t>
      </w:r>
    </w:p>
    <w:p w14:paraId="74FAEEA4" w14:textId="5B3A5713" w:rsidR="00C315E3" w:rsidRPr="002532D0" w:rsidRDefault="002532D0" w:rsidP="003D6B91">
      <w:pPr>
        <w:pStyle w:val="ListBullet"/>
        <w:rPr>
          <w:rStyle w:val="CommentReference"/>
          <w:sz w:val="22"/>
          <w:szCs w:val="22"/>
        </w:rPr>
      </w:pPr>
      <w:r w:rsidRPr="002532D0">
        <w:rPr>
          <w:vanish/>
        </w:rPr>
        <w:t xml:space="preserve">BR_77.12 </w:t>
      </w:r>
      <w:r w:rsidR="00C315E3" w:rsidRPr="002532D0">
        <w:t xml:space="preserve">When VBECS has been set </w:t>
      </w:r>
      <w:r w:rsidRPr="002532D0">
        <w:t>Read-Only</w:t>
      </w:r>
      <w:r w:rsidR="00C315E3" w:rsidRPr="002532D0">
        <w:t xml:space="preserve">, the header of every page of a report will contain “VBECS DATA IS READ ONLY”. </w:t>
      </w:r>
    </w:p>
    <w:p w14:paraId="74005AE2" w14:textId="77777777" w:rsidR="002F1554" w:rsidRPr="002F1554" w:rsidRDefault="002F1554" w:rsidP="002F1554">
      <w:pPr>
        <w:pStyle w:val="ListBullet"/>
        <w:numPr>
          <w:ilvl w:val="0"/>
          <w:numId w:val="0"/>
        </w:numPr>
        <w:ind w:left="648" w:hanging="360"/>
      </w:pPr>
    </w:p>
    <w:p w14:paraId="7CB572B8" w14:textId="77777777" w:rsidR="00C20AF0" w:rsidRPr="00037A18" w:rsidRDefault="00C20AF0" w:rsidP="00C20AF0">
      <w:pPr>
        <w:rPr>
          <w:sz w:val="22"/>
          <w:szCs w:val="22"/>
        </w:rPr>
      </w:pPr>
      <w:r w:rsidRPr="00037A18">
        <w:rPr>
          <w:sz w:val="22"/>
          <w:szCs w:val="22"/>
        </w:rPr>
        <w:t xml:space="preserve">Reports in VBECS are created using a Microsoft technology called SQL Server Reporting Services (SSRS). Reports are rendered on screen using </w:t>
      </w:r>
      <w:r>
        <w:rPr>
          <w:sz w:val="22"/>
          <w:szCs w:val="22"/>
        </w:rPr>
        <w:t xml:space="preserve">Microsoft </w:t>
      </w:r>
      <w:r w:rsidRPr="00037A18">
        <w:rPr>
          <w:sz w:val="22"/>
          <w:szCs w:val="22"/>
        </w:rPr>
        <w:t>Report</w:t>
      </w:r>
      <w:r>
        <w:rPr>
          <w:sz w:val="22"/>
          <w:szCs w:val="22"/>
        </w:rPr>
        <w:t xml:space="preserve"> </w:t>
      </w:r>
      <w:r w:rsidRPr="00037A18">
        <w:rPr>
          <w:sz w:val="22"/>
          <w:szCs w:val="22"/>
        </w:rPr>
        <w:t xml:space="preserve">Viewer control. Reports are not deployed on the reporting server but as a part of the main application. All reports </w:t>
      </w:r>
      <w:r>
        <w:rPr>
          <w:sz w:val="22"/>
          <w:szCs w:val="22"/>
        </w:rPr>
        <w:t xml:space="preserve">rendered on screen </w:t>
      </w:r>
      <w:r w:rsidRPr="00037A18">
        <w:rPr>
          <w:sz w:val="22"/>
          <w:szCs w:val="22"/>
        </w:rPr>
        <w:t>can be exported. The user has the option to export reports</w:t>
      </w:r>
      <w:r>
        <w:rPr>
          <w:sz w:val="22"/>
          <w:szCs w:val="22"/>
        </w:rPr>
        <w:t xml:space="preserve"> in three different formats (PDF</w:t>
      </w:r>
      <w:r w:rsidRPr="00037A18">
        <w:rPr>
          <w:sz w:val="22"/>
          <w:szCs w:val="22"/>
        </w:rPr>
        <w:t>, Excel and/or Word).</w:t>
      </w:r>
    </w:p>
    <w:p w14:paraId="12DA6635" w14:textId="77777777" w:rsidR="006B317D" w:rsidRDefault="006B317D">
      <w:pPr>
        <w:rPr>
          <w:rFonts w:ascii="Arial" w:hAnsi="Arial" w:cs="Arial"/>
          <w:b/>
          <w:bCs/>
          <w:sz w:val="26"/>
          <w:szCs w:val="26"/>
        </w:rPr>
      </w:pPr>
      <w:r>
        <w:br w:type="page"/>
      </w:r>
    </w:p>
    <w:p w14:paraId="383D3FCE" w14:textId="11B2C91F" w:rsidR="00770D97" w:rsidRDefault="00770D97" w:rsidP="00292063">
      <w:pPr>
        <w:pStyle w:val="Heading3"/>
      </w:pPr>
      <w:bookmarkStart w:id="60" w:name="_Toc163644849"/>
      <w:r>
        <w:lastRenderedPageBreak/>
        <w:t>Scheduling Report Print Jobs</w:t>
      </w:r>
      <w:bookmarkEnd w:id="60"/>
    </w:p>
    <w:p w14:paraId="38D98DC0" w14:textId="1E62579F" w:rsidR="00D2638D" w:rsidRDefault="00770D97" w:rsidP="00292063">
      <w:pPr>
        <w:keepNext/>
        <w:rPr>
          <w:sz w:val="22"/>
          <w:szCs w:val="22"/>
        </w:rPr>
      </w:pPr>
      <w:r>
        <w:rPr>
          <w:sz w:val="22"/>
          <w:szCs w:val="22"/>
        </w:rPr>
        <w:t xml:space="preserve">To have a report printed automatically at a later date, the user </w:t>
      </w:r>
      <w:r w:rsidR="00CE20B4">
        <w:rPr>
          <w:sz w:val="22"/>
          <w:szCs w:val="22"/>
        </w:rPr>
        <w:t>select</w:t>
      </w:r>
      <w:r w:rsidR="00FB40C0">
        <w:rPr>
          <w:sz w:val="22"/>
          <w:szCs w:val="22"/>
        </w:rPr>
        <w:t>s</w:t>
      </w:r>
      <w:r>
        <w:rPr>
          <w:sz w:val="22"/>
          <w:szCs w:val="22"/>
        </w:rPr>
        <w:t xml:space="preserve"> the </w:t>
      </w:r>
      <w:r w:rsidRPr="003E663B">
        <w:rPr>
          <w:b/>
          <w:bCs/>
          <w:sz w:val="22"/>
          <w:szCs w:val="22"/>
        </w:rPr>
        <w:t>Schedule Print Job</w:t>
      </w:r>
      <w:r>
        <w:rPr>
          <w:sz w:val="22"/>
          <w:szCs w:val="22"/>
        </w:rPr>
        <w:t xml:space="preserve"> option on any VBECS </w:t>
      </w:r>
      <w:r w:rsidRPr="00CE20B4">
        <w:rPr>
          <w:sz w:val="22"/>
          <w:szCs w:val="22"/>
        </w:rPr>
        <w:t>report (</w:t>
      </w:r>
      <w:r w:rsidR="00EE455E" w:rsidRPr="00EE455E">
        <w:rPr>
          <w:sz w:val="22"/>
          <w:szCs w:val="22"/>
        </w:rPr>
        <w:t xml:space="preserve">Figure </w:t>
      </w:r>
      <w:r w:rsidR="00EE455E" w:rsidRPr="00EE455E">
        <w:rPr>
          <w:noProof/>
          <w:sz w:val="22"/>
          <w:szCs w:val="22"/>
        </w:rPr>
        <w:t>5</w:t>
      </w:r>
      <w:r w:rsidRPr="00CE20B4">
        <w:rPr>
          <w:sz w:val="22"/>
          <w:szCs w:val="22"/>
        </w:rPr>
        <w:t>).</w:t>
      </w:r>
      <w:r w:rsidR="00D2638D" w:rsidRPr="00CE20B4">
        <w:rPr>
          <w:sz w:val="22"/>
          <w:szCs w:val="22"/>
        </w:rPr>
        <w:t xml:space="preserve"> Scheduled</w:t>
      </w:r>
      <w:r w:rsidR="00D2638D">
        <w:rPr>
          <w:sz w:val="22"/>
          <w:szCs w:val="22"/>
        </w:rPr>
        <w:t xml:space="preserve"> print jobs wait in a queue until the designated </w:t>
      </w:r>
      <w:r w:rsidR="00CE20B4">
        <w:rPr>
          <w:sz w:val="22"/>
          <w:szCs w:val="22"/>
        </w:rPr>
        <w:t xml:space="preserve">time (set </w:t>
      </w:r>
      <w:r w:rsidR="00D2638D">
        <w:rPr>
          <w:sz w:val="22"/>
          <w:szCs w:val="22"/>
        </w:rPr>
        <w:t xml:space="preserve">in the </w:t>
      </w:r>
      <w:r w:rsidR="00D2638D" w:rsidRPr="003E663B">
        <w:rPr>
          <w:b/>
          <w:bCs/>
          <w:sz w:val="22"/>
          <w:szCs w:val="22"/>
        </w:rPr>
        <w:t>Print Date</w:t>
      </w:r>
      <w:r w:rsidR="00D2638D">
        <w:rPr>
          <w:sz w:val="22"/>
          <w:szCs w:val="22"/>
        </w:rPr>
        <w:t xml:space="preserve"> field</w:t>
      </w:r>
      <w:r w:rsidR="00CE20B4">
        <w:rPr>
          <w:sz w:val="22"/>
          <w:szCs w:val="22"/>
        </w:rPr>
        <w:t xml:space="preserve">), </w:t>
      </w:r>
      <w:r w:rsidR="00D2638D">
        <w:rPr>
          <w:sz w:val="22"/>
          <w:szCs w:val="22"/>
        </w:rPr>
        <w:t xml:space="preserve">at which point they </w:t>
      </w:r>
      <w:r w:rsidR="00CE20B4">
        <w:rPr>
          <w:sz w:val="22"/>
          <w:szCs w:val="22"/>
        </w:rPr>
        <w:t>are</w:t>
      </w:r>
      <w:r w:rsidR="00D2638D">
        <w:rPr>
          <w:sz w:val="22"/>
          <w:szCs w:val="22"/>
        </w:rPr>
        <w:t xml:space="preserve"> sent to the printer selected in the </w:t>
      </w:r>
      <w:r w:rsidR="00D2638D" w:rsidRPr="003E663B">
        <w:rPr>
          <w:b/>
          <w:bCs/>
          <w:sz w:val="22"/>
          <w:szCs w:val="22"/>
        </w:rPr>
        <w:t>Printer Name</w:t>
      </w:r>
      <w:r w:rsidR="00D2638D">
        <w:rPr>
          <w:sz w:val="22"/>
          <w:szCs w:val="22"/>
        </w:rPr>
        <w:t xml:space="preserve"> field. </w:t>
      </w:r>
    </w:p>
    <w:p w14:paraId="6C8B48AD" w14:textId="77777777" w:rsidR="00FF2D14" w:rsidRDefault="00FF2D14" w:rsidP="00770D97">
      <w:pPr>
        <w:rPr>
          <w:b/>
          <w:bCs/>
          <w:sz w:val="22"/>
          <w:szCs w:val="22"/>
        </w:rPr>
      </w:pPr>
    </w:p>
    <w:p w14:paraId="0B54B7BD" w14:textId="78622904" w:rsidR="00FF2D14" w:rsidRDefault="00FF2D14" w:rsidP="00FF2D14">
      <w:pPr>
        <w:pStyle w:val="ListBullet"/>
      </w:pPr>
      <w:r>
        <w:t xml:space="preserve">The print job engine runs in UTC time. This means that if you set the </w:t>
      </w:r>
      <w:r w:rsidRPr="00603161">
        <w:rPr>
          <w:b/>
          <w:bCs/>
        </w:rPr>
        <w:t>Print Date</w:t>
      </w:r>
      <w:r>
        <w:t xml:space="preserve"> field to 9:00AM it will print at 9:00AM UTC, (which equates to 6:00AM EDT, 5:00AM CDT, 4:00AM MDT and 3:00AM PDT). The </w:t>
      </w:r>
      <w:r w:rsidRPr="00603161">
        <w:rPr>
          <w:b/>
          <w:bCs/>
        </w:rPr>
        <w:t>Start Date</w:t>
      </w:r>
      <w:r>
        <w:t xml:space="preserve"> and </w:t>
      </w:r>
      <w:r w:rsidRPr="00603161">
        <w:rPr>
          <w:b/>
          <w:bCs/>
        </w:rPr>
        <w:t>End Date</w:t>
      </w:r>
      <w:r>
        <w:t xml:space="preserve"> fields are converted into user division time, which can create a scenario where the job prints before the </w:t>
      </w:r>
      <w:r w:rsidRPr="00603161">
        <w:rPr>
          <w:b/>
          <w:bCs/>
        </w:rPr>
        <w:t>End Date</w:t>
      </w:r>
      <w:r>
        <w:rPr>
          <w:b/>
          <w:bCs/>
        </w:rPr>
        <w:t>.</w:t>
      </w:r>
    </w:p>
    <w:p w14:paraId="00E6048B" w14:textId="68CC7609" w:rsidR="00FF2D14" w:rsidRDefault="00FF2D14" w:rsidP="00FF2D14">
      <w:pPr>
        <w:pStyle w:val="ListBullet"/>
      </w:pPr>
      <w:r>
        <w:t>The user may choose to schedule a report to run at a future date and time and print on a designated printer. When a date range is supplied for the report, the report's end date must occur before the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w:t>
      </w:r>
    </w:p>
    <w:p w14:paraId="26574061" w14:textId="749E31A0" w:rsidR="00FF2D14" w:rsidRDefault="00FF2D14" w:rsidP="00FF2D14">
      <w:pPr>
        <w:pStyle w:val="ListBullet"/>
      </w:pPr>
      <w:r>
        <w:t xml:space="preserve">If a print job is scheduled for </w:t>
      </w:r>
      <w:r w:rsidRPr="003E663B">
        <w:rPr>
          <w:b/>
          <w:bCs/>
        </w:rPr>
        <w:t>Printer Name</w:t>
      </w:r>
      <w:r>
        <w:t xml:space="preserve"> “VBECS Backup Printer”, and the “VBECS Backup Printer” is renamed or removed before the job’s </w:t>
      </w:r>
      <w:r w:rsidRPr="003E663B">
        <w:rPr>
          <w:b/>
          <w:bCs/>
        </w:rPr>
        <w:t>Print Date</w:t>
      </w:r>
      <w:r>
        <w:t>, that report will not print.</w:t>
      </w:r>
    </w:p>
    <w:p w14:paraId="6B4203DF" w14:textId="49FADEAC" w:rsidR="002F1554" w:rsidRPr="00037A18" w:rsidRDefault="002F1554" w:rsidP="002F1554">
      <w:pPr>
        <w:pStyle w:val="Heading2"/>
      </w:pPr>
      <w:bookmarkStart w:id="61" w:name="_Toc163644850"/>
      <w:r w:rsidRPr="00037A18">
        <w:t>Report Toolbar</w:t>
      </w:r>
      <w:bookmarkEnd w:id="61"/>
      <w:r w:rsidR="002B5CD5">
        <w:t xml:space="preserve"> </w:t>
      </w:r>
      <w:r w:rsidR="002B5CD5" w:rsidRPr="002B5CD5">
        <w:rPr>
          <w:rFonts w:ascii="Arial Bold" w:hAnsi="Arial Bold"/>
          <w:vanish/>
        </w:rPr>
        <w:t>DR 4581</w:t>
      </w:r>
    </w:p>
    <w:p w14:paraId="5E9B84D6" w14:textId="1B54A335" w:rsidR="002F1554" w:rsidRPr="00037A18" w:rsidRDefault="002F1554" w:rsidP="002F1554">
      <w:pPr>
        <w:rPr>
          <w:sz w:val="22"/>
          <w:szCs w:val="22"/>
        </w:rPr>
      </w:pPr>
      <w:r w:rsidRPr="00037A18">
        <w:rPr>
          <w:sz w:val="22"/>
          <w:szCs w:val="22"/>
        </w:rPr>
        <w:t xml:space="preserve">Each report in VBECS will have a toolbar on top that allows the user to interact with the </w:t>
      </w:r>
      <w:r w:rsidRPr="00D2638D">
        <w:rPr>
          <w:sz w:val="22"/>
          <w:szCs w:val="22"/>
        </w:rPr>
        <w:t>report (</w:t>
      </w:r>
      <w:r w:rsidR="00EE455E" w:rsidRPr="00EE455E">
        <w:rPr>
          <w:sz w:val="22"/>
          <w:szCs w:val="22"/>
        </w:rPr>
        <w:t xml:space="preserve">Figure </w:t>
      </w:r>
      <w:r w:rsidR="00EE455E" w:rsidRPr="00EE455E">
        <w:rPr>
          <w:noProof/>
          <w:sz w:val="22"/>
          <w:szCs w:val="22"/>
        </w:rPr>
        <w:t>7</w:t>
      </w:r>
      <w:r w:rsidRPr="00D2638D">
        <w:rPr>
          <w:sz w:val="22"/>
          <w:szCs w:val="22"/>
        </w:rPr>
        <w:t>).</w:t>
      </w:r>
      <w:r w:rsidR="009A5050" w:rsidRPr="00D2638D">
        <w:rPr>
          <w:sz w:val="22"/>
          <w:szCs w:val="22"/>
        </w:rPr>
        <w:t xml:space="preserve"> The following sub-sections elaborate on the controls found on the Report Toolbar. It is suggested</w:t>
      </w:r>
      <w:r w:rsidR="009A5050">
        <w:rPr>
          <w:sz w:val="22"/>
          <w:szCs w:val="22"/>
        </w:rPr>
        <w:t xml:space="preserve"> that users create a local directory for exporting their reports (see the</w:t>
      </w:r>
      <w:r w:rsidR="00A628A7">
        <w:rPr>
          <w:sz w:val="22"/>
          <w:szCs w:val="22"/>
        </w:rPr>
        <w:t xml:space="preserve"> </w:t>
      </w:r>
      <w:r w:rsidR="008343A9">
        <w:rPr>
          <w:i/>
          <w:sz w:val="22"/>
          <w:szCs w:val="22"/>
        </w:rPr>
        <w:t>VBECS</w:t>
      </w:r>
      <w:r w:rsidR="00963680">
        <w:rPr>
          <w:i/>
          <w:sz w:val="22"/>
          <w:szCs w:val="22"/>
        </w:rPr>
        <w:t xml:space="preserve"> </w:t>
      </w:r>
      <w:r w:rsidR="00B03BDD">
        <w:rPr>
          <w:i/>
          <w:sz w:val="22"/>
          <w:szCs w:val="22"/>
        </w:rPr>
        <w:t>2.</w:t>
      </w:r>
      <w:r w:rsidR="005E5828">
        <w:rPr>
          <w:i/>
          <w:sz w:val="22"/>
          <w:szCs w:val="22"/>
        </w:rPr>
        <w:t>4.0</w:t>
      </w:r>
      <w:r w:rsidR="008343A9">
        <w:rPr>
          <w:i/>
          <w:sz w:val="22"/>
          <w:szCs w:val="22"/>
        </w:rPr>
        <w:t xml:space="preserve"> </w:t>
      </w:r>
      <w:r w:rsidR="009A5050" w:rsidRPr="009A5050">
        <w:rPr>
          <w:i/>
          <w:sz w:val="22"/>
          <w:szCs w:val="22"/>
        </w:rPr>
        <w:t>Technical Manual-Security Guide</w:t>
      </w:r>
      <w:r w:rsidR="009A5050">
        <w:rPr>
          <w:sz w:val="22"/>
          <w:szCs w:val="22"/>
        </w:rPr>
        <w:t xml:space="preserve"> for </w:t>
      </w:r>
      <w:r w:rsidR="00E90A01">
        <w:rPr>
          <w:sz w:val="22"/>
          <w:szCs w:val="22"/>
        </w:rPr>
        <w:t>additional</w:t>
      </w:r>
      <w:r w:rsidR="009A5050">
        <w:rPr>
          <w:sz w:val="22"/>
          <w:szCs w:val="22"/>
        </w:rPr>
        <w:t xml:space="preserve"> information).</w:t>
      </w:r>
    </w:p>
    <w:p w14:paraId="0F43E547" w14:textId="176B9799" w:rsidR="002F1554" w:rsidRPr="00037A18" w:rsidRDefault="002F1554" w:rsidP="002F1554">
      <w:pPr>
        <w:pStyle w:val="Caption"/>
      </w:pPr>
      <w:bookmarkStart w:id="62" w:name="_Ref353374018"/>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w:t>
      </w:r>
      <w:r w:rsidR="004E20BD">
        <w:rPr>
          <w:noProof/>
        </w:rPr>
        <w:fldChar w:fldCharType="end"/>
      </w:r>
      <w:bookmarkEnd w:id="62"/>
      <w:r w:rsidRPr="00037A18">
        <w:t>: Report Toolbar</w:t>
      </w:r>
      <w:r w:rsidR="00BC7F26">
        <w:t xml:space="preserve"> </w:t>
      </w:r>
      <w:r w:rsidR="00BC7F26" w:rsidRPr="00BC7F26">
        <w:rPr>
          <w:vanish/>
        </w:rPr>
        <w:t>DR 4835</w:t>
      </w:r>
    </w:p>
    <w:p w14:paraId="3ABF9EF9" w14:textId="77777777" w:rsidR="002F1554" w:rsidRPr="00A777D2" w:rsidRDefault="00057948" w:rsidP="002F1554">
      <w:pPr>
        <w:pStyle w:val="BodyText"/>
        <w:rPr>
          <w:highlight w:val="yellow"/>
        </w:rPr>
      </w:pPr>
      <w:r>
        <w:rPr>
          <w:noProof/>
        </w:rPr>
        <w:drawing>
          <wp:inline distT="0" distB="0" distL="0" distR="0" wp14:anchorId="6619A0E9" wp14:editId="65D3C147">
            <wp:extent cx="4996815" cy="267970"/>
            <wp:effectExtent l="0" t="0" r="0" b="0"/>
            <wp:docPr id="24" name="Picture 24" descr="Report Toolba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port Toolbar screen 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6815" cy="267970"/>
                    </a:xfrm>
                    <a:prstGeom prst="rect">
                      <a:avLst/>
                    </a:prstGeom>
                    <a:noFill/>
                    <a:ln>
                      <a:noFill/>
                    </a:ln>
                  </pic:spPr>
                </pic:pic>
              </a:graphicData>
            </a:graphic>
          </wp:inline>
        </w:drawing>
      </w:r>
    </w:p>
    <w:p w14:paraId="6442898D" w14:textId="77777777" w:rsidR="002F1554" w:rsidRPr="00037A18" w:rsidRDefault="002F1554" w:rsidP="002F1554">
      <w:pPr>
        <w:pStyle w:val="Heading3"/>
      </w:pPr>
      <w:bookmarkStart w:id="63" w:name="_Toc163644851"/>
      <w:r w:rsidRPr="00037A18">
        <w:t>Navigation Arrows and Report Pages</w:t>
      </w:r>
      <w:bookmarkEnd w:id="63"/>
      <w:r w:rsidR="00270083">
        <w:t xml:space="preserve"> </w:t>
      </w:r>
      <w:r w:rsidR="00270083" w:rsidRPr="00270083">
        <w:rPr>
          <w:rFonts w:ascii="Arial Bold" w:hAnsi="Arial Bold"/>
          <w:vanish/>
        </w:rPr>
        <w:t>DR 4761</w:t>
      </w:r>
      <w:r w:rsidRPr="00FC73FB">
        <w:rPr>
          <w:rFonts w:ascii="Arial Bold" w:hAnsi="Arial Bold"/>
          <w:vanish/>
        </w:rPr>
        <w:t xml:space="preserve"> DR 4589</w:t>
      </w:r>
    </w:p>
    <w:p w14:paraId="67A3D0EB" w14:textId="77777777" w:rsidR="002F1554" w:rsidRPr="00037A18" w:rsidRDefault="002F1554" w:rsidP="001055DF">
      <w:pPr>
        <w:spacing w:before="60" w:after="120"/>
        <w:rPr>
          <w:sz w:val="22"/>
          <w:szCs w:val="22"/>
        </w:rPr>
      </w:pPr>
      <w:r w:rsidRPr="00037A18">
        <w:rPr>
          <w:sz w:val="22"/>
          <w:szCs w:val="22"/>
        </w:rPr>
        <w:t xml:space="preserve">Navigation arrows allow the user to move to the next or previous page of the report. If the user is on the first page of the report, the arrows pointing to the left will be disabled. If the user is on the last page of the report, the arrows pointing to the right will be disabled. </w:t>
      </w:r>
    </w:p>
    <w:p w14:paraId="1292BA64" w14:textId="4DF59186" w:rsidR="00540EB1" w:rsidRDefault="002F1554" w:rsidP="001055DF">
      <w:pPr>
        <w:spacing w:before="60" w:after="120"/>
        <w:rPr>
          <w:sz w:val="22"/>
          <w:szCs w:val="22"/>
        </w:rPr>
      </w:pPr>
      <w:r w:rsidRPr="00037A18">
        <w:rPr>
          <w:sz w:val="22"/>
          <w:szCs w:val="22"/>
        </w:rPr>
        <w:t xml:space="preserve">The first arrow button </w:t>
      </w:r>
      <w:r w:rsidR="00057948">
        <w:rPr>
          <w:noProof/>
          <w:sz w:val="22"/>
          <w:szCs w:val="22"/>
        </w:rPr>
        <w:drawing>
          <wp:inline distT="0" distB="0" distL="0" distR="0" wp14:anchorId="0C1A4952" wp14:editId="35E1620D">
            <wp:extent cx="221615" cy="249555"/>
            <wp:effectExtent l="0" t="0" r="6985" b="0"/>
            <wp:docPr id="25" name="Picture 25" descr="Ar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rrow button ic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037A18">
        <w:rPr>
          <w:sz w:val="22"/>
          <w:szCs w:val="22"/>
        </w:rPr>
        <w:t xml:space="preserve"> moves the report by one page forward (or backward for left facing arrow). The second </w:t>
      </w:r>
      <w:r w:rsidR="00057948">
        <w:rPr>
          <w:noProof/>
          <w:sz w:val="22"/>
          <w:szCs w:val="22"/>
        </w:rPr>
        <w:drawing>
          <wp:inline distT="0" distB="0" distL="0" distR="0" wp14:anchorId="07FC4DDC" wp14:editId="0C7DE4DF">
            <wp:extent cx="249555" cy="240030"/>
            <wp:effectExtent l="0" t="0" r="0" b="7620"/>
            <wp:docPr id="26" name="Picture 26" descr="Ar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rrow button 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 cy="240030"/>
                    </a:xfrm>
                    <a:prstGeom prst="rect">
                      <a:avLst/>
                    </a:prstGeom>
                    <a:noFill/>
                    <a:ln>
                      <a:noFill/>
                    </a:ln>
                  </pic:spPr>
                </pic:pic>
              </a:graphicData>
            </a:graphic>
          </wp:inline>
        </w:drawing>
      </w:r>
      <w:r w:rsidRPr="00037A18">
        <w:rPr>
          <w:sz w:val="22"/>
          <w:szCs w:val="22"/>
        </w:rPr>
        <w:t xml:space="preserve"> moves the report to either the last or first page (in case of the left facing arrow). The number X of Y tells user which page is currently being viewed (X) and what is the total number of pages (Y).</w:t>
      </w:r>
    </w:p>
    <w:p w14:paraId="60DC91DA" w14:textId="4F2C1CFB" w:rsidR="00B413D4" w:rsidRDefault="00B413D4" w:rsidP="001055DF">
      <w:pPr>
        <w:spacing w:before="60" w:after="120"/>
        <w:rPr>
          <w:sz w:val="22"/>
          <w:szCs w:val="22"/>
        </w:rPr>
      </w:pPr>
      <w:r>
        <w:rPr>
          <w:sz w:val="22"/>
          <w:szCs w:val="22"/>
        </w:rPr>
        <w:t xml:space="preserve">Using arrow keys may cause erroneous “Invalid Key Pressed” messages or swap values while entering control results. Use the mouse to move between cells instead of using the arrow keys. Verify the control cell entries are correct before saving. </w:t>
      </w:r>
      <w:r w:rsidRPr="00B413D4">
        <w:rPr>
          <w:vanish/>
          <w:sz w:val="22"/>
          <w:szCs w:val="22"/>
        </w:rPr>
        <w:t>Defect 209946</w:t>
      </w:r>
    </w:p>
    <w:p w14:paraId="63CB0BE6" w14:textId="77777777" w:rsidR="006C79C7" w:rsidRDefault="006C79C7">
      <w:pPr>
        <w:rPr>
          <w:rFonts w:ascii="Arial" w:hAnsi="Arial" w:cs="Arial"/>
          <w:b/>
          <w:bCs/>
          <w:sz w:val="26"/>
          <w:szCs w:val="26"/>
        </w:rPr>
      </w:pPr>
      <w:bookmarkStart w:id="64" w:name="_Toc369769739"/>
      <w:bookmarkStart w:id="65" w:name="_Ref370117404"/>
      <w:bookmarkStart w:id="66" w:name="_Ref370803698"/>
      <w:bookmarkStart w:id="67" w:name="_Ref370807571"/>
      <w:r>
        <w:br w:type="page"/>
      </w:r>
    </w:p>
    <w:p w14:paraId="3DAEF989" w14:textId="4FF6753C" w:rsidR="00D611E5" w:rsidRPr="00292063" w:rsidRDefault="00D611E5" w:rsidP="00D611E5">
      <w:pPr>
        <w:pStyle w:val="Heading3"/>
        <w:rPr>
          <w:rFonts w:ascii="Arial Bold" w:hAnsi="Arial Bold"/>
        </w:rPr>
      </w:pPr>
      <w:bookmarkStart w:id="68" w:name="_Ref100818305"/>
      <w:bookmarkStart w:id="69" w:name="_Toc163644852"/>
      <w:r w:rsidRPr="00292063">
        <w:lastRenderedPageBreak/>
        <w:t>Report Layout</w:t>
      </w:r>
      <w:bookmarkEnd w:id="64"/>
      <w:bookmarkEnd w:id="65"/>
      <w:bookmarkEnd w:id="66"/>
      <w:bookmarkEnd w:id="67"/>
      <w:bookmarkEnd w:id="68"/>
      <w:bookmarkEnd w:id="69"/>
      <w:r w:rsidR="00292063" w:rsidRPr="00292063">
        <w:t xml:space="preserve"> </w:t>
      </w:r>
      <w:r w:rsidR="00BC7F26" w:rsidRPr="00292063">
        <w:rPr>
          <w:rFonts w:ascii="Arial Bold" w:hAnsi="Arial Bold"/>
          <w:vanish/>
        </w:rPr>
        <w:t>DR 4835</w:t>
      </w:r>
    </w:p>
    <w:p w14:paraId="7CA7D5C8" w14:textId="1B3401D8" w:rsidR="00D611E5" w:rsidRDefault="00D611E5" w:rsidP="006C79C7">
      <w:pPr>
        <w:rPr>
          <w:sz w:val="22"/>
          <w:szCs w:val="22"/>
        </w:rPr>
      </w:pPr>
      <w:r w:rsidRPr="00D611E5">
        <w:rPr>
          <w:sz w:val="22"/>
          <w:szCs w:val="22"/>
        </w:rPr>
        <w:t xml:space="preserve">There are two ways (layouts) in which reports can be displayed. By default, reports are displayed in Print Layout. It allows reports to appear on the screen exactly how they will look when printed. </w:t>
      </w:r>
      <w:r w:rsidR="00525D98" w:rsidRPr="00D611E5">
        <w:rPr>
          <w:sz w:val="22"/>
          <w:szCs w:val="22"/>
        </w:rPr>
        <w:t>However,</w:t>
      </w:r>
      <w:r w:rsidRPr="00D611E5">
        <w:rPr>
          <w:sz w:val="22"/>
          <w:szCs w:val="22"/>
        </w:rPr>
        <w:t xml:space="preserve"> when reports are displayed in Print Layout mode, the Report Search function (see </w:t>
      </w:r>
      <w:r w:rsidR="00EE455E" w:rsidRPr="00EE455E">
        <w:rPr>
          <w:sz w:val="22"/>
          <w:szCs w:val="22"/>
        </w:rPr>
        <w:t>Report Search</w:t>
      </w:r>
      <w:r w:rsidRPr="00D611E5">
        <w:rPr>
          <w:sz w:val="22"/>
          <w:szCs w:val="22"/>
        </w:rPr>
        <w:t xml:space="preserve">) is disabled. In order to be able to use Report Search, the user has to turn off Print Layout mode by pressing this icon: </w:t>
      </w:r>
      <w:r w:rsidR="00057948">
        <w:rPr>
          <w:noProof/>
          <w:sz w:val="22"/>
          <w:szCs w:val="22"/>
        </w:rPr>
        <w:drawing>
          <wp:inline distT="0" distB="0" distL="0" distR="0" wp14:anchorId="3F45EBE2" wp14:editId="267199A9">
            <wp:extent cx="276860" cy="276860"/>
            <wp:effectExtent l="0" t="0" r="8890" b="8890"/>
            <wp:docPr id="27" name="Picture 27" descr="Print Lay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int Layout 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sidRPr="00D611E5">
        <w:rPr>
          <w:sz w:val="22"/>
          <w:szCs w:val="22"/>
        </w:rPr>
        <w:t xml:space="preserve">. When Print Layout is disabled, the icon will look like this: </w:t>
      </w:r>
      <w:r w:rsidR="00057948">
        <w:rPr>
          <w:noProof/>
          <w:sz w:val="22"/>
          <w:szCs w:val="22"/>
        </w:rPr>
        <w:drawing>
          <wp:inline distT="0" distB="0" distL="0" distR="0" wp14:anchorId="0990060F" wp14:editId="1EC439CC">
            <wp:extent cx="221615" cy="249555"/>
            <wp:effectExtent l="0" t="0" r="6985" b="0"/>
            <wp:docPr id="28" name="Picture 28" descr="Print Lay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int Layout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D611E5">
        <w:rPr>
          <w:sz w:val="22"/>
          <w:szCs w:val="22"/>
        </w:rPr>
        <w:t>. It can be pressed again to return to Print Layout mode.</w:t>
      </w:r>
    </w:p>
    <w:p w14:paraId="4DC151C4" w14:textId="229AA2D2" w:rsidR="00D611E5" w:rsidRPr="00D611E5" w:rsidRDefault="00D611E5" w:rsidP="00D611E5">
      <w:pPr>
        <w:rPr>
          <w:sz w:val="22"/>
          <w:szCs w:val="22"/>
        </w:rPr>
      </w:pPr>
      <w:r w:rsidRPr="00D611E5">
        <w:rPr>
          <w:sz w:val="22"/>
          <w:szCs w:val="22"/>
        </w:rPr>
        <w:t>Page size of reports not displayed in Print Layout mode differs from the regular letter size (8.5in. x 11in.) and that is why the total number of pages for the same report displayed in different layouts may differ.</w:t>
      </w:r>
      <w:r w:rsidR="00B63E54">
        <w:rPr>
          <w:sz w:val="22"/>
          <w:szCs w:val="22"/>
        </w:rPr>
        <w:t xml:space="preserve"> </w:t>
      </w:r>
    </w:p>
    <w:p w14:paraId="0C6AACA4" w14:textId="65B9EEFF" w:rsidR="00BF56F1" w:rsidRPr="00037A18" w:rsidRDefault="00BF56F1" w:rsidP="00BF56F1">
      <w:pPr>
        <w:pStyle w:val="Heading3"/>
      </w:pPr>
      <w:bookmarkStart w:id="70" w:name="_Toc163644853"/>
      <w:r w:rsidRPr="00037A18">
        <w:t>Report Zoom-in/Zoom-out</w:t>
      </w:r>
      <w:bookmarkEnd w:id="70"/>
    </w:p>
    <w:p w14:paraId="736DBA49" w14:textId="1D86920E" w:rsidR="00BF56F1" w:rsidRPr="00671EA6" w:rsidRDefault="00BF56F1" w:rsidP="00BF56F1">
      <w:pPr>
        <w:rPr>
          <w:sz w:val="22"/>
          <w:szCs w:val="22"/>
        </w:rPr>
      </w:pPr>
      <w:r w:rsidRPr="00671EA6">
        <w:rPr>
          <w:sz w:val="22"/>
          <w:szCs w:val="22"/>
        </w:rPr>
        <w:t>Clicking the drop-down menu showing 100% will give the user a choice of the report display size (</w:t>
      </w:r>
      <w:r w:rsidR="00EE455E" w:rsidRPr="00EE455E">
        <w:rPr>
          <w:sz w:val="22"/>
          <w:szCs w:val="22"/>
        </w:rPr>
        <w:t xml:space="preserve">Figure </w:t>
      </w:r>
      <w:r w:rsidR="00EE455E" w:rsidRPr="00EE455E">
        <w:rPr>
          <w:noProof/>
          <w:sz w:val="22"/>
          <w:szCs w:val="22"/>
        </w:rPr>
        <w:t>8</w:t>
      </w:r>
      <w:r w:rsidRPr="00671EA6">
        <w:rPr>
          <w:sz w:val="22"/>
          <w:szCs w:val="22"/>
        </w:rPr>
        <w:t>).</w:t>
      </w:r>
    </w:p>
    <w:p w14:paraId="539070E3" w14:textId="47E864CC" w:rsidR="00BF56F1" w:rsidRPr="00037A18" w:rsidRDefault="00BF56F1" w:rsidP="00BF56F1">
      <w:pPr>
        <w:pStyle w:val="Caption"/>
      </w:pPr>
      <w:bookmarkStart w:id="71" w:name="_Ref353985437"/>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8</w:t>
      </w:r>
      <w:r w:rsidR="004E20BD">
        <w:rPr>
          <w:noProof/>
        </w:rPr>
        <w:fldChar w:fldCharType="end"/>
      </w:r>
      <w:bookmarkEnd w:id="71"/>
      <w:r w:rsidRPr="00037A18">
        <w:t>: Report Zoom-in/Zoom-out Control</w:t>
      </w:r>
    </w:p>
    <w:p w14:paraId="6747A3BB" w14:textId="77777777" w:rsidR="00BF56F1" w:rsidRPr="00A777D2" w:rsidRDefault="00057948" w:rsidP="00BF56F1">
      <w:pPr>
        <w:pStyle w:val="BodyText"/>
        <w:rPr>
          <w:highlight w:val="yellow"/>
        </w:rPr>
      </w:pPr>
      <w:r>
        <w:rPr>
          <w:noProof/>
        </w:rPr>
        <w:drawing>
          <wp:inline distT="0" distB="0" distL="0" distR="0" wp14:anchorId="75D98F1D" wp14:editId="7AFC56F0">
            <wp:extent cx="1089660" cy="1412875"/>
            <wp:effectExtent l="19050" t="19050" r="15240" b="15875"/>
            <wp:docPr id="29" name="Picture 29" descr="Report Zoom-in/Zoom Out Control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Report Zoom-in/Zoom Out Control screen cap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9660" cy="1412875"/>
                    </a:xfrm>
                    <a:prstGeom prst="rect">
                      <a:avLst/>
                    </a:prstGeom>
                    <a:noFill/>
                    <a:ln w="6350" cmpd="sng">
                      <a:solidFill>
                        <a:srgbClr val="000000"/>
                      </a:solidFill>
                      <a:miter lim="800000"/>
                      <a:headEnd/>
                      <a:tailEnd/>
                    </a:ln>
                    <a:effectLst/>
                  </pic:spPr>
                </pic:pic>
              </a:graphicData>
            </a:graphic>
          </wp:inline>
        </w:drawing>
      </w:r>
    </w:p>
    <w:p w14:paraId="42613305" w14:textId="77777777" w:rsidR="00BF56F1" w:rsidRDefault="00BF56F1" w:rsidP="002F1554">
      <w:pPr>
        <w:rPr>
          <w:sz w:val="22"/>
          <w:szCs w:val="22"/>
        </w:rPr>
      </w:pPr>
      <w:r w:rsidRPr="00037A18">
        <w:rPr>
          <w:sz w:val="22"/>
          <w:szCs w:val="22"/>
        </w:rPr>
        <w:t>The default value is 100%. The option Page Width will resize the report to fit the screen horizontal size. The option Whole Page will display the entire page on the screen. Selecting an option less than 100% will zoom out the report making the font smaller and allowing more data to fit on the screen. Selecting an option higher than 100% will zoom in the report making the font bigger. If the report does not fit on the screen, the user will be able to use scroll bars to scroll up or down and left or r</w:t>
      </w:r>
      <w:r>
        <w:rPr>
          <w:sz w:val="22"/>
          <w:szCs w:val="22"/>
        </w:rPr>
        <w:t>ight to view the entire report.</w:t>
      </w:r>
    </w:p>
    <w:p w14:paraId="25EF2AD9" w14:textId="77777777" w:rsidR="00540EB1" w:rsidRPr="00037A18" w:rsidRDefault="00540EB1" w:rsidP="00540EB1">
      <w:pPr>
        <w:pStyle w:val="Heading3"/>
      </w:pPr>
      <w:bookmarkStart w:id="72" w:name="_Ref370803220"/>
      <w:bookmarkStart w:id="73" w:name="_Toc163644854"/>
      <w:r w:rsidRPr="00037A18">
        <w:t>Report Search</w:t>
      </w:r>
      <w:bookmarkEnd w:id="72"/>
      <w:bookmarkEnd w:id="73"/>
      <w:r w:rsidR="00BC7F26">
        <w:t xml:space="preserve"> </w:t>
      </w:r>
      <w:r w:rsidR="00BC7F26" w:rsidRPr="00BC7F26">
        <w:rPr>
          <w:rFonts w:ascii="Arial Bold" w:hAnsi="Arial Bold"/>
          <w:vanish/>
        </w:rPr>
        <w:t>DR 4835</w:t>
      </w:r>
    </w:p>
    <w:p w14:paraId="634B8D1D" w14:textId="5408E953" w:rsidR="00540EB1" w:rsidRPr="00A510F2" w:rsidRDefault="00540EB1" w:rsidP="00FD4C4A">
      <w:pPr>
        <w:spacing w:before="240"/>
        <w:rPr>
          <w:sz w:val="22"/>
          <w:szCs w:val="22"/>
        </w:rPr>
      </w:pPr>
      <w:r w:rsidRPr="00A510F2">
        <w:rPr>
          <w:sz w:val="22"/>
          <w:szCs w:val="22"/>
        </w:rPr>
        <w:t>This option allows the user to searc</w:t>
      </w:r>
      <w:r w:rsidR="006B122E" w:rsidRPr="00A510F2">
        <w:rPr>
          <w:sz w:val="22"/>
          <w:szCs w:val="22"/>
        </w:rPr>
        <w:t xml:space="preserve">h for specific text in a report and is only enabled if Print Layout is </w:t>
      </w:r>
      <w:r w:rsidR="006B122E" w:rsidRPr="001055DF">
        <w:rPr>
          <w:sz w:val="22"/>
          <w:szCs w:val="22"/>
        </w:rPr>
        <w:t>disabled</w:t>
      </w:r>
      <w:r w:rsidR="00A510F2" w:rsidRPr="001055DF">
        <w:rPr>
          <w:sz w:val="22"/>
          <w:szCs w:val="22"/>
        </w:rPr>
        <w:t xml:space="preserve"> (se</w:t>
      </w:r>
      <w:r w:rsidR="00FD4C4A" w:rsidRPr="001055DF">
        <w:rPr>
          <w:sz w:val="22"/>
          <w:szCs w:val="22"/>
        </w:rPr>
        <w:t xml:space="preserve">e </w:t>
      </w:r>
      <w:r w:rsidR="00EE455E" w:rsidRPr="00EE455E">
        <w:rPr>
          <w:sz w:val="22"/>
          <w:szCs w:val="22"/>
        </w:rPr>
        <w:t>Report Layout</w:t>
      </w:r>
      <w:r w:rsidR="004F0A0D" w:rsidRPr="001055DF">
        <w:rPr>
          <w:sz w:val="22"/>
          <w:szCs w:val="22"/>
        </w:rPr>
        <w:t>)</w:t>
      </w:r>
      <w:r w:rsidR="006B122E" w:rsidRPr="001055DF">
        <w:rPr>
          <w:sz w:val="22"/>
          <w:szCs w:val="22"/>
        </w:rPr>
        <w:t>.</w:t>
      </w:r>
      <w:r w:rsidRPr="001055DF">
        <w:rPr>
          <w:sz w:val="22"/>
          <w:szCs w:val="22"/>
        </w:rPr>
        <w:t xml:space="preserve"> By default, the </w:t>
      </w:r>
      <w:r w:rsidRPr="001055DF">
        <w:rPr>
          <w:b/>
          <w:sz w:val="22"/>
          <w:szCs w:val="22"/>
        </w:rPr>
        <w:t>Find</w:t>
      </w:r>
      <w:r w:rsidRPr="001055DF">
        <w:rPr>
          <w:sz w:val="22"/>
          <w:szCs w:val="22"/>
        </w:rPr>
        <w:t xml:space="preserve"> and </w:t>
      </w:r>
      <w:r w:rsidRPr="001055DF">
        <w:rPr>
          <w:b/>
          <w:sz w:val="22"/>
          <w:szCs w:val="22"/>
        </w:rPr>
        <w:t>Next</w:t>
      </w:r>
      <w:r w:rsidRPr="001055DF">
        <w:rPr>
          <w:sz w:val="22"/>
          <w:szCs w:val="22"/>
        </w:rPr>
        <w:t xml:space="preserve"> buttons are disabled. Once the user enters</w:t>
      </w:r>
      <w:r w:rsidRPr="00A510F2">
        <w:rPr>
          <w:sz w:val="22"/>
          <w:szCs w:val="22"/>
        </w:rPr>
        <w:t xml:space="preserve"> text in the search box, the </w:t>
      </w:r>
      <w:r w:rsidRPr="00A510F2">
        <w:rPr>
          <w:b/>
          <w:sz w:val="22"/>
          <w:szCs w:val="22"/>
        </w:rPr>
        <w:t>Find</w:t>
      </w:r>
      <w:r w:rsidRPr="00A510F2">
        <w:rPr>
          <w:sz w:val="22"/>
          <w:szCs w:val="22"/>
        </w:rPr>
        <w:t xml:space="preserve"> button becomes enabled (</w:t>
      </w:r>
      <w:r w:rsidR="00EE455E" w:rsidRPr="00EE455E">
        <w:rPr>
          <w:sz w:val="22"/>
          <w:szCs w:val="22"/>
        </w:rPr>
        <w:t xml:space="preserve">Figure </w:t>
      </w:r>
      <w:r w:rsidR="00EE455E" w:rsidRPr="00EE455E">
        <w:rPr>
          <w:noProof/>
          <w:sz w:val="22"/>
          <w:szCs w:val="22"/>
        </w:rPr>
        <w:t>9</w:t>
      </w:r>
      <w:r w:rsidRPr="00A510F2">
        <w:rPr>
          <w:sz w:val="22"/>
          <w:szCs w:val="22"/>
        </w:rPr>
        <w:t>).</w:t>
      </w:r>
    </w:p>
    <w:p w14:paraId="647179E9" w14:textId="5F46EBA4" w:rsidR="00540EB1" w:rsidRPr="00037A18" w:rsidRDefault="00540EB1" w:rsidP="00540EB1">
      <w:pPr>
        <w:pStyle w:val="Caption"/>
      </w:pPr>
      <w:bookmarkStart w:id="74" w:name="_Ref353985455"/>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w:t>
      </w:r>
      <w:r w:rsidR="004E20BD">
        <w:rPr>
          <w:noProof/>
        </w:rPr>
        <w:fldChar w:fldCharType="end"/>
      </w:r>
      <w:bookmarkEnd w:id="74"/>
      <w:r w:rsidRPr="00037A18">
        <w:t>: Report Search Control</w:t>
      </w:r>
    </w:p>
    <w:p w14:paraId="705EBA74" w14:textId="77777777" w:rsidR="00540EB1" w:rsidRDefault="00057948" w:rsidP="00540EB1">
      <w:pPr>
        <w:pStyle w:val="BodyText"/>
        <w:rPr>
          <w:highlight w:val="yellow"/>
        </w:rPr>
      </w:pPr>
      <w:r>
        <w:rPr>
          <w:noProof/>
        </w:rPr>
        <w:drawing>
          <wp:inline distT="0" distB="0" distL="0" distR="0" wp14:anchorId="5B2F604D" wp14:editId="50BE8167">
            <wp:extent cx="1514475" cy="240030"/>
            <wp:effectExtent l="19050" t="19050" r="28575" b="26670"/>
            <wp:docPr id="30" name="Picture 30" descr="Report Search Control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port Search Control screen cap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240030"/>
                    </a:xfrm>
                    <a:prstGeom prst="rect">
                      <a:avLst/>
                    </a:prstGeom>
                    <a:noFill/>
                    <a:ln w="6350" cmpd="sng">
                      <a:solidFill>
                        <a:srgbClr val="000000"/>
                      </a:solidFill>
                      <a:miter lim="800000"/>
                      <a:headEnd/>
                      <a:tailEnd/>
                    </a:ln>
                    <a:effectLst/>
                  </pic:spPr>
                </pic:pic>
              </a:graphicData>
            </a:graphic>
          </wp:inline>
        </w:drawing>
      </w:r>
    </w:p>
    <w:p w14:paraId="7D23FA09" w14:textId="1250516D" w:rsidR="00540EB1" w:rsidRPr="00037A18" w:rsidRDefault="00540EB1" w:rsidP="005E5B12">
      <w:pPr>
        <w:pStyle w:val="BodyText"/>
        <w:keepNext/>
        <w:keepLines/>
      </w:pPr>
      <w:r w:rsidRPr="00037A18">
        <w:lastRenderedPageBreak/>
        <w:t xml:space="preserve">Clicking the </w:t>
      </w:r>
      <w:r w:rsidRPr="00634DAB">
        <w:rPr>
          <w:b/>
        </w:rPr>
        <w:t>Find</w:t>
      </w:r>
      <w:r w:rsidRPr="00037A18">
        <w:t xml:space="preserve"> button will search the entire report. If the searched text is found, the report will display the page where it was found. The </w:t>
      </w:r>
      <w:r w:rsidRPr="00634DAB">
        <w:rPr>
          <w:b/>
        </w:rPr>
        <w:t>Next</w:t>
      </w:r>
      <w:r w:rsidRPr="00037A18">
        <w:t xml:space="preserve"> button will then become enabled allowing the user to search for subsequent instances of the search string. If the searched text cannot be found, the user will be presented with the message shown in</w:t>
      </w:r>
      <w:r w:rsidR="00430868">
        <w:t xml:space="preserve"> </w:t>
      </w:r>
      <w:r w:rsidR="00EE455E" w:rsidRPr="00037A18">
        <w:t xml:space="preserve">Figure </w:t>
      </w:r>
      <w:r w:rsidR="00EE455E">
        <w:rPr>
          <w:noProof/>
        </w:rPr>
        <w:t>10</w:t>
      </w:r>
      <w:r w:rsidRPr="00037A18">
        <w:t>.</w:t>
      </w:r>
    </w:p>
    <w:p w14:paraId="683C1BE2" w14:textId="4C833E43" w:rsidR="00540EB1" w:rsidRPr="00037A18" w:rsidRDefault="00540EB1" w:rsidP="00540EB1">
      <w:pPr>
        <w:pStyle w:val="Caption"/>
      </w:pPr>
      <w:bookmarkStart w:id="75" w:name="_Ref353985470"/>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10</w:t>
      </w:r>
      <w:r w:rsidR="004E20BD">
        <w:rPr>
          <w:noProof/>
        </w:rPr>
        <w:fldChar w:fldCharType="end"/>
      </w:r>
      <w:bookmarkEnd w:id="75"/>
      <w:r w:rsidRPr="00037A18">
        <w:t>: Report Search Warning Message</w:t>
      </w:r>
    </w:p>
    <w:p w14:paraId="6506AD9A" w14:textId="77777777" w:rsidR="002F1554" w:rsidRPr="00D611E5" w:rsidRDefault="00057948" w:rsidP="00BF56F1">
      <w:pPr>
        <w:pStyle w:val="BodyText"/>
      </w:pPr>
      <w:r>
        <w:rPr>
          <w:noProof/>
        </w:rPr>
        <w:drawing>
          <wp:inline distT="0" distB="0" distL="0" distR="0" wp14:anchorId="47334D0C" wp14:editId="3F889F46">
            <wp:extent cx="3417570" cy="1385570"/>
            <wp:effectExtent l="19050" t="19050" r="11430" b="24130"/>
            <wp:docPr id="31" name="Picture 31" descr="Report Search Warning Messag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eport Search Warning Message screen cap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7570" cy="1385570"/>
                    </a:xfrm>
                    <a:prstGeom prst="rect">
                      <a:avLst/>
                    </a:prstGeom>
                    <a:noFill/>
                    <a:ln w="6350" cmpd="sng">
                      <a:solidFill>
                        <a:srgbClr val="000000"/>
                      </a:solidFill>
                      <a:miter lim="800000"/>
                      <a:headEnd/>
                      <a:tailEnd/>
                    </a:ln>
                    <a:effectLst/>
                  </pic:spPr>
                </pic:pic>
              </a:graphicData>
            </a:graphic>
          </wp:inline>
        </w:drawing>
      </w:r>
      <w:r w:rsidR="002F1554" w:rsidRPr="00E4667F">
        <w:rPr>
          <w:vanish/>
        </w:rPr>
        <w:t>DR 4589</w:t>
      </w:r>
    </w:p>
    <w:p w14:paraId="4C3EDA7D" w14:textId="77777777" w:rsidR="002F1554" w:rsidRPr="00037A18" w:rsidRDefault="002F1554" w:rsidP="00416BB3">
      <w:pPr>
        <w:pStyle w:val="Heading3"/>
      </w:pPr>
      <w:bookmarkStart w:id="76" w:name="_Ref2774509"/>
      <w:bookmarkStart w:id="77" w:name="_Toc163644855"/>
      <w:r w:rsidRPr="00037A18">
        <w:t>Report Export</w:t>
      </w:r>
      <w:bookmarkEnd w:id="76"/>
      <w:bookmarkEnd w:id="77"/>
    </w:p>
    <w:p w14:paraId="2250DCAE" w14:textId="2C735179" w:rsidR="0095742F" w:rsidRDefault="0095742F" w:rsidP="005E5B12">
      <w:pPr>
        <w:spacing w:before="120" w:after="60"/>
        <w:rPr>
          <w:sz w:val="22"/>
          <w:szCs w:val="22"/>
        </w:rPr>
      </w:pPr>
      <w:bookmarkStart w:id="78" w:name="_Ref353374027"/>
      <w:r>
        <w:rPr>
          <w:sz w:val="22"/>
          <w:szCs w:val="22"/>
        </w:rPr>
        <w:t>For all sites, rep</w:t>
      </w:r>
      <w:r w:rsidR="00FE6F61">
        <w:rPr>
          <w:sz w:val="22"/>
          <w:szCs w:val="22"/>
        </w:rPr>
        <w:t xml:space="preserve">orts </w:t>
      </w:r>
      <w:r w:rsidR="004D0A70">
        <w:rPr>
          <w:sz w:val="22"/>
          <w:szCs w:val="22"/>
        </w:rPr>
        <w:t>are</w:t>
      </w:r>
      <w:r w:rsidR="00FE6F61">
        <w:rPr>
          <w:sz w:val="22"/>
          <w:szCs w:val="22"/>
        </w:rPr>
        <w:t xml:space="preserve"> saved</w:t>
      </w:r>
      <w:r>
        <w:rPr>
          <w:sz w:val="22"/>
          <w:szCs w:val="22"/>
        </w:rPr>
        <w:t xml:space="preserve"> in subfolders nam</w:t>
      </w:r>
      <w:r w:rsidR="00150D5C">
        <w:rPr>
          <w:sz w:val="22"/>
          <w:szCs w:val="22"/>
        </w:rPr>
        <w:t>ed after Division Code. VBECS</w:t>
      </w:r>
      <w:r>
        <w:rPr>
          <w:sz w:val="22"/>
          <w:szCs w:val="22"/>
        </w:rPr>
        <w:t xml:space="preserve"> will check </w:t>
      </w:r>
      <w:r w:rsidR="00AD1DDD">
        <w:rPr>
          <w:sz w:val="22"/>
          <w:szCs w:val="22"/>
        </w:rPr>
        <w:t xml:space="preserve">to see </w:t>
      </w:r>
      <w:r>
        <w:rPr>
          <w:sz w:val="22"/>
          <w:szCs w:val="22"/>
        </w:rPr>
        <w:t>if the subfolder exists. If the subfolder does not exist, it will attempt to create it. If the creation fails, it will attempt to save the report to the default re</w:t>
      </w:r>
      <w:r w:rsidR="00150D5C">
        <w:rPr>
          <w:sz w:val="22"/>
          <w:szCs w:val="22"/>
        </w:rPr>
        <w:t>port director</w:t>
      </w:r>
      <w:r w:rsidR="00150D5C" w:rsidRPr="00671EA6">
        <w:rPr>
          <w:sz w:val="22"/>
          <w:szCs w:val="22"/>
        </w:rPr>
        <w:t>y</w:t>
      </w:r>
      <w:r w:rsidR="00671EA6" w:rsidRPr="00671EA6">
        <w:rPr>
          <w:sz w:val="22"/>
          <w:szCs w:val="22"/>
        </w:rPr>
        <w:t>.</w:t>
      </w:r>
      <w:r w:rsidRPr="00E63726">
        <w:rPr>
          <w:vanish/>
          <w:sz w:val="22"/>
          <w:szCs w:val="22"/>
        </w:rPr>
        <w:t xml:space="preserve"> Task 502479</w:t>
      </w:r>
    </w:p>
    <w:p w14:paraId="05C58ADB" w14:textId="77777777" w:rsidR="009D47C1" w:rsidRDefault="009D47C1" w:rsidP="005E5B12">
      <w:pPr>
        <w:spacing w:before="120" w:after="60"/>
        <w:rPr>
          <w:b/>
          <w:sz w:val="22"/>
          <w:szCs w:val="22"/>
        </w:rPr>
      </w:pPr>
      <w:r w:rsidRPr="00037A18">
        <w:rPr>
          <w:sz w:val="22"/>
          <w:szCs w:val="22"/>
        </w:rPr>
        <w:t>The user has an option to export the re</w:t>
      </w:r>
      <w:r>
        <w:rPr>
          <w:sz w:val="22"/>
          <w:szCs w:val="22"/>
        </w:rPr>
        <w:t xml:space="preserve">port in three different formats: PDF, Excel and Word. The export to PDF creates a report that is Read-Only (may not be modified) and will match the report that users can see directly in VBECS in terms of data and format. The export to Excel and Word creates a report that may be modified. </w:t>
      </w:r>
      <w:r>
        <w:rPr>
          <w:b/>
          <w:sz w:val="22"/>
          <w:szCs w:val="22"/>
        </w:rPr>
        <w:t xml:space="preserve">VBECS reports </w:t>
      </w:r>
      <w:r w:rsidRPr="007839DA">
        <w:rPr>
          <w:b/>
          <w:sz w:val="22"/>
          <w:szCs w:val="22"/>
        </w:rPr>
        <w:t xml:space="preserve">exported </w:t>
      </w:r>
      <w:r>
        <w:rPr>
          <w:b/>
          <w:sz w:val="22"/>
          <w:szCs w:val="22"/>
        </w:rPr>
        <w:t>to Excel or Word can be altered by a user. O</w:t>
      </w:r>
      <w:r w:rsidRPr="007839DA">
        <w:rPr>
          <w:b/>
          <w:sz w:val="22"/>
          <w:szCs w:val="22"/>
        </w:rPr>
        <w:t xml:space="preserve">nly copies printed directly from VBECS should be shared with clinicians to ensure data integrity. </w:t>
      </w:r>
    </w:p>
    <w:p w14:paraId="066CB9D8" w14:textId="77777777" w:rsidR="009D47C1" w:rsidRDefault="00057948" w:rsidP="005E5B12">
      <w:pPr>
        <w:spacing w:before="120" w:after="60"/>
        <w:rPr>
          <w:b/>
          <w:sz w:val="22"/>
          <w:szCs w:val="22"/>
        </w:rPr>
      </w:pPr>
      <w:r>
        <w:rPr>
          <w:noProof/>
        </w:rPr>
        <mc:AlternateContent>
          <mc:Choice Requires="wps">
            <w:drawing>
              <wp:anchor distT="0" distB="0" distL="114300" distR="114300" simplePos="0" relativeHeight="251672576" behindDoc="0" locked="0" layoutInCell="1" allowOverlap="1" wp14:anchorId="58B1FC1A" wp14:editId="5DA9C562">
                <wp:simplePos x="0" y="0"/>
                <wp:positionH relativeFrom="column">
                  <wp:posOffset>-24130</wp:posOffset>
                </wp:positionH>
                <wp:positionV relativeFrom="paragraph">
                  <wp:posOffset>111760</wp:posOffset>
                </wp:positionV>
                <wp:extent cx="5949950" cy="809625"/>
                <wp:effectExtent l="13970" t="16510" r="17780" b="21590"/>
                <wp:wrapNone/>
                <wp:docPr id="5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809625"/>
                        </a:xfrm>
                        <a:prstGeom prst="rect">
                          <a:avLst/>
                        </a:prstGeom>
                        <a:solidFill>
                          <a:srgbClr val="FFFFFF"/>
                        </a:solidFill>
                        <a:ln w="25400">
                          <a:solidFill>
                            <a:srgbClr val="FF0000"/>
                          </a:solidFill>
                          <a:miter lim="800000"/>
                          <a:headEnd/>
                          <a:tailEnd/>
                        </a:ln>
                      </wps:spPr>
                      <wps:txbx>
                        <w:txbxContent>
                          <w:p w14:paraId="1C56B0D4" w14:textId="77777777" w:rsidR="00EA60B6" w:rsidRDefault="00EA60B6"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EA60B6" w:rsidRDefault="00EA60B6" w:rsidP="009D4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1FC1A" id="_x0000_t202" coordsize="21600,21600" o:spt="202" path="m,l,21600r21600,l21600,xe">
                <v:stroke joinstyle="miter"/>
                <v:path gradientshapeok="t" o:connecttype="rect"/>
              </v:shapetype>
              <v:shape id="Text Box 2" o:spid="_x0000_s1026" type="#_x0000_t202" alt="&quot;&quot;" style="position:absolute;margin-left:-1.9pt;margin-top:8.8pt;width:468.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" strokecolor="red" strokeweight="2pt">
                <v:textbox>
                  <w:txbxContent>
                    <w:p w14:paraId="1C56B0D4" w14:textId="77777777" w:rsidR="00EA60B6" w:rsidRDefault="00EA60B6"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EA60B6" w:rsidRDefault="00EA60B6" w:rsidP="009D47C1"/>
                  </w:txbxContent>
                </v:textbox>
              </v:shape>
            </w:pict>
          </mc:Fallback>
        </mc:AlternateContent>
      </w:r>
    </w:p>
    <w:p w14:paraId="1422557C" w14:textId="77777777" w:rsidR="009D47C1" w:rsidRDefault="009D47C1" w:rsidP="005E5B12">
      <w:pPr>
        <w:spacing w:before="120" w:after="60"/>
        <w:rPr>
          <w:b/>
          <w:sz w:val="22"/>
          <w:szCs w:val="22"/>
        </w:rPr>
      </w:pPr>
    </w:p>
    <w:p w14:paraId="04362A80" w14:textId="77777777" w:rsidR="009D47C1" w:rsidRDefault="009D47C1" w:rsidP="005E5B12">
      <w:pPr>
        <w:spacing w:before="120" w:after="60"/>
        <w:rPr>
          <w:b/>
          <w:sz w:val="22"/>
          <w:szCs w:val="22"/>
        </w:rPr>
      </w:pPr>
    </w:p>
    <w:p w14:paraId="2D0929AC" w14:textId="77777777" w:rsidR="009D47C1" w:rsidRDefault="009D47C1" w:rsidP="005E5B12">
      <w:pPr>
        <w:spacing w:before="120" w:after="60"/>
        <w:rPr>
          <w:b/>
          <w:sz w:val="22"/>
          <w:szCs w:val="22"/>
        </w:rPr>
      </w:pPr>
    </w:p>
    <w:p w14:paraId="764433D7" w14:textId="405977D9" w:rsidR="009D47C1" w:rsidRPr="009D47C1" w:rsidRDefault="009D47C1" w:rsidP="005E5B12">
      <w:pPr>
        <w:spacing w:before="120" w:after="60"/>
        <w:rPr>
          <w:sz w:val="22"/>
          <w:szCs w:val="22"/>
        </w:rPr>
      </w:pPr>
      <w:r w:rsidRPr="009D47C1">
        <w:rPr>
          <w:sz w:val="22"/>
          <w:szCs w:val="22"/>
        </w:rPr>
        <w:t xml:space="preserve">Export of the reports to Excel and Word comes with known problems. Reports exported to Excel or Word contain the same data as reports that can be seen directly in VBECS; however, their formatting may differ from the original report. Not all reports can be exported to all the identified formats. </w:t>
      </w:r>
      <w:r w:rsidR="00EE455E" w:rsidRPr="00EE455E">
        <w:rPr>
          <w:sz w:val="22"/>
          <w:szCs w:val="22"/>
        </w:rPr>
        <w:t xml:space="preserve">Table </w:t>
      </w:r>
      <w:r w:rsidR="00EE455E" w:rsidRPr="00EE455E">
        <w:rPr>
          <w:noProof/>
          <w:sz w:val="22"/>
          <w:szCs w:val="22"/>
        </w:rPr>
        <w:t>3</w:t>
      </w:r>
      <w:r w:rsidRPr="009D47C1">
        <w:rPr>
          <w:sz w:val="22"/>
          <w:szCs w:val="22"/>
        </w:rPr>
        <w:t xml:space="preserve"> lists the reports and their exportable formats.</w:t>
      </w:r>
    </w:p>
    <w:p w14:paraId="3185B857" w14:textId="1BF3D86B" w:rsidR="009D47C1" w:rsidRPr="009454C1" w:rsidRDefault="009D47C1" w:rsidP="009D47C1">
      <w:pPr>
        <w:pStyle w:val="Caption"/>
        <w:rPr>
          <w:b w:val="0"/>
        </w:rPr>
      </w:pPr>
      <w:bookmarkStart w:id="79" w:name="_Ref41609344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3</w:t>
      </w:r>
      <w:r w:rsidR="004E20BD">
        <w:rPr>
          <w:noProof/>
        </w:rPr>
        <w:fldChar w:fldCharType="end"/>
      </w:r>
      <w:bookmarkEnd w:id="79"/>
      <w:r>
        <w:t xml:space="preserve">: </w:t>
      </w:r>
      <w:r w:rsidR="00671EA6">
        <w:t xml:space="preserve">Recommended </w:t>
      </w:r>
      <w:r>
        <w:t>Exportable Formats for Reports</w:t>
      </w:r>
      <w:r w:rsidR="00812371">
        <w:fldChar w:fldCharType="begin"/>
      </w:r>
      <w:r w:rsidR="00812371">
        <w:instrText xml:space="preserve"> XE "Tables:Recommended Exportable Formats for Reports" </w:instrText>
      </w:r>
      <w:r w:rsidR="00812371">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1064"/>
        <w:gridCol w:w="982"/>
        <w:gridCol w:w="998"/>
      </w:tblGrid>
      <w:tr w:rsidR="009D47C1" w:rsidRPr="00245D96" w14:paraId="2206495D" w14:textId="77777777" w:rsidTr="006462CD">
        <w:tc>
          <w:tcPr>
            <w:tcW w:w="6498" w:type="dxa"/>
            <w:shd w:val="clear" w:color="auto" w:fill="auto"/>
          </w:tcPr>
          <w:p w14:paraId="71FDB78C" w14:textId="77777777" w:rsidR="009D47C1" w:rsidRPr="00245D96" w:rsidRDefault="009D47C1" w:rsidP="006462CD">
            <w:pPr>
              <w:rPr>
                <w:b/>
                <w:sz w:val="22"/>
                <w:szCs w:val="22"/>
              </w:rPr>
            </w:pPr>
            <w:r w:rsidRPr="00245D96">
              <w:rPr>
                <w:b/>
                <w:sz w:val="22"/>
                <w:szCs w:val="22"/>
              </w:rPr>
              <w:t>Report Name</w:t>
            </w:r>
          </w:p>
        </w:tc>
        <w:tc>
          <w:tcPr>
            <w:tcW w:w="1080" w:type="dxa"/>
            <w:shd w:val="clear" w:color="auto" w:fill="auto"/>
          </w:tcPr>
          <w:p w14:paraId="2D775CD0" w14:textId="77777777" w:rsidR="009D47C1" w:rsidRPr="00245D96" w:rsidRDefault="009D47C1" w:rsidP="006462CD">
            <w:pPr>
              <w:rPr>
                <w:b/>
                <w:sz w:val="22"/>
                <w:szCs w:val="22"/>
              </w:rPr>
            </w:pPr>
            <w:r w:rsidRPr="00245D96">
              <w:rPr>
                <w:b/>
                <w:sz w:val="22"/>
                <w:szCs w:val="22"/>
              </w:rPr>
              <w:t>PDF</w:t>
            </w:r>
          </w:p>
        </w:tc>
        <w:tc>
          <w:tcPr>
            <w:tcW w:w="990" w:type="dxa"/>
            <w:shd w:val="clear" w:color="auto" w:fill="auto"/>
          </w:tcPr>
          <w:p w14:paraId="57306137" w14:textId="77777777" w:rsidR="009D47C1" w:rsidRPr="00245D96" w:rsidRDefault="009D47C1" w:rsidP="006462CD">
            <w:pPr>
              <w:rPr>
                <w:b/>
                <w:sz w:val="22"/>
                <w:szCs w:val="22"/>
              </w:rPr>
            </w:pPr>
            <w:r w:rsidRPr="00245D96">
              <w:rPr>
                <w:b/>
                <w:sz w:val="22"/>
                <w:szCs w:val="22"/>
              </w:rPr>
              <w:t>Word</w:t>
            </w:r>
          </w:p>
        </w:tc>
        <w:tc>
          <w:tcPr>
            <w:tcW w:w="1008" w:type="dxa"/>
            <w:shd w:val="clear" w:color="auto" w:fill="auto"/>
          </w:tcPr>
          <w:p w14:paraId="760E6A05" w14:textId="77777777" w:rsidR="009D47C1" w:rsidRPr="00245D96" w:rsidRDefault="009D47C1" w:rsidP="006462CD">
            <w:pPr>
              <w:rPr>
                <w:b/>
                <w:sz w:val="22"/>
                <w:szCs w:val="22"/>
              </w:rPr>
            </w:pPr>
            <w:r w:rsidRPr="00245D96">
              <w:rPr>
                <w:b/>
                <w:sz w:val="22"/>
                <w:szCs w:val="22"/>
              </w:rPr>
              <w:t>Excel</w:t>
            </w:r>
          </w:p>
        </w:tc>
      </w:tr>
      <w:tr w:rsidR="009D47C1" w:rsidRPr="00245D96" w14:paraId="57CF33D5" w14:textId="77777777" w:rsidTr="006462CD">
        <w:tc>
          <w:tcPr>
            <w:tcW w:w="6498" w:type="dxa"/>
            <w:shd w:val="clear" w:color="auto" w:fill="auto"/>
          </w:tcPr>
          <w:p w14:paraId="66393EE3" w14:textId="77777777" w:rsidR="009D47C1" w:rsidRPr="00245D96" w:rsidRDefault="009D47C1" w:rsidP="006462CD">
            <w:pPr>
              <w:rPr>
                <w:sz w:val="22"/>
                <w:szCs w:val="22"/>
              </w:rPr>
            </w:pPr>
            <w:r w:rsidRPr="00245D96">
              <w:rPr>
                <w:sz w:val="22"/>
                <w:szCs w:val="22"/>
              </w:rPr>
              <w:t>Maintain Reagent Inventory</w:t>
            </w:r>
          </w:p>
        </w:tc>
        <w:tc>
          <w:tcPr>
            <w:tcW w:w="1080" w:type="dxa"/>
            <w:shd w:val="clear" w:color="auto" w:fill="auto"/>
          </w:tcPr>
          <w:p w14:paraId="3D2E7CF5"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3B7C8B76"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3FEFA25" w14:textId="77777777" w:rsidR="009D47C1" w:rsidRPr="00245D96" w:rsidRDefault="009D47C1" w:rsidP="006462CD">
            <w:pPr>
              <w:rPr>
                <w:sz w:val="22"/>
                <w:szCs w:val="22"/>
              </w:rPr>
            </w:pPr>
            <w:r w:rsidRPr="00245D96">
              <w:rPr>
                <w:sz w:val="22"/>
                <w:szCs w:val="22"/>
              </w:rPr>
              <w:t>No</w:t>
            </w:r>
          </w:p>
        </w:tc>
      </w:tr>
      <w:tr w:rsidR="009D47C1" w:rsidRPr="00245D96" w14:paraId="2D5AFCF7" w14:textId="77777777" w:rsidTr="006462CD">
        <w:tc>
          <w:tcPr>
            <w:tcW w:w="6498" w:type="dxa"/>
            <w:shd w:val="clear" w:color="auto" w:fill="auto"/>
          </w:tcPr>
          <w:p w14:paraId="43045CC7" w14:textId="77777777" w:rsidR="009D47C1" w:rsidRPr="00245D96" w:rsidRDefault="009D47C1" w:rsidP="006462CD">
            <w:pPr>
              <w:rPr>
                <w:sz w:val="22"/>
                <w:szCs w:val="22"/>
              </w:rPr>
            </w:pPr>
            <w:r w:rsidRPr="00245D96">
              <w:rPr>
                <w:sz w:val="22"/>
                <w:szCs w:val="22"/>
              </w:rPr>
              <w:t>Testing Worklist Report</w:t>
            </w:r>
          </w:p>
        </w:tc>
        <w:tc>
          <w:tcPr>
            <w:tcW w:w="1080" w:type="dxa"/>
            <w:shd w:val="clear" w:color="auto" w:fill="auto"/>
          </w:tcPr>
          <w:p w14:paraId="1968157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90B26A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BD7B581" w14:textId="77777777" w:rsidR="009D47C1" w:rsidRPr="00245D96" w:rsidRDefault="009D47C1" w:rsidP="006462CD">
            <w:pPr>
              <w:rPr>
                <w:sz w:val="22"/>
                <w:szCs w:val="22"/>
              </w:rPr>
            </w:pPr>
            <w:r w:rsidRPr="00245D96">
              <w:rPr>
                <w:sz w:val="22"/>
                <w:szCs w:val="22"/>
              </w:rPr>
              <w:t>No</w:t>
            </w:r>
          </w:p>
        </w:tc>
      </w:tr>
      <w:tr w:rsidR="009D47C1" w:rsidRPr="00245D96" w14:paraId="51A05116" w14:textId="77777777" w:rsidTr="006462CD">
        <w:tc>
          <w:tcPr>
            <w:tcW w:w="6498" w:type="dxa"/>
            <w:shd w:val="clear" w:color="auto" w:fill="auto"/>
          </w:tcPr>
          <w:p w14:paraId="16A7672D" w14:textId="77777777" w:rsidR="009D47C1" w:rsidRPr="00245D96" w:rsidRDefault="009D47C1" w:rsidP="006462CD">
            <w:pPr>
              <w:rPr>
                <w:sz w:val="22"/>
                <w:szCs w:val="22"/>
              </w:rPr>
            </w:pPr>
            <w:r w:rsidRPr="00245D96">
              <w:rPr>
                <w:sz w:val="22"/>
                <w:szCs w:val="22"/>
              </w:rPr>
              <w:t>Blood Availability Report</w:t>
            </w:r>
          </w:p>
        </w:tc>
        <w:tc>
          <w:tcPr>
            <w:tcW w:w="1080" w:type="dxa"/>
            <w:shd w:val="clear" w:color="auto" w:fill="auto"/>
          </w:tcPr>
          <w:p w14:paraId="2F2DDBDA"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D57FE02"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03B854F8" w14:textId="77777777" w:rsidR="009D47C1" w:rsidRPr="00245D96" w:rsidRDefault="009D47C1" w:rsidP="006462CD">
            <w:pPr>
              <w:rPr>
                <w:sz w:val="22"/>
                <w:szCs w:val="22"/>
              </w:rPr>
            </w:pPr>
            <w:r w:rsidRPr="00245D96">
              <w:rPr>
                <w:sz w:val="22"/>
                <w:szCs w:val="22"/>
              </w:rPr>
              <w:t>No</w:t>
            </w:r>
          </w:p>
        </w:tc>
      </w:tr>
      <w:tr w:rsidR="009D47C1" w:rsidRPr="00245D96" w14:paraId="61D801C0" w14:textId="77777777" w:rsidTr="006462CD">
        <w:tc>
          <w:tcPr>
            <w:tcW w:w="6498" w:type="dxa"/>
            <w:shd w:val="clear" w:color="auto" w:fill="auto"/>
          </w:tcPr>
          <w:p w14:paraId="0E538C2A" w14:textId="77777777" w:rsidR="009D47C1" w:rsidRPr="00245D96" w:rsidRDefault="009D47C1" w:rsidP="006462CD">
            <w:pPr>
              <w:rPr>
                <w:sz w:val="22"/>
                <w:szCs w:val="22"/>
              </w:rPr>
            </w:pPr>
            <w:r w:rsidRPr="00245D96">
              <w:rPr>
                <w:sz w:val="22"/>
                <w:szCs w:val="22"/>
              </w:rPr>
              <w:t>Division Transfusion Report</w:t>
            </w:r>
          </w:p>
        </w:tc>
        <w:tc>
          <w:tcPr>
            <w:tcW w:w="1080" w:type="dxa"/>
            <w:shd w:val="clear" w:color="auto" w:fill="auto"/>
          </w:tcPr>
          <w:p w14:paraId="3634F29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284A46D8"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48C9FB7" w14:textId="77777777" w:rsidR="009D47C1" w:rsidRPr="00245D96" w:rsidRDefault="009D47C1" w:rsidP="006462CD">
            <w:pPr>
              <w:rPr>
                <w:sz w:val="22"/>
                <w:szCs w:val="22"/>
              </w:rPr>
            </w:pPr>
            <w:r w:rsidRPr="00245D96">
              <w:rPr>
                <w:sz w:val="22"/>
                <w:szCs w:val="22"/>
              </w:rPr>
              <w:t>No</w:t>
            </w:r>
          </w:p>
        </w:tc>
      </w:tr>
      <w:tr w:rsidR="009D47C1" w:rsidRPr="00245D96" w14:paraId="3098685F" w14:textId="77777777" w:rsidTr="006462CD">
        <w:tc>
          <w:tcPr>
            <w:tcW w:w="6498" w:type="dxa"/>
            <w:shd w:val="clear" w:color="auto" w:fill="auto"/>
          </w:tcPr>
          <w:p w14:paraId="36C80D86" w14:textId="77777777" w:rsidR="009D47C1" w:rsidRPr="00245D96" w:rsidRDefault="009D47C1" w:rsidP="006462CD">
            <w:pPr>
              <w:rPr>
                <w:sz w:val="22"/>
                <w:szCs w:val="22"/>
              </w:rPr>
            </w:pPr>
            <w:r w:rsidRPr="00245D96">
              <w:rPr>
                <w:sz w:val="22"/>
                <w:szCs w:val="22"/>
              </w:rPr>
              <w:t>Blood Bank Supplies Report</w:t>
            </w:r>
          </w:p>
        </w:tc>
        <w:tc>
          <w:tcPr>
            <w:tcW w:w="1080" w:type="dxa"/>
            <w:shd w:val="clear" w:color="auto" w:fill="auto"/>
          </w:tcPr>
          <w:p w14:paraId="33BBA14D"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027D5B9"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533EF060" w14:textId="77777777" w:rsidR="009D47C1" w:rsidRPr="00245D96" w:rsidRDefault="009D47C1" w:rsidP="006462CD">
            <w:pPr>
              <w:rPr>
                <w:sz w:val="22"/>
                <w:szCs w:val="22"/>
              </w:rPr>
            </w:pPr>
            <w:r w:rsidRPr="00245D96">
              <w:rPr>
                <w:sz w:val="22"/>
                <w:szCs w:val="22"/>
              </w:rPr>
              <w:t>No</w:t>
            </w:r>
          </w:p>
        </w:tc>
      </w:tr>
      <w:tr w:rsidR="009D47C1" w:rsidRPr="00245D96" w14:paraId="3E85D5D9" w14:textId="77777777" w:rsidTr="006462CD">
        <w:tc>
          <w:tcPr>
            <w:tcW w:w="6498" w:type="dxa"/>
            <w:shd w:val="clear" w:color="auto" w:fill="auto"/>
          </w:tcPr>
          <w:p w14:paraId="61E8C1A7" w14:textId="77777777" w:rsidR="009D47C1" w:rsidRPr="00245D96" w:rsidRDefault="009D47C1" w:rsidP="006462CD">
            <w:pPr>
              <w:rPr>
                <w:sz w:val="22"/>
                <w:szCs w:val="22"/>
              </w:rPr>
            </w:pPr>
            <w:r w:rsidRPr="00245D96">
              <w:rPr>
                <w:sz w:val="22"/>
                <w:szCs w:val="22"/>
              </w:rPr>
              <w:t>Unit History Report</w:t>
            </w:r>
          </w:p>
        </w:tc>
        <w:tc>
          <w:tcPr>
            <w:tcW w:w="1080" w:type="dxa"/>
            <w:shd w:val="clear" w:color="auto" w:fill="auto"/>
          </w:tcPr>
          <w:p w14:paraId="395A05E6"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DA1276A"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A71E5B3" w14:textId="77777777" w:rsidR="009D47C1" w:rsidRPr="00245D96" w:rsidRDefault="009D47C1" w:rsidP="006462CD">
            <w:pPr>
              <w:rPr>
                <w:sz w:val="22"/>
                <w:szCs w:val="22"/>
              </w:rPr>
            </w:pPr>
            <w:r w:rsidRPr="00245D96">
              <w:rPr>
                <w:sz w:val="22"/>
                <w:szCs w:val="22"/>
              </w:rPr>
              <w:t>No</w:t>
            </w:r>
          </w:p>
        </w:tc>
      </w:tr>
      <w:tr w:rsidR="009D47C1" w:rsidRPr="00245D96" w14:paraId="765F6C89" w14:textId="77777777" w:rsidTr="006462CD">
        <w:tc>
          <w:tcPr>
            <w:tcW w:w="6498" w:type="dxa"/>
            <w:shd w:val="clear" w:color="auto" w:fill="auto"/>
          </w:tcPr>
          <w:p w14:paraId="2F69CD29" w14:textId="77777777" w:rsidR="009D47C1" w:rsidRPr="00245D96" w:rsidRDefault="009D47C1" w:rsidP="006462CD">
            <w:pPr>
              <w:rPr>
                <w:sz w:val="22"/>
                <w:szCs w:val="22"/>
              </w:rPr>
            </w:pPr>
            <w:r w:rsidRPr="00245D96">
              <w:rPr>
                <w:sz w:val="22"/>
                <w:szCs w:val="22"/>
              </w:rPr>
              <w:t>Patient History Report</w:t>
            </w:r>
          </w:p>
        </w:tc>
        <w:tc>
          <w:tcPr>
            <w:tcW w:w="1080" w:type="dxa"/>
            <w:shd w:val="clear" w:color="auto" w:fill="auto"/>
          </w:tcPr>
          <w:p w14:paraId="08F063E2"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9347B3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D68BE75" w14:textId="77777777" w:rsidR="009D47C1" w:rsidRPr="00245D96" w:rsidRDefault="009D47C1" w:rsidP="006462CD">
            <w:pPr>
              <w:rPr>
                <w:sz w:val="22"/>
                <w:szCs w:val="22"/>
              </w:rPr>
            </w:pPr>
            <w:r w:rsidRPr="00245D96">
              <w:rPr>
                <w:sz w:val="22"/>
                <w:szCs w:val="22"/>
              </w:rPr>
              <w:t>No</w:t>
            </w:r>
          </w:p>
        </w:tc>
      </w:tr>
      <w:tr w:rsidR="009D47C1" w:rsidRPr="00245D96" w14:paraId="251771A4" w14:textId="77777777" w:rsidTr="006462CD">
        <w:tc>
          <w:tcPr>
            <w:tcW w:w="6498" w:type="dxa"/>
            <w:shd w:val="clear" w:color="auto" w:fill="auto"/>
          </w:tcPr>
          <w:p w14:paraId="45D3C266" w14:textId="77777777" w:rsidR="009D47C1" w:rsidRPr="00245D96" w:rsidRDefault="009D47C1" w:rsidP="006462CD">
            <w:pPr>
              <w:rPr>
                <w:sz w:val="22"/>
                <w:szCs w:val="22"/>
              </w:rPr>
            </w:pPr>
            <w:r w:rsidRPr="00245D96">
              <w:rPr>
                <w:sz w:val="22"/>
                <w:szCs w:val="22"/>
              </w:rPr>
              <w:t>Other VBECS reports</w:t>
            </w:r>
          </w:p>
        </w:tc>
        <w:tc>
          <w:tcPr>
            <w:tcW w:w="1080" w:type="dxa"/>
            <w:shd w:val="clear" w:color="auto" w:fill="auto"/>
          </w:tcPr>
          <w:p w14:paraId="67D59BFE"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8CE506B"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6DEFD6FC" w14:textId="77777777" w:rsidR="009D47C1" w:rsidRPr="00245D96" w:rsidRDefault="009D47C1" w:rsidP="006462CD">
            <w:pPr>
              <w:rPr>
                <w:sz w:val="22"/>
                <w:szCs w:val="22"/>
              </w:rPr>
            </w:pPr>
            <w:r w:rsidRPr="00245D96">
              <w:rPr>
                <w:sz w:val="22"/>
                <w:szCs w:val="22"/>
              </w:rPr>
              <w:t>Yes</w:t>
            </w:r>
          </w:p>
        </w:tc>
      </w:tr>
    </w:tbl>
    <w:p w14:paraId="41313E22" w14:textId="6D2C0609" w:rsidR="009D47C1" w:rsidRPr="009D47C1" w:rsidRDefault="009D47C1" w:rsidP="009D47C1">
      <w:pPr>
        <w:pStyle w:val="BodyText"/>
      </w:pPr>
      <w:r w:rsidRPr="009D47C1">
        <w:lastRenderedPageBreak/>
        <w:t xml:space="preserve">By clicking on </w:t>
      </w:r>
      <w:r w:rsidR="00057948">
        <w:rPr>
          <w:noProof/>
        </w:rPr>
        <w:drawing>
          <wp:inline distT="0" distB="0" distL="0" distR="0" wp14:anchorId="7A46AD37" wp14:editId="24AF50F7">
            <wp:extent cx="323215" cy="240030"/>
            <wp:effectExtent l="0" t="0" r="635" b="7620"/>
            <wp:docPr id="32" name="Picture 6" descr="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Save 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215" cy="240030"/>
                    </a:xfrm>
                    <a:prstGeom prst="rect">
                      <a:avLst/>
                    </a:prstGeom>
                    <a:noFill/>
                    <a:ln>
                      <a:noFill/>
                    </a:ln>
                  </pic:spPr>
                </pic:pic>
              </a:graphicData>
            </a:graphic>
          </wp:inline>
        </w:drawing>
      </w:r>
      <w:r w:rsidRPr="009D47C1">
        <w:t xml:space="preserve"> , the user has the option to select and export to an Excel, PDF or Word file (</w:t>
      </w:r>
      <w:r w:rsidR="00EE455E">
        <w:t xml:space="preserve">Figure </w:t>
      </w:r>
      <w:r w:rsidR="00EE455E">
        <w:rPr>
          <w:noProof/>
        </w:rPr>
        <w:t>11</w:t>
      </w:r>
      <w:r w:rsidRPr="009D47C1">
        <w:t>). Choosing any of these options will open the dialog shown in</w:t>
      </w:r>
      <w:r w:rsidR="0095211D">
        <w:t xml:space="preserve"> </w:t>
      </w:r>
      <w:r w:rsidR="00EE455E" w:rsidRPr="00037A18">
        <w:t xml:space="preserve">Figure </w:t>
      </w:r>
      <w:r w:rsidR="00EE455E">
        <w:rPr>
          <w:noProof/>
        </w:rPr>
        <w:t>12</w:t>
      </w:r>
      <w:r w:rsidRPr="009D47C1">
        <w:t xml:space="preserve">. </w:t>
      </w:r>
      <w:r w:rsidRPr="009D47C1">
        <w:rPr>
          <w:vanish/>
        </w:rPr>
        <w:t>DR 4607</w:t>
      </w:r>
    </w:p>
    <w:p w14:paraId="192968C2" w14:textId="353ED17D" w:rsidR="002F1554" w:rsidRDefault="002F1554" w:rsidP="002F1554">
      <w:pPr>
        <w:pStyle w:val="Caption"/>
      </w:pPr>
      <w:bookmarkStart w:id="80" w:name="_Ref41609377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w:t>
      </w:r>
      <w:r w:rsidR="004E20BD">
        <w:rPr>
          <w:noProof/>
        </w:rPr>
        <w:fldChar w:fldCharType="end"/>
      </w:r>
      <w:bookmarkEnd w:id="78"/>
      <w:bookmarkEnd w:id="80"/>
      <w:r>
        <w:t>: Report Export Toolbar</w:t>
      </w:r>
    </w:p>
    <w:p w14:paraId="64A49C1D" w14:textId="77777777" w:rsidR="002F1554" w:rsidRPr="00FC73FB" w:rsidRDefault="00057948" w:rsidP="002F1554">
      <w:pPr>
        <w:pStyle w:val="BodyText"/>
      </w:pPr>
      <w:r>
        <w:rPr>
          <w:noProof/>
        </w:rPr>
        <w:drawing>
          <wp:inline distT="0" distB="0" distL="0" distR="0" wp14:anchorId="5B16992B" wp14:editId="416D3AD9">
            <wp:extent cx="923925" cy="868045"/>
            <wp:effectExtent l="19050" t="19050" r="28575" b="27305"/>
            <wp:docPr id="33" name="Picture 33" descr="Report Export Toolba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port Export Toolbar screen cap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 cy="868045"/>
                    </a:xfrm>
                    <a:prstGeom prst="rect">
                      <a:avLst/>
                    </a:prstGeom>
                    <a:noFill/>
                    <a:ln w="6350" cmpd="sng">
                      <a:solidFill>
                        <a:srgbClr val="000000"/>
                      </a:solidFill>
                      <a:miter lim="800000"/>
                      <a:headEnd/>
                      <a:tailEnd/>
                    </a:ln>
                    <a:effectLst/>
                  </pic:spPr>
                </pic:pic>
              </a:graphicData>
            </a:graphic>
          </wp:inline>
        </w:drawing>
      </w:r>
    </w:p>
    <w:p w14:paraId="1A05E2DF" w14:textId="5E3E4EE3" w:rsidR="002F1554" w:rsidRDefault="002F1554" w:rsidP="002F1554">
      <w:pPr>
        <w:pStyle w:val="Caption"/>
      </w:pPr>
      <w:bookmarkStart w:id="81" w:name="_Ref353374029"/>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w:t>
      </w:r>
      <w:r w:rsidR="004E20BD">
        <w:rPr>
          <w:noProof/>
        </w:rPr>
        <w:fldChar w:fldCharType="end"/>
      </w:r>
      <w:bookmarkEnd w:id="81"/>
      <w:r w:rsidRPr="00037A18">
        <w:t xml:space="preserve">: Example of Report Export Dialog </w:t>
      </w:r>
      <w:r w:rsidR="008E79E8">
        <w:t xml:space="preserve">for Blood Bank </w:t>
      </w:r>
      <w:r w:rsidRPr="00037A18">
        <w:t xml:space="preserve">with </w:t>
      </w:r>
      <w:r w:rsidR="008E79E8">
        <w:t>Division Code 589</w:t>
      </w:r>
    </w:p>
    <w:p w14:paraId="7E3100BD" w14:textId="274282BD" w:rsidR="00F827F6" w:rsidRPr="00F827F6" w:rsidRDefault="008D2E7C" w:rsidP="00F827F6">
      <w:pPr>
        <w:pStyle w:val="BodyText"/>
      </w:pPr>
      <w:r w:rsidRPr="008D2E7C">
        <w:rPr>
          <w:noProof/>
        </w:rPr>
        <w:drawing>
          <wp:inline distT="0" distB="0" distL="0" distR="0" wp14:anchorId="697849C2" wp14:editId="3EDE4519">
            <wp:extent cx="5943600" cy="1871345"/>
            <wp:effectExtent l="0" t="0" r="0" b="0"/>
            <wp:docPr id="1156" name="Picture 1156" descr="Example of Report Export Dialog for Blood Bank with Division Code 589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156" descr="Example of Report Export Dialog for Blood Bank with Division Code 589 screen capture"/>
                    <pic:cNvPicPr/>
                  </pic:nvPicPr>
                  <pic:blipFill>
                    <a:blip r:embed="rId45"/>
                    <a:stretch>
                      <a:fillRect/>
                    </a:stretch>
                  </pic:blipFill>
                  <pic:spPr>
                    <a:xfrm>
                      <a:off x="0" y="0"/>
                      <a:ext cx="5943600" cy="1871345"/>
                    </a:xfrm>
                    <a:prstGeom prst="rect">
                      <a:avLst/>
                    </a:prstGeom>
                  </pic:spPr>
                </pic:pic>
              </a:graphicData>
            </a:graphic>
          </wp:inline>
        </w:drawing>
      </w:r>
    </w:p>
    <w:p w14:paraId="3BBDD7B0" w14:textId="77777777" w:rsidR="002F1554" w:rsidRDefault="002F1554" w:rsidP="002F1554">
      <w:pPr>
        <w:rPr>
          <w:sz w:val="22"/>
          <w:szCs w:val="22"/>
        </w:rPr>
      </w:pPr>
      <w:r w:rsidRPr="00037A18">
        <w:rPr>
          <w:sz w:val="22"/>
          <w:szCs w:val="22"/>
        </w:rPr>
        <w:t>This dialog allows the user to specify the name of the file to which the report will be exported. The extension of the file is pre-filled for the user and depends on which export option was selected (.xls for Excel, .</w:t>
      </w:r>
      <w:r>
        <w:rPr>
          <w:sz w:val="22"/>
          <w:szCs w:val="22"/>
        </w:rPr>
        <w:t xml:space="preserve">pdf for PDF or .doc for Word). The </w:t>
      </w:r>
      <w:r w:rsidRPr="00037A18">
        <w:rPr>
          <w:sz w:val="22"/>
          <w:szCs w:val="22"/>
        </w:rPr>
        <w:t>file name</w:t>
      </w:r>
      <w:r>
        <w:rPr>
          <w:sz w:val="22"/>
          <w:szCs w:val="22"/>
        </w:rPr>
        <w:t xml:space="preserve"> length is limited to</w:t>
      </w:r>
      <w:r w:rsidRPr="00037A18">
        <w:rPr>
          <w:sz w:val="22"/>
          <w:szCs w:val="22"/>
        </w:rPr>
        <w:t xml:space="preserve"> </w:t>
      </w:r>
      <w:r>
        <w:rPr>
          <w:sz w:val="22"/>
          <w:szCs w:val="22"/>
        </w:rPr>
        <w:t>200</w:t>
      </w:r>
      <w:r w:rsidRPr="00037A18">
        <w:rPr>
          <w:sz w:val="22"/>
          <w:szCs w:val="22"/>
        </w:rPr>
        <w:t xml:space="preserve"> characters</w:t>
      </w:r>
      <w:r>
        <w:rPr>
          <w:sz w:val="22"/>
          <w:szCs w:val="22"/>
        </w:rPr>
        <w:t xml:space="preserve"> and will not accept special characters as part of the name (e.g., \ / ? % * | : ’ ” &lt; &gt;).</w:t>
      </w:r>
    </w:p>
    <w:p w14:paraId="7D085FB6" w14:textId="77777777" w:rsidR="002F1554" w:rsidRPr="00037A18" w:rsidRDefault="002F1554" w:rsidP="002F1554">
      <w:pPr>
        <w:spacing w:before="120"/>
        <w:rPr>
          <w:sz w:val="22"/>
          <w:szCs w:val="22"/>
        </w:rPr>
      </w:pPr>
      <w:r w:rsidRPr="00037A18">
        <w:rPr>
          <w:sz w:val="22"/>
          <w:szCs w:val="22"/>
        </w:rPr>
        <w:t xml:space="preserve">If the user attempts to </w:t>
      </w:r>
      <w:r>
        <w:rPr>
          <w:sz w:val="22"/>
          <w:szCs w:val="22"/>
        </w:rPr>
        <w:t>use a special character in the file name, it will be ignored and not appear on the screen.</w:t>
      </w:r>
    </w:p>
    <w:p w14:paraId="454CD515" w14:textId="364C8E11" w:rsidR="002F1554" w:rsidRPr="00037A18" w:rsidRDefault="002F1554" w:rsidP="002F1554">
      <w:pPr>
        <w:pStyle w:val="BodyText"/>
      </w:pPr>
      <w:r w:rsidRPr="00037A18">
        <w:t xml:space="preserve">Once the user enters a proper file name, the </w:t>
      </w:r>
      <w:r w:rsidRPr="00037A18">
        <w:rPr>
          <w:b/>
        </w:rPr>
        <w:t>OK</w:t>
      </w:r>
      <w:r w:rsidRPr="00037A18">
        <w:t xml:space="preserve"> button will become enabled. Clicking the </w:t>
      </w:r>
      <w:r w:rsidRPr="00037A18">
        <w:rPr>
          <w:b/>
        </w:rPr>
        <w:t>OK</w:t>
      </w:r>
      <w:r w:rsidRPr="00037A18">
        <w:t xml:space="preserve"> button will present the user with the message shown in</w:t>
      </w:r>
      <w:r w:rsidR="00430868">
        <w:t xml:space="preserve"> </w:t>
      </w:r>
      <w:r w:rsidR="00EE455E" w:rsidRPr="00037A18">
        <w:t xml:space="preserve">Figure </w:t>
      </w:r>
      <w:r w:rsidR="00EE455E">
        <w:rPr>
          <w:noProof/>
        </w:rPr>
        <w:t>13</w:t>
      </w:r>
      <w:r w:rsidRPr="00037A18">
        <w:t>.</w:t>
      </w:r>
    </w:p>
    <w:p w14:paraId="2F976C28" w14:textId="6B892DE1" w:rsidR="002F1554" w:rsidRPr="00037A18" w:rsidRDefault="002F1554" w:rsidP="002F1554">
      <w:pPr>
        <w:pStyle w:val="Caption"/>
      </w:pPr>
      <w:bookmarkStart w:id="82" w:name="_Ref353374032"/>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w:t>
      </w:r>
      <w:r w:rsidR="004E20BD">
        <w:rPr>
          <w:noProof/>
        </w:rPr>
        <w:fldChar w:fldCharType="end"/>
      </w:r>
      <w:bookmarkEnd w:id="82"/>
      <w:r w:rsidRPr="00037A18">
        <w:t>: Report Exporting in Progress</w:t>
      </w:r>
    </w:p>
    <w:p w14:paraId="5F1D1917" w14:textId="77777777" w:rsidR="002F1554" w:rsidRPr="00A777D2" w:rsidRDefault="00057948" w:rsidP="002F1554">
      <w:pPr>
        <w:pStyle w:val="BodyText"/>
        <w:rPr>
          <w:highlight w:val="yellow"/>
        </w:rPr>
      </w:pPr>
      <w:r>
        <w:rPr>
          <w:noProof/>
        </w:rPr>
        <w:drawing>
          <wp:inline distT="0" distB="0" distL="0" distR="0" wp14:anchorId="5EB50F8B" wp14:editId="263F567E">
            <wp:extent cx="2641600" cy="1200785"/>
            <wp:effectExtent l="19050" t="19050" r="25400" b="18415"/>
            <wp:docPr id="35" name="Picture 35" descr="Example of Report Exporting in Progres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 of Report Exporting in Progress Screen cap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1600" cy="1200785"/>
                    </a:xfrm>
                    <a:prstGeom prst="rect">
                      <a:avLst/>
                    </a:prstGeom>
                    <a:noFill/>
                    <a:ln w="6350" cmpd="sng">
                      <a:solidFill>
                        <a:srgbClr val="000000"/>
                      </a:solidFill>
                      <a:miter lim="800000"/>
                      <a:headEnd/>
                      <a:tailEnd/>
                    </a:ln>
                    <a:effectLst/>
                  </pic:spPr>
                </pic:pic>
              </a:graphicData>
            </a:graphic>
          </wp:inline>
        </w:drawing>
      </w:r>
    </w:p>
    <w:p w14:paraId="7A586A08" w14:textId="6A3D4F90" w:rsidR="002F1554" w:rsidRPr="00037A18" w:rsidRDefault="00A66B66" w:rsidP="002F1554">
      <w:pPr>
        <w:pStyle w:val="BodyText"/>
      </w:pPr>
      <w:r>
        <w:br w:type="page"/>
      </w:r>
      <w:r w:rsidR="002F1554" w:rsidRPr="00037A18">
        <w:lastRenderedPageBreak/>
        <w:t xml:space="preserve">Clicking the </w:t>
      </w:r>
      <w:r w:rsidR="002F1554" w:rsidRPr="00037A18">
        <w:rPr>
          <w:b/>
        </w:rPr>
        <w:t>Cancel</w:t>
      </w:r>
      <w:r w:rsidR="002F1554" w:rsidRPr="00037A18">
        <w:t xml:space="preserve"> button will stop the e</w:t>
      </w:r>
      <w:r w:rsidR="009144AE">
        <w:t>xport and</w:t>
      </w:r>
      <w:r w:rsidR="005B08F5">
        <w:t xml:space="preserve"> the user will be reverted back to viewing the report</w:t>
      </w:r>
      <w:r w:rsidR="002F1554" w:rsidRPr="00037A18">
        <w:t xml:space="preserve">. If the export </w:t>
      </w:r>
      <w:r w:rsidR="005B08F5">
        <w:t>is</w:t>
      </w:r>
      <w:r w:rsidR="002F1554" w:rsidRPr="00037A18">
        <w:t xml:space="preserve"> successful, the user will be presented with the message shown in</w:t>
      </w:r>
      <w:r w:rsidR="00B2123B">
        <w:t xml:space="preserve"> </w:t>
      </w:r>
      <w:r w:rsidR="00EE455E" w:rsidRPr="00037A18">
        <w:t xml:space="preserve">Figure </w:t>
      </w:r>
      <w:r w:rsidR="00EE455E">
        <w:rPr>
          <w:noProof/>
        </w:rPr>
        <w:t>14</w:t>
      </w:r>
      <w:r w:rsidR="002F1554" w:rsidRPr="00037A18">
        <w:t>.</w:t>
      </w:r>
    </w:p>
    <w:p w14:paraId="2CE8BD94" w14:textId="62AD24EC" w:rsidR="002F1554" w:rsidRPr="00037A18" w:rsidRDefault="002F1554" w:rsidP="002F1554">
      <w:pPr>
        <w:pStyle w:val="Caption"/>
      </w:pPr>
      <w:bookmarkStart w:id="83" w:name="_Ref353374155"/>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14</w:t>
      </w:r>
      <w:r w:rsidR="004E20BD">
        <w:rPr>
          <w:noProof/>
        </w:rPr>
        <w:fldChar w:fldCharType="end"/>
      </w:r>
      <w:bookmarkEnd w:id="83"/>
      <w:r w:rsidRPr="00037A18">
        <w:t>: Example of Report Exporting Success</w:t>
      </w:r>
    </w:p>
    <w:p w14:paraId="77BD963A" w14:textId="3E719D2B" w:rsidR="002F1554" w:rsidRDefault="00302B3B" w:rsidP="002F1554">
      <w:pPr>
        <w:pStyle w:val="BodyText"/>
        <w:rPr>
          <w:highlight w:val="yellow"/>
        </w:rPr>
      </w:pPr>
      <w:r>
        <w:rPr>
          <w:noProof/>
        </w:rPr>
        <w:drawing>
          <wp:inline distT="0" distB="0" distL="0" distR="0" wp14:anchorId="27A75297" wp14:editId="626B4425">
            <wp:extent cx="4619625" cy="2181225"/>
            <wp:effectExtent l="0" t="0" r="9525" b="9525"/>
            <wp:docPr id="17" name="Picture 17" descr="Example of Report Exporting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Report Exporting Success"/>
                    <pic:cNvPicPr/>
                  </pic:nvPicPr>
                  <pic:blipFill>
                    <a:blip r:embed="rId47"/>
                    <a:stretch>
                      <a:fillRect/>
                    </a:stretch>
                  </pic:blipFill>
                  <pic:spPr>
                    <a:xfrm>
                      <a:off x="0" y="0"/>
                      <a:ext cx="4619625" cy="2181225"/>
                    </a:xfrm>
                    <a:prstGeom prst="rect">
                      <a:avLst/>
                    </a:prstGeom>
                  </pic:spPr>
                </pic:pic>
              </a:graphicData>
            </a:graphic>
          </wp:inline>
        </w:drawing>
      </w:r>
    </w:p>
    <w:p w14:paraId="6F55BC30" w14:textId="24C5C40B" w:rsidR="00205F89" w:rsidRPr="002532D0" w:rsidRDefault="00205F89" w:rsidP="002F1554">
      <w:pPr>
        <w:pStyle w:val="BodyText"/>
      </w:pPr>
      <w:r w:rsidRPr="002532D0">
        <w:t xml:space="preserve">This dialog contains a </w:t>
      </w:r>
      <w:r w:rsidRPr="002532D0">
        <w:rPr>
          <w:b/>
          <w:bCs/>
        </w:rPr>
        <w:t>Copy Share Path to Clipboard</w:t>
      </w:r>
      <w:r w:rsidRPr="002532D0">
        <w:t xml:space="preserve"> button, which when clicked will put the full path to the report network share in the user's clipboard</w:t>
      </w:r>
      <w:r w:rsidR="00302B3B" w:rsidRPr="002532D0">
        <w:t xml:space="preserve">. The user can then </w:t>
      </w:r>
      <w:r w:rsidR="00E25BD4" w:rsidRPr="002532D0">
        <w:t xml:space="preserve">return to their workstation and </w:t>
      </w:r>
      <w:r w:rsidR="00302B3B" w:rsidRPr="002532D0">
        <w:t xml:space="preserve">open </w:t>
      </w:r>
      <w:r w:rsidR="00E25BD4" w:rsidRPr="002532D0">
        <w:t xml:space="preserve">File Explorer or </w:t>
      </w:r>
      <w:r w:rsidR="00302B3B" w:rsidRPr="002532D0">
        <w:t>any web browser and paste the copied path into the Address bar</w:t>
      </w:r>
      <w:r w:rsidR="00E25BD4" w:rsidRPr="002532D0">
        <w:t xml:space="preserve"> to be taken to their report.</w:t>
      </w:r>
    </w:p>
    <w:p w14:paraId="3123C2FD" w14:textId="0290A5D1" w:rsidR="00E25BD4" w:rsidRPr="00205F89" w:rsidRDefault="00E25BD4" w:rsidP="002F1554">
      <w:pPr>
        <w:pStyle w:val="BodyText"/>
      </w:pPr>
      <w:r w:rsidRPr="002532D0">
        <w:t xml:space="preserve">To create a workstation shortcut directly to the network share of exported reports, follow the instructions from the </w:t>
      </w:r>
      <w:r w:rsidRPr="002532D0">
        <w:rPr>
          <w:i/>
          <w:iCs/>
        </w:rPr>
        <w:t>Exported Reports Network Share</w:t>
      </w:r>
      <w:r w:rsidRPr="002532D0">
        <w:t xml:space="preserve"> section of the </w:t>
      </w:r>
      <w:r w:rsidRPr="002532D0">
        <w:rPr>
          <w:i/>
          <w:iCs/>
        </w:rPr>
        <w:t>VBECS Technical Manual-Security Guide</w:t>
      </w:r>
      <w:r w:rsidRPr="002532D0">
        <w:t>.</w:t>
      </w:r>
    </w:p>
    <w:p w14:paraId="28BCAA58" w14:textId="6AD8D381" w:rsidR="002A21AE" w:rsidRDefault="002A21AE">
      <w:pPr>
        <w:pStyle w:val="Heading2"/>
      </w:pPr>
      <w:bookmarkStart w:id="84" w:name="_Toc163644856"/>
      <w:bookmarkStart w:id="85" w:name="OLE_LINK45"/>
      <w:bookmarkStart w:id="86" w:name="OLE_LINK46"/>
      <w:bookmarkStart w:id="87" w:name="_Hlk4563316"/>
      <w:r>
        <w:t>Using VBECS</w:t>
      </w:r>
      <w:bookmarkEnd w:id="84"/>
      <w:r>
        <w:fldChar w:fldCharType="begin"/>
      </w:r>
      <w:r>
        <w:instrText xml:space="preserve"> XE </w:instrText>
      </w:r>
      <w:r w:rsidR="00FA7E65">
        <w:instrText>“</w:instrText>
      </w:r>
      <w:r>
        <w:instrText>Using VBECS</w:instrText>
      </w:r>
      <w:r w:rsidR="00FA7E65">
        <w:instrText>”</w:instrText>
      </w:r>
      <w:r>
        <w:instrText xml:space="preserve"> </w:instrText>
      </w:r>
      <w:r>
        <w:fldChar w:fldCharType="end"/>
      </w:r>
    </w:p>
    <w:p w14:paraId="68DFA8BD" w14:textId="77777777" w:rsidR="002A21AE" w:rsidRDefault="002A21AE" w:rsidP="00FA7E65">
      <w:pPr>
        <w:pStyle w:val="BodyText"/>
      </w:pPr>
      <w:bookmarkStart w:id="88" w:name="OLE_LINK37"/>
      <w:bookmarkStart w:id="89" w:name="OLE_LINK38"/>
      <w:r>
        <w:t xml:space="preserve">VBECS is a Windows-based application. </w:t>
      </w:r>
    </w:p>
    <w:p w14:paraId="67595265" w14:textId="77777777" w:rsidR="002A21AE" w:rsidRDefault="002A21AE" w:rsidP="00FA7E65">
      <w:pPr>
        <w:pStyle w:val="BodyText"/>
      </w:pPr>
      <w:r>
        <w:t>One VBEC</w:t>
      </w:r>
      <w:r w:rsidR="00434529">
        <w:t>S system</w:t>
      </w:r>
      <w:r>
        <w:t xml:space="preserve"> is implemented for each </w:t>
      </w:r>
      <w:r w:rsidR="000C7684" w:rsidRPr="000C7684">
        <w:rPr>
          <w:bCs/>
        </w:rPr>
        <w:t>VistA</w:t>
      </w:r>
      <w:r>
        <w:t xml:space="preserve"> database.</w:t>
      </w:r>
    </w:p>
    <w:p w14:paraId="68BAD092" w14:textId="77777777" w:rsidR="00F07C4D" w:rsidRDefault="00F07C4D" w:rsidP="00F05B26">
      <w:pPr>
        <w:pStyle w:val="BodyText"/>
      </w:pPr>
      <w:r>
        <w:t xml:space="preserve">Subject matter experts (SMEs) at user sites will help implement VBECS and train blood bank staff and </w:t>
      </w:r>
      <w:r w:rsidR="00443802" w:rsidRPr="00F05B26">
        <w:t xml:space="preserve">other </w:t>
      </w:r>
      <w:r w:rsidRPr="00F05B26">
        <w:t>authorized users.</w:t>
      </w:r>
    </w:p>
    <w:p w14:paraId="61E04FBF" w14:textId="2E9C37A8" w:rsidR="002A21AE" w:rsidRDefault="00200CB8" w:rsidP="00F05B26">
      <w:pPr>
        <w:pStyle w:val="BodyText"/>
      </w:pPr>
      <w:r w:rsidRPr="00791497">
        <w:t xml:space="preserve">The </w:t>
      </w:r>
      <w:r w:rsidR="00711206" w:rsidRPr="00711206">
        <w:rPr>
          <w:highlight w:val="yellow"/>
        </w:rPr>
        <w:t>REDACTED</w:t>
      </w:r>
      <w:r w:rsidRPr="00791497">
        <w:t xml:space="preserve"> contains training, Frequently Asked Questions (FAQs)</w:t>
      </w:r>
      <w:r w:rsidR="00791497" w:rsidRPr="00791497">
        <w:t xml:space="preserve">, Technical Bulletins, </w:t>
      </w:r>
      <w:r w:rsidRPr="00791497">
        <w:t xml:space="preserve">ListServ </w:t>
      </w:r>
      <w:r w:rsidR="00F94855">
        <w:t>messages and sign up</w:t>
      </w:r>
      <w:r w:rsidR="00D00E0D">
        <w:t>, etc.</w:t>
      </w:r>
      <w:r w:rsidRPr="00791497">
        <w:t xml:space="preserve"> to support the implementation and use of VBECS.</w:t>
      </w:r>
      <w:r w:rsidR="00F94855">
        <w:t xml:space="preserve"> </w:t>
      </w:r>
      <w:r w:rsidR="00C84BC5" w:rsidRPr="00F05B26">
        <w:t xml:space="preserve">Users may access links to </w:t>
      </w:r>
      <w:r w:rsidR="00F05B26" w:rsidRPr="00F05B26">
        <w:t xml:space="preserve">VBECS </w:t>
      </w:r>
      <w:r w:rsidR="00C84BC5" w:rsidRPr="00F05B26">
        <w:t xml:space="preserve">training </w:t>
      </w:r>
      <w:r w:rsidR="00FF50AC" w:rsidRPr="00F05B26">
        <w:t>modules</w:t>
      </w:r>
      <w:r w:rsidR="00F05B26" w:rsidRPr="00F05B26">
        <w:t xml:space="preserve"> and frequently asked </w:t>
      </w:r>
      <w:r w:rsidR="00671459" w:rsidRPr="00F05B26">
        <w:t>questions and</w:t>
      </w:r>
      <w:r w:rsidR="00F05B26" w:rsidRPr="00F05B26">
        <w:t xml:space="preserve"> join a ListServ (an email distribution list to manage discussion groups) for </w:t>
      </w:r>
      <w:r w:rsidR="00770D97">
        <w:t xml:space="preserve">VBECS </w:t>
      </w:r>
      <w:r w:rsidR="00F05B26" w:rsidRPr="00F05B26">
        <w:t>announcements and updates.</w:t>
      </w:r>
      <w:r w:rsidR="00C84BC5" w:rsidRPr="00F05B26">
        <w:t> Contact information is provided for comments and questions</w:t>
      </w:r>
      <w:bookmarkEnd w:id="85"/>
      <w:bookmarkEnd w:id="86"/>
      <w:r w:rsidR="00F05B26" w:rsidRPr="00F05B26">
        <w:t>.</w:t>
      </w:r>
    </w:p>
    <w:p w14:paraId="5EDB80D4" w14:textId="26D03023" w:rsidR="006C5917" w:rsidRDefault="006C5917" w:rsidP="00BD5547">
      <w:pPr>
        <w:pStyle w:val="BodyText"/>
      </w:pPr>
      <w:r>
        <w:t>Pressing the “F1” key brings up the VBECS Information window to inform the user that if you need help with VBECS or VBECS Admin, to refer to the VBECS User Guide or VBECS Admin User Guide that are found on the VBECS SharePoint or file a Service Desk ticket.</w:t>
      </w:r>
    </w:p>
    <w:p w14:paraId="38CDB2BD" w14:textId="340AC825" w:rsidR="00AB0325" w:rsidRDefault="00AB0325" w:rsidP="00352790">
      <w:pPr>
        <w:pStyle w:val="Heading3"/>
      </w:pPr>
      <w:bookmarkStart w:id="90" w:name="_Options_at_a_Glance:_VBECS_and_Vist"/>
      <w:bookmarkStart w:id="91" w:name="_Toc163644857"/>
      <w:bookmarkEnd w:id="87"/>
      <w:bookmarkEnd w:id="88"/>
      <w:bookmarkEnd w:id="89"/>
      <w:bookmarkEnd w:id="90"/>
      <w:r>
        <w:t>Search</w:t>
      </w:r>
      <w:r w:rsidR="00615BD6">
        <w:t>ing Using the Table of Contents</w:t>
      </w:r>
      <w:bookmarkEnd w:id="91"/>
      <w:r w:rsidR="006C04E6">
        <w:fldChar w:fldCharType="begin"/>
      </w:r>
      <w:r w:rsidR="006C04E6">
        <w:instrText xml:space="preserve"> XE "</w:instrText>
      </w:r>
      <w:r w:rsidR="006C04E6" w:rsidRPr="001246FE">
        <w:instrText>Search Tab</w:instrText>
      </w:r>
      <w:r w:rsidR="006C04E6">
        <w:instrText xml:space="preserve">" </w:instrText>
      </w:r>
      <w:r w:rsidR="006C04E6">
        <w:fldChar w:fldCharType="end"/>
      </w:r>
    </w:p>
    <w:p w14:paraId="6F54E025" w14:textId="15BED63F" w:rsidR="002C3957" w:rsidRPr="009D0CAA" w:rsidRDefault="009870B1" w:rsidP="009D0CAA">
      <w:pPr>
        <w:rPr>
          <w:sz w:val="22"/>
          <w:szCs w:val="22"/>
        </w:rPr>
      </w:pPr>
      <w:r>
        <w:rPr>
          <w:sz w:val="22"/>
          <w:szCs w:val="22"/>
        </w:rPr>
        <w:t xml:space="preserve">Scroll through the Table of Contents and </w:t>
      </w:r>
      <w:r w:rsidR="00615BD6">
        <w:rPr>
          <w:sz w:val="22"/>
          <w:szCs w:val="22"/>
        </w:rPr>
        <w:t>click</w:t>
      </w:r>
      <w:r w:rsidR="00615BD6" w:rsidRPr="00615BD6">
        <w:rPr>
          <w:sz w:val="22"/>
          <w:szCs w:val="22"/>
        </w:rPr>
        <w:t xml:space="preserve"> any Table of Contents </w:t>
      </w:r>
      <w:r>
        <w:rPr>
          <w:sz w:val="22"/>
          <w:szCs w:val="22"/>
        </w:rPr>
        <w:t>topic</w:t>
      </w:r>
      <w:r w:rsidR="00D549A4">
        <w:rPr>
          <w:sz w:val="22"/>
          <w:szCs w:val="22"/>
        </w:rPr>
        <w:t>/link</w:t>
      </w:r>
      <w:r>
        <w:rPr>
          <w:sz w:val="22"/>
          <w:szCs w:val="22"/>
        </w:rPr>
        <w:t xml:space="preserve"> to go </w:t>
      </w:r>
      <w:r w:rsidR="00615BD6">
        <w:rPr>
          <w:sz w:val="22"/>
          <w:szCs w:val="22"/>
        </w:rPr>
        <w:t xml:space="preserve">to the </w:t>
      </w:r>
      <w:r w:rsidR="00DE5A90">
        <w:rPr>
          <w:sz w:val="22"/>
          <w:szCs w:val="22"/>
        </w:rPr>
        <w:t>desired</w:t>
      </w:r>
      <w:r w:rsidR="00615BD6">
        <w:rPr>
          <w:sz w:val="22"/>
          <w:szCs w:val="22"/>
        </w:rPr>
        <w:t xml:space="preserve"> page.</w:t>
      </w:r>
    </w:p>
    <w:p w14:paraId="78E7E307" w14:textId="77777777" w:rsidR="00BB6AB5" w:rsidRDefault="00F05A35" w:rsidP="007E27AF">
      <w:pPr>
        <w:pStyle w:val="Heading2"/>
      </w:pPr>
      <w:bookmarkStart w:id="92" w:name="OLE_LINK39"/>
      <w:bookmarkStart w:id="93" w:name="OLE_LINK40"/>
      <w:r>
        <w:br w:type="page"/>
      </w:r>
      <w:bookmarkStart w:id="94" w:name="_Toc163644858"/>
      <w:r w:rsidR="00BB6AB5">
        <w:lastRenderedPageBreak/>
        <w:t xml:space="preserve">VistA </w:t>
      </w:r>
      <w:r w:rsidR="001A5555">
        <w:t>Records</w:t>
      </w:r>
      <w:r w:rsidR="00BB6AB5">
        <w:t xml:space="preserve"> in VBECS</w:t>
      </w:r>
      <w:bookmarkEnd w:id="94"/>
      <w:r w:rsidR="007E27AF">
        <w:fldChar w:fldCharType="begin"/>
      </w:r>
      <w:r w:rsidR="007E27AF">
        <w:instrText xml:space="preserve"> XE "</w:instrText>
      </w:r>
      <w:r w:rsidR="007E27AF" w:rsidRPr="00C85A38">
        <w:instrText>VistA Records in VBECS</w:instrText>
      </w:r>
      <w:r w:rsidR="007E27AF">
        <w:instrText xml:space="preserve">" </w:instrText>
      </w:r>
      <w:r w:rsidR="007E27AF">
        <w:fldChar w:fldCharType="end"/>
      </w:r>
    </w:p>
    <w:p w14:paraId="72FD7222" w14:textId="77777777" w:rsidR="00C97C16" w:rsidRDefault="000F37DC" w:rsidP="00C97C16">
      <w:pPr>
        <w:pStyle w:val="BodyText"/>
      </w:pPr>
      <w:r>
        <w:t>Historic</w:t>
      </w:r>
      <w:r w:rsidR="00550B93">
        <w:t xml:space="preserve"> </w:t>
      </w:r>
      <w:r w:rsidR="00BB6AB5">
        <w:t xml:space="preserve">VistA blood bank </w:t>
      </w:r>
      <w:r w:rsidR="001A5555">
        <w:t>records were</w:t>
      </w:r>
      <w:r w:rsidR="00BB6AB5">
        <w:t xml:space="preserve"> transferred to VBECS</w:t>
      </w:r>
      <w:r w:rsidR="000C18F8">
        <w:t xml:space="preserve"> </w:t>
      </w:r>
      <w:r w:rsidR="004C470C">
        <w:t xml:space="preserve">and validated </w:t>
      </w:r>
      <w:r w:rsidR="000C18F8">
        <w:t>during the database conversion</w:t>
      </w:r>
      <w:r w:rsidR="00550B93">
        <w:t xml:space="preserve">. </w:t>
      </w:r>
      <w:r w:rsidR="007E27AF">
        <w:t>VBECS handles these records in accordance with system rules:</w:t>
      </w:r>
      <w:r w:rsidR="004C470C" w:rsidRPr="004C470C">
        <w:t xml:space="preserve"> </w:t>
      </w:r>
    </w:p>
    <w:p w14:paraId="00108674" w14:textId="77777777" w:rsidR="002A11A1" w:rsidRDefault="00057948" w:rsidP="004C470C">
      <w:pPr>
        <w:pStyle w:val="Caution"/>
      </w:pPr>
      <w:r>
        <w:rPr>
          <w:noProof/>
        </w:rPr>
        <w:drawing>
          <wp:inline distT="0" distB="0" distL="0" distR="0" wp14:anchorId="643FD3F0" wp14:editId="0B39E7E8">
            <wp:extent cx="267970" cy="221615"/>
            <wp:effectExtent l="0" t="0" r="0" b="6985"/>
            <wp:docPr id="48" name="Picture 48" descr="Co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onstruc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C97C16">
        <w:t xml:space="preserve">Patient names in VistA that exceed the database standard for File </w:t>
      </w:r>
      <w:r w:rsidR="00531232">
        <w:t>#2 (</w:t>
      </w:r>
      <w:r w:rsidR="00C97C16">
        <w:t>30 characters</w:t>
      </w:r>
      <w:r w:rsidR="004E57F7">
        <w:t xml:space="preserve">) </w:t>
      </w:r>
      <w:r w:rsidR="004B00E6">
        <w:t>or do not have a last name</w:t>
      </w:r>
      <w:r w:rsidR="00531232">
        <w:t xml:space="preserve"> </w:t>
      </w:r>
      <w:r w:rsidR="005A7EE0">
        <w:t>do not convert to V</w:t>
      </w:r>
      <w:r w:rsidR="00551EF1">
        <w:t>BECS</w:t>
      </w:r>
      <w:r w:rsidR="002A11A1">
        <w:t>.</w:t>
      </w:r>
    </w:p>
    <w:p w14:paraId="1502CC9C" w14:textId="77777777" w:rsidR="00BB6AB5" w:rsidRDefault="001A5555" w:rsidP="004305BC">
      <w:pPr>
        <w:pStyle w:val="ListBullet"/>
      </w:pPr>
      <w:r>
        <w:t xml:space="preserve">VBECS may display patient information differently from VistA. For example, </w:t>
      </w:r>
      <w:r w:rsidR="00550B93">
        <w:t xml:space="preserve">VBECS displays patient </w:t>
      </w:r>
      <w:r w:rsidR="00810930">
        <w:t>name</w:t>
      </w:r>
      <w:r w:rsidR="0080180A">
        <w:t>s</w:t>
      </w:r>
      <w:r w:rsidR="00550B93">
        <w:t xml:space="preserve"> as “</w:t>
      </w:r>
      <w:r w:rsidR="00BE05CD">
        <w:t xml:space="preserve">LAST NAME, FIRST NAME, MIDDLE NAME </w:t>
      </w:r>
      <w:r w:rsidR="00E12A85">
        <w:t xml:space="preserve">or </w:t>
      </w:r>
      <w:r w:rsidR="00BE05CD">
        <w:t>INITIAL</w:t>
      </w:r>
      <w:r w:rsidR="00102E3E">
        <w:t>, SUFFIX</w:t>
      </w:r>
      <w:r w:rsidR="00550B93">
        <w:t>.”</w:t>
      </w:r>
    </w:p>
    <w:p w14:paraId="2770468E" w14:textId="3719B94A" w:rsidR="00506EE2" w:rsidRPr="00B26970" w:rsidRDefault="00506EE2" w:rsidP="00506EE2">
      <w:pPr>
        <w:pStyle w:val="ListBullet"/>
        <w:rPr>
          <w:rFonts w:cs="Arial"/>
          <w:szCs w:val="18"/>
        </w:rPr>
      </w:pPr>
      <w:r w:rsidRPr="00B26970">
        <w:rPr>
          <w:rFonts w:cs="Arial"/>
          <w:szCs w:val="18"/>
        </w:rPr>
        <w:t xml:space="preserve">A patient name </w:t>
      </w:r>
      <w:r w:rsidR="00932724">
        <w:rPr>
          <w:rFonts w:cs="Arial"/>
          <w:szCs w:val="18"/>
        </w:rPr>
        <w:t>may</w:t>
      </w:r>
      <w:r w:rsidRPr="00B26970">
        <w:rPr>
          <w:rFonts w:cs="Arial"/>
          <w:szCs w:val="18"/>
        </w:rPr>
        <w:t xml:space="preserve"> be truncated in </w:t>
      </w:r>
      <w:r>
        <w:rPr>
          <w:rFonts w:cs="Arial"/>
          <w:szCs w:val="18"/>
        </w:rPr>
        <w:t>the following</w:t>
      </w:r>
      <w:r w:rsidRPr="00B26970">
        <w:rPr>
          <w:rFonts w:cs="Arial"/>
          <w:szCs w:val="18"/>
        </w:rPr>
        <w:t xml:space="preserve"> screens when one of the name fields (Last, First, </w:t>
      </w:r>
      <w:r w:rsidR="00C02E65">
        <w:rPr>
          <w:rFonts w:cs="Arial"/>
          <w:szCs w:val="18"/>
        </w:rPr>
        <w:t>or Middle) exceed</w:t>
      </w:r>
      <w:r w:rsidR="00D05436">
        <w:rPr>
          <w:rFonts w:cs="Arial"/>
          <w:szCs w:val="18"/>
        </w:rPr>
        <w:t>s</w:t>
      </w:r>
      <w:r w:rsidR="00C02E65">
        <w:rPr>
          <w:rFonts w:cs="Arial"/>
          <w:szCs w:val="18"/>
        </w:rPr>
        <w:t xml:space="preserve"> 22 characters. </w:t>
      </w:r>
      <w:r w:rsidR="00C02E65" w:rsidRPr="00B26970">
        <w:rPr>
          <w:rFonts w:cs="Arial"/>
          <w:szCs w:val="18"/>
        </w:rPr>
        <w:t>The full name is displayed elsewhere on the screens ident</w:t>
      </w:r>
      <w:r w:rsidR="00C02E65">
        <w:rPr>
          <w:rFonts w:cs="Arial"/>
          <w:szCs w:val="18"/>
        </w:rPr>
        <w:t>ified or it is provided as read-</w:t>
      </w:r>
      <w:r w:rsidR="00C02E65" w:rsidRPr="00B26970">
        <w:rPr>
          <w:rFonts w:cs="Arial"/>
          <w:szCs w:val="18"/>
        </w:rPr>
        <w:t>only information and is not used to make decisions for the selected patient.</w:t>
      </w:r>
      <w:r w:rsidR="00C02E65">
        <w:rPr>
          <w:rFonts w:cs="Arial"/>
          <w:szCs w:val="18"/>
        </w:rPr>
        <w:t xml:space="preserve"> </w:t>
      </w:r>
      <w:r w:rsidR="00C02E65" w:rsidRPr="00C02E65">
        <w:rPr>
          <w:rFonts w:cs="Arial"/>
          <w:vanish/>
          <w:szCs w:val="18"/>
        </w:rPr>
        <w:t>Task 209590</w:t>
      </w:r>
    </w:p>
    <w:p w14:paraId="194F7A77" w14:textId="77777777" w:rsidR="00506EE2" w:rsidRPr="00B26970" w:rsidRDefault="00506EE2" w:rsidP="00506EE2">
      <w:pPr>
        <w:pStyle w:val="ListBullet"/>
        <w:numPr>
          <w:ilvl w:val="1"/>
          <w:numId w:val="15"/>
        </w:numPr>
        <w:rPr>
          <w:rFonts w:cs="Arial"/>
          <w:szCs w:val="18"/>
        </w:rPr>
      </w:pPr>
      <w:r w:rsidRPr="00B26970">
        <w:rPr>
          <w:rFonts w:cs="Arial"/>
          <w:szCs w:val="18"/>
        </w:rPr>
        <w:t>Blood Unit Details tab</w:t>
      </w:r>
    </w:p>
    <w:p w14:paraId="1919F66F" w14:textId="77777777" w:rsidR="00506EE2" w:rsidRPr="00B26970" w:rsidRDefault="00506EE2" w:rsidP="00506EE2">
      <w:pPr>
        <w:pStyle w:val="ListBullet"/>
        <w:numPr>
          <w:ilvl w:val="1"/>
          <w:numId w:val="15"/>
        </w:numPr>
        <w:rPr>
          <w:rFonts w:cs="Arial"/>
          <w:szCs w:val="18"/>
        </w:rPr>
      </w:pPr>
      <w:r w:rsidRPr="00B26970">
        <w:rPr>
          <w:rFonts w:cs="Arial"/>
          <w:szCs w:val="18"/>
        </w:rPr>
        <w:t>Patient Specimen Selector control</w:t>
      </w:r>
    </w:p>
    <w:p w14:paraId="140FB394" w14:textId="77777777" w:rsidR="00506EE2" w:rsidRPr="00B26970" w:rsidRDefault="00506EE2" w:rsidP="00506EE2">
      <w:pPr>
        <w:pStyle w:val="ListBullet"/>
        <w:numPr>
          <w:ilvl w:val="1"/>
          <w:numId w:val="15"/>
        </w:numPr>
        <w:rPr>
          <w:rFonts w:cs="Arial"/>
          <w:szCs w:val="18"/>
        </w:rPr>
      </w:pPr>
      <w:r w:rsidRPr="00B26970">
        <w:rPr>
          <w:rFonts w:cs="Arial"/>
          <w:szCs w:val="18"/>
        </w:rPr>
        <w:t>Patient Order Selector control</w:t>
      </w:r>
    </w:p>
    <w:p w14:paraId="3968F188" w14:textId="1DDC7240" w:rsidR="00506EE2" w:rsidRPr="00B26970" w:rsidRDefault="00506EE2" w:rsidP="00506EE2">
      <w:pPr>
        <w:pStyle w:val="ListBullet"/>
        <w:numPr>
          <w:ilvl w:val="1"/>
          <w:numId w:val="15"/>
        </w:numPr>
        <w:rPr>
          <w:rFonts w:cs="Arial"/>
          <w:szCs w:val="18"/>
        </w:rPr>
      </w:pPr>
      <w:r w:rsidRPr="00B26970">
        <w:rPr>
          <w:rFonts w:cs="Arial"/>
          <w:szCs w:val="18"/>
        </w:rPr>
        <w:t>Patient Order Selector for Report control</w:t>
      </w:r>
    </w:p>
    <w:p w14:paraId="4305F5FF" w14:textId="4959C3AE" w:rsidR="00506EE2" w:rsidRDefault="00506EE2" w:rsidP="00506EE2">
      <w:pPr>
        <w:pStyle w:val="ListBullet"/>
      </w:pPr>
      <w:r w:rsidRPr="00B26970">
        <w:rPr>
          <w:rFonts w:cs="Arial"/>
          <w:szCs w:val="18"/>
        </w:rPr>
        <w:t xml:space="preserve">VBECS </w:t>
      </w:r>
      <w:r w:rsidR="00932724">
        <w:rPr>
          <w:rFonts w:cs="Arial"/>
          <w:szCs w:val="18"/>
        </w:rPr>
        <w:t>may</w:t>
      </w:r>
      <w:r w:rsidRPr="00B26970">
        <w:rPr>
          <w:rFonts w:cs="Arial"/>
          <w:szCs w:val="18"/>
        </w:rPr>
        <w:t xml:space="preserve"> only display the first 25 characters of the name.</w:t>
      </w:r>
    </w:p>
    <w:p w14:paraId="56BB0DF4" w14:textId="6A890EF1" w:rsidR="00CF225C" w:rsidRDefault="00524EDF" w:rsidP="004305BC">
      <w:pPr>
        <w:pStyle w:val="ListBullet"/>
      </w:pPr>
      <w:r w:rsidRPr="00524EDF">
        <w:rPr>
          <w:vanish/>
        </w:rPr>
        <w:t xml:space="preserve">BR_3.05 </w:t>
      </w:r>
      <w:r w:rsidR="00CF225C">
        <w:t xml:space="preserve">VBECS displays historic ABO/Rh types from the database </w:t>
      </w:r>
      <w:r w:rsidR="00671459">
        <w:t>conversion but</w:t>
      </w:r>
      <w:r w:rsidR="00CF225C">
        <w:t xml:space="preserve"> doesn’t use </w:t>
      </w:r>
      <w:r w:rsidR="005F34AE">
        <w:t>them</w:t>
      </w:r>
      <w:r w:rsidR="00CF225C">
        <w:t xml:space="preserve"> for issuing blood or for comparing test results. </w:t>
      </w:r>
    </w:p>
    <w:p w14:paraId="61132D12" w14:textId="77777777" w:rsidR="00B814B4" w:rsidRDefault="00B814B4" w:rsidP="00B814B4">
      <w:pPr>
        <w:pStyle w:val="ListBullet"/>
      </w:pPr>
      <w:r>
        <w:t>VBECS truncates Special Instructions (SIs) text from the VistA database conversion.</w:t>
      </w:r>
    </w:p>
    <w:p w14:paraId="37B4E6CD" w14:textId="77777777" w:rsidR="00524EDF" w:rsidRDefault="00524EDF" w:rsidP="00524EDF">
      <w:pPr>
        <w:pStyle w:val="ListBullet"/>
      </w:pPr>
      <w:r>
        <w:rPr>
          <w:vanish/>
        </w:rPr>
        <w:t xml:space="preserve">BR_37.05 </w:t>
      </w:r>
      <w:r w:rsidR="00150930" w:rsidRPr="00150930">
        <w:t>SIs from d</w:t>
      </w:r>
      <w:r>
        <w:t>ata</w:t>
      </w:r>
      <w:r w:rsidR="00150930">
        <w:t>base</w:t>
      </w:r>
      <w:r>
        <w:t xml:space="preserve"> conversion entries are labeled as such.</w:t>
      </w:r>
    </w:p>
    <w:p w14:paraId="32072974" w14:textId="77777777" w:rsidR="00150930" w:rsidRDefault="00150930" w:rsidP="00150930">
      <w:pPr>
        <w:pStyle w:val="ListBullet"/>
      </w:pPr>
      <w:r w:rsidRPr="00CA6E27">
        <w:rPr>
          <w:bCs/>
        </w:rPr>
        <w:t>VistA</w:t>
      </w:r>
      <w:r>
        <w:t xml:space="preserve"> SIs from the database conversion </w:t>
      </w:r>
      <w:r w:rsidR="00216287">
        <w:t>may include component or antigen negative requirements. The</w:t>
      </w:r>
      <w:r w:rsidR="00D40EB2">
        <w:t xml:space="preserve"> VistA SIs</w:t>
      </w:r>
      <w:r>
        <w:t xml:space="preserve"> remain SIs and are not enforced unless </w:t>
      </w:r>
      <w:r w:rsidR="00646F65">
        <w:t xml:space="preserve">they are </w:t>
      </w:r>
      <w:r>
        <w:t xml:space="preserve">entered in </w:t>
      </w:r>
      <w:r w:rsidR="00646F65">
        <w:t xml:space="preserve">the </w:t>
      </w:r>
      <w:r>
        <w:t>T</w:t>
      </w:r>
      <w:r w:rsidR="00646F65">
        <w:t xml:space="preserve">ransfusion </w:t>
      </w:r>
      <w:r>
        <w:t>R</w:t>
      </w:r>
      <w:r w:rsidR="00646F65">
        <w:t>equirement</w:t>
      </w:r>
      <w:r>
        <w:t>s</w:t>
      </w:r>
      <w:r w:rsidR="00646F65">
        <w:t xml:space="preserve"> tab in Special Instructions &amp; Transfusion Requirements</w:t>
      </w:r>
      <w:r>
        <w:t>.</w:t>
      </w:r>
    </w:p>
    <w:p w14:paraId="57CE1EF5" w14:textId="7D331BD2" w:rsidR="001F561F" w:rsidRDefault="001F561F" w:rsidP="001F561F">
      <w:pPr>
        <w:pStyle w:val="ListBullet"/>
      </w:pPr>
      <w:r>
        <w:t xml:space="preserve">Patient antibody identifications from </w:t>
      </w:r>
      <w:r w:rsidRPr="00CA6E27">
        <w:rPr>
          <w:bCs/>
        </w:rPr>
        <w:t>VistA</w:t>
      </w:r>
      <w:r>
        <w:t xml:space="preserve"> </w:t>
      </w:r>
      <w:r w:rsidR="00B814B4">
        <w:t>were</w:t>
      </w:r>
      <w:r>
        <w:t xml:space="preserve"> included in the database conversion.</w:t>
      </w:r>
    </w:p>
    <w:p w14:paraId="1986725A" w14:textId="77777777" w:rsidR="005F34AE" w:rsidRDefault="005F34AE" w:rsidP="001F561F">
      <w:pPr>
        <w:pStyle w:val="ListBullet"/>
      </w:pPr>
      <w:r>
        <w:t>Antigen negative requirements properly set in VistA w</w:t>
      </w:r>
      <w:r w:rsidR="00B814B4">
        <w:t>ere</w:t>
      </w:r>
      <w:r>
        <w:t xml:space="preserve"> transferred to antigen negative requirements in VBECS.</w:t>
      </w:r>
    </w:p>
    <w:p w14:paraId="556A2291" w14:textId="061868A8" w:rsidR="00875F0A" w:rsidRDefault="00181ECD" w:rsidP="00941464">
      <w:pPr>
        <w:pStyle w:val="ListBullet"/>
        <w:rPr>
          <w:vanish/>
        </w:rPr>
      </w:pPr>
      <w:r w:rsidRPr="00181ECD">
        <w:rPr>
          <w:vanish/>
        </w:rPr>
        <w:t xml:space="preserve">BR_65.03 </w:t>
      </w:r>
      <w:r w:rsidRPr="00181ECD">
        <w:t>VBECS informs the user when the displayed historical ABO/Rh, transfusion reaction history, and/or antigen typing result from the database conversion</w:t>
      </w:r>
      <w:r>
        <w:t>.</w:t>
      </w:r>
      <w:bookmarkEnd w:id="92"/>
      <w:bookmarkEnd w:id="93"/>
    </w:p>
    <w:p w14:paraId="634F085F" w14:textId="096E95D4" w:rsidR="00875F0A" w:rsidRDefault="007306E4" w:rsidP="00D05436">
      <w:pPr>
        <w:pStyle w:val="ListBullet"/>
      </w:pPr>
      <w:r>
        <w:t xml:space="preserve"> </w:t>
      </w:r>
      <w:r w:rsidR="00875F0A">
        <w:t>Transfusion reaction types without their associated units were transferred to VBECS.</w:t>
      </w:r>
    </w:p>
    <w:p w14:paraId="30CB81A7" w14:textId="417E5B2E" w:rsidR="002A21AE" w:rsidRDefault="008F1BF3" w:rsidP="00D05436">
      <w:pPr>
        <w:pStyle w:val="Heading2"/>
      </w:pPr>
      <w:r>
        <w:br w:type="page"/>
      </w:r>
      <w:bookmarkStart w:id="95" w:name="_Toc163644859"/>
      <w:r w:rsidR="002A21AE">
        <w:lastRenderedPageBreak/>
        <w:t>Accessing the System</w:t>
      </w:r>
      <w:bookmarkEnd w:id="95"/>
      <w:r w:rsidR="002A21AE">
        <w:fldChar w:fldCharType="begin"/>
      </w:r>
      <w:r w:rsidR="002A21AE">
        <w:instrText xml:space="preserve"> XE </w:instrText>
      </w:r>
      <w:r w:rsidR="00FA7E65">
        <w:instrText>“</w:instrText>
      </w:r>
      <w:r w:rsidR="002A21AE">
        <w:instrText>Accessing the System</w:instrText>
      </w:r>
      <w:r w:rsidR="00FA7E65">
        <w:instrText>”</w:instrText>
      </w:r>
      <w:r w:rsidR="002A21AE">
        <w:instrText xml:space="preserve"> </w:instrText>
      </w:r>
      <w:r w:rsidR="002A21AE">
        <w:fldChar w:fldCharType="end"/>
      </w:r>
    </w:p>
    <w:p w14:paraId="0A39C2E8" w14:textId="77777777" w:rsidR="002A21AE" w:rsidRDefault="009B4BF9">
      <w:pPr>
        <w:pStyle w:val="Heading3"/>
      </w:pPr>
      <w:bookmarkStart w:id="96" w:name="_Toc86743614"/>
      <w:bookmarkStart w:id="97" w:name="OLE_LINK19"/>
      <w:bookmarkStart w:id="98" w:name="_Toc163644860"/>
      <w:r>
        <w:t>Log i</w:t>
      </w:r>
      <w:r w:rsidR="002A21AE">
        <w:t>nto VBECS</w:t>
      </w:r>
      <w:bookmarkEnd w:id="96"/>
      <w:r w:rsidR="002A21AE">
        <w:t xml:space="preserve"> and</w:t>
      </w:r>
      <w:r w:rsidR="00CA0045">
        <w:t xml:space="preserve"> VistA</w:t>
      </w:r>
      <w:bookmarkEnd w:id="97"/>
      <w:bookmarkEnd w:id="98"/>
      <w:r w:rsidR="002A21AE">
        <w:rPr>
          <w:b w:val="0"/>
          <w:vanish/>
        </w:rPr>
        <w:fldChar w:fldCharType="begin"/>
      </w:r>
      <w:r w:rsidR="002A21AE">
        <w:rPr>
          <w:vanish/>
        </w:rPr>
        <w:instrText xml:space="preserve"> XE </w:instrText>
      </w:r>
      <w:r w:rsidR="00FA7E65">
        <w:rPr>
          <w:vanish/>
        </w:rPr>
        <w:instrText>“</w:instrText>
      </w:r>
      <w:r w:rsidR="002A21AE">
        <w:rPr>
          <w:vanish/>
        </w:rPr>
        <w:instrText>Log Into VBECS and</w:instrText>
      </w:r>
      <w:r w:rsidR="00CA0045">
        <w:rPr>
          <w:vanish/>
        </w:rPr>
        <w:instrText xml:space="preserve"> VistA</w:instrText>
      </w:r>
      <w:r w:rsidR="00FA7E65">
        <w:rPr>
          <w:vanish/>
        </w:rPr>
        <w:instrText>”</w:instrText>
      </w:r>
      <w:r w:rsidR="002A21AE">
        <w:rPr>
          <w:vanish/>
        </w:rPr>
        <w:instrText xml:space="preserve"> </w:instrText>
      </w:r>
      <w:r w:rsidR="002A21AE">
        <w:rPr>
          <w:b w:val="0"/>
          <w:vanish/>
        </w:rPr>
        <w:fldChar w:fldCharType="end"/>
      </w:r>
      <w:r w:rsidR="002A21AE">
        <w:rPr>
          <w:b w:val="0"/>
          <w:vanish/>
        </w:rPr>
        <w:t xml:space="preserve"> </w:t>
      </w:r>
      <w:r w:rsidR="002A21AE">
        <w:rPr>
          <w:vanish/>
        </w:rPr>
        <w:t>UC_18, UC_102</w:t>
      </w:r>
    </w:p>
    <w:p w14:paraId="64F6EC96" w14:textId="7D1B6698" w:rsidR="002A21AE" w:rsidRDefault="002A21AE" w:rsidP="00FA7E65">
      <w:pPr>
        <w:pStyle w:val="BodyText"/>
      </w:pPr>
      <w:r>
        <w:t>A user may work in only one division at a time. After login</w:t>
      </w:r>
      <w:r w:rsidR="00670304">
        <w:rPr>
          <w:rStyle w:val="FootnoteReference"/>
        </w:rPr>
        <w:footnoteReference w:id="1"/>
      </w:r>
      <w:r>
        <w:t xml:space="preserve">, a user with access privileges in several divisions may change divisions. </w:t>
      </w:r>
      <w:r w:rsidR="00191AFE">
        <w:t xml:space="preserve">For users with access to a single division, an option to change divisions will not be available. </w:t>
      </w:r>
      <w:r w:rsidR="009E1728">
        <w:t>VBECS allows access only to valid divisions associated with the user.</w:t>
      </w:r>
      <w:r w:rsidR="00330B40">
        <w:t xml:space="preserve"> </w:t>
      </w:r>
    </w:p>
    <w:p w14:paraId="6FDF1A12" w14:textId="77777777" w:rsidR="002A21AE" w:rsidRDefault="002A21AE">
      <w:pPr>
        <w:pStyle w:val="Heading4"/>
      </w:pPr>
      <w:r>
        <w:t>Assumptions</w:t>
      </w:r>
    </w:p>
    <w:p w14:paraId="5CF80DBD" w14:textId="77777777" w:rsidR="009E1728" w:rsidRDefault="009E1728" w:rsidP="009E1728">
      <w:pPr>
        <w:pStyle w:val="ListBullet"/>
      </w:pPr>
      <w:r w:rsidRPr="009E1728">
        <w:t>There is not an active VistALink c</w:t>
      </w:r>
      <w:r>
        <w:t>onnection in VBECS/Administrator.</w:t>
      </w:r>
    </w:p>
    <w:p w14:paraId="3333E666" w14:textId="77777777" w:rsidR="009E1728" w:rsidRDefault="009E1728" w:rsidP="009E1728">
      <w:pPr>
        <w:pStyle w:val="ListBullet"/>
      </w:pPr>
      <w:r w:rsidRPr="009E1728">
        <w:t xml:space="preserve">VistA is set up, operating normally </w:t>
      </w:r>
      <w:r>
        <w:t>and accessible via the network.</w:t>
      </w:r>
    </w:p>
    <w:p w14:paraId="691AAF9E" w14:textId="77777777" w:rsidR="00A333E5" w:rsidRPr="009E1728" w:rsidRDefault="00A333E5">
      <w:pPr>
        <w:pStyle w:val="ListBullet"/>
      </w:pPr>
      <w:r w:rsidRPr="009E1728">
        <w:t>The user is defined in VistA, has a DUZ, and connectivity to VistA can be established.</w:t>
      </w:r>
    </w:p>
    <w:p w14:paraId="3FD03510" w14:textId="77777777" w:rsidR="0080715E" w:rsidRPr="009E1728" w:rsidRDefault="0080715E">
      <w:pPr>
        <w:pStyle w:val="ListBullet"/>
      </w:pPr>
      <w:r w:rsidRPr="009E1728">
        <w:t>The user must be defined in the VistA new person file and have valid Access and Verify Codes.</w:t>
      </w:r>
    </w:p>
    <w:p w14:paraId="31907989" w14:textId="77777777" w:rsidR="002A21AE" w:rsidRDefault="00272139" w:rsidP="00BF32E5">
      <w:pPr>
        <w:pStyle w:val="ListBullet"/>
      </w:pPr>
      <w:r>
        <w:t xml:space="preserve">The user’s </w:t>
      </w:r>
      <w:r w:rsidR="00BF32E5">
        <w:t>division</w:t>
      </w:r>
      <w:r>
        <w:t xml:space="preserve"> is configure</w:t>
      </w:r>
      <w:r w:rsidR="00373CB1">
        <w:t>d</w:t>
      </w:r>
      <w:r>
        <w:t xml:space="preserve"> in both</w:t>
      </w:r>
      <w:r w:rsidR="002A21AE">
        <w:t xml:space="preserve"> </w:t>
      </w:r>
      <w:r w:rsidR="00CA0045" w:rsidRPr="00CA0045">
        <w:t>VistA</w:t>
      </w:r>
      <w:r>
        <w:t xml:space="preserve"> and VBECS. </w:t>
      </w:r>
      <w:r w:rsidR="00C00476">
        <w:t>(</w:t>
      </w:r>
      <w:r w:rsidR="009E1728">
        <w:t>See Update User Roles</w:t>
      </w:r>
      <w:r w:rsidR="00C00476">
        <w:t>)</w:t>
      </w:r>
    </w:p>
    <w:p w14:paraId="0E9344A1" w14:textId="77777777" w:rsidR="002A21AE" w:rsidRDefault="002A21AE">
      <w:pPr>
        <w:pStyle w:val="Heading4"/>
        <w:rPr>
          <w:i/>
        </w:rPr>
      </w:pPr>
      <w:r>
        <w:t>Outcome</w:t>
      </w:r>
      <w:r>
        <w:rPr>
          <w:i/>
        </w:rPr>
        <w:t xml:space="preserve"> </w:t>
      </w:r>
    </w:p>
    <w:p w14:paraId="42BC8F62" w14:textId="77777777" w:rsidR="002A21AE" w:rsidRDefault="009E1728">
      <w:pPr>
        <w:pStyle w:val="ListBullet"/>
      </w:pPr>
      <w:r>
        <w:t>The</w:t>
      </w:r>
      <w:r w:rsidR="002A21AE">
        <w:t xml:space="preserve"> user is logged into the selected division.</w:t>
      </w:r>
    </w:p>
    <w:p w14:paraId="56D57399" w14:textId="77777777" w:rsidR="0080715E" w:rsidRPr="009E1728" w:rsidRDefault="0080715E">
      <w:pPr>
        <w:pStyle w:val="ListBullet"/>
      </w:pPr>
      <w:r w:rsidRPr="009E1728">
        <w:t>A VistALink connection is established or restored and the user is logged onto VistA.</w:t>
      </w:r>
    </w:p>
    <w:p w14:paraId="55C09BFB" w14:textId="77777777" w:rsidR="005A15F5" w:rsidRPr="009E1728" w:rsidRDefault="005A15F5">
      <w:pPr>
        <w:pStyle w:val="ListBullet"/>
      </w:pPr>
      <w:r w:rsidRPr="009E1728">
        <w:t>VBECS is available for use wheth</w:t>
      </w:r>
      <w:r w:rsidR="00121EB7" w:rsidRPr="009E1728">
        <w:t>er or not VistALink is connected</w:t>
      </w:r>
      <w:r w:rsidR="00F3226E" w:rsidRPr="009E1728">
        <w:t>, depending on the option</w:t>
      </w:r>
      <w:r w:rsidRPr="009E1728">
        <w:t>.</w:t>
      </w:r>
    </w:p>
    <w:p w14:paraId="592CDF7F" w14:textId="77777777" w:rsidR="002A21AE" w:rsidRDefault="002A21AE">
      <w:pPr>
        <w:pStyle w:val="Heading4"/>
      </w:pPr>
      <w:r>
        <w:t>Limitations and Restrictions</w:t>
      </w:r>
    </w:p>
    <w:p w14:paraId="2986F9E2" w14:textId="77777777" w:rsidR="002A21AE" w:rsidRDefault="00E27D9F">
      <w:pPr>
        <w:pStyle w:val="ListBullet"/>
      </w:pPr>
      <w:r>
        <w:rPr>
          <w:vanish/>
          <w:spacing w:val="0"/>
        </w:rPr>
        <w:t>BR_18.05</w:t>
      </w:r>
      <w:r w:rsidR="009B4BF9">
        <w:rPr>
          <w:vanish/>
          <w:spacing w:val="0"/>
        </w:rPr>
        <w:t xml:space="preserve"> </w:t>
      </w:r>
      <w:r w:rsidR="002A21AE">
        <w:t>VBECS automatically logs a</w:t>
      </w:r>
      <w:r w:rsidR="002A21AE" w:rsidRPr="00BF7321">
        <w:rPr>
          <w:spacing w:val="0"/>
        </w:rPr>
        <w:t xml:space="preserve"> </w:t>
      </w:r>
      <w:r w:rsidR="002A21AE">
        <w:t>user with access to only o</w:t>
      </w:r>
      <w:r w:rsidR="00D2565B">
        <w:t>ne division into that division.</w:t>
      </w:r>
    </w:p>
    <w:p w14:paraId="3A2D1869" w14:textId="77777777" w:rsidR="00FB121F" w:rsidRDefault="00FB121F" w:rsidP="00FB121F">
      <w:pPr>
        <w:pStyle w:val="ListBullet"/>
      </w:pPr>
      <w:r w:rsidRPr="009E1728">
        <w:t>Connectivity by IAM services access approval (PIV Card) is not possible when IAM services are not available.</w:t>
      </w:r>
    </w:p>
    <w:p w14:paraId="6F0E4EA8" w14:textId="241ACC80" w:rsidR="00101C69" w:rsidRPr="009E1728" w:rsidRDefault="00101C69" w:rsidP="00101C69">
      <w:pPr>
        <w:pStyle w:val="ListBullet"/>
      </w:pPr>
      <w:r w:rsidRPr="009E1728">
        <w:t xml:space="preserve">Connectivity by IAM services access approval (PIV Card) is not </w:t>
      </w:r>
      <w:r>
        <w:t>required</w:t>
      </w:r>
      <w:r w:rsidRPr="009E1728">
        <w:t xml:space="preserve"> when </w:t>
      </w:r>
      <w:r w:rsidR="00C85A03">
        <w:t xml:space="preserve">a </w:t>
      </w:r>
      <w:r w:rsidR="00D72D13">
        <w:t xml:space="preserve">user </w:t>
      </w:r>
      <w:r w:rsidR="00C85A03">
        <w:t>has a PIV ex</w:t>
      </w:r>
      <w:r>
        <w:t>emption or when IAM services are not available.</w:t>
      </w:r>
    </w:p>
    <w:p w14:paraId="12EC6D0F" w14:textId="77777777" w:rsidR="00FB121F" w:rsidRDefault="00FB121F" w:rsidP="00FB121F">
      <w:pPr>
        <w:pStyle w:val="ListBullet"/>
      </w:pPr>
      <w:r>
        <w:rPr>
          <w:spacing w:val="0"/>
        </w:rPr>
        <w:t>An Access and Verify code is required to connect to VistA when the IAM services are not available.</w:t>
      </w:r>
    </w:p>
    <w:p w14:paraId="13208CD4" w14:textId="75567A67" w:rsidR="007A2FC3" w:rsidRDefault="009E1728">
      <w:pPr>
        <w:pStyle w:val="ListBullet"/>
      </w:pPr>
      <w:r w:rsidRPr="009E1728">
        <w:rPr>
          <w:vanish/>
        </w:rPr>
        <w:t xml:space="preserve">BR_102.12 </w:t>
      </w:r>
      <w:r w:rsidR="007A2FC3" w:rsidRPr="009E1728">
        <w:t>Connectivity is not possible when VistA is not available.</w:t>
      </w:r>
    </w:p>
    <w:p w14:paraId="3E78A8AE" w14:textId="3ECB9FFA" w:rsidR="00B43925" w:rsidRDefault="006D7B40" w:rsidP="00B43925">
      <w:pPr>
        <w:pStyle w:val="ListBullet"/>
      </w:pPr>
      <w:r>
        <w:t xml:space="preserve">The user’s Active Directory account is a member of the proper VBECS security groups and configured with the AES256 bit encryption flag. Refer to the Active Directory section of the </w:t>
      </w:r>
      <w:r w:rsidRPr="003E663B">
        <w:rPr>
          <w:i/>
          <w:iCs/>
        </w:rPr>
        <w:t>VBECS Technical Manual Security Guide</w:t>
      </w:r>
      <w:r>
        <w:t>.</w:t>
      </w:r>
    </w:p>
    <w:p w14:paraId="62C75337" w14:textId="74A4B0D9" w:rsidR="006F1029" w:rsidRPr="006F1029" w:rsidRDefault="00D72D13" w:rsidP="006F1029">
      <w:pPr>
        <w:pStyle w:val="ListBullet"/>
      </w:pPr>
      <w:r>
        <w:t xml:space="preserve">For Remote Desktop constraints, consult </w:t>
      </w:r>
      <w:r w:rsidR="00E20E5D">
        <w:t xml:space="preserve">the </w:t>
      </w:r>
      <w:r w:rsidR="00E20E5D" w:rsidRPr="003E663B">
        <w:rPr>
          <w:i/>
          <w:iCs/>
        </w:rPr>
        <w:t>VBECS Technical Manual Security Guide</w:t>
      </w:r>
      <w:r w:rsidR="00E20E5D">
        <w:rPr>
          <w:i/>
          <w:iCs/>
        </w:rPr>
        <w:t>.</w:t>
      </w:r>
    </w:p>
    <w:p w14:paraId="3B0BE1AA" w14:textId="77777777" w:rsidR="002A21AE" w:rsidRDefault="002A21AE">
      <w:pPr>
        <w:pStyle w:val="Heading4"/>
      </w:pPr>
      <w:r>
        <w:t>Additional Information</w:t>
      </w:r>
    </w:p>
    <w:p w14:paraId="51DCFE9D" w14:textId="77777777" w:rsidR="00530298" w:rsidRDefault="00530298" w:rsidP="00530298">
      <w:pPr>
        <w:pStyle w:val="ListBullet"/>
        <w:rPr>
          <w:szCs w:val="20"/>
        </w:rPr>
      </w:pPr>
      <w:r>
        <w:rPr>
          <w:szCs w:val="20"/>
        </w:rPr>
        <w:t>The initial entry into VBECS will require a VistA Access and Verify Code in order to initiate the IAM PIV sign on process. This is only required for the first use of the system for each user.</w:t>
      </w:r>
    </w:p>
    <w:p w14:paraId="5C091025" w14:textId="76B9B69A" w:rsidR="00EF0211" w:rsidRDefault="00EF0211" w:rsidP="004B6116">
      <w:pPr>
        <w:pStyle w:val="ListBullet"/>
      </w:pPr>
      <w:r w:rsidRPr="00EF0211">
        <w:t>If VBECS does</w:t>
      </w:r>
      <w:r w:rsidR="00AC7CC7">
        <w:t xml:space="preserve"> no</w:t>
      </w:r>
      <w:r w:rsidR="00E3226E">
        <w:t>t</w:t>
      </w:r>
      <w:r w:rsidRPr="00EF0211">
        <w:t xml:space="preserve"> automatically select the correct authentication certificate, users may see several certificates listed during the sign on process. The user should select the current authentication certificate with their name from the list of certificates.</w:t>
      </w:r>
    </w:p>
    <w:p w14:paraId="6D6263FF" w14:textId="3B3F400B" w:rsidR="00D40E35" w:rsidRPr="002532D0" w:rsidRDefault="00D40E35" w:rsidP="004B6116">
      <w:pPr>
        <w:pStyle w:val="ListBullet"/>
      </w:pPr>
      <w:r w:rsidRPr="002532D0">
        <w:t xml:space="preserve">If VBECS presents the user with multiple in-date certificates to choose from (e.g., this may happen after early PIV renewal) </w:t>
      </w:r>
      <w:r w:rsidR="008F63E0" w:rsidRPr="002532D0">
        <w:t>open a service desk ticket</w:t>
      </w:r>
      <w:r w:rsidRPr="002532D0">
        <w:t xml:space="preserve"> to have the older certificate removed from the system.</w:t>
      </w:r>
    </w:p>
    <w:p w14:paraId="4ECB443E" w14:textId="3B3E85EA" w:rsidR="009B4BF9" w:rsidRPr="002115C7" w:rsidRDefault="00EF0211" w:rsidP="004B6116">
      <w:pPr>
        <w:pStyle w:val="ListBullet"/>
        <w:rPr>
          <w:szCs w:val="20"/>
        </w:rPr>
      </w:pPr>
      <w:r w:rsidRPr="00EF0211">
        <w:rPr>
          <w:vanish/>
          <w:szCs w:val="20"/>
        </w:rPr>
        <w:lastRenderedPageBreak/>
        <w:t>BR_102.03</w:t>
      </w:r>
      <w:r w:rsidR="009B4BF9" w:rsidRPr="002115C7">
        <w:rPr>
          <w:szCs w:val="20"/>
        </w:rPr>
        <w:t xml:space="preserve">VBECS provides an interface (VistALink) with VistA to allow the user to log onto VistA (not required for most options; see </w:t>
      </w:r>
      <w:r w:rsidR="00F63A03">
        <w:rPr>
          <w:szCs w:val="20"/>
        </w:rPr>
        <w:fldChar w:fldCharType="begin"/>
      </w:r>
      <w:r w:rsidR="00F63A03">
        <w:rPr>
          <w:szCs w:val="20"/>
        </w:rPr>
        <w:instrText xml:space="preserve"> REF _Ref162946416 \h </w:instrText>
      </w:r>
      <w:r w:rsidR="00F63A03">
        <w:rPr>
          <w:szCs w:val="20"/>
        </w:rPr>
      </w:r>
      <w:r w:rsidR="00F63A03">
        <w:rPr>
          <w:szCs w:val="20"/>
        </w:rPr>
        <w:fldChar w:fldCharType="separate"/>
      </w:r>
      <w:r w:rsidR="00E2140B">
        <w:t>Options That Require VistALink</w:t>
      </w:r>
      <w:r w:rsidR="00F63A03">
        <w:rPr>
          <w:szCs w:val="20"/>
        </w:rPr>
        <w:fldChar w:fldCharType="end"/>
      </w:r>
      <w:r w:rsidR="009B4BF9" w:rsidRPr="002115C7">
        <w:rPr>
          <w:szCs w:val="20"/>
        </w:rPr>
        <w:t>).</w:t>
      </w:r>
    </w:p>
    <w:p w14:paraId="6705E5EC" w14:textId="4FB3F729" w:rsidR="00530298" w:rsidRDefault="001F56CA" w:rsidP="004B6116">
      <w:pPr>
        <w:pStyle w:val="ListBullet"/>
        <w:rPr>
          <w:szCs w:val="20"/>
        </w:rPr>
      </w:pPr>
      <w:r w:rsidRPr="001F56CA">
        <w:rPr>
          <w:vanish/>
          <w:szCs w:val="20"/>
        </w:rPr>
        <w:t xml:space="preserve">BR_102.13 </w:t>
      </w:r>
      <w:r w:rsidR="00530298">
        <w:rPr>
          <w:szCs w:val="20"/>
        </w:rPr>
        <w:t xml:space="preserve">The system attempts to reuse the security credentials initially entered in the user’s session to perform VistA </w:t>
      </w:r>
      <w:r w:rsidR="006464E3">
        <w:rPr>
          <w:szCs w:val="20"/>
        </w:rPr>
        <w:t>logoff</w:t>
      </w:r>
      <w:r w:rsidR="00530298">
        <w:rPr>
          <w:szCs w:val="20"/>
        </w:rPr>
        <w:t xml:space="preserve"> and logon without user interaction.</w:t>
      </w:r>
    </w:p>
    <w:p w14:paraId="4053F51B" w14:textId="77777777" w:rsidR="002A21AE" w:rsidRPr="00F462A4" w:rsidRDefault="001F56CA" w:rsidP="00F462A4">
      <w:pPr>
        <w:pStyle w:val="ListBullet"/>
        <w:rPr>
          <w:szCs w:val="20"/>
        </w:rPr>
      </w:pPr>
      <w:r w:rsidRPr="001F56CA">
        <w:rPr>
          <w:vanish/>
        </w:rPr>
        <w:t xml:space="preserve">BR_102.03 </w:t>
      </w:r>
      <w:r w:rsidR="00F462A4">
        <w:t xml:space="preserve">If the user is required to enter a VistA Access and Verify Code, VBECS checks the characters in the Access and Verify Codes and warns when there are fewer than six characters or when a semicolon (;), colon (:), or caret (^) is entered. VBECS sends the entered Access and Verify Codes to </w:t>
      </w:r>
      <w:r w:rsidR="00F462A4" w:rsidRPr="00CA0045">
        <w:t>VistA</w:t>
      </w:r>
      <w:r w:rsidR="00F462A4">
        <w:t xml:space="preserve">. </w:t>
      </w:r>
      <w:r w:rsidR="00F462A4" w:rsidRPr="00CA0045">
        <w:t>VistA</w:t>
      </w:r>
      <w:r w:rsidR="00F462A4">
        <w:t xml:space="preserve"> checks the codes and responds to VBECS with a message stating whether the entered Access and Verify Codes are invalid or valid for the user attempting to log on. VBECS warns when </w:t>
      </w:r>
      <w:r w:rsidR="00F462A4" w:rsidRPr="00CA0045">
        <w:t>VistA</w:t>
      </w:r>
      <w:r w:rsidR="00F462A4">
        <w:t xml:space="preserve"> does not accept the Access and Verify Codes entered.</w:t>
      </w:r>
      <w:r w:rsidR="002A21AE" w:rsidRPr="00F462A4">
        <w:rPr>
          <w:szCs w:val="20"/>
        </w:rPr>
        <w:t> </w:t>
      </w:r>
    </w:p>
    <w:p w14:paraId="6FEED21D" w14:textId="1F800B21" w:rsidR="002A21AE" w:rsidRDefault="002A21AE">
      <w:pPr>
        <w:pStyle w:val="ListBullet"/>
      </w:pPr>
      <w:r>
        <w:rPr>
          <w:vanish/>
          <w:spacing w:val="0"/>
        </w:rPr>
        <w:t xml:space="preserve">BR_102.05 </w:t>
      </w:r>
      <w:r>
        <w:t xml:space="preserve">After </w:t>
      </w:r>
      <w:r w:rsidR="001A1C71">
        <w:t>a number of</w:t>
      </w:r>
      <w:r w:rsidR="00EB6924">
        <w:t xml:space="preserve"> </w:t>
      </w:r>
      <w:r w:rsidR="001A1C71">
        <w:t xml:space="preserve">unsuccessful attempts </w:t>
      </w:r>
      <w:r>
        <w:t xml:space="preserve">to log onto </w:t>
      </w:r>
      <w:r w:rsidR="00CA0045" w:rsidRPr="00CA0045">
        <w:t>VistA</w:t>
      </w:r>
      <w:r w:rsidR="001A1C71" w:rsidRPr="001A1C71">
        <w:t xml:space="preserve"> </w:t>
      </w:r>
      <w:r w:rsidR="001A1C71">
        <w:t>(defined in VistA server settings)</w:t>
      </w:r>
      <w:r>
        <w:t xml:space="preserve">, the </w:t>
      </w:r>
      <w:r w:rsidR="00CA0045" w:rsidRPr="00CA0045">
        <w:t>VistA</w:t>
      </w:r>
      <w:r>
        <w:t xml:space="preserve"> server terminates the logon session and displays a message prompting the user to log onto </w:t>
      </w:r>
      <w:r w:rsidR="00CA0045" w:rsidRPr="00CA0045">
        <w:t>VistA</w:t>
      </w:r>
      <w:r>
        <w:t xml:space="preserve"> again. </w:t>
      </w:r>
      <w:r w:rsidR="006464E3">
        <w:t xml:space="preserve">(Refer to </w:t>
      </w:r>
      <w:r w:rsidR="006464E3" w:rsidRPr="006464E3">
        <w:rPr>
          <w:i/>
          <w:iCs/>
        </w:rPr>
        <w:t>FAQ Proper Use of PIV Card with VBECS</w:t>
      </w:r>
      <w:r w:rsidR="006464E3">
        <w:t>.)</w:t>
      </w:r>
    </w:p>
    <w:p w14:paraId="40C4E31E" w14:textId="437C0589" w:rsidR="00F462A4" w:rsidRDefault="00F462A4" w:rsidP="00F462A4">
      <w:pPr>
        <w:pStyle w:val="ListBullet"/>
      </w:pPr>
      <w:r>
        <w:t>A user with multidivisional access privileges may change divisions during a VBECS session.</w:t>
      </w:r>
    </w:p>
    <w:p w14:paraId="5C49C851" w14:textId="77777777" w:rsidR="002C7ECA" w:rsidRDefault="001F56CA" w:rsidP="00F462A4">
      <w:pPr>
        <w:pStyle w:val="ListBullet"/>
      </w:pPr>
      <w:r w:rsidRPr="001F56CA">
        <w:rPr>
          <w:vanish/>
        </w:rPr>
        <w:t xml:space="preserve">BR_102.09 </w:t>
      </w:r>
      <w:r>
        <w:t>VBECS will attempt to resend queued DSS information when VistALink is available after any user logs in.</w:t>
      </w:r>
    </w:p>
    <w:p w14:paraId="1596C423" w14:textId="77777777" w:rsidR="002A21AE" w:rsidRDefault="002A21AE">
      <w:pPr>
        <w:pStyle w:val="Heading4"/>
        <w:rPr>
          <w:b w:val="0"/>
        </w:rPr>
      </w:pPr>
      <w:r>
        <w:t>User Roles with Access to This Option</w:t>
      </w:r>
      <w:r>
        <w:rPr>
          <w:b w:val="0"/>
        </w:rPr>
        <w:t xml:space="preserve"> </w:t>
      </w:r>
    </w:p>
    <w:p w14:paraId="53EF3E18" w14:textId="77777777" w:rsidR="002A21AE" w:rsidRDefault="00237C52">
      <w:pPr>
        <w:pStyle w:val="Roles"/>
      </w:pPr>
      <w:r>
        <w:t>All users</w:t>
      </w:r>
    </w:p>
    <w:p w14:paraId="1C2DEE38" w14:textId="31101690" w:rsidR="002A21AE" w:rsidRDefault="00A45793">
      <w:pPr>
        <w:pStyle w:val="Heading4"/>
      </w:pPr>
      <w:r>
        <w:t xml:space="preserve">Starting </w:t>
      </w:r>
      <w:r w:rsidR="002A21AE">
        <w:t>VBECS</w:t>
      </w:r>
    </w:p>
    <w:p w14:paraId="2E2027B5" w14:textId="26BA7A91" w:rsidR="00A45793" w:rsidRPr="00AC7CC7" w:rsidRDefault="00A45793" w:rsidP="005E6101">
      <w:pPr>
        <w:spacing w:before="60" w:after="120"/>
        <w:rPr>
          <w:spacing w:val="-5"/>
          <w:sz w:val="22"/>
          <w:szCs w:val="22"/>
        </w:rPr>
      </w:pPr>
      <w:r w:rsidRPr="00AC7CC7">
        <w:rPr>
          <w:spacing w:val="-5"/>
          <w:sz w:val="22"/>
          <w:szCs w:val="22"/>
        </w:rPr>
        <w:t xml:space="preserve">Before a user can start the VBECS software, they first need to connect to a VBECS server. Each blood bank will have two Remote Desktop shortcuts: one for accessing VBECS Test and one for accessing VBECS Production. Refer to the Remote Desktop section of the </w:t>
      </w:r>
      <w:r w:rsidRPr="00AC7CC7">
        <w:rPr>
          <w:i/>
          <w:iCs/>
          <w:spacing w:val="-5"/>
          <w:sz w:val="22"/>
          <w:szCs w:val="22"/>
        </w:rPr>
        <w:t>VBECS Technical Manual Security Guide</w:t>
      </w:r>
      <w:r w:rsidRPr="00AC7CC7">
        <w:rPr>
          <w:spacing w:val="-5"/>
          <w:sz w:val="22"/>
          <w:szCs w:val="22"/>
        </w:rPr>
        <w:t xml:space="preserve"> to learn more about what Remote Desktop is and how it works.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7FC926A" w14:textId="77777777">
        <w:trPr>
          <w:tblHeader/>
        </w:trPr>
        <w:tc>
          <w:tcPr>
            <w:tcW w:w="3330" w:type="dxa"/>
            <w:shd w:val="pct30" w:color="auto" w:fill="FFFFFF"/>
            <w:vAlign w:val="bottom"/>
          </w:tcPr>
          <w:p w14:paraId="2918A978" w14:textId="77777777" w:rsidR="002A21AE" w:rsidRDefault="002A21AE">
            <w:pPr>
              <w:pStyle w:val="TableText"/>
              <w:rPr>
                <w:b/>
              </w:rPr>
            </w:pPr>
            <w:r>
              <w:rPr>
                <w:b/>
              </w:rPr>
              <w:t>User Action</w:t>
            </w:r>
          </w:p>
        </w:tc>
        <w:tc>
          <w:tcPr>
            <w:tcW w:w="6138" w:type="dxa"/>
            <w:shd w:val="pct30" w:color="auto" w:fill="FFFFFF"/>
            <w:vAlign w:val="bottom"/>
          </w:tcPr>
          <w:p w14:paraId="322A333E" w14:textId="77777777" w:rsidR="002A21AE" w:rsidRDefault="002A21AE">
            <w:pPr>
              <w:pStyle w:val="TableText"/>
              <w:rPr>
                <w:b/>
              </w:rPr>
            </w:pPr>
            <w:r>
              <w:rPr>
                <w:b/>
              </w:rPr>
              <w:t>VBECS</w:t>
            </w:r>
          </w:p>
        </w:tc>
      </w:tr>
      <w:tr w:rsidR="002A21AE" w14:paraId="11767AD3" w14:textId="77777777">
        <w:trPr>
          <w:trHeight w:val="782"/>
        </w:trPr>
        <w:tc>
          <w:tcPr>
            <w:tcW w:w="3330" w:type="dxa"/>
          </w:tcPr>
          <w:p w14:paraId="6F86044D" w14:textId="7FF26511" w:rsidR="00775C2B" w:rsidRDefault="00A45793" w:rsidP="003E663B">
            <w:pPr>
              <w:pStyle w:val="TableTextNumbers"/>
            </w:pPr>
            <w:r>
              <w:t xml:space="preserve">Once connected to a VBECS server </w:t>
            </w:r>
            <w:r w:rsidR="00751EFD">
              <w:t>via</w:t>
            </w:r>
            <w:r>
              <w:t xml:space="preserve"> Remote Desktop, click on the </w:t>
            </w:r>
            <w:r w:rsidRPr="003E663B">
              <w:rPr>
                <w:b/>
                <w:bCs/>
              </w:rPr>
              <w:t>VBECS</w:t>
            </w:r>
            <w:r>
              <w:t xml:space="preserve"> icon to start the VBECS software.</w:t>
            </w:r>
          </w:p>
        </w:tc>
        <w:tc>
          <w:tcPr>
            <w:tcW w:w="6138" w:type="dxa"/>
          </w:tcPr>
          <w:p w14:paraId="05A5A133" w14:textId="77777777" w:rsidR="00A45793" w:rsidRDefault="00A45793" w:rsidP="00A45793">
            <w:pPr>
              <w:pStyle w:val="TableTextBullet"/>
            </w:pPr>
            <w:r>
              <w:t>Displays the Select Division screen when the user has access privileges to multiple divisions in a single VBECS installation.</w:t>
            </w:r>
          </w:p>
          <w:p w14:paraId="3E25E39D" w14:textId="77777777" w:rsidR="00A45793" w:rsidRDefault="00A45793" w:rsidP="00A45793">
            <w:pPr>
              <w:pStyle w:val="TableText"/>
            </w:pPr>
          </w:p>
          <w:p w14:paraId="4E99DFD1" w14:textId="77777777" w:rsidR="00A45793" w:rsidRDefault="00A45793" w:rsidP="00A45793">
            <w:pPr>
              <w:pStyle w:val="TableText"/>
              <w:rPr>
                <w:b/>
                <w:bCs/>
                <w:szCs w:val="18"/>
              </w:rPr>
            </w:pPr>
            <w:r>
              <w:rPr>
                <w:b/>
                <w:bCs/>
                <w:szCs w:val="18"/>
              </w:rPr>
              <w:t>NOTES</w:t>
            </w:r>
          </w:p>
          <w:p w14:paraId="002C3058" w14:textId="77777777" w:rsidR="00A45793" w:rsidRDefault="00A45793" w:rsidP="00A45793">
            <w:pPr>
              <w:pStyle w:val="NotesText"/>
            </w:pPr>
          </w:p>
          <w:p w14:paraId="035FE8E6" w14:textId="67E54099" w:rsidR="00ED7401" w:rsidRDefault="00A45793" w:rsidP="008C2617">
            <w:pPr>
              <w:pStyle w:val="NotesText"/>
            </w:pPr>
            <w:r w:rsidRPr="00E274BF">
              <w:rPr>
                <w:rFonts w:cs="Arial"/>
                <w:vanish/>
                <w:szCs w:val="18"/>
              </w:rPr>
              <w:t>BR_18.08</w:t>
            </w:r>
            <w:r>
              <w:rPr>
                <w:rFonts w:ascii="Times New Roman" w:hAnsi="Times New Roman"/>
                <w:vanish/>
                <w:sz w:val="22"/>
              </w:rPr>
              <w:t xml:space="preserve"> </w:t>
            </w:r>
            <w:r>
              <w:t>A user may exit without logging into a division.</w:t>
            </w:r>
          </w:p>
        </w:tc>
      </w:tr>
      <w:tr w:rsidR="002A21AE" w14:paraId="03DB2C6E" w14:textId="77777777">
        <w:tc>
          <w:tcPr>
            <w:tcW w:w="3330" w:type="dxa"/>
          </w:tcPr>
          <w:p w14:paraId="0B46250C" w14:textId="65DC8188" w:rsidR="002A5604" w:rsidRDefault="002A5604" w:rsidP="002F5BFE">
            <w:pPr>
              <w:pStyle w:val="TableTextNumbers"/>
            </w:pPr>
            <w:r>
              <w:t>Mult</w:t>
            </w:r>
            <w:r w:rsidR="00BD31FB">
              <w:t>i</w:t>
            </w:r>
            <w:r>
              <w:t>division</w:t>
            </w:r>
            <w:r w:rsidR="00BD31FB">
              <w:t>al</w:t>
            </w:r>
            <w:r>
              <w:t xml:space="preserve"> users will be prompted to s</w:t>
            </w:r>
            <w:r w:rsidR="002A21AE">
              <w:t xml:space="preserve">elect a division from the </w:t>
            </w:r>
            <w:r w:rsidR="002A21AE">
              <w:rPr>
                <w:b/>
              </w:rPr>
              <w:t>Select Division</w:t>
            </w:r>
            <w:r w:rsidR="002A21AE">
              <w:t xml:space="preserve"> list and click </w:t>
            </w:r>
            <w:r w:rsidR="002A21AE">
              <w:rPr>
                <w:b/>
              </w:rPr>
              <w:t>OK</w:t>
            </w:r>
            <w:r w:rsidR="003814BF">
              <w:rPr>
                <w:bCs/>
              </w:rPr>
              <w:t>, or double-</w:t>
            </w:r>
            <w:r w:rsidR="002A21AE">
              <w:rPr>
                <w:bCs/>
              </w:rPr>
              <w:t>click the division</w:t>
            </w:r>
            <w:r w:rsidR="002F5BFE">
              <w:rPr>
                <w:bCs/>
              </w:rPr>
              <w:t xml:space="preserve"> (</w:t>
            </w:r>
            <w:r w:rsidR="00EE455E">
              <w:t xml:space="preserve">Figure </w:t>
            </w:r>
            <w:r w:rsidR="00EE455E">
              <w:rPr>
                <w:noProof/>
              </w:rPr>
              <w:t>15</w:t>
            </w:r>
            <w:r w:rsidR="002F5BFE">
              <w:rPr>
                <w:bCs/>
              </w:rPr>
              <w:t>)</w:t>
            </w:r>
            <w:r w:rsidR="007710C5">
              <w:rPr>
                <w:bCs/>
              </w:rPr>
              <w:t>.</w:t>
            </w:r>
          </w:p>
        </w:tc>
        <w:tc>
          <w:tcPr>
            <w:tcW w:w="6138" w:type="dxa"/>
          </w:tcPr>
          <w:p w14:paraId="1D080093" w14:textId="77777777" w:rsidR="007710C5" w:rsidRDefault="000925E5" w:rsidP="007710C5">
            <w:pPr>
              <w:pStyle w:val="TableTextBullet"/>
            </w:pPr>
            <w:r w:rsidRPr="000925E5">
              <w:rPr>
                <w:vanish/>
              </w:rPr>
              <w:t xml:space="preserve">BR_18.10 </w:t>
            </w:r>
            <w:r w:rsidRPr="006B6C5C">
              <w:t xml:space="preserve">Displays an </w:t>
            </w:r>
            <w:r w:rsidRPr="00A942EB">
              <w:t xml:space="preserve">error message to the user when </w:t>
            </w:r>
            <w:r>
              <w:t>logging</w:t>
            </w:r>
            <w:r w:rsidRPr="00A942EB">
              <w:t xml:space="preserve"> into </w:t>
            </w:r>
            <w:r w:rsidR="006B6C5C">
              <w:t>VBECS</w:t>
            </w:r>
            <w:r w:rsidRPr="00A942EB">
              <w:t>, or switch</w:t>
            </w:r>
            <w:r>
              <w:t>ing</w:t>
            </w:r>
            <w:r w:rsidRPr="00A942EB">
              <w:t xml:space="preserve"> divisions, </w:t>
            </w:r>
            <w:r>
              <w:t xml:space="preserve">if the default printer </w:t>
            </w:r>
            <w:r w:rsidR="00842346">
              <w:t xml:space="preserve">for the division </w:t>
            </w:r>
            <w:r>
              <w:t>was removed.</w:t>
            </w:r>
            <w:r w:rsidR="009D459D" w:rsidRPr="009D459D">
              <w:rPr>
                <w:vanish/>
              </w:rPr>
              <w:t>DR 2,884</w:t>
            </w:r>
          </w:p>
          <w:p w14:paraId="570AB841" w14:textId="77777777" w:rsidR="007710C5" w:rsidRDefault="007710C5" w:rsidP="007710C5">
            <w:pPr>
              <w:pStyle w:val="TableTextBullet"/>
            </w:pPr>
            <w:r>
              <w:t>Displays a division login message.</w:t>
            </w:r>
          </w:p>
          <w:p w14:paraId="514B7FF0" w14:textId="77777777" w:rsidR="000925E5" w:rsidRDefault="000925E5" w:rsidP="000925E5">
            <w:pPr>
              <w:pStyle w:val="TableTextBullet"/>
              <w:numPr>
                <w:ilvl w:val="0"/>
                <w:numId w:val="0"/>
              </w:numPr>
            </w:pPr>
          </w:p>
          <w:p w14:paraId="5877EA5C" w14:textId="563C49FA" w:rsidR="002A21AE" w:rsidRDefault="002A21AE">
            <w:pPr>
              <w:pStyle w:val="TableText"/>
              <w:rPr>
                <w:b/>
                <w:bCs/>
                <w:szCs w:val="18"/>
              </w:rPr>
            </w:pPr>
            <w:r>
              <w:rPr>
                <w:b/>
                <w:bCs/>
                <w:szCs w:val="18"/>
              </w:rPr>
              <w:t>NOTES</w:t>
            </w:r>
          </w:p>
          <w:p w14:paraId="0B66B2E7" w14:textId="77777777" w:rsidR="002A21AE" w:rsidRDefault="002A21AE">
            <w:pPr>
              <w:pStyle w:val="NotesText"/>
            </w:pPr>
          </w:p>
          <w:p w14:paraId="7DE9F579" w14:textId="77777777" w:rsidR="002A21AE" w:rsidRDefault="002A21AE">
            <w:pPr>
              <w:pStyle w:val="NotesText"/>
            </w:pPr>
            <w:r>
              <w:t>When VBECS is started, the user may have access to more than one division.</w:t>
            </w:r>
          </w:p>
          <w:p w14:paraId="137B0D95" w14:textId="77777777" w:rsidR="007710C5" w:rsidRDefault="007710C5">
            <w:pPr>
              <w:pStyle w:val="NotesText"/>
            </w:pPr>
          </w:p>
          <w:p w14:paraId="72C4D2E2" w14:textId="77777777" w:rsidR="007710C5" w:rsidRDefault="007710C5">
            <w:pPr>
              <w:pStyle w:val="NotesText"/>
            </w:pPr>
            <w:r>
              <w:t>The division login message allows the display of data as each user logs into his division. When no login message text is entered, VBECS does not display a login message.</w:t>
            </w:r>
          </w:p>
        </w:tc>
      </w:tr>
      <w:tr w:rsidR="002A21AE" w14:paraId="036BE9C8" w14:textId="77777777">
        <w:tc>
          <w:tcPr>
            <w:tcW w:w="3330" w:type="dxa"/>
          </w:tcPr>
          <w:p w14:paraId="72F8F498" w14:textId="2F211678" w:rsidR="00133C6C" w:rsidRDefault="00133C6C" w:rsidP="003E663B">
            <w:pPr>
              <w:pStyle w:val="TableTextNumbers"/>
              <w:numPr>
                <w:ilvl w:val="0"/>
                <w:numId w:val="0"/>
              </w:numPr>
              <w:ind w:left="288" w:hanging="288"/>
            </w:pPr>
            <w:r>
              <w:t>*If the user is using PIV</w:t>
            </w:r>
            <w:r w:rsidRPr="00812458">
              <w:rPr>
                <w:vanish/>
              </w:rPr>
              <w:t xml:space="preserve"> Task 561381</w:t>
            </w:r>
            <w:r>
              <w:t xml:space="preserve"> credentials</w:t>
            </w:r>
          </w:p>
          <w:p w14:paraId="3D44E334" w14:textId="53CC6101" w:rsidR="00133C6C" w:rsidRDefault="00133C6C">
            <w:pPr>
              <w:pStyle w:val="TableTextNumbers"/>
              <w:numPr>
                <w:ilvl w:val="0"/>
                <w:numId w:val="0"/>
              </w:numPr>
            </w:pPr>
            <w:r>
              <w:t>and the IAM authentication broker service is running.</w:t>
            </w:r>
          </w:p>
          <w:p w14:paraId="0ED8E19D" w14:textId="77777777" w:rsidR="00133C6C" w:rsidRDefault="00133C6C" w:rsidP="00133C6C">
            <w:pPr>
              <w:pStyle w:val="TableTextNumbers"/>
              <w:numPr>
                <w:ilvl w:val="0"/>
                <w:numId w:val="0"/>
              </w:numPr>
              <w:ind w:left="288"/>
            </w:pPr>
          </w:p>
          <w:p w14:paraId="52D94732" w14:textId="4BCE659A" w:rsidR="00133C6C" w:rsidRDefault="00133C6C">
            <w:pPr>
              <w:pStyle w:val="TableTextNumbers"/>
            </w:pPr>
            <w:r>
              <w:t>The user enters their PIV PIN when prompted.</w:t>
            </w:r>
          </w:p>
          <w:p w14:paraId="2F1A7BAE" w14:textId="54C4C8EE" w:rsidR="002A21AE" w:rsidRDefault="002A21AE" w:rsidP="003E663B">
            <w:pPr>
              <w:pStyle w:val="TableTextNumbers"/>
              <w:numPr>
                <w:ilvl w:val="0"/>
                <w:numId w:val="0"/>
              </w:numPr>
              <w:ind w:left="288"/>
            </w:pPr>
          </w:p>
        </w:tc>
        <w:tc>
          <w:tcPr>
            <w:tcW w:w="6138" w:type="dxa"/>
          </w:tcPr>
          <w:p w14:paraId="4120BAB8" w14:textId="1C5D31C6" w:rsidR="00751EFD" w:rsidRDefault="00751EFD">
            <w:pPr>
              <w:pStyle w:val="TableTextBullet"/>
            </w:pPr>
            <w:r>
              <w:t xml:space="preserve">VBECS will attempt to automatically select the user’s PIV certificate. </w:t>
            </w:r>
          </w:p>
          <w:p w14:paraId="44D106E3" w14:textId="0BD7817B" w:rsidR="00751EFD" w:rsidRDefault="00751EFD" w:rsidP="00751EFD">
            <w:pPr>
              <w:pStyle w:val="TableTextBullet"/>
              <w:numPr>
                <w:ilvl w:val="0"/>
                <w:numId w:val="0"/>
              </w:numPr>
              <w:ind w:left="288"/>
            </w:pPr>
            <w:r>
              <w:t xml:space="preserve">If successful, the user will be prompted </w:t>
            </w:r>
            <w:r w:rsidR="00133C6C">
              <w:t>with a PIN-entry window</w:t>
            </w:r>
            <w:r>
              <w:t>.</w:t>
            </w:r>
          </w:p>
          <w:p w14:paraId="7947B40E" w14:textId="1135DE80" w:rsidR="00751EFD" w:rsidRDefault="00751EFD" w:rsidP="008C2617">
            <w:pPr>
              <w:pStyle w:val="TableTextBullet"/>
            </w:pPr>
            <w:r>
              <w:t xml:space="preserve">If </w:t>
            </w:r>
            <w:r w:rsidR="00133C6C">
              <w:t>VBECS fails to automatically select the user’s PIV certificate, the user will be presented with a certificate list, where they should select their most current “Authentication” certificate to proceed.</w:t>
            </w:r>
          </w:p>
          <w:p w14:paraId="7CA4F1C4" w14:textId="77777777" w:rsidR="00751EFD" w:rsidRDefault="00751EFD" w:rsidP="003E663B">
            <w:pPr>
              <w:pStyle w:val="TableTextBullet"/>
              <w:numPr>
                <w:ilvl w:val="0"/>
                <w:numId w:val="0"/>
              </w:numPr>
              <w:ind w:left="1008"/>
            </w:pPr>
          </w:p>
          <w:p w14:paraId="1DB2B5B2" w14:textId="329C171A" w:rsidR="00D40E35" w:rsidRDefault="002A21AE">
            <w:pPr>
              <w:pStyle w:val="TableText"/>
              <w:rPr>
                <w:b/>
                <w:bCs/>
                <w:szCs w:val="18"/>
              </w:rPr>
            </w:pPr>
            <w:r>
              <w:rPr>
                <w:b/>
                <w:bCs/>
                <w:szCs w:val="18"/>
              </w:rPr>
              <w:t>NOTES</w:t>
            </w:r>
          </w:p>
          <w:p w14:paraId="38CC5E42" w14:textId="60C40B38" w:rsidR="00133C6C" w:rsidRDefault="00133C6C" w:rsidP="0078056E">
            <w:pPr>
              <w:pStyle w:val="NotesText"/>
              <w:rPr>
                <w:rFonts w:cs="Arial"/>
                <w:szCs w:val="18"/>
              </w:rPr>
            </w:pPr>
            <w:r>
              <w:rPr>
                <w:rFonts w:cs="Arial"/>
                <w:szCs w:val="18"/>
              </w:rPr>
              <w:lastRenderedPageBreak/>
              <w:t xml:space="preserve">If the user cancels out of the PIN-entry window or the certificate selection window, VBECS continues with </w:t>
            </w:r>
            <w:r w:rsidR="00BD31FB">
              <w:rPr>
                <w:rFonts w:cs="Arial"/>
                <w:szCs w:val="18"/>
              </w:rPr>
              <w:t>S</w:t>
            </w:r>
            <w:r>
              <w:rPr>
                <w:rFonts w:cs="Arial"/>
                <w:szCs w:val="18"/>
              </w:rPr>
              <w:t>tep 4.</w:t>
            </w:r>
          </w:p>
          <w:p w14:paraId="73639661" w14:textId="77777777" w:rsidR="00133C6C" w:rsidRDefault="00133C6C" w:rsidP="0078056E">
            <w:pPr>
              <w:pStyle w:val="NotesText"/>
              <w:rPr>
                <w:rFonts w:cs="Arial"/>
                <w:szCs w:val="18"/>
              </w:rPr>
            </w:pPr>
          </w:p>
          <w:p w14:paraId="2AB92121" w14:textId="094C493A" w:rsidR="00133C6C" w:rsidRDefault="00133C6C" w:rsidP="0078056E">
            <w:pPr>
              <w:pStyle w:val="NotesText"/>
              <w:rPr>
                <w:rFonts w:cs="Arial"/>
                <w:szCs w:val="18"/>
              </w:rPr>
            </w:pPr>
            <w:r>
              <w:rPr>
                <w:rFonts w:cs="Arial"/>
                <w:szCs w:val="18"/>
              </w:rPr>
              <w:t xml:space="preserve">If the IAM authentication broker service is down, or the user’s PIV card is not inserted in the workstation, VBECS continues with </w:t>
            </w:r>
            <w:r w:rsidR="00BD31FB">
              <w:rPr>
                <w:rFonts w:cs="Arial"/>
                <w:szCs w:val="18"/>
              </w:rPr>
              <w:t>S</w:t>
            </w:r>
            <w:r>
              <w:rPr>
                <w:rFonts w:cs="Arial"/>
                <w:szCs w:val="18"/>
              </w:rPr>
              <w:t>tep 4.</w:t>
            </w:r>
          </w:p>
          <w:p w14:paraId="46ED2802" w14:textId="77777777" w:rsidR="0078056E" w:rsidRDefault="0078056E" w:rsidP="0078056E">
            <w:pPr>
              <w:pStyle w:val="NotesText"/>
            </w:pPr>
          </w:p>
          <w:p w14:paraId="1DBD9DC1" w14:textId="4EA1DE9B" w:rsidR="00EA658D" w:rsidRDefault="00DE61D9" w:rsidP="00DE61D9">
            <w:pPr>
              <w:pStyle w:val="NotesText"/>
            </w:pPr>
            <w:r w:rsidRPr="00DE61D9">
              <w:rPr>
                <w:vanish/>
              </w:rPr>
              <w:t xml:space="preserve">DR 1,116 </w:t>
            </w:r>
            <w:r w:rsidR="00080078">
              <w:t xml:space="preserve">When a user logs into VBECS, </w:t>
            </w:r>
            <w:r w:rsidR="00EA658D">
              <w:t xml:space="preserve">a </w:t>
            </w:r>
            <w:r w:rsidR="00080078">
              <w:t>connection to VistA is established</w:t>
            </w:r>
            <w:r w:rsidR="00EA658D">
              <w:t>.</w:t>
            </w:r>
          </w:p>
          <w:p w14:paraId="32E5C46A" w14:textId="77777777" w:rsidR="00BD31FB" w:rsidRDefault="00BD31FB" w:rsidP="00DE61D9">
            <w:pPr>
              <w:pStyle w:val="NotesText"/>
            </w:pPr>
          </w:p>
          <w:p w14:paraId="1324BCCE" w14:textId="0F99D347" w:rsidR="00080078" w:rsidRPr="00DE61D9" w:rsidRDefault="00EA658D" w:rsidP="00DE61D9">
            <w:pPr>
              <w:pStyle w:val="NotesText"/>
            </w:pPr>
            <w:r>
              <w:rPr>
                <w:vanish/>
              </w:rPr>
              <w:t>Bhein dbe</w:t>
            </w:r>
            <w:r>
              <w:t xml:space="preserve">Behind the scenes, VBECS refreshes its VistA </w:t>
            </w:r>
            <w:r w:rsidR="00770D97">
              <w:t xml:space="preserve">data </w:t>
            </w:r>
            <w:r>
              <w:t>cache data if 24 h</w:t>
            </w:r>
            <w:r w:rsidR="00BD31FB">
              <w:t>our</w:t>
            </w:r>
            <w:r>
              <w:t>s have passed since they were last refreshed.</w:t>
            </w:r>
            <w:r w:rsidR="00DE61D9">
              <w:t xml:space="preserve"> </w:t>
            </w:r>
          </w:p>
        </w:tc>
      </w:tr>
      <w:tr w:rsidR="002A21AE" w14:paraId="2796BCA8" w14:textId="77777777" w:rsidTr="007E500E">
        <w:trPr>
          <w:cantSplit/>
        </w:trPr>
        <w:tc>
          <w:tcPr>
            <w:tcW w:w="3330" w:type="dxa"/>
          </w:tcPr>
          <w:p w14:paraId="5DF440F2" w14:textId="37B22241" w:rsidR="002A21AE" w:rsidRDefault="007B7F36" w:rsidP="00D00478">
            <w:pPr>
              <w:pStyle w:val="TableTextNumbers"/>
            </w:pPr>
            <w:r>
              <w:lastRenderedPageBreak/>
              <w:t>Enter the VistA Ac</w:t>
            </w:r>
            <w:r w:rsidR="002F5BFE">
              <w:t>cess and Verify Codes (</w:t>
            </w:r>
            <w:r w:rsidR="00EE455E">
              <w:t xml:space="preserve">Figure </w:t>
            </w:r>
            <w:r w:rsidR="00EE455E">
              <w:rPr>
                <w:noProof/>
              </w:rPr>
              <w:t>16</w:t>
            </w:r>
            <w:r>
              <w:t>)</w:t>
            </w:r>
            <w:r w:rsidR="002A21AE">
              <w:t>.</w:t>
            </w:r>
          </w:p>
        </w:tc>
        <w:tc>
          <w:tcPr>
            <w:tcW w:w="6138" w:type="dxa"/>
          </w:tcPr>
          <w:p w14:paraId="7E6C72F4" w14:textId="7E2867AA" w:rsidR="007B7F36" w:rsidRDefault="002A21AE" w:rsidP="007B7F36">
            <w:pPr>
              <w:pStyle w:val="TableTextBullet"/>
            </w:pPr>
            <w:r w:rsidRPr="00E274BF">
              <w:rPr>
                <w:rFonts w:cs="Arial"/>
                <w:vanish/>
                <w:szCs w:val="18"/>
              </w:rPr>
              <w:t>BR_102.06</w:t>
            </w:r>
            <w:r>
              <w:rPr>
                <w:rFonts w:ascii="Times New Roman" w:hAnsi="Times New Roman"/>
                <w:vanish/>
                <w:sz w:val="22"/>
              </w:rPr>
              <w:t xml:space="preserve"> </w:t>
            </w:r>
            <w:r w:rsidR="007B7F36">
              <w:t xml:space="preserve">Allows a user to log on by entering </w:t>
            </w:r>
            <w:r w:rsidR="007B7F36" w:rsidRPr="00CA0045">
              <w:rPr>
                <w:bCs/>
              </w:rPr>
              <w:t>VistA</w:t>
            </w:r>
            <w:r w:rsidR="007B7F36">
              <w:t xml:space="preserve"> Access and Verify Codes, </w:t>
            </w:r>
            <w:r w:rsidR="00770D97">
              <w:t xml:space="preserve">OR both </w:t>
            </w:r>
            <w:r w:rsidR="007B7F36">
              <w:t>separated by a semicolon (;), in the Access Code data entry field.</w:t>
            </w:r>
          </w:p>
          <w:p w14:paraId="21830230" w14:textId="2081E0A1" w:rsidR="007B7F36" w:rsidRPr="001F5982" w:rsidRDefault="007B7F36" w:rsidP="007B7F36">
            <w:pPr>
              <w:pStyle w:val="TableTextBullet"/>
              <w:rPr>
                <w:szCs w:val="20"/>
              </w:rPr>
            </w:pPr>
            <w:r w:rsidRPr="00E274BF">
              <w:rPr>
                <w:rFonts w:cs="Arial"/>
                <w:vanish/>
                <w:szCs w:val="18"/>
              </w:rPr>
              <w:t>BR_102.02</w:t>
            </w:r>
            <w:r>
              <w:rPr>
                <w:rFonts w:ascii="Times New Roman" w:hAnsi="Times New Roman"/>
                <w:vanish/>
                <w:sz w:val="22"/>
              </w:rPr>
              <w:t xml:space="preserve"> </w:t>
            </w:r>
            <w:r>
              <w:t>Verifies that the user</w:t>
            </w:r>
            <w:r w:rsidR="00BD31FB">
              <w:t>’s</w:t>
            </w:r>
            <w:r>
              <w:t xml:space="preserve"> credentials for the VBECS and </w:t>
            </w:r>
            <w:r w:rsidRPr="00CA0045">
              <w:rPr>
                <w:bCs/>
              </w:rPr>
              <w:t>VistA</w:t>
            </w:r>
            <w:r>
              <w:t xml:space="preserve"> Access and Verify Codes belong to the same user.</w:t>
            </w:r>
          </w:p>
          <w:p w14:paraId="39F7B58B" w14:textId="77777777" w:rsidR="002A21AE" w:rsidRDefault="007B7F36" w:rsidP="00FB7B1E">
            <w:pPr>
              <w:pStyle w:val="TableTextBullet"/>
            </w:pPr>
            <w:r w:rsidRPr="007B7F36">
              <w:t>Emits a tone to verify that the workstation’s sound works.</w:t>
            </w:r>
          </w:p>
          <w:p w14:paraId="6EFC619F" w14:textId="77777777" w:rsidR="002E5493" w:rsidRDefault="002E5493" w:rsidP="002E5493">
            <w:pPr>
              <w:pStyle w:val="TableTextBullet"/>
              <w:numPr>
                <w:ilvl w:val="0"/>
                <w:numId w:val="0"/>
              </w:numPr>
              <w:ind w:left="288" w:hanging="288"/>
            </w:pPr>
          </w:p>
          <w:p w14:paraId="6339FF94" w14:textId="26085DB8" w:rsidR="002E5493" w:rsidRDefault="002E5493" w:rsidP="002E5493">
            <w:pPr>
              <w:pStyle w:val="TableText"/>
              <w:rPr>
                <w:b/>
                <w:bCs/>
                <w:szCs w:val="18"/>
              </w:rPr>
            </w:pPr>
            <w:r>
              <w:rPr>
                <w:b/>
                <w:bCs/>
                <w:szCs w:val="18"/>
              </w:rPr>
              <w:t>NOTES</w:t>
            </w:r>
          </w:p>
          <w:p w14:paraId="430EC37B" w14:textId="77777777" w:rsidR="002E5493" w:rsidRDefault="002E5493" w:rsidP="002E5493">
            <w:pPr>
              <w:pStyle w:val="TableTextBullet"/>
              <w:numPr>
                <w:ilvl w:val="0"/>
                <w:numId w:val="0"/>
              </w:numPr>
              <w:ind w:left="288" w:hanging="288"/>
            </w:pPr>
          </w:p>
          <w:p w14:paraId="286E230C" w14:textId="77777777" w:rsidR="002E5493" w:rsidRDefault="004A7A55" w:rsidP="002E5493">
            <w:pPr>
              <w:pStyle w:val="NotesText"/>
            </w:pPr>
            <w:r w:rsidRPr="004A7A55">
              <w:rPr>
                <w:vanish/>
              </w:rPr>
              <w:t xml:space="preserve">BR_102.02 </w:t>
            </w:r>
            <w:r w:rsidR="002E5493">
              <w:t>The VBECS user must have his own VistA Access and Verify Codes when accessing VistA. The system will not allow the user to log onto VistA if his DUZ in the VBECS database does not match the user’s DUZ in VistA.</w:t>
            </w:r>
          </w:p>
          <w:p w14:paraId="24434346" w14:textId="77777777" w:rsidR="002E5493" w:rsidRDefault="002E5493" w:rsidP="002E5493">
            <w:pPr>
              <w:pStyle w:val="NotesText"/>
            </w:pPr>
          </w:p>
          <w:p w14:paraId="4378ABF2" w14:textId="67A21B2A" w:rsidR="002E5493" w:rsidRDefault="004A7A55" w:rsidP="004A7A55">
            <w:pPr>
              <w:pStyle w:val="NotesText"/>
            </w:pPr>
            <w:r w:rsidRPr="004A7A55">
              <w:rPr>
                <w:vanish/>
              </w:rPr>
              <w:t xml:space="preserve">BR_102.01 </w:t>
            </w:r>
            <w:r w:rsidR="002E5493">
              <w:t>The user will log onto VistA by entering VistA Access and Verify Codes if the system is reconfigured during this session (</w:t>
            </w:r>
            <w:r w:rsidR="00BD31FB">
              <w:t>e.g.,</w:t>
            </w:r>
            <w:r w:rsidR="002E5493">
              <w:t xml:space="preserve"> VistALink dropout and recovery, division change) and subsequently requires a </w:t>
            </w:r>
            <w:r w:rsidR="006464E3">
              <w:t xml:space="preserve">logoff </w:t>
            </w:r>
            <w:r w:rsidR="002E5493">
              <w:t>or logon to VistA</w:t>
            </w:r>
            <w:r>
              <w:t>.</w:t>
            </w:r>
          </w:p>
          <w:p w14:paraId="076942C0" w14:textId="77777777" w:rsidR="00606853" w:rsidRDefault="00606853" w:rsidP="004A7A55">
            <w:pPr>
              <w:pStyle w:val="NotesText"/>
            </w:pPr>
          </w:p>
          <w:p w14:paraId="6C327F70" w14:textId="00B48130" w:rsidR="00606853" w:rsidRDefault="00606853" w:rsidP="004A7A55">
            <w:pPr>
              <w:pStyle w:val="NotesText"/>
            </w:pPr>
            <w:r w:rsidRPr="00606853">
              <w:rPr>
                <w:vanish/>
              </w:rPr>
              <w:t xml:space="preserve">BR_102.14 </w:t>
            </w:r>
            <w:r>
              <w:t>The system will</w:t>
            </w:r>
            <w:r w:rsidRPr="00EC1CAE">
              <w:t xml:space="preserve"> </w:t>
            </w:r>
            <w:r>
              <w:t xml:space="preserve">prompt </w:t>
            </w:r>
            <w:r w:rsidR="00BD31FB">
              <w:t xml:space="preserve">the </w:t>
            </w:r>
            <w:r>
              <w:t xml:space="preserve">user to enter </w:t>
            </w:r>
            <w:r w:rsidR="00BD31FB">
              <w:t xml:space="preserve">a </w:t>
            </w:r>
            <w:r>
              <w:t>current Verify Code, the new Verify Code and a confirmation for a new Verify Code.</w:t>
            </w:r>
          </w:p>
          <w:p w14:paraId="684FD4A9" w14:textId="77777777" w:rsidR="001B2CBA" w:rsidRDefault="001B2CBA" w:rsidP="004A7A55">
            <w:pPr>
              <w:pStyle w:val="NotesText"/>
            </w:pPr>
          </w:p>
          <w:p w14:paraId="599E43AA" w14:textId="77777777" w:rsidR="001B2CBA" w:rsidRDefault="001B2CBA" w:rsidP="004A7A55">
            <w:pPr>
              <w:pStyle w:val="NotesText"/>
            </w:pPr>
            <w:r w:rsidRPr="001B2CBA">
              <w:rPr>
                <w:vanish/>
              </w:rPr>
              <w:t xml:space="preserve">BR_102.07 </w:t>
            </w:r>
            <w:r>
              <w:t>When a Verify Code is changed, the system must check that the new code is different from the currently used Verify Code.</w:t>
            </w:r>
          </w:p>
        </w:tc>
      </w:tr>
      <w:tr w:rsidR="002A21AE" w14:paraId="34589975" w14:textId="77777777">
        <w:tc>
          <w:tcPr>
            <w:tcW w:w="3330" w:type="dxa"/>
          </w:tcPr>
          <w:p w14:paraId="5CD04216" w14:textId="77777777" w:rsidR="002A21AE" w:rsidRDefault="002A21AE">
            <w:pPr>
              <w:pStyle w:val="TableTextNumbers"/>
            </w:pPr>
            <w:r>
              <w:t>Continue working in VBECS in the selected division.</w:t>
            </w:r>
          </w:p>
        </w:tc>
        <w:tc>
          <w:tcPr>
            <w:tcW w:w="6138" w:type="dxa"/>
          </w:tcPr>
          <w:p w14:paraId="3C8423A7" w14:textId="77777777" w:rsidR="002A21AE" w:rsidRDefault="002A21AE">
            <w:pPr>
              <w:pStyle w:val="TableTextBullet"/>
            </w:pPr>
            <w:r>
              <w:t>Displays the main menu.</w:t>
            </w:r>
          </w:p>
        </w:tc>
      </w:tr>
      <w:tr w:rsidR="002A21AE" w14:paraId="596F5105" w14:textId="77777777">
        <w:tc>
          <w:tcPr>
            <w:tcW w:w="3330" w:type="dxa"/>
          </w:tcPr>
          <w:p w14:paraId="4603E489" w14:textId="318D5E6A" w:rsidR="002A21AE" w:rsidRDefault="00CA4C8E">
            <w:pPr>
              <w:pStyle w:val="TableTextNumbers"/>
            </w:pPr>
            <w:r>
              <w:t>Users with multidivisional access: t</w:t>
            </w:r>
            <w:r w:rsidR="002A21AE">
              <w:t xml:space="preserve">o change division, select </w:t>
            </w:r>
            <w:r w:rsidR="002A21AE">
              <w:rPr>
                <w:b/>
              </w:rPr>
              <w:t>File</w:t>
            </w:r>
            <w:r w:rsidR="002A21AE">
              <w:t xml:space="preserve">. </w:t>
            </w:r>
          </w:p>
          <w:p w14:paraId="1E633D1B" w14:textId="77777777" w:rsidR="002A21AE" w:rsidRDefault="002A21AE">
            <w:pPr>
              <w:pStyle w:val="TableTextNumbersContinued"/>
            </w:pPr>
          </w:p>
          <w:p w14:paraId="602BE669" w14:textId="77777777" w:rsidR="002A21AE" w:rsidRDefault="002A21AE">
            <w:pPr>
              <w:pStyle w:val="TableTextNumbersContinued"/>
            </w:pPr>
            <w:r>
              <w:t xml:space="preserve">Select </w:t>
            </w:r>
            <w:r>
              <w:rPr>
                <w:b/>
              </w:rPr>
              <w:t>Change Division</w:t>
            </w:r>
            <w:r>
              <w:t>.</w:t>
            </w:r>
          </w:p>
          <w:p w14:paraId="0F332D6E" w14:textId="77777777" w:rsidR="002A21AE" w:rsidRDefault="002A21AE">
            <w:pPr>
              <w:pStyle w:val="TableTextNumbersContinued"/>
            </w:pPr>
          </w:p>
          <w:p w14:paraId="39627BED" w14:textId="77777777" w:rsidR="002A21AE" w:rsidRDefault="00F876CD">
            <w:pPr>
              <w:pStyle w:val="TableTextNumbersContinued"/>
            </w:pPr>
            <w:r>
              <w:t>Continue at Step 6</w:t>
            </w:r>
            <w:r w:rsidR="002A21AE">
              <w:t>.</w:t>
            </w:r>
            <w:r w:rsidR="00282A20">
              <w:rPr>
                <w:vanish/>
                <w:color w:val="FFFFFF"/>
                <w:szCs w:val="18"/>
              </w:rPr>
              <w:fldChar w:fldCharType="begin"/>
            </w:r>
            <w:r w:rsidR="00282A20">
              <w:rPr>
                <w:vanish/>
                <w:color w:val="FFFFFF"/>
                <w:szCs w:val="18"/>
              </w:rPr>
              <w:instrText xml:space="preserve"> LISTNUM \l 1 \s 0 </w:instrText>
            </w:r>
            <w:r w:rsidR="00282A20">
              <w:rPr>
                <w:vanish/>
                <w:color w:val="FFFFFF"/>
                <w:szCs w:val="18"/>
              </w:rPr>
              <w:fldChar w:fldCharType="end"/>
            </w:r>
          </w:p>
        </w:tc>
        <w:tc>
          <w:tcPr>
            <w:tcW w:w="6138" w:type="dxa"/>
          </w:tcPr>
          <w:p w14:paraId="1238F7F6" w14:textId="77777777" w:rsidR="002A21AE" w:rsidRDefault="002A21AE">
            <w:pPr>
              <w:pStyle w:val="TableTextBullet"/>
              <w:ind w:left="0" w:firstLine="0"/>
            </w:pPr>
            <w:r>
              <w:t>Ensures that there are no incomplete activities for the user’s session.</w:t>
            </w:r>
          </w:p>
          <w:p w14:paraId="2E8D4912" w14:textId="77777777" w:rsidR="002A21AE" w:rsidRDefault="002A21AE">
            <w:pPr>
              <w:pStyle w:val="TableTextBullet"/>
              <w:ind w:left="0" w:firstLine="0"/>
            </w:pPr>
            <w:r>
              <w:t>Displays a division login message.</w:t>
            </w:r>
          </w:p>
          <w:p w14:paraId="7D3913EC" w14:textId="77777777" w:rsidR="002A21AE" w:rsidRDefault="002A21AE">
            <w:pPr>
              <w:pStyle w:val="TableTextBullet"/>
              <w:ind w:left="0" w:firstLine="0"/>
            </w:pPr>
            <w:r>
              <w:t>Opens the selected division.</w:t>
            </w:r>
          </w:p>
          <w:p w14:paraId="11BE4384" w14:textId="77777777" w:rsidR="002A21AE" w:rsidRDefault="002A21AE">
            <w:pPr>
              <w:pStyle w:val="TableText"/>
            </w:pPr>
          </w:p>
          <w:p w14:paraId="4B30DF51" w14:textId="2A002174" w:rsidR="002A21AE" w:rsidRDefault="002A21AE">
            <w:pPr>
              <w:pStyle w:val="TableText"/>
              <w:rPr>
                <w:b/>
                <w:bCs/>
                <w:szCs w:val="18"/>
              </w:rPr>
            </w:pPr>
            <w:r>
              <w:rPr>
                <w:b/>
                <w:bCs/>
                <w:szCs w:val="18"/>
              </w:rPr>
              <w:t>NOTES</w:t>
            </w:r>
          </w:p>
          <w:p w14:paraId="2CF40164" w14:textId="77777777" w:rsidR="002A21AE" w:rsidRDefault="002A21AE">
            <w:pPr>
              <w:pStyle w:val="NotesText"/>
            </w:pPr>
          </w:p>
          <w:p w14:paraId="27E62070" w14:textId="77777777" w:rsidR="002A21AE" w:rsidRDefault="002A21AE">
            <w:pPr>
              <w:pStyle w:val="NotesText"/>
            </w:pPr>
            <w:r w:rsidRPr="00E274BF">
              <w:rPr>
                <w:rFonts w:cs="Arial"/>
                <w:vanish/>
                <w:szCs w:val="18"/>
              </w:rPr>
              <w:t>BR_18.06</w:t>
            </w:r>
            <w:r w:rsidRPr="009660C3">
              <w:rPr>
                <w:vanish/>
                <w:szCs w:val="18"/>
              </w:rPr>
              <w:t xml:space="preserve"> </w:t>
            </w:r>
            <w:r>
              <w:t xml:space="preserve">A user may log into or change divisions without being logged onto </w:t>
            </w:r>
            <w:r w:rsidR="00CA0045" w:rsidRPr="00CA0045">
              <w:rPr>
                <w:bCs/>
              </w:rPr>
              <w:t>VistA</w:t>
            </w:r>
            <w:r>
              <w:t>.</w:t>
            </w:r>
          </w:p>
          <w:p w14:paraId="42772AA0" w14:textId="77777777" w:rsidR="002A21AE" w:rsidRDefault="002A21AE">
            <w:pPr>
              <w:pStyle w:val="TableText"/>
            </w:pPr>
          </w:p>
          <w:p w14:paraId="70AB0FF8" w14:textId="0BE529CA" w:rsidR="002A21AE" w:rsidRDefault="002A21AE">
            <w:pPr>
              <w:pStyle w:val="NotesText"/>
            </w:pPr>
            <w:r w:rsidRPr="00E274BF">
              <w:rPr>
                <w:rFonts w:cs="Arial"/>
                <w:vanish/>
                <w:szCs w:val="18"/>
              </w:rPr>
              <w:t>BR_18.02</w:t>
            </w:r>
            <w:r w:rsidRPr="009660C3">
              <w:rPr>
                <w:vanish/>
                <w:szCs w:val="18"/>
              </w:rPr>
              <w:t xml:space="preserve"> </w:t>
            </w:r>
            <w:r>
              <w:t xml:space="preserve">VBECS displays a message advising the user to close dialogs and transactions with pending data </w:t>
            </w:r>
            <w:r w:rsidR="00671459">
              <w:t>changes and</w:t>
            </w:r>
            <w:r>
              <w:t xml:space="preserve"> closes open dialogs with no pending data changes before the user changes division.</w:t>
            </w:r>
          </w:p>
          <w:p w14:paraId="6D9080BF" w14:textId="77777777" w:rsidR="002A21AE" w:rsidRDefault="002A21AE">
            <w:pPr>
              <w:pStyle w:val="NotesText"/>
              <w:ind w:left="0"/>
            </w:pPr>
          </w:p>
          <w:p w14:paraId="5BA80FB4" w14:textId="77777777" w:rsidR="002A21AE" w:rsidRDefault="002A21AE">
            <w:pPr>
              <w:pStyle w:val="NotesText"/>
            </w:pPr>
            <w:r w:rsidRPr="00E274BF">
              <w:rPr>
                <w:rFonts w:cs="Arial"/>
                <w:vanish/>
                <w:szCs w:val="18"/>
              </w:rPr>
              <w:t>BR_102.04</w:t>
            </w:r>
            <w:r w:rsidRPr="009660C3">
              <w:rPr>
                <w:vanish/>
                <w:szCs w:val="18"/>
              </w:rPr>
              <w:t xml:space="preserve"> </w:t>
            </w:r>
            <w:r>
              <w:t xml:space="preserve">VBECS automatically logs onto </w:t>
            </w:r>
            <w:r w:rsidR="00CA0045" w:rsidRPr="00CA0045">
              <w:rPr>
                <w:bCs/>
              </w:rPr>
              <w:t>VistA</w:t>
            </w:r>
            <w:r>
              <w:t xml:space="preserve"> for the selected division.</w:t>
            </w:r>
          </w:p>
        </w:tc>
      </w:tr>
    </w:tbl>
    <w:p w14:paraId="7BBF02C6" w14:textId="79E82B90" w:rsidR="00532542" w:rsidRPr="00532542" w:rsidRDefault="00532542" w:rsidP="00532542">
      <w:pPr>
        <w:pStyle w:val="BodyText"/>
      </w:pPr>
    </w:p>
    <w:p w14:paraId="500E6A2C" w14:textId="36C2C7FC" w:rsidR="00632002" w:rsidRDefault="00632002" w:rsidP="00632002">
      <w:pPr>
        <w:pStyle w:val="Caption"/>
      </w:pPr>
      <w:bookmarkStart w:id="99" w:name="_Ref47009463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15</w:t>
      </w:r>
      <w:r w:rsidR="004E20BD">
        <w:rPr>
          <w:noProof/>
        </w:rPr>
        <w:fldChar w:fldCharType="end"/>
      </w:r>
      <w:bookmarkEnd w:id="99"/>
      <w:r>
        <w:t xml:space="preserve">: </w:t>
      </w:r>
      <w:r w:rsidR="00DE2276">
        <w:t xml:space="preserve">Example of </w:t>
      </w:r>
      <w:r>
        <w:t>Division Logon</w:t>
      </w:r>
    </w:p>
    <w:p w14:paraId="540BFA6B" w14:textId="77777777" w:rsidR="00632002" w:rsidRDefault="00057948" w:rsidP="00632002">
      <w:pPr>
        <w:pStyle w:val="BodyText"/>
        <w:rPr>
          <w:noProof/>
        </w:rPr>
      </w:pPr>
      <w:r>
        <w:rPr>
          <w:noProof/>
        </w:rPr>
        <w:drawing>
          <wp:inline distT="0" distB="0" distL="0" distR="0" wp14:anchorId="559B2A53" wp14:editId="18A6B8C9">
            <wp:extent cx="2900045" cy="1893570"/>
            <wp:effectExtent l="0" t="0" r="0" b="0"/>
            <wp:docPr id="52" name="Picture 15" descr="Example of Division Log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5" descr="Example of Division Logon screen cap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0045" cy="1893570"/>
                    </a:xfrm>
                    <a:prstGeom prst="rect">
                      <a:avLst/>
                    </a:prstGeom>
                    <a:noFill/>
                    <a:ln>
                      <a:noFill/>
                    </a:ln>
                  </pic:spPr>
                </pic:pic>
              </a:graphicData>
            </a:graphic>
          </wp:inline>
        </w:drawing>
      </w:r>
    </w:p>
    <w:p w14:paraId="6A92ABF1" w14:textId="098C838C" w:rsidR="00632002" w:rsidRDefault="00632002" w:rsidP="00632002">
      <w:pPr>
        <w:pStyle w:val="Caption"/>
      </w:pPr>
      <w:bookmarkStart w:id="100" w:name="_Ref4700948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16</w:t>
      </w:r>
      <w:r w:rsidR="004E20BD">
        <w:rPr>
          <w:noProof/>
        </w:rPr>
        <w:fldChar w:fldCharType="end"/>
      </w:r>
      <w:bookmarkEnd w:id="100"/>
      <w:r>
        <w:t xml:space="preserve">: </w:t>
      </w:r>
      <w:r w:rsidR="00DE2276">
        <w:t xml:space="preserve">Example of </w:t>
      </w:r>
      <w:r>
        <w:t>VistA Access and Verify Code Logon</w:t>
      </w:r>
    </w:p>
    <w:p w14:paraId="4E0A6890" w14:textId="455F393E" w:rsidR="002A21AE" w:rsidRDefault="00057948" w:rsidP="006464E3">
      <w:pPr>
        <w:pStyle w:val="BodyText"/>
      </w:pPr>
      <w:r>
        <w:rPr>
          <w:noProof/>
        </w:rPr>
        <w:drawing>
          <wp:inline distT="0" distB="0" distL="0" distR="0" wp14:anchorId="4FFFD615" wp14:editId="5842CB40">
            <wp:extent cx="3195955" cy="2383155"/>
            <wp:effectExtent l="0" t="0" r="4445" b="0"/>
            <wp:docPr id="53" name="Picture 1" descr="Example of VistA Access and Verify Code Log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Example of VistA Access and Verify Code Logon screen cap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5955" cy="2383155"/>
                    </a:xfrm>
                    <a:prstGeom prst="rect">
                      <a:avLst/>
                    </a:prstGeom>
                    <a:noFill/>
                    <a:ln>
                      <a:noFill/>
                    </a:ln>
                  </pic:spPr>
                </pic:pic>
              </a:graphicData>
            </a:graphic>
          </wp:inline>
        </w:drawing>
      </w:r>
    </w:p>
    <w:p w14:paraId="4FF311DB" w14:textId="22398367" w:rsidR="008C2617" w:rsidRDefault="008C2617" w:rsidP="006B317D">
      <w:pPr>
        <w:pStyle w:val="Heading4"/>
      </w:pPr>
      <w:r>
        <w:t>Restore VistALink Connection</w:t>
      </w:r>
    </w:p>
    <w:p w14:paraId="005A4B6F" w14:textId="77777777" w:rsidR="00FB7B1E" w:rsidRPr="00BD31FB" w:rsidRDefault="00FB7B1E" w:rsidP="006B317D">
      <w:pPr>
        <w:pStyle w:val="BodyText"/>
        <w:keepNext/>
        <w:rPr>
          <w:spacing w:val="-5"/>
        </w:rPr>
      </w:pPr>
      <w:r w:rsidRPr="00BD31FB">
        <w:rPr>
          <w:spacing w:val="-5"/>
        </w:rPr>
        <w:t>Before any option requiring VistALink is started, the system validates VistALink availability. When the server does not respond or there is no active connection, the system br</w:t>
      </w:r>
      <w:r w:rsidR="00D86E6D" w:rsidRPr="00BD31FB">
        <w:rPr>
          <w:spacing w:val="-5"/>
        </w:rPr>
        <w:t xml:space="preserve">ings up the dialog informing </w:t>
      </w:r>
      <w:r w:rsidRPr="00BD31FB">
        <w:rPr>
          <w:spacing w:val="-5"/>
        </w:rPr>
        <w:t xml:space="preserve">the user </w:t>
      </w:r>
      <w:r w:rsidR="00D86E6D" w:rsidRPr="00BD31FB">
        <w:rPr>
          <w:spacing w:val="-5"/>
        </w:rPr>
        <w:t>of</w:t>
      </w:r>
      <w:r w:rsidRPr="00BD31FB">
        <w:rPr>
          <w:spacing w:val="-5"/>
        </w:rPr>
        <w:t xml:space="preserve"> the VistALink connection’s unavailability and offering the option to restore the connection.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2BB0981" w14:textId="77777777">
        <w:trPr>
          <w:tblHeader/>
        </w:trPr>
        <w:tc>
          <w:tcPr>
            <w:tcW w:w="3330" w:type="dxa"/>
            <w:shd w:val="pct30" w:color="auto" w:fill="FFFFFF"/>
            <w:vAlign w:val="bottom"/>
          </w:tcPr>
          <w:p w14:paraId="36DA5572" w14:textId="77777777" w:rsidR="002A21AE" w:rsidRDefault="002A21AE" w:rsidP="006B317D">
            <w:pPr>
              <w:pStyle w:val="TableText"/>
              <w:keepNext/>
              <w:rPr>
                <w:b/>
              </w:rPr>
            </w:pPr>
            <w:r>
              <w:rPr>
                <w:b/>
              </w:rPr>
              <w:t>User Action</w:t>
            </w:r>
          </w:p>
        </w:tc>
        <w:tc>
          <w:tcPr>
            <w:tcW w:w="6138" w:type="dxa"/>
            <w:shd w:val="pct30" w:color="auto" w:fill="FFFFFF"/>
            <w:vAlign w:val="bottom"/>
          </w:tcPr>
          <w:p w14:paraId="710CCA55" w14:textId="77777777" w:rsidR="002A21AE" w:rsidRDefault="002A21AE" w:rsidP="006B317D">
            <w:pPr>
              <w:pStyle w:val="TableText"/>
              <w:keepNext/>
              <w:rPr>
                <w:b/>
              </w:rPr>
            </w:pPr>
            <w:r>
              <w:rPr>
                <w:b/>
              </w:rPr>
              <w:t>VBECS</w:t>
            </w:r>
          </w:p>
        </w:tc>
      </w:tr>
      <w:tr w:rsidR="002A21AE" w14:paraId="2846B9C3" w14:textId="77777777">
        <w:tc>
          <w:tcPr>
            <w:tcW w:w="3330" w:type="dxa"/>
          </w:tcPr>
          <w:p w14:paraId="2C685F9F" w14:textId="7DDAFDB7" w:rsidR="002A21AE" w:rsidRDefault="00D86E6D" w:rsidP="006B317D">
            <w:pPr>
              <w:pStyle w:val="TableTextNumbers"/>
              <w:keepNext/>
            </w:pPr>
            <w:r>
              <w:t>The</w:t>
            </w:r>
            <w:r w:rsidR="008A2E47">
              <w:t xml:space="preserve"> </w:t>
            </w:r>
            <w:r w:rsidR="008A2E47" w:rsidRPr="008A2E47">
              <w:rPr>
                <w:b/>
              </w:rPr>
              <w:t>Restore</w:t>
            </w:r>
            <w:r w:rsidR="008A2E47">
              <w:t xml:space="preserve"> </w:t>
            </w:r>
            <w:r>
              <w:t>option is presented. C</w:t>
            </w:r>
            <w:r w:rsidR="008A2E47">
              <w:t xml:space="preserve">hoose to </w:t>
            </w:r>
            <w:r>
              <w:t xml:space="preserve">restore or </w:t>
            </w:r>
            <w:r w:rsidR="008A2E47">
              <w:t>cancel</w:t>
            </w:r>
            <w:r w:rsidR="00D00478">
              <w:t xml:space="preserve"> (</w:t>
            </w:r>
            <w:r w:rsidR="00EE455E">
              <w:t xml:space="preserve">Figure </w:t>
            </w:r>
            <w:r w:rsidR="00EE455E">
              <w:rPr>
                <w:noProof/>
              </w:rPr>
              <w:t>17</w:t>
            </w:r>
            <w:r w:rsidR="008A2E47">
              <w:t>)</w:t>
            </w:r>
            <w:r w:rsidR="002A21AE">
              <w:t>.</w:t>
            </w:r>
          </w:p>
        </w:tc>
        <w:tc>
          <w:tcPr>
            <w:tcW w:w="6138" w:type="dxa"/>
          </w:tcPr>
          <w:p w14:paraId="3B2934B9" w14:textId="77777777" w:rsidR="002A21AE" w:rsidRDefault="002A21AE" w:rsidP="006B317D">
            <w:pPr>
              <w:pStyle w:val="TableTextBullet"/>
              <w:keepNext/>
            </w:pPr>
            <w:r>
              <w:t>Attempts to connect using the user’s</w:t>
            </w:r>
            <w:r w:rsidR="00D86E6D">
              <w:t xml:space="preserve"> previously entered PIV/PIN</w:t>
            </w:r>
            <w:r>
              <w:t xml:space="preserve"> information when logon information is entered. </w:t>
            </w:r>
          </w:p>
          <w:p w14:paraId="36D86E81" w14:textId="0AF5A915" w:rsidR="002A21AE" w:rsidRDefault="00D86E6D" w:rsidP="006B317D">
            <w:pPr>
              <w:pStyle w:val="TableTextBullet"/>
              <w:keepNext/>
            </w:pPr>
            <w:r w:rsidRPr="00D86E6D">
              <w:rPr>
                <w:vanish/>
              </w:rPr>
              <w:t xml:space="preserve">BR_102.11 </w:t>
            </w:r>
            <w:r w:rsidR="002A21AE">
              <w:t xml:space="preserve">When </w:t>
            </w:r>
            <w:r>
              <w:t xml:space="preserve">VBECS/Administrator is up and running and </w:t>
            </w:r>
            <w:r w:rsidR="00BD31FB">
              <w:t xml:space="preserve">the </w:t>
            </w:r>
            <w:r>
              <w:t xml:space="preserve">user attempts to access a VistALink dependent option when VistALink is not connected, the system will prompt a reconnection dialog where </w:t>
            </w:r>
            <w:r w:rsidR="00BD31FB">
              <w:t xml:space="preserve">the </w:t>
            </w:r>
            <w:r>
              <w:t>user will have two options: to reconnect or to cancel. When the reconnect process fails or when the user cancels, the system shows an error dialog</w:t>
            </w:r>
            <w:r w:rsidR="008A2E47">
              <w:t>.</w:t>
            </w:r>
          </w:p>
          <w:p w14:paraId="281427C7" w14:textId="77777777" w:rsidR="002A21AE" w:rsidRDefault="00DE61D9" w:rsidP="006B317D">
            <w:pPr>
              <w:pStyle w:val="TableTextBullet"/>
              <w:keepNext/>
            </w:pPr>
            <w:r w:rsidRPr="00DE61D9">
              <w:rPr>
                <w:vanish/>
              </w:rPr>
              <w:t xml:space="preserve">BR_103.03 </w:t>
            </w:r>
            <w:r w:rsidR="002A21AE">
              <w:t xml:space="preserve">Closes the pop-up when the user clicks </w:t>
            </w:r>
            <w:r w:rsidR="002A21AE">
              <w:rPr>
                <w:b/>
              </w:rPr>
              <w:t>Cancel</w:t>
            </w:r>
            <w:r w:rsidR="002A21AE">
              <w:t>.</w:t>
            </w:r>
          </w:p>
        </w:tc>
      </w:tr>
      <w:tr w:rsidR="00D86E6D" w14:paraId="1484CD75" w14:textId="77777777">
        <w:tc>
          <w:tcPr>
            <w:tcW w:w="3330" w:type="dxa"/>
          </w:tcPr>
          <w:p w14:paraId="12D36B6F" w14:textId="7D4AA19F" w:rsidR="00D86E6D" w:rsidRDefault="00F40ED2" w:rsidP="007E3EE1">
            <w:pPr>
              <w:pStyle w:val="TableTextNumbers"/>
            </w:pPr>
            <w:r>
              <w:t xml:space="preserve">If </w:t>
            </w:r>
            <w:r w:rsidR="00BD31FB">
              <w:t xml:space="preserve">the </w:t>
            </w:r>
            <w:r>
              <w:t>site is not PIV exempt, u</w:t>
            </w:r>
            <w:r w:rsidR="00D86E6D">
              <w:t>se PIV and PIN to connect to VistALink.</w:t>
            </w:r>
            <w:r w:rsidRPr="00812458">
              <w:rPr>
                <w:vanish/>
              </w:rPr>
              <w:t xml:space="preserve"> Task 561381</w:t>
            </w:r>
          </w:p>
          <w:p w14:paraId="53CD2FC7" w14:textId="77777777" w:rsidR="00F876CD" w:rsidRDefault="00F876CD" w:rsidP="00F876CD">
            <w:pPr>
              <w:pStyle w:val="TableTextNumbers"/>
              <w:numPr>
                <w:ilvl w:val="0"/>
                <w:numId w:val="0"/>
              </w:numPr>
              <w:ind w:left="288"/>
            </w:pPr>
            <w:r>
              <w:lastRenderedPageBreak/>
              <w:t>If the IAM PIV sign on process succeeds, continue at Step 4.</w:t>
            </w:r>
          </w:p>
          <w:p w14:paraId="01AED6D0" w14:textId="77777777" w:rsidR="00F876CD" w:rsidRDefault="00F876CD" w:rsidP="00F876CD">
            <w:pPr>
              <w:pStyle w:val="TableTextNumbers"/>
              <w:numPr>
                <w:ilvl w:val="0"/>
                <w:numId w:val="0"/>
              </w:numPr>
              <w:ind w:left="288" w:hanging="288"/>
            </w:pPr>
          </w:p>
          <w:p w14:paraId="2B73A428" w14:textId="77777777" w:rsidR="00F876CD" w:rsidRDefault="00F876CD" w:rsidP="00D86E6D">
            <w:pPr>
              <w:pStyle w:val="TableTextNumbers"/>
              <w:numPr>
                <w:ilvl w:val="0"/>
                <w:numId w:val="0"/>
              </w:numPr>
              <w:ind w:left="288" w:hanging="288"/>
            </w:pPr>
          </w:p>
          <w:p w14:paraId="0E6D6E06" w14:textId="72CC3C79" w:rsidR="00D86E6D" w:rsidRDefault="00D86E6D" w:rsidP="00F876CD">
            <w:pPr>
              <w:pStyle w:val="TableTextNumbers"/>
              <w:numPr>
                <w:ilvl w:val="0"/>
                <w:numId w:val="0"/>
              </w:numPr>
              <w:ind w:left="288"/>
            </w:pPr>
            <w:r>
              <w:t>If the IAM PIV sign on process fails</w:t>
            </w:r>
            <w:r w:rsidR="00650B86">
              <w:t>, continue to next step.</w:t>
            </w:r>
          </w:p>
        </w:tc>
        <w:tc>
          <w:tcPr>
            <w:tcW w:w="6138" w:type="dxa"/>
          </w:tcPr>
          <w:p w14:paraId="17229E58" w14:textId="77777777" w:rsidR="00650B86" w:rsidRPr="00650B86" w:rsidRDefault="00650B86" w:rsidP="00CC1BC3">
            <w:pPr>
              <w:pStyle w:val="TableTextBullet"/>
            </w:pPr>
            <w:r w:rsidRPr="00650B86">
              <w:lastRenderedPageBreak/>
              <w:t>Directs user to the IAM service interface to select PIV certificate and possibly to re-enter PIN</w:t>
            </w:r>
          </w:p>
          <w:p w14:paraId="2621585B" w14:textId="311F086F" w:rsidR="00D86E6D" w:rsidRPr="00650B86" w:rsidRDefault="00650B86" w:rsidP="00CC1BC3">
            <w:pPr>
              <w:pStyle w:val="TableTextBullet"/>
            </w:pPr>
            <w:r w:rsidRPr="00650B86">
              <w:lastRenderedPageBreak/>
              <w:t xml:space="preserve">If the IAM PIV sign on process fails, VBECS continues to the next step and prompts </w:t>
            </w:r>
            <w:r w:rsidR="00DD077F">
              <w:t xml:space="preserve">the </w:t>
            </w:r>
            <w:r w:rsidRPr="00650B86">
              <w:t>user for VistA Access and Verify Code. The user may log onto VistA or continue and log on as needed</w:t>
            </w:r>
            <w:r w:rsidR="00D86E6D" w:rsidRPr="00650B86">
              <w:t>.</w:t>
            </w:r>
          </w:p>
          <w:p w14:paraId="68477259" w14:textId="77777777" w:rsidR="00D86E6D" w:rsidRDefault="00D86E6D" w:rsidP="00CC1BC3">
            <w:pPr>
              <w:pStyle w:val="TableTextBullet"/>
              <w:numPr>
                <w:ilvl w:val="0"/>
                <w:numId w:val="0"/>
              </w:numPr>
              <w:ind w:left="288"/>
            </w:pPr>
          </w:p>
          <w:p w14:paraId="17FAB1A0" w14:textId="62102F2A" w:rsidR="00D86E6D" w:rsidRDefault="00D86E6D" w:rsidP="00CC1BC3">
            <w:pPr>
              <w:pStyle w:val="TableText"/>
              <w:rPr>
                <w:b/>
                <w:bCs/>
                <w:szCs w:val="18"/>
              </w:rPr>
            </w:pPr>
            <w:r>
              <w:rPr>
                <w:b/>
                <w:bCs/>
                <w:szCs w:val="18"/>
              </w:rPr>
              <w:t>NOTES</w:t>
            </w:r>
          </w:p>
          <w:p w14:paraId="077D132E" w14:textId="77777777" w:rsidR="00D86E6D" w:rsidRDefault="00D86E6D" w:rsidP="00CC1BC3">
            <w:pPr>
              <w:pStyle w:val="NotesText"/>
            </w:pPr>
          </w:p>
          <w:p w14:paraId="64558D32" w14:textId="77777777" w:rsidR="00D86E6D" w:rsidRDefault="00650B86" w:rsidP="00CC1BC3">
            <w:pPr>
              <w:pStyle w:val="NotesText"/>
            </w:pPr>
            <w:r w:rsidRPr="00650B86">
              <w:rPr>
                <w:vanish/>
              </w:rPr>
              <w:t xml:space="preserve">BR_102.10 </w:t>
            </w:r>
            <w:r>
              <w:t>The system prompts the user for their access and verify code when there is no active IAM service certification</w:t>
            </w:r>
            <w:r w:rsidR="00D86E6D">
              <w:t>.</w:t>
            </w:r>
          </w:p>
          <w:p w14:paraId="4116ADED" w14:textId="77777777" w:rsidR="00650B86" w:rsidRDefault="00650B86" w:rsidP="00CC1BC3">
            <w:pPr>
              <w:pStyle w:val="NotesText"/>
            </w:pPr>
          </w:p>
          <w:p w14:paraId="1E1B331E" w14:textId="77777777" w:rsidR="00650B86" w:rsidRDefault="00650B86" w:rsidP="00CC1BC3">
            <w:pPr>
              <w:pStyle w:val="NotesText"/>
            </w:pPr>
            <w:r w:rsidRPr="00650B86">
              <w:rPr>
                <w:vanish/>
              </w:rPr>
              <w:t xml:space="preserve">DR 1,116 </w:t>
            </w:r>
            <w:r>
              <w:t>When a user logs into VBECS, the connection to VistA is established and the data in the cache tables are out-of-date. VBECS retrieves the current data from VistA and saves them. This update process may delay user login.</w:t>
            </w:r>
          </w:p>
        </w:tc>
      </w:tr>
      <w:tr w:rsidR="00650B86" w14:paraId="2C004C04" w14:textId="77777777">
        <w:tc>
          <w:tcPr>
            <w:tcW w:w="3330" w:type="dxa"/>
          </w:tcPr>
          <w:p w14:paraId="45CAC6E3" w14:textId="6390B9A0" w:rsidR="00650B86" w:rsidRDefault="00650B86" w:rsidP="00CC1BC3">
            <w:pPr>
              <w:pStyle w:val="TableTextNumbers"/>
            </w:pPr>
            <w:r>
              <w:lastRenderedPageBreak/>
              <w:t>Enter the VistA Access and Verify Code</w:t>
            </w:r>
            <w:r w:rsidR="00B437AD">
              <w:t>s (</w:t>
            </w:r>
            <w:r w:rsidR="00EE455E">
              <w:t xml:space="preserve">Figure </w:t>
            </w:r>
            <w:r w:rsidR="00EE455E">
              <w:rPr>
                <w:noProof/>
              </w:rPr>
              <w:t>16</w:t>
            </w:r>
            <w:r>
              <w:t>).</w:t>
            </w:r>
          </w:p>
        </w:tc>
        <w:tc>
          <w:tcPr>
            <w:tcW w:w="6138" w:type="dxa"/>
          </w:tcPr>
          <w:p w14:paraId="0F3CD3F3" w14:textId="43633643" w:rsidR="00650B86" w:rsidRPr="00EB7907" w:rsidRDefault="00E8576E" w:rsidP="00650B86">
            <w:pPr>
              <w:pStyle w:val="TableTextBullet"/>
              <w:rPr>
                <w:rFonts w:cs="Arial"/>
                <w:szCs w:val="18"/>
              </w:rPr>
            </w:pPr>
            <w:r w:rsidRPr="00E8576E">
              <w:rPr>
                <w:rFonts w:cs="Arial"/>
                <w:vanish/>
                <w:szCs w:val="18"/>
              </w:rPr>
              <w:t xml:space="preserve">BR_102.13 </w:t>
            </w:r>
            <w:r w:rsidR="00650B86" w:rsidRPr="00EB7907">
              <w:rPr>
                <w:rFonts w:cs="Arial"/>
                <w:szCs w:val="18"/>
              </w:rPr>
              <w:t xml:space="preserve">The system will reuse the security credentials initially entered in this user’s session (VistA Access and Verify Codes) to perform VistA </w:t>
            </w:r>
            <w:r w:rsidR="006464E3">
              <w:rPr>
                <w:rFonts w:cs="Arial"/>
                <w:szCs w:val="18"/>
              </w:rPr>
              <w:t>logoff</w:t>
            </w:r>
            <w:r w:rsidR="00650B86" w:rsidRPr="00EB7907">
              <w:rPr>
                <w:rFonts w:cs="Arial"/>
                <w:szCs w:val="18"/>
              </w:rPr>
              <w:t xml:space="preserve"> and logon without user interaction.</w:t>
            </w:r>
          </w:p>
          <w:p w14:paraId="2B9BD0D1" w14:textId="77777777" w:rsidR="00650B86" w:rsidRDefault="00650B86" w:rsidP="00650B86">
            <w:pPr>
              <w:pStyle w:val="TableTextBullet"/>
            </w:pPr>
            <w:r w:rsidRPr="00EB7907">
              <w:rPr>
                <w:vanish/>
              </w:rPr>
              <w:t xml:space="preserve">BR_102.06 </w:t>
            </w:r>
            <w:r>
              <w:t xml:space="preserve">Allows a user to log on by entering </w:t>
            </w:r>
            <w:r w:rsidRPr="00CA0045">
              <w:rPr>
                <w:bCs/>
              </w:rPr>
              <w:t>VistA</w:t>
            </w:r>
            <w:r>
              <w:t xml:space="preserve"> Access and Verify Codes, separated by a semicolon (;), in the Access Code data entry field.</w:t>
            </w:r>
          </w:p>
          <w:p w14:paraId="13A6BCF7" w14:textId="77777777" w:rsidR="00650B86" w:rsidRPr="001F5982" w:rsidRDefault="00650B86" w:rsidP="00650B86">
            <w:pPr>
              <w:pStyle w:val="TableTextBullet"/>
              <w:rPr>
                <w:szCs w:val="20"/>
              </w:rPr>
            </w:pPr>
            <w:r w:rsidRPr="00E274BF">
              <w:rPr>
                <w:rFonts w:cs="Arial"/>
                <w:vanish/>
                <w:szCs w:val="18"/>
              </w:rPr>
              <w:t>BR_102.02</w:t>
            </w:r>
            <w:r>
              <w:rPr>
                <w:rFonts w:ascii="Times New Roman" w:hAnsi="Times New Roman"/>
                <w:vanish/>
                <w:sz w:val="22"/>
              </w:rPr>
              <w:t xml:space="preserve"> </w:t>
            </w:r>
            <w:r>
              <w:t xml:space="preserve">Verifies that the user credentials for the VBECS and </w:t>
            </w:r>
            <w:r w:rsidRPr="00CA0045">
              <w:rPr>
                <w:bCs/>
              </w:rPr>
              <w:t>VistA</w:t>
            </w:r>
            <w:r>
              <w:t xml:space="preserve"> Access and Verify Codes belong to the same user.</w:t>
            </w:r>
          </w:p>
          <w:p w14:paraId="7EAC1DCD" w14:textId="77777777" w:rsidR="00650B86" w:rsidRPr="00650B86" w:rsidRDefault="00650B86" w:rsidP="00650B86">
            <w:pPr>
              <w:pStyle w:val="TableTextBullet"/>
            </w:pPr>
            <w:r w:rsidRPr="007B7F36">
              <w:t>Emits a tone to verify that the workstation’s sound works.</w:t>
            </w:r>
          </w:p>
        </w:tc>
      </w:tr>
      <w:tr w:rsidR="00650B86" w14:paraId="587E51DA" w14:textId="77777777">
        <w:tc>
          <w:tcPr>
            <w:tcW w:w="3330" w:type="dxa"/>
          </w:tcPr>
          <w:p w14:paraId="227109C0" w14:textId="77777777" w:rsidR="00650B86" w:rsidRDefault="00650B86">
            <w:pPr>
              <w:pStyle w:val="TableTextNumbers"/>
            </w:pPr>
            <w:r>
              <w:t xml:space="preserve">Continue working in the VistALink dependent option. </w:t>
            </w:r>
            <w:r w:rsidRPr="00912F51">
              <w:rPr>
                <w:color w:val="FFFFFF"/>
              </w:rPr>
              <w:fldChar w:fldCharType="begin"/>
            </w:r>
            <w:r w:rsidRPr="00912F51">
              <w:rPr>
                <w:color w:val="FFFFFF"/>
              </w:rPr>
              <w:instrText xml:space="preserve"> LISTNUM \l 1 \s 0 </w:instrText>
            </w:r>
            <w:r w:rsidRPr="00912F51">
              <w:rPr>
                <w:color w:val="FFFFFF"/>
              </w:rPr>
              <w:fldChar w:fldCharType="end"/>
            </w:r>
            <w:r>
              <w:rPr>
                <w:vanish/>
                <w:szCs w:val="18"/>
              </w:rPr>
              <w:t xml:space="preserve"> </w:t>
            </w:r>
          </w:p>
        </w:tc>
        <w:tc>
          <w:tcPr>
            <w:tcW w:w="6138" w:type="dxa"/>
          </w:tcPr>
          <w:p w14:paraId="658FCB7C" w14:textId="77777777" w:rsidR="00650B86" w:rsidRDefault="00650B86" w:rsidP="00CC1BC3">
            <w:pPr>
              <w:pStyle w:val="TableTextBullet"/>
            </w:pPr>
            <w:r>
              <w:t>Displays the VistALink dependent option.</w:t>
            </w:r>
          </w:p>
        </w:tc>
      </w:tr>
    </w:tbl>
    <w:p w14:paraId="0116F110" w14:textId="62AAFABD" w:rsidR="008C616F" w:rsidRDefault="008C616F" w:rsidP="008C616F">
      <w:pPr>
        <w:pStyle w:val="Caption"/>
      </w:pPr>
      <w:bookmarkStart w:id="101" w:name="_Ref47009491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17</w:t>
      </w:r>
      <w:r w:rsidR="004E20BD">
        <w:rPr>
          <w:noProof/>
        </w:rPr>
        <w:fldChar w:fldCharType="end"/>
      </w:r>
      <w:bookmarkEnd w:id="101"/>
      <w:r>
        <w:t>: Restore VistA Connection</w:t>
      </w:r>
    </w:p>
    <w:p w14:paraId="682AB69F" w14:textId="77777777" w:rsidR="008C616F" w:rsidRPr="008C616F" w:rsidRDefault="00057948" w:rsidP="008C616F">
      <w:pPr>
        <w:pStyle w:val="BodyText"/>
      </w:pPr>
      <w:r>
        <w:rPr>
          <w:noProof/>
        </w:rPr>
        <w:drawing>
          <wp:inline distT="0" distB="0" distL="0" distR="0" wp14:anchorId="50950B4B" wp14:editId="22DD09DF">
            <wp:extent cx="4137660" cy="1995170"/>
            <wp:effectExtent l="0" t="0" r="0" b="5080"/>
            <wp:docPr id="54" name="Picture 16" descr="Example of VistALink Conn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descr="Example of VistALink Connection screen cap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7660" cy="1995170"/>
                    </a:xfrm>
                    <a:prstGeom prst="rect">
                      <a:avLst/>
                    </a:prstGeom>
                    <a:noFill/>
                    <a:ln>
                      <a:noFill/>
                    </a:ln>
                  </pic:spPr>
                </pic:pic>
              </a:graphicData>
            </a:graphic>
          </wp:inline>
        </w:drawing>
      </w:r>
    </w:p>
    <w:p w14:paraId="49ACDA5D" w14:textId="54CAA2FC" w:rsidR="00A63649" w:rsidRDefault="004A48EB" w:rsidP="006B317D">
      <w:pPr>
        <w:pStyle w:val="Heading3"/>
      </w:pPr>
      <w:bookmarkStart w:id="102" w:name="_Toc163644861"/>
      <w:r>
        <w:t xml:space="preserve">Closing </w:t>
      </w:r>
      <w:r w:rsidR="00A63649">
        <w:t>VBECS</w:t>
      </w:r>
      <w:bookmarkEnd w:id="102"/>
    </w:p>
    <w:p w14:paraId="3D4FFB00" w14:textId="2F430489" w:rsidR="00236053" w:rsidRDefault="00236053" w:rsidP="006B317D">
      <w:pPr>
        <w:pStyle w:val="BodyText"/>
        <w:keepNext/>
        <w:spacing w:before="0" w:after="0"/>
      </w:pPr>
      <w:r>
        <w:t xml:space="preserve">There are three terms used to describe </w:t>
      </w:r>
      <w:r w:rsidR="00D27B33">
        <w:t>leaving the application and/or the application server:</w:t>
      </w:r>
    </w:p>
    <w:p w14:paraId="53F8275F" w14:textId="1D189C6B" w:rsidR="00D27B33" w:rsidRDefault="00D27B33" w:rsidP="00463A66">
      <w:pPr>
        <w:pStyle w:val="BodyText"/>
        <w:numPr>
          <w:ilvl w:val="0"/>
          <w:numId w:val="85"/>
        </w:numPr>
        <w:spacing w:before="0" w:after="0"/>
      </w:pPr>
      <w:r w:rsidRPr="00B54D54">
        <w:rPr>
          <w:b/>
          <w:bCs/>
        </w:rPr>
        <w:t>Exit VBECS</w:t>
      </w:r>
      <w:r>
        <w:t xml:space="preserve">: This action is to </w:t>
      </w:r>
      <w:r w:rsidR="00D63C08">
        <w:t xml:space="preserve">close </w:t>
      </w:r>
      <w:r>
        <w:t>the VBECS application</w:t>
      </w:r>
      <w:r w:rsidR="00B96599">
        <w:t xml:space="preserve">. </w:t>
      </w:r>
      <w:r w:rsidR="00057549">
        <w:t>The server connection is unaffected, and the server session continues.</w:t>
      </w:r>
    </w:p>
    <w:p w14:paraId="6A85C615" w14:textId="5E71FBCD" w:rsidR="00D27B33" w:rsidRDefault="000E7BC3" w:rsidP="00463A66">
      <w:pPr>
        <w:pStyle w:val="BodyText"/>
        <w:numPr>
          <w:ilvl w:val="0"/>
          <w:numId w:val="85"/>
        </w:numPr>
        <w:spacing w:before="0" w:after="0"/>
      </w:pPr>
      <w:r w:rsidRPr="00B54D54">
        <w:rPr>
          <w:b/>
          <w:bCs/>
        </w:rPr>
        <w:t>Sign Out</w:t>
      </w:r>
      <w:r>
        <w:t>: This action is to close the connection to the application server</w:t>
      </w:r>
      <w:r w:rsidR="0012595E">
        <w:t xml:space="preserve"> and </w:t>
      </w:r>
      <w:r w:rsidR="0063237F">
        <w:t>end the server session. Any applications that were running in the server session are closed.</w:t>
      </w:r>
    </w:p>
    <w:p w14:paraId="6DD1ECFD" w14:textId="44F9DB5A" w:rsidR="000E7BC3" w:rsidRDefault="000E7BC3" w:rsidP="00463A66">
      <w:pPr>
        <w:pStyle w:val="BodyText"/>
        <w:numPr>
          <w:ilvl w:val="0"/>
          <w:numId w:val="85"/>
        </w:numPr>
        <w:spacing w:before="0" w:after="0"/>
      </w:pPr>
      <w:r w:rsidRPr="00B54D54">
        <w:rPr>
          <w:b/>
          <w:bCs/>
        </w:rPr>
        <w:t>Disconnect</w:t>
      </w:r>
      <w:r>
        <w:t xml:space="preserve">: This action is to </w:t>
      </w:r>
      <w:r w:rsidR="00734377">
        <w:t>close the connection to the application server but le</w:t>
      </w:r>
      <w:r w:rsidR="00294238">
        <w:t>ave the server session (and any applications in the session) running.</w:t>
      </w:r>
    </w:p>
    <w:p w14:paraId="089E6377" w14:textId="614062BE" w:rsidR="001615A5" w:rsidRDefault="00374EA9" w:rsidP="001615A5">
      <w:pPr>
        <w:pStyle w:val="Heading4"/>
      </w:pPr>
      <w:r>
        <w:lastRenderedPageBreak/>
        <w:t>Exit</w:t>
      </w:r>
      <w:r w:rsidR="001615A5">
        <w:t xml:space="preserve"> </w:t>
      </w:r>
      <w:r w:rsidR="00A55BC7">
        <w:t xml:space="preserve">VBECS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963"/>
      </w:tblGrid>
      <w:tr w:rsidR="001615A5" w14:paraId="2157BE9A" w14:textId="77777777" w:rsidTr="007E3EE1">
        <w:trPr>
          <w:tblHeader/>
        </w:trPr>
        <w:tc>
          <w:tcPr>
            <w:tcW w:w="3505" w:type="dxa"/>
            <w:shd w:val="pct30" w:color="auto" w:fill="FFFFFF"/>
            <w:vAlign w:val="bottom"/>
          </w:tcPr>
          <w:p w14:paraId="3F5A86D3" w14:textId="77777777" w:rsidR="001615A5" w:rsidRDefault="001615A5" w:rsidP="0065349F">
            <w:pPr>
              <w:pStyle w:val="TableText"/>
              <w:rPr>
                <w:b/>
              </w:rPr>
            </w:pPr>
            <w:r>
              <w:rPr>
                <w:b/>
              </w:rPr>
              <w:t>User Action</w:t>
            </w:r>
          </w:p>
        </w:tc>
        <w:tc>
          <w:tcPr>
            <w:tcW w:w="5963" w:type="dxa"/>
            <w:shd w:val="pct30" w:color="auto" w:fill="FFFFFF"/>
            <w:vAlign w:val="bottom"/>
          </w:tcPr>
          <w:p w14:paraId="0EF32825" w14:textId="77777777" w:rsidR="001615A5" w:rsidRDefault="001615A5" w:rsidP="0065349F">
            <w:pPr>
              <w:pStyle w:val="TableText"/>
              <w:rPr>
                <w:b/>
              </w:rPr>
            </w:pPr>
            <w:r>
              <w:rPr>
                <w:b/>
              </w:rPr>
              <w:t>VBECS</w:t>
            </w:r>
          </w:p>
        </w:tc>
      </w:tr>
      <w:tr w:rsidR="001615A5" w14:paraId="7ED55032" w14:textId="77777777" w:rsidTr="007E3EE1">
        <w:tc>
          <w:tcPr>
            <w:tcW w:w="3505" w:type="dxa"/>
          </w:tcPr>
          <w:p w14:paraId="3E37E566" w14:textId="4DE9034E" w:rsidR="001615A5" w:rsidRDefault="0015006E" w:rsidP="0065349F">
            <w:pPr>
              <w:pStyle w:val="TableTextNumbers"/>
            </w:pPr>
            <w:r>
              <w:t>To close the VBECS application, either:</w:t>
            </w:r>
          </w:p>
          <w:p w14:paraId="7F30A55E" w14:textId="77777777" w:rsidR="00EF4212" w:rsidRDefault="00EF4212" w:rsidP="00EF4212">
            <w:pPr>
              <w:pStyle w:val="TableTextNumbers"/>
              <w:numPr>
                <w:ilvl w:val="0"/>
                <w:numId w:val="0"/>
              </w:numPr>
              <w:ind w:left="288"/>
            </w:pPr>
          </w:p>
          <w:p w14:paraId="4F3775CB" w14:textId="168267B4" w:rsidR="0015006E" w:rsidRDefault="009848A6" w:rsidP="00EF4212">
            <w:pPr>
              <w:pStyle w:val="TableTextNumbers"/>
              <w:numPr>
                <w:ilvl w:val="0"/>
                <w:numId w:val="0"/>
              </w:numPr>
              <w:ind w:left="288"/>
            </w:pPr>
            <w:r>
              <w:t xml:space="preserve">Select </w:t>
            </w:r>
            <w:r w:rsidR="0015006E" w:rsidRPr="00823973">
              <w:rPr>
                <w:b/>
                <w:bCs/>
              </w:rPr>
              <w:t>File</w:t>
            </w:r>
            <w:r w:rsidR="00823973">
              <w:t>.</w:t>
            </w:r>
          </w:p>
          <w:p w14:paraId="49C0EEF3" w14:textId="485C9D2D" w:rsidR="009848A6" w:rsidRDefault="009848A6" w:rsidP="00EF4212">
            <w:pPr>
              <w:pStyle w:val="TableTextNumbers"/>
              <w:numPr>
                <w:ilvl w:val="0"/>
                <w:numId w:val="0"/>
              </w:numPr>
              <w:ind w:left="288"/>
            </w:pPr>
            <w:r>
              <w:t xml:space="preserve">Select </w:t>
            </w:r>
            <w:r w:rsidRPr="00823973">
              <w:rPr>
                <w:b/>
                <w:bCs/>
              </w:rPr>
              <w:t>Exit VBECS</w:t>
            </w:r>
            <w:r>
              <w:t>.</w:t>
            </w:r>
          </w:p>
          <w:p w14:paraId="5AFB7C3B" w14:textId="77777777" w:rsidR="00EF4212" w:rsidRDefault="00EF4212" w:rsidP="009848A6">
            <w:pPr>
              <w:pStyle w:val="TableTextNumbers"/>
              <w:numPr>
                <w:ilvl w:val="0"/>
                <w:numId w:val="0"/>
              </w:numPr>
              <w:ind w:left="288" w:hanging="288"/>
            </w:pPr>
          </w:p>
          <w:p w14:paraId="2406AA41" w14:textId="084505C8" w:rsidR="009848A6" w:rsidRDefault="009848A6" w:rsidP="009848A6">
            <w:pPr>
              <w:pStyle w:val="TableTextNumbers"/>
              <w:numPr>
                <w:ilvl w:val="0"/>
                <w:numId w:val="0"/>
              </w:numPr>
              <w:ind w:left="288" w:hanging="288"/>
            </w:pPr>
            <w:r>
              <w:t>OR</w:t>
            </w:r>
          </w:p>
          <w:p w14:paraId="149E0289" w14:textId="0CD40E20" w:rsidR="009848A6" w:rsidRDefault="009848A6" w:rsidP="009848A6">
            <w:pPr>
              <w:pStyle w:val="TableTextNumbers"/>
              <w:numPr>
                <w:ilvl w:val="0"/>
                <w:numId w:val="0"/>
              </w:numPr>
              <w:ind w:left="288" w:hanging="288"/>
            </w:pPr>
          </w:p>
          <w:p w14:paraId="1F1903FB" w14:textId="77233ED5" w:rsidR="00D91621" w:rsidRDefault="009848A6" w:rsidP="00823973">
            <w:pPr>
              <w:pStyle w:val="TableTextNumbers"/>
              <w:numPr>
                <w:ilvl w:val="0"/>
                <w:numId w:val="0"/>
              </w:numPr>
              <w:ind w:left="288"/>
            </w:pPr>
            <w:r>
              <w:t xml:space="preserve">In the top right corner of the VBECS application, click the </w:t>
            </w:r>
            <w:r w:rsidRPr="00823973">
              <w:rPr>
                <w:b/>
                <w:bCs/>
              </w:rPr>
              <w:t>X</w:t>
            </w:r>
            <w:r w:rsidR="00A718C8">
              <w:t xml:space="preserve"> to close the application window</w:t>
            </w:r>
            <w:r w:rsidR="00D91621">
              <w:t>.</w:t>
            </w:r>
            <w:r w:rsidR="00D91621">
              <w:rPr>
                <w:noProof/>
              </w:rPr>
              <w:drawing>
                <wp:inline distT="0" distB="0" distL="0" distR="0" wp14:anchorId="13EB0746" wp14:editId="7973A548">
                  <wp:extent cx="1162861" cy="457200"/>
                  <wp:effectExtent l="0" t="0" r="0" b="0"/>
                  <wp:docPr id="192" name="Picture 192" descr="Example of VBECS close op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Example of VBECS close option screen cap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2861" cy="457200"/>
                          </a:xfrm>
                          <a:prstGeom prst="rect">
                            <a:avLst/>
                          </a:prstGeom>
                          <a:noFill/>
                          <a:ln>
                            <a:noFill/>
                          </a:ln>
                        </pic:spPr>
                      </pic:pic>
                    </a:graphicData>
                  </a:graphic>
                </wp:inline>
              </w:drawing>
            </w:r>
          </w:p>
          <w:p w14:paraId="44C22A1D" w14:textId="67D676EB" w:rsidR="00A15FF4" w:rsidRDefault="00A15FF4" w:rsidP="009848A6">
            <w:pPr>
              <w:pStyle w:val="TableTextNumbers"/>
              <w:numPr>
                <w:ilvl w:val="0"/>
                <w:numId w:val="0"/>
              </w:numPr>
              <w:ind w:left="288" w:hanging="288"/>
            </w:pPr>
          </w:p>
          <w:p w14:paraId="299D1427" w14:textId="4C988B9E" w:rsidR="00A15FF4" w:rsidRDefault="00A15FF4" w:rsidP="009848A6">
            <w:pPr>
              <w:pStyle w:val="TableTextNumbers"/>
              <w:numPr>
                <w:ilvl w:val="0"/>
                <w:numId w:val="0"/>
              </w:numPr>
              <w:ind w:left="288" w:hanging="288"/>
            </w:pPr>
            <w:r>
              <w:t>OR</w:t>
            </w:r>
          </w:p>
          <w:p w14:paraId="133114B4" w14:textId="5CF3EADF" w:rsidR="00A15FF4" w:rsidRDefault="00A15FF4" w:rsidP="009848A6">
            <w:pPr>
              <w:pStyle w:val="TableTextNumbers"/>
              <w:numPr>
                <w:ilvl w:val="0"/>
                <w:numId w:val="0"/>
              </w:numPr>
              <w:ind w:left="288" w:hanging="288"/>
            </w:pPr>
          </w:p>
          <w:p w14:paraId="148650AB" w14:textId="66B3B8C0" w:rsidR="00A15FF4" w:rsidRDefault="00A15FF4" w:rsidP="00823973">
            <w:pPr>
              <w:pStyle w:val="TableTextNumbers"/>
              <w:numPr>
                <w:ilvl w:val="0"/>
                <w:numId w:val="0"/>
              </w:numPr>
              <w:ind w:left="288"/>
            </w:pPr>
            <w:r>
              <w:t xml:space="preserve">Press </w:t>
            </w:r>
            <w:r w:rsidRPr="00823973">
              <w:rPr>
                <w:b/>
                <w:bCs/>
              </w:rPr>
              <w:t>Alt</w:t>
            </w:r>
            <w:r w:rsidR="00DE03AF" w:rsidRPr="00823973">
              <w:rPr>
                <w:b/>
                <w:bCs/>
              </w:rPr>
              <w:t>+</w:t>
            </w:r>
            <w:r w:rsidRPr="00823973">
              <w:rPr>
                <w:b/>
                <w:bCs/>
              </w:rPr>
              <w:t>F4</w:t>
            </w:r>
            <w:r w:rsidR="00823973" w:rsidRPr="00823973">
              <w:t>.</w:t>
            </w:r>
          </w:p>
          <w:p w14:paraId="207986E7" w14:textId="77777777" w:rsidR="00B32BF6" w:rsidRDefault="00B32BF6" w:rsidP="00EF4212">
            <w:pPr>
              <w:pStyle w:val="TableTextNumbers"/>
              <w:numPr>
                <w:ilvl w:val="0"/>
                <w:numId w:val="0"/>
              </w:numPr>
              <w:ind w:left="288"/>
            </w:pPr>
          </w:p>
          <w:p w14:paraId="1156EB9E" w14:textId="77777777" w:rsidR="007E3EE1" w:rsidRDefault="007E3EE1" w:rsidP="00823973">
            <w:pPr>
              <w:pStyle w:val="TableTextNumbers"/>
              <w:numPr>
                <w:ilvl w:val="0"/>
                <w:numId w:val="0"/>
              </w:numPr>
              <w:ind w:left="288"/>
            </w:pPr>
          </w:p>
          <w:p w14:paraId="19E5EFB0" w14:textId="41C59349" w:rsidR="001615A5" w:rsidRDefault="000607CC" w:rsidP="00823973">
            <w:pPr>
              <w:pStyle w:val="TableTextNumbers"/>
              <w:numPr>
                <w:ilvl w:val="0"/>
                <w:numId w:val="0"/>
              </w:numPr>
              <w:ind w:left="288"/>
            </w:pPr>
            <w:r>
              <w:t>VBECS will prompt you to confirm you would like to close the application.</w:t>
            </w:r>
          </w:p>
        </w:tc>
        <w:tc>
          <w:tcPr>
            <w:tcW w:w="5963" w:type="dxa"/>
          </w:tcPr>
          <w:p w14:paraId="2528DF99" w14:textId="5517BEE9" w:rsidR="001615A5" w:rsidRPr="00374EA9" w:rsidRDefault="009625A8" w:rsidP="0065349F">
            <w:pPr>
              <w:pStyle w:val="TableTextBullet"/>
              <w:rPr>
                <w:b/>
                <w:bCs/>
                <w:szCs w:val="18"/>
              </w:rPr>
            </w:pPr>
            <w:r>
              <w:t xml:space="preserve">The user </w:t>
            </w:r>
            <w:r w:rsidR="004D0A70">
              <w:t>is</w:t>
            </w:r>
            <w:r>
              <w:t xml:space="preserve"> </w:t>
            </w:r>
            <w:r w:rsidR="00AC123F">
              <w:t xml:space="preserve">closed </w:t>
            </w:r>
            <w:r w:rsidR="00DD077F">
              <w:t>out of VBECS</w:t>
            </w:r>
            <w:r w:rsidR="001615A5">
              <w:t>.</w:t>
            </w:r>
          </w:p>
          <w:p w14:paraId="0999F1F6" w14:textId="7B14733E" w:rsidR="00374EA9" w:rsidRPr="00EF4212" w:rsidRDefault="00374EA9" w:rsidP="0065349F">
            <w:pPr>
              <w:pStyle w:val="TableTextBullet"/>
              <w:rPr>
                <w:b/>
                <w:bCs/>
                <w:szCs w:val="18"/>
              </w:rPr>
            </w:pPr>
            <w:r>
              <w:t>The user remains connected to the application server.</w:t>
            </w:r>
          </w:p>
          <w:p w14:paraId="4BBCEFE1" w14:textId="7FD92F59" w:rsidR="00EF4212" w:rsidRPr="002E1917" w:rsidRDefault="00374EA9" w:rsidP="0065349F">
            <w:pPr>
              <w:pStyle w:val="TableTextBullet"/>
              <w:rPr>
                <w:b/>
                <w:bCs/>
                <w:szCs w:val="18"/>
              </w:rPr>
            </w:pPr>
            <w:r>
              <w:t>The</w:t>
            </w:r>
            <w:r w:rsidR="00DE03AF">
              <w:t xml:space="preserve"> user’s</w:t>
            </w:r>
            <w:r>
              <w:t xml:space="preserve"> application server session remains open</w:t>
            </w:r>
            <w:r w:rsidR="00DE03AF">
              <w:t>/active</w:t>
            </w:r>
            <w:r>
              <w:t>.</w:t>
            </w:r>
          </w:p>
          <w:p w14:paraId="2C16B974" w14:textId="77777777" w:rsidR="002E1917" w:rsidRPr="00440657" w:rsidRDefault="002E1917" w:rsidP="002E1917">
            <w:pPr>
              <w:pStyle w:val="NotesText"/>
              <w:rPr>
                <w:b/>
                <w:bCs/>
                <w:szCs w:val="18"/>
              </w:rPr>
            </w:pPr>
          </w:p>
        </w:tc>
      </w:tr>
    </w:tbl>
    <w:p w14:paraId="3DE4F0D9" w14:textId="13674D8D" w:rsidR="00A63864" w:rsidRDefault="00A63864" w:rsidP="00922A50">
      <w:pPr>
        <w:pStyle w:val="Heading4"/>
      </w:pPr>
      <w:r>
        <w:t>Sign Out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963"/>
      </w:tblGrid>
      <w:tr w:rsidR="00922A50" w14:paraId="53925B33" w14:textId="77777777" w:rsidTr="004F5DD2">
        <w:trPr>
          <w:tblHeader/>
        </w:trPr>
        <w:tc>
          <w:tcPr>
            <w:tcW w:w="3505" w:type="dxa"/>
            <w:shd w:val="pct30" w:color="auto" w:fill="FFFFFF"/>
            <w:vAlign w:val="bottom"/>
          </w:tcPr>
          <w:p w14:paraId="2BD8E704" w14:textId="77777777" w:rsidR="00922A50" w:rsidRDefault="00922A50" w:rsidP="004F5DD2">
            <w:pPr>
              <w:pStyle w:val="TableText"/>
              <w:rPr>
                <w:b/>
              </w:rPr>
            </w:pPr>
            <w:r>
              <w:rPr>
                <w:b/>
              </w:rPr>
              <w:t>User Action</w:t>
            </w:r>
          </w:p>
        </w:tc>
        <w:tc>
          <w:tcPr>
            <w:tcW w:w="5963" w:type="dxa"/>
            <w:shd w:val="pct30" w:color="auto" w:fill="FFFFFF"/>
            <w:vAlign w:val="bottom"/>
          </w:tcPr>
          <w:p w14:paraId="3B23481D" w14:textId="77777777" w:rsidR="00922A50" w:rsidRDefault="00922A50" w:rsidP="004F5DD2">
            <w:pPr>
              <w:pStyle w:val="TableText"/>
              <w:rPr>
                <w:b/>
              </w:rPr>
            </w:pPr>
            <w:r>
              <w:rPr>
                <w:b/>
              </w:rPr>
              <w:t>VBECS</w:t>
            </w:r>
          </w:p>
        </w:tc>
      </w:tr>
      <w:tr w:rsidR="001615A5" w14:paraId="62D8E03C" w14:textId="77777777" w:rsidTr="007E3EE1">
        <w:tc>
          <w:tcPr>
            <w:tcW w:w="3505" w:type="dxa"/>
          </w:tcPr>
          <w:p w14:paraId="22F59118" w14:textId="4BC74672" w:rsidR="00D91621" w:rsidRDefault="001964E3" w:rsidP="00463A66">
            <w:pPr>
              <w:pStyle w:val="TableTextNumbers"/>
              <w:numPr>
                <w:ilvl w:val="0"/>
                <w:numId w:val="86"/>
              </w:numPr>
            </w:pPr>
            <w:r>
              <w:t xml:space="preserve">On the application server’s desktop, in the top left corner, </w:t>
            </w:r>
            <w:r w:rsidR="00DA0FEB">
              <w:t>double-</w:t>
            </w:r>
            <w:r>
              <w:t xml:space="preserve">click </w:t>
            </w:r>
            <w:r w:rsidRPr="00823973">
              <w:rPr>
                <w:b/>
                <w:bCs/>
              </w:rPr>
              <w:t>Sign Out</w:t>
            </w:r>
            <w:r w:rsidR="00D91621">
              <w:t>.</w:t>
            </w:r>
          </w:p>
          <w:p w14:paraId="5872876F" w14:textId="07856162" w:rsidR="001615A5" w:rsidRDefault="00D3749E" w:rsidP="00D91621">
            <w:pPr>
              <w:pStyle w:val="TableTextNumbers"/>
              <w:numPr>
                <w:ilvl w:val="0"/>
                <w:numId w:val="0"/>
              </w:numPr>
              <w:ind w:left="288"/>
            </w:pPr>
            <w:r>
              <w:rPr>
                <w:noProof/>
              </w:rPr>
              <w:drawing>
                <wp:inline distT="0" distB="0" distL="0" distR="0" wp14:anchorId="708C16B8" wp14:editId="63950C14">
                  <wp:extent cx="432212" cy="457200"/>
                  <wp:effectExtent l="0" t="0" r="6350" b="0"/>
                  <wp:docPr id="191" name="Picture 191" descr="Example of Sign Out ic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Example of Sign Out icon screen cap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212" cy="457200"/>
                          </a:xfrm>
                          <a:prstGeom prst="rect">
                            <a:avLst/>
                          </a:prstGeom>
                          <a:noFill/>
                          <a:ln>
                            <a:noFill/>
                          </a:ln>
                        </pic:spPr>
                      </pic:pic>
                    </a:graphicData>
                  </a:graphic>
                </wp:inline>
              </w:drawing>
            </w:r>
          </w:p>
          <w:p w14:paraId="3CC299E5" w14:textId="77777777" w:rsidR="001615A5" w:rsidRDefault="001615A5" w:rsidP="001964E3">
            <w:pPr>
              <w:pStyle w:val="TableTextNumbers"/>
              <w:numPr>
                <w:ilvl w:val="0"/>
                <w:numId w:val="0"/>
              </w:numPr>
              <w:ind w:left="288" w:hanging="288"/>
            </w:pPr>
          </w:p>
          <w:p w14:paraId="65E92F15" w14:textId="5E3F2F7E" w:rsidR="00AC123F" w:rsidRPr="00AC123F" w:rsidRDefault="00AC123F" w:rsidP="00AC123F">
            <w:pPr>
              <w:pStyle w:val="TableTextNumbersContinued"/>
            </w:pPr>
            <w:r>
              <w:t xml:space="preserve">If VBECS was running with unsaved changes, the server will protect you against data loss by presenting </w:t>
            </w:r>
            <w:r w:rsidR="00EE455E">
              <w:t xml:space="preserve">Figure </w:t>
            </w:r>
            <w:r w:rsidR="00EE455E">
              <w:rPr>
                <w:noProof/>
              </w:rPr>
              <w:t>18</w:t>
            </w:r>
            <w:r>
              <w:t xml:space="preserve">. Click </w:t>
            </w:r>
            <w:r>
              <w:rPr>
                <w:b/>
                <w:bCs/>
              </w:rPr>
              <w:t>Sign out anyway</w:t>
            </w:r>
            <w:r>
              <w:t xml:space="preserve"> to proceed with signing out.</w:t>
            </w:r>
          </w:p>
          <w:p w14:paraId="3DC028F2" w14:textId="77777777" w:rsidR="00AC123F" w:rsidRDefault="00AC123F" w:rsidP="00AC123F">
            <w:pPr>
              <w:pStyle w:val="TableTextNumbersContinued"/>
            </w:pPr>
          </w:p>
          <w:p w14:paraId="1096C79A" w14:textId="0FEFB079" w:rsidR="001615A5" w:rsidRDefault="00AC123F" w:rsidP="00AC123F">
            <w:pPr>
              <w:pStyle w:val="TableTextNumbersContinued"/>
            </w:pPr>
            <w:r>
              <w:t>If you have not responded within 30 seconds, the message will disappear and the sign out process is automatically canceled.</w:t>
            </w:r>
          </w:p>
        </w:tc>
        <w:tc>
          <w:tcPr>
            <w:tcW w:w="5963" w:type="dxa"/>
          </w:tcPr>
          <w:p w14:paraId="6634C1E4" w14:textId="77777777" w:rsidR="00AC123F" w:rsidRPr="00374EA9" w:rsidRDefault="00AC123F" w:rsidP="00AC123F">
            <w:pPr>
              <w:pStyle w:val="TableTextBullet"/>
              <w:rPr>
                <w:b/>
                <w:bCs/>
                <w:szCs w:val="18"/>
              </w:rPr>
            </w:pPr>
            <w:r>
              <w:t>The user is closed out of VBECS.</w:t>
            </w:r>
          </w:p>
          <w:p w14:paraId="10FF3407" w14:textId="36EFB76D" w:rsidR="00AC123F" w:rsidRPr="00EF4212" w:rsidRDefault="00AC123F" w:rsidP="00AC123F">
            <w:pPr>
              <w:pStyle w:val="TableTextBullet"/>
              <w:rPr>
                <w:b/>
                <w:bCs/>
                <w:szCs w:val="18"/>
              </w:rPr>
            </w:pPr>
            <w:r>
              <w:t>The user is disconnected from the application server.</w:t>
            </w:r>
          </w:p>
          <w:p w14:paraId="17B7021D" w14:textId="4A077576" w:rsidR="001615A5" w:rsidRPr="00AC123F" w:rsidRDefault="00AC123F" w:rsidP="00AC123F">
            <w:pPr>
              <w:pStyle w:val="TableTextBullet"/>
              <w:rPr>
                <w:b/>
                <w:bCs/>
                <w:szCs w:val="18"/>
              </w:rPr>
            </w:pPr>
            <w:r>
              <w:t xml:space="preserve">The </w:t>
            </w:r>
            <w:r w:rsidR="00B168CE">
              <w:t xml:space="preserve">user’s </w:t>
            </w:r>
            <w:r>
              <w:t>application server session is closed</w:t>
            </w:r>
            <w:r w:rsidR="00B168CE">
              <w:t>/ends</w:t>
            </w:r>
            <w:r>
              <w:t>.</w:t>
            </w:r>
          </w:p>
        </w:tc>
      </w:tr>
    </w:tbl>
    <w:p w14:paraId="7A8598E5" w14:textId="3065F0F3" w:rsidR="00792CD6" w:rsidRDefault="00E504C7" w:rsidP="00E504C7">
      <w:pPr>
        <w:pStyle w:val="Caption"/>
      </w:pPr>
      <w:bookmarkStart w:id="103" w:name="_Ref125620874"/>
      <w:bookmarkStart w:id="104" w:name="_Ref82413624"/>
      <w:r>
        <w:lastRenderedPageBreak/>
        <w:t xml:space="preserve">Figure </w:t>
      </w:r>
      <w:r w:rsidR="00E2140B">
        <w:fldChar w:fldCharType="begin"/>
      </w:r>
      <w:r w:rsidR="00E2140B">
        <w:instrText xml:space="preserve"> SEQ Figure \* ARABIC </w:instrText>
      </w:r>
      <w:r w:rsidR="00E2140B">
        <w:fldChar w:fldCharType="separate"/>
      </w:r>
      <w:r w:rsidR="00E2140B">
        <w:rPr>
          <w:noProof/>
        </w:rPr>
        <w:t>18</w:t>
      </w:r>
      <w:r w:rsidR="00E2140B">
        <w:rPr>
          <w:noProof/>
        </w:rPr>
        <w:fldChar w:fldCharType="end"/>
      </w:r>
      <w:bookmarkEnd w:id="103"/>
      <w:r>
        <w:t>: Example of Sign Out Preventing VBECS Data Loss</w:t>
      </w:r>
      <w:bookmarkEnd w:id="104"/>
    </w:p>
    <w:p w14:paraId="70DF6645" w14:textId="4361F027" w:rsidR="00792CD6" w:rsidRDefault="00792CD6" w:rsidP="00792CD6">
      <w:r>
        <w:rPr>
          <w:noProof/>
        </w:rPr>
        <w:drawing>
          <wp:inline distT="0" distB="0" distL="0" distR="0" wp14:anchorId="2B306453" wp14:editId="66075C04">
            <wp:extent cx="4831080" cy="2579370"/>
            <wp:effectExtent l="0" t="0" r="7620" b="0"/>
            <wp:docPr id="181" name="Picture 181" descr="Example of Sign Out Preventing VBECS Data Los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ple of Sign Out Preventing VBECS Data Loss screen cap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1080" cy="2579370"/>
                    </a:xfrm>
                    <a:prstGeom prst="rect">
                      <a:avLst/>
                    </a:prstGeom>
                    <a:noFill/>
                    <a:ln>
                      <a:noFill/>
                    </a:ln>
                  </pic:spPr>
                </pic:pic>
              </a:graphicData>
            </a:graphic>
          </wp:inline>
        </w:drawing>
      </w:r>
    </w:p>
    <w:p w14:paraId="3552C639" w14:textId="2E488C7F" w:rsidR="004A48EB" w:rsidRDefault="004A48EB" w:rsidP="006B317D">
      <w:pPr>
        <w:pStyle w:val="Heading4"/>
      </w:pPr>
      <w:r>
        <w:t>Disconnect</w:t>
      </w:r>
    </w:p>
    <w:p w14:paraId="3042A626" w14:textId="7246D7D8" w:rsidR="00DF0A1D" w:rsidRDefault="00DF0A1D" w:rsidP="006B317D">
      <w:pPr>
        <w:keepNext/>
        <w:rPr>
          <w:spacing w:val="-5"/>
          <w:sz w:val="22"/>
          <w:szCs w:val="22"/>
        </w:rPr>
      </w:pPr>
      <w:r w:rsidRPr="00AC7CC7">
        <w:rPr>
          <w:spacing w:val="-5"/>
          <w:sz w:val="22"/>
          <w:szCs w:val="22"/>
        </w:rPr>
        <w:t xml:space="preserve">Refer to the Remote Desktop section of the </w:t>
      </w:r>
      <w:r w:rsidRPr="00AC7CC7">
        <w:rPr>
          <w:i/>
          <w:iCs/>
          <w:spacing w:val="-5"/>
          <w:sz w:val="22"/>
          <w:szCs w:val="22"/>
        </w:rPr>
        <w:t>VBECS Technical Manual Security Guide</w:t>
      </w:r>
      <w:r w:rsidRPr="00AC7CC7">
        <w:rPr>
          <w:spacing w:val="-5"/>
          <w:sz w:val="22"/>
          <w:szCs w:val="22"/>
        </w:rPr>
        <w:t xml:space="preserve"> to learn more</w:t>
      </w:r>
      <w:r w:rsidR="00A07998">
        <w:rPr>
          <w:spacing w:val="-5"/>
          <w:sz w:val="22"/>
          <w:szCs w:val="22"/>
        </w:rPr>
        <w:t xml:space="preserve"> a</w:t>
      </w:r>
      <w:r w:rsidR="00F17E22">
        <w:rPr>
          <w:spacing w:val="-5"/>
          <w:sz w:val="22"/>
          <w:szCs w:val="22"/>
        </w:rPr>
        <w:t>bout remote desktop behavior.</w:t>
      </w:r>
    </w:p>
    <w:p w14:paraId="21B68631" w14:textId="77777777" w:rsidR="00E504C7" w:rsidRPr="00DF0A1D" w:rsidRDefault="00E504C7" w:rsidP="006B317D">
      <w:pPr>
        <w:keepNext/>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963"/>
      </w:tblGrid>
      <w:tr w:rsidR="004A48EB" w14:paraId="2C23FFC8" w14:textId="77777777" w:rsidTr="006B317D">
        <w:trPr>
          <w:cantSplit/>
          <w:tblHeader/>
        </w:trPr>
        <w:tc>
          <w:tcPr>
            <w:tcW w:w="3505" w:type="dxa"/>
            <w:shd w:val="pct30" w:color="auto" w:fill="FFFFFF"/>
            <w:vAlign w:val="bottom"/>
          </w:tcPr>
          <w:p w14:paraId="438B51DF" w14:textId="77777777" w:rsidR="004A48EB" w:rsidRDefault="004A48EB" w:rsidP="006B317D">
            <w:pPr>
              <w:pStyle w:val="TableText"/>
              <w:keepNext/>
              <w:rPr>
                <w:b/>
              </w:rPr>
            </w:pPr>
            <w:r>
              <w:rPr>
                <w:b/>
              </w:rPr>
              <w:t>User Action</w:t>
            </w:r>
          </w:p>
        </w:tc>
        <w:tc>
          <w:tcPr>
            <w:tcW w:w="5963" w:type="dxa"/>
            <w:shd w:val="pct30" w:color="auto" w:fill="FFFFFF"/>
            <w:vAlign w:val="bottom"/>
          </w:tcPr>
          <w:p w14:paraId="52D0B7B2" w14:textId="77777777" w:rsidR="004A48EB" w:rsidRDefault="004A48EB" w:rsidP="006B317D">
            <w:pPr>
              <w:pStyle w:val="TableText"/>
              <w:keepNext/>
              <w:rPr>
                <w:b/>
              </w:rPr>
            </w:pPr>
            <w:r>
              <w:rPr>
                <w:b/>
              </w:rPr>
              <w:t>VBECS</w:t>
            </w:r>
          </w:p>
        </w:tc>
      </w:tr>
      <w:tr w:rsidR="004A48EB" w14:paraId="444CCA0A" w14:textId="77777777" w:rsidTr="006B317D">
        <w:trPr>
          <w:cantSplit/>
        </w:trPr>
        <w:tc>
          <w:tcPr>
            <w:tcW w:w="3505" w:type="dxa"/>
          </w:tcPr>
          <w:p w14:paraId="7BEC612C" w14:textId="77777777" w:rsidR="00EE2073" w:rsidRDefault="004A48EB" w:rsidP="00463A66">
            <w:pPr>
              <w:pStyle w:val="TableTextNumbers"/>
              <w:numPr>
                <w:ilvl w:val="0"/>
                <w:numId w:val="87"/>
              </w:numPr>
            </w:pPr>
            <w:r>
              <w:t xml:space="preserve">On the application server’s desktop, in the </w:t>
            </w:r>
            <w:r w:rsidR="007D6B48">
              <w:t>bottom l</w:t>
            </w:r>
            <w:r>
              <w:t xml:space="preserve">eft corner, </w:t>
            </w:r>
          </w:p>
          <w:p w14:paraId="13F1EC93" w14:textId="4D1FE440" w:rsidR="00EE2073" w:rsidRDefault="007D6B48" w:rsidP="00EE2073">
            <w:pPr>
              <w:pStyle w:val="TableTextNumbers"/>
              <w:numPr>
                <w:ilvl w:val="0"/>
                <w:numId w:val="0"/>
              </w:numPr>
              <w:ind w:left="288"/>
            </w:pPr>
            <w:r>
              <w:t xml:space="preserve">click </w:t>
            </w:r>
            <w:r w:rsidRPr="00E504C7">
              <w:rPr>
                <w:b/>
                <w:bCs/>
              </w:rPr>
              <w:t>Start</w:t>
            </w:r>
            <w:r>
              <w:t xml:space="preserve"> </w:t>
            </w:r>
            <w:r w:rsidR="00EE2073">
              <w:t xml:space="preserve"> </w:t>
            </w:r>
            <w:r w:rsidR="002576B2" w:rsidRPr="002576B2">
              <w:rPr>
                <w:noProof/>
              </w:rPr>
              <w:drawing>
                <wp:inline distT="0" distB="0" distL="0" distR="0" wp14:anchorId="547A3690" wp14:editId="1E7221EF">
                  <wp:extent cx="323895" cy="304843"/>
                  <wp:effectExtent l="0" t="0" r="0" b="0"/>
                  <wp:docPr id="175" name="Picture 175" descr="Example of Windows ic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Example of Windows icon screen capture"/>
                          <pic:cNvPicPr/>
                        </pic:nvPicPr>
                        <pic:blipFill>
                          <a:blip r:embed="rId54"/>
                          <a:stretch>
                            <a:fillRect/>
                          </a:stretch>
                        </pic:blipFill>
                        <pic:spPr>
                          <a:xfrm>
                            <a:off x="0" y="0"/>
                            <a:ext cx="323895" cy="304843"/>
                          </a:xfrm>
                          <a:prstGeom prst="rect">
                            <a:avLst/>
                          </a:prstGeom>
                        </pic:spPr>
                      </pic:pic>
                    </a:graphicData>
                  </a:graphic>
                </wp:inline>
              </w:drawing>
            </w:r>
            <w:r w:rsidR="00EE2073">
              <w:t xml:space="preserve"> </w:t>
            </w:r>
            <w:r>
              <w:t xml:space="preserve">(the Windows icon), </w:t>
            </w:r>
          </w:p>
          <w:p w14:paraId="27B32CBA" w14:textId="77777777" w:rsidR="00EE2073" w:rsidRDefault="00EE2073" w:rsidP="00EE2073">
            <w:pPr>
              <w:pStyle w:val="TableTextNumbers"/>
              <w:numPr>
                <w:ilvl w:val="0"/>
                <w:numId w:val="0"/>
              </w:numPr>
            </w:pPr>
          </w:p>
          <w:p w14:paraId="7C186682" w14:textId="50EDC809" w:rsidR="004A48EB" w:rsidRDefault="007D6B48" w:rsidP="00EE2073">
            <w:pPr>
              <w:pStyle w:val="TableTextNumbers"/>
              <w:numPr>
                <w:ilvl w:val="0"/>
                <w:numId w:val="0"/>
              </w:numPr>
              <w:ind w:left="288"/>
            </w:pPr>
            <w:r w:rsidRPr="00EE2073">
              <w:rPr>
                <w:b/>
                <w:bCs/>
              </w:rPr>
              <w:t>Power</w:t>
            </w:r>
            <w:r w:rsidR="00EE2073">
              <w:rPr>
                <w:b/>
                <w:bCs/>
              </w:rPr>
              <w:t xml:space="preserve">  </w:t>
            </w:r>
            <w:r w:rsidR="002576B2" w:rsidRPr="002576B2">
              <w:rPr>
                <w:noProof/>
              </w:rPr>
              <w:drawing>
                <wp:inline distT="0" distB="0" distL="0" distR="0" wp14:anchorId="15DD964E" wp14:editId="57D499E7">
                  <wp:extent cx="257211" cy="238158"/>
                  <wp:effectExtent l="0" t="0" r="9525" b="9525"/>
                  <wp:docPr id="187" name="Picture 187" descr="Example of Power ic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Example of Power icon screen capture"/>
                          <pic:cNvPicPr/>
                        </pic:nvPicPr>
                        <pic:blipFill>
                          <a:blip r:embed="rId55"/>
                          <a:stretch>
                            <a:fillRect/>
                          </a:stretch>
                        </pic:blipFill>
                        <pic:spPr>
                          <a:xfrm>
                            <a:off x="0" y="0"/>
                            <a:ext cx="257211" cy="238158"/>
                          </a:xfrm>
                          <a:prstGeom prst="rect">
                            <a:avLst/>
                          </a:prstGeom>
                        </pic:spPr>
                      </pic:pic>
                    </a:graphicData>
                  </a:graphic>
                </wp:inline>
              </w:drawing>
            </w:r>
            <w:r w:rsidR="00EE2073">
              <w:rPr>
                <w:b/>
                <w:bCs/>
              </w:rPr>
              <w:t xml:space="preserve"> </w:t>
            </w:r>
            <w:r w:rsidR="00EE2073">
              <w:t>(</w:t>
            </w:r>
            <w:r>
              <w:t xml:space="preserve">the circle with a line icon), </w:t>
            </w:r>
            <w:r w:rsidRPr="00E504C7">
              <w:rPr>
                <w:b/>
                <w:bCs/>
              </w:rPr>
              <w:t>Disconnect</w:t>
            </w:r>
            <w:r>
              <w:t>.</w:t>
            </w:r>
          </w:p>
          <w:p w14:paraId="05C33E52" w14:textId="2E3A89C9" w:rsidR="009701C6" w:rsidRDefault="009701C6" w:rsidP="009701C6">
            <w:pPr>
              <w:pStyle w:val="TableTextNumbers"/>
              <w:numPr>
                <w:ilvl w:val="0"/>
                <w:numId w:val="0"/>
              </w:numPr>
              <w:ind w:left="288"/>
            </w:pPr>
            <w:r>
              <w:rPr>
                <w:noProof/>
              </w:rPr>
              <w:drawing>
                <wp:inline distT="0" distB="0" distL="0" distR="0" wp14:anchorId="16C4AE20" wp14:editId="6FF04DE5">
                  <wp:extent cx="1031680" cy="1143000"/>
                  <wp:effectExtent l="0" t="0" r="0" b="0"/>
                  <wp:docPr id="183" name="Picture 183" descr="Example of Disconnect menu op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Example of Disconnect menu option screen cap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1680" cy="1143000"/>
                          </a:xfrm>
                          <a:prstGeom prst="rect">
                            <a:avLst/>
                          </a:prstGeom>
                          <a:noFill/>
                          <a:ln>
                            <a:noFill/>
                          </a:ln>
                        </pic:spPr>
                      </pic:pic>
                    </a:graphicData>
                  </a:graphic>
                </wp:inline>
              </w:drawing>
            </w:r>
          </w:p>
          <w:p w14:paraId="4F2174AC" w14:textId="59F258E9" w:rsidR="004A48EB" w:rsidRDefault="004A48EB" w:rsidP="004F5DD2">
            <w:pPr>
              <w:pStyle w:val="TableTextNumbers"/>
              <w:numPr>
                <w:ilvl w:val="0"/>
                <w:numId w:val="0"/>
              </w:numPr>
              <w:ind w:left="288" w:hanging="288"/>
            </w:pPr>
          </w:p>
          <w:p w14:paraId="4149B750" w14:textId="09C27B69" w:rsidR="00085388" w:rsidRDefault="00085388" w:rsidP="004F5DD2">
            <w:pPr>
              <w:pStyle w:val="TableTextNumbers"/>
              <w:numPr>
                <w:ilvl w:val="0"/>
                <w:numId w:val="0"/>
              </w:numPr>
              <w:ind w:left="288" w:hanging="288"/>
            </w:pPr>
            <w:r>
              <w:t>OR</w:t>
            </w:r>
          </w:p>
          <w:p w14:paraId="05052571" w14:textId="317A1FAB" w:rsidR="00085388" w:rsidRDefault="00085388" w:rsidP="004F5DD2">
            <w:pPr>
              <w:pStyle w:val="TableTextNumbers"/>
              <w:numPr>
                <w:ilvl w:val="0"/>
                <w:numId w:val="0"/>
              </w:numPr>
              <w:ind w:left="288" w:hanging="288"/>
            </w:pPr>
          </w:p>
          <w:p w14:paraId="4DD6E65D" w14:textId="197E8950" w:rsidR="004A48EB" w:rsidRDefault="00085388" w:rsidP="00E504C7">
            <w:pPr>
              <w:pStyle w:val="TableTextNumbersContinued"/>
            </w:pPr>
            <w:r>
              <w:t>In the remote desktop window</w:t>
            </w:r>
            <w:r w:rsidR="00662B75">
              <w:t xml:space="preserve"> title bar or connection bar</w:t>
            </w:r>
            <w:r>
              <w:t xml:space="preserve">, click the </w:t>
            </w:r>
            <w:r w:rsidR="00D553A3" w:rsidRPr="00E504C7">
              <w:rPr>
                <w:b/>
                <w:bCs/>
              </w:rPr>
              <w:t>X</w:t>
            </w:r>
            <w:r w:rsidR="00A23FF9">
              <w:t>.</w:t>
            </w:r>
            <w:r w:rsidR="006621FD">
              <w:t xml:space="preserve"> If prompted about closing the remote desktop session, click </w:t>
            </w:r>
            <w:r w:rsidR="002A7CAB" w:rsidRPr="00E504C7">
              <w:rPr>
                <w:b/>
                <w:bCs/>
              </w:rPr>
              <w:t>OK</w:t>
            </w:r>
            <w:r w:rsidR="006621FD">
              <w:t>.</w:t>
            </w:r>
          </w:p>
        </w:tc>
        <w:tc>
          <w:tcPr>
            <w:tcW w:w="5963" w:type="dxa"/>
          </w:tcPr>
          <w:p w14:paraId="48505AB2" w14:textId="56946FD0" w:rsidR="004A48EB" w:rsidRPr="00374EA9" w:rsidRDefault="00B145BB" w:rsidP="004F5DD2">
            <w:pPr>
              <w:pStyle w:val="TableTextBullet"/>
              <w:rPr>
                <w:b/>
                <w:bCs/>
                <w:szCs w:val="18"/>
              </w:rPr>
            </w:pPr>
            <w:r>
              <w:t>The</w:t>
            </w:r>
            <w:r w:rsidR="00235A1D">
              <w:t xml:space="preserve"> VBECS </w:t>
            </w:r>
            <w:r>
              <w:t xml:space="preserve">application </w:t>
            </w:r>
            <w:r w:rsidR="00277C3A">
              <w:t>is unaffected</w:t>
            </w:r>
            <w:r w:rsidR="00A33FCC">
              <w:t>.</w:t>
            </w:r>
          </w:p>
          <w:p w14:paraId="4DB4417E" w14:textId="77777777" w:rsidR="004A48EB" w:rsidRPr="00EF4212" w:rsidRDefault="004A48EB" w:rsidP="004F5DD2">
            <w:pPr>
              <w:pStyle w:val="TableTextBullet"/>
              <w:rPr>
                <w:b/>
                <w:bCs/>
                <w:szCs w:val="18"/>
              </w:rPr>
            </w:pPr>
            <w:r>
              <w:t>The user is disconnected from the application server.</w:t>
            </w:r>
          </w:p>
          <w:p w14:paraId="17416F05" w14:textId="1F735860" w:rsidR="004A48EB" w:rsidRPr="00AC123F" w:rsidRDefault="004A48EB" w:rsidP="004F5DD2">
            <w:pPr>
              <w:pStyle w:val="TableTextBullet"/>
              <w:rPr>
                <w:b/>
                <w:bCs/>
                <w:szCs w:val="18"/>
              </w:rPr>
            </w:pPr>
            <w:r>
              <w:t xml:space="preserve">The application server session </w:t>
            </w:r>
            <w:r w:rsidR="00277C3A">
              <w:t xml:space="preserve">remains </w:t>
            </w:r>
            <w:r w:rsidR="00E33E4F">
              <w:t>active.</w:t>
            </w:r>
            <w:r w:rsidR="00A40500">
              <w:t xml:space="preserve"> The user may reconnect to this session</w:t>
            </w:r>
            <w:r w:rsidR="00E75743">
              <w:t xml:space="preserve"> from any workstation before it automatically ends after 60 minutes.</w:t>
            </w:r>
          </w:p>
        </w:tc>
      </w:tr>
    </w:tbl>
    <w:p w14:paraId="79EA18A0" w14:textId="7A7D126C" w:rsidR="009B4546" w:rsidRDefault="009B4546" w:rsidP="006B317D">
      <w:pPr>
        <w:pStyle w:val="Heading4"/>
      </w:pPr>
      <w:r>
        <w:lastRenderedPageBreak/>
        <w:t xml:space="preserve">Local Machine Screen </w:t>
      </w:r>
      <w:r w:rsidR="00BF4B65">
        <w:t>Resolution</w:t>
      </w:r>
      <w:r>
        <w:fldChar w:fldCharType="begin"/>
      </w:r>
      <w:r>
        <w:instrText xml:space="preserve"> XE "Local Machine </w:instrText>
      </w:r>
      <w:r w:rsidRPr="00775368">
        <w:instrText xml:space="preserve">Screen </w:instrText>
      </w:r>
      <w:r w:rsidR="00BF4B65">
        <w:instrText>Resolution</w:instrText>
      </w:r>
      <w:r>
        <w:instrText xml:space="preserve">" </w:instrText>
      </w:r>
      <w:r>
        <w:fldChar w:fldCharType="end"/>
      </w:r>
    </w:p>
    <w:p w14:paraId="24BF9F4C" w14:textId="202BA43C" w:rsidR="009B4546" w:rsidRPr="00AB3B2D" w:rsidRDefault="00057948" w:rsidP="001964E3">
      <w:pPr>
        <w:pStyle w:val="Caution"/>
        <w:rPr>
          <w:i w:val="0"/>
        </w:rPr>
      </w:pPr>
      <w:bookmarkStart w:id="105" w:name="OLE_LINK47"/>
      <w:bookmarkStart w:id="106" w:name="OLE_LINK48"/>
      <w:r>
        <w:rPr>
          <w:noProof/>
        </w:rPr>
        <w:drawing>
          <wp:inline distT="0" distB="0" distL="0" distR="0" wp14:anchorId="4171A323" wp14:editId="05AD8616">
            <wp:extent cx="267970" cy="221615"/>
            <wp:effectExtent l="0" t="0" r="0" b="6985"/>
            <wp:docPr id="56" name="Picture 5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B4546">
        <w:t xml:space="preserve"> </w:t>
      </w:r>
      <w:bookmarkEnd w:id="105"/>
      <w:bookmarkEnd w:id="106"/>
      <w:r w:rsidR="0078056E">
        <w:t>Set t</w:t>
      </w:r>
      <w:r w:rsidR="009B4546">
        <w:t xml:space="preserve">he local machine’s desktop </w:t>
      </w:r>
      <w:r w:rsidR="00BF4B65">
        <w:t>resolution</w:t>
      </w:r>
      <w:r w:rsidR="009B4546">
        <w:t xml:space="preserve"> to 1</w:t>
      </w:r>
      <w:r w:rsidR="00BF4B65">
        <w:t>02</w:t>
      </w:r>
      <w:r w:rsidR="009B4546">
        <w:t xml:space="preserve">4 </w:t>
      </w:r>
      <w:r w:rsidR="00176587">
        <w:t>by</w:t>
      </w:r>
      <w:r w:rsidR="009B4546">
        <w:t xml:space="preserve"> 768 pixels</w:t>
      </w:r>
      <w:r w:rsidR="006E036F">
        <w:t xml:space="preserve"> </w:t>
      </w:r>
      <w:r w:rsidR="006E036F" w:rsidRPr="00624D16">
        <w:t>or higher</w:t>
      </w:r>
      <w:r w:rsidR="0078056E" w:rsidRPr="00624D16">
        <w:t xml:space="preserve"> for</w:t>
      </w:r>
      <w:r w:rsidR="0078056E">
        <w:t xml:space="preserve"> optimal display</w:t>
      </w:r>
      <w:r w:rsidR="009B4546">
        <w:t>.</w:t>
      </w:r>
      <w:r w:rsidR="00740FD0">
        <w:t xml:space="preserve"> Failure to maintain these settings may result in partial display of safety-critical information.</w:t>
      </w:r>
      <w:r w:rsidR="00AB3B2D">
        <w:rPr>
          <w:i w:val="0"/>
          <w:vanish/>
        </w:rPr>
        <w:t xml:space="preserve"> DR 3738</w:t>
      </w:r>
    </w:p>
    <w:p w14:paraId="397608D9" w14:textId="32DF29AB" w:rsidR="00727879" w:rsidRDefault="00EA07D7" w:rsidP="001964E3">
      <w:pPr>
        <w:pStyle w:val="Heading3"/>
        <w:keepNext w:val="0"/>
      </w:pPr>
      <w:bookmarkStart w:id="107" w:name="_Toc163644862"/>
      <w:r>
        <w:t>Application Windows</w:t>
      </w:r>
      <w:bookmarkEnd w:id="107"/>
      <w:r>
        <w:t xml:space="preserve"> </w:t>
      </w:r>
      <w:r w:rsidR="00D07403">
        <w:fldChar w:fldCharType="begin"/>
      </w:r>
      <w:r w:rsidR="00D07403">
        <w:instrText xml:space="preserve"> XE "</w:instrText>
      </w:r>
      <w:r w:rsidR="00D07403" w:rsidRPr="00775368">
        <w:instrText>Screen Display</w:instrText>
      </w:r>
      <w:r w:rsidR="00D07403">
        <w:instrText xml:space="preserve">" </w:instrText>
      </w:r>
      <w:r w:rsidR="00D07403">
        <w:fldChar w:fldCharType="end"/>
      </w:r>
    </w:p>
    <w:p w14:paraId="003E3DE9" w14:textId="77777777" w:rsidR="002A21AE" w:rsidRDefault="002A21AE" w:rsidP="001964E3">
      <w:pPr>
        <w:pStyle w:val="BodyText"/>
      </w:pPr>
      <w:r>
        <w:t xml:space="preserve">A </w:t>
      </w:r>
      <w:r>
        <w:rPr>
          <w:i/>
        </w:rPr>
        <w:t>window</w:t>
      </w:r>
      <w:r>
        <w:t xml:space="preserve"> is the section of the screen that displays the active application or file. </w:t>
      </w:r>
    </w:p>
    <w:p w14:paraId="6ED9B549" w14:textId="6A063D8C" w:rsidR="002A21AE" w:rsidRDefault="002A21AE" w:rsidP="00FA7E65">
      <w:pPr>
        <w:pStyle w:val="BodyText"/>
      </w:pPr>
      <w:r>
        <w:t>Click t</w:t>
      </w:r>
      <w:r w:rsidR="00634DAB">
        <w:t>he control buttons in the upper-</w:t>
      </w:r>
      <w:r>
        <w:t xml:space="preserve">right corner </w:t>
      </w:r>
      <w:r w:rsidR="00E627F1">
        <w:t>(</w:t>
      </w:r>
      <w:r w:rsidR="00EE455E">
        <w:t xml:space="preserve">Figure </w:t>
      </w:r>
      <w:r w:rsidR="00EE455E">
        <w:rPr>
          <w:noProof/>
        </w:rPr>
        <w:t>19</w:t>
      </w:r>
      <w:r w:rsidR="00E627F1">
        <w:t xml:space="preserve">) </w:t>
      </w:r>
      <w:r>
        <w:t xml:space="preserve">of an open file or application window to: </w:t>
      </w:r>
    </w:p>
    <w:p w14:paraId="310CA0B7" w14:textId="25F6B754" w:rsidR="002A21AE" w:rsidRDefault="002A21AE">
      <w:pPr>
        <w:pStyle w:val="ListBullet"/>
      </w:pPr>
      <w:r>
        <w:t xml:space="preserve">Minimize: reduce the window </w:t>
      </w:r>
      <w:r>
        <w:rPr>
          <w:szCs w:val="24"/>
        </w:rPr>
        <w:t xml:space="preserve">to appear as a button (rectangle) at the bottom of the screen. Click the button to enlarge the window to its </w:t>
      </w:r>
      <w:r w:rsidR="00262E92">
        <w:rPr>
          <w:szCs w:val="24"/>
        </w:rPr>
        <w:t>previous</w:t>
      </w:r>
      <w:r>
        <w:rPr>
          <w:szCs w:val="24"/>
        </w:rPr>
        <w:t xml:space="preserve"> size.</w:t>
      </w:r>
    </w:p>
    <w:p w14:paraId="4C7E639F" w14:textId="2D921430" w:rsidR="002A21AE" w:rsidRDefault="002A21AE">
      <w:pPr>
        <w:pStyle w:val="ListBullet"/>
      </w:pPr>
      <w:r>
        <w:t>Maximize: enlarge a window to fill the entire screen</w:t>
      </w:r>
      <w:r w:rsidR="00262E92">
        <w:t xml:space="preserve"> or parent window</w:t>
      </w:r>
    </w:p>
    <w:p w14:paraId="27C0AE1E" w14:textId="73FC921A" w:rsidR="002A21AE" w:rsidRDefault="002A21AE">
      <w:pPr>
        <w:pStyle w:val="ListBullet"/>
      </w:pPr>
      <w:r>
        <w:t>Restore: return a window to a smaller size that can be adjusted</w:t>
      </w:r>
      <w:r w:rsidR="00486D34">
        <w:t xml:space="preserve"> </w:t>
      </w:r>
      <w:r w:rsidR="007A3208">
        <w:t>(</w:t>
      </w:r>
      <w:r w:rsidR="00EE455E">
        <w:t xml:space="preserve">Figure </w:t>
      </w:r>
      <w:r w:rsidR="00EE455E">
        <w:rPr>
          <w:noProof/>
        </w:rPr>
        <w:t>20</w:t>
      </w:r>
      <w:r w:rsidR="00E627F1">
        <w:t>)</w:t>
      </w:r>
    </w:p>
    <w:p w14:paraId="25E48932" w14:textId="347BDD6D" w:rsidR="002A21AE" w:rsidRDefault="002A21AE">
      <w:pPr>
        <w:pStyle w:val="ListBullet"/>
      </w:pPr>
      <w:r>
        <w:t xml:space="preserve">Close: shut down a </w:t>
      </w:r>
      <w:r w:rsidR="00262E92">
        <w:t>window</w:t>
      </w:r>
      <w:r>
        <w:t xml:space="preserve"> or application </w:t>
      </w:r>
    </w:p>
    <w:p w14:paraId="4B7003E7" w14:textId="77777777" w:rsidR="00DF4846" w:rsidRPr="00DF4846" w:rsidRDefault="00057948" w:rsidP="00DF4846">
      <w:pPr>
        <w:pStyle w:val="Caution"/>
      </w:pPr>
      <w:r>
        <w:rPr>
          <w:noProof/>
        </w:rPr>
        <w:drawing>
          <wp:inline distT="0" distB="0" distL="0" distR="0" wp14:anchorId="5C98482B" wp14:editId="73E50C44">
            <wp:extent cx="267970" cy="221615"/>
            <wp:effectExtent l="0" t="0" r="0" b="6985"/>
            <wp:docPr id="62" name="Picture 6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F4846">
        <w:t xml:space="preserve"> Maximize option windows</w:t>
      </w:r>
      <w:r w:rsidR="00DF4846" w:rsidRPr="00DF4846">
        <w:t xml:space="preserve"> to display safety-critical information</w:t>
      </w:r>
      <w:r w:rsidR="00DF4846">
        <w:t xml:space="preserve"> in full.</w:t>
      </w:r>
      <w:r w:rsidR="00DF4846" w:rsidRPr="00DF4846">
        <w:rPr>
          <w:vanish/>
        </w:rPr>
        <w:t xml:space="preserve"> UserDoc Task 1124.</w:t>
      </w:r>
    </w:p>
    <w:p w14:paraId="532558AC" w14:textId="63B88FC3" w:rsidR="007A3208" w:rsidRDefault="007E150C" w:rsidP="007A3208">
      <w:pPr>
        <w:pStyle w:val="Caption"/>
      </w:pPr>
      <w:bookmarkStart w:id="108" w:name="_Ref39344403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19</w:t>
      </w:r>
      <w:r w:rsidR="004E20BD">
        <w:rPr>
          <w:noProof/>
        </w:rPr>
        <w:fldChar w:fldCharType="end"/>
      </w:r>
      <w:bookmarkEnd w:id="108"/>
      <w:r>
        <w:t xml:space="preserve">: </w:t>
      </w:r>
      <w:r w:rsidR="00DE2276">
        <w:t xml:space="preserve">Example of </w:t>
      </w:r>
      <w:r>
        <w:t>Resize or Close a Window</w:t>
      </w:r>
    </w:p>
    <w:p w14:paraId="11DF0C4B" w14:textId="307A4168" w:rsidR="00CB5D3F" w:rsidRPr="00CB5D3F" w:rsidRDefault="00CB5D3F" w:rsidP="00CB5D3F">
      <w:pPr>
        <w:pStyle w:val="BodyText"/>
      </w:pPr>
      <w:r>
        <w:rPr>
          <w:noProof/>
        </w:rPr>
        <mc:AlternateContent>
          <mc:Choice Requires="wpc">
            <w:drawing>
              <wp:inline distT="0" distB="0" distL="0" distR="0" wp14:anchorId="5D2C0520" wp14:editId="6801D754">
                <wp:extent cx="3848100" cy="1009650"/>
                <wp:effectExtent l="0" t="0" r="0" b="0"/>
                <wp:docPr id="68" name="Canvas 2" descr="Example of Resize or Close a Window screen captur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160" y="494665"/>
                            <a:ext cx="344360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5"/>
                        <wps:cNvCnPr/>
                        <wps:spPr bwMode="auto">
                          <a:xfrm flipH="1">
                            <a:off x="3299460" y="349250"/>
                            <a:ext cx="208280" cy="22923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6"/>
                        <wps:cNvSpPr>
                          <a:spLocks noChangeArrowheads="1"/>
                        </wps:cNvSpPr>
                        <wps:spPr bwMode="auto">
                          <a:xfrm>
                            <a:off x="3597910" y="298450"/>
                            <a:ext cx="2273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61A1" w14:textId="77777777" w:rsidR="00EA60B6" w:rsidRDefault="00EA60B6" w:rsidP="00CB5D3F">
                              <w:r>
                                <w:rPr>
                                  <w:rFonts w:ascii="Arial" w:hAnsi="Arial" w:cs="Arial"/>
                                  <w:color w:val="000000"/>
                                  <w:sz w:val="14"/>
                                  <w:szCs w:val="14"/>
                                </w:rPr>
                                <w:t>Close</w:t>
                              </w:r>
                            </w:p>
                          </w:txbxContent>
                        </wps:txbx>
                        <wps:bodyPr rot="0" vert="horz" wrap="square" lIns="0" tIns="0" rIns="0" bIns="0" anchor="t" anchorCtr="0" upright="1">
                          <a:noAutofit/>
                        </wps:bodyPr>
                      </wps:wsp>
                      <wps:wsp>
                        <wps:cNvPr id="61" name="Line 7"/>
                        <wps:cNvCnPr/>
                        <wps:spPr bwMode="auto">
                          <a:xfrm>
                            <a:off x="2880995" y="421005"/>
                            <a:ext cx="104775" cy="15748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8"/>
                        <wps:cNvSpPr>
                          <a:spLocks noChangeArrowheads="1"/>
                        </wps:cNvSpPr>
                        <wps:spPr bwMode="auto">
                          <a:xfrm>
                            <a:off x="2693035" y="267970"/>
                            <a:ext cx="3511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8C6A0" w14:textId="77777777" w:rsidR="00EA60B6" w:rsidRDefault="00EA60B6" w:rsidP="00CB5D3F">
                              <w:r>
                                <w:rPr>
                                  <w:rFonts w:ascii="Arial" w:hAnsi="Arial" w:cs="Arial"/>
                                  <w:color w:val="000000"/>
                                  <w:sz w:val="14"/>
                                  <w:szCs w:val="14"/>
                                </w:rPr>
                                <w:t>Minimize</w:t>
                              </w:r>
                            </w:p>
                          </w:txbxContent>
                        </wps:txbx>
                        <wps:bodyPr rot="0" vert="horz" wrap="square" lIns="0" tIns="0" rIns="0" bIns="0" anchor="t" anchorCtr="0" upright="1">
                          <a:noAutofit/>
                        </wps:bodyPr>
                      </wps:wsp>
                      <wps:wsp>
                        <wps:cNvPr id="66" name="Line 9"/>
                        <wps:cNvCnPr/>
                        <wps:spPr bwMode="auto">
                          <a:xfrm flipH="1">
                            <a:off x="3142615" y="185420"/>
                            <a:ext cx="52070" cy="36639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10"/>
                        <wps:cNvSpPr>
                          <a:spLocks noChangeArrowheads="1"/>
                        </wps:cNvSpPr>
                        <wps:spPr bwMode="auto">
                          <a:xfrm>
                            <a:off x="3011805" y="30480"/>
                            <a:ext cx="375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18AE" w14:textId="77777777" w:rsidR="00EA60B6" w:rsidRDefault="00EA60B6" w:rsidP="00CB5D3F">
                              <w:r>
                                <w:rPr>
                                  <w:rFonts w:ascii="Arial" w:hAnsi="Arial" w:cs="Arial"/>
                                  <w:color w:val="000000"/>
                                  <w:sz w:val="14"/>
                                  <w:szCs w:val="14"/>
                                </w:rPr>
                                <w:t xml:space="preserve">Maximize </w:t>
                              </w:r>
                            </w:p>
                          </w:txbxContent>
                        </wps:txbx>
                        <wps:bodyPr rot="0" vert="horz" wrap="square" lIns="0" tIns="0" rIns="0" bIns="0" anchor="t" anchorCtr="0" upright="1">
                          <a:noAutofit/>
                        </wps:bodyPr>
                      </wps:wsp>
                    </wpc:wpc>
                  </a:graphicData>
                </a:graphic>
              </wp:inline>
            </w:drawing>
          </mc:Choice>
          <mc:Fallback>
            <w:pict>
              <v:group w14:anchorId="5D2C0520" id="Canvas 2" o:spid="_x0000_s1027" editas="canvas" alt="Example of Resize or Close a Window screen capture" style="width:303pt;height:79.5pt;mso-position-horizontal-relative:char;mso-position-vertical-relative:line" coordsize="38481,100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">
                <v:shape id="_x0000_s1028" type="#_x0000_t75" alt="Example of Resize or Close a Window screen capture" style="position:absolute;width:38481;height:10096;visibility:visible;mso-wrap-style:square">
                  <v:fill o:detectmouseclick="t"/>
                  <v:path o:connecttype="none"/>
                </v:shape>
                <v:shape id="Picture 4" o:spid="_x0000_s1029" type="#_x0000_t75" style="position:absolute;left:101;top:4946;width:3443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">
                  <v:imagedata r:id="rId58" o:title=""/>
                </v:shape>
                <v:line id="Line 5" o:spid="_x0000_s1030" style="position:absolute;flip:x;visibility:visible;mso-wrap-style:square" from="32994,3492" to="3507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" strokeweight=".2pt">
                  <v:stroke endcap="round"/>
                </v:line>
                <v:rect id="Rectangle 6" o:spid="_x0000_s1031" style="position:absolute;left:35979;top:2984;width:22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4E761A1" w14:textId="77777777" w:rsidR="00EA60B6" w:rsidRDefault="00EA60B6" w:rsidP="00CB5D3F">
                        <w:r>
                          <w:rPr>
                            <w:rFonts w:ascii="Arial" w:hAnsi="Arial" w:cs="Arial"/>
                            <w:color w:val="000000"/>
                            <w:sz w:val="14"/>
                            <w:szCs w:val="14"/>
                          </w:rPr>
                          <w:t>Close</w:t>
                        </w:r>
                      </w:p>
                    </w:txbxContent>
                  </v:textbox>
                </v:rect>
                <v:line id="Line 7" o:spid="_x0000_s1032" style="position:absolute;visibility:visible;mso-wrap-style:square" from="28809,4210" to="2985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" strokeweight=".2pt">
                  <v:stroke endcap="round"/>
                </v:line>
                <v:rect id="Rectangle 8" o:spid="_x0000_s1033" style="position:absolute;left:26930;top:2679;width:351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CD8C6A0" w14:textId="77777777" w:rsidR="00EA60B6" w:rsidRDefault="00EA60B6" w:rsidP="00CB5D3F">
                        <w:r>
                          <w:rPr>
                            <w:rFonts w:ascii="Arial" w:hAnsi="Arial" w:cs="Arial"/>
                            <w:color w:val="000000"/>
                            <w:sz w:val="14"/>
                            <w:szCs w:val="14"/>
                          </w:rPr>
                          <w:t>Minimize</w:t>
                        </w:r>
                      </w:p>
                    </w:txbxContent>
                  </v:textbox>
                </v:rect>
                <v:line id="Line 9" o:spid="_x0000_s1034" style="position:absolute;flip:x;visibility:visible;mso-wrap-style:square" from="31426,1854" to="3194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" strokeweight=".2pt">
                  <v:stroke endcap="round"/>
                </v:line>
                <v:rect id="Rectangle 10" o:spid="_x0000_s1035" style="position:absolute;left:30118;top:304;width:375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5F318AE" w14:textId="77777777" w:rsidR="00EA60B6" w:rsidRDefault="00EA60B6" w:rsidP="00CB5D3F">
                        <w:r>
                          <w:rPr>
                            <w:rFonts w:ascii="Arial" w:hAnsi="Arial" w:cs="Arial"/>
                            <w:color w:val="000000"/>
                            <w:sz w:val="14"/>
                            <w:szCs w:val="14"/>
                          </w:rPr>
                          <w:t xml:space="preserve">Maximize </w:t>
                        </w:r>
                      </w:p>
                    </w:txbxContent>
                  </v:textbox>
                </v:rect>
                <w10:anchorlock/>
              </v:group>
            </w:pict>
          </mc:Fallback>
        </mc:AlternateContent>
      </w:r>
    </w:p>
    <w:p w14:paraId="2BC7D727" w14:textId="4C352D92" w:rsidR="007A3208" w:rsidRDefault="007E150C" w:rsidP="007A3208">
      <w:pPr>
        <w:pStyle w:val="Caption"/>
      </w:pPr>
      <w:r>
        <w:tab/>
      </w:r>
      <w:r w:rsidR="007A3208">
        <w:tab/>
      </w:r>
      <w:r w:rsidR="007A3208">
        <w:tab/>
      </w:r>
      <w:r w:rsidR="007A3208">
        <w:tab/>
      </w:r>
    </w:p>
    <w:p w14:paraId="23528C5D" w14:textId="4BF28F5F" w:rsidR="007E150C" w:rsidRDefault="007A3208" w:rsidP="007A3208">
      <w:pPr>
        <w:pStyle w:val="Caption"/>
      </w:pPr>
      <w:bookmarkStart w:id="109" w:name="_Ref82537199"/>
      <w:r>
        <w:t xml:space="preserve">Figure </w:t>
      </w:r>
      <w:r w:rsidR="00E2140B">
        <w:fldChar w:fldCharType="begin"/>
      </w:r>
      <w:r w:rsidR="00E2140B">
        <w:instrText xml:space="preserve"> SEQ Figure \* ARABIC </w:instrText>
      </w:r>
      <w:r w:rsidR="00E2140B">
        <w:fldChar w:fldCharType="separate"/>
      </w:r>
      <w:r w:rsidR="00E2140B">
        <w:rPr>
          <w:noProof/>
        </w:rPr>
        <w:t>20</w:t>
      </w:r>
      <w:r w:rsidR="00E2140B">
        <w:rPr>
          <w:noProof/>
        </w:rPr>
        <w:fldChar w:fldCharType="end"/>
      </w:r>
      <w:bookmarkEnd w:id="109"/>
      <w:r>
        <w:t xml:space="preserve">: </w:t>
      </w:r>
      <w:r w:rsidR="00DE2276">
        <w:t xml:space="preserve">Example of </w:t>
      </w:r>
      <w:r>
        <w:t>Restore a Window</w:t>
      </w:r>
    </w:p>
    <w:p w14:paraId="7E383778" w14:textId="5FA2F877" w:rsidR="007A3208" w:rsidRDefault="007A3208">
      <w:pPr>
        <w:pStyle w:val="BodyText"/>
      </w:pPr>
      <w:r>
        <w:rPr>
          <w:noProof/>
        </w:rPr>
        <w:drawing>
          <wp:inline distT="0" distB="0" distL="0" distR="0" wp14:anchorId="0A22D708" wp14:editId="33B3C096">
            <wp:extent cx="1597660" cy="591185"/>
            <wp:effectExtent l="0" t="0" r="2540" b="0"/>
            <wp:docPr id="50" name="Picture 50" descr="Example of Restore a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Example of Restore a Window screen cap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7660" cy="591185"/>
                    </a:xfrm>
                    <a:prstGeom prst="rect">
                      <a:avLst/>
                    </a:prstGeom>
                    <a:noFill/>
                    <a:ln>
                      <a:noFill/>
                    </a:ln>
                  </pic:spPr>
                </pic:pic>
              </a:graphicData>
            </a:graphic>
          </wp:inline>
        </w:drawing>
      </w:r>
    </w:p>
    <w:p w14:paraId="364E1037" w14:textId="77777777" w:rsidR="007A3208" w:rsidRDefault="007A3208">
      <w:pPr>
        <w:pStyle w:val="BodyText"/>
      </w:pPr>
    </w:p>
    <w:p w14:paraId="08FCA0B2" w14:textId="77777777" w:rsidR="002A21AE" w:rsidRPr="00762A84" w:rsidRDefault="00EF41C4" w:rsidP="00EF41C4">
      <w:pPr>
        <w:pStyle w:val="Caution"/>
      </w:pPr>
      <w:bookmarkStart w:id="110" w:name="OLE_LINK43"/>
      <w:bookmarkStart w:id="111" w:name="OLE_LINK44"/>
      <w:r>
        <w:t>When</w:t>
      </w:r>
      <w:r w:rsidR="00762A84">
        <w:t xml:space="preserve"> a</w:t>
      </w:r>
      <w:r>
        <w:t xml:space="preserve"> </w:t>
      </w:r>
      <w:r w:rsidR="00947497">
        <w:t xml:space="preserve">window is partially displayed or </w:t>
      </w:r>
      <w:r>
        <w:t>freezes</w:t>
      </w:r>
      <w:r w:rsidR="00762A84">
        <w:t>;</w:t>
      </w:r>
      <w:r>
        <w:t xml:space="preserve"> </w:t>
      </w:r>
      <w:r w:rsidR="00762A84">
        <w:t xml:space="preserve">or when you move from one window to another, enter information, return to the original window, and the entered information is not available, minimize then maximize the window to refresh it. </w:t>
      </w:r>
      <w:bookmarkEnd w:id="110"/>
      <w:bookmarkEnd w:id="111"/>
    </w:p>
    <w:p w14:paraId="5EAD8EE6" w14:textId="77777777" w:rsidR="002A21AE" w:rsidRDefault="002A21AE" w:rsidP="00FA7E65">
      <w:pPr>
        <w:pStyle w:val="BodyText"/>
      </w:pPr>
      <w:r>
        <w:t xml:space="preserve">To resize an open window: </w:t>
      </w:r>
    </w:p>
    <w:p w14:paraId="434FFD46" w14:textId="77777777" w:rsidR="002A21AE" w:rsidRDefault="002A21AE">
      <w:pPr>
        <w:pStyle w:val="ListBullet"/>
      </w:pPr>
      <w:r>
        <w:t>Make sure the Maximize symbol is visible.</w:t>
      </w:r>
    </w:p>
    <w:p w14:paraId="6EB43999" w14:textId="77777777" w:rsidR="002A21AE" w:rsidRDefault="002A21AE">
      <w:pPr>
        <w:pStyle w:val="ListBullet"/>
      </w:pPr>
      <w:r>
        <w:t xml:space="preserve">Change the width: move the mouse cursor to the left or right window border until the pointer changes into a horizontal double-headed arrow, then drag the border to the right or left. </w:t>
      </w:r>
    </w:p>
    <w:p w14:paraId="13129440" w14:textId="77777777" w:rsidR="002A21AE" w:rsidRDefault="002A21AE">
      <w:pPr>
        <w:pStyle w:val="ListBullet"/>
      </w:pPr>
      <w:r>
        <w:t xml:space="preserve">Change the height: move the mouse cursor to the top or bottom window border until the pointer changes into a vertical double-headed arrow, then drag the border up or down. </w:t>
      </w:r>
    </w:p>
    <w:p w14:paraId="4ACE23DB" w14:textId="77777777" w:rsidR="002A21AE" w:rsidRDefault="002A21AE">
      <w:pPr>
        <w:pStyle w:val="ListBullet"/>
      </w:pPr>
      <w:r>
        <w:lastRenderedPageBreak/>
        <w:t xml:space="preserve">Change the height and width together: move the mouse cursor to any window corner until the pointer changes into a diagonal double-headed arrow, and then drag the border in any direction. </w:t>
      </w:r>
    </w:p>
    <w:p w14:paraId="614262C5" w14:textId="77777777" w:rsidR="002A21AE" w:rsidRDefault="002A21AE">
      <w:pPr>
        <w:pStyle w:val="Caution"/>
      </w:pPr>
      <w:r>
        <w:t>A maximized window cannot be resized or moved.</w:t>
      </w:r>
    </w:p>
    <w:p w14:paraId="4AD41414" w14:textId="77777777" w:rsidR="003802FB" w:rsidRDefault="002A21AE" w:rsidP="003802FB">
      <w:pPr>
        <w:pStyle w:val="BodyText"/>
      </w:pPr>
      <w:r>
        <w:t xml:space="preserve">To move a window, click the dark blue bar at the top of the window. While </w:t>
      </w:r>
      <w:r w:rsidR="00DA43CD">
        <w:t>depressing</w:t>
      </w:r>
      <w:r>
        <w:t xml:space="preserve"> the mouse button, drag the </w:t>
      </w:r>
      <w:r w:rsidR="00B917A8">
        <w:t>window to the desired position.</w:t>
      </w:r>
    </w:p>
    <w:p w14:paraId="0BE8689C" w14:textId="77777777" w:rsidR="002A21AE" w:rsidRDefault="002A21AE" w:rsidP="00FA7E65">
      <w:pPr>
        <w:pStyle w:val="BodyText"/>
      </w:pPr>
      <w:r>
        <w:t xml:space="preserve">The </w:t>
      </w:r>
      <w:r w:rsidR="00794B04">
        <w:t>first time a user opens a form [</w:t>
      </w:r>
      <w:r>
        <w:t>such as the Blood Transfusion Record Form</w:t>
      </w:r>
      <w:r w:rsidR="00794B04">
        <w:t xml:space="preserve"> (BTRF</w:t>
      </w:r>
      <w:r>
        <w:t>)</w:t>
      </w:r>
      <w:r w:rsidR="00794B04">
        <w:t>]</w:t>
      </w:r>
      <w:r>
        <w:t>, VBECS displays it in cascade style. When a user opens the form again, VBECS displays it in the size and position last selected.</w:t>
      </w:r>
    </w:p>
    <w:p w14:paraId="6E01E2D0" w14:textId="77777777" w:rsidR="002A21AE" w:rsidRDefault="002A21AE">
      <w:pPr>
        <w:pStyle w:val="Caution"/>
      </w:pPr>
      <w:r>
        <w:t>Forms can be resized and moved in the same way that windows are resized and moved.</w:t>
      </w:r>
    </w:p>
    <w:p w14:paraId="6A47DD1E" w14:textId="364E4F4D" w:rsidR="00963F12" w:rsidRDefault="00963F12" w:rsidP="00963F12">
      <w:pPr>
        <w:pStyle w:val="Heading3"/>
      </w:pPr>
      <w:bookmarkStart w:id="112" w:name="_Toc163644863"/>
      <w:r>
        <w:t>Keyboard Shortcuts for Windows</w:t>
      </w:r>
      <w:bookmarkEnd w:id="112"/>
      <w:r>
        <w:fldChar w:fldCharType="begin"/>
      </w:r>
      <w:r>
        <w:instrText xml:space="preserve"> XE </w:instrText>
      </w:r>
      <w:r w:rsidR="00FA7E65">
        <w:instrText>“</w:instrText>
      </w:r>
      <w:r w:rsidRPr="00DB2C0F">
        <w:instrText>Keyboard Shortcuts for Windows</w:instrText>
      </w:r>
      <w:r w:rsidR="00FA7E65">
        <w:instrText>”</w:instrText>
      </w:r>
      <w:r>
        <w:instrText xml:space="preserve"> </w:instrText>
      </w:r>
      <w:r>
        <w:fldChar w:fldCharType="end"/>
      </w:r>
    </w:p>
    <w:p w14:paraId="61FAB31F" w14:textId="77777777" w:rsidR="00963F12" w:rsidRDefault="00963F12" w:rsidP="00FA7E65">
      <w:pPr>
        <w:pStyle w:val="BodyText"/>
      </w:pPr>
      <w:r w:rsidRPr="00FA7E65">
        <w:t>Using a mouse to navigate VBECS requires fewer steps than using the keyboard. A user who prefers using the keyboard may refer to these keyboard shortcuts</w:t>
      </w:r>
      <w:r w:rsidR="00327BDD" w:rsidRPr="00FA7E65">
        <w:t>. Keys precede</w:t>
      </w:r>
      <w:r w:rsidR="00031138" w:rsidRPr="00FA7E65">
        <w:t>d</w:t>
      </w:r>
      <w:r w:rsidR="00327BDD" w:rsidRPr="00FA7E65">
        <w:t xml:space="preserve"> </w:t>
      </w:r>
      <w:r w:rsidR="009A316C" w:rsidRPr="00FA7E65">
        <w:t>and/</w:t>
      </w:r>
      <w:r w:rsidR="00686D70">
        <w:t>or followed by “+” indicate</w:t>
      </w:r>
      <w:r w:rsidR="00327BDD" w:rsidRPr="00FA7E65">
        <w:t xml:space="preserve"> that they must be pressed simultaneously</w:t>
      </w:r>
      <w:r w:rsidRPr="00FA7E65">
        <w:t>:</w:t>
      </w:r>
    </w:p>
    <w:p w14:paraId="69B69A54" w14:textId="77777777" w:rsidR="00BC58B1" w:rsidRPr="008D0D9B" w:rsidRDefault="00BC58B1" w:rsidP="00BC58B1">
      <w:pPr>
        <w:pStyle w:val="Caution"/>
        <w:rPr>
          <w:i w:val="0"/>
        </w:rPr>
      </w:pPr>
      <w:r>
        <w:t>Keyboard navigation of VBECS does not accommodate the presentation of error providers or tool tips. A mouse is required to reveal this information as needed.</w:t>
      </w:r>
      <w:r>
        <w:rPr>
          <w:vanish/>
        </w:rPr>
        <w:t xml:space="preserve"> DR 3590</w:t>
      </w:r>
    </w:p>
    <w:p w14:paraId="1D4B8234" w14:textId="77777777" w:rsidR="00CD612D" w:rsidRDefault="00CD612D" w:rsidP="00CD612D">
      <w:pPr>
        <w:pStyle w:val="Heading4"/>
      </w:pPr>
      <w:r>
        <w:t>CPRS and VBECS</w:t>
      </w:r>
    </w:p>
    <w:p w14:paraId="74CEB7C4" w14:textId="77777777" w:rsidR="00CD612D" w:rsidRDefault="00CD612D" w:rsidP="00CD612D">
      <w:pPr>
        <w:pStyle w:val="ListBullet"/>
      </w:pPr>
      <w:r>
        <w:t xml:space="preserve">Toggle between </w:t>
      </w:r>
      <w:r w:rsidRPr="00634DAB">
        <w:rPr>
          <w:b/>
        </w:rPr>
        <w:t>VBECS</w:t>
      </w:r>
      <w:r>
        <w:t xml:space="preserve"> and </w:t>
      </w:r>
      <w:r w:rsidRPr="00634DAB">
        <w:rPr>
          <w:b/>
        </w:rPr>
        <w:t>CPRS</w:t>
      </w:r>
      <w:r>
        <w:t xml:space="preserve"> or another application: </w:t>
      </w:r>
      <w:r w:rsidRPr="00634DAB">
        <w:rPr>
          <w:b/>
        </w:rPr>
        <w:t>Alt</w:t>
      </w:r>
      <w:r w:rsidRPr="00823F58">
        <w:t xml:space="preserve"> + </w:t>
      </w:r>
      <w:r w:rsidRPr="00634DAB">
        <w:rPr>
          <w:b/>
        </w:rPr>
        <w:t>Tab</w:t>
      </w:r>
    </w:p>
    <w:p w14:paraId="396CC0DB" w14:textId="77777777" w:rsidR="00031138" w:rsidRDefault="00031138" w:rsidP="00031138">
      <w:pPr>
        <w:pStyle w:val="Heading4"/>
      </w:pPr>
      <w:r>
        <w:t>Menus</w:t>
      </w:r>
    </w:p>
    <w:p w14:paraId="1C2F65B5" w14:textId="77777777" w:rsidR="00CA479B" w:rsidRPr="007E7887" w:rsidRDefault="00CA479B" w:rsidP="00CA479B">
      <w:pPr>
        <w:pStyle w:val="ListBullet"/>
      </w:pPr>
      <w:r>
        <w:t>Display</w:t>
      </w:r>
      <w:r w:rsidRPr="007E7887">
        <w:t xml:space="preserve"> the </w:t>
      </w:r>
      <w:r w:rsidRPr="00634DAB">
        <w:rPr>
          <w:b/>
        </w:rPr>
        <w:t>Start</w:t>
      </w:r>
      <w:r w:rsidRPr="007E7887">
        <w:t xml:space="preserve"> menu (use the </w:t>
      </w:r>
      <w:r>
        <w:t>arrow</w:t>
      </w:r>
      <w:r w:rsidRPr="007E7887">
        <w:t xml:space="preserve"> keys to select an item)</w:t>
      </w:r>
      <w:r>
        <w:t xml:space="preserve">: </w:t>
      </w:r>
      <w:r w:rsidRPr="00634DAB">
        <w:rPr>
          <w:b/>
        </w:rPr>
        <w:t>Alt</w:t>
      </w:r>
      <w:r>
        <w:t xml:space="preserve"> + </w:t>
      </w:r>
      <w:r w:rsidRPr="00634DAB">
        <w:rPr>
          <w:b/>
        </w:rPr>
        <w:t>Home</w:t>
      </w:r>
    </w:p>
    <w:p w14:paraId="5B8CBE45" w14:textId="64C35DF5" w:rsidR="00CA479B" w:rsidRPr="007E7887" w:rsidRDefault="00CA479B" w:rsidP="00CA479B">
      <w:pPr>
        <w:pStyle w:val="ListBullet"/>
      </w:pPr>
      <w:r w:rsidRPr="007E7887">
        <w:t xml:space="preserve">Activate </w:t>
      </w:r>
      <w:r>
        <w:t xml:space="preserve">a </w:t>
      </w:r>
      <w:r w:rsidRPr="007E7887">
        <w:t>menu bar option</w:t>
      </w:r>
      <w:r>
        <w:t xml:space="preserve">: </w:t>
      </w:r>
      <w:r w:rsidRPr="00634DAB">
        <w:rPr>
          <w:b/>
        </w:rPr>
        <w:t>F10</w:t>
      </w:r>
      <w:r w:rsidR="00173A54">
        <w:rPr>
          <w:b/>
        </w:rPr>
        <w:t xml:space="preserve"> </w:t>
      </w:r>
      <w:r w:rsidR="00173A54" w:rsidRPr="00173A54">
        <w:rPr>
          <w:bCs/>
        </w:rPr>
        <w:t>or</w:t>
      </w:r>
      <w:r w:rsidR="00173A54">
        <w:rPr>
          <w:b/>
        </w:rPr>
        <w:t xml:space="preserve"> Alt</w:t>
      </w:r>
    </w:p>
    <w:p w14:paraId="416C352F" w14:textId="77777777" w:rsidR="00CA479B" w:rsidRPr="007E7887" w:rsidRDefault="00CA479B" w:rsidP="00CA479B">
      <w:pPr>
        <w:pStyle w:val="ListBullet"/>
      </w:pPr>
      <w:r w:rsidRPr="007E7887">
        <w:t>Open a menu</w:t>
      </w:r>
      <w:r>
        <w:t xml:space="preserve">: </w:t>
      </w:r>
      <w:r w:rsidRPr="00634DAB">
        <w:rPr>
          <w:b/>
        </w:rPr>
        <w:t>Alt</w:t>
      </w:r>
      <w:r w:rsidRPr="007E7887">
        <w:t xml:space="preserve"> + underscored letter</w:t>
      </w:r>
    </w:p>
    <w:p w14:paraId="6F4116ED" w14:textId="77777777" w:rsidR="00CA479B" w:rsidRPr="007E7887" w:rsidRDefault="00CA479B" w:rsidP="00CA479B">
      <w:pPr>
        <w:pStyle w:val="ListBullet"/>
      </w:pPr>
      <w:r>
        <w:t xml:space="preserve">Move to and select a menu item: Arrow key + </w:t>
      </w:r>
      <w:r w:rsidRPr="00634DAB">
        <w:rPr>
          <w:b/>
        </w:rPr>
        <w:t>Enter</w:t>
      </w:r>
    </w:p>
    <w:p w14:paraId="2F196D8C" w14:textId="77777777" w:rsidR="00CA479B" w:rsidRPr="007E7887" w:rsidRDefault="00CA479B" w:rsidP="00CA479B">
      <w:pPr>
        <w:pStyle w:val="ListBullet"/>
      </w:pPr>
      <w:r>
        <w:t xml:space="preserve">Open a submenu item: </w:t>
      </w:r>
      <w:r w:rsidRPr="00634DAB">
        <w:rPr>
          <w:b/>
        </w:rPr>
        <w:t>Shift</w:t>
      </w:r>
      <w:r>
        <w:t xml:space="preserve"> + letter (case insensitive)</w:t>
      </w:r>
    </w:p>
    <w:p w14:paraId="7D8C599D" w14:textId="77777777" w:rsidR="00CA479B" w:rsidRPr="007E7887" w:rsidRDefault="00CA479B" w:rsidP="00CA479B">
      <w:pPr>
        <w:pStyle w:val="ListBullet"/>
      </w:pPr>
      <w:r w:rsidRPr="007E7887">
        <w:t>Open a drop-down menu</w:t>
      </w:r>
      <w:r>
        <w:t xml:space="preserve">: </w:t>
      </w:r>
      <w:r w:rsidRPr="00634DAB">
        <w:rPr>
          <w:b/>
        </w:rPr>
        <w:t>Alt</w:t>
      </w:r>
      <w:r w:rsidRPr="007E7887">
        <w:t xml:space="preserve"> + </w:t>
      </w:r>
      <w:r>
        <w:t>down arrow key</w:t>
      </w:r>
    </w:p>
    <w:p w14:paraId="0C56E05D" w14:textId="4C875891" w:rsidR="00CA479B" w:rsidRPr="007E7887" w:rsidRDefault="00CA479B" w:rsidP="00CA479B">
      <w:pPr>
        <w:pStyle w:val="ListBullet"/>
      </w:pPr>
      <w:r w:rsidRPr="007E7887">
        <w:t>Close a drop-down menu</w:t>
      </w:r>
      <w:r>
        <w:t xml:space="preserve">: </w:t>
      </w:r>
      <w:r w:rsidRPr="00634DAB">
        <w:rPr>
          <w:b/>
        </w:rPr>
        <w:t>Alt</w:t>
      </w:r>
      <w:r w:rsidRPr="007E7887">
        <w:t xml:space="preserve"> + </w:t>
      </w:r>
      <w:r>
        <w:t>up arrow key</w:t>
      </w:r>
      <w:r w:rsidR="00140843">
        <w:t xml:space="preserve"> or </w:t>
      </w:r>
      <w:r w:rsidR="00140843" w:rsidRPr="00140843">
        <w:rPr>
          <w:b/>
          <w:bCs/>
        </w:rPr>
        <w:t>Escape</w:t>
      </w:r>
    </w:p>
    <w:p w14:paraId="7BE9FADE" w14:textId="154B0304" w:rsidR="00CA479B" w:rsidRPr="00031138" w:rsidRDefault="00CA479B" w:rsidP="00CA479B">
      <w:pPr>
        <w:pStyle w:val="ListBullet"/>
      </w:pPr>
      <w:r>
        <w:t>Display</w:t>
      </w:r>
      <w:r w:rsidRPr="007E7887">
        <w:t xml:space="preserve"> a shortcut menu for the selected item</w:t>
      </w:r>
      <w:r>
        <w:t xml:space="preserve">: </w:t>
      </w:r>
      <w:r w:rsidRPr="007E7887">
        <w:t>Application key</w:t>
      </w:r>
      <w:r>
        <w:t xml:space="preserve"> </w:t>
      </w:r>
      <w:r>
        <w:rPr>
          <w:rFonts w:ascii="Arial" w:hAnsi="Arial"/>
          <w:sz w:val="16"/>
          <w:szCs w:val="16"/>
        </w:rPr>
        <w:t>(</w:t>
      </w:r>
      <w:r w:rsidR="00D87841">
        <w:rPr>
          <w:noProof/>
        </w:rPr>
        <w:drawing>
          <wp:inline distT="0" distB="0" distL="0" distR="0" wp14:anchorId="0B204CBC" wp14:editId="4CDB1FB0">
            <wp:extent cx="333375" cy="276225"/>
            <wp:effectExtent l="0" t="0" r="9525" b="9525"/>
            <wp:docPr id="5" name="Picture 5" descr="Application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lication key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Pr>
          <w:rFonts w:ascii="Arial" w:hAnsi="Arial"/>
          <w:sz w:val="16"/>
          <w:szCs w:val="16"/>
        </w:rPr>
        <w:t>)</w:t>
      </w:r>
    </w:p>
    <w:p w14:paraId="5A4A017F" w14:textId="77777777" w:rsidR="00957EE4" w:rsidRDefault="00C52F72" w:rsidP="00957EE4">
      <w:pPr>
        <w:pStyle w:val="Heading4"/>
      </w:pPr>
      <w:r>
        <w:t>Buttons, Check Boxes, and Fields</w:t>
      </w:r>
    </w:p>
    <w:p w14:paraId="64283FDF" w14:textId="545780C8" w:rsidR="00CA479B" w:rsidRPr="007E7887" w:rsidRDefault="00CA479B" w:rsidP="00CA479B">
      <w:pPr>
        <w:pStyle w:val="ListBullet"/>
      </w:pPr>
      <w:r>
        <w:t xml:space="preserve">Move to and select fields and buttons: </w:t>
      </w:r>
      <w:r w:rsidRPr="00634DAB">
        <w:rPr>
          <w:b/>
        </w:rPr>
        <w:t>Tab</w:t>
      </w:r>
      <w:r>
        <w:t xml:space="preserve"> </w:t>
      </w:r>
      <w:r w:rsidR="00D87841">
        <w:t xml:space="preserve">or </w:t>
      </w:r>
      <w:r w:rsidR="00D87841" w:rsidRPr="00D87841">
        <w:rPr>
          <w:b/>
          <w:bCs/>
        </w:rPr>
        <w:t>Alt</w:t>
      </w:r>
      <w:r w:rsidR="00D87841">
        <w:t xml:space="preserve"> </w:t>
      </w:r>
      <w:r>
        <w:t xml:space="preserve">+ </w:t>
      </w:r>
      <w:r w:rsidR="00140843" w:rsidRPr="00140843">
        <w:rPr>
          <w:bCs/>
        </w:rPr>
        <w:t>underscored letter</w:t>
      </w:r>
    </w:p>
    <w:p w14:paraId="77274CF0" w14:textId="77777777" w:rsidR="00CA479B" w:rsidRDefault="00CA479B" w:rsidP="00CA479B">
      <w:pPr>
        <w:pStyle w:val="ListBullet"/>
      </w:pPr>
      <w:r>
        <w:t xml:space="preserve">Select or clear a check box: </w:t>
      </w:r>
      <w:r w:rsidRPr="00634DAB">
        <w:rPr>
          <w:b/>
        </w:rPr>
        <w:t>Tab</w:t>
      </w:r>
      <w:r>
        <w:t xml:space="preserve">, arrow key (or </w:t>
      </w:r>
      <w:r w:rsidRPr="00634DAB">
        <w:rPr>
          <w:b/>
        </w:rPr>
        <w:t>Alt</w:t>
      </w:r>
      <w:r>
        <w:t xml:space="preserve"> + underscored letter), spacebar</w:t>
      </w:r>
    </w:p>
    <w:p w14:paraId="39BF87DA" w14:textId="291A73FA" w:rsidR="00CA479B" w:rsidRDefault="00CA479B" w:rsidP="00CA479B">
      <w:pPr>
        <w:pStyle w:val="ListBullet"/>
      </w:pPr>
      <w:r>
        <w:t xml:space="preserve">Select a </w:t>
      </w:r>
      <w:r w:rsidR="00140843">
        <w:t xml:space="preserve">different </w:t>
      </w:r>
      <w:r>
        <w:t xml:space="preserve">radio button: </w:t>
      </w:r>
      <w:r w:rsidRPr="00634DAB">
        <w:rPr>
          <w:b/>
        </w:rPr>
        <w:t>Tab</w:t>
      </w:r>
      <w:r>
        <w:t xml:space="preserve">, arrow key (or </w:t>
      </w:r>
      <w:r w:rsidRPr="00634DAB">
        <w:rPr>
          <w:b/>
        </w:rPr>
        <w:t>Alt</w:t>
      </w:r>
      <w:r>
        <w:t xml:space="preserve"> + underscored letter)</w:t>
      </w:r>
    </w:p>
    <w:p w14:paraId="76E00EAB" w14:textId="06725755" w:rsidR="0055000A" w:rsidRDefault="0055000A" w:rsidP="00CA479B">
      <w:pPr>
        <w:pStyle w:val="ListBullet"/>
      </w:pPr>
      <w:r>
        <w:t xml:space="preserve">Many windows contain a default </w:t>
      </w:r>
      <w:r w:rsidR="00D87841">
        <w:t>button</w:t>
      </w:r>
      <w:r>
        <w:t xml:space="preserve"> which is activated by pressing </w:t>
      </w:r>
      <w:r w:rsidRPr="0055000A">
        <w:rPr>
          <w:b/>
          <w:bCs/>
        </w:rPr>
        <w:t>Enter</w:t>
      </w:r>
    </w:p>
    <w:p w14:paraId="7F4126E9" w14:textId="4AE22FA5" w:rsidR="0055000A" w:rsidRDefault="0055000A" w:rsidP="0055000A">
      <w:pPr>
        <w:pStyle w:val="ListBullet"/>
      </w:pPr>
      <w:r>
        <w:t xml:space="preserve">Many windows contain a </w:t>
      </w:r>
      <w:r w:rsidRPr="0055000A">
        <w:rPr>
          <w:b/>
          <w:bCs/>
        </w:rPr>
        <w:t>Cancel/Close</w:t>
      </w:r>
      <w:r>
        <w:t xml:space="preserve"> button which is activated by pressing </w:t>
      </w:r>
      <w:r w:rsidRPr="0055000A">
        <w:rPr>
          <w:b/>
          <w:bCs/>
        </w:rPr>
        <w:t>Escape</w:t>
      </w:r>
    </w:p>
    <w:p w14:paraId="78285821" w14:textId="264DFFB8" w:rsidR="00CD612D" w:rsidRDefault="00CD612D" w:rsidP="00CD612D">
      <w:pPr>
        <w:pStyle w:val="Heading4"/>
      </w:pPr>
      <w:r>
        <w:lastRenderedPageBreak/>
        <w:t>Screen Prints</w:t>
      </w:r>
    </w:p>
    <w:p w14:paraId="3EC9DA9B" w14:textId="77777777" w:rsidR="00CD612D" w:rsidRDefault="00CD612D" w:rsidP="00CD612D">
      <w:pPr>
        <w:pStyle w:val="ListBullet"/>
      </w:pPr>
      <w:r>
        <w:t xml:space="preserve">Place a snapshot of the desktop on the local clipboard and paste it in another application: </w:t>
      </w:r>
      <w:r w:rsidRPr="00634DAB">
        <w:rPr>
          <w:b/>
        </w:rPr>
        <w:t>Ctrl</w:t>
      </w:r>
      <w:r>
        <w:t xml:space="preserve"> + </w:t>
      </w:r>
      <w:r w:rsidRPr="00634DAB">
        <w:rPr>
          <w:b/>
        </w:rPr>
        <w:t>Alt</w:t>
      </w:r>
      <w:r>
        <w:t xml:space="preserve"> + Plus (+ on the numeric keypad; </w:t>
      </w:r>
      <w:r w:rsidRPr="00634DAB">
        <w:rPr>
          <w:b/>
        </w:rPr>
        <w:t>Ctrl</w:t>
      </w:r>
      <w:r>
        <w:t xml:space="preserve"> + </w:t>
      </w:r>
      <w:r w:rsidRPr="00634DAB">
        <w:rPr>
          <w:b/>
        </w:rPr>
        <w:t>V</w:t>
      </w:r>
      <w:r>
        <w:t xml:space="preserve"> to paste)</w:t>
      </w:r>
    </w:p>
    <w:p w14:paraId="60D44672" w14:textId="1C7068A3" w:rsidR="00CD612D" w:rsidRDefault="00CD612D" w:rsidP="00CD612D">
      <w:pPr>
        <w:pStyle w:val="ListBullet"/>
      </w:pPr>
      <w:r>
        <w:t xml:space="preserve">Place a snapshot of the active window on the local clipboard and paste it in another application: </w:t>
      </w:r>
      <w:r w:rsidRPr="00634DAB">
        <w:rPr>
          <w:b/>
        </w:rPr>
        <w:t>Ctrl</w:t>
      </w:r>
      <w:r>
        <w:t xml:space="preserve"> + </w:t>
      </w:r>
      <w:r w:rsidRPr="00634DAB">
        <w:rPr>
          <w:b/>
        </w:rPr>
        <w:t>Alt</w:t>
      </w:r>
      <w:r>
        <w:t xml:space="preserve"> + Minus (</w:t>
      </w:r>
      <w:r w:rsidRPr="00634DAB">
        <w:rPr>
          <w:b/>
        </w:rPr>
        <w:t>–</w:t>
      </w:r>
      <w:r>
        <w:t xml:space="preserve"> on the numeric keypad; </w:t>
      </w:r>
      <w:r w:rsidRPr="00634DAB">
        <w:rPr>
          <w:b/>
        </w:rPr>
        <w:t>Ctrl</w:t>
      </w:r>
      <w:r>
        <w:t xml:space="preserve"> + </w:t>
      </w:r>
      <w:r w:rsidRPr="00634DAB">
        <w:rPr>
          <w:b/>
        </w:rPr>
        <w:t>V</w:t>
      </w:r>
      <w:r>
        <w:t xml:space="preserve"> to paste)</w:t>
      </w:r>
    </w:p>
    <w:p w14:paraId="1F6AF189" w14:textId="4EC17AE8" w:rsidR="007B32B4" w:rsidRDefault="007B32B4" w:rsidP="00CD612D">
      <w:pPr>
        <w:pStyle w:val="ListBullet"/>
      </w:pPr>
      <w:r>
        <w:t xml:space="preserve">See </w:t>
      </w:r>
      <w:r w:rsidRPr="00423A7F">
        <w:rPr>
          <w:i/>
          <w:iCs/>
        </w:rPr>
        <w:t>FAQ How to take faster screen shots from Remote Desktop Session</w:t>
      </w:r>
      <w:r w:rsidR="00911CAF">
        <w:t xml:space="preserve"> for additional information.</w:t>
      </w:r>
    </w:p>
    <w:p w14:paraId="4A9F70F5" w14:textId="00DF4F13" w:rsidR="002A21AE" w:rsidRDefault="002A21AE" w:rsidP="00963F12">
      <w:pPr>
        <w:pStyle w:val="Heading3"/>
      </w:pPr>
      <w:bookmarkStart w:id="113" w:name="_Toc163644864"/>
      <w:r>
        <w:t>Drop-Down Menus</w:t>
      </w:r>
      <w:bookmarkEnd w:id="113"/>
      <w:r>
        <w:fldChar w:fldCharType="begin"/>
      </w:r>
      <w:r>
        <w:instrText xml:space="preserve"> XE </w:instrText>
      </w:r>
      <w:r w:rsidR="00FA7E65">
        <w:instrText>“</w:instrText>
      </w:r>
      <w:r>
        <w:instrText>Drop-Down Menus</w:instrText>
      </w:r>
      <w:r w:rsidR="00FA7E65">
        <w:instrText>”</w:instrText>
      </w:r>
      <w:r>
        <w:instrText xml:space="preserve"> </w:instrText>
      </w:r>
      <w:r>
        <w:fldChar w:fldCharType="end"/>
      </w:r>
      <w:r>
        <w:t xml:space="preserve"> </w:t>
      </w:r>
    </w:p>
    <w:p w14:paraId="61BD5645" w14:textId="77777777" w:rsidR="002A21AE" w:rsidRDefault="002A21AE" w:rsidP="00FA7E65">
      <w:pPr>
        <w:pStyle w:val="BodyText"/>
      </w:pPr>
      <w:r>
        <w:t xml:space="preserve">A </w:t>
      </w:r>
      <w:r>
        <w:rPr>
          <w:i/>
        </w:rPr>
        <w:t>drop-down menu</w:t>
      </w:r>
      <w:r>
        <w:t xml:space="preserve"> may appear when a button is clicked or text is selected. Click or hold the mouse pointer over an item in a drop-down menu to reveal other items and submenus. Press an underscored letter (mnemonic) to select a menu it</w:t>
      </w:r>
      <w:r w:rsidR="000F5C7E">
        <w:t xml:space="preserve">em. To view underscored letters, press the </w:t>
      </w:r>
      <w:r w:rsidR="000F5C7E" w:rsidRPr="000F5C7E">
        <w:rPr>
          <w:b/>
        </w:rPr>
        <w:t>Alt</w:t>
      </w:r>
      <w:r w:rsidR="000F5C7E">
        <w:t xml:space="preserve"> key once.</w:t>
      </w:r>
    </w:p>
    <w:p w14:paraId="37A38B27" w14:textId="77777777" w:rsidR="002A21AE" w:rsidRDefault="002A21AE">
      <w:pPr>
        <w:pStyle w:val="Caution"/>
      </w:pPr>
      <w:r>
        <w:t xml:space="preserve">A </w:t>
      </w:r>
      <w:r w:rsidRPr="00092254">
        <w:rPr>
          <w:rFonts w:ascii="Webdings" w:hAnsi="Webdings"/>
          <w:i w:val="0"/>
        </w:rPr>
        <w:t></w:t>
      </w:r>
      <w:r w:rsidRPr="00092254">
        <w:rPr>
          <w:rFonts w:ascii="Webdings" w:hAnsi="Webdings"/>
        </w:rPr>
        <w:t></w:t>
      </w:r>
      <w:r>
        <w:t xml:space="preserve">(submenu arrow) next to a menu item indicates that a submenu is </w:t>
      </w:r>
      <w:r w:rsidR="00541DC0">
        <w:t>available. An</w:t>
      </w:r>
      <w:r>
        <w:t xml:space="preserve"> option that is not available to a user is visible but grayed out.</w:t>
      </w:r>
    </w:p>
    <w:p w14:paraId="181E3B33" w14:textId="77777777" w:rsidR="002A21AE" w:rsidRDefault="002A21AE">
      <w:pPr>
        <w:pStyle w:val="Heading3"/>
      </w:pPr>
      <w:bookmarkStart w:id="114" w:name="_Toc163644865"/>
      <w:r>
        <w:t>Tool Tips</w:t>
      </w:r>
      <w:bookmarkEnd w:id="114"/>
      <w:r>
        <w:fldChar w:fldCharType="begin"/>
      </w:r>
      <w:r>
        <w:instrText xml:space="preserve"> XE </w:instrText>
      </w:r>
      <w:r w:rsidR="00FA7E65">
        <w:instrText>“</w:instrText>
      </w:r>
      <w:r>
        <w:instrText>Tool Tips</w:instrText>
      </w:r>
      <w:r w:rsidR="00FA7E65">
        <w:instrText>”</w:instrText>
      </w:r>
      <w:r>
        <w:instrText xml:space="preserve"> </w:instrText>
      </w:r>
      <w:r>
        <w:fldChar w:fldCharType="end"/>
      </w:r>
    </w:p>
    <w:p w14:paraId="5AD1D9CF" w14:textId="77777777" w:rsidR="002A21AE" w:rsidRDefault="002A21AE" w:rsidP="00FA7E65">
      <w:pPr>
        <w:pStyle w:val="BodyText"/>
      </w:pPr>
      <w:bookmarkStart w:id="115" w:name="OLE_LINK49"/>
      <w:bookmarkStart w:id="116" w:name="OLE_LINK50"/>
      <w:r>
        <w:t xml:space="preserve">A </w:t>
      </w:r>
      <w:r>
        <w:rPr>
          <w:i/>
          <w:iCs/>
        </w:rPr>
        <w:t>tool tip</w:t>
      </w:r>
      <w:r>
        <w:t xml:space="preserve"> is a description or explanation that appears when the mouse pointer is held over </w:t>
      </w:r>
      <w:r w:rsidR="00DB268C">
        <w:t xml:space="preserve">(not selected or highlighted) </w:t>
      </w:r>
      <w:r>
        <w:t>a tool, button, or other object (without clicking a mouse button).</w:t>
      </w:r>
      <w:bookmarkEnd w:id="115"/>
      <w:bookmarkEnd w:id="116"/>
      <w:r>
        <w:t xml:space="preserve"> </w:t>
      </w:r>
    </w:p>
    <w:p w14:paraId="3F9DC293" w14:textId="77777777" w:rsidR="002A21AE" w:rsidRDefault="002A21AE">
      <w:pPr>
        <w:pStyle w:val="Caution"/>
      </w:pPr>
      <w:r>
        <w:t xml:space="preserve">When a tool tip does not </w:t>
      </w:r>
      <w:r w:rsidR="00643C9A">
        <w:t>appear</w:t>
      </w:r>
      <w:r>
        <w:t>, wait a few moments, then reposition the mouse pointer over the tool, button, or other object. If necessary, exit and reenter the window.</w:t>
      </w:r>
    </w:p>
    <w:p w14:paraId="223E5C38" w14:textId="77777777" w:rsidR="002A21AE" w:rsidRDefault="002A21AE" w:rsidP="00FA7E65">
      <w:pPr>
        <w:pStyle w:val="BodyText"/>
      </w:pPr>
      <w:r>
        <w:t>Tool tips appear with:</w:t>
      </w:r>
    </w:p>
    <w:p w14:paraId="4D648983" w14:textId="77777777" w:rsidR="002A21AE" w:rsidRDefault="002A21AE">
      <w:pPr>
        <w:pStyle w:val="ListBullet"/>
      </w:pPr>
      <w:r>
        <w:t>Some control buttons</w:t>
      </w:r>
    </w:p>
    <w:p w14:paraId="24FC5722" w14:textId="77777777" w:rsidR="002A21AE" w:rsidRDefault="002A21AE">
      <w:pPr>
        <w:pStyle w:val="ListBullet"/>
      </w:pPr>
      <w:r>
        <w:t>Icons in the Patient Information Toolbar</w:t>
      </w:r>
    </w:p>
    <w:p w14:paraId="7FA78672" w14:textId="77777777" w:rsidR="002A21AE" w:rsidRDefault="002A21AE">
      <w:pPr>
        <w:pStyle w:val="Caution"/>
      </w:pPr>
      <w:r>
        <w:t xml:space="preserve">Text enclosed in angle brackets (&lt; &gt;) in tool tips and messages </w:t>
      </w:r>
      <w:r w:rsidR="00443024">
        <w:t>will change</w:t>
      </w:r>
      <w:r>
        <w:t xml:space="preserve"> to reflect the current activity. </w:t>
      </w:r>
    </w:p>
    <w:p w14:paraId="58DDAE1C" w14:textId="77777777" w:rsidR="002A21AE" w:rsidRDefault="00040E3B" w:rsidP="00832E21">
      <w:pPr>
        <w:pStyle w:val="Caution"/>
        <w:pBdr>
          <w:top w:val="single" w:sz="4" w:space="3" w:color="auto"/>
        </w:pBdr>
      </w:pPr>
      <w:r>
        <w:t xml:space="preserve">The user may click column headings in some data displays, such as the Pending Task List, Pending Order List, and Select Units, to sort the information in those columns. </w:t>
      </w:r>
    </w:p>
    <w:p w14:paraId="4B6D5B30" w14:textId="613B55EE" w:rsidR="002A21AE" w:rsidRDefault="002A21AE">
      <w:pPr>
        <w:pStyle w:val="Heading3"/>
      </w:pPr>
      <w:bookmarkStart w:id="117" w:name="_Toc163644866"/>
      <w:r>
        <w:t>Icons and Buttons</w:t>
      </w:r>
      <w:bookmarkEnd w:id="117"/>
      <w:r>
        <w:fldChar w:fldCharType="begin"/>
      </w:r>
      <w:r>
        <w:instrText xml:space="preserve"> XE </w:instrText>
      </w:r>
      <w:r w:rsidR="00FA7E65">
        <w:instrText>“</w:instrText>
      </w:r>
      <w:r>
        <w:instrText>Icons and Buttons</w:instrText>
      </w:r>
      <w:r w:rsidR="00FA7E65">
        <w:instrText>”</w:instrText>
      </w:r>
      <w:r>
        <w:instrText xml:space="preserve"> </w:instrText>
      </w:r>
      <w:r>
        <w:fldChar w:fldCharType="end"/>
      </w:r>
    </w:p>
    <w:p w14:paraId="3D50134F" w14:textId="77777777" w:rsidR="002A21AE" w:rsidRDefault="002A21AE" w:rsidP="00FA7E65">
      <w:pPr>
        <w:pStyle w:val="BodyText"/>
      </w:pPr>
      <w:r>
        <w:t xml:space="preserve">VBECS uses several types of images to help you move through the system: </w:t>
      </w:r>
    </w:p>
    <w:p w14:paraId="4401937E" w14:textId="12EA0523" w:rsidR="002A21AE" w:rsidRDefault="002A21AE">
      <w:pPr>
        <w:pStyle w:val="ListBullet"/>
      </w:pPr>
      <w:r>
        <w:rPr>
          <w:i/>
          <w:iCs/>
        </w:rPr>
        <w:t>Icons</w:t>
      </w:r>
      <w:r>
        <w:t xml:space="preserve"> represent objects (information used in an application). The rectangular area in the lower</w:t>
      </w:r>
      <w:r w:rsidR="000E78EE">
        <w:t>-</w:t>
      </w:r>
      <w:r>
        <w:t>right corner of the screen (system tray) contains icons of programs that always run in the background</w:t>
      </w:r>
      <w:r w:rsidR="000E78EE">
        <w:t xml:space="preserve"> (see </w:t>
      </w:r>
      <w:r w:rsidR="00EE455E">
        <w:t>Main Status Bar</w:t>
      </w:r>
      <w:r w:rsidR="000E78EE">
        <w:t xml:space="preserve"> section).</w:t>
      </w:r>
    </w:p>
    <w:p w14:paraId="0B8421CB" w14:textId="77777777" w:rsidR="002A21AE" w:rsidRDefault="002A21AE">
      <w:pPr>
        <w:pStyle w:val="ListBullet"/>
      </w:pPr>
      <w:r>
        <w:rPr>
          <w:i/>
          <w:iCs/>
        </w:rPr>
        <w:t>Buttons</w:t>
      </w:r>
      <w:r>
        <w:t xml:space="preserve"> are icons that represent tools or commands. </w:t>
      </w:r>
    </w:p>
    <w:p w14:paraId="67111421" w14:textId="1BBA23DE" w:rsidR="002A21AE" w:rsidRDefault="002A21AE">
      <w:pPr>
        <w:pStyle w:val="ListBullet"/>
      </w:pPr>
      <w:r>
        <w:rPr>
          <w:i/>
          <w:iCs/>
        </w:rPr>
        <w:t xml:space="preserve">Radio buttons </w:t>
      </w:r>
      <w:r>
        <w:t xml:space="preserve">are small circles preceding text. Related radio buttons are grouped together. Only one </w:t>
      </w:r>
      <w:r w:rsidR="0055000A">
        <w:t xml:space="preserve">radio </w:t>
      </w:r>
      <w:r>
        <w:t>button in a group may be selected: clicking a</w:t>
      </w:r>
      <w:r w:rsidR="0055000A">
        <w:t xml:space="preserve"> radio</w:t>
      </w:r>
      <w:r>
        <w:t xml:space="preserve"> button turns the other radio buttons off.</w:t>
      </w:r>
    </w:p>
    <w:p w14:paraId="153E1659" w14:textId="77777777" w:rsidR="002A21AE" w:rsidRDefault="002A21AE">
      <w:pPr>
        <w:pStyle w:val="Heading3"/>
      </w:pPr>
      <w:bookmarkStart w:id="118" w:name="_Toc163644867"/>
      <w:r>
        <w:lastRenderedPageBreak/>
        <w:t>Toolbars</w:t>
      </w:r>
      <w:bookmarkEnd w:id="118"/>
      <w:r>
        <w:fldChar w:fldCharType="begin"/>
      </w:r>
      <w:r>
        <w:instrText xml:space="preserve"> XE </w:instrText>
      </w:r>
      <w:r w:rsidR="00FA7E65">
        <w:instrText>“</w:instrText>
      </w:r>
      <w:r>
        <w:instrText>Toolbars</w:instrText>
      </w:r>
      <w:r w:rsidR="00FA7E65">
        <w:instrText>”</w:instrText>
      </w:r>
      <w:r>
        <w:instrText xml:space="preserve"> </w:instrText>
      </w:r>
      <w:r>
        <w:fldChar w:fldCharType="end"/>
      </w:r>
      <w:r>
        <w:t xml:space="preserve"> </w:t>
      </w:r>
    </w:p>
    <w:p w14:paraId="09EC1E71" w14:textId="77777777" w:rsidR="002A21AE" w:rsidRDefault="002A21AE" w:rsidP="00FA7E65">
      <w:pPr>
        <w:pStyle w:val="BodyText"/>
      </w:pPr>
      <w:r>
        <w:t xml:space="preserve">A </w:t>
      </w:r>
      <w:r>
        <w:rPr>
          <w:i/>
        </w:rPr>
        <w:t>tool</w:t>
      </w:r>
      <w:r>
        <w:t xml:space="preserve"> is a shortcut button, usually shown on a bar near the top of a window. Tools provide quick access to commonly used functions. A </w:t>
      </w:r>
      <w:r>
        <w:rPr>
          <w:i/>
        </w:rPr>
        <w:t>toolbar</w:t>
      </w:r>
      <w:r>
        <w:t xml:space="preserve"> displays groups of tools. Toolbars may contain buttons, menus, or combinations of both. (See also Patient Information Toolbar.)</w:t>
      </w:r>
    </w:p>
    <w:p w14:paraId="42587AD1" w14:textId="77777777" w:rsidR="002A21AE" w:rsidRDefault="002A21AE">
      <w:pPr>
        <w:pStyle w:val="Caution"/>
      </w:pPr>
      <w:r>
        <w:t>A toolbar with tools for several options (Main Toolbar) appears near the top of the screen.</w:t>
      </w:r>
    </w:p>
    <w:p w14:paraId="576C6C61" w14:textId="77777777" w:rsidR="002A21AE" w:rsidRDefault="002A21AE" w:rsidP="00FA7E65">
      <w:pPr>
        <w:pStyle w:val="BodyText"/>
      </w:pPr>
      <w:r>
        <w:t>Click a tool to open a function</w:t>
      </w:r>
      <w:r w:rsidR="00541DC0">
        <w:t xml:space="preserve"> quickly</w:t>
      </w:r>
      <w:r>
        <w:t>.</w:t>
      </w:r>
    </w:p>
    <w:p w14:paraId="7586B7E0" w14:textId="77777777" w:rsidR="002A21AE" w:rsidRDefault="002A21AE">
      <w:pPr>
        <w:pStyle w:val="Caution"/>
      </w:pPr>
      <w:r>
        <w:t xml:space="preserve">A function may also be opened by pressing </w:t>
      </w:r>
      <w:r>
        <w:rPr>
          <w:b/>
        </w:rPr>
        <w:t>Alt</w:t>
      </w:r>
      <w:r>
        <w:t xml:space="preserve"> and the </w:t>
      </w:r>
      <w:r w:rsidRPr="00443024">
        <w:rPr>
          <w:b/>
        </w:rPr>
        <w:t xml:space="preserve">key for the </w:t>
      </w:r>
      <w:r>
        <w:rPr>
          <w:b/>
        </w:rPr>
        <w:t xml:space="preserve">underscored letter </w:t>
      </w:r>
      <w:r>
        <w:t>in the tool name.</w:t>
      </w:r>
    </w:p>
    <w:p w14:paraId="4C490921" w14:textId="77777777" w:rsidR="002A21AE" w:rsidRDefault="002A21AE">
      <w:pPr>
        <w:pStyle w:val="Heading4"/>
      </w:pPr>
      <w:r>
        <w:t>Main Toolbar</w:t>
      </w:r>
      <w:r>
        <w:fldChar w:fldCharType="begin"/>
      </w:r>
      <w:r>
        <w:instrText xml:space="preserve"> XE </w:instrText>
      </w:r>
      <w:r w:rsidR="00FA7E65">
        <w:instrText>“</w:instrText>
      </w:r>
      <w:r>
        <w:instrText>Main Toolbar</w:instrText>
      </w:r>
      <w:r w:rsidR="00FA7E65">
        <w:instrText>”</w:instrText>
      </w:r>
      <w:r>
        <w:instrText xml:space="preserve"> </w:instrText>
      </w:r>
      <w:r>
        <w:fldChar w:fldCharType="end"/>
      </w:r>
    </w:p>
    <w:p w14:paraId="28F02177" w14:textId="7F671A35" w:rsidR="002A21AE" w:rsidRDefault="002A21AE" w:rsidP="00FA7E65">
      <w:pPr>
        <w:pStyle w:val="BodyText"/>
      </w:pPr>
      <w:r w:rsidRPr="002532D0">
        <w:t xml:space="preserve">The </w:t>
      </w:r>
      <w:r w:rsidRPr="002532D0">
        <w:rPr>
          <w:i/>
          <w:iCs/>
        </w:rPr>
        <w:t>Main Toolbar</w:t>
      </w:r>
      <w:r w:rsidRPr="002532D0">
        <w:t xml:space="preserve"> appears at the top of the screen. </w:t>
      </w:r>
      <w:r w:rsidR="000359E4" w:rsidRPr="002532D0">
        <w:t xml:space="preserve">All icons will be greyed out (un-clickable) when VBECS has been set to </w:t>
      </w:r>
      <w:r w:rsidR="002532D0">
        <w:t>Read-Only</w:t>
      </w:r>
      <w:r w:rsidR="000359E4" w:rsidRPr="002532D0">
        <w:t>. If enabled, the icons can be clicked</w:t>
      </w:r>
      <w:r w:rsidRPr="002532D0">
        <w:t xml:space="preserve"> to access</w:t>
      </w:r>
      <w:r w:rsidRPr="002532D0">
        <w:rPr>
          <w:rStyle w:val="FootnoteReference"/>
        </w:rPr>
        <w:footnoteReference w:id="2"/>
      </w:r>
      <w:r w:rsidRPr="002532D0">
        <w:t>:</w:t>
      </w:r>
    </w:p>
    <w:p w14:paraId="1F4089FB" w14:textId="77777777" w:rsidR="002A21AE" w:rsidRDefault="00057948" w:rsidP="00246EC0">
      <w:pPr>
        <w:pStyle w:val="BodyText"/>
        <w:spacing w:after="60"/>
        <w:ind w:left="360" w:hanging="360"/>
      </w:pPr>
      <w:r>
        <w:rPr>
          <w:noProof/>
        </w:rPr>
        <w:drawing>
          <wp:inline distT="0" distB="0" distL="0" distR="0" wp14:anchorId="12CE4A4F" wp14:editId="3833E47D">
            <wp:extent cx="156845" cy="156845"/>
            <wp:effectExtent l="0" t="0" r="0" b="0"/>
            <wp:docPr id="74" name="Picture 74" descr="Logon Reagents ico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n Reagents icon">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Log In Reagents</w:t>
      </w:r>
    </w:p>
    <w:p w14:paraId="09FA1B0F" w14:textId="77777777" w:rsidR="002A21AE" w:rsidRDefault="00057948" w:rsidP="00246EC0">
      <w:pPr>
        <w:pStyle w:val="BodyText"/>
        <w:spacing w:after="60"/>
        <w:ind w:left="360" w:hanging="360"/>
      </w:pPr>
      <w:r>
        <w:rPr>
          <w:noProof/>
        </w:rPr>
        <w:drawing>
          <wp:inline distT="0" distB="0" distL="0" distR="0" wp14:anchorId="5D5EB42A" wp14:editId="491287D4">
            <wp:extent cx="156845" cy="156845"/>
            <wp:effectExtent l="0" t="0" r="0" b="0"/>
            <wp:docPr id="75" name="Picture 75" descr="Enter Daily QC Results icon">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Enter Daily QC Results icon">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Enter Daily QC Results</w:t>
      </w:r>
    </w:p>
    <w:p w14:paraId="5AECBCC1" w14:textId="77777777" w:rsidR="002A21AE" w:rsidRDefault="00057948" w:rsidP="00246EC0">
      <w:pPr>
        <w:pStyle w:val="BodyText"/>
        <w:spacing w:after="60"/>
        <w:ind w:left="360" w:hanging="360"/>
      </w:pPr>
      <w:r>
        <w:rPr>
          <w:noProof/>
        </w:rPr>
        <w:drawing>
          <wp:inline distT="0" distB="0" distL="0" distR="0" wp14:anchorId="531AC3B4" wp14:editId="51EC7A1B">
            <wp:extent cx="156845" cy="156845"/>
            <wp:effectExtent l="0" t="0" r="0" b="0"/>
            <wp:docPr id="76" name="Picture 76" descr="Incoming Shipment ico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ncoming Shipment ico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Incoming Shipment</w:t>
      </w:r>
    </w:p>
    <w:p w14:paraId="47121BB1" w14:textId="77777777" w:rsidR="002A21AE" w:rsidRDefault="00057948" w:rsidP="00246EC0">
      <w:pPr>
        <w:pStyle w:val="BodyText"/>
        <w:spacing w:after="60"/>
        <w:ind w:left="360" w:hanging="360"/>
      </w:pPr>
      <w:r>
        <w:rPr>
          <w:noProof/>
        </w:rPr>
        <w:drawing>
          <wp:inline distT="0" distB="0" distL="0" distR="0" wp14:anchorId="633DAF8F" wp14:editId="50C66AE8">
            <wp:extent cx="156845" cy="156845"/>
            <wp:effectExtent l="0" t="0" r="0" b="0"/>
            <wp:docPr id="77" name="Picture 77" descr="ABO/Rh Confirmation ico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BO/Rh Confirmation icon">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ABO/Rh Confirmation</w:t>
      </w:r>
    </w:p>
    <w:p w14:paraId="1CBD3E81" w14:textId="77777777" w:rsidR="002A21AE" w:rsidRDefault="00057948" w:rsidP="00246EC0">
      <w:pPr>
        <w:pStyle w:val="BodyText"/>
        <w:spacing w:after="60"/>
        <w:ind w:left="360" w:hanging="360"/>
      </w:pPr>
      <w:r>
        <w:rPr>
          <w:noProof/>
        </w:rPr>
        <w:drawing>
          <wp:inline distT="0" distB="0" distL="0" distR="0" wp14:anchorId="146861F2" wp14:editId="41C559CF">
            <wp:extent cx="156845" cy="156845"/>
            <wp:effectExtent l="0" t="0" r="0" b="0"/>
            <wp:docPr id="78" name="Picture 78" descr="Modify Units ic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odify Units icon">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Modify Units</w:t>
      </w:r>
    </w:p>
    <w:p w14:paraId="23138F3E" w14:textId="77777777" w:rsidR="002A21AE" w:rsidRDefault="00057948" w:rsidP="00246EC0">
      <w:pPr>
        <w:pStyle w:val="BodyText"/>
        <w:spacing w:after="60"/>
        <w:ind w:left="360" w:hanging="360"/>
      </w:pPr>
      <w:r>
        <w:rPr>
          <w:noProof/>
        </w:rPr>
        <w:drawing>
          <wp:inline distT="0" distB="0" distL="0" distR="0" wp14:anchorId="35968CB3" wp14:editId="32701072">
            <wp:extent cx="156845" cy="156845"/>
            <wp:effectExtent l="0" t="0" r="0" b="0"/>
            <wp:docPr id="79" name="Picture 79" descr="Unit Antigen Typing ic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Unit Antigen Typing icon">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Unit Antigen Typing</w:t>
      </w:r>
    </w:p>
    <w:p w14:paraId="406AEFBA" w14:textId="77777777" w:rsidR="002A21AE" w:rsidRDefault="00057948" w:rsidP="00246EC0">
      <w:pPr>
        <w:pStyle w:val="BodyText"/>
        <w:spacing w:after="60"/>
        <w:ind w:left="360" w:hanging="360"/>
      </w:pPr>
      <w:r>
        <w:rPr>
          <w:noProof/>
        </w:rPr>
        <w:drawing>
          <wp:inline distT="0" distB="0" distL="0" distR="0" wp14:anchorId="064B39DF" wp14:editId="39B05898">
            <wp:extent cx="156845" cy="156845"/>
            <wp:effectExtent l="0" t="0" r="0" b="0"/>
            <wp:docPr id="80" name="Picture 80" descr="Outgoing Shipment ico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Outgoing Shipment icon">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Outgoing Shipment</w:t>
      </w:r>
    </w:p>
    <w:p w14:paraId="617B80DE" w14:textId="77777777" w:rsidR="002A21AE" w:rsidRDefault="00057948" w:rsidP="00246EC0">
      <w:pPr>
        <w:pStyle w:val="BodyText"/>
        <w:spacing w:after="60"/>
        <w:ind w:left="360" w:hanging="360"/>
      </w:pPr>
      <w:r>
        <w:rPr>
          <w:noProof/>
        </w:rPr>
        <w:drawing>
          <wp:inline distT="0" distB="0" distL="0" distR="0" wp14:anchorId="53BB7C9E" wp14:editId="20D42203">
            <wp:extent cx="156845" cy="156845"/>
            <wp:effectExtent l="0" t="0" r="0" b="0"/>
            <wp:docPr id="81" name="Picture 81" descr="Accept Orders: Accept an Order ic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ccept Orders: Accept an Order icon">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Accept Orders: Accept an Order</w:t>
      </w:r>
    </w:p>
    <w:p w14:paraId="5A0BBDBB" w14:textId="77777777" w:rsidR="002A21AE" w:rsidRDefault="00057948" w:rsidP="00246EC0">
      <w:pPr>
        <w:pStyle w:val="BodyText"/>
        <w:spacing w:after="60"/>
        <w:ind w:left="360" w:hanging="360"/>
      </w:pPr>
      <w:r>
        <w:rPr>
          <w:noProof/>
        </w:rPr>
        <w:drawing>
          <wp:inline distT="0" distB="0" distL="0" distR="0" wp14:anchorId="109857AA" wp14:editId="6ED56EB7">
            <wp:extent cx="156845" cy="156845"/>
            <wp:effectExtent l="0" t="0" r="0" b="0"/>
            <wp:docPr id="82" name="Picture 82" descr="Maintain Specimen ico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Maintain Specimen icon">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Maintain Specimen</w:t>
      </w:r>
    </w:p>
    <w:p w14:paraId="0F7A9D28" w14:textId="77777777" w:rsidR="002A21AE" w:rsidRDefault="00057948" w:rsidP="00246EC0">
      <w:pPr>
        <w:pStyle w:val="BodyText"/>
        <w:spacing w:after="60"/>
        <w:ind w:left="360" w:hanging="360"/>
      </w:pPr>
      <w:r>
        <w:rPr>
          <w:noProof/>
        </w:rPr>
        <w:drawing>
          <wp:inline distT="0" distB="0" distL="0" distR="0" wp14:anchorId="09B34BE8" wp14:editId="2A18FAD3">
            <wp:extent cx="156845" cy="156845"/>
            <wp:effectExtent l="0" t="0" r="0" b="0"/>
            <wp:docPr id="83" name="Picture 83" descr="Patient Testing ic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atient Testing icon">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Patient Testing</w:t>
      </w:r>
    </w:p>
    <w:p w14:paraId="6DEBC26C" w14:textId="77777777" w:rsidR="00246EC0" w:rsidRDefault="00057948" w:rsidP="00246EC0">
      <w:pPr>
        <w:pStyle w:val="BodyText"/>
        <w:spacing w:after="60"/>
        <w:ind w:left="360" w:hanging="360"/>
      </w:pPr>
      <w:r>
        <w:rPr>
          <w:noProof/>
        </w:rPr>
        <w:drawing>
          <wp:inline distT="0" distB="0" distL="0" distR="0" wp14:anchorId="77FD84BB" wp14:editId="4D47418E">
            <wp:extent cx="156845" cy="156845"/>
            <wp:effectExtent l="0" t="0" r="0" b="0"/>
            <wp:docPr id="84" name="Picture 84" descr="Automated Instrument Pending Blood Unit T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utomated Instrument Pending Blood Unit Tests ic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Instrument Pending </w:t>
      </w:r>
      <w:r w:rsidR="00E57FEA">
        <w:t>Blood Unit</w:t>
      </w:r>
      <w:r w:rsidR="00246EC0">
        <w:t xml:space="preserve"> Tests</w:t>
      </w:r>
    </w:p>
    <w:p w14:paraId="088EA099" w14:textId="77777777" w:rsidR="00246EC0" w:rsidRDefault="00057948" w:rsidP="00246EC0">
      <w:pPr>
        <w:pStyle w:val="BodyText"/>
        <w:spacing w:after="60"/>
        <w:ind w:left="360" w:hanging="360"/>
      </w:pPr>
      <w:r>
        <w:rPr>
          <w:noProof/>
        </w:rPr>
        <w:drawing>
          <wp:inline distT="0" distB="0" distL="0" distR="0" wp14:anchorId="6D271968" wp14:editId="7A98D8CA">
            <wp:extent cx="156845" cy="156845"/>
            <wp:effectExtent l="0" t="0" r="0" b="0"/>
            <wp:docPr id="85" name="Picture 85" descr="Automated Instrument Pending Patient T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utomated Instrument Pending Patient Tests ic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w:t>
      </w:r>
      <w:r w:rsidR="00E57FEA">
        <w:t>rument Pending Patient</w:t>
      </w:r>
      <w:r w:rsidR="00246EC0">
        <w:t xml:space="preserve"> Tests</w:t>
      </w:r>
    </w:p>
    <w:p w14:paraId="62B3CEB1" w14:textId="77777777" w:rsidR="002A21AE" w:rsidRDefault="00057948" w:rsidP="00246EC0">
      <w:pPr>
        <w:pStyle w:val="BodyText"/>
        <w:spacing w:after="60"/>
        <w:ind w:left="360" w:hanging="360"/>
      </w:pPr>
      <w:r>
        <w:rPr>
          <w:noProof/>
        </w:rPr>
        <w:drawing>
          <wp:inline distT="0" distB="0" distL="0" distR="0" wp14:anchorId="68D7CE5E" wp14:editId="560B7FF9">
            <wp:extent cx="156845" cy="156845"/>
            <wp:effectExtent l="0" t="0" r="0" b="0"/>
            <wp:docPr id="86" name="Picture 86" descr="Select Units ico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elect Units icon">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Select Units</w:t>
      </w:r>
    </w:p>
    <w:p w14:paraId="270D5696" w14:textId="77777777" w:rsidR="002A21AE" w:rsidRDefault="00057948" w:rsidP="00246EC0">
      <w:pPr>
        <w:pStyle w:val="BodyText"/>
        <w:spacing w:after="60"/>
        <w:ind w:left="360" w:hanging="360"/>
      </w:pPr>
      <w:r>
        <w:rPr>
          <w:noProof/>
        </w:rPr>
        <w:drawing>
          <wp:inline distT="0" distB="0" distL="0" distR="0" wp14:anchorId="4B3B5E3A" wp14:editId="772EF511">
            <wp:extent cx="156845" cy="156845"/>
            <wp:effectExtent l="0" t="0" r="0" b="0"/>
            <wp:docPr id="87" name="Picture 87" descr="Issue Blood Components ico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ssue Blood Components icon">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Issue Blood Components</w:t>
      </w:r>
    </w:p>
    <w:p w14:paraId="45BF7CC0" w14:textId="77777777" w:rsidR="002A21AE" w:rsidRDefault="00057948" w:rsidP="00246EC0">
      <w:pPr>
        <w:pStyle w:val="BodyText"/>
        <w:spacing w:after="60"/>
        <w:ind w:left="360" w:hanging="360"/>
      </w:pPr>
      <w:r>
        <w:rPr>
          <w:noProof/>
        </w:rPr>
        <w:drawing>
          <wp:inline distT="0" distB="0" distL="0" distR="0" wp14:anchorId="2CE0880D" wp14:editId="2BBCEE0A">
            <wp:extent cx="156845" cy="156845"/>
            <wp:effectExtent l="0" t="0" r="0" b="0"/>
            <wp:docPr id="88" name="Picture 88" descr="Post-Transfusion Information ico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ost-Transfusion Information icon">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Post-Transfusion Information</w:t>
      </w:r>
    </w:p>
    <w:p w14:paraId="5E21BDCC" w14:textId="77777777" w:rsidR="00E15889" w:rsidRDefault="00E15889" w:rsidP="00E15889">
      <w:pPr>
        <w:pStyle w:val="BodyText"/>
        <w:ind w:left="360"/>
      </w:pPr>
    </w:p>
    <w:p w14:paraId="4F7B121A" w14:textId="77777777" w:rsidR="002A21AE" w:rsidRDefault="002A21AE">
      <w:pPr>
        <w:pStyle w:val="Caution"/>
      </w:pPr>
      <w:r>
        <w:t>Clicking an icon in the Main Toolbar saves a step: it’s the same as clicking the main menu item, and then on the option.</w:t>
      </w:r>
    </w:p>
    <w:p w14:paraId="3F7244DD" w14:textId="0B13AFC5" w:rsidR="002A21AE" w:rsidRDefault="002A21AE">
      <w:pPr>
        <w:pStyle w:val="BodyText"/>
      </w:pPr>
      <w:r>
        <w:t>VBECS uses tree views to display list items. Click a plus sign (+) to expand a list. Click a minus sign (–) to condense a list.</w:t>
      </w:r>
    </w:p>
    <w:p w14:paraId="1DC8AED3" w14:textId="4E99C904" w:rsidR="002A21AE" w:rsidRDefault="002A21AE">
      <w:pPr>
        <w:pStyle w:val="Heading2"/>
      </w:pPr>
      <w:bookmarkStart w:id="119" w:name="_Toc163644868"/>
      <w:r>
        <w:lastRenderedPageBreak/>
        <w:t>Patient Information Toolbar</w:t>
      </w:r>
      <w:bookmarkEnd w:id="119"/>
      <w:r>
        <w:fldChar w:fldCharType="begin"/>
      </w:r>
      <w:r>
        <w:instrText xml:space="preserve"> XE </w:instrText>
      </w:r>
      <w:r w:rsidR="00FA7E65">
        <w:instrText>“</w:instrText>
      </w:r>
      <w:r>
        <w:instrText>Patient Information Toolbar</w:instrText>
      </w:r>
      <w:r w:rsidR="00FA7E65">
        <w:instrText>”</w:instrText>
      </w:r>
      <w:r>
        <w:instrText xml:space="preserve"> </w:instrText>
      </w:r>
      <w:r>
        <w:fldChar w:fldCharType="end"/>
      </w:r>
    </w:p>
    <w:p w14:paraId="36E794A4" w14:textId="77777777" w:rsidR="002A21AE" w:rsidRDefault="002A21AE" w:rsidP="00FA7E65">
      <w:pPr>
        <w:pStyle w:val="BodyText"/>
      </w:pPr>
      <w:r>
        <w:t xml:space="preserve">The </w:t>
      </w:r>
      <w:r>
        <w:rPr>
          <w:i/>
          <w:iCs/>
        </w:rPr>
        <w:t>Patient Information Toolbar</w:t>
      </w:r>
      <w:r>
        <w:t xml:space="preserve"> appears in the active window when a patient record is displayed.</w:t>
      </w:r>
      <w:r w:rsidR="00AD1B87">
        <w:t xml:space="preserve"> VBECS displays only the icons appropriate to the option. </w:t>
      </w:r>
      <w:r>
        <w:t>Click the icons in the Patient Information Toolbar to display:</w:t>
      </w:r>
    </w:p>
    <w:p w14:paraId="6D3E360F" w14:textId="77777777" w:rsidR="002A21AE" w:rsidRDefault="00057948">
      <w:pPr>
        <w:pStyle w:val="BodyText"/>
        <w:ind w:left="360" w:hanging="360"/>
      </w:pPr>
      <w:r>
        <w:rPr>
          <w:noProof/>
        </w:rPr>
        <w:drawing>
          <wp:inline distT="0" distB="0" distL="0" distR="0" wp14:anchorId="174A0ED8" wp14:editId="6E7E8CCF">
            <wp:extent cx="156845" cy="156845"/>
            <wp:effectExtent l="0" t="0" r="0" b="0"/>
            <wp:docPr id="89" name="Picture 89" descr="Blood Availability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Blood Availability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Blood Availability Report (Blood Availability) </w:t>
      </w:r>
      <w:r w:rsidR="002A21AE">
        <w:rPr>
          <w:vanish/>
        </w:rPr>
        <w:t>UC_49</w:t>
      </w:r>
    </w:p>
    <w:p w14:paraId="06ACDF87" w14:textId="77777777" w:rsidR="002A21AE" w:rsidRDefault="00057948">
      <w:pPr>
        <w:pStyle w:val="BodyText"/>
        <w:ind w:left="360" w:hanging="360"/>
      </w:pPr>
      <w:r>
        <w:rPr>
          <w:noProof/>
        </w:rPr>
        <w:drawing>
          <wp:inline distT="0" distB="0" distL="0" distR="0" wp14:anchorId="160978A1" wp14:editId="00D5EE83">
            <wp:extent cx="156845" cy="156845"/>
            <wp:effectExtent l="0" t="0" r="0" b="0"/>
            <wp:docPr id="90" name="Picture 90" descr="Medication Profile icon">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Medication Profile icon">
                      <a:hlinkClick r:id="rId8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current medication profile (Medication Profile)</w:t>
      </w:r>
      <w:r w:rsidR="002A21AE">
        <w:rPr>
          <w:vanish/>
        </w:rPr>
        <w:t xml:space="preserve"> UC_46</w:t>
      </w:r>
    </w:p>
    <w:p w14:paraId="3107FE1C" w14:textId="77777777" w:rsidR="002A21AE" w:rsidRDefault="00057948">
      <w:pPr>
        <w:pStyle w:val="BodyText"/>
        <w:ind w:left="360" w:hanging="360"/>
      </w:pPr>
      <w:r>
        <w:rPr>
          <w:noProof/>
        </w:rPr>
        <w:drawing>
          <wp:inline distT="0" distB="0" distL="0" distR="0" wp14:anchorId="40BDE1FB" wp14:editId="3F462321">
            <wp:extent cx="156845" cy="156845"/>
            <wp:effectExtent l="0" t="0" r="0" b="0"/>
            <wp:docPr id="91" name="Picture 91" descr="Recent Orders ico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ecent Orders icon">
                      <a:hlinkClick r:id="rId90"/>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orders (Recent Orders)</w:t>
      </w:r>
      <w:r w:rsidR="002A21AE">
        <w:rPr>
          <w:vanish/>
        </w:rPr>
        <w:t xml:space="preserve"> UC_65</w:t>
      </w:r>
    </w:p>
    <w:p w14:paraId="1AAC3744" w14:textId="77777777" w:rsidR="002A21AE" w:rsidRDefault="00057948">
      <w:pPr>
        <w:pStyle w:val="BodyText"/>
        <w:ind w:left="360" w:hanging="360"/>
      </w:pPr>
      <w:r>
        <w:rPr>
          <w:noProof/>
        </w:rPr>
        <w:drawing>
          <wp:inline distT="0" distB="0" distL="0" distR="0" wp14:anchorId="5EC96A22" wp14:editId="029DB91B">
            <wp:extent cx="156845" cy="156845"/>
            <wp:effectExtent l="0" t="0" r="0" b="0"/>
            <wp:docPr id="92" name="Picture 92" descr="View Special Instructions and Transfusion Requirements icon">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View Special Instructions and Transfusion Requirements icon">
                      <a:hlinkClick r:id="rId9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patient’s Special Instructions and/or Transfusion Requirements (View Special Instructions and Transfusion Requirements) </w:t>
      </w:r>
      <w:r w:rsidR="002A21AE">
        <w:rPr>
          <w:vanish/>
        </w:rPr>
        <w:t>UC_36</w:t>
      </w:r>
    </w:p>
    <w:p w14:paraId="5BD0DCEE" w14:textId="77777777" w:rsidR="002A21AE" w:rsidRDefault="00057948">
      <w:pPr>
        <w:pStyle w:val="BodyText"/>
        <w:ind w:left="360" w:hanging="360"/>
      </w:pPr>
      <w:r>
        <w:rPr>
          <w:noProof/>
        </w:rPr>
        <w:drawing>
          <wp:inline distT="0" distB="0" distL="0" distR="0" wp14:anchorId="517ADB7F" wp14:editId="591D3BD0">
            <wp:extent cx="156845" cy="156845"/>
            <wp:effectExtent l="0" t="0" r="0" b="0"/>
            <wp:docPr id="93" name="Picture 93" descr="Recent Transfusions/Issued Units icon">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Recent Transfusions/Issued Units icon">
                      <a:hlinkClick r:id="rId9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transfusion history (Recent Transfusions/Issued Units)</w:t>
      </w:r>
      <w:r w:rsidR="002A21AE">
        <w:rPr>
          <w:vanish/>
        </w:rPr>
        <w:t xml:space="preserve"> UC_65</w:t>
      </w:r>
    </w:p>
    <w:p w14:paraId="1EAA5546" w14:textId="086DE2FA" w:rsidR="00C12CF8" w:rsidRDefault="00057948" w:rsidP="00591A3B">
      <w:pPr>
        <w:pStyle w:val="BodyText"/>
        <w:ind w:left="360" w:hanging="360"/>
      </w:pPr>
      <w:r>
        <w:rPr>
          <w:noProof/>
        </w:rPr>
        <w:drawing>
          <wp:inline distT="0" distB="0" distL="0" distR="0" wp14:anchorId="43A8349D" wp14:editId="55CFF468">
            <wp:extent cx="156845" cy="156845"/>
            <wp:effectExtent l="0" t="0" r="0" b="0"/>
            <wp:docPr id="94" name="Picture 94" descr="Transfusion Reaction History ico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ransfusion Reaction History icon">
                      <a:hlinkClick r:id="rId93"/>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transfusion reaction history (Transfusion Reaction History)</w:t>
      </w:r>
      <w:r w:rsidR="00547F23" w:rsidRPr="00547F23">
        <w:rPr>
          <w:vanish/>
        </w:rPr>
        <w:t xml:space="preserve"> </w:t>
      </w:r>
      <w:r w:rsidR="00547F23">
        <w:rPr>
          <w:vanish/>
        </w:rPr>
        <w:t>UC_65</w:t>
      </w:r>
      <w:r w:rsidR="002A21AE">
        <w:rPr>
          <w:vanish/>
        </w:rPr>
        <w:t xml:space="preserve"> </w:t>
      </w:r>
    </w:p>
    <w:p w14:paraId="0796217F" w14:textId="57A3D504" w:rsidR="00577C1F" w:rsidRDefault="006F799E" w:rsidP="00577C1F">
      <w:pPr>
        <w:pStyle w:val="Heading3"/>
      </w:pPr>
      <w:bookmarkStart w:id="120" w:name="_Medication_Profile_UC_46"/>
      <w:bookmarkStart w:id="121" w:name="_Toc163644869"/>
      <w:bookmarkEnd w:id="120"/>
      <w:r>
        <w:rPr>
          <w:noProof/>
        </w:rPr>
        <w:drawing>
          <wp:inline distT="0" distB="0" distL="0" distR="0" wp14:anchorId="681F04FD" wp14:editId="787985F4">
            <wp:extent cx="156845" cy="156845"/>
            <wp:effectExtent l="0" t="0" r="0" b="0"/>
            <wp:docPr id="70" name="Picture 70" descr="Blood Availability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lood Availability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P</w:t>
      </w:r>
      <w:r w:rsidR="00577C1F">
        <w:t>atient Blood Availability</w:t>
      </w:r>
      <w:bookmarkEnd w:id="121"/>
      <w:r w:rsidR="00B973E2">
        <w:fldChar w:fldCharType="begin"/>
      </w:r>
      <w:r w:rsidR="00B973E2">
        <w:instrText xml:space="preserve"> XE "</w:instrText>
      </w:r>
      <w:r w:rsidR="00B973E2" w:rsidRPr="00DC29FC">
        <w:instrText>Patient Blood Availability</w:instrText>
      </w:r>
      <w:r w:rsidR="00B973E2">
        <w:instrText xml:space="preserve">" </w:instrText>
      </w:r>
      <w:r w:rsidR="00B973E2">
        <w:fldChar w:fldCharType="end"/>
      </w:r>
    </w:p>
    <w:p w14:paraId="258FA80E" w14:textId="77777777" w:rsidR="00971D59" w:rsidRPr="00971D59" w:rsidRDefault="00971D59" w:rsidP="00971D59">
      <w:pPr>
        <w:pStyle w:val="BodyText"/>
      </w:pPr>
      <w:r w:rsidRPr="00971D59">
        <w:t>The user views blood products available to a patient. The Blood Availability Report does not include unassigned, restricted blood products. To view unassigned, restricted blood products and other custom reports, see Blood Availability.</w:t>
      </w:r>
      <w:r w:rsidR="00D407D0" w:rsidRPr="00D407D0">
        <w:rPr>
          <w:vanish/>
        </w:rPr>
        <w:t>DR 1,041</w:t>
      </w:r>
    </w:p>
    <w:p w14:paraId="132EED4B" w14:textId="77777777" w:rsidR="002A21AE" w:rsidRPr="001F24A4" w:rsidRDefault="00E75E0A" w:rsidP="001F24A4">
      <w:pPr>
        <w:pStyle w:val="Heading3"/>
      </w:pPr>
      <w:r>
        <w:br w:type="page"/>
      </w:r>
      <w:bookmarkStart w:id="122" w:name="_Toc163644870"/>
      <w:r w:rsidR="00057948">
        <w:rPr>
          <w:noProof/>
        </w:rPr>
        <w:lastRenderedPageBreak/>
        <w:drawing>
          <wp:inline distT="0" distB="0" distL="0" distR="0" wp14:anchorId="7FAAFBB7" wp14:editId="501F1FD2">
            <wp:extent cx="156845" cy="193675"/>
            <wp:effectExtent l="0" t="0" r="0" b="0"/>
            <wp:docPr id="96" name="Picture 96" descr="Medication Pro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edication Profile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2A21AE" w:rsidRPr="004C2A71">
        <w:t xml:space="preserve"> Medication Profile</w:t>
      </w:r>
      <w:bookmarkEnd w:id="122"/>
      <w:r w:rsidR="002A21AE" w:rsidRPr="004C2A71">
        <w:fldChar w:fldCharType="begin"/>
      </w:r>
      <w:r w:rsidR="002A21AE" w:rsidRPr="004C2A71">
        <w:instrText xml:space="preserve"> XE </w:instrText>
      </w:r>
      <w:r w:rsidR="00FA7E65" w:rsidRPr="004C2A71">
        <w:instrText>“</w:instrText>
      </w:r>
      <w:r w:rsidR="002A21AE" w:rsidRPr="004C2A71">
        <w:instrText>Medication Profile</w:instrText>
      </w:r>
      <w:r w:rsidR="00FA7E65" w:rsidRPr="004C2A71">
        <w:instrText>”</w:instrText>
      </w:r>
      <w:r w:rsidR="002A21AE" w:rsidRPr="004C2A71">
        <w:instrText xml:space="preserve"> </w:instrText>
      </w:r>
      <w:r w:rsidR="002A21AE" w:rsidRPr="004C2A71">
        <w:fldChar w:fldCharType="end"/>
      </w:r>
      <w:r w:rsidR="002A21AE">
        <w:t xml:space="preserve"> </w:t>
      </w:r>
      <w:r w:rsidR="002A21AE" w:rsidRPr="00C12CF8">
        <w:rPr>
          <w:vanish/>
        </w:rPr>
        <w:t>UC_46</w:t>
      </w:r>
      <w:r w:rsidR="002A21AE">
        <w:t xml:space="preserve"> </w:t>
      </w:r>
    </w:p>
    <w:p w14:paraId="0A51FF4F" w14:textId="77777777" w:rsidR="002A21AE" w:rsidRDefault="002A21AE" w:rsidP="004C2A71">
      <w:pPr>
        <w:pStyle w:val="BodyText"/>
      </w:pPr>
      <w:r>
        <w:t>The user views a patient’s current medication profile.</w:t>
      </w:r>
    </w:p>
    <w:p w14:paraId="06BC41DC" w14:textId="77777777" w:rsidR="002A21AE" w:rsidRDefault="002A21AE">
      <w:pPr>
        <w:pStyle w:val="Heading4"/>
      </w:pPr>
      <w:r>
        <w:t xml:space="preserve">Assumptions </w:t>
      </w:r>
    </w:p>
    <w:p w14:paraId="7F374552" w14:textId="77777777" w:rsidR="002A21AE" w:rsidRDefault="002A21AE">
      <w:pPr>
        <w:pStyle w:val="ListBullet"/>
      </w:pPr>
      <w:r>
        <w:t xml:space="preserve">The connection to </w:t>
      </w:r>
      <w:r w:rsidR="00CA0045" w:rsidRPr="00CA0045">
        <w:rPr>
          <w:bCs/>
        </w:rPr>
        <w:t>VistA</w:t>
      </w:r>
      <w:r>
        <w:t xml:space="preserve"> is active. </w:t>
      </w:r>
    </w:p>
    <w:p w14:paraId="066B6808" w14:textId="77777777" w:rsidR="00DD75E5" w:rsidRDefault="002A21AE" w:rsidP="00DD75E5">
      <w:pPr>
        <w:pStyle w:val="Heading4"/>
      </w:pPr>
      <w:r>
        <w:t>Outcome</w:t>
      </w:r>
    </w:p>
    <w:p w14:paraId="6182BD84" w14:textId="77777777" w:rsidR="002A21AE" w:rsidRDefault="002A21AE" w:rsidP="00DD75E5">
      <w:pPr>
        <w:pStyle w:val="ListBullet"/>
      </w:pPr>
      <w:r>
        <w:t>VBECS displays a patient’s current medications.</w:t>
      </w:r>
    </w:p>
    <w:p w14:paraId="6FAD5D26" w14:textId="77777777" w:rsidR="002A21AE" w:rsidRDefault="002A21AE">
      <w:pPr>
        <w:pStyle w:val="Heading4"/>
      </w:pPr>
      <w:r>
        <w:t>Limitations and Restrictions</w:t>
      </w:r>
    </w:p>
    <w:p w14:paraId="68DB5FBB" w14:textId="77777777" w:rsidR="002A21AE" w:rsidRDefault="002A21AE">
      <w:pPr>
        <w:pStyle w:val="ListBullet"/>
      </w:pPr>
      <w:r>
        <w:t>None</w:t>
      </w:r>
    </w:p>
    <w:p w14:paraId="42F47C8C" w14:textId="77777777" w:rsidR="002A21AE" w:rsidRDefault="00DD75E5">
      <w:pPr>
        <w:pStyle w:val="Heading4"/>
      </w:pPr>
      <w:r>
        <w:t>Additional Information</w:t>
      </w:r>
    </w:p>
    <w:p w14:paraId="385AEB1D" w14:textId="77777777" w:rsidR="002A21AE" w:rsidRDefault="002A21AE">
      <w:pPr>
        <w:pStyle w:val="ListBullet"/>
      </w:pPr>
      <w:r>
        <w:t xml:space="preserve">The user may access CPRS for </w:t>
      </w:r>
      <w:r w:rsidR="00E90A01">
        <w:t>additional</w:t>
      </w:r>
      <w:r>
        <w:t xml:space="preserve"> information on a patient medication order.</w:t>
      </w:r>
    </w:p>
    <w:p w14:paraId="12FA92BA" w14:textId="77777777" w:rsidR="002A21AE" w:rsidRDefault="002A21AE">
      <w:pPr>
        <w:pStyle w:val="ListBullet"/>
      </w:pPr>
      <w:r>
        <w:t>These data are accessible to the user through the Patient Information Toolbar on all patient-specific screens.</w:t>
      </w:r>
    </w:p>
    <w:p w14:paraId="31DB9F38" w14:textId="77777777" w:rsidR="002A21AE" w:rsidRDefault="002A21AE">
      <w:pPr>
        <w:pStyle w:val="Heading4"/>
        <w:rPr>
          <w:b w:val="0"/>
        </w:rPr>
      </w:pPr>
      <w:r>
        <w:t>User Roles with Access to This Option</w:t>
      </w:r>
      <w:r>
        <w:rPr>
          <w:b w:val="0"/>
        </w:rPr>
        <w:t xml:space="preserve"> </w:t>
      </w:r>
    </w:p>
    <w:p w14:paraId="51780348" w14:textId="77777777" w:rsidR="002A21AE" w:rsidRDefault="00237C52" w:rsidP="00237C52">
      <w:pPr>
        <w:pStyle w:val="Roles"/>
      </w:pPr>
      <w:r>
        <w:t>All users</w:t>
      </w:r>
    </w:p>
    <w:p w14:paraId="0422B621" w14:textId="77777777" w:rsidR="002A21AE" w:rsidRDefault="002A21AE">
      <w:pPr>
        <w:pStyle w:val="Heading4"/>
      </w:pPr>
      <w:r>
        <w:t xml:space="preserve">Medication Profile </w:t>
      </w:r>
    </w:p>
    <w:p w14:paraId="42B1C2B7" w14:textId="77777777" w:rsidR="002A21AE" w:rsidRDefault="002A21AE" w:rsidP="00FA7E65">
      <w:pPr>
        <w:pStyle w:val="BodyText"/>
      </w:pPr>
      <w:r>
        <w:rPr>
          <w:bCs/>
        </w:rPr>
        <w:t>At the user’s request, VBECS queries</w:t>
      </w:r>
      <w:r>
        <w:rPr>
          <w:b/>
          <w:bCs/>
        </w:rPr>
        <w:t xml:space="preserve"> </w:t>
      </w:r>
      <w:r w:rsidR="00CA0045" w:rsidRPr="00CA0045">
        <w:rPr>
          <w:bCs/>
        </w:rPr>
        <w:t>VistA</w:t>
      </w:r>
      <w:r>
        <w:t xml:space="preserve"> to search for active prescriptions within a user-specified time frame or a default time frame of six months, regardless of division, in a multidivisional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74E2E6" w14:textId="77777777">
        <w:trPr>
          <w:tblHeader/>
        </w:trPr>
        <w:tc>
          <w:tcPr>
            <w:tcW w:w="3240" w:type="dxa"/>
            <w:shd w:val="pct30" w:color="auto" w:fill="FFFFFF"/>
            <w:vAlign w:val="bottom"/>
          </w:tcPr>
          <w:p w14:paraId="3887BF32" w14:textId="77777777" w:rsidR="002A21AE" w:rsidRDefault="002A21AE">
            <w:pPr>
              <w:pStyle w:val="TableText"/>
              <w:rPr>
                <w:b/>
              </w:rPr>
            </w:pPr>
            <w:r>
              <w:rPr>
                <w:b/>
              </w:rPr>
              <w:t>User Action</w:t>
            </w:r>
          </w:p>
        </w:tc>
        <w:tc>
          <w:tcPr>
            <w:tcW w:w="6120" w:type="dxa"/>
            <w:shd w:val="pct30" w:color="auto" w:fill="FFFFFF"/>
            <w:vAlign w:val="bottom"/>
          </w:tcPr>
          <w:p w14:paraId="4ABEBD67" w14:textId="77777777" w:rsidR="002A21AE" w:rsidRDefault="002A21AE">
            <w:pPr>
              <w:pStyle w:val="TableText"/>
              <w:rPr>
                <w:b/>
              </w:rPr>
            </w:pPr>
            <w:r>
              <w:rPr>
                <w:b/>
              </w:rPr>
              <w:t>VBECS</w:t>
            </w:r>
          </w:p>
        </w:tc>
      </w:tr>
      <w:tr w:rsidR="002A21AE" w14:paraId="4B1668CD" w14:textId="77777777">
        <w:tc>
          <w:tcPr>
            <w:tcW w:w="3240" w:type="dxa"/>
          </w:tcPr>
          <w:p w14:paraId="29315A29" w14:textId="77777777" w:rsidR="002A21AE" w:rsidRDefault="002A21AE" w:rsidP="009D60F4">
            <w:pPr>
              <w:pStyle w:val="TableTextNumbers"/>
            </w:pPr>
            <w:r>
              <w:t xml:space="preserve">Select </w:t>
            </w:r>
            <w:r>
              <w:rPr>
                <w:b/>
              </w:rPr>
              <w:t>Reports</w:t>
            </w:r>
            <w:r>
              <w:t xml:space="preserve"> from the main menu.</w:t>
            </w:r>
          </w:p>
          <w:p w14:paraId="655CB11B" w14:textId="77777777" w:rsidR="002A21AE" w:rsidRDefault="002A21AE">
            <w:pPr>
              <w:pStyle w:val="TableTextNumbersContinued"/>
              <w:rPr>
                <w:b/>
                <w:bCs/>
              </w:rPr>
            </w:pPr>
          </w:p>
          <w:p w14:paraId="30034D53" w14:textId="77777777" w:rsidR="002A21AE" w:rsidRDefault="002A21AE">
            <w:pPr>
              <w:pStyle w:val="TableTextNumbersContinued"/>
              <w:rPr>
                <w:b/>
                <w:bCs/>
              </w:rPr>
            </w:pPr>
            <w:r>
              <w:rPr>
                <w:bCs/>
              </w:rPr>
              <w:t>Select</w:t>
            </w:r>
            <w:r>
              <w:rPr>
                <w:b/>
                <w:bCs/>
              </w:rPr>
              <w:t xml:space="preserve"> Medication Profile.</w:t>
            </w:r>
          </w:p>
          <w:p w14:paraId="09BA2DF1" w14:textId="77777777" w:rsidR="002A21AE" w:rsidRDefault="002A21AE">
            <w:pPr>
              <w:pStyle w:val="TableTextNumbersContinued"/>
              <w:rPr>
                <w:b/>
                <w:bCs/>
              </w:rPr>
            </w:pPr>
          </w:p>
          <w:p w14:paraId="46812049" w14:textId="77777777" w:rsidR="002A21AE" w:rsidRDefault="002A21AE">
            <w:pPr>
              <w:pStyle w:val="TableTextNumbersContinued"/>
              <w:rPr>
                <w:bCs/>
              </w:rPr>
            </w:pPr>
            <w:r>
              <w:rPr>
                <w:bCs/>
              </w:rPr>
              <w:t>Select a patient, or</w:t>
            </w:r>
          </w:p>
          <w:p w14:paraId="62C07106" w14:textId="77777777" w:rsidR="002A21AE" w:rsidRDefault="002A21AE">
            <w:pPr>
              <w:pStyle w:val="TableTextNumbersContinued"/>
              <w:rPr>
                <w:bCs/>
              </w:rPr>
            </w:pPr>
          </w:p>
          <w:p w14:paraId="0BBCF196" w14:textId="77777777" w:rsidR="002A21AE" w:rsidRDefault="002A21AE">
            <w:pPr>
              <w:pStyle w:val="TableTextNumbersContinued"/>
              <w:rPr>
                <w:bCs/>
              </w:rPr>
            </w:pPr>
            <w:r>
              <w:rPr>
                <w:bCs/>
              </w:rPr>
              <w:t>Select an option that displays the Patient Information Toolbar.</w:t>
            </w:r>
          </w:p>
          <w:p w14:paraId="6A8CCB60" w14:textId="77777777" w:rsidR="002A21AE" w:rsidRDefault="002A21AE">
            <w:pPr>
              <w:pStyle w:val="TableTextNumbersContinued"/>
              <w:rPr>
                <w:bCs/>
              </w:rPr>
            </w:pPr>
          </w:p>
          <w:p w14:paraId="36631172" w14:textId="77777777" w:rsidR="002A21AE" w:rsidRDefault="002A21AE">
            <w:pPr>
              <w:pStyle w:val="TableTextNumbersContinued"/>
              <w:rPr>
                <w:b/>
                <w:bCs/>
              </w:rPr>
            </w:pPr>
            <w:r>
              <w:rPr>
                <w:bCs/>
              </w:rPr>
              <w:t xml:space="preserve">Click </w:t>
            </w:r>
            <w:r w:rsidR="00057948">
              <w:rPr>
                <w:bCs/>
                <w:noProof/>
              </w:rPr>
              <w:drawing>
                <wp:inline distT="0" distB="0" distL="0" distR="0" wp14:anchorId="35724580" wp14:editId="4F6FA4E2">
                  <wp:extent cx="156845" cy="193675"/>
                  <wp:effectExtent l="0" t="0" r="0" b="0"/>
                  <wp:docPr id="97" name="Picture 97" descr="Medication Pro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Medication Profile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Pr>
                <w:bCs/>
              </w:rPr>
              <w:t xml:space="preserve"> to view a patient’s current medication list.</w:t>
            </w:r>
          </w:p>
        </w:tc>
        <w:tc>
          <w:tcPr>
            <w:tcW w:w="6120" w:type="dxa"/>
          </w:tcPr>
          <w:p w14:paraId="11A107A7" w14:textId="77777777" w:rsidR="002A21AE" w:rsidRDefault="002A21AE">
            <w:pPr>
              <w:pStyle w:val="TableTextBullet"/>
            </w:pPr>
            <w:r>
              <w:t>Lists report names.</w:t>
            </w:r>
          </w:p>
          <w:p w14:paraId="69AF3ED9" w14:textId="77777777" w:rsidR="002A21AE" w:rsidRDefault="002A21AE">
            <w:pPr>
              <w:pStyle w:val="TableTextBullet"/>
            </w:pPr>
            <w:r>
              <w:t>Displays the report date range, sections, and compilation criteria.</w:t>
            </w:r>
          </w:p>
          <w:p w14:paraId="030AF8FB" w14:textId="77777777" w:rsidR="002A21AE" w:rsidRDefault="002A21AE">
            <w:pPr>
              <w:pStyle w:val="TableTextBullet"/>
            </w:pPr>
            <w:r>
              <w:t>Displays options for processing patient-related functions.</w:t>
            </w:r>
          </w:p>
          <w:p w14:paraId="56FE691C" w14:textId="77777777" w:rsidR="002A21AE" w:rsidRDefault="002A21AE">
            <w:pPr>
              <w:pStyle w:val="TableTextBullet"/>
            </w:pPr>
            <w:r>
              <w:t>Compiles the active patient identification data.</w:t>
            </w:r>
          </w:p>
          <w:p w14:paraId="79132C4A" w14:textId="77777777" w:rsidR="002A21AE" w:rsidRDefault="002A21AE">
            <w:pPr>
              <w:pStyle w:val="TableText"/>
            </w:pPr>
          </w:p>
          <w:p w14:paraId="6F9710E9" w14:textId="21EE37CD" w:rsidR="002A21AE" w:rsidRDefault="002A21AE">
            <w:pPr>
              <w:pStyle w:val="TableText"/>
              <w:rPr>
                <w:b/>
                <w:bCs/>
                <w:szCs w:val="18"/>
              </w:rPr>
            </w:pPr>
            <w:r>
              <w:rPr>
                <w:b/>
                <w:bCs/>
                <w:szCs w:val="18"/>
              </w:rPr>
              <w:t>NOTES</w:t>
            </w:r>
          </w:p>
          <w:p w14:paraId="1170A891" w14:textId="77777777" w:rsidR="002A21AE" w:rsidRDefault="002A21AE">
            <w:pPr>
              <w:pStyle w:val="NotesText"/>
            </w:pPr>
          </w:p>
          <w:p w14:paraId="29FF8823" w14:textId="77777777" w:rsidR="002A21AE" w:rsidRDefault="002A21AE">
            <w:pPr>
              <w:pStyle w:val="NotesText"/>
            </w:pPr>
            <w:r w:rsidRPr="00E274BF">
              <w:rPr>
                <w:rFonts w:cs="Arial"/>
                <w:vanish/>
                <w:szCs w:val="18"/>
              </w:rPr>
              <w:t xml:space="preserve">BR_46.02 </w:t>
            </w:r>
            <w:r>
              <w:t>The user may edit the default start date (six months before the current date) for the patient medication search.</w:t>
            </w:r>
          </w:p>
        </w:tc>
      </w:tr>
      <w:tr w:rsidR="002A21AE" w14:paraId="6F01B4A7" w14:textId="77777777">
        <w:tc>
          <w:tcPr>
            <w:tcW w:w="3240" w:type="dxa"/>
          </w:tcPr>
          <w:p w14:paraId="35BF6241" w14:textId="77777777" w:rsidR="002A21AE" w:rsidRDefault="002A21AE">
            <w:pPr>
              <w:pStyle w:val="TableTextNumbers"/>
            </w:pPr>
            <w:r>
              <w:t>Accept or edit the default start and end dates.</w:t>
            </w:r>
          </w:p>
        </w:tc>
        <w:tc>
          <w:tcPr>
            <w:tcW w:w="6120" w:type="dxa"/>
          </w:tcPr>
          <w:p w14:paraId="0A293308" w14:textId="77777777" w:rsidR="002A21AE" w:rsidRDefault="002A21AE">
            <w:pPr>
              <w:pStyle w:val="TableTextBullet"/>
            </w:pPr>
            <w:r>
              <w:t xml:space="preserve">Displays each medication name status, order number, and issue/start date returned from the </w:t>
            </w:r>
            <w:r w:rsidR="00CA0045" w:rsidRPr="00CA0045">
              <w:rPr>
                <w:bCs/>
              </w:rPr>
              <w:t>VistA</w:t>
            </w:r>
            <w:r>
              <w:t xml:space="preserve"> query. </w:t>
            </w:r>
          </w:p>
          <w:p w14:paraId="69975E18" w14:textId="77777777" w:rsidR="002A21AE" w:rsidRDefault="002A21AE">
            <w:pPr>
              <w:pStyle w:val="TableTextBullet"/>
            </w:pPr>
            <w:r w:rsidRPr="00E274BF">
              <w:rPr>
                <w:rFonts w:cs="Arial"/>
                <w:vanish/>
                <w:szCs w:val="18"/>
              </w:rPr>
              <w:t>BR_46.04</w:t>
            </w:r>
            <w:r w:rsidRPr="009660C3">
              <w:rPr>
                <w:vanish/>
                <w:szCs w:val="18"/>
              </w:rPr>
              <w:t xml:space="preserve"> </w:t>
            </w:r>
            <w:r>
              <w:t>When a query does not return any medications, notifies the user that he may repeat the query with a different date range.</w:t>
            </w:r>
          </w:p>
        </w:tc>
      </w:tr>
      <w:tr w:rsidR="002A21AE" w14:paraId="070E4A4E" w14:textId="77777777">
        <w:tc>
          <w:tcPr>
            <w:tcW w:w="3240" w:type="dxa"/>
          </w:tcPr>
          <w:p w14:paraId="2F7C6720" w14:textId="77777777" w:rsidR="002A21AE" w:rsidRDefault="002A21AE">
            <w:pPr>
              <w:pStyle w:val="TableTextNumbers"/>
            </w:pPr>
            <w:r>
              <w:t xml:space="preserve">View the display. When desired, go to Step 1 to repeat the query, </w:t>
            </w:r>
          </w:p>
        </w:tc>
        <w:tc>
          <w:tcPr>
            <w:tcW w:w="6120" w:type="dxa"/>
          </w:tcPr>
          <w:p w14:paraId="528D0539" w14:textId="77777777" w:rsidR="002A21AE" w:rsidRDefault="002A21AE">
            <w:pPr>
              <w:pStyle w:val="TableTextBullet"/>
            </w:pPr>
            <w:r>
              <w:t>Allows the user to print the displayed patient medication profile.</w:t>
            </w:r>
          </w:p>
        </w:tc>
      </w:tr>
      <w:tr w:rsidR="002A21AE" w14:paraId="57406F80" w14:textId="77777777">
        <w:tc>
          <w:tcPr>
            <w:tcW w:w="3240" w:type="dxa"/>
          </w:tcPr>
          <w:p w14:paraId="4A4549B5" w14:textId="77777777" w:rsidR="002A21AE" w:rsidRDefault="002A21AE">
            <w:pPr>
              <w:pStyle w:val="TableTextNumbers"/>
            </w:pPr>
            <w:r>
              <w:t xml:space="preserve">Print the profile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F298782" w14:textId="77777777" w:rsidR="002A21AE" w:rsidRDefault="002A21AE">
            <w:pPr>
              <w:pStyle w:val="TableTextBullet"/>
            </w:pPr>
            <w:r>
              <w:t xml:space="preserve">Displays and prints the medication information profile. </w:t>
            </w:r>
          </w:p>
        </w:tc>
      </w:tr>
    </w:tbl>
    <w:p w14:paraId="5E026334" w14:textId="77777777" w:rsidR="002A21AE" w:rsidRDefault="002A21AE">
      <w:pPr>
        <w:pStyle w:val="Heading3"/>
        <w:sectPr w:rsidR="002A21AE" w:rsidSect="009516A4">
          <w:type w:val="continuous"/>
          <w:pgSz w:w="12240" w:h="15840" w:code="1"/>
          <w:pgMar w:top="1440" w:right="1440" w:bottom="1440" w:left="1440" w:header="720" w:footer="720" w:gutter="0"/>
          <w:pgNumType w:start="16"/>
          <w:cols w:space="720"/>
          <w:docGrid w:linePitch="360"/>
        </w:sectPr>
      </w:pPr>
    </w:p>
    <w:p w14:paraId="1CA4BCB3" w14:textId="77777777" w:rsidR="002A21AE" w:rsidRDefault="00057948">
      <w:pPr>
        <w:pStyle w:val="Heading3"/>
      </w:pPr>
      <w:bookmarkStart w:id="123" w:name="_View_Special_Instructions_and_Trans"/>
      <w:bookmarkStart w:id="124" w:name="_Toc92426411"/>
      <w:bookmarkStart w:id="125" w:name="_Toc163644871"/>
      <w:bookmarkEnd w:id="123"/>
      <w:r>
        <w:rPr>
          <w:noProof/>
        </w:rPr>
        <w:lastRenderedPageBreak/>
        <w:drawing>
          <wp:inline distT="0" distB="0" distL="0" distR="0" wp14:anchorId="2F6FBD08" wp14:editId="0886C13C">
            <wp:extent cx="156845" cy="156845"/>
            <wp:effectExtent l="0" t="0" r="0" b="0"/>
            <wp:docPr id="98" name="Picture 98"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View Special Instructions and Transfusion Requirements</w:t>
      </w:r>
      <w:bookmarkEnd w:id="124"/>
      <w:bookmarkEnd w:id="125"/>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View Special Instructions and Transfusion Requirements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UC_36</w:t>
      </w:r>
    </w:p>
    <w:p w14:paraId="76E7EDB3" w14:textId="77777777" w:rsidR="002A21AE" w:rsidRDefault="002A21AE" w:rsidP="00FA7E65">
      <w:pPr>
        <w:pStyle w:val="BodyText"/>
      </w:pPr>
      <w:r>
        <w:t xml:space="preserve">The user views patient-specific Special Instructions (SIs) and Transfusion Requirements (TRs). </w:t>
      </w:r>
    </w:p>
    <w:p w14:paraId="3A96E197" w14:textId="77777777" w:rsidR="002A21AE" w:rsidRDefault="002A21AE">
      <w:pPr>
        <w:pStyle w:val="Heading4"/>
      </w:pPr>
      <w:r>
        <w:t>Assumptions</w:t>
      </w:r>
    </w:p>
    <w:p w14:paraId="4959378B" w14:textId="77777777" w:rsidR="002A21AE" w:rsidRDefault="002A21AE">
      <w:pPr>
        <w:pStyle w:val="ListBullet"/>
      </w:pPr>
      <w:r>
        <w:t xml:space="preserve">SI entries were created through Special Instructions &amp; Transfusion Requirements: Enter a Special Instruction or from </w:t>
      </w:r>
      <w:r w:rsidR="00150930">
        <w:t>database conversion</w:t>
      </w:r>
      <w:r>
        <w:t>.</w:t>
      </w:r>
    </w:p>
    <w:p w14:paraId="7EB4B997" w14:textId="77777777" w:rsidR="002A21AE" w:rsidRDefault="002A21AE">
      <w:pPr>
        <w:pStyle w:val="ListBullet"/>
      </w:pPr>
      <w:r>
        <w:t xml:space="preserve">TR entries were entered through Special Instructions &amp; Transfusion Requirements: Enter a Transfusion Requirement or Patient Testing: </w:t>
      </w:r>
      <w:r w:rsidR="00244FCD">
        <w:t>Enter Antibody Identification Results</w:t>
      </w:r>
      <w:r>
        <w:t>.</w:t>
      </w:r>
    </w:p>
    <w:p w14:paraId="7640DDD9" w14:textId="77777777" w:rsidR="002A21AE" w:rsidRDefault="002A21AE">
      <w:pPr>
        <w:pStyle w:val="Heading4"/>
        <w:rPr>
          <w:i/>
        </w:rPr>
      </w:pPr>
      <w:r>
        <w:t>Outcome</w:t>
      </w:r>
      <w:r>
        <w:rPr>
          <w:i/>
        </w:rPr>
        <w:t xml:space="preserve"> </w:t>
      </w:r>
    </w:p>
    <w:p w14:paraId="318BC1BF" w14:textId="77777777" w:rsidR="002A21AE" w:rsidRDefault="002A21AE">
      <w:pPr>
        <w:pStyle w:val="ListBullet"/>
      </w:pPr>
      <w:r>
        <w:t>VBECS displays a patient’s SIs and TRs.</w:t>
      </w:r>
    </w:p>
    <w:p w14:paraId="345400BE" w14:textId="77777777" w:rsidR="002A21AE" w:rsidRDefault="002A21AE" w:rsidP="00C602D5">
      <w:pPr>
        <w:pStyle w:val="Heading4"/>
      </w:pPr>
      <w:r>
        <w:t>Limitations and Restrictions</w:t>
      </w:r>
      <w:r>
        <w:rPr>
          <w:b w:val="0"/>
        </w:rPr>
        <w:t xml:space="preserve"> </w:t>
      </w:r>
    </w:p>
    <w:p w14:paraId="15AD526A" w14:textId="77777777" w:rsidR="00C602D5" w:rsidRDefault="00C602D5" w:rsidP="00C602D5">
      <w:pPr>
        <w:pStyle w:val="ListBullet"/>
      </w:pPr>
      <w:r w:rsidRPr="00633316">
        <w:t xml:space="preserve">Changing 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353F7ABC" w14:textId="77777777" w:rsidR="0014357E" w:rsidRDefault="0083732D" w:rsidP="0083732D">
      <w:pPr>
        <w:pStyle w:val="ListBullet"/>
      </w:pPr>
      <w:r w:rsidRPr="00A2186F">
        <w:t xml:space="preserve">This icon </w:t>
      </w:r>
      <w:r w:rsidR="00057948">
        <w:rPr>
          <w:noProof/>
        </w:rPr>
        <w:drawing>
          <wp:inline distT="0" distB="0" distL="0" distR="0" wp14:anchorId="4F3EAAA0" wp14:editId="599FCD0C">
            <wp:extent cx="156845" cy="156845"/>
            <wp:effectExtent l="0" t="0" r="0" b="0"/>
            <wp:docPr id="100" name="Picture 100"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View Special Instructions and Transfusion Requirements ic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A2186F">
        <w:t xml:space="preserve"> will be disabled </w:t>
      </w:r>
      <w:r w:rsidR="00B814B4">
        <w:t>when</w:t>
      </w:r>
      <w:r w:rsidRPr="00A2186F">
        <w:t xml:space="preserve"> the icon is displayed</w:t>
      </w:r>
      <w:r w:rsidR="0014357E">
        <w:t>:</w:t>
      </w:r>
    </w:p>
    <w:p w14:paraId="5F544A0C" w14:textId="77777777" w:rsidR="0014357E" w:rsidRDefault="0014357E" w:rsidP="00925CAD">
      <w:pPr>
        <w:pStyle w:val="ListBullet"/>
        <w:numPr>
          <w:ilvl w:val="0"/>
          <w:numId w:val="69"/>
        </w:numPr>
      </w:pPr>
      <w:r w:rsidRPr="00A2186F">
        <w:t xml:space="preserve">within the </w:t>
      </w:r>
      <w:r w:rsidR="00102E3E" w:rsidRPr="004F7630">
        <w:t xml:space="preserve">patient </w:t>
      </w:r>
      <w:r w:rsidR="00102E3E">
        <w:t>search window</w:t>
      </w:r>
      <w:r w:rsidRPr="00A2186F">
        <w:t xml:space="preserve"> because special instructions and transfusion requirements are </w:t>
      </w:r>
      <w:r>
        <w:t>already displayed automatically within this option.</w:t>
      </w:r>
    </w:p>
    <w:p w14:paraId="48A62B18" w14:textId="77777777" w:rsidR="00D167B0" w:rsidRDefault="00D852DB" w:rsidP="00925CAD">
      <w:pPr>
        <w:pStyle w:val="ListBullet"/>
        <w:numPr>
          <w:ilvl w:val="0"/>
          <w:numId w:val="69"/>
        </w:numPr>
      </w:pPr>
      <w:r>
        <w:t>within this option</w:t>
      </w:r>
    </w:p>
    <w:p w14:paraId="3FA9A0B3" w14:textId="309FD135" w:rsidR="0083732D" w:rsidRDefault="0083732D" w:rsidP="00925CAD">
      <w:pPr>
        <w:pStyle w:val="ListBullet"/>
        <w:numPr>
          <w:ilvl w:val="0"/>
          <w:numId w:val="69"/>
        </w:numPr>
      </w:pPr>
      <w:r w:rsidRPr="00A2186F">
        <w:t>the selected patient does no</w:t>
      </w:r>
      <w:r>
        <w:t>t have SIs or TR</w:t>
      </w:r>
      <w:r w:rsidRPr="00A2186F">
        <w:t>s to display.</w:t>
      </w:r>
      <w:r w:rsidRPr="00812458">
        <w:rPr>
          <w:vanish/>
        </w:rPr>
        <w:t xml:space="preserve"> Task 606914</w:t>
      </w:r>
    </w:p>
    <w:p w14:paraId="6986D3E8" w14:textId="77777777" w:rsidR="002A21AE" w:rsidRDefault="002A21AE">
      <w:pPr>
        <w:pStyle w:val="Heading4"/>
      </w:pPr>
      <w:r>
        <w:t>Additional Information</w:t>
      </w:r>
      <w:r>
        <w:rPr>
          <w:i/>
        </w:rPr>
        <w:t xml:space="preserve"> </w:t>
      </w:r>
    </w:p>
    <w:p w14:paraId="747C6629" w14:textId="77777777" w:rsidR="002A21AE" w:rsidRDefault="002A21AE">
      <w:pPr>
        <w:pStyle w:val="ListBullet"/>
      </w:pPr>
      <w:r>
        <w:t>VBECS displays a patient’s known antibodies in all divisions in a multidivisional database. VBECS does not restrict viewing SI and TR entries by division; they are linked to the patient’s record and not to an order, a specimen, or a unit.</w:t>
      </w:r>
    </w:p>
    <w:p w14:paraId="63682EE6" w14:textId="77777777" w:rsidR="002A21AE" w:rsidRDefault="002A21AE" w:rsidP="00C602D5">
      <w:pPr>
        <w:pStyle w:val="ListBullet"/>
      </w:pPr>
      <w:r>
        <w:t>VBECS does not enforce SIs; VBECS enforces TRs and persistent antigen negative requirements throughout the database.</w:t>
      </w:r>
    </w:p>
    <w:p w14:paraId="2EDC1F13" w14:textId="77777777" w:rsidR="002A21AE" w:rsidRDefault="002A21AE">
      <w:pPr>
        <w:pStyle w:val="Heading4"/>
      </w:pPr>
      <w:r>
        <w:t>User Roles with Access to This Option</w:t>
      </w:r>
    </w:p>
    <w:p w14:paraId="4DA0D67F" w14:textId="77777777" w:rsidR="002A21AE" w:rsidRPr="00237C52" w:rsidRDefault="00237C52" w:rsidP="00237C52">
      <w:pPr>
        <w:pStyle w:val="Roles"/>
      </w:pPr>
      <w:r>
        <w:t xml:space="preserve">All users </w:t>
      </w:r>
    </w:p>
    <w:p w14:paraId="2E51A1A0" w14:textId="77777777" w:rsidR="002A21AE" w:rsidRDefault="002A21AE">
      <w:pPr>
        <w:pStyle w:val="Heading4"/>
      </w:pPr>
      <w:bookmarkStart w:id="126" w:name="_Toc90551769"/>
      <w:r>
        <w:t>View Special Instructions and Transfusion Requirements</w:t>
      </w:r>
      <w:bookmarkEnd w:id="126"/>
    </w:p>
    <w:p w14:paraId="0CB248A7" w14:textId="77777777" w:rsidR="002A21AE" w:rsidRDefault="002A21AE" w:rsidP="00FA7E65">
      <w:pPr>
        <w:pStyle w:val="BodyText"/>
      </w:pPr>
      <w:r>
        <w:t xml:space="preserve">The user views a patient record. When SIs and TRs are available for the patient, VBECS activates the Patient Information Toolbar icons. VBECS alerts the user when a patient’s record includes SIs and TRs. </w:t>
      </w:r>
    </w:p>
    <w:p w14:paraId="2E99D3C2" w14:textId="4D43082A" w:rsidR="002A21AE" w:rsidRDefault="00057948">
      <w:pPr>
        <w:pStyle w:val="Caution"/>
      </w:pPr>
      <w:r>
        <w:rPr>
          <w:noProof/>
        </w:rPr>
        <w:drawing>
          <wp:inline distT="0" distB="0" distL="0" distR="0" wp14:anchorId="42FB5AFC" wp14:editId="2DF233FB">
            <wp:extent cx="267970" cy="221615"/>
            <wp:effectExtent l="0" t="0" r="0" b="6985"/>
            <wp:docPr id="101" name="Picture 10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2A21AE">
        <w:t xml:space="preserve">It is highly recommended that the user </w:t>
      </w:r>
      <w:r w:rsidR="00671459">
        <w:t>clicks</w:t>
      </w:r>
      <w:r w:rsidR="002A21AE">
        <w:t xml:space="preserve"> every active icon when reviewing patient data.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1E6765" w14:textId="77777777">
        <w:trPr>
          <w:tblHeader/>
        </w:trPr>
        <w:tc>
          <w:tcPr>
            <w:tcW w:w="3240" w:type="dxa"/>
            <w:shd w:val="pct30" w:color="auto" w:fill="FFFFFF"/>
            <w:vAlign w:val="bottom"/>
          </w:tcPr>
          <w:p w14:paraId="5E5D8FF1" w14:textId="77777777" w:rsidR="002A21AE" w:rsidRDefault="002A21AE">
            <w:pPr>
              <w:pStyle w:val="TableText"/>
              <w:rPr>
                <w:b/>
              </w:rPr>
            </w:pPr>
            <w:bookmarkStart w:id="127" w:name="_Toc90551770"/>
            <w:r>
              <w:rPr>
                <w:b/>
              </w:rPr>
              <w:t>User Action</w:t>
            </w:r>
          </w:p>
        </w:tc>
        <w:tc>
          <w:tcPr>
            <w:tcW w:w="6120" w:type="dxa"/>
            <w:shd w:val="pct30" w:color="auto" w:fill="FFFFFF"/>
            <w:vAlign w:val="bottom"/>
          </w:tcPr>
          <w:p w14:paraId="466801EB" w14:textId="77777777" w:rsidR="002A21AE" w:rsidRDefault="002A21AE">
            <w:pPr>
              <w:pStyle w:val="TableText"/>
              <w:rPr>
                <w:b/>
              </w:rPr>
            </w:pPr>
            <w:r>
              <w:rPr>
                <w:b/>
              </w:rPr>
              <w:t>VBECS</w:t>
            </w:r>
          </w:p>
        </w:tc>
      </w:tr>
      <w:tr w:rsidR="002A21AE" w14:paraId="13ACD7DC" w14:textId="77777777">
        <w:tc>
          <w:tcPr>
            <w:tcW w:w="3240" w:type="dxa"/>
          </w:tcPr>
          <w:p w14:paraId="6C714B0E" w14:textId="77777777" w:rsidR="002A21AE" w:rsidRDefault="002A21AE">
            <w:pPr>
              <w:pStyle w:val="TableTextNumbers"/>
            </w:pPr>
            <w:r>
              <w:t xml:space="preserve">Select </w:t>
            </w:r>
            <w:r>
              <w:rPr>
                <w:b/>
              </w:rPr>
              <w:t>Patients</w:t>
            </w:r>
            <w:r>
              <w:t xml:space="preserve"> from the main menu.</w:t>
            </w:r>
          </w:p>
          <w:p w14:paraId="51594F39" w14:textId="77777777" w:rsidR="002A21AE" w:rsidRDefault="002A21AE">
            <w:pPr>
              <w:pStyle w:val="TableTextNumbersContinued"/>
              <w:rPr>
                <w:b/>
                <w:bCs/>
              </w:rPr>
            </w:pPr>
          </w:p>
          <w:p w14:paraId="6A41105A" w14:textId="77777777" w:rsidR="002A21AE" w:rsidRDefault="002A21AE">
            <w:pPr>
              <w:pStyle w:val="TableTextNumbersContinued"/>
            </w:pPr>
            <w:r>
              <w:t xml:space="preserve">Select </w:t>
            </w:r>
            <w:r>
              <w:rPr>
                <w:b/>
              </w:rPr>
              <w:t>Special Instructions &amp; Transfusion Requirements</w:t>
            </w:r>
            <w:r>
              <w:t>, or</w:t>
            </w:r>
          </w:p>
          <w:p w14:paraId="5D1D33F2" w14:textId="77777777" w:rsidR="002A21AE" w:rsidRDefault="002A21AE">
            <w:pPr>
              <w:pStyle w:val="TableTextNumbersContinued"/>
            </w:pPr>
          </w:p>
          <w:p w14:paraId="445EB04B" w14:textId="77777777" w:rsidR="002A21AE" w:rsidRDefault="002A21AE">
            <w:pPr>
              <w:pStyle w:val="TableTextNumbersContinued"/>
            </w:pPr>
            <w:r>
              <w:lastRenderedPageBreak/>
              <w:t xml:space="preserve">Click </w:t>
            </w:r>
            <w:r w:rsidR="00057948">
              <w:rPr>
                <w:noProof/>
              </w:rPr>
              <w:drawing>
                <wp:inline distT="0" distB="0" distL="0" distR="0" wp14:anchorId="4FD48C69" wp14:editId="3B21BCC3">
                  <wp:extent cx="156845" cy="156845"/>
                  <wp:effectExtent l="0" t="0" r="0" b="0"/>
                  <wp:docPr id="102" name="Picture 102"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7F9DFDDE" w14:textId="77777777" w:rsidR="002A21AE" w:rsidRDefault="002A21AE">
            <w:pPr>
              <w:pStyle w:val="TableTextBullet"/>
            </w:pPr>
            <w:r>
              <w:lastRenderedPageBreak/>
              <w:t>Displays options for processing patient-related functions.</w:t>
            </w:r>
          </w:p>
          <w:p w14:paraId="6B211892" w14:textId="77777777" w:rsidR="002A21AE" w:rsidRDefault="002A21AE">
            <w:pPr>
              <w:pStyle w:val="TableTextBullet"/>
            </w:pPr>
            <w:r>
              <w:t xml:space="preserve">Displays the option to select a patient, when one is not already selected. </w:t>
            </w:r>
          </w:p>
          <w:p w14:paraId="6FB87AAB" w14:textId="77777777" w:rsidR="002A21AE" w:rsidRDefault="002A21AE">
            <w:pPr>
              <w:pStyle w:val="TableText"/>
              <w:rPr>
                <w:b/>
                <w:bCs/>
                <w:szCs w:val="18"/>
              </w:rPr>
            </w:pPr>
          </w:p>
          <w:p w14:paraId="1346E60A" w14:textId="4ADF6945" w:rsidR="002A21AE" w:rsidRDefault="002A21AE">
            <w:pPr>
              <w:pStyle w:val="TableText"/>
              <w:rPr>
                <w:b/>
                <w:bCs/>
                <w:szCs w:val="18"/>
              </w:rPr>
            </w:pPr>
            <w:r>
              <w:rPr>
                <w:b/>
                <w:bCs/>
                <w:szCs w:val="18"/>
              </w:rPr>
              <w:t>NOTES</w:t>
            </w:r>
          </w:p>
          <w:p w14:paraId="21F3C11C" w14:textId="77777777" w:rsidR="002A21AE" w:rsidRDefault="002A21AE">
            <w:pPr>
              <w:pStyle w:val="NotesText"/>
            </w:pPr>
          </w:p>
          <w:p w14:paraId="1F4420D9" w14:textId="77777777" w:rsidR="002A21AE" w:rsidRDefault="00D62E87">
            <w:pPr>
              <w:pStyle w:val="NotesText"/>
            </w:pPr>
            <w:r w:rsidRPr="00896F17">
              <w:rPr>
                <w:rStyle w:val="BullhornChar"/>
              </w:rPr>
              <w:lastRenderedPageBreak/>
              <w:t></w:t>
            </w:r>
            <w:r w:rsidRPr="00D62E87">
              <w:rPr>
                <w:rFonts w:ascii="Webdings" w:hAnsi="Webdings"/>
                <w:szCs w:val="22"/>
              </w:rPr>
              <w:t></w:t>
            </w:r>
            <w:r w:rsidR="002A21AE">
              <w:t>When a patient’s VBECS record includes an active TR, SI, or antigen negative requirement, VBECS emits an audible alert and notifies the user by enabling the icon.</w:t>
            </w:r>
          </w:p>
        </w:tc>
      </w:tr>
      <w:tr w:rsidR="002A21AE" w14:paraId="314BFCC5" w14:textId="77777777">
        <w:tc>
          <w:tcPr>
            <w:tcW w:w="3240" w:type="dxa"/>
          </w:tcPr>
          <w:p w14:paraId="68E1E125" w14:textId="77777777" w:rsidR="002A21AE" w:rsidRDefault="002A21AE">
            <w:pPr>
              <w:pStyle w:val="TableTextNumbers"/>
            </w:pPr>
            <w:r>
              <w:lastRenderedPageBreak/>
              <w:t xml:space="preserve">Select a patient and click </w:t>
            </w:r>
            <w:r>
              <w:rPr>
                <w:b/>
              </w:rPr>
              <w:t>OK</w:t>
            </w:r>
            <w:r>
              <w:t>.</w:t>
            </w:r>
          </w:p>
          <w:p w14:paraId="3C873A8F" w14:textId="77777777" w:rsidR="002A21AE" w:rsidRDefault="002A21AE">
            <w:pPr>
              <w:pStyle w:val="TableTextNumbersContinued"/>
              <w:rPr>
                <w:b/>
                <w:bCs/>
              </w:rPr>
            </w:pPr>
          </w:p>
          <w:p w14:paraId="2ADE4BEE" w14:textId="77777777" w:rsidR="002A21AE" w:rsidRDefault="002A21AE">
            <w:pPr>
              <w:pStyle w:val="TableTextNumbersContinued"/>
            </w:pPr>
            <w:r>
              <w:t xml:space="preserve">View the data. </w:t>
            </w:r>
          </w:p>
          <w:p w14:paraId="2D13A3FB" w14:textId="77777777" w:rsidR="002A21AE" w:rsidRDefault="002A21AE">
            <w:pPr>
              <w:pStyle w:val="TableTextNumbersContinued"/>
            </w:pPr>
          </w:p>
          <w:p w14:paraId="6586A8B3" w14:textId="77777777" w:rsidR="002A21AE" w:rsidRDefault="002A21AE">
            <w:pPr>
              <w:pStyle w:val="TableTextNumbersContinued"/>
            </w:pPr>
            <w:r>
              <w:t xml:space="preserve">Click </w:t>
            </w:r>
            <w:r>
              <w:rPr>
                <w:b/>
              </w:rPr>
              <w:t>OK</w:t>
            </w:r>
            <w:r>
              <w:t xml:space="preserve"> to continue.</w:t>
            </w:r>
          </w:p>
        </w:tc>
        <w:tc>
          <w:tcPr>
            <w:tcW w:w="6120" w:type="dxa"/>
          </w:tcPr>
          <w:p w14:paraId="7A02D708" w14:textId="77777777" w:rsidR="002A21AE" w:rsidRDefault="002A21AE">
            <w:pPr>
              <w:pStyle w:val="TableTextBullet"/>
            </w:pPr>
            <w:r>
              <w:t xml:space="preserve">Displays the data. </w:t>
            </w:r>
          </w:p>
          <w:p w14:paraId="5A003F59" w14:textId="77777777" w:rsidR="002A21AE" w:rsidRDefault="002A21AE">
            <w:pPr>
              <w:pStyle w:val="TableText"/>
            </w:pPr>
          </w:p>
          <w:p w14:paraId="568B1378" w14:textId="77D665F0" w:rsidR="002A21AE" w:rsidRDefault="002A21AE">
            <w:pPr>
              <w:pStyle w:val="TableText"/>
              <w:rPr>
                <w:b/>
                <w:bCs/>
                <w:szCs w:val="18"/>
              </w:rPr>
            </w:pPr>
            <w:r>
              <w:rPr>
                <w:b/>
                <w:bCs/>
                <w:szCs w:val="18"/>
              </w:rPr>
              <w:t>NOTES</w:t>
            </w:r>
          </w:p>
          <w:p w14:paraId="3076D024" w14:textId="77777777" w:rsidR="002A21AE" w:rsidRDefault="002A21AE">
            <w:pPr>
              <w:pStyle w:val="NotesText"/>
            </w:pPr>
          </w:p>
          <w:p w14:paraId="591BBDFB" w14:textId="77777777" w:rsidR="002A21AE" w:rsidRPr="008D574C" w:rsidRDefault="002A21AE">
            <w:pPr>
              <w:pStyle w:val="NotesText"/>
              <w:rPr>
                <w:rFonts w:cs="Arial"/>
                <w:szCs w:val="18"/>
              </w:rPr>
            </w:pPr>
            <w:r w:rsidRPr="008D574C">
              <w:rPr>
                <w:rFonts w:cs="Arial"/>
                <w:vanish/>
                <w:szCs w:val="18"/>
              </w:rPr>
              <w:t xml:space="preserve">BR_36.02 </w:t>
            </w:r>
            <w:r w:rsidR="0058054E">
              <w:rPr>
                <w:rFonts w:cs="Arial"/>
                <w:szCs w:val="18"/>
              </w:rPr>
              <w:t xml:space="preserve">VBECS displays active TRs to all divisions within a multidivisional database. </w:t>
            </w:r>
          </w:p>
          <w:p w14:paraId="18543C46" w14:textId="77777777" w:rsidR="002A21AE" w:rsidRPr="008D574C" w:rsidRDefault="002A21AE">
            <w:pPr>
              <w:pStyle w:val="NotesText"/>
              <w:rPr>
                <w:rFonts w:cs="Arial"/>
                <w:szCs w:val="18"/>
              </w:rPr>
            </w:pPr>
          </w:p>
          <w:p w14:paraId="72990718" w14:textId="77777777" w:rsidR="00201E35" w:rsidRPr="008D574C" w:rsidRDefault="00201E35">
            <w:pPr>
              <w:pStyle w:val="NotesText"/>
              <w:rPr>
                <w:rFonts w:cs="Arial"/>
                <w:szCs w:val="18"/>
              </w:rPr>
            </w:pPr>
            <w:r w:rsidRPr="008D574C">
              <w:rPr>
                <w:rFonts w:cs="Arial"/>
                <w:vanish/>
                <w:szCs w:val="18"/>
              </w:rPr>
              <w:t>BR_36.07</w:t>
            </w:r>
            <w:r w:rsidRPr="008D574C">
              <w:rPr>
                <w:rFonts w:cs="Arial"/>
                <w:szCs w:val="18"/>
              </w:rPr>
              <w:t xml:space="preserve"> VBECS alerts the user when an active TR, SI, or antigen negative requirement is in a patient’s record.</w:t>
            </w:r>
          </w:p>
          <w:p w14:paraId="73B2105D" w14:textId="77777777" w:rsidR="00201E35" w:rsidRPr="008D574C" w:rsidRDefault="00201E35">
            <w:pPr>
              <w:pStyle w:val="NotesText"/>
              <w:rPr>
                <w:rFonts w:cs="Arial"/>
                <w:szCs w:val="18"/>
              </w:rPr>
            </w:pPr>
          </w:p>
          <w:p w14:paraId="112AA850" w14:textId="77777777" w:rsidR="002A21AE" w:rsidRPr="008D574C" w:rsidRDefault="002A21AE">
            <w:pPr>
              <w:pStyle w:val="NotesText"/>
              <w:rPr>
                <w:rFonts w:cs="Arial"/>
                <w:szCs w:val="18"/>
              </w:rPr>
            </w:pPr>
            <w:r w:rsidRPr="008D574C">
              <w:rPr>
                <w:rFonts w:cs="Arial"/>
                <w:vanish/>
                <w:szCs w:val="18"/>
              </w:rPr>
              <w:t xml:space="preserve">BR_38.08 </w:t>
            </w:r>
            <w:r w:rsidRPr="008D574C">
              <w:rPr>
                <w:rFonts w:cs="Arial"/>
                <w:szCs w:val="18"/>
              </w:rPr>
              <w:t>VBECS displays component requirements to all divisions in a multidivisional database. No division allows issue until requirements are met.</w:t>
            </w:r>
          </w:p>
          <w:p w14:paraId="2C87C787" w14:textId="77777777" w:rsidR="002A21AE" w:rsidRPr="008D574C" w:rsidRDefault="002A21AE">
            <w:pPr>
              <w:pStyle w:val="NotesText"/>
              <w:rPr>
                <w:rFonts w:cs="Arial"/>
                <w:szCs w:val="18"/>
              </w:rPr>
            </w:pPr>
          </w:p>
          <w:p w14:paraId="6FFE3DF0" w14:textId="77777777" w:rsidR="002A21AE" w:rsidRDefault="002A21AE">
            <w:pPr>
              <w:pStyle w:val="NotesText"/>
            </w:pPr>
            <w:r w:rsidRPr="008D574C">
              <w:rPr>
                <w:rFonts w:cs="Arial"/>
                <w:vanish/>
                <w:szCs w:val="18"/>
              </w:rPr>
              <w:t>BR_36.05</w:t>
            </w:r>
            <w:r w:rsidR="00E274BF">
              <w:rPr>
                <w:rFonts w:cs="Arial"/>
                <w:vanish/>
                <w:szCs w:val="18"/>
              </w:rPr>
              <w:t>,</w:t>
            </w:r>
            <w:r w:rsidRPr="008D574C">
              <w:rPr>
                <w:rFonts w:cs="Arial"/>
                <w:vanish/>
                <w:szCs w:val="18"/>
              </w:rPr>
              <w:t xml:space="preserve"> BR_36.06</w:t>
            </w:r>
            <w:r w:rsidRPr="00E274BF">
              <w:rPr>
                <w:rFonts w:cs="Arial"/>
                <w:vanish/>
                <w:szCs w:val="18"/>
              </w:rPr>
              <w:t xml:space="preserve"> </w:t>
            </w:r>
            <w:r w:rsidRPr="008D574C">
              <w:rPr>
                <w:szCs w:val="18"/>
              </w:rPr>
              <w:t>When</w:t>
            </w:r>
            <w:r>
              <w:t xml:space="preserve"> VBECS displays the </w:t>
            </w:r>
            <w:r>
              <w:rPr>
                <w:rFonts w:cs="Arial"/>
                <w:snapToGrid w:val="0"/>
                <w:color w:val="000000"/>
              </w:rPr>
              <w:t>Patient Information Toolbar, it</w:t>
            </w:r>
            <w:r>
              <w:t xml:space="preserve"> calculates the overall compatibility percentage of units to be screened to find compatible units.</w:t>
            </w:r>
          </w:p>
          <w:p w14:paraId="079B0D5D" w14:textId="77777777" w:rsidR="007109BA" w:rsidRDefault="007109BA">
            <w:pPr>
              <w:pStyle w:val="NotesText"/>
            </w:pPr>
          </w:p>
          <w:p w14:paraId="625C4EEC" w14:textId="77777777" w:rsidR="007109BA" w:rsidRDefault="00115A2A">
            <w:pPr>
              <w:pStyle w:val="NotesText"/>
            </w:pPr>
            <w:r w:rsidRPr="00115A2A">
              <w:rPr>
                <w:vanish/>
              </w:rPr>
              <w:t>DR 4503</w:t>
            </w:r>
            <w:r>
              <w:rPr>
                <w:vanish/>
              </w:rPr>
              <w:t xml:space="preserve"> </w:t>
            </w:r>
            <w:r w:rsidR="007109BA">
              <w:t>The compatibility percentage displayed is based on the following calculation:</w:t>
            </w:r>
          </w:p>
          <w:p w14:paraId="0A4C9F09" w14:textId="77777777" w:rsidR="007109BA" w:rsidRDefault="007109BA">
            <w:pPr>
              <w:pStyle w:val="NotesText"/>
            </w:pPr>
          </w:p>
          <w:p w14:paraId="387DD3F1" w14:textId="77777777" w:rsidR="007109BA" w:rsidRDefault="007109BA">
            <w:pPr>
              <w:pStyle w:val="NotesText"/>
            </w:pPr>
            <w:r>
              <w:t>Type Specific ABO % x Antigen compatibility % as defined in Antibodies equals % compatible.</w:t>
            </w:r>
          </w:p>
          <w:p w14:paraId="4E389CD1" w14:textId="77777777" w:rsidR="007109BA" w:rsidRDefault="007109BA">
            <w:pPr>
              <w:pStyle w:val="NotesText"/>
            </w:pPr>
          </w:p>
          <w:p w14:paraId="6CE4D6B7" w14:textId="77777777" w:rsidR="007109BA" w:rsidRDefault="007109BA">
            <w:pPr>
              <w:pStyle w:val="NotesText"/>
            </w:pPr>
            <w:r>
              <w:t>For example, if a patient is A Positive and has both Anti-E (</w:t>
            </w:r>
            <w:r w:rsidR="00C242AA">
              <w:t>compatibility</w:t>
            </w:r>
            <w:r>
              <w:t xml:space="preserve"> percentage = 75%) and Anti-K (compatibility percentage = 91%) antigen negative requirements, the percentage of the population considered compatible for this patient would be .45 x .75 x .91 = .30 (rounded).</w:t>
            </w:r>
          </w:p>
          <w:p w14:paraId="220E0DB0" w14:textId="77777777" w:rsidR="007109BA" w:rsidRDefault="007109BA" w:rsidP="007109BA">
            <w:pPr>
              <w:pStyle w:val="NotesText"/>
            </w:pPr>
            <w:r>
              <w:t>Rh type of the patient is not used in the calculation when the patient does not have an Anti-D as Rh Pos or Rh Neg units may be screened.</w:t>
            </w:r>
          </w:p>
          <w:p w14:paraId="102FDF4C" w14:textId="77777777" w:rsidR="007109BA" w:rsidRDefault="007109BA" w:rsidP="007109BA">
            <w:pPr>
              <w:pStyle w:val="NotesText"/>
            </w:pPr>
          </w:p>
          <w:p w14:paraId="17962F98" w14:textId="1BF7D19A" w:rsidR="007109BA" w:rsidRDefault="007109BA" w:rsidP="007556BD">
            <w:pPr>
              <w:pStyle w:val="NotesText"/>
            </w:pPr>
            <w:r>
              <w:t>The blood type percentages in VBECS are as follows and are general percentages for the American population: A is 4</w:t>
            </w:r>
            <w:r w:rsidR="00D11F30">
              <w:t>5</w:t>
            </w:r>
            <w:r>
              <w:t>%, B</w:t>
            </w:r>
            <w:r w:rsidR="007556BD">
              <w:t xml:space="preserve"> is 1</w:t>
            </w:r>
            <w:r w:rsidR="00D11F30">
              <w:t>5</w:t>
            </w:r>
            <w:r w:rsidR="007556BD">
              <w:t xml:space="preserve">%, AB is </w:t>
            </w:r>
            <w:r w:rsidR="00D11F30">
              <w:t>6</w:t>
            </w:r>
            <w:r w:rsidR="007556BD">
              <w:t>% and O is 45%.</w:t>
            </w:r>
          </w:p>
          <w:p w14:paraId="77AC8A8B" w14:textId="77777777" w:rsidR="007109BA" w:rsidRDefault="007109BA">
            <w:pPr>
              <w:pStyle w:val="NotesText"/>
            </w:pPr>
          </w:p>
        </w:tc>
      </w:tr>
      <w:tr w:rsidR="002A21AE" w14:paraId="6A134585" w14:textId="77777777">
        <w:tc>
          <w:tcPr>
            <w:tcW w:w="3240" w:type="dxa"/>
          </w:tcPr>
          <w:p w14:paraId="4B2CD839" w14:textId="77777777" w:rsidR="002A21AE" w:rsidRDefault="002A21AE">
            <w:pPr>
              <w:pStyle w:val="TableTextNumbers"/>
            </w:pPr>
            <w:r>
              <w:t>Select another patient and return to Step 2, if desired.</w:t>
            </w:r>
          </w:p>
        </w:tc>
        <w:tc>
          <w:tcPr>
            <w:tcW w:w="6120" w:type="dxa"/>
          </w:tcPr>
          <w:p w14:paraId="126FE790" w14:textId="77777777" w:rsidR="002A21AE" w:rsidRDefault="002A21AE">
            <w:pPr>
              <w:pStyle w:val="TableText"/>
            </w:pPr>
          </w:p>
        </w:tc>
      </w:tr>
      <w:tr w:rsidR="002A21AE" w14:paraId="753F5C3C" w14:textId="77777777">
        <w:tc>
          <w:tcPr>
            <w:tcW w:w="3240" w:type="dxa"/>
          </w:tcPr>
          <w:p w14:paraId="005EE0BA"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sidR="00816D1E" w:rsidRPr="00200B6D">
              <w:rPr>
                <w:rFonts w:cs="Arial"/>
                <w:vanish/>
                <w:szCs w:val="18"/>
              </w:rPr>
              <w:fldChar w:fldCharType="begin"/>
            </w:r>
            <w:r w:rsidR="00816D1E" w:rsidRPr="00200B6D">
              <w:rPr>
                <w:rFonts w:cs="Arial"/>
                <w:vanish/>
                <w:szCs w:val="18"/>
              </w:rPr>
              <w:instrText xml:space="preserve"> LISTNUM \l 1 \s 0 </w:instrText>
            </w:r>
            <w:r w:rsidR="00816D1E" w:rsidRPr="00200B6D">
              <w:rPr>
                <w:rFonts w:cs="Arial"/>
                <w:vanish/>
                <w:szCs w:val="18"/>
              </w:rPr>
              <w:fldChar w:fldCharType="end"/>
            </w:r>
          </w:p>
        </w:tc>
        <w:tc>
          <w:tcPr>
            <w:tcW w:w="6120" w:type="dxa"/>
          </w:tcPr>
          <w:p w14:paraId="52DFF824" w14:textId="77777777" w:rsidR="002A21AE" w:rsidRDefault="002A21AE">
            <w:pPr>
              <w:pStyle w:val="TableText"/>
            </w:pPr>
          </w:p>
        </w:tc>
      </w:tr>
      <w:bookmarkEnd w:id="127"/>
    </w:tbl>
    <w:p w14:paraId="1AC26C40" w14:textId="77777777" w:rsidR="003E1A45" w:rsidRDefault="003E1A45">
      <w:pPr>
        <w:pStyle w:val="Heading3"/>
      </w:pPr>
    </w:p>
    <w:p w14:paraId="2FBF8FDE" w14:textId="77777777" w:rsidR="002A21AE" w:rsidRDefault="003E1A45">
      <w:pPr>
        <w:pStyle w:val="Heading3"/>
      </w:pPr>
      <w:r>
        <w:br w:type="page"/>
      </w:r>
      <w:bookmarkStart w:id="128" w:name="_Toc163644872"/>
      <w:r w:rsidR="002A21AE">
        <w:lastRenderedPageBreak/>
        <w:t>View Recent Orders, Recent Transfusions/Issued Units, and Transfusion Reaction History</w:t>
      </w:r>
      <w:bookmarkEnd w:id="128"/>
    </w:p>
    <w:p w14:paraId="62FF0F76" w14:textId="77777777" w:rsidR="002A21AE" w:rsidRDefault="002A21AE" w:rsidP="00FA7E65">
      <w:pPr>
        <w:pStyle w:val="BodyText"/>
      </w:pPr>
      <w:r>
        <w:t>The user views portions of a patient’s data previously recorded in VBECS in three formats:</w:t>
      </w:r>
      <w:r w:rsidR="00573228">
        <w:t xml:space="preserve"> recent orders, recent transfusions/issued units, and transfusion reaction history.</w:t>
      </w:r>
    </w:p>
    <w:p w14:paraId="6E011D92" w14:textId="77777777" w:rsidR="002A21AE" w:rsidRDefault="002A21AE">
      <w:pPr>
        <w:pStyle w:val="Heading4"/>
      </w:pPr>
      <w:r>
        <w:t>Assumptions</w:t>
      </w:r>
    </w:p>
    <w:p w14:paraId="3BD865F9" w14:textId="77777777" w:rsidR="002A21AE" w:rsidRDefault="002A21AE" w:rsidP="00C00476">
      <w:pPr>
        <w:pStyle w:val="ListBullet"/>
        <w:rPr>
          <w:b/>
        </w:rPr>
      </w:pPr>
      <w:r>
        <w:t>A VBECS record must be established for a patient in this database in at least one division, if multidivisional.</w:t>
      </w:r>
    </w:p>
    <w:p w14:paraId="77CCC5B7" w14:textId="77777777" w:rsidR="002A21AE" w:rsidRDefault="002A21AE">
      <w:pPr>
        <w:pStyle w:val="Heading4"/>
      </w:pPr>
      <w:r>
        <w:t xml:space="preserve">Outcome </w:t>
      </w:r>
    </w:p>
    <w:p w14:paraId="05C9E988" w14:textId="77777777" w:rsidR="002A21AE" w:rsidRDefault="002A21AE" w:rsidP="00C00476">
      <w:pPr>
        <w:pStyle w:val="ListBullet"/>
      </w:pPr>
      <w:r>
        <w:t xml:space="preserve">The user </w:t>
      </w:r>
      <w:r w:rsidRPr="00C00476">
        <w:t>views</w:t>
      </w:r>
      <w:r>
        <w:t>:</w:t>
      </w:r>
    </w:p>
    <w:p w14:paraId="2E10B730" w14:textId="77777777" w:rsidR="002A21AE" w:rsidRDefault="002A21AE" w:rsidP="00716ED8">
      <w:pPr>
        <w:pStyle w:val="ListBullet2"/>
      </w:pPr>
      <w:r>
        <w:t>A patient’s active order data (recent orders).</w:t>
      </w:r>
    </w:p>
    <w:p w14:paraId="5250696E" w14:textId="77777777" w:rsidR="002A21AE" w:rsidRDefault="002A21AE" w:rsidP="00716ED8">
      <w:pPr>
        <w:pStyle w:val="ListBullet2"/>
      </w:pPr>
      <w:r>
        <w:t>A patient’s transfusions and currently issued units (recent transfusion history).</w:t>
      </w:r>
    </w:p>
    <w:p w14:paraId="71E97541" w14:textId="77777777" w:rsidR="002A21AE" w:rsidRDefault="002A21AE" w:rsidP="00716ED8">
      <w:pPr>
        <w:pStyle w:val="ListBullet2"/>
      </w:pPr>
      <w:r>
        <w:t>A snapshot of the patient’s VBECS clinical record (transfusion reaction history).</w:t>
      </w:r>
    </w:p>
    <w:p w14:paraId="244425B7" w14:textId="77777777" w:rsidR="002A21AE" w:rsidRDefault="002A21AE">
      <w:pPr>
        <w:pStyle w:val="Heading4"/>
      </w:pPr>
      <w:r>
        <w:t>Limitations and Restrictions</w:t>
      </w:r>
    </w:p>
    <w:p w14:paraId="6567B4EB" w14:textId="1EE73624" w:rsidR="002A21AE" w:rsidRDefault="006A4AFF" w:rsidP="00C00476">
      <w:pPr>
        <w:pStyle w:val="ListBullet"/>
      </w:pPr>
      <w:r>
        <w:t>Recent Orders is showing Order Status values like “Not Started” and “Filled”, which are actually Task Statuses.</w:t>
      </w:r>
      <w:r w:rsidR="00B7221D">
        <w:t xml:space="preserve"> </w:t>
      </w:r>
      <w:r w:rsidR="00B7221D" w:rsidRPr="00B7221D">
        <w:rPr>
          <w:vanish/>
        </w:rPr>
        <w:t>Defect 214974</w:t>
      </w:r>
    </w:p>
    <w:p w14:paraId="2714D461" w14:textId="1448AC26" w:rsidR="003209A5" w:rsidRDefault="003209A5" w:rsidP="00C00476">
      <w:pPr>
        <w:pStyle w:val="ListBullet"/>
      </w:pPr>
      <w:r>
        <w:t xml:space="preserve">Completed TRWs do not display on the Recent Orders screen. Completed TRWs can be found by searching in the Reports, Finalize/Print TRW option. </w:t>
      </w:r>
      <w:r w:rsidRPr="003209A5">
        <w:rPr>
          <w:vanish/>
        </w:rPr>
        <w:t>Defect 2</w:t>
      </w:r>
      <w:r w:rsidR="008C5F1E">
        <w:rPr>
          <w:vanish/>
        </w:rPr>
        <w:t>10171</w:t>
      </w:r>
    </w:p>
    <w:p w14:paraId="56949A99" w14:textId="77777777" w:rsidR="002A21AE" w:rsidRDefault="002A21AE">
      <w:pPr>
        <w:pStyle w:val="Heading4"/>
      </w:pPr>
      <w:r>
        <w:t>Additional Information</w:t>
      </w:r>
    </w:p>
    <w:p w14:paraId="1DFBC9C2" w14:textId="77777777" w:rsidR="002A21AE" w:rsidRDefault="002A21AE" w:rsidP="00C00476">
      <w:pPr>
        <w:pStyle w:val="ListBullet"/>
        <w:rPr>
          <w:b/>
        </w:rPr>
      </w:pPr>
      <w:r w:rsidRPr="00C00476">
        <w:t>None</w:t>
      </w:r>
    </w:p>
    <w:p w14:paraId="5F77D9B6" w14:textId="77777777" w:rsidR="002A21AE" w:rsidRDefault="002A21AE">
      <w:pPr>
        <w:pStyle w:val="Heading4"/>
        <w:rPr>
          <w:b w:val="0"/>
        </w:rPr>
      </w:pPr>
      <w:r>
        <w:t>User Roles with Access to This Option</w:t>
      </w:r>
      <w:r>
        <w:rPr>
          <w:b w:val="0"/>
        </w:rPr>
        <w:t xml:space="preserve"> </w:t>
      </w:r>
    </w:p>
    <w:p w14:paraId="13E80AD7" w14:textId="77777777" w:rsidR="002A21AE" w:rsidRDefault="00237C52">
      <w:pPr>
        <w:pStyle w:val="Roles"/>
      </w:pPr>
      <w:r>
        <w:t>All users</w:t>
      </w:r>
    </w:p>
    <w:p w14:paraId="47F486EA" w14:textId="77777777" w:rsidR="002A21AE" w:rsidRDefault="00057948">
      <w:pPr>
        <w:pStyle w:val="Heading3"/>
      </w:pPr>
      <w:bookmarkStart w:id="129" w:name="_Patient_Information_Toolbar:_Recent"/>
      <w:bookmarkStart w:id="130" w:name="_Toc163644873"/>
      <w:bookmarkEnd w:id="129"/>
      <w:r>
        <w:rPr>
          <w:noProof/>
        </w:rPr>
        <w:drawing>
          <wp:inline distT="0" distB="0" distL="0" distR="0" wp14:anchorId="7EE88B24" wp14:editId="3875D715">
            <wp:extent cx="156845" cy="156845"/>
            <wp:effectExtent l="0" t="0" r="0" b="0"/>
            <wp:docPr id="103" name="Picture 103" descr="Recent Ord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ecent Orders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Recent Orders</w:t>
      </w:r>
      <w:bookmarkEnd w:id="130"/>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Orders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0AE88A50" w14:textId="77777777" w:rsidR="002A21AE" w:rsidRDefault="002A21AE" w:rsidP="00FA7E65">
      <w:pPr>
        <w:pStyle w:val="BodyText"/>
      </w:pPr>
      <w:r>
        <w:t xml:space="preserve">The user views current (pending and active) order data (including reflex tests), which include clinical data from all divisions within a multidivisional database.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27F880" w14:textId="77777777">
        <w:trPr>
          <w:tblHeader/>
        </w:trPr>
        <w:tc>
          <w:tcPr>
            <w:tcW w:w="3240" w:type="dxa"/>
            <w:shd w:val="clear" w:color="auto" w:fill="B3B3B3"/>
          </w:tcPr>
          <w:p w14:paraId="160EE799" w14:textId="77777777" w:rsidR="002A21AE" w:rsidRDefault="002A21AE">
            <w:pPr>
              <w:pStyle w:val="TableText"/>
              <w:rPr>
                <w:b/>
              </w:rPr>
            </w:pPr>
            <w:r>
              <w:rPr>
                <w:b/>
              </w:rPr>
              <w:t>User Action</w:t>
            </w:r>
          </w:p>
        </w:tc>
        <w:tc>
          <w:tcPr>
            <w:tcW w:w="6120" w:type="dxa"/>
            <w:shd w:val="clear" w:color="auto" w:fill="B3B3B3"/>
          </w:tcPr>
          <w:p w14:paraId="54D78577" w14:textId="77777777" w:rsidR="002A21AE" w:rsidRDefault="002A21AE">
            <w:pPr>
              <w:pStyle w:val="TableText"/>
              <w:rPr>
                <w:b/>
              </w:rPr>
            </w:pPr>
            <w:r>
              <w:rPr>
                <w:b/>
              </w:rPr>
              <w:t>VBECS</w:t>
            </w:r>
          </w:p>
        </w:tc>
      </w:tr>
      <w:tr w:rsidR="002A21AE" w14:paraId="562927DD" w14:textId="77777777">
        <w:tc>
          <w:tcPr>
            <w:tcW w:w="3240" w:type="dxa"/>
          </w:tcPr>
          <w:p w14:paraId="77753145" w14:textId="77777777" w:rsidR="002A21AE" w:rsidRDefault="002A21AE">
            <w:pPr>
              <w:pStyle w:val="TableTextNumbers"/>
            </w:pPr>
            <w:r>
              <w:t xml:space="preserve">In the Patient Information Toolbar, click </w:t>
            </w:r>
            <w:r w:rsidR="00057948">
              <w:rPr>
                <w:noProof/>
              </w:rPr>
              <w:drawing>
                <wp:inline distT="0" distB="0" distL="0" distR="0" wp14:anchorId="3207265A" wp14:editId="0BC74DC1">
                  <wp:extent cx="156845" cy="156845"/>
                  <wp:effectExtent l="0" t="0" r="0" b="0"/>
                  <wp:docPr id="104" name="Picture 104" descr="Recent Ord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Recent Orders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patient’s recent orders. </w:t>
            </w:r>
          </w:p>
        </w:tc>
        <w:tc>
          <w:tcPr>
            <w:tcW w:w="6120" w:type="dxa"/>
          </w:tcPr>
          <w:p w14:paraId="65F01E1F" w14:textId="77777777" w:rsidR="002A21AE" w:rsidRDefault="002A21AE">
            <w:pPr>
              <w:pStyle w:val="TableTextBullet"/>
            </w:pPr>
            <w:r>
              <w:t>Allows the user to click an icon to view a patient’s recent orders.</w:t>
            </w:r>
          </w:p>
          <w:p w14:paraId="47C0876B" w14:textId="77777777" w:rsidR="002A21AE" w:rsidRDefault="002A21AE">
            <w:pPr>
              <w:pStyle w:val="TableText"/>
            </w:pPr>
          </w:p>
          <w:p w14:paraId="4017ECE3" w14:textId="77119B46" w:rsidR="002A21AE" w:rsidRDefault="002A21AE">
            <w:pPr>
              <w:pStyle w:val="TableText"/>
              <w:rPr>
                <w:b/>
                <w:bCs/>
                <w:szCs w:val="18"/>
              </w:rPr>
            </w:pPr>
            <w:r>
              <w:rPr>
                <w:b/>
                <w:bCs/>
                <w:szCs w:val="18"/>
              </w:rPr>
              <w:t>NOTES</w:t>
            </w:r>
          </w:p>
          <w:p w14:paraId="70E79235" w14:textId="77777777" w:rsidR="002A21AE" w:rsidRDefault="002A21AE">
            <w:pPr>
              <w:pStyle w:val="NotesText"/>
            </w:pPr>
          </w:p>
          <w:p w14:paraId="7EE101F9" w14:textId="77777777" w:rsidR="002A21AE" w:rsidRDefault="002A21AE">
            <w:pPr>
              <w:pStyle w:val="NotesText"/>
              <w:rPr>
                <w:snapToGrid w:val="0"/>
              </w:rPr>
            </w:pPr>
            <w:r w:rsidRPr="00E274BF">
              <w:rPr>
                <w:rFonts w:cs="Arial"/>
                <w:vanish/>
                <w:szCs w:val="18"/>
              </w:rPr>
              <w:t>BR_65.08</w:t>
            </w:r>
            <w:r w:rsidRPr="009660C3">
              <w:rPr>
                <w:vanish/>
                <w:szCs w:val="18"/>
              </w:rPr>
              <w:t xml:space="preserve"> </w:t>
            </w:r>
            <w:r>
              <w:t xml:space="preserve">When the user selects </w:t>
            </w:r>
            <w:r w:rsidR="00057948">
              <w:rPr>
                <w:noProof/>
              </w:rPr>
              <w:drawing>
                <wp:inline distT="0" distB="0" distL="0" distR="0" wp14:anchorId="3B80A396" wp14:editId="51107E71">
                  <wp:extent cx="156845" cy="156845"/>
                  <wp:effectExtent l="0" t="0" r="0" b="0"/>
                  <wp:docPr id="105" name="Picture 105"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mall_recent_ord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snapToGrid w:val="0"/>
              </w:rPr>
              <w:t>, VBECS displays all orders associated with the selected patient, including open orders and orders placed and processed within the last 14 days.</w:t>
            </w:r>
          </w:p>
          <w:p w14:paraId="19159E14" w14:textId="77777777" w:rsidR="00173A2B" w:rsidRDefault="00173A2B">
            <w:pPr>
              <w:pStyle w:val="NotesText"/>
              <w:rPr>
                <w:snapToGrid w:val="0"/>
              </w:rPr>
            </w:pPr>
          </w:p>
          <w:p w14:paraId="6D5E190A" w14:textId="77777777" w:rsidR="001970AB" w:rsidRDefault="00D806A1" w:rsidP="00173A2B">
            <w:pPr>
              <w:pStyle w:val="NotesText"/>
            </w:pPr>
            <w:r>
              <w:t>Diagnostic Test</w:t>
            </w:r>
            <w:r w:rsidR="00173A2B">
              <w:t xml:space="preserve"> orders sort and display by the date the order was placed in CPRS. Component orders sort and display by the date the order was accepted in VBECS.</w:t>
            </w:r>
          </w:p>
          <w:p w14:paraId="4DF3822D" w14:textId="77777777" w:rsidR="001970AB" w:rsidRDefault="001970AB" w:rsidP="00173A2B">
            <w:pPr>
              <w:pStyle w:val="NotesText"/>
            </w:pPr>
          </w:p>
          <w:p w14:paraId="11D5E7C5" w14:textId="0B42570F" w:rsidR="00173A2B" w:rsidRPr="00522BC8" w:rsidRDefault="001970AB" w:rsidP="001970AB">
            <w:pPr>
              <w:pStyle w:val="NotesText"/>
              <w:rPr>
                <w:vanish/>
              </w:rPr>
            </w:pPr>
            <w:r>
              <w:t>Orders with a status of Cance</w:t>
            </w:r>
            <w:r w:rsidR="002F7E19">
              <w:t>l</w:t>
            </w:r>
            <w:r>
              <w:t xml:space="preserve">led, Completed, Expired or Filled are not displayed in this view. See Order History Report. </w:t>
            </w:r>
            <w:r w:rsidRPr="004F0095">
              <w:rPr>
                <w:vanish/>
              </w:rPr>
              <w:t>DR 2218</w:t>
            </w:r>
            <w:r w:rsidR="00522BC8">
              <w:rPr>
                <w:vanish/>
              </w:rPr>
              <w:t xml:space="preserve"> DR 3727</w:t>
            </w:r>
          </w:p>
        </w:tc>
      </w:tr>
      <w:tr w:rsidR="002A21AE" w14:paraId="0A688229" w14:textId="77777777">
        <w:tc>
          <w:tcPr>
            <w:tcW w:w="3240" w:type="dxa"/>
          </w:tcPr>
          <w:p w14:paraId="03EB2514" w14:textId="77777777" w:rsidR="002A21AE" w:rsidRDefault="002A21AE">
            <w:pPr>
              <w:pStyle w:val="TableTextNumbers"/>
            </w:pPr>
            <w:r>
              <w:t xml:space="preserve">View the data and 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EFA10EF" w14:textId="77777777" w:rsidR="002A21AE" w:rsidRDefault="002A21AE">
            <w:pPr>
              <w:pStyle w:val="TableText"/>
            </w:pPr>
          </w:p>
        </w:tc>
      </w:tr>
    </w:tbl>
    <w:p w14:paraId="32C6E23A" w14:textId="18516FF3" w:rsidR="00060C94" w:rsidRDefault="00060C94" w:rsidP="00060C94">
      <w:pPr>
        <w:pStyle w:val="Heading3"/>
      </w:pPr>
      <w:bookmarkStart w:id="131" w:name="_Patient_Information_Toolbar:_Recent_1"/>
      <w:bookmarkStart w:id="132" w:name="_Toc163644874"/>
      <w:bookmarkEnd w:id="131"/>
      <w:r>
        <w:rPr>
          <w:noProof/>
        </w:rPr>
        <w:lastRenderedPageBreak/>
        <w:drawing>
          <wp:inline distT="0" distB="0" distL="0" distR="0" wp14:anchorId="6723740B" wp14:editId="265D15D6">
            <wp:extent cx="156845" cy="156845"/>
            <wp:effectExtent l="0" t="0" r="0" b="0"/>
            <wp:docPr id="37" name="Picture 37" descr="Recent Transfusions/Issued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cent Transfusions/Issued Unit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Patient Information Toolbar: Recent Transfusions/Issued Units</w:t>
      </w:r>
      <w:bookmarkEnd w:id="132"/>
      <w:r>
        <w:rPr>
          <w:rFonts w:ascii="Times New Roman" w:hAnsi="Times New Roman" w:cs="Times New Roman"/>
          <w:b w:val="0"/>
          <w:vanish/>
          <w:sz w:val="22"/>
        </w:rPr>
        <w:fldChar w:fldCharType="begin"/>
      </w:r>
      <w:r>
        <w:rPr>
          <w:rFonts w:ascii="Times New Roman" w:hAnsi="Times New Roman" w:cs="Times New Roman"/>
          <w:b w:val="0"/>
          <w:vanish/>
          <w:sz w:val="22"/>
        </w:rPr>
        <w:instrText xml:space="preserve"> XE “Patient Information Toolbar\: Recent Orders” </w:instrText>
      </w:r>
      <w:r>
        <w:rPr>
          <w:rFonts w:ascii="Times New Roman" w:hAnsi="Times New Roman" w:cs="Times New Roman"/>
          <w:b w:val="0"/>
          <w:vanish/>
          <w:sz w:val="22"/>
        </w:rPr>
        <w:fldChar w:fldCharType="end"/>
      </w:r>
      <w:r>
        <w:rPr>
          <w:rFonts w:ascii="Times New Roman" w:hAnsi="Times New Roman" w:cs="Times New Roman"/>
          <w:b w:val="0"/>
          <w:vanish/>
          <w:sz w:val="22"/>
        </w:rPr>
        <w:t xml:space="preserve"> UC_65</w:t>
      </w:r>
    </w:p>
    <w:p w14:paraId="74402F16" w14:textId="284EA55B" w:rsidR="002A21AE" w:rsidRDefault="002A21AE" w:rsidP="00FA7E65">
      <w:pPr>
        <w:pStyle w:val="BodyText"/>
      </w:pPr>
      <w:r>
        <w:t xml:space="preserve">The user views transfused and currently issued units for a patient.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2847534" w14:textId="77777777">
        <w:trPr>
          <w:tblHeader/>
        </w:trPr>
        <w:tc>
          <w:tcPr>
            <w:tcW w:w="3240" w:type="dxa"/>
            <w:shd w:val="clear" w:color="auto" w:fill="B3B3B3"/>
          </w:tcPr>
          <w:p w14:paraId="5D5B4A96" w14:textId="77777777" w:rsidR="002A21AE" w:rsidRDefault="002A21AE">
            <w:pPr>
              <w:pStyle w:val="TableText"/>
              <w:rPr>
                <w:b/>
              </w:rPr>
            </w:pPr>
            <w:r>
              <w:rPr>
                <w:b/>
              </w:rPr>
              <w:t>User Action</w:t>
            </w:r>
          </w:p>
        </w:tc>
        <w:tc>
          <w:tcPr>
            <w:tcW w:w="6120" w:type="dxa"/>
            <w:shd w:val="clear" w:color="auto" w:fill="B3B3B3"/>
          </w:tcPr>
          <w:p w14:paraId="12495667" w14:textId="77777777" w:rsidR="002A21AE" w:rsidRDefault="002A21AE">
            <w:pPr>
              <w:pStyle w:val="TableText"/>
              <w:rPr>
                <w:b/>
              </w:rPr>
            </w:pPr>
            <w:r>
              <w:rPr>
                <w:b/>
              </w:rPr>
              <w:t>VBECS</w:t>
            </w:r>
          </w:p>
        </w:tc>
      </w:tr>
      <w:tr w:rsidR="002A21AE" w14:paraId="1DCAD95B" w14:textId="77777777">
        <w:tc>
          <w:tcPr>
            <w:tcW w:w="3240" w:type="dxa"/>
          </w:tcPr>
          <w:p w14:paraId="4E90FFD1" w14:textId="77777777" w:rsidR="002A21AE" w:rsidRDefault="002A21AE">
            <w:pPr>
              <w:pStyle w:val="TableTextNumbers"/>
            </w:pPr>
            <w:r>
              <w:t>In the Patient Information Toolbar,</w:t>
            </w:r>
            <w:r w:rsidR="00716ED8">
              <w:t xml:space="preserve"> click</w:t>
            </w:r>
            <w:r>
              <w:t xml:space="preserve"> </w:t>
            </w:r>
            <w:r w:rsidR="00057948">
              <w:rPr>
                <w:noProof/>
              </w:rPr>
              <w:drawing>
                <wp:inline distT="0" distB="0" distL="0" distR="0" wp14:anchorId="74237962" wp14:editId="23BFB1E9">
                  <wp:extent cx="156845" cy="156845"/>
                  <wp:effectExtent l="0" t="0" r="0" b="0"/>
                  <wp:docPr id="107" name="Picture 107" descr="Recent Transfusions/Issued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Recent Transfusions/Issued Unit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recent transfusion history. </w:t>
            </w:r>
          </w:p>
        </w:tc>
        <w:tc>
          <w:tcPr>
            <w:tcW w:w="6120" w:type="dxa"/>
          </w:tcPr>
          <w:p w14:paraId="2BB2CA0C" w14:textId="77777777" w:rsidR="002A21AE" w:rsidRDefault="002A21AE">
            <w:pPr>
              <w:pStyle w:val="TableTextBullet"/>
            </w:pPr>
            <w:r>
              <w:t>Allows the user to click an icon to view a patient’s</w:t>
            </w:r>
            <w:r>
              <w:rPr>
                <w:snapToGrid w:val="0"/>
              </w:rPr>
              <w:t xml:space="preserve"> recent transfusion history.</w:t>
            </w:r>
          </w:p>
          <w:p w14:paraId="04FDEF07" w14:textId="77777777" w:rsidR="002A21AE" w:rsidRDefault="002A21AE">
            <w:pPr>
              <w:pStyle w:val="TableText"/>
            </w:pPr>
          </w:p>
          <w:p w14:paraId="1CC789A8" w14:textId="797ECCA1" w:rsidR="002A21AE" w:rsidRDefault="002A21AE">
            <w:pPr>
              <w:pStyle w:val="TableText"/>
              <w:rPr>
                <w:b/>
                <w:bCs/>
                <w:szCs w:val="18"/>
              </w:rPr>
            </w:pPr>
            <w:r>
              <w:rPr>
                <w:b/>
                <w:bCs/>
                <w:szCs w:val="18"/>
              </w:rPr>
              <w:t>NOTES</w:t>
            </w:r>
          </w:p>
          <w:p w14:paraId="2DF8A8A8" w14:textId="77777777" w:rsidR="002A21AE" w:rsidRDefault="002A21AE">
            <w:pPr>
              <w:pStyle w:val="NotesText"/>
            </w:pPr>
          </w:p>
          <w:p w14:paraId="376AF878" w14:textId="77777777" w:rsidR="00A8302F" w:rsidRPr="00522BC8" w:rsidRDefault="002A21AE" w:rsidP="000A3D20">
            <w:pPr>
              <w:pStyle w:val="NotesText"/>
              <w:rPr>
                <w:szCs w:val="18"/>
              </w:rPr>
            </w:pPr>
            <w:r w:rsidRPr="00E274BF">
              <w:rPr>
                <w:rFonts w:cs="Arial"/>
                <w:vanish/>
                <w:szCs w:val="18"/>
              </w:rPr>
              <w:t>BR_65.07</w:t>
            </w:r>
            <w:r w:rsidR="00E274BF" w:rsidRPr="00E274BF">
              <w:rPr>
                <w:rFonts w:cs="Arial"/>
                <w:vanish/>
                <w:szCs w:val="18"/>
              </w:rPr>
              <w:t>,</w:t>
            </w:r>
            <w:r w:rsidRPr="00E274BF">
              <w:rPr>
                <w:rFonts w:cs="Arial"/>
                <w:vanish/>
                <w:szCs w:val="18"/>
              </w:rPr>
              <w:t xml:space="preserve"> BR_65.09</w:t>
            </w:r>
            <w:r w:rsidRPr="009660C3">
              <w:rPr>
                <w:vanish/>
                <w:szCs w:val="18"/>
              </w:rPr>
              <w:t xml:space="preserve"> </w:t>
            </w:r>
            <w:r>
              <w:t xml:space="preserve">When the user selects </w:t>
            </w:r>
            <w:r w:rsidR="00057948">
              <w:rPr>
                <w:noProof/>
              </w:rPr>
              <w:drawing>
                <wp:inline distT="0" distB="0" distL="0" distR="0" wp14:anchorId="6CDE96A0" wp14:editId="32456F1D">
                  <wp:extent cx="156845" cy="156845"/>
                  <wp:effectExtent l="0" t="0" r="0" b="0"/>
                  <wp:docPr id="108" name="Picture 108"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mall_transfusion_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sidRPr="00A8302F">
              <w:rPr>
                <w:rStyle w:val="CommentReference"/>
                <w:sz w:val="18"/>
                <w:szCs w:val="18"/>
              </w:rPr>
              <w:t>VBECS displays blood units issued and transfused within the last seven days in reverse chronological order</w:t>
            </w:r>
            <w:r w:rsidR="000A3D20">
              <w:rPr>
                <w:rStyle w:val="CommentReference"/>
                <w:sz w:val="18"/>
                <w:szCs w:val="18"/>
              </w:rPr>
              <w:t>. The date and time issued or the location issued to does not display.</w:t>
            </w:r>
            <w:r w:rsidR="00522BC8">
              <w:rPr>
                <w:rStyle w:val="CommentReference"/>
                <w:vanish/>
                <w:sz w:val="18"/>
                <w:szCs w:val="18"/>
              </w:rPr>
              <w:t>DR 3666</w:t>
            </w:r>
          </w:p>
        </w:tc>
      </w:tr>
      <w:tr w:rsidR="002A21AE" w14:paraId="673BA06D" w14:textId="77777777">
        <w:tc>
          <w:tcPr>
            <w:tcW w:w="3240" w:type="dxa"/>
          </w:tcPr>
          <w:p w14:paraId="0A012FA9"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A8E1154" w14:textId="77777777" w:rsidR="002A21AE" w:rsidRDefault="002A21AE">
            <w:pPr>
              <w:pStyle w:val="TableText"/>
            </w:pPr>
          </w:p>
        </w:tc>
      </w:tr>
    </w:tbl>
    <w:p w14:paraId="7586586D" w14:textId="77777777" w:rsidR="002A21AE" w:rsidRDefault="00057948">
      <w:pPr>
        <w:pStyle w:val="Heading3"/>
      </w:pPr>
      <w:bookmarkStart w:id="133" w:name="_Patient_Information_Toolbar:_Transf"/>
      <w:bookmarkStart w:id="134" w:name="_Toc163644875"/>
      <w:bookmarkEnd w:id="133"/>
      <w:r>
        <w:rPr>
          <w:noProof/>
        </w:rPr>
        <w:drawing>
          <wp:inline distT="0" distB="0" distL="0" distR="0" wp14:anchorId="2CC47019" wp14:editId="7D4D693B">
            <wp:extent cx="156845" cy="156845"/>
            <wp:effectExtent l="0" t="0" r="0" b="0"/>
            <wp:docPr id="109" name="Picture 109" descr="Transfusion Reaction Hist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ransfusion Reaction History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Transfusion Reaction History</w:t>
      </w:r>
      <w:bookmarkEnd w:id="134"/>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Transfusion Reaction History</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3DFB3DD7" w14:textId="77777777" w:rsidR="002A21AE" w:rsidRDefault="002A21AE" w:rsidP="00FA7E65">
      <w:pPr>
        <w:pStyle w:val="BodyText"/>
      </w:pPr>
      <w:r>
        <w:t>The user views a snapshot of the patient’s transfusion reaction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AE30132" w14:textId="77777777">
        <w:trPr>
          <w:tblHeader/>
        </w:trPr>
        <w:tc>
          <w:tcPr>
            <w:tcW w:w="3240" w:type="dxa"/>
            <w:shd w:val="clear" w:color="auto" w:fill="B3B3B3"/>
          </w:tcPr>
          <w:p w14:paraId="6A803ED7" w14:textId="77777777" w:rsidR="002A21AE" w:rsidRDefault="002A21AE">
            <w:pPr>
              <w:pStyle w:val="TableText"/>
              <w:rPr>
                <w:b/>
              </w:rPr>
            </w:pPr>
            <w:r>
              <w:rPr>
                <w:b/>
              </w:rPr>
              <w:t>User Action</w:t>
            </w:r>
          </w:p>
        </w:tc>
        <w:tc>
          <w:tcPr>
            <w:tcW w:w="6120" w:type="dxa"/>
            <w:shd w:val="clear" w:color="auto" w:fill="B3B3B3"/>
          </w:tcPr>
          <w:p w14:paraId="54F7A0DC" w14:textId="77777777" w:rsidR="002A21AE" w:rsidRDefault="002A21AE">
            <w:pPr>
              <w:pStyle w:val="TableText"/>
              <w:rPr>
                <w:b/>
              </w:rPr>
            </w:pPr>
            <w:r>
              <w:rPr>
                <w:b/>
              </w:rPr>
              <w:t>VBECS</w:t>
            </w:r>
          </w:p>
        </w:tc>
      </w:tr>
      <w:tr w:rsidR="002A21AE" w14:paraId="3A465590" w14:textId="77777777">
        <w:tc>
          <w:tcPr>
            <w:tcW w:w="3240" w:type="dxa"/>
          </w:tcPr>
          <w:p w14:paraId="31B1BCDF" w14:textId="77777777" w:rsidR="002A21AE" w:rsidRDefault="002A21AE">
            <w:pPr>
              <w:pStyle w:val="TableTextNumbers"/>
            </w:pPr>
            <w:r>
              <w:t xml:space="preserve">In the Patient Information Toolbar, click </w:t>
            </w:r>
            <w:r w:rsidR="00057948">
              <w:rPr>
                <w:noProof/>
              </w:rPr>
              <w:drawing>
                <wp:inline distT="0" distB="0" distL="0" distR="0" wp14:anchorId="1F1BAC4E" wp14:editId="3C0523C1">
                  <wp:extent cx="156845" cy="156845"/>
                  <wp:effectExtent l="0" t="0" r="0" b="0"/>
                  <wp:docPr id="110" name="Picture 110" descr="Transfusion Reaction Hist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ransfusion Reaction History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transfusion reaction history. </w:t>
            </w:r>
          </w:p>
        </w:tc>
        <w:tc>
          <w:tcPr>
            <w:tcW w:w="6120" w:type="dxa"/>
          </w:tcPr>
          <w:p w14:paraId="0AA78B76" w14:textId="77777777" w:rsidR="002A21AE" w:rsidRDefault="002A21AE">
            <w:pPr>
              <w:pStyle w:val="TableTextBullet"/>
            </w:pPr>
            <w:r>
              <w:t>Allows the user to click an icon to view a patient’s t</w:t>
            </w:r>
            <w:r>
              <w:rPr>
                <w:snapToGrid w:val="0"/>
              </w:rPr>
              <w:t>ransfusion reaction history.</w:t>
            </w:r>
          </w:p>
          <w:p w14:paraId="589DD62D" w14:textId="77777777" w:rsidR="002A21AE" w:rsidRDefault="002A21AE">
            <w:pPr>
              <w:pStyle w:val="TableText"/>
            </w:pPr>
          </w:p>
          <w:p w14:paraId="3A2E71E9" w14:textId="107D349A" w:rsidR="002A21AE" w:rsidRDefault="002A21AE">
            <w:pPr>
              <w:pStyle w:val="TableText"/>
              <w:rPr>
                <w:b/>
                <w:bCs/>
                <w:szCs w:val="18"/>
              </w:rPr>
            </w:pPr>
            <w:r>
              <w:rPr>
                <w:b/>
                <w:bCs/>
                <w:szCs w:val="18"/>
              </w:rPr>
              <w:t>NOTES</w:t>
            </w:r>
          </w:p>
          <w:p w14:paraId="22D4D143" w14:textId="77777777" w:rsidR="002A21AE" w:rsidRDefault="002A21AE">
            <w:pPr>
              <w:pStyle w:val="NotesText"/>
            </w:pPr>
          </w:p>
          <w:p w14:paraId="596CB41B" w14:textId="43F8DDA1" w:rsidR="002A21AE" w:rsidRDefault="002A21AE">
            <w:pPr>
              <w:pStyle w:val="NotesText"/>
            </w:pPr>
            <w:r w:rsidRPr="00E274BF">
              <w:rPr>
                <w:rFonts w:cs="Arial"/>
                <w:vanish/>
                <w:szCs w:val="18"/>
              </w:rPr>
              <w:t>BR_65.03</w:t>
            </w:r>
            <w:r w:rsidR="00E274BF" w:rsidRPr="00E274BF">
              <w:rPr>
                <w:rFonts w:cs="Arial"/>
                <w:vanish/>
                <w:szCs w:val="18"/>
              </w:rPr>
              <w:t>,</w:t>
            </w:r>
            <w:r w:rsidRPr="00E274BF">
              <w:rPr>
                <w:rFonts w:cs="Arial"/>
                <w:vanish/>
                <w:szCs w:val="18"/>
              </w:rPr>
              <w:t xml:space="preserve"> BR_65.05</w:t>
            </w:r>
            <w:r w:rsidRPr="009660C3">
              <w:rPr>
                <w:vanish/>
                <w:szCs w:val="18"/>
              </w:rPr>
              <w:t xml:space="preserve"> </w:t>
            </w:r>
            <w:r>
              <w:t xml:space="preserve">When the user selects </w:t>
            </w:r>
            <w:r w:rsidR="00057948">
              <w:rPr>
                <w:noProof/>
              </w:rPr>
              <w:drawing>
                <wp:inline distT="0" distB="0" distL="0" distR="0" wp14:anchorId="773CE2C0" wp14:editId="75D3E81E">
                  <wp:extent cx="156845" cy="156845"/>
                  <wp:effectExtent l="0" t="0" r="0" b="0"/>
                  <wp:docPr id="111" name="Picture 111"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mall_transfusion_reac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VBECS displays all</w:t>
            </w:r>
            <w:r w:rsidR="00DE6AA7">
              <w:t xml:space="preserve"> finalized</w:t>
            </w:r>
            <w:r>
              <w:t xml:space="preserve"> transfusion reaction entries in the database.</w:t>
            </w:r>
            <w:r w:rsidR="00AB4BD9">
              <w:t xml:space="preserve"> </w:t>
            </w:r>
            <w:r w:rsidR="00AB4BD9" w:rsidRPr="00AB4BD9">
              <w:rPr>
                <w:vanish/>
              </w:rPr>
              <w:t>Defect 208590</w:t>
            </w:r>
          </w:p>
        </w:tc>
      </w:tr>
      <w:tr w:rsidR="002A21AE" w14:paraId="6B4E2C14" w14:textId="77777777">
        <w:tc>
          <w:tcPr>
            <w:tcW w:w="3240" w:type="dxa"/>
          </w:tcPr>
          <w:p w14:paraId="374D426A"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9F9B2D4" w14:textId="77777777" w:rsidR="002A21AE" w:rsidRDefault="002A21AE">
            <w:pPr>
              <w:pStyle w:val="TableText"/>
            </w:pPr>
          </w:p>
        </w:tc>
      </w:tr>
    </w:tbl>
    <w:p w14:paraId="30FDFCE5" w14:textId="77777777" w:rsidR="00AF089A" w:rsidRDefault="00AF089A">
      <w:pPr>
        <w:pStyle w:val="Heading4"/>
      </w:pPr>
    </w:p>
    <w:p w14:paraId="1ADB99F6" w14:textId="77777777" w:rsidR="002A21AE" w:rsidRDefault="00AF089A" w:rsidP="00D823F2">
      <w:pPr>
        <w:pStyle w:val="Heading3"/>
      </w:pPr>
      <w:r>
        <w:br w:type="page"/>
      </w:r>
      <w:bookmarkStart w:id="135" w:name="_Ref100905838"/>
      <w:bookmarkStart w:id="136" w:name="_Toc163644876"/>
      <w:r w:rsidR="002A21AE">
        <w:lastRenderedPageBreak/>
        <w:t>Main Status Bar</w:t>
      </w:r>
      <w:bookmarkEnd w:id="135"/>
      <w:bookmarkEnd w:id="136"/>
      <w:r w:rsidR="002A21AE">
        <w:fldChar w:fldCharType="begin"/>
      </w:r>
      <w:r w:rsidR="002A21AE">
        <w:instrText xml:space="preserve"> XE </w:instrText>
      </w:r>
      <w:r w:rsidR="00FA7E65">
        <w:instrText>“</w:instrText>
      </w:r>
      <w:r w:rsidR="002A21AE">
        <w:instrText>Main Status Bar</w:instrText>
      </w:r>
      <w:r w:rsidR="00FA7E65">
        <w:instrText>”</w:instrText>
      </w:r>
      <w:r w:rsidR="002A21AE">
        <w:instrText xml:space="preserve"> </w:instrText>
      </w:r>
      <w:r w:rsidR="002A21AE">
        <w:fldChar w:fldCharType="end"/>
      </w:r>
    </w:p>
    <w:p w14:paraId="75AE31C1" w14:textId="77777777" w:rsidR="002A21AE" w:rsidRDefault="002A21AE" w:rsidP="00FA7E65">
      <w:pPr>
        <w:pStyle w:val="BodyText"/>
      </w:pPr>
      <w:r>
        <w:t>The following icons are displayed in the main status bar:</w:t>
      </w:r>
    </w:p>
    <w:p w14:paraId="36B7AC94" w14:textId="77777777" w:rsidR="002A21AE" w:rsidRDefault="00057948">
      <w:pPr>
        <w:pStyle w:val="BodyText"/>
        <w:ind w:left="360" w:hanging="360"/>
      </w:pPr>
      <w:r>
        <w:rPr>
          <w:noProof/>
        </w:rPr>
        <w:drawing>
          <wp:inline distT="0" distB="0" distL="0" distR="0" wp14:anchorId="5D7CB737" wp14:editId="6879C049">
            <wp:extent cx="156845" cy="156845"/>
            <wp:effectExtent l="0" t="0" r="0" b="0"/>
            <wp:docPr id="112" name="Picture 112" descr="Order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Order Ale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Order Alert icon </w:t>
      </w:r>
      <w:r w:rsidR="00267432">
        <w:t>blinks</w:t>
      </w:r>
      <w:r w:rsidR="002A21AE">
        <w:t xml:space="preserve"> </w:t>
      </w:r>
      <w:r w:rsidR="00716FBE">
        <w:t xml:space="preserve">three times and remains </w:t>
      </w:r>
      <w:r w:rsidR="00267432">
        <w:t>visible</w:t>
      </w:r>
      <w:r w:rsidR="00716FBE">
        <w:t xml:space="preserve"> </w:t>
      </w:r>
      <w:r w:rsidR="002A21AE">
        <w:t xml:space="preserve">when orders are added to the system. Hold the mouse pointer over the icon to see order information. Click the associated button to open the Pending Order List. </w:t>
      </w:r>
      <w:r w:rsidR="00267432" w:rsidRPr="00267432">
        <w:rPr>
          <w:vanish/>
        </w:rPr>
        <w:t>DR 4963</w:t>
      </w:r>
    </w:p>
    <w:p w14:paraId="3F648029" w14:textId="77777777" w:rsidR="002A21AE" w:rsidRDefault="00057948">
      <w:pPr>
        <w:pStyle w:val="BodyText"/>
        <w:ind w:left="360" w:hanging="360"/>
      </w:pPr>
      <w:r>
        <w:rPr>
          <w:noProof/>
        </w:rPr>
        <w:drawing>
          <wp:inline distT="0" distB="0" distL="0" distR="0" wp14:anchorId="17E44157" wp14:editId="61080D05">
            <wp:extent cx="156845" cy="138430"/>
            <wp:effectExtent l="0" t="0" r="0" b="0"/>
            <wp:docPr id="113" name="Picture 113"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atient Alert ic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845" cy="138430"/>
                    </a:xfrm>
                    <a:prstGeom prst="rect">
                      <a:avLst/>
                    </a:prstGeom>
                    <a:noFill/>
                    <a:ln>
                      <a:noFill/>
                    </a:ln>
                  </pic:spPr>
                </pic:pic>
              </a:graphicData>
            </a:graphic>
          </wp:inline>
        </w:drawing>
      </w:r>
      <w:r w:rsidR="002A21AE">
        <w:tab/>
        <w:t xml:space="preserve">The Patient Alert icon flashes </w:t>
      </w:r>
      <w:r w:rsidR="00716FBE">
        <w:t xml:space="preserve">three times and remains displayed </w:t>
      </w:r>
      <w:r w:rsidR="002A21AE">
        <w:t>when patient information is updated. Hold the mouse pointer over the icon to see what type of patient change occu</w:t>
      </w:r>
      <w:r w:rsidR="005C271B">
        <w:t>rred. Click the Patient Alert Icon</w:t>
      </w:r>
      <w:r w:rsidR="002A21AE">
        <w:t xml:space="preserve"> to view</w:t>
      </w:r>
      <w:r w:rsidR="005C271B">
        <w:t xml:space="preserve"> the menu which allows navigation to Updated Patients, Deceased Patients, Patient Merge</w:t>
      </w:r>
      <w:r w:rsidR="002A21AE">
        <w:t>.</w:t>
      </w:r>
      <w:r w:rsidR="005C271B">
        <w:t xml:space="preserve"> These menu options enable when alerts exist in each category.</w:t>
      </w:r>
      <w:r w:rsidR="002A21AE">
        <w:t xml:space="preserve"> </w:t>
      </w:r>
    </w:p>
    <w:p w14:paraId="0D9568EF" w14:textId="77777777" w:rsidR="002A21AE" w:rsidRDefault="00057948">
      <w:pPr>
        <w:pStyle w:val="BodyText"/>
        <w:ind w:left="360" w:hanging="360"/>
      </w:pPr>
      <w:r>
        <w:rPr>
          <w:noProof/>
        </w:rPr>
        <w:drawing>
          <wp:inline distT="0" distB="0" distL="0" distR="0" wp14:anchorId="0DA846E7" wp14:editId="6A5F98CE">
            <wp:extent cx="156845" cy="156845"/>
            <wp:effectExtent l="0" t="0" r="0" b="0"/>
            <wp:docPr id="114" name="Picture 114" descr="VistA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VistALink ic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VistALink icon indicates that the connection to </w:t>
      </w:r>
      <w:r w:rsidR="00CA0045" w:rsidRPr="00CA0045">
        <w:rPr>
          <w:bCs/>
        </w:rPr>
        <w:t>VistA</w:t>
      </w:r>
      <w:r w:rsidR="002A21AE">
        <w:t xml:space="preserve"> is active.</w:t>
      </w:r>
    </w:p>
    <w:p w14:paraId="5B053655" w14:textId="5D631C67" w:rsidR="00E95BB0" w:rsidRDefault="002A21AE" w:rsidP="00925CAD">
      <w:pPr>
        <w:pStyle w:val="BodyText"/>
        <w:numPr>
          <w:ilvl w:val="0"/>
          <w:numId w:val="75"/>
        </w:numPr>
      </w:pPr>
      <w:r>
        <w:t xml:space="preserve">The VistALink Failure icon indicates that the connection to </w:t>
      </w:r>
      <w:r w:rsidR="00CA0045" w:rsidRPr="00CA0045">
        <w:rPr>
          <w:bCs/>
        </w:rPr>
        <w:t>VistA</w:t>
      </w:r>
      <w:r>
        <w:t xml:space="preserve"> is severed.</w:t>
      </w:r>
    </w:p>
    <w:p w14:paraId="3E458DAF" w14:textId="77777777" w:rsidR="00C96CC3" w:rsidRDefault="00C96CC3" w:rsidP="00C96CC3">
      <w:pPr>
        <w:pStyle w:val="BodyText"/>
        <w:ind w:left="360" w:hanging="360"/>
        <w:rPr>
          <w:noProof/>
        </w:rPr>
      </w:pPr>
      <w:r w:rsidRPr="00C96CC3">
        <w:rPr>
          <w:noProof/>
        </w:rPr>
        <w:drawing>
          <wp:inline distT="0" distB="0" distL="0" distR="0" wp14:anchorId="35D8300D" wp14:editId="25372186">
            <wp:extent cx="161925" cy="161925"/>
            <wp:effectExtent l="0" t="0" r="9525" b="9525"/>
            <wp:docPr id="4" name="Picture 3" descr="CPRS Communications 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PRS Communications Error ic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6CC3">
        <w:rPr>
          <w:noProof/>
        </w:rPr>
        <w:t xml:space="preserve"> CPRS Communications Error</w:t>
      </w:r>
      <w:r w:rsidRPr="00C81B15">
        <w:rPr>
          <w:noProof/>
        </w:rPr>
        <w:t>.</w:t>
      </w:r>
      <w:r>
        <w:rPr>
          <w:noProof/>
        </w:rPr>
        <w:t xml:space="preserve"> Some orders in CPRS will not reflect the same status as VBECS. Contact Customer Support to have the issue investigated and resolved. Most problems can typically be resolved by restarting the VBECS-OERR HL7 link in VistA.</w:t>
      </w:r>
    </w:p>
    <w:p w14:paraId="087DCA36" w14:textId="0DE90D61" w:rsidR="00C96CC3" w:rsidRDefault="00C96CC3" w:rsidP="00C96CC3">
      <w:pPr>
        <w:pStyle w:val="BodyText"/>
        <w:ind w:left="360" w:hanging="360"/>
        <w:rPr>
          <w:noProof/>
        </w:rPr>
      </w:pPr>
      <w:r w:rsidRPr="00C96CC3">
        <w:rPr>
          <w:noProof/>
        </w:rPr>
        <w:drawing>
          <wp:inline distT="0" distB="0" distL="0" distR="0" wp14:anchorId="5348D9DF" wp14:editId="534095A9">
            <wp:extent cx="152400" cy="152400"/>
            <wp:effectExtent l="0" t="0" r="0" b="0"/>
            <wp:docPr id="49" name="Picture 49" descr="CPRS Communications Go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PRS Communications Good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96CC3">
        <w:rPr>
          <w:noProof/>
        </w:rPr>
        <w:t xml:space="preserve"> CPRS Communications Good</w:t>
      </w:r>
      <w:r w:rsidRPr="00CE404D">
        <w:rPr>
          <w:noProof/>
        </w:rPr>
        <w:t>.</w:t>
      </w:r>
      <w:r w:rsidRPr="00C96CC3">
        <w:rPr>
          <w:noProof/>
        </w:rPr>
        <w:t xml:space="preserve"> </w:t>
      </w:r>
      <w:r w:rsidRPr="00CE404D">
        <w:rPr>
          <w:noProof/>
        </w:rPr>
        <w:t>All VBECS order</w:t>
      </w:r>
      <w:r>
        <w:rPr>
          <w:noProof/>
        </w:rPr>
        <w:t xml:space="preserve"> status messages have been sent to CPRS.</w:t>
      </w:r>
    </w:p>
    <w:p w14:paraId="3EFF7C4D" w14:textId="77777777" w:rsidR="002A21AE" w:rsidRDefault="002A21AE" w:rsidP="00D823F2">
      <w:pPr>
        <w:pStyle w:val="Heading3"/>
      </w:pPr>
      <w:bookmarkStart w:id="137" w:name="_Toc163644877"/>
      <w:r>
        <w:t>Throughout VBECS</w:t>
      </w:r>
      <w:bookmarkEnd w:id="137"/>
      <w:r>
        <w:fldChar w:fldCharType="begin"/>
      </w:r>
      <w:r>
        <w:instrText xml:space="preserve"> XE </w:instrText>
      </w:r>
      <w:r w:rsidR="00FA7E65">
        <w:instrText>“</w:instrText>
      </w:r>
      <w:r>
        <w:instrText>Throughout VBECS</w:instrText>
      </w:r>
      <w:r w:rsidR="00FA7E65">
        <w:instrText>”</w:instrText>
      </w:r>
      <w:r>
        <w:instrText xml:space="preserve"> </w:instrText>
      </w:r>
      <w:r>
        <w:fldChar w:fldCharType="end"/>
      </w:r>
    </w:p>
    <w:p w14:paraId="6A506A44" w14:textId="77777777" w:rsidR="002A21AE" w:rsidRDefault="00057948">
      <w:pPr>
        <w:pStyle w:val="BodyText"/>
        <w:ind w:left="360" w:hanging="360"/>
      </w:pPr>
      <w:r>
        <w:rPr>
          <w:noProof/>
        </w:rPr>
        <w:drawing>
          <wp:inline distT="0" distB="0" distL="0" distR="0" wp14:anchorId="7DAD4B8E" wp14:editId="60C60F98">
            <wp:extent cx="156845" cy="156845"/>
            <wp:effectExtent l="0" t="0" r="0" b="0"/>
            <wp:docPr id="116" name="Picture 116" descr="Delete/Invali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Delete/Invalidate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Delete/Invalidate icon appears on buttons that cause entries to be deleted or invalidated in the database.</w:t>
      </w:r>
    </w:p>
    <w:p w14:paraId="2A0999CE" w14:textId="77777777" w:rsidR="005A3214" w:rsidRDefault="005A3214" w:rsidP="000E3E6B">
      <w:pPr>
        <w:pStyle w:val="BodyText"/>
        <w:ind w:left="360" w:hangingChars="153" w:hanging="360"/>
      </w:pPr>
      <w:r w:rsidRPr="005742CF">
        <w:rPr>
          <w:rFonts w:ascii="Wingdings" w:hAnsi="Wingdings"/>
          <w:spacing w:val="-5"/>
          <w:sz w:val="24"/>
          <w:szCs w:val="24"/>
        </w:rPr>
        <w:t></w:t>
      </w:r>
      <w:r>
        <w:rPr>
          <w:rFonts w:ascii="Wingdings" w:hAnsi="Wingdings"/>
        </w:rPr>
        <w:tab/>
      </w:r>
      <w:r>
        <w:t>Click to select all items in a list.</w:t>
      </w:r>
    </w:p>
    <w:p w14:paraId="4D5E4B47" w14:textId="77777777" w:rsidR="005A3214" w:rsidRDefault="005A3214" w:rsidP="000E3E6B">
      <w:pPr>
        <w:pStyle w:val="BodyText"/>
        <w:ind w:left="359" w:hangingChars="149" w:hanging="359"/>
      </w:pPr>
      <w:r w:rsidRPr="005742CF">
        <w:rPr>
          <w:rFonts w:ascii="Wingdings 2" w:hAnsi="Wingdings 2" w:cs="Geneva"/>
          <w:b/>
          <w:sz w:val="24"/>
          <w:szCs w:val="24"/>
        </w:rPr>
        <w:t></w:t>
      </w:r>
      <w:r>
        <w:rPr>
          <w:rFonts w:ascii="Wingdings 2" w:hAnsi="Wingdings 2" w:cs="Geneva"/>
          <w:b/>
        </w:rPr>
        <w:tab/>
      </w:r>
      <w:r>
        <w:t>Click to clear all items in list.</w:t>
      </w:r>
    </w:p>
    <w:p w14:paraId="357ABBA9" w14:textId="77777777" w:rsidR="002A21AE" w:rsidRDefault="00057948" w:rsidP="00FC6604">
      <w:pPr>
        <w:pStyle w:val="BodyText"/>
      </w:pPr>
      <w:r>
        <w:rPr>
          <w:noProof/>
        </w:rPr>
        <w:drawing>
          <wp:inline distT="0" distB="0" distL="0" distR="0" wp14:anchorId="2094B9C0" wp14:editId="5FF0D268">
            <wp:extent cx="258445" cy="203200"/>
            <wp:effectExtent l="0" t="0" r="8255" b="6350"/>
            <wp:docPr id="117" name="Picture 117" descr="Find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Find button ic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8445" cy="203200"/>
                    </a:xfrm>
                    <a:prstGeom prst="rect">
                      <a:avLst/>
                    </a:prstGeom>
                    <a:noFill/>
                    <a:ln>
                      <a:noFill/>
                    </a:ln>
                  </pic:spPr>
                </pic:pic>
              </a:graphicData>
            </a:graphic>
          </wp:inline>
        </w:drawing>
      </w:r>
      <w:r w:rsidR="002A21AE" w:rsidRPr="00FC6604">
        <w:t xml:space="preserve">Click the </w:t>
      </w:r>
      <w:r w:rsidR="00FC6604" w:rsidRPr="00FC6604">
        <w:rPr>
          <w:b/>
        </w:rPr>
        <w:t>find</w:t>
      </w:r>
      <w:r w:rsidR="002A21AE" w:rsidRPr="00FC6604">
        <w:rPr>
          <w:b/>
        </w:rPr>
        <w:t xml:space="preserve"> </w:t>
      </w:r>
      <w:r w:rsidR="002A21AE" w:rsidRPr="00FC6604">
        <w:t>button to display a list of items for selection.</w:t>
      </w:r>
    </w:p>
    <w:p w14:paraId="407E0634" w14:textId="77777777" w:rsidR="002A21AE" w:rsidRDefault="00057948">
      <w:pPr>
        <w:pStyle w:val="BodyText"/>
        <w:ind w:left="360" w:hanging="360"/>
      </w:pPr>
      <w:r>
        <w:rPr>
          <w:noProof/>
        </w:rPr>
        <w:drawing>
          <wp:inline distT="0" distB="0" distL="0" distR="0" wp14:anchorId="0D988927" wp14:editId="5E3CD9D7">
            <wp:extent cx="156845" cy="156845"/>
            <wp:effectExtent l="0" t="0" r="0" b="0"/>
            <wp:docPr id="118" name="Picture 118" descr="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rint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Print</w:t>
      </w:r>
      <w:r w:rsidR="002A21AE">
        <w:t xml:space="preserve"> icon’s associated button to print a document.</w:t>
      </w:r>
    </w:p>
    <w:p w14:paraId="3DC0E17E" w14:textId="77777777" w:rsidR="002A21AE" w:rsidRDefault="00057948">
      <w:pPr>
        <w:pStyle w:val="BodyText"/>
        <w:ind w:left="360" w:hanging="360"/>
      </w:pPr>
      <w:r>
        <w:rPr>
          <w:noProof/>
        </w:rPr>
        <w:drawing>
          <wp:inline distT="0" distB="0" distL="0" distR="0" wp14:anchorId="350D3D5A" wp14:editId="053BE36D">
            <wp:extent cx="156845" cy="156845"/>
            <wp:effectExtent l="0" t="0" r="0" b="0"/>
            <wp:docPr id="119" name="Picture 119" descr="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ave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Save</w:t>
      </w:r>
      <w:r w:rsidR="002A21AE">
        <w:t xml:space="preserve"> icon’s associated button to update the database.</w:t>
      </w:r>
    </w:p>
    <w:p w14:paraId="2B976821" w14:textId="77777777" w:rsidR="002A21AE" w:rsidRDefault="00057948">
      <w:pPr>
        <w:pStyle w:val="BodyText"/>
        <w:ind w:left="360" w:hanging="360"/>
      </w:pPr>
      <w:r>
        <w:rPr>
          <w:noProof/>
        </w:rPr>
        <w:drawing>
          <wp:inline distT="0" distB="0" distL="0" distR="0" wp14:anchorId="4C0A0645" wp14:editId="5AE6AE74">
            <wp:extent cx="156845" cy="156845"/>
            <wp:effectExtent l="0" t="0" r="0" b="0"/>
            <wp:docPr id="120" name="Picture 120" descr="Scann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anner 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Scanner icon indicates which screen prompts permit scanned entries.</w:t>
      </w:r>
    </w:p>
    <w:p w14:paraId="6A828D28" w14:textId="77777777" w:rsidR="002A21AE" w:rsidRDefault="00057948">
      <w:pPr>
        <w:pStyle w:val="BodyText"/>
        <w:ind w:left="360" w:hanging="360"/>
      </w:pPr>
      <w:r>
        <w:rPr>
          <w:noProof/>
        </w:rPr>
        <w:drawing>
          <wp:inline distT="0" distB="0" distL="0" distR="0" wp14:anchorId="78E8F1DD" wp14:editId="66629716">
            <wp:extent cx="156845" cy="156845"/>
            <wp:effectExtent l="0" t="0" r="0" b="0"/>
            <wp:docPr id="121" name="Picture 121"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earch ic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Search</w:t>
      </w:r>
      <w:r w:rsidR="002A21AE">
        <w:t xml:space="preserve"> icon’s associated button to search for entries meeting search criteria entered.</w:t>
      </w:r>
    </w:p>
    <w:p w14:paraId="2D6E2933" w14:textId="77777777" w:rsidR="002A21AE" w:rsidRDefault="00057948">
      <w:pPr>
        <w:pStyle w:val="BodyText"/>
        <w:ind w:left="360" w:hanging="360"/>
      </w:pPr>
      <w:r>
        <w:rPr>
          <w:noProof/>
        </w:rPr>
        <w:drawing>
          <wp:inline distT="0" distB="0" distL="0" distR="0" wp14:anchorId="08E7C607" wp14:editId="5E18DBC5">
            <wp:extent cx="156845" cy="156845"/>
            <wp:effectExtent l="0" t="0" r="0" b="0"/>
            <wp:docPr id="122" name="Picture 122" descr="Order Detai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Order Details ic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Order Details</w:t>
      </w:r>
      <w:r w:rsidR="002A21AE">
        <w:t xml:space="preserve"> icon’s associated button to display the full details of a selected order.</w:t>
      </w:r>
    </w:p>
    <w:p w14:paraId="762F520E" w14:textId="77777777" w:rsidR="002A21AE" w:rsidRDefault="00057948">
      <w:pPr>
        <w:pStyle w:val="BodyText"/>
        <w:ind w:left="360" w:hanging="360"/>
      </w:pPr>
      <w:r>
        <w:rPr>
          <w:noProof/>
        </w:rPr>
        <w:drawing>
          <wp:inline distT="0" distB="0" distL="0" distR="0" wp14:anchorId="4CB7FE61" wp14:editId="3391BDB6">
            <wp:extent cx="156845" cy="156845"/>
            <wp:effectExtent l="0" t="0" r="0" b="0"/>
            <wp:docPr id="123" name="Picture 123" descr="Input 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nput Error ic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Input Error icon indicates that a user made an invalid entry at a screen prompt. The icon appears and flashes next to the invalid entry. Hold the mouse pointer over the icon to see a message explaining the problem. Enter valid information to make the icon disappear.</w:t>
      </w:r>
    </w:p>
    <w:p w14:paraId="3DAAF228" w14:textId="77777777" w:rsidR="00486D34" w:rsidRDefault="00486D34">
      <w:pPr>
        <w:rPr>
          <w:rFonts w:ascii="Arial" w:hAnsi="Arial" w:cs="Arial"/>
          <w:b/>
          <w:bCs/>
          <w:i/>
          <w:iCs/>
          <w:sz w:val="28"/>
          <w:szCs w:val="28"/>
        </w:rPr>
      </w:pPr>
      <w:r>
        <w:br w:type="page"/>
      </w:r>
    </w:p>
    <w:p w14:paraId="54819CB9" w14:textId="5064424D" w:rsidR="00CF3887" w:rsidRPr="002532D0" w:rsidRDefault="006C0EB9" w:rsidP="00CF3887">
      <w:pPr>
        <w:pStyle w:val="Heading2"/>
      </w:pPr>
      <w:bookmarkStart w:id="138" w:name="_Toc163644878"/>
      <w:r>
        <w:lastRenderedPageBreak/>
        <w:t>VBECS Read-Only</w:t>
      </w:r>
      <w:bookmarkEnd w:id="138"/>
    </w:p>
    <w:p w14:paraId="0B663708" w14:textId="0BC7C707" w:rsidR="00CF3887" w:rsidRPr="002532D0" w:rsidRDefault="00CF3887" w:rsidP="00CF3887">
      <w:pPr>
        <w:pStyle w:val="BodyText"/>
      </w:pPr>
      <w:r w:rsidRPr="002532D0">
        <w:t xml:space="preserve">When a VBECS site is set to </w:t>
      </w:r>
      <w:r w:rsidR="002532D0">
        <w:t>Read-Only</w:t>
      </w:r>
      <w:r w:rsidRPr="002532D0">
        <w:t xml:space="preserve">, the application restricts access </w:t>
      </w:r>
      <w:r w:rsidR="00F03ABE" w:rsidRPr="002532D0">
        <w:t xml:space="preserve">for all user roles </w:t>
      </w:r>
      <w:r w:rsidRPr="002532D0">
        <w:t xml:space="preserve">to menu options that </w:t>
      </w:r>
      <w:r w:rsidR="00F03ABE" w:rsidRPr="002532D0">
        <w:t xml:space="preserve">would </w:t>
      </w:r>
      <w:r w:rsidRPr="002532D0">
        <w:t xml:space="preserve">allow adding or modifying </w:t>
      </w:r>
      <w:r w:rsidR="00F03ABE" w:rsidRPr="002532D0">
        <w:t>blood bank data</w:t>
      </w:r>
      <w:r w:rsidRPr="002532D0">
        <w:t xml:space="preserve"> </w:t>
      </w:r>
      <w:r w:rsidR="00F77E99" w:rsidRPr="002532D0">
        <w:t>(</w:t>
      </w:r>
      <w:r w:rsidR="00F77E99" w:rsidRPr="002532D0">
        <w:fldChar w:fldCharType="begin"/>
      </w:r>
      <w:r w:rsidR="00F77E99" w:rsidRPr="002532D0">
        <w:instrText xml:space="preserve"> REF _Ref162428524 \h </w:instrText>
      </w:r>
      <w:r w:rsidR="00F03ABE" w:rsidRPr="002532D0">
        <w:instrText xml:space="preserve"> \* MERGEFORMAT </w:instrText>
      </w:r>
      <w:r w:rsidR="00F77E99" w:rsidRPr="002532D0">
        <w:fldChar w:fldCharType="separate"/>
      </w:r>
      <w:r w:rsidR="00E2140B" w:rsidRPr="002532D0">
        <w:t xml:space="preserve">Figure </w:t>
      </w:r>
      <w:r w:rsidR="00E2140B">
        <w:rPr>
          <w:noProof/>
        </w:rPr>
        <w:t>21</w:t>
      </w:r>
      <w:r w:rsidR="00F77E99" w:rsidRPr="002532D0">
        <w:fldChar w:fldCharType="end"/>
      </w:r>
      <w:r w:rsidR="00F77E99" w:rsidRPr="002532D0">
        <w:t>). Top-level menus are disabled if all sub-level menu</w:t>
      </w:r>
      <w:r w:rsidR="00F03ABE" w:rsidRPr="002532D0">
        <w:t>s</w:t>
      </w:r>
      <w:r w:rsidR="00F77E99" w:rsidRPr="002532D0">
        <w:t xml:space="preserve"> are disabled. For example, the top-level </w:t>
      </w:r>
      <w:r w:rsidR="00F77E99" w:rsidRPr="002532D0">
        <w:rPr>
          <w:i/>
          <w:iCs/>
        </w:rPr>
        <w:t>Reagents</w:t>
      </w:r>
      <w:r w:rsidR="00F77E99" w:rsidRPr="002532D0">
        <w:t xml:space="preserve"> menu is disabled because every menu option beneath the </w:t>
      </w:r>
      <w:r w:rsidR="00F77E99" w:rsidRPr="002532D0">
        <w:rPr>
          <w:i/>
          <w:iCs/>
        </w:rPr>
        <w:t>Reagents</w:t>
      </w:r>
      <w:r w:rsidR="00F77E99" w:rsidRPr="002532D0">
        <w:t xml:space="preserve"> menu can modify data</w:t>
      </w:r>
      <w:r w:rsidRPr="002532D0">
        <w:t xml:space="preserve">. </w:t>
      </w:r>
      <w:r w:rsidR="00F03ABE" w:rsidRPr="002532D0">
        <w:t xml:space="preserve">Any report printed in a </w:t>
      </w:r>
      <w:r w:rsidR="006C0EB9">
        <w:t>VBECS Read-Only</w:t>
      </w:r>
      <w:r w:rsidR="00F03ABE" w:rsidRPr="002532D0">
        <w:t xml:space="preserve"> will contain a watermark in the upper-right corner of each printed page to indicate VBECS has been set to </w:t>
      </w:r>
      <w:r w:rsidR="005633D8">
        <w:t>Read-Only</w:t>
      </w:r>
      <w:r w:rsidR="00F03ABE" w:rsidRPr="002532D0">
        <w:t xml:space="preserve">. </w:t>
      </w:r>
      <w:r w:rsidRPr="002532D0">
        <w:t xml:space="preserve">Refer to the </w:t>
      </w:r>
      <w:r w:rsidRPr="002532D0">
        <w:rPr>
          <w:i/>
          <w:iCs/>
        </w:rPr>
        <w:t xml:space="preserve">FAQ </w:t>
      </w:r>
      <w:r w:rsidR="002532D0">
        <w:rPr>
          <w:i/>
          <w:iCs/>
        </w:rPr>
        <w:t xml:space="preserve">What is </w:t>
      </w:r>
      <w:r w:rsidR="006C0EB9">
        <w:rPr>
          <w:i/>
          <w:iCs/>
        </w:rPr>
        <w:t>VBECS Read-Only</w:t>
      </w:r>
      <w:r w:rsidRPr="002532D0">
        <w:t xml:space="preserve"> for more details.</w:t>
      </w:r>
    </w:p>
    <w:p w14:paraId="62EA098D" w14:textId="00B67F49" w:rsidR="005755DC" w:rsidRDefault="005755DC" w:rsidP="005755DC">
      <w:pPr>
        <w:pStyle w:val="Caption"/>
      </w:pPr>
      <w:bookmarkStart w:id="139" w:name="_Ref162428524"/>
      <w:r w:rsidRPr="002532D0">
        <w:t xml:space="preserve">Figure </w:t>
      </w:r>
      <w:r w:rsidRPr="002532D0">
        <w:rPr>
          <w:noProof/>
        </w:rPr>
        <w:fldChar w:fldCharType="begin"/>
      </w:r>
      <w:r w:rsidRPr="002532D0">
        <w:rPr>
          <w:noProof/>
        </w:rPr>
        <w:instrText xml:space="preserve"> SEQ Figure \* ARABIC </w:instrText>
      </w:r>
      <w:r w:rsidRPr="002532D0">
        <w:rPr>
          <w:noProof/>
        </w:rPr>
        <w:fldChar w:fldCharType="separate"/>
      </w:r>
      <w:r w:rsidR="00E2140B">
        <w:rPr>
          <w:noProof/>
        </w:rPr>
        <w:t>21</w:t>
      </w:r>
      <w:r w:rsidRPr="002532D0">
        <w:rPr>
          <w:noProof/>
        </w:rPr>
        <w:fldChar w:fldCharType="end"/>
      </w:r>
      <w:bookmarkEnd w:id="139"/>
      <w:r w:rsidRPr="002532D0">
        <w:t xml:space="preserve">: </w:t>
      </w:r>
      <w:r w:rsidR="00F77E99" w:rsidRPr="002532D0">
        <w:t xml:space="preserve">Example of </w:t>
      </w:r>
      <w:r w:rsidR="00F03ABE" w:rsidRPr="002532D0">
        <w:t xml:space="preserve">the Appearance of a </w:t>
      </w:r>
      <w:r w:rsidR="006C0EB9">
        <w:t>VBECS Read-Only</w:t>
      </w:r>
    </w:p>
    <w:p w14:paraId="2CA4D0B7" w14:textId="6D1CD4CC" w:rsidR="005755DC" w:rsidRDefault="00F77E99" w:rsidP="00CF3887">
      <w:pPr>
        <w:pStyle w:val="BodyText"/>
      </w:pPr>
      <w:r>
        <w:rPr>
          <w:noProof/>
        </w:rPr>
        <w:drawing>
          <wp:inline distT="0" distB="0" distL="0" distR="0" wp14:anchorId="47293AA2" wp14:editId="34A26766">
            <wp:extent cx="5939790" cy="540385"/>
            <wp:effectExtent l="0" t="0" r="3810" b="0"/>
            <wp:docPr id="1166" name="Picture 1166" descr="Example of the Appearance of a Read-Only VB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1166" descr="Example of the Appearance of a Read-Only VBEC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540385"/>
                    </a:xfrm>
                    <a:prstGeom prst="rect">
                      <a:avLst/>
                    </a:prstGeom>
                    <a:noFill/>
                    <a:ln>
                      <a:noFill/>
                    </a:ln>
                  </pic:spPr>
                </pic:pic>
              </a:graphicData>
            </a:graphic>
          </wp:inline>
        </w:drawing>
      </w:r>
    </w:p>
    <w:p w14:paraId="106BDCB3" w14:textId="481D0FBC" w:rsidR="002A21AE" w:rsidRDefault="002A21AE">
      <w:pPr>
        <w:pStyle w:val="Heading2"/>
      </w:pPr>
      <w:bookmarkStart w:id="140" w:name="_Toc163644879"/>
      <w:r>
        <w:t>Other VBECS Functions</w:t>
      </w:r>
      <w:bookmarkEnd w:id="140"/>
      <w:r>
        <w:fldChar w:fldCharType="begin"/>
      </w:r>
      <w:r>
        <w:instrText xml:space="preserve"> XE </w:instrText>
      </w:r>
      <w:r w:rsidR="00FA7E65">
        <w:instrText>“</w:instrText>
      </w:r>
      <w:r>
        <w:instrText>Other VBECS Functions</w:instrText>
      </w:r>
      <w:r w:rsidR="00FA7E65">
        <w:instrText>”</w:instrText>
      </w:r>
      <w:r>
        <w:instrText xml:space="preserve"> </w:instrText>
      </w:r>
      <w:r>
        <w:fldChar w:fldCharType="end"/>
      </w:r>
    </w:p>
    <w:p w14:paraId="14FE6B03" w14:textId="306693EC" w:rsidR="002A21AE" w:rsidRDefault="002A21AE">
      <w:pPr>
        <w:pStyle w:val="Heading3"/>
      </w:pPr>
      <w:bookmarkStart w:id="141" w:name="_Toc163644880"/>
      <w:r>
        <w:t>Collecting Workload</w:t>
      </w:r>
      <w:bookmarkEnd w:id="141"/>
      <w:r>
        <w:fldChar w:fldCharType="begin"/>
      </w:r>
      <w:r>
        <w:instrText xml:space="preserve"> XE </w:instrText>
      </w:r>
      <w:r w:rsidR="00FA7E65">
        <w:instrText>“</w:instrText>
      </w:r>
      <w:r>
        <w:instrText>Collecting Workload</w:instrText>
      </w:r>
      <w:r w:rsidR="00FA7E65">
        <w:instrText>”</w:instrText>
      </w:r>
      <w:r>
        <w:instrText xml:space="preserve"> </w:instrText>
      </w:r>
      <w:r>
        <w:fldChar w:fldCharType="end"/>
      </w:r>
      <w:r w:rsidR="006C187F">
        <w:t xml:space="preserve"> </w:t>
      </w:r>
      <w:r w:rsidR="006C187F">
        <w:rPr>
          <w:rFonts w:ascii="Arial Bold" w:hAnsi="Arial Bold"/>
          <w:vanish/>
        </w:rPr>
        <w:t>UC_15</w:t>
      </w:r>
    </w:p>
    <w:p w14:paraId="7F5C1D77" w14:textId="77777777" w:rsidR="002A21AE" w:rsidRDefault="002A21AE" w:rsidP="00FA7E65">
      <w:pPr>
        <w:pStyle w:val="BodyText"/>
      </w:pPr>
      <w:r>
        <w:t xml:space="preserve">In some options, VBECS collects workload (statistical data used to calculate productivity) when the user saves data: </w:t>
      </w:r>
    </w:p>
    <w:p w14:paraId="0BE35419" w14:textId="77777777" w:rsidR="002A21AE" w:rsidRDefault="002A21AE" w:rsidP="007716F7">
      <w:pPr>
        <w:pStyle w:val="ListBullet"/>
      </w:pPr>
      <w:r>
        <w:t>ABO/</w:t>
      </w:r>
      <w:r w:rsidRPr="007716F7">
        <w:t>Rh Confirmation</w:t>
      </w:r>
    </w:p>
    <w:p w14:paraId="2B1DEBEB" w14:textId="77777777" w:rsidR="00645BE3" w:rsidRPr="007716F7" w:rsidRDefault="00645BE3" w:rsidP="007716F7">
      <w:pPr>
        <w:pStyle w:val="ListBullet"/>
      </w:pPr>
      <w:r>
        <w:t>Automated Testing</w:t>
      </w:r>
    </w:p>
    <w:p w14:paraId="35F06FFC" w14:textId="77777777" w:rsidR="002A21AE" w:rsidRDefault="002A21AE" w:rsidP="007716F7">
      <w:pPr>
        <w:pStyle w:val="ListBullet"/>
      </w:pPr>
      <w:r w:rsidRPr="007716F7">
        <w:t xml:space="preserve">Discard </w:t>
      </w:r>
      <w:r>
        <w:t>or Quarantine</w:t>
      </w:r>
    </w:p>
    <w:p w14:paraId="6404F9AD" w14:textId="77777777" w:rsidR="002A21AE" w:rsidRDefault="002A21AE">
      <w:pPr>
        <w:pStyle w:val="ListBullet"/>
      </w:pPr>
      <w:r>
        <w:t>Document ABO Incompatible Transfusion</w:t>
      </w:r>
    </w:p>
    <w:p w14:paraId="2DEB479A" w14:textId="77777777" w:rsidR="002A21AE" w:rsidRDefault="002A21AE">
      <w:pPr>
        <w:pStyle w:val="ListBullet"/>
      </w:pPr>
      <w:r>
        <w:t>Edit Unit Information</w:t>
      </w:r>
    </w:p>
    <w:p w14:paraId="3626AC0C" w14:textId="77777777" w:rsidR="002A21AE" w:rsidRDefault="002A21AE">
      <w:pPr>
        <w:pStyle w:val="ListBullet"/>
      </w:pPr>
      <w:r>
        <w:t>Enter Daily QC Results</w:t>
      </w:r>
    </w:p>
    <w:p w14:paraId="04A31EAE" w14:textId="77777777" w:rsidR="002A21AE" w:rsidRDefault="002A21AE">
      <w:pPr>
        <w:pStyle w:val="ListBullet"/>
      </w:pPr>
      <w:r>
        <w:t>Finalize/Print TRW</w:t>
      </w:r>
    </w:p>
    <w:p w14:paraId="00DCB648" w14:textId="77777777" w:rsidR="002A21AE" w:rsidRDefault="002A21AE">
      <w:pPr>
        <w:pStyle w:val="ListBullet"/>
      </w:pPr>
      <w:r>
        <w:rPr>
          <w:snapToGrid w:val="0"/>
        </w:rPr>
        <w:t>Free Directed Unit For Crossover</w:t>
      </w:r>
    </w:p>
    <w:p w14:paraId="2E499D0F" w14:textId="77777777" w:rsidR="002A21AE" w:rsidRDefault="002A21AE">
      <w:pPr>
        <w:pStyle w:val="ListBullet"/>
        <w:rPr>
          <w:bCs/>
        </w:rPr>
      </w:pPr>
      <w:r>
        <w:t>Invalidate Test Results</w:t>
      </w:r>
    </w:p>
    <w:p w14:paraId="591B0511" w14:textId="77777777" w:rsidR="002A21AE" w:rsidRDefault="002A21AE">
      <w:pPr>
        <w:pStyle w:val="ListBullet"/>
      </w:pPr>
      <w:r>
        <w:rPr>
          <w:snapToGrid w:val="0"/>
        </w:rPr>
        <w:t>Issue Blood Components</w:t>
      </w:r>
    </w:p>
    <w:p w14:paraId="7C9E407D" w14:textId="77777777" w:rsidR="002A21AE" w:rsidRDefault="002A21AE">
      <w:pPr>
        <w:pStyle w:val="ListBullet"/>
      </w:pPr>
      <w:r>
        <w:t>Modify Units</w:t>
      </w:r>
    </w:p>
    <w:p w14:paraId="5E1D05BA" w14:textId="77777777" w:rsidR="002A21AE" w:rsidRDefault="002A21AE">
      <w:pPr>
        <w:pStyle w:val="ListBullet"/>
      </w:pPr>
      <w:r>
        <w:t>Modify Units: Pool Units</w:t>
      </w:r>
    </w:p>
    <w:p w14:paraId="1A719667" w14:textId="77777777" w:rsidR="002A21AE" w:rsidRDefault="002A21AE">
      <w:pPr>
        <w:pStyle w:val="ListBullet"/>
      </w:pPr>
      <w:r>
        <w:t>Modify Units: Split a Unit</w:t>
      </w:r>
    </w:p>
    <w:p w14:paraId="12A39B21" w14:textId="77777777" w:rsidR="002A21AE" w:rsidRDefault="002A21AE">
      <w:pPr>
        <w:pStyle w:val="ListBullet"/>
      </w:pPr>
      <w:r>
        <w:t>Outgoing Shipment</w:t>
      </w:r>
    </w:p>
    <w:p w14:paraId="2982ECD3" w14:textId="77777777" w:rsidR="002A21AE" w:rsidRDefault="002A21AE">
      <w:pPr>
        <w:pStyle w:val="ListBullet"/>
      </w:pPr>
      <w:r>
        <w:t xml:space="preserve">Patient Testing: </w:t>
      </w:r>
      <w:r w:rsidR="00244FCD">
        <w:t>Enter Antibody Identification Results</w:t>
      </w:r>
    </w:p>
    <w:p w14:paraId="1EC41819" w14:textId="77777777" w:rsidR="002A21AE" w:rsidRDefault="002A21AE">
      <w:pPr>
        <w:pStyle w:val="ListBullet"/>
      </w:pPr>
      <w:r>
        <w:rPr>
          <w:snapToGrid w:val="0"/>
        </w:rPr>
        <w:t>Patient Testing: Record a Patient Antigen Typing</w:t>
      </w:r>
    </w:p>
    <w:p w14:paraId="63DD2875" w14:textId="77777777" w:rsidR="002A21AE" w:rsidRDefault="002A21AE">
      <w:pPr>
        <w:pStyle w:val="ListBullet"/>
      </w:pPr>
      <w:r>
        <w:t xml:space="preserve">Patient Testing: Record a Transfusion Reaction Workup </w:t>
      </w:r>
    </w:p>
    <w:p w14:paraId="3666053E" w14:textId="77777777" w:rsidR="002A21AE" w:rsidRDefault="002A21AE">
      <w:pPr>
        <w:pStyle w:val="ListBullet"/>
      </w:pPr>
      <w:r>
        <w:t>Patient Testing: Record Patient Test Results</w:t>
      </w:r>
    </w:p>
    <w:p w14:paraId="02E3F537" w14:textId="77777777" w:rsidR="002A21AE" w:rsidRDefault="002A21AE">
      <w:pPr>
        <w:pStyle w:val="ListBullet"/>
      </w:pPr>
      <w:r>
        <w:t xml:space="preserve">Post-Transfusion Information </w:t>
      </w:r>
    </w:p>
    <w:p w14:paraId="7E4302B6" w14:textId="77777777" w:rsidR="002A21AE" w:rsidRDefault="002A21AE">
      <w:pPr>
        <w:pStyle w:val="ListBullet"/>
      </w:pPr>
      <w:r>
        <w:t>Processing Incoming Shipment</w:t>
      </w:r>
    </w:p>
    <w:p w14:paraId="6BCC081D" w14:textId="77777777" w:rsidR="002A21AE" w:rsidRDefault="002A21AE">
      <w:pPr>
        <w:pStyle w:val="ListBullet"/>
      </w:pPr>
      <w:r>
        <w:t>Release Units From Patient Assignment</w:t>
      </w:r>
    </w:p>
    <w:p w14:paraId="0D602504" w14:textId="77777777" w:rsidR="002A21AE" w:rsidRDefault="002A21AE">
      <w:pPr>
        <w:pStyle w:val="ListBullet"/>
      </w:pPr>
      <w:r>
        <w:rPr>
          <w:snapToGrid w:val="0"/>
        </w:rPr>
        <w:t>Remove Final Status</w:t>
      </w:r>
    </w:p>
    <w:p w14:paraId="3C78D442" w14:textId="77777777" w:rsidR="002A21AE" w:rsidRDefault="002A21AE">
      <w:pPr>
        <w:pStyle w:val="ListBullet"/>
      </w:pPr>
      <w:r>
        <w:t>Return Issued Units To Blood Bank</w:t>
      </w:r>
    </w:p>
    <w:p w14:paraId="0273BE99" w14:textId="77777777" w:rsidR="002A21AE" w:rsidRDefault="002A21AE">
      <w:pPr>
        <w:pStyle w:val="ListBullet"/>
      </w:pPr>
      <w:r>
        <w:t>Select Units</w:t>
      </w:r>
    </w:p>
    <w:p w14:paraId="2D63A629" w14:textId="77777777" w:rsidR="002A21AE" w:rsidRDefault="002A21AE" w:rsidP="0065457E">
      <w:pPr>
        <w:pStyle w:val="ListBullet"/>
      </w:pPr>
      <w:r>
        <w:t>Unit Antigen Typing</w:t>
      </w:r>
    </w:p>
    <w:p w14:paraId="4EAF48A9" w14:textId="77777777" w:rsidR="00F4409D" w:rsidRDefault="00F4409D">
      <w:pPr>
        <w:rPr>
          <w:rStyle w:val="BodyTextChar"/>
        </w:rPr>
      </w:pPr>
    </w:p>
    <w:p w14:paraId="4F4CEAF7" w14:textId="5870689F" w:rsidR="002A21AE" w:rsidRDefault="002A21AE" w:rsidP="001E5CC3">
      <w:pPr>
        <w:pStyle w:val="BodyText"/>
      </w:pPr>
      <w:bookmarkStart w:id="142" w:name="_Toc163644881"/>
      <w:r w:rsidRPr="005944FC">
        <w:rPr>
          <w:rStyle w:val="Heading1Char"/>
        </w:rPr>
        <w:lastRenderedPageBreak/>
        <w:t>Configuring Site Parameters</w:t>
      </w:r>
      <w:bookmarkEnd w:id="142"/>
      <w:r>
        <w:fldChar w:fldCharType="begin"/>
      </w:r>
      <w:r>
        <w:instrText xml:space="preserve"> XE </w:instrText>
      </w:r>
      <w:r w:rsidR="00FA7E65">
        <w:instrText>“</w:instrText>
      </w:r>
      <w:r>
        <w:instrText>Configuring Site Parameters</w:instrText>
      </w:r>
      <w:r w:rsidR="00FA7E65">
        <w:instrText>”</w:instrText>
      </w:r>
      <w:r>
        <w:instrText xml:space="preserve"> </w:instrText>
      </w:r>
      <w:r>
        <w:fldChar w:fldCharType="end"/>
      </w:r>
    </w:p>
    <w:p w14:paraId="54DEECC2" w14:textId="77777777" w:rsidR="002A21AE" w:rsidRPr="002A6D29" w:rsidRDefault="002A21AE" w:rsidP="002A6D29">
      <w:pPr>
        <w:rPr>
          <w:sz w:val="22"/>
          <w:szCs w:val="22"/>
        </w:rPr>
      </w:pPr>
      <w:r w:rsidRPr="002A6D29">
        <w:rPr>
          <w:sz w:val="22"/>
          <w:szCs w:val="22"/>
        </w:rPr>
        <w:t>Configuration must be done as part of the VBECS installation.</w:t>
      </w:r>
    </w:p>
    <w:p w14:paraId="072D9EF4" w14:textId="77777777" w:rsidR="00B51CFF" w:rsidRDefault="00B51CFF" w:rsidP="00B51CFF">
      <w:pPr>
        <w:pStyle w:val="Heading2"/>
      </w:pPr>
      <w:bookmarkStart w:id="143" w:name="_Toc163644882"/>
      <w:r>
        <w:t>Update User Roles</w:t>
      </w:r>
      <w:bookmarkEnd w:id="143"/>
      <w:r w:rsidRPr="00AB67A6">
        <w:rPr>
          <w:rFonts w:ascii="Arial Bold" w:hAnsi="Arial Bold"/>
          <w:vanish/>
        </w:rPr>
        <w:fldChar w:fldCharType="begin"/>
      </w:r>
      <w:r w:rsidRPr="00AB67A6">
        <w:rPr>
          <w:rFonts w:ascii="Arial Bold" w:hAnsi="Arial Bold"/>
          <w:vanish/>
        </w:rPr>
        <w:instrText xml:space="preserve"> XE “Update User Roles” </w:instrText>
      </w:r>
      <w:r w:rsidRPr="00AB67A6">
        <w:rPr>
          <w:rFonts w:ascii="Arial Bold" w:hAnsi="Arial Bold"/>
          <w:vanish/>
        </w:rPr>
        <w:fldChar w:fldCharType="end"/>
      </w:r>
      <w:r w:rsidRPr="00AB67A6">
        <w:rPr>
          <w:rFonts w:ascii="Arial Bold" w:hAnsi="Arial Bold"/>
          <w:vanish/>
        </w:rPr>
        <w:t xml:space="preserve"> UC_19</w:t>
      </w:r>
    </w:p>
    <w:p w14:paraId="7C37AD43" w14:textId="77777777" w:rsidR="00B51CFF" w:rsidRDefault="00B51CFF" w:rsidP="00B51CFF">
      <w:pPr>
        <w:pStyle w:val="BodyText"/>
      </w:pPr>
      <w:r>
        <w:t>The user reviews and changes the user roles and associated security levels that determine which options and functions are available to a user in the division.</w:t>
      </w:r>
    </w:p>
    <w:p w14:paraId="7EFECD23" w14:textId="77777777" w:rsidR="00B51CFF" w:rsidRDefault="00B51CFF" w:rsidP="00B51CFF">
      <w:pPr>
        <w:pStyle w:val="Heading4"/>
      </w:pPr>
      <w:r>
        <w:t>Assumptions</w:t>
      </w:r>
    </w:p>
    <w:p w14:paraId="1010A3D7" w14:textId="77777777" w:rsidR="00B51CFF" w:rsidRDefault="00B51CFF" w:rsidP="00B51CFF">
      <w:pPr>
        <w:pStyle w:val="ListBullet"/>
      </w:pPr>
      <w:r>
        <w:t>The user is logged into VBECS in the division of the users to be edited.</w:t>
      </w:r>
    </w:p>
    <w:p w14:paraId="696A26C6" w14:textId="77777777" w:rsidR="00B51CFF" w:rsidRDefault="00B51CFF" w:rsidP="00B51CFF">
      <w:pPr>
        <w:pStyle w:val="ListBullet"/>
      </w:pPr>
      <w:r>
        <w:t xml:space="preserve">A </w:t>
      </w:r>
      <w:r w:rsidR="0093195D">
        <w:t>VBECS Application</w:t>
      </w:r>
      <w:r>
        <w:t xml:space="preserve"> Administrator </w:t>
      </w:r>
      <w:r w:rsidR="006E4408">
        <w:t>defined</w:t>
      </w:r>
      <w:r>
        <w:t xml:space="preserve"> the users to the VBECS database and assigned </w:t>
      </w:r>
      <w:r w:rsidR="00E95395">
        <w:t>a</w:t>
      </w:r>
      <w:r>
        <w:t xml:space="preserve"> division-specific role to each user. </w:t>
      </w:r>
    </w:p>
    <w:p w14:paraId="285E788F" w14:textId="77777777" w:rsidR="00B51CFF" w:rsidRDefault="00B51CFF" w:rsidP="00B51CFF">
      <w:pPr>
        <w:pStyle w:val="Heading4"/>
      </w:pPr>
      <w:r>
        <w:t>Outcome</w:t>
      </w:r>
    </w:p>
    <w:p w14:paraId="4B43DEBD" w14:textId="77777777" w:rsidR="00B51CFF" w:rsidRDefault="00B51CFF" w:rsidP="00B51CFF">
      <w:pPr>
        <w:pStyle w:val="ListBullet"/>
      </w:pPr>
      <w:r>
        <w:t xml:space="preserve">A user’s role code changed. </w:t>
      </w:r>
    </w:p>
    <w:p w14:paraId="05C4DBDE" w14:textId="77777777" w:rsidR="00B51CFF" w:rsidRDefault="00B51CFF" w:rsidP="00B51CFF">
      <w:pPr>
        <w:pStyle w:val="Heading4"/>
      </w:pPr>
      <w:r>
        <w:t>Limitations and Restrictions</w:t>
      </w:r>
    </w:p>
    <w:p w14:paraId="6C339A01" w14:textId="77777777" w:rsidR="00B51CFF" w:rsidRDefault="00B51CFF" w:rsidP="00B51CFF">
      <w:pPr>
        <w:pStyle w:val="ListBullet"/>
      </w:pPr>
      <w:r>
        <w:rPr>
          <w:vanish/>
          <w:spacing w:val="0"/>
        </w:rPr>
        <w:t>BR_19.01</w:t>
      </w:r>
      <w:r w:rsidR="009660C3">
        <w:rPr>
          <w:vanish/>
          <w:spacing w:val="0"/>
        </w:rPr>
        <w:t>,</w:t>
      </w:r>
      <w:r>
        <w:rPr>
          <w:vanish/>
          <w:spacing w:val="0"/>
        </w:rPr>
        <w:t xml:space="preserve"> BR_19.03 </w:t>
      </w:r>
      <w:r>
        <w:t>One role at a time may be assigned to a user at a division. The role may be reset.</w:t>
      </w:r>
    </w:p>
    <w:p w14:paraId="12A807B6" w14:textId="77777777" w:rsidR="00B51CFF" w:rsidRDefault="002A7EE9" w:rsidP="00B51CFF">
      <w:pPr>
        <w:pStyle w:val="ListBullet"/>
      </w:pPr>
      <w:r>
        <w:rPr>
          <w:spacing w:val="0"/>
        </w:rPr>
        <w:t xml:space="preserve">VBECS does not allow users </w:t>
      </w:r>
      <w:r w:rsidR="00B51CFF">
        <w:rPr>
          <w:vanish/>
          <w:spacing w:val="0"/>
        </w:rPr>
        <w:t xml:space="preserve">BR_19.06 </w:t>
      </w:r>
      <w:r w:rsidR="004D224B">
        <w:t>t</w:t>
      </w:r>
      <w:r>
        <w:t>o</w:t>
      </w:r>
      <w:r w:rsidR="00B51CFF">
        <w:t xml:space="preserve"> </w:t>
      </w:r>
      <w:r w:rsidR="004D224B">
        <w:t>edit or delete</w:t>
      </w:r>
      <w:r w:rsidR="00B51CFF">
        <w:t xml:space="preserve"> the </w:t>
      </w:r>
      <w:r w:rsidR="004D5297">
        <w:t>sole</w:t>
      </w:r>
      <w:r w:rsidR="00B51CFF">
        <w:t xml:space="preserve"> Administrator/Supervisor.</w:t>
      </w:r>
    </w:p>
    <w:p w14:paraId="533C8198" w14:textId="77777777" w:rsidR="00B51CFF" w:rsidRDefault="00B51CFF" w:rsidP="00B51CFF">
      <w:pPr>
        <w:pStyle w:val="Heading4"/>
      </w:pPr>
      <w:r>
        <w:t>Additional Information</w:t>
      </w:r>
    </w:p>
    <w:p w14:paraId="53449210" w14:textId="77777777" w:rsidR="003234B3" w:rsidRDefault="003234B3" w:rsidP="003234B3">
      <w:pPr>
        <w:pStyle w:val="ListBullet"/>
      </w:pPr>
      <w:r>
        <w:t xml:space="preserve">An </w:t>
      </w:r>
      <w:r w:rsidR="006E4408">
        <w:t>undefined</w:t>
      </w:r>
      <w:r>
        <w:t xml:space="preserve"> user remains in the VBECS database.</w:t>
      </w:r>
    </w:p>
    <w:p w14:paraId="08A45498" w14:textId="77777777" w:rsidR="003234B3" w:rsidRDefault="003234B3" w:rsidP="003234B3">
      <w:pPr>
        <w:pStyle w:val="ListBullet"/>
      </w:pPr>
      <w:r>
        <w:rPr>
          <w:vanish/>
          <w:spacing w:val="0"/>
        </w:rPr>
        <w:t xml:space="preserve">BR_19.16, BR_19.11 </w:t>
      </w:r>
      <w:r w:rsidR="006F3D70">
        <w:t>There must be at least one Administrator/Supervisor in the division to maintain users.</w:t>
      </w:r>
    </w:p>
    <w:p w14:paraId="234E0A76" w14:textId="77777777" w:rsidR="00B51CFF" w:rsidRDefault="00B51CFF" w:rsidP="00B51CFF">
      <w:pPr>
        <w:pStyle w:val="ListBullet"/>
      </w:pPr>
      <w:r>
        <w:t xml:space="preserve">A VBECS user ID is the user’s </w:t>
      </w:r>
      <w:r w:rsidR="006E4408">
        <w:t>Windows</w:t>
      </w:r>
      <w:r>
        <w:t xml:space="preserve"> Logon ID. </w:t>
      </w:r>
    </w:p>
    <w:p w14:paraId="03F41009" w14:textId="77777777" w:rsidR="00B51CFF" w:rsidRDefault="00B51CFF" w:rsidP="00B51CFF">
      <w:pPr>
        <w:pStyle w:val="ListBullet"/>
      </w:pPr>
      <w:r>
        <w:t>One or more users may be selected for batch update.</w:t>
      </w:r>
    </w:p>
    <w:p w14:paraId="4517E177" w14:textId="43F0293F" w:rsidR="00B51CFF" w:rsidRDefault="00B51CFF" w:rsidP="00B51CFF">
      <w:pPr>
        <w:pStyle w:val="ListBullet"/>
      </w:pPr>
      <w:r>
        <w:t xml:space="preserve">A </w:t>
      </w:r>
      <w:r w:rsidR="0093195D">
        <w:t>VBECS Application</w:t>
      </w:r>
      <w:r>
        <w:t xml:space="preserve"> Administrator </w:t>
      </w:r>
      <w:r w:rsidR="006E4408">
        <w:t>defines</w:t>
      </w:r>
      <w:r>
        <w:t xml:space="preserve"> and </w:t>
      </w:r>
      <w:r w:rsidR="006E4408">
        <w:t>undefines</w:t>
      </w:r>
      <w:r>
        <w:t xml:space="preserve"> VBECS users.</w:t>
      </w:r>
      <w:r w:rsidR="00BA2EAA">
        <w:t xml:space="preserve"> See </w:t>
      </w:r>
      <w:r w:rsidR="00BA2EAA">
        <w:rPr>
          <w:i/>
          <w:iCs/>
        </w:rPr>
        <w:t>VBECS 2.</w:t>
      </w:r>
      <w:r w:rsidR="00397587">
        <w:rPr>
          <w:i/>
          <w:iCs/>
        </w:rPr>
        <w:t>4.0</w:t>
      </w:r>
      <w:r w:rsidR="00BA2EAA">
        <w:rPr>
          <w:i/>
          <w:iCs/>
        </w:rPr>
        <w:t xml:space="preserve"> Admin User Guide</w:t>
      </w:r>
      <w:r w:rsidR="00BA2EAA">
        <w:t>.</w:t>
      </w:r>
    </w:p>
    <w:p w14:paraId="403174E9" w14:textId="5DEAF080" w:rsidR="00B51CFF" w:rsidRDefault="00B51CFF" w:rsidP="00B51CFF">
      <w:pPr>
        <w:pStyle w:val="ListBullet"/>
      </w:pPr>
      <w:r>
        <w:t>A user may be defined at multiple divisions within a multidivisional database. The settings for a user may differ from division to division and are</w:t>
      </w:r>
      <w:r w:rsidR="00FB7B47">
        <w:t xml:space="preserve"> independent</w:t>
      </w:r>
      <w:r>
        <w:t xml:space="preserve">. </w:t>
      </w:r>
    </w:p>
    <w:p w14:paraId="348C0CF0" w14:textId="77777777" w:rsidR="00B51CFF" w:rsidRDefault="00B51CFF" w:rsidP="00B51CFF">
      <w:pPr>
        <w:pStyle w:val="Heading4"/>
      </w:pPr>
      <w:r>
        <w:t>User Roles with Access to This Option</w:t>
      </w:r>
    </w:p>
    <w:p w14:paraId="7BD910A0"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15FC83B"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w:t>
      </w:r>
    </w:p>
    <w:p w14:paraId="62914DE2" w14:textId="77777777" w:rsidR="00B51CFF" w:rsidRDefault="00B51CFF" w:rsidP="00B51CFF">
      <w:pPr>
        <w:pStyle w:val="Heading4"/>
      </w:pPr>
      <w:r>
        <w:t>Update User Roles</w:t>
      </w:r>
    </w:p>
    <w:p w14:paraId="7B65B7C1" w14:textId="77777777" w:rsidR="00B51CFF" w:rsidRDefault="00154095" w:rsidP="00B51CFF">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51CFF">
        <w:t xml:space="preserve">An Administrator/Supervisor maintains assigned user roles, including associated levels of system access and the ability to process system overrides. These roles determine the available </w:t>
      </w:r>
      <w:r w:rsidR="00932460">
        <w:t xml:space="preserve">options </w:t>
      </w:r>
      <w:r w:rsidR="00B51CFF">
        <w:t xml:space="preserve">and the ability to override certain warnings. </w:t>
      </w:r>
    </w:p>
    <w:p w14:paraId="08477375" w14:textId="77777777" w:rsidR="00F317E7" w:rsidRDefault="003B4BF0" w:rsidP="00E87A80">
      <w:pPr>
        <w:pStyle w:val="Caution"/>
      </w:pPr>
      <w:bookmarkStart w:id="144" w:name="OLE_LINK13"/>
      <w:bookmarkStart w:id="145" w:name="OLE_LINK14"/>
      <w:r>
        <w:t xml:space="preserve">It is recommended that </w:t>
      </w:r>
      <w:r w:rsidR="00A868BE">
        <w:t>more than</w:t>
      </w:r>
      <w:r>
        <w:t xml:space="preserve"> one staff member be assigned the role of Administrator/Supervisor: when more than one Administrator/Supervisor updates roles simultaneously, changes made by one user are not visible to the other.</w:t>
      </w:r>
    </w:p>
    <w:bookmarkEnd w:id="144"/>
    <w:bookmarkEnd w:id="145"/>
    <w:p w14:paraId="38250B39" w14:textId="77777777" w:rsidR="00B51CFF" w:rsidRDefault="00B51CFF" w:rsidP="007E3EE1">
      <w:pPr>
        <w:pStyle w:val="BodyText"/>
        <w:keepNext/>
      </w:pPr>
      <w:r>
        <w:lastRenderedPageBreak/>
        <w:t xml:space="preserve">One of six user roles may be assigned to users, by division: </w:t>
      </w:r>
    </w:p>
    <w:p w14:paraId="002C5AA2" w14:textId="77777777" w:rsidR="00B51CFF" w:rsidRDefault="00B51CFF" w:rsidP="007E3EE1">
      <w:pPr>
        <w:pStyle w:val="ListBullet"/>
        <w:keepNext/>
      </w:pPr>
      <w:r>
        <w:t>Level 1: Technologist</w:t>
      </w:r>
      <w:r w:rsidR="00491BEC">
        <w:t xml:space="preserve"> </w:t>
      </w:r>
      <w:r w:rsidR="00491BEC" w:rsidRPr="00EC7489">
        <w:rPr>
          <w:rFonts w:ascii="Wingdings 3" w:hAnsi="Wingdings 3" w:cs="Wingdings"/>
        </w:rPr>
        <w:t></w:t>
      </w:r>
    </w:p>
    <w:p w14:paraId="409DB2EC" w14:textId="77777777" w:rsidR="00B51CFF" w:rsidRDefault="00B51CFF" w:rsidP="00B51CFF">
      <w:pPr>
        <w:pStyle w:val="ListBullet"/>
      </w:pPr>
      <w:r>
        <w:t>Level 2: Enhanced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p>
    <w:p w14:paraId="7CE5D8CE" w14:textId="77777777" w:rsidR="00B51CFF" w:rsidRDefault="00B51CFF" w:rsidP="00B51CFF">
      <w:pPr>
        <w:pStyle w:val="ListBullet"/>
      </w:pPr>
      <w:r>
        <w:t>Level 3: Lead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18BB5398" w14:textId="77777777" w:rsidR="00B51CFF" w:rsidRDefault="00B51CFF" w:rsidP="00B51CFF">
      <w:pPr>
        <w:pStyle w:val="ListBullet"/>
      </w:pPr>
      <w:r>
        <w:t>Level 4: Traditional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582B254" w14:textId="77777777" w:rsidR="00B51CFF" w:rsidRDefault="00B51CFF" w:rsidP="00B51CFF">
      <w:pPr>
        <w:pStyle w:val="ListBullet"/>
      </w:pPr>
      <w:r>
        <w:t>Level 5: Enhanced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2001EA0" w14:textId="472C8522" w:rsidR="00B51CFF" w:rsidRDefault="00B51CFF" w:rsidP="00B51CFF">
      <w:pPr>
        <w:pStyle w:val="ListBullet"/>
      </w:pPr>
      <w:r>
        <w:t xml:space="preserve">Level 6: Administrator/Supervisor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39A3BF5C" w14:textId="02292B47" w:rsidR="00B51CFF" w:rsidRDefault="00B51CFF" w:rsidP="00B51CFF">
      <w:pPr>
        <w:pStyle w:val="BodyText"/>
      </w:pPr>
      <w:r>
        <w:t>The functions associated with each user role are described in</w:t>
      </w:r>
      <w:r w:rsidR="00DA05C9">
        <w:t xml:space="preserve"> </w:t>
      </w:r>
      <w:r w:rsidR="00EE455E">
        <w:t xml:space="preserve">Table </w:t>
      </w:r>
      <w:r w:rsidR="00EE455E">
        <w:rPr>
          <w:noProof/>
        </w:rPr>
        <w:t>1</w:t>
      </w:r>
      <w:r w:rsidR="00EE455E">
        <w:t xml:space="preserve">: </w:t>
      </w:r>
      <w:r w:rsidR="00EE455E">
        <w:rPr>
          <w:vanish/>
        </w:rPr>
        <w:t xml:space="preserve">PT_19.01 </w:t>
      </w:r>
      <w:r w:rsidR="00EE455E">
        <w:t>User Roles and Functions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27B46406" w14:textId="77777777">
        <w:trPr>
          <w:cantSplit/>
          <w:tblHeader/>
        </w:trPr>
        <w:tc>
          <w:tcPr>
            <w:tcW w:w="3240" w:type="dxa"/>
            <w:shd w:val="pct30" w:color="auto" w:fill="FFFFFF"/>
            <w:vAlign w:val="bottom"/>
          </w:tcPr>
          <w:p w14:paraId="59F10117" w14:textId="77777777" w:rsidR="00B51CFF" w:rsidRDefault="00B51CFF" w:rsidP="00DB1D38">
            <w:pPr>
              <w:pStyle w:val="TableText"/>
              <w:rPr>
                <w:b/>
              </w:rPr>
            </w:pPr>
            <w:r>
              <w:rPr>
                <w:b/>
              </w:rPr>
              <w:t>User Action</w:t>
            </w:r>
          </w:p>
        </w:tc>
        <w:tc>
          <w:tcPr>
            <w:tcW w:w="6120" w:type="dxa"/>
            <w:shd w:val="pct30" w:color="auto" w:fill="FFFFFF"/>
            <w:vAlign w:val="bottom"/>
          </w:tcPr>
          <w:p w14:paraId="0DC3B2F0" w14:textId="77777777" w:rsidR="00B51CFF" w:rsidRDefault="00B51CFF" w:rsidP="00DB1D38">
            <w:pPr>
              <w:pStyle w:val="TableText"/>
              <w:rPr>
                <w:b/>
              </w:rPr>
            </w:pPr>
            <w:r>
              <w:rPr>
                <w:b/>
              </w:rPr>
              <w:t>VBECS</w:t>
            </w:r>
          </w:p>
        </w:tc>
      </w:tr>
      <w:tr w:rsidR="00B51CFF" w14:paraId="0A8082C7" w14:textId="77777777">
        <w:trPr>
          <w:cantSplit/>
        </w:trPr>
        <w:tc>
          <w:tcPr>
            <w:tcW w:w="3240" w:type="dxa"/>
            <w:tcBorders>
              <w:top w:val="single" w:sz="4" w:space="0" w:color="auto"/>
              <w:left w:val="single" w:sz="4" w:space="0" w:color="auto"/>
              <w:bottom w:val="single" w:sz="4" w:space="0" w:color="auto"/>
              <w:right w:val="single" w:sz="4" w:space="0" w:color="auto"/>
            </w:tcBorders>
          </w:tcPr>
          <w:p w14:paraId="4E6E14EB" w14:textId="77777777" w:rsidR="00B51CFF" w:rsidRDefault="00B51CFF" w:rsidP="00DB1D38">
            <w:pPr>
              <w:pStyle w:val="TableTextNumbers"/>
            </w:pPr>
            <w:r>
              <w:t xml:space="preserve">Select </w:t>
            </w:r>
            <w:r>
              <w:rPr>
                <w:b/>
              </w:rPr>
              <w:t>Tools</w:t>
            </w:r>
            <w:r>
              <w:t xml:space="preserve"> from the main menu.</w:t>
            </w:r>
          </w:p>
          <w:p w14:paraId="702553EF" w14:textId="77777777" w:rsidR="00B51CFF" w:rsidRDefault="00B51CFF" w:rsidP="00DB1D38">
            <w:pPr>
              <w:pStyle w:val="TableTextNumbersContinued"/>
            </w:pPr>
          </w:p>
          <w:p w14:paraId="6311EC7C" w14:textId="3744B143" w:rsidR="00B51CFF" w:rsidRDefault="00B51CFF" w:rsidP="008D26FD">
            <w:pPr>
              <w:pStyle w:val="TableTextNumbersContinued"/>
            </w:pPr>
            <w:r>
              <w:t xml:space="preserve">Select </w:t>
            </w:r>
            <w:r>
              <w:rPr>
                <w:b/>
              </w:rPr>
              <w:t>Update User Roles</w:t>
            </w:r>
            <w:r w:rsidR="007A18CD" w:rsidRPr="007A18CD">
              <w:t xml:space="preserve"> (</w:t>
            </w:r>
            <w:r w:rsidR="00EE455E">
              <w:t xml:space="preserve">Figure </w:t>
            </w:r>
            <w:r w:rsidR="00EE455E">
              <w:rPr>
                <w:noProof/>
              </w:rPr>
              <w:t>21</w:t>
            </w:r>
            <w:r w:rsidR="007A18CD" w:rsidRPr="007A18CD">
              <w:t>).</w:t>
            </w:r>
          </w:p>
        </w:tc>
        <w:tc>
          <w:tcPr>
            <w:tcW w:w="6120" w:type="dxa"/>
            <w:tcBorders>
              <w:top w:val="single" w:sz="4" w:space="0" w:color="auto"/>
              <w:left w:val="single" w:sz="4" w:space="0" w:color="auto"/>
              <w:bottom w:val="single" w:sz="4" w:space="0" w:color="auto"/>
              <w:right w:val="single" w:sz="4" w:space="0" w:color="auto"/>
            </w:tcBorders>
          </w:tcPr>
          <w:p w14:paraId="41AA4A35" w14:textId="77777777" w:rsidR="00B51CFF" w:rsidRDefault="00B51CFF" w:rsidP="00DB1D38">
            <w:pPr>
              <w:pStyle w:val="TableTextBullet"/>
            </w:pPr>
            <w:r>
              <w:t>Displays options for processing administrative functions.</w:t>
            </w:r>
          </w:p>
          <w:p w14:paraId="3CEDA214" w14:textId="77777777" w:rsidR="00B51CFF" w:rsidRDefault="00B51CFF" w:rsidP="00DB1D38">
            <w:pPr>
              <w:pStyle w:val="TableTextBullet"/>
            </w:pPr>
            <w:r>
              <w:t>Lists active users and associated information, including user name, ID, role, initials and email address.</w:t>
            </w:r>
          </w:p>
          <w:p w14:paraId="036FB668" w14:textId="77777777" w:rsidR="00B51CFF" w:rsidRDefault="00B51CFF" w:rsidP="00DB1D38">
            <w:pPr>
              <w:pStyle w:val="TableTextBullet"/>
            </w:pPr>
            <w:r>
              <w:t>Displays an option to print a VBECS User Report.</w:t>
            </w:r>
          </w:p>
          <w:p w14:paraId="6FB55ECA" w14:textId="77777777" w:rsidR="00B51CFF" w:rsidRDefault="00B51CFF" w:rsidP="00DB1D38">
            <w:pPr>
              <w:pStyle w:val="TableText"/>
            </w:pPr>
          </w:p>
          <w:p w14:paraId="1C024F44" w14:textId="2E57B204" w:rsidR="00B51CFF" w:rsidRDefault="00B51CFF" w:rsidP="00DB1D38">
            <w:pPr>
              <w:pStyle w:val="TableText"/>
              <w:rPr>
                <w:b/>
                <w:bCs/>
                <w:szCs w:val="18"/>
              </w:rPr>
            </w:pPr>
            <w:r>
              <w:rPr>
                <w:b/>
                <w:bCs/>
                <w:szCs w:val="18"/>
              </w:rPr>
              <w:t>NOTES</w:t>
            </w:r>
          </w:p>
          <w:p w14:paraId="1FA79C20" w14:textId="77777777" w:rsidR="00B51CFF" w:rsidRDefault="00B51CFF" w:rsidP="00DB1D38">
            <w:pPr>
              <w:pStyle w:val="NotesText"/>
            </w:pPr>
          </w:p>
          <w:p w14:paraId="7C1D48D8" w14:textId="77777777" w:rsidR="00B51CFF" w:rsidRDefault="00B51CFF" w:rsidP="00DB1D38">
            <w:pPr>
              <w:pStyle w:val="NotesText"/>
            </w:pPr>
            <w:r w:rsidRPr="00E274BF">
              <w:rPr>
                <w:rFonts w:cs="Arial"/>
                <w:vanish/>
                <w:szCs w:val="18"/>
              </w:rPr>
              <w:t>BR_19.17</w:t>
            </w:r>
            <w:r w:rsidRPr="009660C3">
              <w:rPr>
                <w:vanish/>
                <w:szCs w:val="18"/>
              </w:rPr>
              <w:t xml:space="preserve"> </w:t>
            </w:r>
            <w:r>
              <w:t xml:space="preserve">Click </w:t>
            </w:r>
            <w:r>
              <w:rPr>
                <w:b/>
              </w:rPr>
              <w:t>Print</w:t>
            </w:r>
            <w:r>
              <w:t xml:space="preserve"> at any time in this process to print a VBECS User Report.</w:t>
            </w:r>
          </w:p>
        </w:tc>
      </w:tr>
      <w:tr w:rsidR="00B51CFF" w14:paraId="7B1DF3EA" w14:textId="77777777">
        <w:trPr>
          <w:cantSplit/>
        </w:trPr>
        <w:tc>
          <w:tcPr>
            <w:tcW w:w="3240" w:type="dxa"/>
            <w:tcBorders>
              <w:bottom w:val="single" w:sz="4" w:space="0" w:color="auto"/>
            </w:tcBorders>
          </w:tcPr>
          <w:p w14:paraId="7F25CCF4" w14:textId="77777777" w:rsidR="00B51CFF" w:rsidRDefault="00B51CFF" w:rsidP="00DB1D38">
            <w:pPr>
              <w:pStyle w:val="TableTextNumbers"/>
            </w:pPr>
            <w:r>
              <w:t>Click one or more check boxes to select users.</w:t>
            </w:r>
          </w:p>
          <w:p w14:paraId="6834A37A" w14:textId="77777777" w:rsidR="00B51CFF" w:rsidRDefault="00B51CFF" w:rsidP="00DB1D38">
            <w:pPr>
              <w:pStyle w:val="TableTextNumbersContinued"/>
            </w:pPr>
          </w:p>
          <w:p w14:paraId="46705C75" w14:textId="77777777" w:rsidR="00B51CFF" w:rsidRDefault="00B51CFF" w:rsidP="00DB1D38">
            <w:pPr>
              <w:pStyle w:val="TableTextNumbersContinued"/>
            </w:pPr>
          </w:p>
        </w:tc>
        <w:tc>
          <w:tcPr>
            <w:tcW w:w="6120" w:type="dxa"/>
            <w:tcBorders>
              <w:bottom w:val="single" w:sz="4" w:space="0" w:color="auto"/>
            </w:tcBorders>
          </w:tcPr>
          <w:p w14:paraId="5F97C5E0" w14:textId="77777777" w:rsidR="00B51CFF" w:rsidRDefault="00B51CFF" w:rsidP="00DB1D38">
            <w:pPr>
              <w:pStyle w:val="TableTextBullet"/>
            </w:pPr>
            <w:r w:rsidRPr="00E274BF">
              <w:rPr>
                <w:rFonts w:cs="Arial"/>
                <w:vanish/>
                <w:szCs w:val="18"/>
              </w:rPr>
              <w:t>BR_19.05</w:t>
            </w:r>
            <w:r w:rsidRPr="009660C3">
              <w:rPr>
                <w:vanish/>
                <w:szCs w:val="18"/>
              </w:rPr>
              <w:t xml:space="preserve"> </w:t>
            </w:r>
            <w:r>
              <w:t>Allows the assignment of a security level to one or more users at a time.</w:t>
            </w:r>
          </w:p>
          <w:p w14:paraId="5C8F0641" w14:textId="77777777" w:rsidR="00B51CFF" w:rsidRDefault="00B51CFF" w:rsidP="00DB1D38">
            <w:pPr>
              <w:pStyle w:val="TableText"/>
            </w:pPr>
          </w:p>
          <w:p w14:paraId="75EFCA52" w14:textId="75551486" w:rsidR="00B51CFF" w:rsidRDefault="00B51CFF" w:rsidP="00DB1D38">
            <w:pPr>
              <w:pStyle w:val="TableText"/>
              <w:rPr>
                <w:b/>
                <w:bCs/>
                <w:szCs w:val="18"/>
              </w:rPr>
            </w:pPr>
            <w:r>
              <w:rPr>
                <w:b/>
                <w:bCs/>
                <w:szCs w:val="18"/>
              </w:rPr>
              <w:t>NOTES</w:t>
            </w:r>
          </w:p>
          <w:p w14:paraId="0B319C69" w14:textId="77777777" w:rsidR="00B51CFF" w:rsidRDefault="00B51CFF" w:rsidP="00DB1D38">
            <w:pPr>
              <w:pStyle w:val="NotesText"/>
            </w:pPr>
          </w:p>
          <w:p w14:paraId="094A1BEC" w14:textId="77777777" w:rsidR="00B51CFF" w:rsidRDefault="00B51CFF" w:rsidP="00DB1D38">
            <w:pPr>
              <w:pStyle w:val="NotesText"/>
            </w:pPr>
            <w:r>
              <w:t>The role that a user selects is assigned to all selected users.</w:t>
            </w:r>
          </w:p>
        </w:tc>
      </w:tr>
      <w:tr w:rsidR="00B51CFF" w14:paraId="47BB3B98" w14:textId="77777777">
        <w:trPr>
          <w:cantSplit/>
        </w:trPr>
        <w:tc>
          <w:tcPr>
            <w:tcW w:w="3240" w:type="dxa"/>
            <w:tcBorders>
              <w:bottom w:val="single" w:sz="4" w:space="0" w:color="auto"/>
            </w:tcBorders>
          </w:tcPr>
          <w:p w14:paraId="47234747" w14:textId="327EA562" w:rsidR="00B51CFF" w:rsidRDefault="00B51CFF" w:rsidP="00DB1D38">
            <w:pPr>
              <w:pStyle w:val="TableTextNumbersContinued"/>
            </w:pPr>
            <w:r>
              <w:t>Select a user role from the drop-down list in the Use</w:t>
            </w:r>
            <w:r w:rsidR="0039783A">
              <w:t>r</w:t>
            </w:r>
            <w:r>
              <w:t xml:space="preserve"> Role field.</w:t>
            </w:r>
          </w:p>
          <w:p w14:paraId="2F723E98" w14:textId="77777777" w:rsidR="00B51CFF" w:rsidRDefault="00B51CFF" w:rsidP="00DB1D38">
            <w:pPr>
              <w:pStyle w:val="TableTextNumbersContinued"/>
            </w:pPr>
          </w:p>
          <w:p w14:paraId="4CD811DA" w14:textId="77777777" w:rsidR="00B51CFF" w:rsidRDefault="00B51CFF" w:rsidP="00DB1D38">
            <w:pPr>
              <w:pStyle w:val="TableTextNumbers"/>
            </w:pPr>
            <w:r>
              <w:t xml:space="preserve">Click </w:t>
            </w:r>
            <w:r>
              <w:rPr>
                <w:b/>
              </w:rPr>
              <w:t>OK</w:t>
            </w:r>
            <w:r>
              <w:t>.</w:t>
            </w:r>
          </w:p>
        </w:tc>
        <w:tc>
          <w:tcPr>
            <w:tcW w:w="6120" w:type="dxa"/>
            <w:tcBorders>
              <w:bottom w:val="single" w:sz="4" w:space="0" w:color="auto"/>
            </w:tcBorders>
          </w:tcPr>
          <w:p w14:paraId="1831C0B9" w14:textId="77777777" w:rsidR="00B51CFF" w:rsidRDefault="00B51CFF" w:rsidP="00DB1D38">
            <w:pPr>
              <w:pStyle w:val="TableTextBullet"/>
            </w:pPr>
            <w:r>
              <w:t>Requests confirmation of the names of users to be changed and the role to be assigned.</w:t>
            </w:r>
          </w:p>
        </w:tc>
      </w:tr>
      <w:tr w:rsidR="00B51CFF" w14:paraId="36C72455" w14:textId="77777777">
        <w:trPr>
          <w:cantSplit/>
        </w:trPr>
        <w:tc>
          <w:tcPr>
            <w:tcW w:w="3240" w:type="dxa"/>
          </w:tcPr>
          <w:p w14:paraId="74EA0D82" w14:textId="77777777" w:rsidR="00B51CFF" w:rsidRDefault="00B51CFF" w:rsidP="00DB1D38">
            <w:pPr>
              <w:pStyle w:val="TableTextNumbers"/>
            </w:pPr>
            <w:r>
              <w:t xml:space="preserve">Click </w:t>
            </w:r>
            <w:r>
              <w:rPr>
                <w:b/>
              </w:rPr>
              <w:t>Yes</w:t>
            </w:r>
            <w:r>
              <w:t xml:space="preserve"> to confirm the save or </w:t>
            </w:r>
            <w:r>
              <w:rPr>
                <w:b/>
              </w:rPr>
              <w:t>No</w:t>
            </w:r>
            <w:r>
              <w:t xml:space="preserve"> to change the users selected.</w:t>
            </w:r>
          </w:p>
        </w:tc>
        <w:tc>
          <w:tcPr>
            <w:tcW w:w="6120" w:type="dxa"/>
          </w:tcPr>
          <w:p w14:paraId="52152584" w14:textId="77777777" w:rsidR="00B51CFF" w:rsidRDefault="00B51CFF" w:rsidP="00DB1D38">
            <w:pPr>
              <w:pStyle w:val="TableTextBullet"/>
            </w:pPr>
            <w:r>
              <w:t>Creates an Audit Trail Report entry.</w:t>
            </w:r>
          </w:p>
          <w:p w14:paraId="1974F426" w14:textId="2E883D10" w:rsidR="00B51CFF" w:rsidRDefault="00B51CFF" w:rsidP="00001639">
            <w:pPr>
              <w:pStyle w:val="NotesText"/>
              <w:ind w:left="0"/>
            </w:pPr>
          </w:p>
        </w:tc>
      </w:tr>
      <w:tr w:rsidR="00B51CFF" w14:paraId="1445C335" w14:textId="77777777">
        <w:trPr>
          <w:cantSplit/>
        </w:trPr>
        <w:tc>
          <w:tcPr>
            <w:tcW w:w="3240" w:type="dxa"/>
          </w:tcPr>
          <w:p w14:paraId="10C99225" w14:textId="2023D1BF" w:rsidR="00B51CFF" w:rsidRDefault="00B51CFF" w:rsidP="00DB1D38">
            <w:pPr>
              <w:pStyle w:val="TableTextNumbers"/>
            </w:pPr>
            <w:r>
              <w:t>Repeat Steps 2</w:t>
            </w:r>
            <w:r w:rsidR="004F5589">
              <w:t xml:space="preserve"> through </w:t>
            </w:r>
            <w:r>
              <w:t>4 to change the roles of additional users.</w:t>
            </w:r>
          </w:p>
        </w:tc>
        <w:tc>
          <w:tcPr>
            <w:tcW w:w="6120" w:type="dxa"/>
          </w:tcPr>
          <w:p w14:paraId="1FF850F0" w14:textId="77777777" w:rsidR="00B51CFF" w:rsidRDefault="00B51CFF" w:rsidP="00DB1D38">
            <w:pPr>
              <w:pStyle w:val="TableText"/>
            </w:pPr>
          </w:p>
        </w:tc>
      </w:tr>
      <w:tr w:rsidR="00B51CFF" w14:paraId="7F786808" w14:textId="77777777">
        <w:trPr>
          <w:cantSplit/>
        </w:trPr>
        <w:tc>
          <w:tcPr>
            <w:tcW w:w="3240" w:type="dxa"/>
          </w:tcPr>
          <w:p w14:paraId="535E8EB0" w14:textId="77777777" w:rsidR="00B51CFF" w:rsidRDefault="00B51CFF" w:rsidP="00DB1D38">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D94C5E2" w14:textId="77777777" w:rsidR="00B51CFF" w:rsidRDefault="00B51CFF" w:rsidP="00DB1D38">
            <w:pPr>
              <w:pStyle w:val="TableText"/>
            </w:pPr>
          </w:p>
        </w:tc>
      </w:tr>
    </w:tbl>
    <w:p w14:paraId="493C01B4" w14:textId="3AD4F708" w:rsidR="007A18CD" w:rsidRDefault="007A18CD" w:rsidP="007A18CD">
      <w:pPr>
        <w:pStyle w:val="Caption"/>
      </w:pPr>
      <w:bookmarkStart w:id="146" w:name="_Ref50877954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22</w:t>
      </w:r>
      <w:r w:rsidR="004E20BD">
        <w:rPr>
          <w:noProof/>
        </w:rPr>
        <w:fldChar w:fldCharType="end"/>
      </w:r>
      <w:bookmarkEnd w:id="146"/>
      <w:r>
        <w:t>: Update User Roles</w:t>
      </w:r>
    </w:p>
    <w:p w14:paraId="1E1A278A" w14:textId="77777777" w:rsidR="007A18CD" w:rsidRPr="007A18CD" w:rsidRDefault="00057948" w:rsidP="007A18CD">
      <w:pPr>
        <w:pStyle w:val="BodyText"/>
      </w:pPr>
      <w:r>
        <w:rPr>
          <w:noProof/>
        </w:rPr>
        <w:drawing>
          <wp:inline distT="0" distB="0" distL="0" distR="0" wp14:anchorId="5BD8E4F8" wp14:editId="3B569379">
            <wp:extent cx="5939155" cy="3269615"/>
            <wp:effectExtent l="0" t="0" r="4445" b="6985"/>
            <wp:docPr id="124" name="Picture 124" descr="Example of Update User Rol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Example of Update User Roles screen capt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9155" cy="3269615"/>
                    </a:xfrm>
                    <a:prstGeom prst="rect">
                      <a:avLst/>
                    </a:prstGeom>
                    <a:noFill/>
                    <a:ln>
                      <a:noFill/>
                    </a:ln>
                  </pic:spPr>
                </pic:pic>
              </a:graphicData>
            </a:graphic>
          </wp:inline>
        </w:drawing>
      </w:r>
    </w:p>
    <w:p w14:paraId="6C6BA81B" w14:textId="77777777" w:rsidR="00B51CFF" w:rsidRDefault="00B51CFF" w:rsidP="00B51CFF">
      <w:pPr>
        <w:pStyle w:val="Heading4"/>
      </w:pPr>
      <w:r>
        <w:t>VBECS User Report</w:t>
      </w:r>
      <w:r>
        <w:fldChar w:fldCharType="begin"/>
      </w:r>
      <w:r>
        <w:instrText xml:space="preserve"> XE “VBECS User Report” </w:instrText>
      </w:r>
      <w:r>
        <w:fldChar w:fldCharType="end"/>
      </w:r>
    </w:p>
    <w:p w14:paraId="791CFEE1" w14:textId="77777777" w:rsidR="00B51CFF" w:rsidRDefault="00B51CFF" w:rsidP="00B51CFF">
      <w:pPr>
        <w:pStyle w:val="BodyText"/>
      </w:pPr>
      <w:r>
        <w:t xml:space="preserve">The user may generate a </w:t>
      </w:r>
      <w:r w:rsidR="00F55505">
        <w:t xml:space="preserve">division </w:t>
      </w:r>
      <w:r>
        <w:t xml:space="preserve">report that includes the names, VBECS user IDs, and roles of active users. </w:t>
      </w:r>
      <w:r w:rsidR="005C768D" w:rsidRPr="00EC7489">
        <w:rPr>
          <w:rFonts w:ascii="Wingdings 3" w:hAnsi="Wingdings 3" w:cs="Wingdings"/>
        </w:rPr>
        <w:t></w:t>
      </w:r>
      <w:r w:rsidR="005C768D" w:rsidRPr="00EC7489">
        <w:rPr>
          <w:rFonts w:ascii="Wingdings 3" w:hAnsi="Wingdings 3" w:cs="Wingdings"/>
        </w:rPr>
        <w:t></w:t>
      </w:r>
      <w:r w:rsidR="005C768D" w:rsidRPr="00EC7489">
        <w:rPr>
          <w:rFonts w:ascii="Wingdings 3" w:hAnsi="Wingdings 3" w:cs="Wingdings"/>
        </w:rPr>
        <w:t></w:t>
      </w:r>
      <w:r w:rsidR="005C768D">
        <w:t xml:space="preserve"> </w:t>
      </w:r>
      <w:r w:rsidR="002E7EBF">
        <w:t xml:space="preserve">A </w:t>
      </w:r>
      <w:r w:rsidR="002E7EBF">
        <w:rPr>
          <w:snapToGrid w:val="0"/>
        </w:rPr>
        <w:t>Lead Technologist</w:t>
      </w:r>
      <w:r w:rsidR="002E7EBF">
        <w:t xml:space="preserve"> may generate a report of current VBECS users, by division, that includes the users’ name, user ID, division, and role. </w:t>
      </w:r>
    </w:p>
    <w:p w14:paraId="686AED4E" w14:textId="77777777" w:rsidR="00B51CFF" w:rsidRDefault="00B51CFF" w:rsidP="00B51CFF">
      <w:pPr>
        <w:pStyle w:val="Heading2"/>
      </w:pPr>
      <w:bookmarkStart w:id="147" w:name="_Toc49233584"/>
      <w:bookmarkStart w:id="148" w:name="_Toc61845162"/>
      <w:r>
        <w:br w:type="page"/>
      </w:r>
      <w:bookmarkStart w:id="149" w:name="_Toc163644883"/>
      <w:bookmarkEnd w:id="147"/>
      <w:bookmarkEnd w:id="148"/>
      <w:r>
        <w:lastRenderedPageBreak/>
        <w:t>Component Classes</w:t>
      </w:r>
      <w:bookmarkEnd w:id="149"/>
      <w:r w:rsidRPr="00AB67A6">
        <w:rPr>
          <w:rFonts w:ascii="Arial Bold" w:hAnsi="Arial Bold"/>
          <w:vanish/>
        </w:rPr>
        <w:fldChar w:fldCharType="begin"/>
      </w:r>
      <w:r w:rsidRPr="00AB67A6">
        <w:rPr>
          <w:rFonts w:ascii="Arial Bold" w:hAnsi="Arial Bold"/>
          <w:vanish/>
        </w:rPr>
        <w:instrText xml:space="preserve"> XE “Component Classes” </w:instrText>
      </w:r>
      <w:r w:rsidRPr="00AB67A6">
        <w:rPr>
          <w:rFonts w:ascii="Arial Bold" w:hAnsi="Arial Bold"/>
          <w:vanish/>
        </w:rPr>
        <w:fldChar w:fldCharType="end"/>
      </w:r>
      <w:r w:rsidRPr="00AB67A6">
        <w:rPr>
          <w:rFonts w:ascii="Arial Bold" w:hAnsi="Arial Bold"/>
          <w:vanish/>
        </w:rPr>
        <w:t xml:space="preserve"> UC_50</w:t>
      </w:r>
    </w:p>
    <w:p w14:paraId="691EB501" w14:textId="2BB3B4FA" w:rsidR="00B51CFF" w:rsidRDefault="00B51CFF" w:rsidP="00B51CFF">
      <w:pPr>
        <w:pStyle w:val="BodyText"/>
      </w:pPr>
      <w:r>
        <w:t>The user configures the component class parameters for the selected division.</w:t>
      </w:r>
      <w:r w:rsidR="008D2779">
        <w:t xml:space="preserve"> For more information, see </w:t>
      </w:r>
      <w:r w:rsidR="00EE455E">
        <w:t xml:space="preserve">Appendix </w:t>
      </w:r>
      <w:r w:rsidR="00EE455E">
        <w:rPr>
          <w:noProof/>
        </w:rPr>
        <w:t>G</w:t>
      </w:r>
      <w:r w:rsidR="00EE455E">
        <w:t>: Work Process Flowcharts</w:t>
      </w:r>
      <w:r w:rsidR="008D2779">
        <w:t>.</w:t>
      </w:r>
    </w:p>
    <w:p w14:paraId="5A12E83D" w14:textId="77777777" w:rsidR="00B51CFF" w:rsidRDefault="00B51CFF" w:rsidP="00B51CFF">
      <w:pPr>
        <w:pStyle w:val="Heading4"/>
      </w:pPr>
      <w:r>
        <w:t>Assumptions</w:t>
      </w:r>
    </w:p>
    <w:p w14:paraId="22645630" w14:textId="77777777" w:rsidR="00B51CFF" w:rsidRDefault="00B51CFF" w:rsidP="00B51CFF">
      <w:pPr>
        <w:pStyle w:val="ListBullet"/>
      </w:pPr>
      <w:r>
        <w:t xml:space="preserve">The connection to </w:t>
      </w:r>
      <w:r w:rsidRPr="00CA0045">
        <w:rPr>
          <w:bCs/>
        </w:rPr>
        <w:t>VistA</w:t>
      </w:r>
      <w:r>
        <w:t xml:space="preserve"> is active.</w:t>
      </w:r>
    </w:p>
    <w:p w14:paraId="7E4B23BC" w14:textId="77777777" w:rsidR="00B51CFF" w:rsidRDefault="00B51CFF" w:rsidP="00B51CFF">
      <w:pPr>
        <w:pStyle w:val="ListBullet"/>
      </w:pPr>
      <w:r>
        <w:rPr>
          <w:vanish/>
          <w:spacing w:val="0"/>
        </w:rPr>
        <w:t xml:space="preserve">BR_50.03 </w:t>
      </w:r>
      <w:r>
        <w:t>The WHOLE BLOOD and RED BLOOD CELLS component classes are deployed as requiring current specimen ABO/Rh results before issue and may not be edited.</w:t>
      </w:r>
    </w:p>
    <w:p w14:paraId="23A6DB42" w14:textId="77777777" w:rsidR="00B51CFF" w:rsidRDefault="00B51CFF" w:rsidP="00B51CFF">
      <w:pPr>
        <w:pStyle w:val="ListBullet"/>
      </w:pPr>
      <w:r>
        <w:t xml:space="preserve">The FFP, PLT, CRYO and OTHER component classes do not have a specimen requirement defined at deployment. </w:t>
      </w:r>
    </w:p>
    <w:p w14:paraId="53364579" w14:textId="77777777" w:rsidR="00B51CFF" w:rsidRDefault="00B51CFF" w:rsidP="00B51CFF">
      <w:pPr>
        <w:pStyle w:val="Heading4"/>
      </w:pPr>
      <w:r>
        <w:t>Outcome</w:t>
      </w:r>
    </w:p>
    <w:p w14:paraId="64140C45" w14:textId="77777777" w:rsidR="00B51CFF" w:rsidRDefault="00B51CFF" w:rsidP="00B51CFF">
      <w:pPr>
        <w:pStyle w:val="ListBullet"/>
      </w:pPr>
      <w:r>
        <w:t>Divisions have local settings for all component classes.</w:t>
      </w:r>
    </w:p>
    <w:p w14:paraId="7027A0AF" w14:textId="77777777" w:rsidR="00B51CFF" w:rsidRDefault="00B51CFF" w:rsidP="00B51CFF">
      <w:pPr>
        <w:pStyle w:val="Heading4"/>
      </w:pPr>
      <w:r>
        <w:t>Limitations and Restrictions</w:t>
      </w:r>
    </w:p>
    <w:p w14:paraId="3B4C4FD0" w14:textId="77777777" w:rsidR="00B51CFF" w:rsidRDefault="00B51CFF" w:rsidP="00B51CFF">
      <w:pPr>
        <w:pStyle w:val="ListBullet"/>
      </w:pPr>
      <w:r>
        <w:t xml:space="preserve">The user may not change the specimen requirement for a component class when there are incomplete orders for that component class. </w:t>
      </w:r>
    </w:p>
    <w:p w14:paraId="799EAA50" w14:textId="77777777" w:rsidR="00B51CFF" w:rsidRDefault="00B51CFF" w:rsidP="00B51CFF">
      <w:pPr>
        <w:pStyle w:val="ListBullet"/>
      </w:pPr>
      <w:r>
        <w:t xml:space="preserve">There is no retrospective data entry or user selection </w:t>
      </w:r>
      <w:r w:rsidR="00F468B5">
        <w:t>for this</w:t>
      </w:r>
      <w:r>
        <w:t xml:space="preserve"> </w:t>
      </w:r>
      <w:r w:rsidR="00932460">
        <w:t>option</w:t>
      </w:r>
      <w:r>
        <w:t xml:space="preserve">. </w:t>
      </w:r>
    </w:p>
    <w:p w14:paraId="56F8B167" w14:textId="77777777" w:rsidR="00B51CFF" w:rsidRDefault="00B51CFF" w:rsidP="00B51CFF">
      <w:pPr>
        <w:pStyle w:val="Heading4"/>
      </w:pPr>
      <w:r>
        <w:t>Additional Information</w:t>
      </w:r>
    </w:p>
    <w:p w14:paraId="1DBA9D74" w14:textId="77777777" w:rsidR="00B51CFF" w:rsidRDefault="00B51CFF" w:rsidP="00B51CFF">
      <w:pPr>
        <w:pStyle w:val="ListBullet"/>
      </w:pPr>
      <w:r>
        <w:t xml:space="preserve">None </w:t>
      </w:r>
    </w:p>
    <w:p w14:paraId="1B37273C" w14:textId="77777777" w:rsidR="00B51CFF" w:rsidRDefault="00B51CFF" w:rsidP="00B51CFF">
      <w:pPr>
        <w:pStyle w:val="Heading4"/>
      </w:pPr>
      <w:r>
        <w:t>User Roles with Access to This Option</w:t>
      </w:r>
    </w:p>
    <w:p w14:paraId="2DE8F633" w14:textId="77777777" w:rsidR="00B51CFF" w:rsidRDefault="00B51CFF" w:rsidP="00B51CFF">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5D39CE5A" w14:textId="77777777" w:rsidR="00B51CFF" w:rsidRDefault="00B51CFF" w:rsidP="00B51CFF">
      <w:pPr>
        <w:pStyle w:val="Heading4"/>
      </w:pPr>
      <w:r>
        <w:t>Component Classes</w:t>
      </w:r>
    </w:p>
    <w:p w14:paraId="0DAE4C02" w14:textId="77777777" w:rsidR="00B51CFF" w:rsidRDefault="00B51CFF" w:rsidP="00B51CFF">
      <w:pPr>
        <w:pStyle w:val="BodyText"/>
      </w:pPr>
      <w:r>
        <w:t>The user configures the parameters for the division’s component classes. These parameters are applied to all blood units that descend from this class. Component classes may be reset when business practices affecting the use of component classes change at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377DB783" w14:textId="77777777">
        <w:trPr>
          <w:tblHeader/>
        </w:trPr>
        <w:tc>
          <w:tcPr>
            <w:tcW w:w="3240" w:type="dxa"/>
            <w:shd w:val="pct30" w:color="auto" w:fill="FFFFFF"/>
            <w:vAlign w:val="bottom"/>
          </w:tcPr>
          <w:p w14:paraId="72A69F1F" w14:textId="77777777" w:rsidR="00B51CFF" w:rsidRDefault="00B51CFF" w:rsidP="00DB1D38">
            <w:pPr>
              <w:pStyle w:val="TableText"/>
              <w:rPr>
                <w:b/>
              </w:rPr>
            </w:pPr>
            <w:r>
              <w:rPr>
                <w:b/>
              </w:rPr>
              <w:t>User Action</w:t>
            </w:r>
          </w:p>
        </w:tc>
        <w:tc>
          <w:tcPr>
            <w:tcW w:w="6120" w:type="dxa"/>
            <w:shd w:val="pct30" w:color="auto" w:fill="FFFFFF"/>
            <w:vAlign w:val="bottom"/>
          </w:tcPr>
          <w:p w14:paraId="7D336384" w14:textId="77777777" w:rsidR="00B51CFF" w:rsidRDefault="00B51CFF" w:rsidP="00DB1D38">
            <w:pPr>
              <w:pStyle w:val="TableText"/>
              <w:rPr>
                <w:b/>
              </w:rPr>
            </w:pPr>
            <w:r>
              <w:rPr>
                <w:b/>
              </w:rPr>
              <w:t>VBECS</w:t>
            </w:r>
          </w:p>
        </w:tc>
      </w:tr>
      <w:tr w:rsidR="00B51CFF" w14:paraId="61FF3A9A" w14:textId="77777777">
        <w:tc>
          <w:tcPr>
            <w:tcW w:w="3240" w:type="dxa"/>
          </w:tcPr>
          <w:p w14:paraId="6CF60078" w14:textId="77777777" w:rsidR="00B51CFF" w:rsidRDefault="00B51CFF" w:rsidP="00DB1D38">
            <w:pPr>
              <w:pStyle w:val="TableTextNumbers"/>
            </w:pPr>
            <w:r>
              <w:t xml:space="preserve">Select </w:t>
            </w:r>
            <w:r>
              <w:rPr>
                <w:b/>
                <w:bCs/>
              </w:rPr>
              <w:t>Tools</w:t>
            </w:r>
            <w:r>
              <w:t xml:space="preserve"> from the main menu.</w:t>
            </w:r>
          </w:p>
          <w:p w14:paraId="347CDA4E" w14:textId="77777777" w:rsidR="00B51CFF" w:rsidRDefault="00B51CFF" w:rsidP="00DB1D38">
            <w:pPr>
              <w:pStyle w:val="TableTextNumbersContinued"/>
            </w:pPr>
          </w:p>
          <w:p w14:paraId="34CFAC97" w14:textId="4688916D" w:rsidR="00B51CFF" w:rsidRDefault="00B51CFF" w:rsidP="00DB1D38">
            <w:pPr>
              <w:pStyle w:val="TableTextNumbersContinued"/>
            </w:pPr>
            <w:r>
              <w:t xml:space="preserve">Select </w:t>
            </w:r>
            <w:r>
              <w:rPr>
                <w:b/>
              </w:rPr>
              <w:t>Component Classes</w:t>
            </w:r>
            <w:r w:rsidR="00255293" w:rsidRPr="00255293">
              <w:t xml:space="preserve"> (</w:t>
            </w:r>
            <w:r w:rsidR="00EE455E">
              <w:t xml:space="preserve">Figure </w:t>
            </w:r>
            <w:r w:rsidR="00EE455E">
              <w:rPr>
                <w:noProof/>
              </w:rPr>
              <w:t>22</w:t>
            </w:r>
            <w:r w:rsidR="00255293">
              <w:t>)</w:t>
            </w:r>
            <w:r>
              <w:t>.</w:t>
            </w:r>
          </w:p>
        </w:tc>
        <w:tc>
          <w:tcPr>
            <w:tcW w:w="6120" w:type="dxa"/>
          </w:tcPr>
          <w:p w14:paraId="1E1CF6EC" w14:textId="77777777" w:rsidR="00B51CFF" w:rsidRDefault="00B51CFF" w:rsidP="00DB1D38">
            <w:pPr>
              <w:pStyle w:val="TableTextBullet"/>
            </w:pPr>
            <w:r>
              <w:t>Displays options for processing administrative functions.</w:t>
            </w:r>
          </w:p>
          <w:p w14:paraId="58397BF2" w14:textId="77777777" w:rsidR="00B51CFF" w:rsidRDefault="00B51CFF" w:rsidP="00DB1D38">
            <w:pPr>
              <w:pStyle w:val="TableTextBullet"/>
            </w:pPr>
            <w:r>
              <w:t>Lists component classes.</w:t>
            </w:r>
          </w:p>
          <w:p w14:paraId="3054E64E" w14:textId="77777777" w:rsidR="00B51CFF" w:rsidRDefault="00B51CFF" w:rsidP="00DB1D38">
            <w:pPr>
              <w:pStyle w:val="TableTextBullet"/>
            </w:pPr>
            <w:r>
              <w:t>Displays options for configuring division component classes:</w:t>
            </w:r>
          </w:p>
          <w:p w14:paraId="44140DAF" w14:textId="77777777" w:rsidR="00B51CFF" w:rsidRDefault="00B51CFF" w:rsidP="00DB1D38">
            <w:pPr>
              <w:pStyle w:val="TableTextBullet1"/>
            </w:pPr>
            <w:r>
              <w:t>Require Current Specimen ABO/Rh Results?</w:t>
            </w:r>
          </w:p>
          <w:p w14:paraId="505DDA20" w14:textId="77777777" w:rsidR="00B51CFF" w:rsidRDefault="0052794C" w:rsidP="00DB1D38">
            <w:pPr>
              <w:pStyle w:val="TableTextBullet1"/>
            </w:pPr>
            <w:r>
              <w:t>Maximum Transfusion Time.</w:t>
            </w:r>
          </w:p>
          <w:p w14:paraId="3B85D883" w14:textId="77777777" w:rsidR="00B51CFF" w:rsidRDefault="00B51CFF" w:rsidP="00DB1D38">
            <w:pPr>
              <w:pStyle w:val="TableTextBullet"/>
            </w:pPr>
            <w:r>
              <w:t>Displays options for defining inappropriate request indicators.</w:t>
            </w:r>
          </w:p>
          <w:p w14:paraId="18D00018" w14:textId="77777777" w:rsidR="00B51CFF" w:rsidRDefault="00B51CFF" w:rsidP="00DB1D38">
            <w:pPr>
              <w:pStyle w:val="TableText"/>
              <w:rPr>
                <w:b/>
                <w:bCs/>
                <w:szCs w:val="18"/>
              </w:rPr>
            </w:pPr>
          </w:p>
          <w:p w14:paraId="7EA05EC6" w14:textId="5C01470C" w:rsidR="00B51CFF" w:rsidRDefault="00B51CFF" w:rsidP="00DB1D38">
            <w:pPr>
              <w:pStyle w:val="TableText"/>
              <w:rPr>
                <w:b/>
                <w:bCs/>
                <w:szCs w:val="18"/>
              </w:rPr>
            </w:pPr>
            <w:r>
              <w:rPr>
                <w:b/>
                <w:bCs/>
                <w:szCs w:val="18"/>
              </w:rPr>
              <w:t>NOTES</w:t>
            </w:r>
          </w:p>
          <w:p w14:paraId="6960CBC3" w14:textId="77777777" w:rsidR="00B51CFF" w:rsidRDefault="00B51CFF" w:rsidP="00DB1D38">
            <w:pPr>
              <w:pStyle w:val="NotesText"/>
            </w:pPr>
          </w:p>
          <w:p w14:paraId="4175DF2B" w14:textId="4AEF580B" w:rsidR="00B51CFF" w:rsidRDefault="00B51CFF" w:rsidP="006A576D">
            <w:pPr>
              <w:pStyle w:val="NotesText"/>
            </w:pPr>
            <w:r>
              <w:t xml:space="preserve">See </w:t>
            </w:r>
            <w:r w:rsidR="00EE455E">
              <w:t xml:space="preserve">Appendix </w:t>
            </w:r>
            <w:r w:rsidR="00EE455E">
              <w:rPr>
                <w:noProof/>
              </w:rPr>
              <w:t>B</w:t>
            </w:r>
            <w:r>
              <w:t>:</w:t>
            </w:r>
            <w:r w:rsidR="006A576D">
              <w:t xml:space="preserve"> </w:t>
            </w:r>
            <w:r w:rsidR="00EE455E" w:rsidRPr="00575E6D">
              <w:t xml:space="preserve">Table </w:t>
            </w:r>
            <w:r w:rsidR="00EE455E">
              <w:rPr>
                <w:noProof/>
              </w:rPr>
              <w:t>19</w:t>
            </w:r>
            <w:r w:rsidR="00EE455E" w:rsidRPr="00575E6D">
              <w:t xml:space="preserve">: </w:t>
            </w:r>
            <w:r w:rsidR="00EE455E" w:rsidRPr="00575E6D">
              <w:rPr>
                <w:vanish/>
              </w:rPr>
              <w:t xml:space="preserve">PT_1.06 </w:t>
            </w:r>
            <w:r w:rsidR="00EE455E" w:rsidRPr="00575E6D">
              <w:t>CPRS Orderable Blood Components (Component Classes) Mapped to ICCBBA Component Classes</w:t>
            </w:r>
            <w:r w:rsidR="006A576D">
              <w:t>.</w:t>
            </w:r>
          </w:p>
        </w:tc>
      </w:tr>
      <w:tr w:rsidR="00B51CFF" w14:paraId="0D077E49" w14:textId="77777777" w:rsidTr="007E500E">
        <w:trPr>
          <w:cantSplit/>
        </w:trPr>
        <w:tc>
          <w:tcPr>
            <w:tcW w:w="3240" w:type="dxa"/>
          </w:tcPr>
          <w:p w14:paraId="177818D0" w14:textId="77777777" w:rsidR="00B51CFF" w:rsidRDefault="00B51CFF" w:rsidP="00DB1D38">
            <w:pPr>
              <w:pStyle w:val="TableTextNumbers"/>
            </w:pPr>
            <w:r>
              <w:lastRenderedPageBreak/>
              <w:t>Select a class from the Select Component Class list.</w:t>
            </w:r>
          </w:p>
          <w:p w14:paraId="755CA87E" w14:textId="77777777" w:rsidR="00B51CFF" w:rsidRDefault="00B51CFF" w:rsidP="00DB1D38">
            <w:pPr>
              <w:pStyle w:val="TableTextNumbersContinued"/>
              <w:rPr>
                <w:b/>
                <w:bCs/>
              </w:rPr>
            </w:pPr>
          </w:p>
          <w:p w14:paraId="7EB8EE2B" w14:textId="77777777" w:rsidR="00B51CFF" w:rsidRDefault="00B51CFF" w:rsidP="00DB1D38">
            <w:pPr>
              <w:pStyle w:val="TableTextNumbersContinued"/>
            </w:pPr>
            <w:r>
              <w:t xml:space="preserve">Click </w:t>
            </w:r>
            <w:r>
              <w:rPr>
                <w:b/>
              </w:rPr>
              <w:t>OK</w:t>
            </w:r>
            <w:r>
              <w:t xml:space="preserve"> to accept the list, or click the </w:t>
            </w:r>
            <w:r>
              <w:rPr>
                <w:b/>
              </w:rPr>
              <w:t xml:space="preserve">Require Current Specimen ABO/Rh Results? </w:t>
            </w:r>
            <w:r w:rsidRPr="00D1100E">
              <w:t>check box</w:t>
            </w:r>
            <w:r>
              <w:t>, when appropriate.</w:t>
            </w:r>
          </w:p>
        </w:tc>
        <w:tc>
          <w:tcPr>
            <w:tcW w:w="6120" w:type="dxa"/>
          </w:tcPr>
          <w:p w14:paraId="1795E654" w14:textId="77777777" w:rsidR="00B51CFF" w:rsidRDefault="00B51CFF" w:rsidP="00DB1D38">
            <w:pPr>
              <w:pStyle w:val="TableTextBullet"/>
            </w:pPr>
            <w:r>
              <w:t xml:space="preserve">Requires current specimen ABO/Rh results for issue. </w:t>
            </w:r>
          </w:p>
          <w:p w14:paraId="6CB1DDFC" w14:textId="77777777" w:rsidR="00B51CFF" w:rsidRDefault="00B51CFF" w:rsidP="00DB1D38">
            <w:pPr>
              <w:pStyle w:val="TableTextBullet"/>
            </w:pPr>
            <w:r>
              <w:t xml:space="preserve">Defines the maximum transfusion times. </w:t>
            </w:r>
          </w:p>
          <w:p w14:paraId="7E9DF299" w14:textId="77777777" w:rsidR="00B51CFF" w:rsidRDefault="00B51CFF" w:rsidP="00DB1D38">
            <w:pPr>
              <w:pStyle w:val="TableTextBullet"/>
            </w:pPr>
            <w:r>
              <w:t>Defines inappropriate request indicators.</w:t>
            </w:r>
          </w:p>
          <w:p w14:paraId="0C70C0B6" w14:textId="77777777" w:rsidR="00B51CFF" w:rsidRDefault="00B51CFF" w:rsidP="00DB1D38">
            <w:pPr>
              <w:pStyle w:val="TableTextBullet"/>
            </w:pPr>
            <w:r>
              <w:t>Allows the user to edit this parameter for component classes that do not contain only red blood cells.</w:t>
            </w:r>
          </w:p>
          <w:p w14:paraId="5C9DB399" w14:textId="77777777" w:rsidR="00B51CFF" w:rsidRDefault="00B51CFF" w:rsidP="00DB1D38">
            <w:pPr>
              <w:pStyle w:val="TableTextBullet"/>
            </w:pPr>
            <w:r>
              <w:t>Saves the component to the division list.</w:t>
            </w:r>
          </w:p>
          <w:p w14:paraId="28FFD83D" w14:textId="77777777" w:rsidR="00B51CFF" w:rsidRDefault="00B51CFF" w:rsidP="00DB1D38">
            <w:pPr>
              <w:pStyle w:val="TableText"/>
            </w:pPr>
          </w:p>
          <w:p w14:paraId="7A1765F6" w14:textId="380F86A1" w:rsidR="00B51CFF" w:rsidRDefault="00B51CFF" w:rsidP="00DB1D38">
            <w:pPr>
              <w:pStyle w:val="TableText"/>
              <w:rPr>
                <w:b/>
                <w:bCs/>
                <w:szCs w:val="18"/>
              </w:rPr>
            </w:pPr>
            <w:r>
              <w:rPr>
                <w:b/>
                <w:bCs/>
                <w:szCs w:val="18"/>
              </w:rPr>
              <w:t>NOTES</w:t>
            </w:r>
          </w:p>
          <w:p w14:paraId="6EAF8B58" w14:textId="77777777" w:rsidR="00B51CFF" w:rsidRDefault="00B51CFF" w:rsidP="00DB1D38">
            <w:pPr>
              <w:pStyle w:val="NotesText"/>
            </w:pPr>
          </w:p>
          <w:p w14:paraId="5F81AE45" w14:textId="77777777" w:rsidR="00B51CFF" w:rsidRDefault="00B51CFF" w:rsidP="00DB1D38">
            <w:pPr>
              <w:pStyle w:val="NotesText"/>
            </w:pPr>
            <w:r>
              <w:t>Component class configuration is required. Component classes: RED BLOOD CELLS, FFP, CRYO, PLT, WHOLE BLOOD, and OTHER.</w:t>
            </w:r>
          </w:p>
        </w:tc>
      </w:tr>
      <w:tr w:rsidR="00B51CFF" w14:paraId="36CC9029" w14:textId="77777777">
        <w:tc>
          <w:tcPr>
            <w:tcW w:w="3240" w:type="dxa"/>
          </w:tcPr>
          <w:p w14:paraId="73847B9A" w14:textId="77777777" w:rsidR="00B51CFF" w:rsidRDefault="00B51CFF" w:rsidP="00DB1D38">
            <w:pPr>
              <w:pStyle w:val="TableTextNumbers"/>
            </w:pPr>
            <w:r>
              <w:t>Edit the maximum transfusion time.</w:t>
            </w:r>
          </w:p>
        </w:tc>
        <w:tc>
          <w:tcPr>
            <w:tcW w:w="6120" w:type="dxa"/>
          </w:tcPr>
          <w:p w14:paraId="3C86AEEB" w14:textId="77777777" w:rsidR="00B51CFF" w:rsidRDefault="00B51CFF" w:rsidP="00DB1D38">
            <w:pPr>
              <w:pStyle w:val="TableText"/>
            </w:pPr>
          </w:p>
          <w:p w14:paraId="15F13D79" w14:textId="46AC9E36" w:rsidR="00B51CFF" w:rsidRDefault="00B51CFF" w:rsidP="00DB1D38">
            <w:pPr>
              <w:pStyle w:val="TableText"/>
              <w:rPr>
                <w:b/>
                <w:bCs/>
                <w:szCs w:val="18"/>
              </w:rPr>
            </w:pPr>
            <w:r>
              <w:rPr>
                <w:b/>
                <w:bCs/>
                <w:szCs w:val="18"/>
              </w:rPr>
              <w:t>NOTES</w:t>
            </w:r>
          </w:p>
          <w:p w14:paraId="62D00519" w14:textId="77777777" w:rsidR="00B51CFF" w:rsidRDefault="00B51CFF" w:rsidP="00DB1D38">
            <w:pPr>
              <w:pStyle w:val="NotesText"/>
            </w:pPr>
          </w:p>
          <w:p w14:paraId="61608E7C" w14:textId="77777777" w:rsidR="00B51CFF" w:rsidRDefault="00B51CFF" w:rsidP="00DB1D38">
            <w:pPr>
              <w:pStyle w:val="NotesText"/>
            </w:pPr>
            <w:r w:rsidRPr="00C21893">
              <w:rPr>
                <w:rFonts w:cs="Arial"/>
                <w:vanish/>
                <w:szCs w:val="18"/>
              </w:rPr>
              <w:t xml:space="preserve">BR_50.04 </w:t>
            </w:r>
            <w:r w:rsidRPr="00C21893">
              <w:rPr>
                <w:rFonts w:cs="Arial"/>
                <w:szCs w:val="18"/>
              </w:rPr>
              <w:t>V</w:t>
            </w:r>
            <w:r>
              <w:t>BECS records the maximum transfusion time from the transfusion start to the transfusion end time in minutes with a default of 270 minutes. The user may edit the maximum transfusion time to a minimum time of 5 minutes and a maximum time of 999 minutes.</w:t>
            </w:r>
          </w:p>
          <w:p w14:paraId="5047154B" w14:textId="77777777" w:rsidR="00B51CFF" w:rsidRDefault="00B51CFF" w:rsidP="00DB1D38">
            <w:pPr>
              <w:pStyle w:val="NotesText"/>
            </w:pPr>
          </w:p>
          <w:p w14:paraId="5208CDD0" w14:textId="77777777" w:rsidR="00B51CFF" w:rsidRDefault="00B51CFF" w:rsidP="00DB1D38">
            <w:pPr>
              <w:pStyle w:val="NotesText"/>
            </w:pPr>
            <w:r>
              <w:t xml:space="preserve">VBECS uses the maximum transfusion times in minutes to determine whether the time used to transfuse a unit of blood is inappropriate for a class. </w:t>
            </w:r>
          </w:p>
        </w:tc>
      </w:tr>
      <w:tr w:rsidR="00B51CFF" w14:paraId="0BA631FE" w14:textId="77777777">
        <w:tc>
          <w:tcPr>
            <w:tcW w:w="3240" w:type="dxa"/>
          </w:tcPr>
          <w:p w14:paraId="60C34870" w14:textId="77777777" w:rsidR="00B51CFF" w:rsidRDefault="00B51CFF" w:rsidP="00DB1D38">
            <w:pPr>
              <w:pStyle w:val="TableTextNumbers"/>
            </w:pPr>
            <w:r>
              <w:t>Define the inappropriate request indicators.</w:t>
            </w:r>
          </w:p>
          <w:p w14:paraId="3EBEDED5" w14:textId="77777777" w:rsidR="00B51CFF" w:rsidRDefault="00B51CFF" w:rsidP="00DB1D38">
            <w:pPr>
              <w:pStyle w:val="TableTextNumbersContinued"/>
              <w:rPr>
                <w:b/>
                <w:bCs/>
              </w:rPr>
            </w:pPr>
          </w:p>
          <w:p w14:paraId="3B776BAB" w14:textId="77777777" w:rsidR="00B51CFF" w:rsidRDefault="00B51CFF" w:rsidP="00DB1D38">
            <w:pPr>
              <w:pStyle w:val="TableTextNumbersContinued"/>
            </w:pPr>
            <w:r>
              <w:t xml:space="preserve">Click the </w:t>
            </w:r>
            <w:r w:rsidR="00A6373D">
              <w:rPr>
                <w:b/>
              </w:rPr>
              <w:t>find</w:t>
            </w:r>
            <w:r w:rsidRPr="00BF2E41">
              <w:t xml:space="preserve"> button</w:t>
            </w:r>
            <w:r>
              <w:t xml:space="preserve"> to search for a new laboratory test name.</w:t>
            </w:r>
          </w:p>
          <w:p w14:paraId="6F6A543D" w14:textId="77777777" w:rsidR="00B51CFF" w:rsidRDefault="00B51CFF" w:rsidP="00DB1D38">
            <w:pPr>
              <w:pStyle w:val="TableTextNumbersContinued"/>
            </w:pPr>
          </w:p>
          <w:p w14:paraId="5D2E8F2F" w14:textId="77777777" w:rsidR="00B51CFF" w:rsidRDefault="00B51CFF" w:rsidP="00DB1D38">
            <w:pPr>
              <w:pStyle w:val="TableTextNumbersContinued"/>
            </w:pPr>
            <w:r>
              <w:t>Enter a partial lab</w:t>
            </w:r>
            <w:r w:rsidR="008632FE">
              <w:t>oratory</w:t>
            </w:r>
            <w:r>
              <w:t xml:space="preserve"> test name and click </w:t>
            </w:r>
            <w:r w:rsidR="00173187" w:rsidRPr="00173187">
              <w:rPr>
                <w:b/>
              </w:rPr>
              <w:t>Search</w:t>
            </w:r>
            <w:r>
              <w:t>.</w:t>
            </w:r>
          </w:p>
          <w:p w14:paraId="5E37F4FC" w14:textId="77777777" w:rsidR="00B51CFF" w:rsidRDefault="00B51CFF" w:rsidP="00DB1D38">
            <w:pPr>
              <w:pStyle w:val="TableTextNumbersContinued"/>
            </w:pPr>
          </w:p>
          <w:p w14:paraId="23BE4B81" w14:textId="77777777" w:rsidR="00B51CFF" w:rsidRDefault="00B51CFF" w:rsidP="00DB1D38">
            <w:pPr>
              <w:pStyle w:val="TableTextNumbersContinued"/>
            </w:pPr>
            <w:r>
              <w:t>Select a lab</w:t>
            </w:r>
            <w:r w:rsidR="008632FE">
              <w:t>oratory</w:t>
            </w:r>
            <w:r>
              <w:t xml:space="preserve"> test name and click </w:t>
            </w:r>
            <w:r>
              <w:rPr>
                <w:b/>
              </w:rPr>
              <w:t>OK</w:t>
            </w:r>
            <w:r>
              <w:t xml:space="preserve"> to add it.</w:t>
            </w:r>
          </w:p>
          <w:p w14:paraId="5663532D" w14:textId="77777777" w:rsidR="00B51CFF" w:rsidRDefault="00B51CFF" w:rsidP="00DB1D38">
            <w:pPr>
              <w:pStyle w:val="TableTextNumbersContinued"/>
            </w:pPr>
          </w:p>
          <w:p w14:paraId="3B7AD1D8" w14:textId="77777777" w:rsidR="00B51CFF" w:rsidRDefault="00B51CFF" w:rsidP="00DB1D38">
            <w:pPr>
              <w:pStyle w:val="TableTextNumbersContinued"/>
            </w:pPr>
            <w:r>
              <w:t xml:space="preserve">Click the </w:t>
            </w:r>
            <w:r>
              <w:rPr>
                <w:b/>
              </w:rPr>
              <w:t xml:space="preserve">Show Inactive Inappropriate Request Indicators </w:t>
            </w:r>
            <w:r w:rsidRPr="00D1100E">
              <w:t>check box</w:t>
            </w:r>
            <w:r>
              <w:t>, if desired.</w:t>
            </w:r>
          </w:p>
        </w:tc>
        <w:tc>
          <w:tcPr>
            <w:tcW w:w="6120" w:type="dxa"/>
          </w:tcPr>
          <w:p w14:paraId="71D125E8" w14:textId="77777777" w:rsidR="00B51CFF" w:rsidRDefault="00B51CFF" w:rsidP="00DB1D38">
            <w:pPr>
              <w:pStyle w:val="TableTextBullet"/>
            </w:pPr>
            <w:r>
              <w:t>Facilitates data entry of one or more inappropriate request indicators:</w:t>
            </w:r>
          </w:p>
          <w:p w14:paraId="7FA81855" w14:textId="77777777" w:rsidR="00B51CFF" w:rsidRDefault="00B51CFF" w:rsidP="00DB1D38">
            <w:pPr>
              <w:pStyle w:val="TableTextBullet1"/>
            </w:pPr>
            <w:r>
              <w:t>Laboratory Test Name</w:t>
            </w:r>
          </w:p>
          <w:p w14:paraId="6EBA7A2C" w14:textId="77777777" w:rsidR="00B51CFF" w:rsidRDefault="00B51CFF" w:rsidP="00DB1D38">
            <w:pPr>
              <w:pStyle w:val="TableTextBullet1"/>
            </w:pPr>
            <w:r>
              <w:t>Specimen Type</w:t>
            </w:r>
          </w:p>
          <w:p w14:paraId="02EDEF96" w14:textId="77777777" w:rsidR="00B51CFF" w:rsidRDefault="00B51CFF" w:rsidP="00DB1D38">
            <w:pPr>
              <w:pStyle w:val="TableTextBullet1"/>
            </w:pPr>
            <w:r>
              <w:t>Threshold Result</w:t>
            </w:r>
          </w:p>
          <w:p w14:paraId="7D0CFBDF" w14:textId="77777777" w:rsidR="00B51CFF" w:rsidRDefault="00B51CFF" w:rsidP="00DB1D38">
            <w:pPr>
              <w:pStyle w:val="TableTextBullet"/>
            </w:pPr>
            <w:r>
              <w:t>Uses VistALink to retrieve the laboratory test name and specimen type indicators. The user enters the threshold result indicator.</w:t>
            </w:r>
          </w:p>
          <w:p w14:paraId="7627848F" w14:textId="77777777" w:rsidR="00B51CFF" w:rsidRDefault="00B51CFF" w:rsidP="00DB1D38">
            <w:pPr>
              <w:pStyle w:val="TableTextBullet"/>
            </w:pPr>
            <w:r>
              <w:t>Displays the entry and allows the user to edit it.</w:t>
            </w:r>
          </w:p>
          <w:p w14:paraId="65155E1A" w14:textId="77777777" w:rsidR="008632FE" w:rsidRDefault="00595334" w:rsidP="00DB1D38">
            <w:pPr>
              <w:pStyle w:val="TableTextBullet"/>
            </w:pPr>
            <w:r>
              <w:t>Displays inactive tests and allows the user to reactivate them.</w:t>
            </w:r>
          </w:p>
          <w:p w14:paraId="7FC80AE5" w14:textId="77777777" w:rsidR="00B51CFF" w:rsidRDefault="00B51CFF" w:rsidP="00DB1D38">
            <w:pPr>
              <w:pStyle w:val="TableText"/>
            </w:pPr>
          </w:p>
          <w:p w14:paraId="3856F245" w14:textId="673E61A5" w:rsidR="00B51CFF" w:rsidRDefault="00B51CFF" w:rsidP="00DB1D38">
            <w:pPr>
              <w:pStyle w:val="TableText"/>
              <w:rPr>
                <w:b/>
                <w:bCs/>
                <w:szCs w:val="18"/>
              </w:rPr>
            </w:pPr>
            <w:r>
              <w:rPr>
                <w:b/>
                <w:bCs/>
                <w:szCs w:val="18"/>
              </w:rPr>
              <w:t>NOTES</w:t>
            </w:r>
          </w:p>
          <w:p w14:paraId="7A991D4D" w14:textId="77777777" w:rsidR="00B51CFF" w:rsidRDefault="00B51CFF" w:rsidP="00DB1D38">
            <w:pPr>
              <w:pStyle w:val="NotesText"/>
            </w:pPr>
          </w:p>
          <w:p w14:paraId="5F0603D0" w14:textId="77777777" w:rsidR="00B51CFF" w:rsidRDefault="00B51CFF" w:rsidP="00DB1D38">
            <w:pPr>
              <w:pStyle w:val="NotesText"/>
            </w:pPr>
            <w:r w:rsidRPr="00E274BF">
              <w:rPr>
                <w:rFonts w:cs="Arial"/>
                <w:vanish/>
                <w:szCs w:val="18"/>
              </w:rPr>
              <w:t>BR_33.01</w:t>
            </w:r>
            <w:r w:rsidRPr="009660C3">
              <w:rPr>
                <w:vanish/>
                <w:szCs w:val="18"/>
              </w:rPr>
              <w:t xml:space="preserve"> </w:t>
            </w:r>
            <w:r>
              <w:t xml:space="preserve">VBECS uses the laboratory test name as the only input parameter to search for all possible matches and return the Laboratory Test Name, Specimen Type(s), and </w:t>
            </w:r>
            <w:r w:rsidRPr="00CA0045">
              <w:t>VistA</w:t>
            </w:r>
            <w:r>
              <w:t xml:space="preserve"> Lab Test </w:t>
            </w:r>
            <w:r w:rsidR="001A1559">
              <w:t>Internal Entry Number (</w:t>
            </w:r>
            <w:r>
              <w:t>IEN</w:t>
            </w:r>
            <w:r w:rsidR="001A1559">
              <w:t>)</w:t>
            </w:r>
            <w:r>
              <w:t>.</w:t>
            </w:r>
          </w:p>
          <w:p w14:paraId="04CD31AF" w14:textId="77777777" w:rsidR="00B51CFF" w:rsidRDefault="00B51CFF" w:rsidP="00DB1D38">
            <w:pPr>
              <w:pStyle w:val="NotesText"/>
            </w:pPr>
          </w:p>
          <w:p w14:paraId="4EF7C85C" w14:textId="77777777" w:rsidR="00B51CFF" w:rsidRDefault="00B51CFF" w:rsidP="00DB1D38">
            <w:pPr>
              <w:pStyle w:val="NotesText"/>
            </w:pPr>
            <w:r w:rsidRPr="00E274BF">
              <w:rPr>
                <w:rFonts w:cs="Arial"/>
                <w:vanish/>
                <w:szCs w:val="18"/>
              </w:rPr>
              <w:t>BR_50.05</w:t>
            </w:r>
            <w:r w:rsidRPr="009660C3">
              <w:rPr>
                <w:vanish/>
                <w:szCs w:val="18"/>
              </w:rPr>
              <w:t xml:space="preserve"> </w:t>
            </w:r>
            <w:r>
              <w:t>A numeric threshold result must include “&lt;” or “&gt;”and a numerical result, e.g., “&gt;8.0.”</w:t>
            </w:r>
          </w:p>
          <w:p w14:paraId="12CE5DB2" w14:textId="77777777" w:rsidR="00B51CFF" w:rsidRDefault="00B51CFF" w:rsidP="00DB1D38">
            <w:pPr>
              <w:pStyle w:val="NotesText"/>
            </w:pPr>
          </w:p>
          <w:p w14:paraId="11ED3B33" w14:textId="77777777" w:rsidR="00B51CFF" w:rsidRDefault="00B51CFF" w:rsidP="00DB1D38">
            <w:pPr>
              <w:pStyle w:val="NotesText"/>
            </w:pPr>
            <w:r>
              <w:t xml:space="preserve">The settings here indicate predetermined levels used to determine the appropriateness of a component order. Settings are different for each component class. The example of a “&gt;8.0” hemoglobin level is set according to local policy. </w:t>
            </w:r>
          </w:p>
          <w:p w14:paraId="5504DC95" w14:textId="77777777" w:rsidR="00B51CFF" w:rsidRDefault="00B51CFF" w:rsidP="00DB1D38">
            <w:pPr>
              <w:pStyle w:val="NotesText"/>
            </w:pPr>
          </w:p>
          <w:p w14:paraId="368F1DCA" w14:textId="77777777" w:rsidR="00B51CFF" w:rsidRDefault="00B51CFF" w:rsidP="00DB1D38">
            <w:pPr>
              <w:pStyle w:val="NotesText"/>
            </w:pPr>
            <w:r>
              <w:t>An example of an inappropriate request indicator:</w:t>
            </w:r>
          </w:p>
          <w:p w14:paraId="2B76AA2C" w14:textId="77777777" w:rsidR="00B51CFF" w:rsidRDefault="00B51CFF" w:rsidP="00DB1D38">
            <w:pPr>
              <w:pStyle w:val="NotesTextBullet"/>
              <w:rPr>
                <w:b/>
              </w:rPr>
            </w:pPr>
            <w:r>
              <w:t>The test name is “HGB.”</w:t>
            </w:r>
          </w:p>
          <w:p w14:paraId="026B2105" w14:textId="77777777" w:rsidR="00B51CFF" w:rsidRDefault="00B51CFF" w:rsidP="00DB1D38">
            <w:pPr>
              <w:pStyle w:val="NotesTextBullet"/>
            </w:pPr>
            <w:r>
              <w:t>The specimen is entered as “Blood.”</w:t>
            </w:r>
          </w:p>
          <w:p w14:paraId="62DE77C8" w14:textId="77777777" w:rsidR="00B51CFF" w:rsidRDefault="00B51CFF" w:rsidP="00DB1D38">
            <w:pPr>
              <w:pStyle w:val="NotesTextBullet"/>
              <w:rPr>
                <w:b/>
              </w:rPr>
            </w:pPr>
            <w:r>
              <w:t>The threshold result is set to “&gt;8.0.”</w:t>
            </w:r>
          </w:p>
        </w:tc>
      </w:tr>
      <w:tr w:rsidR="00B51CFF" w14:paraId="5A316669" w14:textId="77777777">
        <w:tc>
          <w:tcPr>
            <w:tcW w:w="3240" w:type="dxa"/>
          </w:tcPr>
          <w:p w14:paraId="01D88AD5" w14:textId="77777777" w:rsidR="00B51CFF" w:rsidRDefault="00B51CFF" w:rsidP="00DB1D38">
            <w:pPr>
              <w:pStyle w:val="TableTextNumbers"/>
            </w:pPr>
            <w:r>
              <w:t xml:space="preserve">Click </w:t>
            </w:r>
            <w:r>
              <w:rPr>
                <w:b/>
              </w:rPr>
              <w:t>Add</w:t>
            </w:r>
            <w:r>
              <w:t xml:space="preserve"> to add the VBECS component class site parameters to the database.</w:t>
            </w:r>
          </w:p>
        </w:tc>
        <w:tc>
          <w:tcPr>
            <w:tcW w:w="6120" w:type="dxa"/>
          </w:tcPr>
          <w:p w14:paraId="6B52D1A3" w14:textId="77777777" w:rsidR="00B51CFF" w:rsidRDefault="00B51CFF" w:rsidP="00DB1D38">
            <w:pPr>
              <w:pStyle w:val="TableTextBullet"/>
            </w:pPr>
            <w:r>
              <w:t>Displays the component class parameters and allows the user to edit them before saving.</w:t>
            </w:r>
          </w:p>
          <w:p w14:paraId="63414643" w14:textId="77777777" w:rsidR="00B51CFF" w:rsidRDefault="00B51CFF" w:rsidP="00DB1D38">
            <w:pPr>
              <w:pStyle w:val="TableText"/>
            </w:pPr>
          </w:p>
        </w:tc>
      </w:tr>
      <w:tr w:rsidR="00B51CFF" w14:paraId="7FBE5D3E" w14:textId="77777777">
        <w:tc>
          <w:tcPr>
            <w:tcW w:w="3240" w:type="dxa"/>
          </w:tcPr>
          <w:p w14:paraId="34329D77" w14:textId="769ED8B9" w:rsidR="00B51CFF" w:rsidRDefault="00047C63" w:rsidP="00DB1D38">
            <w:pPr>
              <w:pStyle w:val="TableTextNumbers"/>
            </w:pPr>
            <w:r>
              <w:lastRenderedPageBreak/>
              <w:t>Repeat Steps 2</w:t>
            </w:r>
            <w:r w:rsidR="004F5589">
              <w:t xml:space="preserve"> through </w:t>
            </w:r>
            <w:r>
              <w:t>5</w:t>
            </w:r>
            <w:r w:rsidR="00B51CFF">
              <w:t xml:space="preserve"> for each component class to be edited.</w:t>
            </w:r>
          </w:p>
        </w:tc>
        <w:tc>
          <w:tcPr>
            <w:tcW w:w="6120" w:type="dxa"/>
          </w:tcPr>
          <w:p w14:paraId="14CFB779" w14:textId="77777777" w:rsidR="00B51CFF" w:rsidRDefault="00B51CFF" w:rsidP="00DB1D38">
            <w:pPr>
              <w:pStyle w:val="TableText"/>
            </w:pPr>
          </w:p>
        </w:tc>
      </w:tr>
      <w:tr w:rsidR="00B51CFF" w14:paraId="1DAAF0F9" w14:textId="77777777">
        <w:tc>
          <w:tcPr>
            <w:tcW w:w="3240" w:type="dxa"/>
          </w:tcPr>
          <w:p w14:paraId="450C0DE2" w14:textId="77777777" w:rsidR="00B51CFF" w:rsidRDefault="00B51CFF" w:rsidP="00DB1D38">
            <w:pPr>
              <w:pStyle w:val="TableTextNumbers"/>
            </w:pPr>
            <w:r>
              <w:t xml:space="preserve">Click </w:t>
            </w:r>
            <w:r>
              <w:rPr>
                <w:b/>
              </w:rPr>
              <w:t>OK</w:t>
            </w:r>
            <w:r>
              <w:t xml:space="preserve"> to save.</w:t>
            </w:r>
          </w:p>
          <w:p w14:paraId="7A7D6267" w14:textId="77777777" w:rsidR="00B51CFF" w:rsidRDefault="00B51CFF" w:rsidP="00DB1D38">
            <w:pPr>
              <w:pStyle w:val="TableTextNumbersContinued"/>
              <w:rPr>
                <w:b/>
                <w:bCs/>
              </w:rPr>
            </w:pPr>
          </w:p>
          <w:p w14:paraId="3734F850" w14:textId="77777777" w:rsidR="00B51CFF" w:rsidRDefault="00B51CFF" w:rsidP="00DB1D38">
            <w:pPr>
              <w:pStyle w:val="TableTextNumbersContinued"/>
              <w:rPr>
                <w:b/>
                <w:bCs/>
              </w:rPr>
            </w:pPr>
            <w:r>
              <w:rPr>
                <w:rStyle w:val="TableTextNumbersChar"/>
              </w:rPr>
              <w:t xml:space="preserve">Click </w:t>
            </w:r>
            <w:r>
              <w:rPr>
                <w:rStyle w:val="TableTextNumbersChar"/>
                <w:b/>
              </w:rPr>
              <w:t>Yes</w:t>
            </w:r>
            <w:r>
              <w:rPr>
                <w:rStyle w:val="TableTextNumbersChar"/>
              </w:rPr>
              <w:t xml:space="preserve"> to confirm changes and exit.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0626E850" w14:textId="77777777" w:rsidR="00B51CFF" w:rsidRDefault="00B51CFF" w:rsidP="00DB1D38">
            <w:pPr>
              <w:pStyle w:val="TableTextBullet"/>
            </w:pPr>
            <w:r>
              <w:t>Updates the database and captures changes to previously defined parameters for inclusion in an Audit Trail Report.</w:t>
            </w:r>
          </w:p>
        </w:tc>
      </w:tr>
    </w:tbl>
    <w:p w14:paraId="79BDCC44" w14:textId="566E1A46" w:rsidR="002118B0" w:rsidRDefault="002118B0" w:rsidP="002118B0">
      <w:pPr>
        <w:pStyle w:val="Caption"/>
      </w:pPr>
      <w:bookmarkStart w:id="150" w:name="_Ref12647021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23</w:t>
      </w:r>
      <w:r w:rsidR="004E20BD">
        <w:rPr>
          <w:noProof/>
        </w:rPr>
        <w:fldChar w:fldCharType="end"/>
      </w:r>
      <w:bookmarkEnd w:id="150"/>
      <w:r>
        <w:t xml:space="preserve">: </w:t>
      </w:r>
      <w:r w:rsidR="00E76E36">
        <w:t xml:space="preserve">Example of </w:t>
      </w:r>
      <w:r>
        <w:t>Component Classes</w:t>
      </w:r>
    </w:p>
    <w:p w14:paraId="015241D2" w14:textId="77777777" w:rsidR="002118B0" w:rsidRPr="002118B0" w:rsidRDefault="00057948" w:rsidP="0066425F">
      <w:pPr>
        <w:pStyle w:val="BodyText"/>
      </w:pPr>
      <w:r>
        <w:rPr>
          <w:noProof/>
        </w:rPr>
        <w:drawing>
          <wp:inline distT="0" distB="0" distL="0" distR="0" wp14:anchorId="7B7A5E12" wp14:editId="4CAE2C8A">
            <wp:extent cx="5356860" cy="3971925"/>
            <wp:effectExtent l="0" t="0" r="0" b="9525"/>
            <wp:docPr id="125" name="Picture 125" descr="Example of Component Clas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xample of Component Class screen capt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56860" cy="3971925"/>
                    </a:xfrm>
                    <a:prstGeom prst="rect">
                      <a:avLst/>
                    </a:prstGeom>
                    <a:noFill/>
                    <a:ln>
                      <a:noFill/>
                    </a:ln>
                  </pic:spPr>
                </pic:pic>
              </a:graphicData>
            </a:graphic>
          </wp:inline>
        </w:drawing>
      </w:r>
    </w:p>
    <w:p w14:paraId="4BB3C52B" w14:textId="77777777" w:rsidR="00B51CFF" w:rsidRDefault="00AE1227" w:rsidP="00B51CFF">
      <w:pPr>
        <w:pStyle w:val="Heading2"/>
      </w:pPr>
      <w:r>
        <w:br w:type="page"/>
      </w:r>
      <w:bookmarkStart w:id="151" w:name="_Toc163644884"/>
      <w:r w:rsidR="00B51CFF">
        <w:lastRenderedPageBreak/>
        <w:t>Configure Daily QC</w:t>
      </w:r>
      <w:bookmarkEnd w:id="151"/>
      <w:r w:rsidR="00B51CFF" w:rsidRPr="00AB67A6">
        <w:rPr>
          <w:rFonts w:ascii="Arial Bold" w:hAnsi="Arial Bold"/>
          <w:vanish/>
        </w:rPr>
        <w:fldChar w:fldCharType="begin"/>
      </w:r>
      <w:r w:rsidR="00B51CFF" w:rsidRPr="00AB67A6">
        <w:rPr>
          <w:rFonts w:ascii="Arial Bold" w:hAnsi="Arial Bold"/>
          <w:vanish/>
        </w:rPr>
        <w:instrText xml:space="preserve"> XE “Configure Daily QC” </w:instrText>
      </w:r>
      <w:r w:rsidR="00B51CFF" w:rsidRPr="00AB67A6">
        <w:rPr>
          <w:rFonts w:ascii="Arial Bold" w:hAnsi="Arial Bold"/>
          <w:vanish/>
        </w:rPr>
        <w:fldChar w:fldCharType="end"/>
      </w:r>
      <w:r w:rsidR="00B51CFF" w:rsidRPr="00AB67A6">
        <w:rPr>
          <w:rFonts w:ascii="Arial Bold" w:hAnsi="Arial Bold"/>
          <w:vanish/>
        </w:rPr>
        <w:t xml:space="preserve"> UC_51</w:t>
      </w:r>
    </w:p>
    <w:p w14:paraId="4A9FDF15" w14:textId="77777777" w:rsidR="00B51CFF" w:rsidRDefault="00B51CFF" w:rsidP="00B51CFF">
      <w:pPr>
        <w:pStyle w:val="BodyText"/>
      </w:pPr>
      <w:bookmarkStart w:id="152" w:name="_Toc63680373"/>
      <w:r>
        <w:t>The user sets up the routine reagent racks and QC template for the division before performing daily reagent QC.</w:t>
      </w:r>
    </w:p>
    <w:p w14:paraId="723E1379" w14:textId="77777777" w:rsidR="00B51CFF" w:rsidRDefault="00B51CFF" w:rsidP="00B51CFF">
      <w:pPr>
        <w:pStyle w:val="Heading4"/>
      </w:pPr>
      <w:r>
        <w:t>Assumptions</w:t>
      </w:r>
      <w:r>
        <w:rPr>
          <w:b w:val="0"/>
        </w:rPr>
        <w:t xml:space="preserve"> </w:t>
      </w:r>
    </w:p>
    <w:p w14:paraId="527E09E8" w14:textId="77777777" w:rsidR="00B51CFF" w:rsidRDefault="00B51CFF" w:rsidP="00B51CFF">
      <w:pPr>
        <w:pStyle w:val="ListBullet"/>
      </w:pPr>
      <w:r>
        <w:t xml:space="preserve">The division is “full service.” </w:t>
      </w:r>
    </w:p>
    <w:p w14:paraId="484EFA59" w14:textId="77777777" w:rsidR="00B51CFF" w:rsidRDefault="00B51CFF" w:rsidP="00B51CFF">
      <w:pPr>
        <w:pStyle w:val="ListBullet"/>
      </w:pPr>
      <w:r>
        <w:t>In the first use of this option, there are no defaults or data in place until the user selects the type of QC template (commercial or non-commercial).</w:t>
      </w:r>
    </w:p>
    <w:p w14:paraId="18E705D8" w14:textId="77777777" w:rsidR="00B51CFF" w:rsidRDefault="00DD75E5" w:rsidP="00B51CFF">
      <w:pPr>
        <w:pStyle w:val="Heading4"/>
      </w:pPr>
      <w:r>
        <w:t>Outcome</w:t>
      </w:r>
    </w:p>
    <w:p w14:paraId="71D7FD51" w14:textId="77777777" w:rsidR="00B51CFF" w:rsidRDefault="00B51CFF" w:rsidP="00B51CFF">
      <w:pPr>
        <w:pStyle w:val="ListBullet"/>
      </w:pPr>
      <w:r>
        <w:t>A testing template is available for Enter Daily QC Results; reagent racks and identifiers were created.</w:t>
      </w:r>
    </w:p>
    <w:p w14:paraId="061E0211" w14:textId="77777777" w:rsidR="00B51CFF" w:rsidRDefault="00B51CFF" w:rsidP="00B51CFF">
      <w:pPr>
        <w:pStyle w:val="ListBullet"/>
      </w:pPr>
      <w:r>
        <w:t>Minimum reaction strengths for each reagent type are defined and used by Enter Daily QC Results.</w:t>
      </w:r>
    </w:p>
    <w:p w14:paraId="4842008B" w14:textId="77777777" w:rsidR="00B51CFF" w:rsidRDefault="00B51CFF" w:rsidP="00B51CFF">
      <w:pPr>
        <w:pStyle w:val="ListBullet"/>
      </w:pPr>
      <w:r>
        <w:rPr>
          <w:rFonts w:ascii="Arial" w:hAnsi="Arial" w:cs="Arial"/>
          <w:vanish/>
          <w:spacing w:val="0"/>
          <w:sz w:val="18"/>
        </w:rPr>
        <w:t xml:space="preserve">BR_51.16 </w:t>
      </w:r>
      <w:r>
        <w:t>A historical record for each rack will be maintained.</w:t>
      </w:r>
    </w:p>
    <w:p w14:paraId="271BC172" w14:textId="77777777" w:rsidR="00B51CFF" w:rsidRDefault="00B51CFF" w:rsidP="00B51CFF">
      <w:pPr>
        <w:pStyle w:val="ListBullet"/>
      </w:pPr>
      <w:r>
        <w:rPr>
          <w:rFonts w:ascii="Arial" w:hAnsi="Arial" w:cs="Arial"/>
          <w:vanish/>
          <w:spacing w:val="0"/>
          <w:sz w:val="18"/>
        </w:rPr>
        <w:t xml:space="preserve">BR_51.11 </w:t>
      </w:r>
      <w:r>
        <w:t>Rack names created are available for use by other options.</w:t>
      </w:r>
    </w:p>
    <w:p w14:paraId="6ED8E9EF" w14:textId="77777777" w:rsidR="00B51CFF" w:rsidRDefault="00B51CFF" w:rsidP="00B51CFF">
      <w:pPr>
        <w:pStyle w:val="Heading4"/>
      </w:pPr>
      <w:r>
        <w:t>Limitations and Restrictions</w:t>
      </w:r>
      <w:r>
        <w:rPr>
          <w:b w:val="0"/>
        </w:rPr>
        <w:t xml:space="preserve"> </w:t>
      </w:r>
    </w:p>
    <w:p w14:paraId="12936685" w14:textId="77777777" w:rsidR="00B51CFF" w:rsidRDefault="00B51CFF" w:rsidP="00B51CFF">
      <w:pPr>
        <w:pStyle w:val="ListBullet"/>
      </w:pPr>
      <w:r>
        <w:t xml:space="preserve">This option pertains only to routine reagents. </w:t>
      </w:r>
    </w:p>
    <w:p w14:paraId="3BD0B6FC" w14:textId="77777777" w:rsidR="00FC35D4" w:rsidRDefault="00FC35D4" w:rsidP="00B51CFF">
      <w:pPr>
        <w:pStyle w:val="ListBullet"/>
      </w:pPr>
      <w:r>
        <w:rPr>
          <w:rFonts w:cs="Arial"/>
        </w:rPr>
        <w:t xml:space="preserve">When there are partially or currently QC’d racks in the system, the user may not change the QC template. </w:t>
      </w:r>
    </w:p>
    <w:p w14:paraId="5108C400" w14:textId="77777777" w:rsidR="00B51CFF" w:rsidRDefault="00B51CFF" w:rsidP="00B51CFF">
      <w:pPr>
        <w:pStyle w:val="Heading4"/>
      </w:pPr>
      <w:r>
        <w:t>Additional Information</w:t>
      </w:r>
    </w:p>
    <w:p w14:paraId="585427C3" w14:textId="1BF80EEA" w:rsidR="00852AC1" w:rsidRPr="00852AC1" w:rsidRDefault="00852AC1" w:rsidP="00852AC1">
      <w:pPr>
        <w:pStyle w:val="ListBullet"/>
      </w:pPr>
      <w:r w:rsidRPr="00852AC1">
        <w:rPr>
          <w:snapToGrid w:val="0"/>
          <w:vanish/>
        </w:rPr>
        <w:t>BR_</w:t>
      </w:r>
      <w:r w:rsidR="00F63A03">
        <w:rPr>
          <w:snapToGrid w:val="0"/>
          <w:vanish/>
        </w:rPr>
        <w:t>2.43</w:t>
      </w:r>
      <w:r>
        <w:rPr>
          <w:snapToGrid w:val="0"/>
        </w:rPr>
        <w:t>This option is disabled for transfusion-only facilities.</w:t>
      </w:r>
      <w:r w:rsidR="003D71A3">
        <w:rPr>
          <w:snapToGrid w:val="0"/>
        </w:rPr>
        <w:t xml:space="preserve"> </w:t>
      </w:r>
    </w:p>
    <w:p w14:paraId="2F865608" w14:textId="1F55374C" w:rsidR="00B51CFF" w:rsidRPr="00AB4BD9" w:rsidRDefault="00B51CFF" w:rsidP="00384190">
      <w:pPr>
        <w:pStyle w:val="ListBullet"/>
        <w:rPr>
          <w:vanish/>
        </w:rPr>
      </w:pPr>
      <w:r>
        <w:rPr>
          <w:snapToGrid w:val="0"/>
        </w:rPr>
        <w:t>The naming convention for the active template is not editable.</w:t>
      </w:r>
      <w:r>
        <w:t xml:space="preserve"> When fewer racks are indicated, the system will inactivate existing rack names to keep the list in order without skipping a number or letter. Rack names are reusable.</w:t>
      </w:r>
      <w:r w:rsidR="00FC4E14">
        <w:t xml:space="preserve"> </w:t>
      </w:r>
      <w:r w:rsidR="00A922BB">
        <w:t>It is recommended for</w:t>
      </w:r>
      <w:r w:rsidR="00FC4E14">
        <w:t xml:space="preserve"> s</w:t>
      </w:r>
      <w:r w:rsidR="00FC4E14" w:rsidRPr="00FC4E14">
        <w:t>ites comprisi</w:t>
      </w:r>
      <w:r w:rsidR="00A922BB">
        <w:t xml:space="preserve">ng a multidivision to </w:t>
      </w:r>
      <w:r w:rsidR="00FC4E14" w:rsidRPr="00FC4E14">
        <w:t>assign different reagent rack names to prevent overlap</w:t>
      </w:r>
      <w:r w:rsidR="002B64D8">
        <w:t xml:space="preserve"> (See </w:t>
      </w:r>
      <w:r w:rsidR="002B64D8" w:rsidRPr="00423A7F">
        <w:rPr>
          <w:i/>
          <w:iCs/>
        </w:rPr>
        <w:t xml:space="preserve">FAQ </w:t>
      </w:r>
      <w:r w:rsidR="00384190" w:rsidRPr="00423A7F">
        <w:rPr>
          <w:i/>
          <w:iCs/>
        </w:rPr>
        <w:t>Multidivisional QC Rack Workaround</w:t>
      </w:r>
      <w:r w:rsidR="00384190">
        <w:t>).</w:t>
      </w:r>
      <w:r w:rsidR="00AB4BD9">
        <w:t xml:space="preserve"> </w:t>
      </w:r>
      <w:r w:rsidR="00AB4BD9" w:rsidRPr="00AB4BD9">
        <w:rPr>
          <w:vanish/>
        </w:rPr>
        <w:t>Defect 209622</w:t>
      </w:r>
    </w:p>
    <w:p w14:paraId="4F9F43DA" w14:textId="77777777" w:rsidR="00B51CFF" w:rsidRDefault="00B51CFF" w:rsidP="00B51CFF">
      <w:pPr>
        <w:pStyle w:val="ListBullet"/>
      </w:pPr>
      <w:r>
        <w:rPr>
          <w:rFonts w:ascii="Arial" w:hAnsi="Arial" w:cs="Arial"/>
          <w:vanish/>
          <w:spacing w:val="0"/>
          <w:sz w:val="18"/>
        </w:rPr>
        <w:t xml:space="preserve">BR_51.09 </w:t>
      </w:r>
      <w:r>
        <w:t>The daily use field for QC Rack template entries exported as REQUIRED for Daily Use are not editable by the user. The daily use field for entries exported with the daily use as OPTIONAL may be changed to be REQUIRED and remain editable by the user at any time.</w:t>
      </w:r>
    </w:p>
    <w:p w14:paraId="2BFADEF5" w14:textId="3B01F2DC" w:rsidR="00B51CFF" w:rsidRDefault="00B51CFF" w:rsidP="00B51CFF">
      <w:pPr>
        <w:pStyle w:val="ListBullet"/>
      </w:pPr>
      <w:r>
        <w:rPr>
          <w:rFonts w:ascii="Arial" w:hAnsi="Arial" w:cs="Arial"/>
          <w:vanish/>
          <w:spacing w:val="0"/>
          <w:sz w:val="18"/>
        </w:rPr>
        <w:t xml:space="preserve">BR_51.08 </w:t>
      </w:r>
      <w:r>
        <w:t xml:space="preserve">If Screening Cell 3 (SC3) and/or (SC4) are set to “required” as part of the configuration of the antibody screening cell </w:t>
      </w:r>
      <w:r w:rsidR="008848DB">
        <w:t>set,</w:t>
      </w:r>
      <w:r>
        <w:t xml:space="preserve"> they are enabled on the antibody screen data grid.</w:t>
      </w:r>
    </w:p>
    <w:p w14:paraId="524831E6" w14:textId="77777777" w:rsidR="00B51CFF" w:rsidRDefault="00B51CFF" w:rsidP="00B51CFF">
      <w:pPr>
        <w:pStyle w:val="ListBullet"/>
      </w:pPr>
      <w:r>
        <w:rPr>
          <w:rFonts w:ascii="Arial" w:hAnsi="Arial" w:cs="Arial"/>
          <w:vanish/>
          <w:spacing w:val="0"/>
          <w:sz w:val="18"/>
        </w:rPr>
        <w:t xml:space="preserve">BR_51.07 </w:t>
      </w:r>
      <w:r w:rsidR="009D7320">
        <w:t xml:space="preserve">The user must identify an enhancement media reagent type as the primary. </w:t>
      </w:r>
      <w:r w:rsidR="00256CC3">
        <w:t>I</w:t>
      </w:r>
      <w:r>
        <w:t>n addition</w:t>
      </w:r>
      <w:r w:rsidR="00256CC3">
        <w:t xml:space="preserve">, the user </w:t>
      </w:r>
      <w:r>
        <w:t xml:space="preserve">must identify </w:t>
      </w:r>
      <w:r w:rsidR="004A1342">
        <w:t>the Anti-</w:t>
      </w:r>
      <w:r>
        <w:t>Human Globulin serum used during daily quality control testing of the screening cells and primary enhancement media.</w:t>
      </w:r>
    </w:p>
    <w:p w14:paraId="36AF16AD" w14:textId="77777777" w:rsidR="00B51CFF" w:rsidRDefault="00B51CFF" w:rsidP="00B51CFF">
      <w:pPr>
        <w:pStyle w:val="ListBullet"/>
      </w:pPr>
      <w:r>
        <w:t>VBECS does not evaluate maximum strength of reaction for daily QC, as required by CAP. Local policy must define maximum strength of reaction.</w:t>
      </w:r>
    </w:p>
    <w:p w14:paraId="7605C7AE" w14:textId="77777777" w:rsidR="00B51CFF" w:rsidRDefault="00B51CFF" w:rsidP="00B51CFF">
      <w:pPr>
        <w:pStyle w:val="Heading4"/>
        <w:rPr>
          <w:b w:val="0"/>
        </w:rPr>
      </w:pPr>
      <w:r>
        <w:t>User Roles with Access to This Option</w:t>
      </w:r>
      <w:r>
        <w:rPr>
          <w:b w:val="0"/>
        </w:rPr>
        <w:t xml:space="preserve"> </w:t>
      </w:r>
    </w:p>
    <w:p w14:paraId="56CA606F"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CE276D7" w14:textId="77777777" w:rsidR="00B51CFF" w:rsidRDefault="00B51CFF" w:rsidP="007E3EE1">
      <w:pPr>
        <w:pStyle w:val="Heading4"/>
        <w:keepLines/>
      </w:pPr>
      <w:r>
        <w:lastRenderedPageBreak/>
        <w:t xml:space="preserve">Configure Daily QC </w:t>
      </w:r>
    </w:p>
    <w:p w14:paraId="06F5DAE5" w14:textId="5968A6D9" w:rsidR="00B51CFF" w:rsidRDefault="00B51CFF" w:rsidP="007E3EE1">
      <w:pPr>
        <w:pStyle w:val="BodyText"/>
        <w:keepNext/>
        <w:keepLines/>
      </w:pPr>
      <w:r>
        <w:t xml:space="preserve">The user sets up the daily reagent QC template for reagent rack testing for the division. In the first use of this option, all fields default to blank with no template preferred. </w:t>
      </w:r>
      <w:r>
        <w:rPr>
          <w:rFonts w:ascii="Arial" w:hAnsi="Arial" w:cs="Arial"/>
          <w:vanish/>
          <w:sz w:val="18"/>
        </w:rPr>
        <w:t xml:space="preserve">BR_51.19 </w:t>
      </w:r>
      <w:r w:rsidR="00F92E73">
        <w:t xml:space="preserve">Additional tests are available and may be included in the daily QC testing template in accordance with local </w:t>
      </w:r>
      <w:r w:rsidR="00541DC0">
        <w:t>practice. When</w:t>
      </w:r>
      <w:r>
        <w:t xml:space="preserve"> a user changes the active template, there is no carryover of field settings to the new template. All are set to the default and configuration must be completed.</w:t>
      </w:r>
      <w:r w:rsidR="00F92E73" w:rsidRPr="00F92E73">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1A21F25A" w14:textId="77777777">
        <w:trPr>
          <w:cantSplit/>
          <w:tblHeader/>
        </w:trPr>
        <w:tc>
          <w:tcPr>
            <w:tcW w:w="3240" w:type="dxa"/>
            <w:shd w:val="pct30" w:color="auto" w:fill="FFFFFF"/>
            <w:vAlign w:val="bottom"/>
          </w:tcPr>
          <w:p w14:paraId="20DB2CEE" w14:textId="77777777" w:rsidR="00B51CFF" w:rsidRDefault="00B51CFF" w:rsidP="00DB1D38">
            <w:pPr>
              <w:pStyle w:val="TableText"/>
              <w:rPr>
                <w:b/>
              </w:rPr>
            </w:pPr>
            <w:r>
              <w:rPr>
                <w:b/>
              </w:rPr>
              <w:t>User Action</w:t>
            </w:r>
          </w:p>
        </w:tc>
        <w:tc>
          <w:tcPr>
            <w:tcW w:w="6120" w:type="dxa"/>
            <w:shd w:val="pct30" w:color="auto" w:fill="FFFFFF"/>
            <w:vAlign w:val="bottom"/>
          </w:tcPr>
          <w:p w14:paraId="1357609C" w14:textId="77777777" w:rsidR="00B51CFF" w:rsidRDefault="00B51CFF" w:rsidP="00DB1D38">
            <w:pPr>
              <w:pStyle w:val="TableText"/>
              <w:rPr>
                <w:b/>
              </w:rPr>
            </w:pPr>
            <w:r>
              <w:rPr>
                <w:b/>
              </w:rPr>
              <w:t>VBECS</w:t>
            </w:r>
          </w:p>
        </w:tc>
      </w:tr>
      <w:tr w:rsidR="00B51CFF" w14:paraId="654EBC3F" w14:textId="77777777">
        <w:trPr>
          <w:cantSplit/>
        </w:trPr>
        <w:tc>
          <w:tcPr>
            <w:tcW w:w="3240" w:type="dxa"/>
          </w:tcPr>
          <w:p w14:paraId="235B2A95" w14:textId="77777777" w:rsidR="00B51CFF" w:rsidRDefault="00B51CFF" w:rsidP="00DB1D38">
            <w:pPr>
              <w:pStyle w:val="TableTextNumbers"/>
            </w:pPr>
            <w:r>
              <w:t xml:space="preserve">Select </w:t>
            </w:r>
            <w:r>
              <w:rPr>
                <w:b/>
              </w:rPr>
              <w:t>Reagents</w:t>
            </w:r>
            <w:r>
              <w:t xml:space="preserve"> from the main menu. </w:t>
            </w:r>
          </w:p>
          <w:p w14:paraId="7B7D5F55" w14:textId="77777777" w:rsidR="00B51CFF" w:rsidRDefault="00B51CFF" w:rsidP="00DB1D38">
            <w:pPr>
              <w:pStyle w:val="TableTextNumbersContinued"/>
            </w:pPr>
          </w:p>
          <w:p w14:paraId="13BF2B7B" w14:textId="77777777" w:rsidR="00B51CFF" w:rsidRDefault="00B51CFF" w:rsidP="00DB1D38">
            <w:pPr>
              <w:pStyle w:val="TableTextNumbersContinued"/>
            </w:pPr>
            <w:r>
              <w:t xml:space="preserve">Select </w:t>
            </w:r>
            <w:r>
              <w:rPr>
                <w:b/>
              </w:rPr>
              <w:t>Configure Daily QC</w:t>
            </w:r>
            <w:r>
              <w:t>.</w:t>
            </w:r>
          </w:p>
        </w:tc>
        <w:tc>
          <w:tcPr>
            <w:tcW w:w="6120" w:type="dxa"/>
          </w:tcPr>
          <w:p w14:paraId="27F3BADE" w14:textId="77777777" w:rsidR="00B51CFF" w:rsidRDefault="00B51CFF" w:rsidP="00DB1D38">
            <w:pPr>
              <w:pStyle w:val="TableTextBullet"/>
            </w:pPr>
            <w:r>
              <w:t>Displays options for processing reagents.</w:t>
            </w:r>
          </w:p>
          <w:p w14:paraId="4C549E6E" w14:textId="77777777" w:rsidR="00B51CFF" w:rsidRDefault="00B51CFF" w:rsidP="00DB1D38">
            <w:pPr>
              <w:pStyle w:val="TableTextBullet"/>
            </w:pPr>
            <w:r>
              <w:t>Displays an option to configure online Daily Reagent Rack Quality Control.</w:t>
            </w:r>
          </w:p>
        </w:tc>
      </w:tr>
      <w:tr w:rsidR="00B51CFF" w14:paraId="7337E5C2" w14:textId="77777777">
        <w:trPr>
          <w:cantSplit/>
        </w:trPr>
        <w:tc>
          <w:tcPr>
            <w:tcW w:w="3240" w:type="dxa"/>
          </w:tcPr>
          <w:p w14:paraId="1898B85F" w14:textId="7E68FF00" w:rsidR="00B51CFF" w:rsidRDefault="00B51CFF" w:rsidP="00DB1D38">
            <w:pPr>
              <w:pStyle w:val="TableTextNumbers"/>
            </w:pPr>
            <w:r>
              <w:t xml:space="preserve">Click the </w:t>
            </w:r>
            <w:r>
              <w:rPr>
                <w:b/>
              </w:rPr>
              <w:t>Commercial</w:t>
            </w:r>
            <w:r>
              <w:t xml:space="preserve"> or </w:t>
            </w:r>
            <w:r>
              <w:rPr>
                <w:b/>
              </w:rPr>
              <w:t>Non-Commercial</w:t>
            </w:r>
            <w:r>
              <w:t xml:space="preserve"> </w:t>
            </w:r>
            <w:r w:rsidRPr="00BF2E41">
              <w:t>radio button</w:t>
            </w:r>
            <w:r w:rsidR="00EC1B75">
              <w:t xml:space="preserve"> (</w:t>
            </w:r>
            <w:r w:rsidR="00EE455E" w:rsidRPr="00584AF9">
              <w:t xml:space="preserve">Figure </w:t>
            </w:r>
            <w:r w:rsidR="00EE455E">
              <w:rPr>
                <w:noProof/>
                <w:lang w:val="fr-CA"/>
              </w:rPr>
              <w:t>23</w:t>
            </w:r>
            <w:r w:rsidR="00910AA5" w:rsidRPr="00910AA5">
              <w:t>)</w:t>
            </w:r>
            <w:r>
              <w:t>.</w:t>
            </w:r>
          </w:p>
          <w:p w14:paraId="35E5D52D" w14:textId="77777777" w:rsidR="00B51CFF" w:rsidRDefault="00B51CFF" w:rsidP="00DB1D38">
            <w:pPr>
              <w:pStyle w:val="TableText"/>
            </w:pPr>
          </w:p>
        </w:tc>
        <w:tc>
          <w:tcPr>
            <w:tcW w:w="6120" w:type="dxa"/>
          </w:tcPr>
          <w:p w14:paraId="4D2FEFD2" w14:textId="77777777" w:rsidR="00B51CFF" w:rsidRDefault="00B51CFF" w:rsidP="00DB1D38">
            <w:pPr>
              <w:pStyle w:val="TableTextBullet"/>
            </w:pPr>
            <w:r>
              <w:t>Lists the two system-supplied Daily QC templates.</w:t>
            </w:r>
          </w:p>
          <w:p w14:paraId="43102846" w14:textId="77777777" w:rsidR="00B51CFF" w:rsidRDefault="00B51CFF" w:rsidP="00DB1D38">
            <w:pPr>
              <w:pStyle w:val="TableTextBullet1"/>
            </w:pPr>
            <w:r>
              <w:t>Commercial Daily QC</w:t>
            </w:r>
          </w:p>
          <w:p w14:paraId="5DE5EF3A" w14:textId="77777777" w:rsidR="00B51CFF" w:rsidRDefault="00B51CFF" w:rsidP="00DB1D38">
            <w:pPr>
              <w:pStyle w:val="TableTextBullet1"/>
            </w:pPr>
            <w:r>
              <w:t>Non-commercial Daily QC</w:t>
            </w:r>
          </w:p>
          <w:p w14:paraId="59177031" w14:textId="77777777" w:rsidR="00545664" w:rsidRDefault="00545664" w:rsidP="00545664">
            <w:pPr>
              <w:pStyle w:val="TableTextBullet"/>
            </w:pPr>
            <w:r>
              <w:t>When there are partially or currently QC’d racks in the system, warns the user to wait until QC expires (passes the daily alert time) and then make the changes.</w:t>
            </w:r>
          </w:p>
        </w:tc>
      </w:tr>
      <w:tr w:rsidR="00B51CFF" w14:paraId="154E1D3C" w14:textId="77777777">
        <w:trPr>
          <w:cantSplit/>
        </w:trPr>
        <w:tc>
          <w:tcPr>
            <w:tcW w:w="3240" w:type="dxa"/>
          </w:tcPr>
          <w:p w14:paraId="42763B23" w14:textId="77777777" w:rsidR="00B51CFF" w:rsidRDefault="00B51CFF" w:rsidP="00DB1D38">
            <w:pPr>
              <w:pStyle w:val="TableTextNumbers"/>
            </w:pPr>
            <w:r>
              <w:t>Set the daily alert time.</w:t>
            </w:r>
          </w:p>
        </w:tc>
        <w:tc>
          <w:tcPr>
            <w:tcW w:w="6120" w:type="dxa"/>
          </w:tcPr>
          <w:p w14:paraId="4CC78AB3" w14:textId="77777777" w:rsidR="00B51CFF" w:rsidRDefault="00B51CFF" w:rsidP="00DB1D38">
            <w:pPr>
              <w:pStyle w:val="TableTextBullet"/>
            </w:pPr>
            <w:r>
              <w:t>Asks the user to set the time the daily alert to all users at the site will begin.</w:t>
            </w:r>
          </w:p>
          <w:p w14:paraId="1E20DED4" w14:textId="77777777" w:rsidR="00B51CFF" w:rsidRDefault="00B51CFF" w:rsidP="00DB1D38">
            <w:pPr>
              <w:pStyle w:val="TableText"/>
            </w:pPr>
          </w:p>
          <w:p w14:paraId="6E1130C5" w14:textId="5F34E396" w:rsidR="00B51CFF" w:rsidRDefault="00B51CFF" w:rsidP="00DB1D38">
            <w:pPr>
              <w:pStyle w:val="TableText"/>
              <w:rPr>
                <w:b/>
                <w:bCs/>
                <w:szCs w:val="18"/>
              </w:rPr>
            </w:pPr>
            <w:r>
              <w:rPr>
                <w:b/>
                <w:bCs/>
                <w:szCs w:val="18"/>
              </w:rPr>
              <w:t>NOTES</w:t>
            </w:r>
          </w:p>
          <w:p w14:paraId="2488F9E4" w14:textId="77777777" w:rsidR="00B51CFF" w:rsidRDefault="00B51CFF" w:rsidP="00DB1D38">
            <w:pPr>
              <w:pStyle w:val="NotesText"/>
            </w:pPr>
          </w:p>
          <w:p w14:paraId="35E77147" w14:textId="77777777" w:rsidR="00B51CFF" w:rsidRDefault="00B51CFF" w:rsidP="00DB1D38">
            <w:pPr>
              <w:pStyle w:val="NotesText"/>
            </w:pPr>
            <w:r>
              <w:rPr>
                <w:rFonts w:cs="Arial"/>
                <w:vanish/>
              </w:rPr>
              <w:t xml:space="preserve">BR_51.02 </w:t>
            </w:r>
            <w:r>
              <w:t>The user indicates the local time that defines the start of the 24-hour period (the QC day) during which a rack is considered QC’d. VBECS alerts users when a rack was not performed after this local time passed.</w:t>
            </w:r>
          </w:p>
          <w:p w14:paraId="0AF17548" w14:textId="77777777" w:rsidR="00122EF8" w:rsidRDefault="00122EF8" w:rsidP="00122EF8">
            <w:pPr>
              <w:pStyle w:val="NotesText"/>
              <w:rPr>
                <w:rFonts w:cs="Arial"/>
                <w:szCs w:val="18"/>
              </w:rPr>
            </w:pPr>
          </w:p>
          <w:p w14:paraId="6C2CFF61" w14:textId="77777777" w:rsidR="000D0722" w:rsidRPr="00122EF8" w:rsidRDefault="000D0722" w:rsidP="00122EF8">
            <w:pPr>
              <w:pStyle w:val="NotesText"/>
              <w:rPr>
                <w:rFonts w:cs="Arial"/>
                <w:szCs w:val="18"/>
              </w:rPr>
            </w:pPr>
            <w:r>
              <w:t>The user may test a rack no earlier than the alert time</w:t>
            </w:r>
            <w:r w:rsidR="00543DAF">
              <w:t xml:space="preserve"> for the next 24 hours</w:t>
            </w:r>
            <w:r>
              <w:t xml:space="preserve">. </w:t>
            </w:r>
            <w:r w:rsidR="00D94DA3" w:rsidRPr="00D94DA3">
              <w:rPr>
                <w:vanish/>
              </w:rPr>
              <w:t xml:space="preserve"> (DR 2,716)</w:t>
            </w:r>
          </w:p>
        </w:tc>
      </w:tr>
      <w:tr w:rsidR="00B51CFF" w14:paraId="78628DC8" w14:textId="77777777">
        <w:trPr>
          <w:cantSplit/>
        </w:trPr>
        <w:tc>
          <w:tcPr>
            <w:tcW w:w="3240" w:type="dxa"/>
          </w:tcPr>
          <w:p w14:paraId="70C436F9" w14:textId="77777777" w:rsidR="00B51CFF" w:rsidRDefault="00B51CFF" w:rsidP="00DB1D38">
            <w:pPr>
              <w:pStyle w:val="TableTextNumbers"/>
            </w:pPr>
            <w:r>
              <w:t>Enter the number of racks at the site.</w:t>
            </w:r>
          </w:p>
          <w:p w14:paraId="327DE6CB" w14:textId="77777777" w:rsidR="00B51CFF" w:rsidRDefault="00B51CFF" w:rsidP="00DB1D38">
            <w:pPr>
              <w:pStyle w:val="TableTextNumbersContinued"/>
            </w:pPr>
          </w:p>
          <w:p w14:paraId="230BC8CC" w14:textId="77777777" w:rsidR="00B51CFF" w:rsidRDefault="00B51CFF" w:rsidP="00DB1D38">
            <w:pPr>
              <w:pStyle w:val="TableTextNumbersContinued"/>
            </w:pPr>
            <w:r>
              <w:t>Select a naming convention.</w:t>
            </w:r>
          </w:p>
        </w:tc>
        <w:tc>
          <w:tcPr>
            <w:tcW w:w="6120" w:type="dxa"/>
          </w:tcPr>
          <w:p w14:paraId="162305CA" w14:textId="77777777" w:rsidR="00B51CFF" w:rsidRDefault="00B51CFF" w:rsidP="00DB1D38">
            <w:pPr>
              <w:pStyle w:val="TableTextBullet"/>
            </w:pPr>
            <w:r>
              <w:t>Asks the user to set the number of racks to be QC’d daily at the division.</w:t>
            </w:r>
          </w:p>
          <w:p w14:paraId="58A1DB64" w14:textId="77777777" w:rsidR="00B51CFF" w:rsidRDefault="00B51CFF" w:rsidP="00DB1D38">
            <w:pPr>
              <w:pStyle w:val="TableTextBullet"/>
            </w:pPr>
            <w:r>
              <w:t>Asks the user to set the naming convention for racks.</w:t>
            </w:r>
          </w:p>
          <w:p w14:paraId="546A7055" w14:textId="77777777" w:rsidR="00B51CFF" w:rsidRDefault="00B51CFF" w:rsidP="00DB1D38">
            <w:pPr>
              <w:pStyle w:val="TableText"/>
              <w:rPr>
                <w:b/>
                <w:bCs/>
                <w:szCs w:val="18"/>
              </w:rPr>
            </w:pPr>
          </w:p>
          <w:p w14:paraId="12644107" w14:textId="0B0BD9DF" w:rsidR="00B51CFF" w:rsidRDefault="00B51CFF" w:rsidP="00DB1D38">
            <w:pPr>
              <w:pStyle w:val="TableText"/>
              <w:rPr>
                <w:b/>
                <w:bCs/>
                <w:szCs w:val="18"/>
              </w:rPr>
            </w:pPr>
            <w:r>
              <w:rPr>
                <w:b/>
                <w:bCs/>
                <w:szCs w:val="18"/>
              </w:rPr>
              <w:t>NOTES</w:t>
            </w:r>
          </w:p>
          <w:p w14:paraId="2B1F5C59" w14:textId="77777777" w:rsidR="00B51CFF" w:rsidRDefault="00B51CFF" w:rsidP="00DB1D38">
            <w:pPr>
              <w:pStyle w:val="NotesText"/>
              <w:ind w:left="0"/>
            </w:pPr>
          </w:p>
          <w:p w14:paraId="6D267BA6" w14:textId="77777777" w:rsidR="00B51CFF" w:rsidRDefault="00B51CFF" w:rsidP="00DB1D38">
            <w:pPr>
              <w:pStyle w:val="NotesText"/>
            </w:pPr>
            <w:r>
              <w:rPr>
                <w:rFonts w:cs="Arial"/>
                <w:vanish/>
                <w:szCs w:val="18"/>
              </w:rPr>
              <w:t>BR_51.01</w:t>
            </w:r>
            <w:r w:rsidR="00CE3961">
              <w:rPr>
                <w:rFonts w:cs="Arial"/>
                <w:vanish/>
                <w:szCs w:val="18"/>
              </w:rPr>
              <w:t>,</w:t>
            </w:r>
            <w:r>
              <w:rPr>
                <w:rFonts w:cs="Arial"/>
                <w:vanish/>
                <w:szCs w:val="18"/>
              </w:rPr>
              <w:t xml:space="preserve"> </w:t>
            </w:r>
            <w:r>
              <w:rPr>
                <w:vanish/>
                <w:szCs w:val="18"/>
              </w:rPr>
              <w:t>BR_51.13</w:t>
            </w:r>
            <w:r w:rsidR="00CE3961">
              <w:rPr>
                <w:vanish/>
                <w:szCs w:val="18"/>
              </w:rPr>
              <w:t>,</w:t>
            </w:r>
            <w:r>
              <w:rPr>
                <w:vanish/>
                <w:szCs w:val="18"/>
              </w:rPr>
              <w:t xml:space="preserve"> BR_51.14 </w:t>
            </w:r>
            <w:r>
              <w:t>A user may indicate 1–26 racks per site and names them according to the convention selected (A–Z or 1–26).</w:t>
            </w:r>
          </w:p>
        </w:tc>
      </w:tr>
      <w:tr w:rsidR="00B51CFF" w14:paraId="795CB94E" w14:textId="77777777">
        <w:trPr>
          <w:cantSplit/>
        </w:trPr>
        <w:tc>
          <w:tcPr>
            <w:tcW w:w="3240" w:type="dxa"/>
          </w:tcPr>
          <w:p w14:paraId="77E622DF" w14:textId="77777777" w:rsidR="00B51CFF" w:rsidRDefault="00B51CFF" w:rsidP="00DB1D38">
            <w:pPr>
              <w:pStyle w:val="TableTextNumbers"/>
            </w:pPr>
            <w:r>
              <w:t>Accept or edit the default settings of the template.</w:t>
            </w:r>
          </w:p>
          <w:p w14:paraId="52D4B088" w14:textId="77777777" w:rsidR="00B51CFF" w:rsidRDefault="00B51CFF" w:rsidP="00DB1D38">
            <w:pPr>
              <w:pStyle w:val="TableTextNumbersContinued"/>
            </w:pPr>
          </w:p>
          <w:p w14:paraId="4485446C" w14:textId="77777777" w:rsidR="00B51CFF" w:rsidRDefault="00B51CFF" w:rsidP="00DB1D38">
            <w:pPr>
              <w:pStyle w:val="TableTextNumbersContinued"/>
            </w:pPr>
            <w:r>
              <w:t>Select primary and secondary enhancement medium options from the drop-down menus.</w:t>
            </w:r>
          </w:p>
        </w:tc>
        <w:tc>
          <w:tcPr>
            <w:tcW w:w="6120" w:type="dxa"/>
          </w:tcPr>
          <w:p w14:paraId="479EB61B" w14:textId="77777777" w:rsidR="00B51CFF" w:rsidRDefault="00B51CFF" w:rsidP="00DB1D38">
            <w:pPr>
              <w:pStyle w:val="TableTextBullet"/>
            </w:pPr>
            <w:r>
              <w:t xml:space="preserve">Lists the default reagent types for inclusion in the daily reagent rack quality control and expected minimum reactions for each test type. </w:t>
            </w:r>
          </w:p>
          <w:p w14:paraId="2EBCFF9A" w14:textId="77777777" w:rsidR="00B51CFF" w:rsidRDefault="00B51CFF" w:rsidP="00DB1D38">
            <w:pPr>
              <w:pStyle w:val="TableTextBullet"/>
            </w:pPr>
            <w:r>
              <w:t>Displays changes and edits for review before saving.</w:t>
            </w:r>
          </w:p>
          <w:p w14:paraId="23A68FF6" w14:textId="77777777" w:rsidR="00B51CFF" w:rsidRDefault="00B51CFF" w:rsidP="00DB1D38">
            <w:pPr>
              <w:pStyle w:val="TableText"/>
            </w:pPr>
          </w:p>
          <w:p w14:paraId="47EDA21D" w14:textId="60B1F476" w:rsidR="00B51CFF" w:rsidRDefault="00B51CFF" w:rsidP="00DB1D38">
            <w:pPr>
              <w:pStyle w:val="TableText"/>
              <w:rPr>
                <w:b/>
                <w:bCs/>
                <w:szCs w:val="18"/>
              </w:rPr>
            </w:pPr>
            <w:r>
              <w:rPr>
                <w:b/>
                <w:bCs/>
                <w:szCs w:val="18"/>
              </w:rPr>
              <w:t>NOTES</w:t>
            </w:r>
          </w:p>
          <w:p w14:paraId="027112E6" w14:textId="77777777" w:rsidR="00B51CFF" w:rsidRDefault="00B51CFF" w:rsidP="00DB1D38">
            <w:pPr>
              <w:pStyle w:val="NotesText"/>
            </w:pPr>
          </w:p>
          <w:p w14:paraId="46EEA54C" w14:textId="77777777" w:rsidR="00B51CFF" w:rsidRDefault="00B51CFF" w:rsidP="00DB1D38">
            <w:pPr>
              <w:pStyle w:val="NotesText"/>
            </w:pPr>
            <w:r>
              <w:t xml:space="preserve">One setting covers all racks at the site. </w:t>
            </w:r>
          </w:p>
          <w:p w14:paraId="4C4820BD" w14:textId="77777777" w:rsidR="00B51CFF" w:rsidRDefault="00B51CFF" w:rsidP="00DB1D38">
            <w:pPr>
              <w:pStyle w:val="NotesText"/>
            </w:pPr>
          </w:p>
          <w:p w14:paraId="061CD21F" w14:textId="7A078D70" w:rsidR="00B51CFF" w:rsidRDefault="00B51CFF" w:rsidP="00DB1D38">
            <w:pPr>
              <w:pStyle w:val="NotesText"/>
            </w:pPr>
            <w:r>
              <w:rPr>
                <w:rFonts w:cs="Arial"/>
                <w:vanish/>
              </w:rPr>
              <w:t xml:space="preserve">BR_51.10 </w:t>
            </w:r>
            <w:r>
              <w:t>Reagent types selected display on the rack lot number template and the reaction result entry worksheet for each rack in Enter Daily QC Results with some exceptions: gel kit, selected AHG, and automated testing lot numbers.</w:t>
            </w:r>
          </w:p>
          <w:p w14:paraId="1AB5B27A" w14:textId="77777777" w:rsidR="00B51CFF" w:rsidRDefault="00B51CFF" w:rsidP="00DB1D38">
            <w:pPr>
              <w:pStyle w:val="NotesText"/>
            </w:pPr>
          </w:p>
          <w:p w14:paraId="478CA32C" w14:textId="77777777" w:rsidR="00B51CFF" w:rsidRDefault="00B51CFF" w:rsidP="00DB1D38">
            <w:pPr>
              <w:pStyle w:val="NotesText"/>
            </w:pPr>
            <w:r>
              <w:rPr>
                <w:rFonts w:cs="Arial"/>
                <w:vanish/>
              </w:rPr>
              <w:t xml:space="preserve">BR_51.15 </w:t>
            </w:r>
            <w:r>
              <w:t>When previously entered parameters for daily QC rack definitions are changed, VBECS requires a comment before the user saves the update.</w:t>
            </w:r>
          </w:p>
        </w:tc>
      </w:tr>
      <w:tr w:rsidR="00B51CFF" w14:paraId="78650C25" w14:textId="77777777">
        <w:trPr>
          <w:cantSplit/>
        </w:trPr>
        <w:tc>
          <w:tcPr>
            <w:tcW w:w="3240" w:type="dxa"/>
          </w:tcPr>
          <w:p w14:paraId="753DDBDF" w14:textId="77777777" w:rsidR="00B51CFF" w:rsidRDefault="00B51CFF" w:rsidP="00DB1D38">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128E1A3" w14:textId="77777777" w:rsidR="00B51CFF" w:rsidRDefault="00B51CFF" w:rsidP="00DB1D38">
            <w:pPr>
              <w:pStyle w:val="TableText"/>
            </w:pPr>
          </w:p>
        </w:tc>
      </w:tr>
    </w:tbl>
    <w:p w14:paraId="578FD0CA" w14:textId="705A6A4C" w:rsidR="008F0A39" w:rsidRDefault="008F0A39" w:rsidP="008F0A39">
      <w:pPr>
        <w:pStyle w:val="Caption"/>
      </w:pPr>
      <w:bookmarkStart w:id="153" w:name="_Ref126467867"/>
      <w:bookmarkEnd w:id="152"/>
      <w:r w:rsidRPr="00584AF9">
        <w:lastRenderedPageBreak/>
        <w:t xml:space="preserve">Figure </w:t>
      </w:r>
      <w:r w:rsidR="00C17F7C">
        <w:fldChar w:fldCharType="begin"/>
      </w:r>
      <w:r w:rsidR="00C17F7C" w:rsidRPr="001E3F01">
        <w:rPr>
          <w:lang w:val="fr-CA"/>
        </w:rPr>
        <w:instrText xml:space="preserve"> SEQ Figure \* ARABIC </w:instrText>
      </w:r>
      <w:r w:rsidR="00C17F7C">
        <w:fldChar w:fldCharType="separate"/>
      </w:r>
      <w:r w:rsidR="00E2140B">
        <w:rPr>
          <w:noProof/>
          <w:lang w:val="fr-CA"/>
        </w:rPr>
        <w:t>24</w:t>
      </w:r>
      <w:r w:rsidR="00C17F7C">
        <w:fldChar w:fldCharType="end"/>
      </w:r>
      <w:bookmarkEnd w:id="153"/>
      <w:r w:rsidRPr="00584AF9">
        <w:t>: Commercial and Non-Commercial Radio Buttons</w:t>
      </w:r>
    </w:p>
    <w:p w14:paraId="67597968" w14:textId="6E938463" w:rsidR="009A11E3" w:rsidRPr="009A11E3" w:rsidRDefault="009A11E3" w:rsidP="009A11E3">
      <w:pPr>
        <w:pStyle w:val="BodyText"/>
      </w:pPr>
      <w:r>
        <w:rPr>
          <w:noProof/>
        </w:rPr>
        <w:drawing>
          <wp:inline distT="0" distB="0" distL="0" distR="0" wp14:anchorId="2C4AC29A" wp14:editId="43B4FC9A">
            <wp:extent cx="5943600" cy="4345167"/>
            <wp:effectExtent l="0" t="0" r="0" b="0"/>
            <wp:docPr id="1" name="Picture 1" descr="Example of Commercial and Non-Commercial Radio Butt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Commercial and Non-Commercial Radio Buttons screen capt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4345167"/>
                    </a:xfrm>
                    <a:prstGeom prst="rect">
                      <a:avLst/>
                    </a:prstGeom>
                    <a:noFill/>
                    <a:ln>
                      <a:noFill/>
                    </a:ln>
                  </pic:spPr>
                </pic:pic>
              </a:graphicData>
            </a:graphic>
          </wp:inline>
        </w:drawing>
      </w:r>
    </w:p>
    <w:p w14:paraId="4349BE35" w14:textId="2D9F4FD8" w:rsidR="0053799A" w:rsidRDefault="0053799A" w:rsidP="00424F28">
      <w:pPr>
        <w:pStyle w:val="BodyText"/>
      </w:pPr>
    </w:p>
    <w:p w14:paraId="7F12D583" w14:textId="77777777" w:rsidR="00733B28" w:rsidRPr="008000E5" w:rsidRDefault="00B51CFF" w:rsidP="0053799A">
      <w:pPr>
        <w:pStyle w:val="Heading2"/>
      </w:pPr>
      <w:r w:rsidRPr="008000E5">
        <w:br w:type="page"/>
      </w:r>
      <w:bookmarkStart w:id="154" w:name="_Ref100826654"/>
      <w:bookmarkStart w:id="155" w:name="_Toc163644885"/>
      <w:r w:rsidR="00733B28" w:rsidRPr="008000E5">
        <w:lastRenderedPageBreak/>
        <w:t>Configure Division</w:t>
      </w:r>
      <w:bookmarkEnd w:id="154"/>
      <w:bookmarkEnd w:id="155"/>
      <w:r w:rsidR="00733B28">
        <w:fldChar w:fldCharType="begin"/>
      </w:r>
      <w:r w:rsidR="00733B28" w:rsidRPr="008000E5">
        <w:instrText xml:space="preserve"> XE "Configure Division" </w:instrText>
      </w:r>
      <w:r w:rsidR="00733B28">
        <w:fldChar w:fldCharType="end"/>
      </w:r>
    </w:p>
    <w:p w14:paraId="1095EFC3" w14:textId="77777777" w:rsidR="002A21AE" w:rsidRPr="008000E5" w:rsidRDefault="00D567C9" w:rsidP="007716F7">
      <w:pPr>
        <w:pStyle w:val="Heading3"/>
      </w:pPr>
      <w:bookmarkStart w:id="156" w:name="_Toc63680384"/>
      <w:bookmarkStart w:id="157" w:name="_Toc87166918"/>
      <w:bookmarkStart w:id="158" w:name="_Toc163644886"/>
      <w:r w:rsidRPr="008000E5">
        <w:t>Configure Division</w:t>
      </w:r>
      <w:bookmarkEnd w:id="156"/>
      <w:bookmarkEnd w:id="157"/>
      <w:bookmarkEnd w:id="158"/>
      <w:r w:rsidR="00733B28">
        <w:fldChar w:fldCharType="begin"/>
      </w:r>
      <w:r w:rsidR="00733B28" w:rsidRPr="008000E5">
        <w:instrText xml:space="preserve"> XE "Configure Division" </w:instrText>
      </w:r>
      <w:r w:rsidR="00733B28">
        <w:fldChar w:fldCharType="end"/>
      </w:r>
      <w:r w:rsidR="002A21AE" w:rsidRPr="008000E5">
        <w:rPr>
          <w:rFonts w:ascii="Arial Bold" w:hAnsi="Arial Bold"/>
          <w:vanish/>
        </w:rPr>
        <w:t xml:space="preserve"> UC_09</w:t>
      </w:r>
    </w:p>
    <w:p w14:paraId="631BD857" w14:textId="07D7291A" w:rsidR="002A21AE" w:rsidRDefault="002A21AE" w:rsidP="00FA7E65">
      <w:pPr>
        <w:pStyle w:val="BodyText"/>
      </w:pPr>
      <w:r>
        <w:t xml:space="preserve">A user defines site parameters that affect how VBECS behaves at a specific division. VBECS may be configured to function differently at each division within a </w:t>
      </w:r>
      <w:r w:rsidR="002F48C2">
        <w:t xml:space="preserve">multidivisional </w:t>
      </w:r>
      <w:r>
        <w:t>database. Site parameters may be redefined.</w:t>
      </w:r>
      <w:r w:rsidR="00E90A01">
        <w:t xml:space="preserve"> For additional information, see </w:t>
      </w:r>
      <w:r w:rsidR="00EE455E">
        <w:t xml:space="preserve">Appendix </w:t>
      </w:r>
      <w:r w:rsidR="00EE455E">
        <w:rPr>
          <w:noProof/>
        </w:rPr>
        <w:t>G</w:t>
      </w:r>
      <w:r w:rsidR="00EE455E">
        <w:t>: Work Process Flowcharts</w:t>
      </w:r>
      <w:r w:rsidR="00E90A01">
        <w:t>.</w:t>
      </w:r>
    </w:p>
    <w:p w14:paraId="3E476CE7" w14:textId="77777777" w:rsidR="002A21AE" w:rsidRDefault="002A21AE">
      <w:pPr>
        <w:pStyle w:val="Heading4"/>
      </w:pPr>
      <w:r>
        <w:t>Assumptions</w:t>
      </w:r>
    </w:p>
    <w:p w14:paraId="5529B7F4" w14:textId="77777777" w:rsidR="002A21AE" w:rsidRDefault="002A21AE">
      <w:pPr>
        <w:pStyle w:val="ListBullet"/>
      </w:pPr>
      <w:r>
        <w:t xml:space="preserve">The site administrator defines the VBECS configuration, adds users, and assigns privileges for each division so that they mirror the associated </w:t>
      </w:r>
      <w:r w:rsidR="00CA0045" w:rsidRPr="00CA0045">
        <w:rPr>
          <w:bCs/>
        </w:rPr>
        <w:t>VistA</w:t>
      </w:r>
      <w:r>
        <w:t xml:space="preserve"> database.</w:t>
      </w:r>
    </w:p>
    <w:p w14:paraId="3C82E3E8" w14:textId="77777777" w:rsidR="002A21AE" w:rsidRDefault="002A21AE">
      <w:pPr>
        <w:pStyle w:val="Heading4"/>
      </w:pPr>
      <w:r>
        <w:t>Outcome</w:t>
      </w:r>
    </w:p>
    <w:p w14:paraId="046E1413" w14:textId="77777777" w:rsidR="002A21AE" w:rsidRDefault="002A21AE">
      <w:pPr>
        <w:pStyle w:val="ListBullet"/>
      </w:pPr>
      <w:r>
        <w:t xml:space="preserve">Functional parameters are set for divisions that use the </w:t>
      </w:r>
      <w:r w:rsidR="00CA0045" w:rsidRPr="00CA0045">
        <w:rPr>
          <w:bCs/>
        </w:rPr>
        <w:t>VistA</w:t>
      </w:r>
      <w:r>
        <w:t xml:space="preserve"> database.</w:t>
      </w:r>
    </w:p>
    <w:p w14:paraId="0E04D9BF" w14:textId="77777777" w:rsidR="002A21AE" w:rsidRDefault="002A21AE">
      <w:pPr>
        <w:pStyle w:val="Heading4"/>
      </w:pPr>
      <w:r>
        <w:t>Limitations and Restrictions</w:t>
      </w:r>
    </w:p>
    <w:p w14:paraId="6B223ABE" w14:textId="0346E109" w:rsidR="002A21AE" w:rsidRDefault="0041670F">
      <w:pPr>
        <w:pStyle w:val="ListBullet"/>
      </w:pPr>
      <w:r>
        <w:t xml:space="preserve">Changes made to the division setting are not applied to a user until they re-connect to VBECS after the change is made. It is highly recommended that all users </w:t>
      </w:r>
      <w:r w:rsidR="00262E92">
        <w:t>sign out</w:t>
      </w:r>
      <w:r>
        <w:t xml:space="preserve"> of VBECS prior to any configuration setting change.</w:t>
      </w:r>
      <w:r>
        <w:rPr>
          <w:vanish/>
        </w:rPr>
        <w:t xml:space="preserve"> DR 4136</w:t>
      </w:r>
    </w:p>
    <w:p w14:paraId="1B347A5F" w14:textId="77777777" w:rsidR="002E7EBF" w:rsidRDefault="002E7EBF" w:rsidP="002E7EBF">
      <w:pPr>
        <w:pStyle w:val="Caution"/>
      </w:pPr>
      <w:r>
        <w:t xml:space="preserve">It is recommended that users configure a division before configuring testing (click the </w:t>
      </w:r>
      <w:r>
        <w:rPr>
          <w:b/>
        </w:rPr>
        <w:t xml:space="preserve">Configure Testing </w:t>
      </w:r>
      <w:r w:rsidRPr="007004B1">
        <w:t>tab</w:t>
      </w:r>
      <w:r>
        <w:t>).</w:t>
      </w:r>
    </w:p>
    <w:p w14:paraId="47473EFD" w14:textId="77777777" w:rsidR="002A21AE" w:rsidRDefault="002A21AE">
      <w:pPr>
        <w:pStyle w:val="Heading4"/>
      </w:pPr>
      <w:r>
        <w:t>Additional Information</w:t>
      </w:r>
    </w:p>
    <w:p w14:paraId="13485DC2" w14:textId="2CB956BB" w:rsidR="002A21AE" w:rsidRPr="000C7C69" w:rsidRDefault="00C428B3" w:rsidP="004D7ECB">
      <w:pPr>
        <w:pStyle w:val="ListBullet"/>
      </w:pPr>
      <w:r>
        <w:t>To incorporate changes in division codes and names from</w:t>
      </w:r>
      <w:r w:rsidR="004D7ECB">
        <w:t xml:space="preserve"> V</w:t>
      </w:r>
      <w:r>
        <w:t>istA to VBECS,</w:t>
      </w:r>
      <w:r w:rsidR="00844E41">
        <w:t xml:space="preserve"> and to change time zones, </w:t>
      </w:r>
      <w:r w:rsidR="004D7ECB">
        <w:t>see</w:t>
      </w:r>
      <w:r w:rsidR="00BA2EAA">
        <w:t xml:space="preserve"> the</w:t>
      </w:r>
      <w:r w:rsidR="004D7ECB">
        <w:t xml:space="preserve"> </w:t>
      </w:r>
      <w:r w:rsidR="004D7ECB" w:rsidRPr="004D7ECB">
        <w:rPr>
          <w:i/>
        </w:rPr>
        <w:t>V</w:t>
      </w:r>
      <w:r w:rsidR="00BA2EAA">
        <w:rPr>
          <w:i/>
        </w:rPr>
        <w:t>BECS 2.</w:t>
      </w:r>
      <w:r w:rsidR="00397587">
        <w:rPr>
          <w:i/>
        </w:rPr>
        <w:t>4.0</w:t>
      </w:r>
      <w:r w:rsidR="00BA2EAA">
        <w:rPr>
          <w:i/>
        </w:rPr>
        <w:t xml:space="preserve"> Admin User</w:t>
      </w:r>
      <w:r w:rsidR="004D7ECB" w:rsidRPr="004D7ECB">
        <w:rPr>
          <w:i/>
        </w:rPr>
        <w:t xml:space="preserve"> Guid</w:t>
      </w:r>
      <w:r w:rsidR="004D7ECB" w:rsidRPr="00461A0A">
        <w:rPr>
          <w:i/>
        </w:rPr>
        <w:t>e</w:t>
      </w:r>
      <w:r w:rsidR="004D7ECB" w:rsidRPr="00461A0A">
        <w:rPr>
          <w:rFonts w:ascii="Arial" w:hAnsi="Arial"/>
          <w:snapToGrid w:val="0"/>
          <w:sz w:val="18"/>
        </w:rPr>
        <w:t>.</w:t>
      </w:r>
    </w:p>
    <w:p w14:paraId="5A4199E4" w14:textId="77777777" w:rsidR="000C7C69" w:rsidRPr="00844E41" w:rsidRDefault="000C7C69" w:rsidP="004D7ECB">
      <w:pPr>
        <w:pStyle w:val="ListBullet"/>
      </w:pPr>
      <w:r>
        <w:t xml:space="preserve">VBECS records configuration changes </w:t>
      </w:r>
      <w:r w:rsidR="00D84237">
        <w:t xml:space="preserve">(such as time zone) </w:t>
      </w:r>
      <w:r>
        <w:t>on the Audit Trail Report.</w:t>
      </w:r>
    </w:p>
    <w:p w14:paraId="21B9A56F" w14:textId="77777777" w:rsidR="002A21AE" w:rsidRDefault="002A21AE" w:rsidP="00461A0A">
      <w:pPr>
        <w:pStyle w:val="Heading4"/>
        <w:tabs>
          <w:tab w:val="center" w:pos="4680"/>
        </w:tabs>
      </w:pPr>
      <w:r>
        <w:t xml:space="preserve">User Roles with Access to This Option </w:t>
      </w:r>
      <w:r w:rsidR="00461A0A">
        <w:tab/>
      </w:r>
    </w:p>
    <w:p w14:paraId="6A0C527D" w14:textId="77777777" w:rsidR="00237C52" w:rsidRDefault="00237C52" w:rsidP="00237C52">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5C563F7" w14:textId="77777777" w:rsidR="002A21AE" w:rsidRDefault="00D567C9">
      <w:pPr>
        <w:pStyle w:val="Heading4"/>
      </w:pPr>
      <w:r>
        <w:t>Configure Division</w:t>
      </w:r>
    </w:p>
    <w:p w14:paraId="309903C7" w14:textId="77777777" w:rsidR="002A21AE" w:rsidRDefault="002A21AE" w:rsidP="00FA7E65">
      <w:pPr>
        <w:pStyle w:val="BodyText"/>
      </w:pPr>
      <w:r>
        <w:t>Once VBECS is configured to identify all of the divisions, the user sets up critical fields required for routine use of VBECS.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A53C16" w14:textId="77777777">
        <w:trPr>
          <w:cantSplit/>
          <w:tblHeader/>
        </w:trPr>
        <w:tc>
          <w:tcPr>
            <w:tcW w:w="3240" w:type="dxa"/>
            <w:shd w:val="pct30" w:color="auto" w:fill="FFFFFF"/>
            <w:vAlign w:val="bottom"/>
          </w:tcPr>
          <w:p w14:paraId="7932A54F" w14:textId="77777777" w:rsidR="002A21AE" w:rsidRDefault="002A21AE">
            <w:pPr>
              <w:pStyle w:val="TableText"/>
              <w:rPr>
                <w:b/>
              </w:rPr>
            </w:pPr>
            <w:r>
              <w:rPr>
                <w:b/>
              </w:rPr>
              <w:t>User Action</w:t>
            </w:r>
          </w:p>
        </w:tc>
        <w:tc>
          <w:tcPr>
            <w:tcW w:w="6120" w:type="dxa"/>
            <w:shd w:val="pct30" w:color="auto" w:fill="FFFFFF"/>
            <w:vAlign w:val="bottom"/>
          </w:tcPr>
          <w:p w14:paraId="26FCB47F" w14:textId="77777777" w:rsidR="002A21AE" w:rsidRDefault="002A21AE">
            <w:pPr>
              <w:pStyle w:val="TableText"/>
              <w:rPr>
                <w:b/>
              </w:rPr>
            </w:pPr>
            <w:r>
              <w:rPr>
                <w:b/>
              </w:rPr>
              <w:t>VBECS</w:t>
            </w:r>
          </w:p>
        </w:tc>
      </w:tr>
      <w:tr w:rsidR="002A21AE" w14:paraId="1000E946" w14:textId="77777777">
        <w:tc>
          <w:tcPr>
            <w:tcW w:w="3240" w:type="dxa"/>
          </w:tcPr>
          <w:p w14:paraId="28FEEA91" w14:textId="77777777" w:rsidR="002A21AE" w:rsidRDefault="002A21AE">
            <w:pPr>
              <w:pStyle w:val="TableTextNumbers"/>
            </w:pPr>
            <w:r>
              <w:t xml:space="preserve">Select </w:t>
            </w:r>
            <w:r>
              <w:rPr>
                <w:b/>
                <w:bCs/>
              </w:rPr>
              <w:t>Tools</w:t>
            </w:r>
            <w:r>
              <w:t xml:space="preserve"> from the main menu.</w:t>
            </w:r>
          </w:p>
          <w:p w14:paraId="56797698" w14:textId="77777777" w:rsidR="002A21AE" w:rsidRDefault="002A21AE">
            <w:pPr>
              <w:pStyle w:val="TableTextNumbersContinued"/>
              <w:rPr>
                <w:b/>
                <w:bCs/>
              </w:rPr>
            </w:pPr>
          </w:p>
          <w:p w14:paraId="0CC78EB9" w14:textId="207BDAFA" w:rsidR="002A21AE" w:rsidRDefault="002A21AE">
            <w:pPr>
              <w:pStyle w:val="TableTextNumbersContinued"/>
              <w:rPr>
                <w:b/>
                <w:bCs/>
              </w:rPr>
            </w:pPr>
            <w:r w:rsidRPr="00090795">
              <w:rPr>
                <w:bCs/>
              </w:rPr>
              <w:t>Select</w:t>
            </w:r>
            <w:r>
              <w:rPr>
                <w:b/>
                <w:bCs/>
              </w:rPr>
              <w:t xml:space="preserve"> Configure Division</w:t>
            </w:r>
            <w:r w:rsidR="004E4889">
              <w:rPr>
                <w:b/>
                <w:bCs/>
              </w:rPr>
              <w:t xml:space="preserve"> </w:t>
            </w:r>
            <w:r w:rsidR="004E4889" w:rsidRPr="004E4889">
              <w:rPr>
                <w:bCs/>
              </w:rPr>
              <w:t>(</w:t>
            </w:r>
            <w:r w:rsidR="00EE455E">
              <w:t xml:space="preserve">Figure </w:t>
            </w:r>
            <w:r w:rsidR="00EE455E">
              <w:rPr>
                <w:noProof/>
              </w:rPr>
              <w:t>24</w:t>
            </w:r>
            <w:r w:rsidR="004E4889" w:rsidRPr="004E4889">
              <w:rPr>
                <w:bCs/>
              </w:rPr>
              <w:t>)</w:t>
            </w:r>
            <w:r w:rsidRPr="00090795">
              <w:rPr>
                <w:bCs/>
              </w:rPr>
              <w:t>.</w:t>
            </w:r>
          </w:p>
        </w:tc>
        <w:tc>
          <w:tcPr>
            <w:tcW w:w="6120" w:type="dxa"/>
          </w:tcPr>
          <w:p w14:paraId="5EBAF917" w14:textId="77777777" w:rsidR="002A21AE" w:rsidRDefault="002A21AE">
            <w:pPr>
              <w:pStyle w:val="TableTextBullet"/>
            </w:pPr>
            <w:r>
              <w:t>Displays options for processing administrative functions.</w:t>
            </w:r>
          </w:p>
          <w:p w14:paraId="45F2D5CD" w14:textId="77777777" w:rsidR="002A21AE" w:rsidRDefault="002A21AE">
            <w:pPr>
              <w:pStyle w:val="TableTextBullet"/>
            </w:pPr>
            <w:r>
              <w:t>Displays the Configure Division tab with fields for entering division-specific blood product information.</w:t>
            </w:r>
          </w:p>
        </w:tc>
      </w:tr>
      <w:tr w:rsidR="002A21AE" w14:paraId="5551F766" w14:textId="77777777" w:rsidTr="007E500E">
        <w:trPr>
          <w:cantSplit/>
        </w:trPr>
        <w:tc>
          <w:tcPr>
            <w:tcW w:w="3240" w:type="dxa"/>
          </w:tcPr>
          <w:p w14:paraId="0E01E711" w14:textId="77777777" w:rsidR="002A21AE" w:rsidRDefault="002A21AE">
            <w:pPr>
              <w:pStyle w:val="TableTextNumbers"/>
            </w:pPr>
            <w:r>
              <w:lastRenderedPageBreak/>
              <w:t xml:space="preserve">Enter the ICCBBA </w:t>
            </w:r>
            <w:r w:rsidR="00B85812">
              <w:t>Registration Number</w:t>
            </w:r>
            <w:r>
              <w:t>, the medical director’s name (or select it from the drop-down list), and the maximum number of days until the specimen expires in their respective fields.</w:t>
            </w:r>
          </w:p>
        </w:tc>
        <w:tc>
          <w:tcPr>
            <w:tcW w:w="6120" w:type="dxa"/>
          </w:tcPr>
          <w:p w14:paraId="7A0A3956" w14:textId="77777777" w:rsidR="002A21AE" w:rsidRDefault="002A21AE">
            <w:pPr>
              <w:pStyle w:val="TableText"/>
            </w:pPr>
          </w:p>
          <w:p w14:paraId="754680FD" w14:textId="25FC3267" w:rsidR="002A21AE" w:rsidRDefault="002A21AE">
            <w:pPr>
              <w:pStyle w:val="TableText"/>
              <w:rPr>
                <w:b/>
                <w:bCs/>
                <w:szCs w:val="18"/>
              </w:rPr>
            </w:pPr>
            <w:r>
              <w:rPr>
                <w:b/>
                <w:bCs/>
                <w:szCs w:val="18"/>
              </w:rPr>
              <w:t>NOTES</w:t>
            </w:r>
          </w:p>
          <w:p w14:paraId="2CCF67B7" w14:textId="77777777" w:rsidR="002A21AE" w:rsidRDefault="002A21AE">
            <w:pPr>
              <w:pStyle w:val="NotesText"/>
            </w:pPr>
          </w:p>
          <w:p w14:paraId="2BCAB06C" w14:textId="77777777" w:rsidR="002A21AE" w:rsidRDefault="002A21AE">
            <w:pPr>
              <w:pStyle w:val="NotesText"/>
            </w:pPr>
            <w:r w:rsidRPr="00E274BF">
              <w:rPr>
                <w:rFonts w:cs="Arial"/>
                <w:vanish/>
                <w:szCs w:val="18"/>
              </w:rPr>
              <w:t>BR_9.04</w:t>
            </w:r>
            <w:r w:rsidRPr="009660C3">
              <w:rPr>
                <w:vanish/>
                <w:szCs w:val="18"/>
              </w:rPr>
              <w:t xml:space="preserve"> </w:t>
            </w:r>
            <w:r>
              <w:t xml:space="preserve">An ICCBBA </w:t>
            </w:r>
            <w:r w:rsidR="00B85812">
              <w:t>Registration Number</w:t>
            </w:r>
            <w:r>
              <w:t xml:space="preserve"> contains an alphabetical character followed by four numeric characters.</w:t>
            </w:r>
          </w:p>
          <w:p w14:paraId="19DEEA04" w14:textId="77777777" w:rsidR="002A21AE" w:rsidRDefault="002A21AE">
            <w:pPr>
              <w:pStyle w:val="NotesText"/>
            </w:pPr>
          </w:p>
          <w:p w14:paraId="17C45992" w14:textId="77777777" w:rsidR="002A21AE" w:rsidRDefault="002A21AE">
            <w:pPr>
              <w:pStyle w:val="NotesText"/>
            </w:pPr>
            <w:r w:rsidRPr="00E274BF">
              <w:rPr>
                <w:rFonts w:cs="Arial"/>
                <w:vanish/>
                <w:szCs w:val="18"/>
              </w:rPr>
              <w:t>BR_9.07</w:t>
            </w:r>
            <w:r w:rsidRPr="009660C3">
              <w:rPr>
                <w:vanish/>
                <w:szCs w:val="18"/>
              </w:rPr>
              <w:t xml:space="preserve"> </w:t>
            </w:r>
            <w:r>
              <w:t>A user may enter the name of the blood bank medical director or acting medical director to appear on reports. The user may edit the name and title but may select only one name at a time for use. VBECS saves these edits for retrieval.</w:t>
            </w:r>
          </w:p>
          <w:p w14:paraId="62ACFFC4" w14:textId="77777777" w:rsidR="002A21AE" w:rsidRDefault="002A21AE">
            <w:pPr>
              <w:pStyle w:val="NotesText"/>
            </w:pPr>
          </w:p>
          <w:p w14:paraId="21DCF838" w14:textId="77777777" w:rsidR="002A21AE" w:rsidRDefault="002A21AE">
            <w:pPr>
              <w:pStyle w:val="NotesText"/>
            </w:pPr>
            <w:r w:rsidRPr="00E274BF">
              <w:rPr>
                <w:rFonts w:cs="Arial"/>
                <w:vanish/>
                <w:szCs w:val="18"/>
              </w:rPr>
              <w:t>BR_9.05</w:t>
            </w:r>
            <w:r w:rsidRPr="009660C3">
              <w:rPr>
                <w:vanish/>
                <w:szCs w:val="18"/>
              </w:rPr>
              <w:t xml:space="preserve"> </w:t>
            </w:r>
            <w:r>
              <w:t>The user may edit the default setting for the maximum number of specimen expiration days from “3” to any value from “3” to “93.”</w:t>
            </w:r>
          </w:p>
          <w:p w14:paraId="352B330B" w14:textId="77777777" w:rsidR="00B24419" w:rsidRPr="0015382B" w:rsidRDefault="00B24419">
            <w:pPr>
              <w:pStyle w:val="NotesText"/>
            </w:pPr>
            <w:r w:rsidRPr="00B24419">
              <w:t>This setting allows the user to extend the expiration date of any one specimen to the maximum date indicated.  This does not change the normal specimen expiration date of all specimens received</w:t>
            </w:r>
            <w:r>
              <w:t>.</w:t>
            </w:r>
            <w:r w:rsidR="0015382B">
              <w:rPr>
                <w:vanish/>
              </w:rPr>
              <w:t xml:space="preserve"> DR 3592</w:t>
            </w:r>
          </w:p>
        </w:tc>
      </w:tr>
      <w:tr w:rsidR="002A21AE" w14:paraId="50815A23" w14:textId="77777777">
        <w:tc>
          <w:tcPr>
            <w:tcW w:w="3240" w:type="dxa"/>
          </w:tcPr>
          <w:p w14:paraId="448CEC0E"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D48B36B" w14:textId="77777777" w:rsidR="002A21AE" w:rsidRDefault="002A21AE">
            <w:pPr>
              <w:pStyle w:val="TableTextBullet"/>
            </w:pPr>
            <w:r>
              <w:t>Displays the information entered.</w:t>
            </w:r>
          </w:p>
          <w:p w14:paraId="19180403" w14:textId="77777777" w:rsidR="002A21AE" w:rsidRDefault="002A21AE">
            <w:pPr>
              <w:pStyle w:val="TableTextBullet"/>
            </w:pPr>
            <w:r>
              <w:t>Requests confirmation to update the database.</w:t>
            </w:r>
          </w:p>
          <w:p w14:paraId="495EAF8C" w14:textId="77777777" w:rsidR="002A21AE" w:rsidRDefault="002A21AE" w:rsidP="002E7EBF">
            <w:pPr>
              <w:pStyle w:val="TableTextBullet"/>
            </w:pPr>
            <w:r>
              <w:t>Updates the database.</w:t>
            </w:r>
          </w:p>
        </w:tc>
      </w:tr>
    </w:tbl>
    <w:p w14:paraId="0D6BC71C" w14:textId="77333A8B" w:rsidR="00D43EF7" w:rsidRDefault="00D43EF7" w:rsidP="00D43EF7">
      <w:pPr>
        <w:pStyle w:val="Caption"/>
      </w:pPr>
      <w:bookmarkStart w:id="159" w:name="_Ref12646788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25</w:t>
      </w:r>
      <w:r w:rsidR="004E20BD">
        <w:rPr>
          <w:noProof/>
        </w:rPr>
        <w:fldChar w:fldCharType="end"/>
      </w:r>
      <w:bookmarkEnd w:id="159"/>
      <w:r>
        <w:t xml:space="preserve">: </w:t>
      </w:r>
      <w:r w:rsidR="00954B38">
        <w:t xml:space="preserve">Example of </w:t>
      </w:r>
      <w:r>
        <w:t>Configure Division Tabs</w:t>
      </w:r>
    </w:p>
    <w:p w14:paraId="7AC24134" w14:textId="77777777" w:rsidR="008D2925" w:rsidRDefault="00057948" w:rsidP="008D2925">
      <w:pPr>
        <w:pStyle w:val="BodyText"/>
      </w:pPr>
      <w:r>
        <w:rPr>
          <w:noProof/>
        </w:rPr>
        <mc:AlternateContent>
          <mc:Choice Requires="wps">
            <w:drawing>
              <wp:anchor distT="0" distB="0" distL="114300" distR="114300" simplePos="0" relativeHeight="251724800" behindDoc="0" locked="0" layoutInCell="1" allowOverlap="1" wp14:anchorId="325F0D8A" wp14:editId="55061BF0">
                <wp:simplePos x="0" y="0"/>
                <wp:positionH relativeFrom="column">
                  <wp:posOffset>0</wp:posOffset>
                </wp:positionH>
                <wp:positionV relativeFrom="paragraph">
                  <wp:posOffset>478790</wp:posOffset>
                </wp:positionV>
                <wp:extent cx="3086100" cy="457200"/>
                <wp:effectExtent l="9525" t="12065" r="9525" b="6985"/>
                <wp:wrapNone/>
                <wp:docPr id="566" name="Oval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ellipse">
                          <a:avLst/>
                        </a:prstGeom>
                        <a:solidFill>
                          <a:srgbClr val="FFFFFF">
                            <a:alpha val="0"/>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334EA8" id="Oval 1144" o:spid="_x0000_s1026" alt="&quot;&quot;" style="position:absolute;margin-left:0;margin-top:37.7pt;width:243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" strokecolor="red">
                <v:fill opacity="0"/>
              </v:oval>
            </w:pict>
          </mc:Fallback>
        </mc:AlternateContent>
      </w:r>
      <w:r>
        <w:rPr>
          <w:noProof/>
        </w:rPr>
        <w:drawing>
          <wp:inline distT="0" distB="0" distL="0" distR="0" wp14:anchorId="5BDB2B2E" wp14:editId="6778162A">
            <wp:extent cx="3195955" cy="3204845"/>
            <wp:effectExtent l="0" t="0" r="4445" b="0"/>
            <wp:docPr id="127" name="Picture 127" descr="Example of Configure Division Tab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Example of Configure Division Tabs screen capt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95955" cy="3204845"/>
                    </a:xfrm>
                    <a:prstGeom prst="rect">
                      <a:avLst/>
                    </a:prstGeom>
                    <a:noFill/>
                    <a:ln>
                      <a:noFill/>
                    </a:ln>
                  </pic:spPr>
                </pic:pic>
              </a:graphicData>
            </a:graphic>
          </wp:inline>
        </w:drawing>
      </w:r>
    </w:p>
    <w:p w14:paraId="094C6566" w14:textId="77777777" w:rsidR="002A21AE" w:rsidRDefault="00AF089A" w:rsidP="007716F7">
      <w:pPr>
        <w:pStyle w:val="Heading3"/>
      </w:pPr>
      <w:r>
        <w:br w:type="page"/>
      </w:r>
      <w:bookmarkStart w:id="160" w:name="_Toc163644887"/>
      <w:r w:rsidR="002A21AE" w:rsidRPr="007716F7">
        <w:lastRenderedPageBreak/>
        <w:t>Configure Testing</w:t>
      </w:r>
      <w:bookmarkEnd w:id="160"/>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7716F7" w:rsidRPr="00796039">
        <w:rPr>
          <w:rFonts w:ascii="Arial Bold" w:hAnsi="Arial Bold"/>
          <w:vanish/>
        </w:rPr>
        <w:instrText xml:space="preserve">Configure </w:instrText>
      </w:r>
      <w:r w:rsidR="002A21AE" w:rsidRPr="00796039">
        <w:rPr>
          <w:rFonts w:ascii="Arial Bold" w:hAnsi="Arial Bold"/>
          <w:vanish/>
        </w:rPr>
        <w:instrText>Testing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UC_55</w:t>
      </w:r>
    </w:p>
    <w:p w14:paraId="52DAB71F" w14:textId="77777777" w:rsidR="002A21AE" w:rsidRDefault="002A21AE" w:rsidP="00FA7E65">
      <w:pPr>
        <w:pStyle w:val="BodyText"/>
      </w:pPr>
      <w:r>
        <w:t xml:space="preserve">The user sets testing preferences according to a division’s medical policies. </w:t>
      </w:r>
    </w:p>
    <w:p w14:paraId="2BAFFB87" w14:textId="77777777" w:rsidR="002A21AE" w:rsidRDefault="002A21AE">
      <w:pPr>
        <w:pStyle w:val="Heading4"/>
      </w:pPr>
      <w:r>
        <w:t>Assumptions</w:t>
      </w:r>
    </w:p>
    <w:p w14:paraId="195126AA" w14:textId="77777777" w:rsidR="002A21AE" w:rsidRDefault="002A21AE">
      <w:pPr>
        <w:pStyle w:val="ListBullet"/>
      </w:pPr>
      <w:r>
        <w:t>A division’s worksheets affected by the option are not open or incomplete at the time of configuration.</w:t>
      </w:r>
    </w:p>
    <w:p w14:paraId="5944F936" w14:textId="77777777" w:rsidR="002A21AE" w:rsidRDefault="002A21AE">
      <w:pPr>
        <w:pStyle w:val="Heading4"/>
      </w:pPr>
      <w:r>
        <w:t>Outcome</w:t>
      </w:r>
    </w:p>
    <w:p w14:paraId="461961F6" w14:textId="77777777" w:rsidR="002A21AE" w:rsidRDefault="002A21AE">
      <w:pPr>
        <w:pStyle w:val="ListBullet"/>
      </w:pPr>
      <w:r>
        <w:t>Division testing preferences are configured.</w:t>
      </w:r>
    </w:p>
    <w:p w14:paraId="56CFEFEF" w14:textId="77777777" w:rsidR="002A21AE" w:rsidRDefault="002A21AE">
      <w:pPr>
        <w:pStyle w:val="Heading4"/>
        <w:rPr>
          <w:b w:val="0"/>
        </w:rPr>
      </w:pPr>
      <w:r>
        <w:t>Limitations and Restrictions</w:t>
      </w:r>
      <w:r>
        <w:rPr>
          <w:b w:val="0"/>
        </w:rPr>
        <w:t xml:space="preserve"> </w:t>
      </w:r>
    </w:p>
    <w:p w14:paraId="02348E4D" w14:textId="77777777" w:rsidR="002A21AE" w:rsidRDefault="002A21AE">
      <w:pPr>
        <w:pStyle w:val="ListBullet"/>
      </w:pPr>
      <w:r>
        <w:t>None</w:t>
      </w:r>
    </w:p>
    <w:p w14:paraId="3543D7B8" w14:textId="77777777" w:rsidR="002E7EBF" w:rsidRDefault="002E7EBF" w:rsidP="002E7EBF">
      <w:pPr>
        <w:pStyle w:val="Caution"/>
      </w:pPr>
      <w:r>
        <w:t xml:space="preserve">It is recommended that users configure testing before modifying products (click the </w:t>
      </w:r>
      <w:r>
        <w:rPr>
          <w:b/>
        </w:rPr>
        <w:t xml:space="preserve">Product Modifications </w:t>
      </w:r>
      <w:r w:rsidRPr="003814BF">
        <w:t>tab</w:t>
      </w:r>
      <w:r>
        <w:t>).</w:t>
      </w:r>
    </w:p>
    <w:p w14:paraId="06B78D15" w14:textId="77777777" w:rsidR="002A21AE" w:rsidRDefault="002A21AE">
      <w:pPr>
        <w:pStyle w:val="Heading4"/>
      </w:pPr>
      <w:r>
        <w:t xml:space="preserve">Additional Information </w:t>
      </w:r>
    </w:p>
    <w:p w14:paraId="4AAC23F0" w14:textId="77777777" w:rsidR="002A21AE" w:rsidRDefault="002A21AE">
      <w:pPr>
        <w:pStyle w:val="ListBullet"/>
      </w:pPr>
      <w:r>
        <w:t>None</w:t>
      </w:r>
    </w:p>
    <w:p w14:paraId="48EB88B3" w14:textId="77777777" w:rsidR="002A21AE" w:rsidRDefault="002A21AE">
      <w:pPr>
        <w:pStyle w:val="Heading4"/>
        <w:rPr>
          <w:b w:val="0"/>
        </w:rPr>
      </w:pPr>
      <w:r>
        <w:t>User Roles with Access to This Option</w:t>
      </w:r>
      <w:r>
        <w:rPr>
          <w:b w:val="0"/>
        </w:rPr>
        <w:t xml:space="preserve"> </w:t>
      </w:r>
    </w:p>
    <w:p w14:paraId="0EE8250E"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AE23E62" w14:textId="77777777" w:rsidR="002A21AE" w:rsidRDefault="002A21AE">
      <w:pPr>
        <w:pStyle w:val="Heading4"/>
      </w:pPr>
      <w:r>
        <w:t>Configure Testing</w:t>
      </w:r>
    </w:p>
    <w:p w14:paraId="54802D90" w14:textId="77777777" w:rsidR="002A21AE" w:rsidRDefault="002A21AE" w:rsidP="00FA7E65">
      <w:pPr>
        <w:pStyle w:val="BodyText"/>
      </w:pPr>
      <w:r>
        <w:t xml:space="preserve">The user sets the system to display testing grids to the users in their division. The user determines whether an autocontrol is used and whether a Direct Antiglobulin Test (DAT) is added as part of the routine </w:t>
      </w:r>
      <w:r w:rsidR="008E2E30">
        <w:t>A</w:t>
      </w:r>
      <w:r>
        <w:t xml:space="preserve">ntibody </w:t>
      </w:r>
      <w:r w:rsidR="008E2E30">
        <w:t>Screen T</w:t>
      </w:r>
      <w:r>
        <w:t>est (ABS) described in Patient Testing: Record a Patient Antibody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AFD2C36" w14:textId="77777777">
        <w:trPr>
          <w:tblHeader/>
        </w:trPr>
        <w:tc>
          <w:tcPr>
            <w:tcW w:w="3240" w:type="dxa"/>
            <w:shd w:val="pct30" w:color="auto" w:fill="FFFFFF"/>
            <w:vAlign w:val="bottom"/>
          </w:tcPr>
          <w:p w14:paraId="5460BFCF" w14:textId="77777777" w:rsidR="002A21AE" w:rsidRDefault="002A21AE">
            <w:pPr>
              <w:pStyle w:val="TableText"/>
              <w:rPr>
                <w:b/>
              </w:rPr>
            </w:pPr>
            <w:r>
              <w:rPr>
                <w:b/>
              </w:rPr>
              <w:t>User Action</w:t>
            </w:r>
          </w:p>
        </w:tc>
        <w:tc>
          <w:tcPr>
            <w:tcW w:w="6120" w:type="dxa"/>
            <w:shd w:val="pct30" w:color="auto" w:fill="FFFFFF"/>
            <w:vAlign w:val="bottom"/>
          </w:tcPr>
          <w:p w14:paraId="1EAB4184" w14:textId="77777777" w:rsidR="002A21AE" w:rsidRDefault="002A21AE">
            <w:pPr>
              <w:pStyle w:val="TableText"/>
              <w:rPr>
                <w:b/>
              </w:rPr>
            </w:pPr>
            <w:r>
              <w:rPr>
                <w:b/>
              </w:rPr>
              <w:t>VBECS</w:t>
            </w:r>
          </w:p>
        </w:tc>
      </w:tr>
      <w:tr w:rsidR="002A21AE" w14:paraId="48EFF3EA" w14:textId="77777777">
        <w:tc>
          <w:tcPr>
            <w:tcW w:w="3240" w:type="dxa"/>
          </w:tcPr>
          <w:p w14:paraId="4D95E37E" w14:textId="77777777" w:rsidR="002A21AE" w:rsidRDefault="002A21AE">
            <w:pPr>
              <w:pStyle w:val="TableTextNumbers"/>
            </w:pPr>
            <w:r>
              <w:t xml:space="preserve">Select </w:t>
            </w:r>
            <w:r>
              <w:rPr>
                <w:b/>
                <w:bCs/>
              </w:rPr>
              <w:t>Tools</w:t>
            </w:r>
            <w:r>
              <w:t xml:space="preserve"> from the main menu.</w:t>
            </w:r>
          </w:p>
          <w:p w14:paraId="0A452461" w14:textId="77777777" w:rsidR="002A21AE" w:rsidRDefault="002A21AE">
            <w:pPr>
              <w:pStyle w:val="TableTextNumbersContinued"/>
              <w:rPr>
                <w:b/>
                <w:bCs/>
              </w:rPr>
            </w:pPr>
          </w:p>
          <w:p w14:paraId="19915B48" w14:textId="77777777" w:rsidR="002A21AE" w:rsidRDefault="002A21AE">
            <w:pPr>
              <w:pStyle w:val="TableTextNumbersContinued"/>
            </w:pPr>
            <w:r>
              <w:t xml:space="preserve">Select </w:t>
            </w:r>
            <w:r>
              <w:rPr>
                <w:b/>
              </w:rPr>
              <w:t>Configure Division</w:t>
            </w:r>
            <w:r>
              <w:t>.</w:t>
            </w:r>
          </w:p>
        </w:tc>
        <w:tc>
          <w:tcPr>
            <w:tcW w:w="6120" w:type="dxa"/>
          </w:tcPr>
          <w:p w14:paraId="78679BEA" w14:textId="77777777" w:rsidR="002A21AE" w:rsidRDefault="002A21AE">
            <w:pPr>
              <w:pStyle w:val="TableTextBullet"/>
            </w:pPr>
            <w:r>
              <w:t>Displays options for processing administrative functions.</w:t>
            </w:r>
          </w:p>
          <w:p w14:paraId="39D55A24" w14:textId="77777777" w:rsidR="002A21AE" w:rsidRDefault="002A21AE">
            <w:pPr>
              <w:pStyle w:val="TableTextBullet"/>
            </w:pPr>
            <w:r>
              <w:t>Displays the Configure Division tab with fields for entering division-specific testing information.</w:t>
            </w:r>
          </w:p>
        </w:tc>
      </w:tr>
      <w:tr w:rsidR="002A21AE" w14:paraId="531F06D2" w14:textId="77777777">
        <w:tc>
          <w:tcPr>
            <w:tcW w:w="3240" w:type="dxa"/>
          </w:tcPr>
          <w:p w14:paraId="386D33DF" w14:textId="779BF1C5" w:rsidR="002A21AE" w:rsidRDefault="002A21AE">
            <w:pPr>
              <w:pStyle w:val="TableTextNumbers"/>
            </w:pPr>
            <w:r>
              <w:t xml:space="preserve">Click the </w:t>
            </w:r>
            <w:r>
              <w:rPr>
                <w:b/>
                <w:bCs/>
              </w:rPr>
              <w:t xml:space="preserve">Configure Testing </w:t>
            </w:r>
            <w:r w:rsidRPr="00773FF6">
              <w:rPr>
                <w:bCs/>
              </w:rPr>
              <w:t>tab</w:t>
            </w:r>
            <w:r w:rsidR="00B22EAF">
              <w:t xml:space="preserve"> </w:t>
            </w:r>
            <w:r w:rsidR="000A273B">
              <w:t>(</w:t>
            </w:r>
            <w:r w:rsidR="00EE455E">
              <w:t xml:space="preserve">Figure </w:t>
            </w:r>
            <w:r w:rsidR="00EE455E">
              <w:rPr>
                <w:noProof/>
              </w:rPr>
              <w:t>25</w:t>
            </w:r>
            <w:r w:rsidR="000A273B">
              <w:t>)</w:t>
            </w:r>
            <w:r w:rsidR="00B22EAF" w:rsidRPr="00090795">
              <w:rPr>
                <w:bCs/>
              </w:rPr>
              <w:t>.</w:t>
            </w:r>
          </w:p>
          <w:p w14:paraId="506BC003" w14:textId="77777777" w:rsidR="002A21AE" w:rsidRPr="00EF0F79" w:rsidRDefault="002A21AE" w:rsidP="007270C3">
            <w:pPr>
              <w:pStyle w:val="TableTextNumbersContinued"/>
              <w:ind w:left="0"/>
              <w:rPr>
                <w:strike/>
              </w:rPr>
            </w:pPr>
          </w:p>
        </w:tc>
        <w:tc>
          <w:tcPr>
            <w:tcW w:w="6120" w:type="dxa"/>
          </w:tcPr>
          <w:p w14:paraId="50B2104D" w14:textId="77777777" w:rsidR="002A21AE" w:rsidRDefault="002A21AE">
            <w:pPr>
              <w:pStyle w:val="TableTextBullet"/>
            </w:pPr>
            <w:r>
              <w:t>Displays the Configure Testing tab with fields for entering division-specific blood product information.</w:t>
            </w:r>
          </w:p>
          <w:p w14:paraId="5A283250" w14:textId="77777777" w:rsidR="004E0061" w:rsidRPr="007270C3" w:rsidRDefault="002A21AE" w:rsidP="007270C3">
            <w:pPr>
              <w:pStyle w:val="TableTextBullet"/>
            </w:pPr>
            <w:r>
              <w:t>Displays options to set standard operating procedures for a division’s laboratory testing.</w:t>
            </w:r>
          </w:p>
        </w:tc>
      </w:tr>
      <w:tr w:rsidR="00EF0F79" w14:paraId="2576FA41" w14:textId="77777777">
        <w:tc>
          <w:tcPr>
            <w:tcW w:w="3240" w:type="dxa"/>
          </w:tcPr>
          <w:p w14:paraId="6855855F" w14:textId="77777777" w:rsidR="00C7159B" w:rsidRDefault="00EF0F79" w:rsidP="00EF0F79">
            <w:pPr>
              <w:pStyle w:val="TableTextNumbers"/>
            </w:pPr>
            <w:r>
              <w:t>Click the appropriate radio buttons to</w:t>
            </w:r>
            <w:r w:rsidR="00C7159B">
              <w:t>:</w:t>
            </w:r>
          </w:p>
          <w:p w14:paraId="33EA7A9C" w14:textId="77777777" w:rsidR="00C7159B" w:rsidRDefault="00C7159B" w:rsidP="00C7159B">
            <w:pPr>
              <w:pStyle w:val="TableTextNumbers"/>
              <w:numPr>
                <w:ilvl w:val="0"/>
                <w:numId w:val="0"/>
              </w:numPr>
              <w:ind w:left="288"/>
            </w:pPr>
          </w:p>
          <w:p w14:paraId="456E7821" w14:textId="77777777" w:rsidR="00C7159B" w:rsidRDefault="00C7159B" w:rsidP="00C7159B">
            <w:pPr>
              <w:pStyle w:val="TableTextNumbers"/>
              <w:numPr>
                <w:ilvl w:val="0"/>
                <w:numId w:val="0"/>
              </w:numPr>
              <w:ind w:left="288"/>
            </w:pPr>
            <w:r w:rsidRPr="00C7159B">
              <w:rPr>
                <w:b/>
              </w:rPr>
              <w:t>E</w:t>
            </w:r>
            <w:r w:rsidR="00EF0F79" w:rsidRPr="00C7159B">
              <w:rPr>
                <w:b/>
              </w:rPr>
              <w:t>nable</w:t>
            </w:r>
            <w:r w:rsidR="00EF0F79">
              <w:t xml:space="preserve"> Electronic Crossmatch</w:t>
            </w:r>
          </w:p>
          <w:p w14:paraId="3A037270" w14:textId="77777777" w:rsidR="00C7159B" w:rsidRDefault="00C7159B" w:rsidP="00C7159B">
            <w:pPr>
              <w:pStyle w:val="TableTextNumbers"/>
              <w:numPr>
                <w:ilvl w:val="0"/>
                <w:numId w:val="0"/>
              </w:numPr>
              <w:ind w:left="288"/>
            </w:pPr>
          </w:p>
          <w:p w14:paraId="314A1478" w14:textId="77777777" w:rsidR="00C7159B" w:rsidRDefault="00C7159B" w:rsidP="00C7159B">
            <w:pPr>
              <w:pStyle w:val="TableTextNumbers"/>
              <w:numPr>
                <w:ilvl w:val="0"/>
                <w:numId w:val="0"/>
              </w:numPr>
              <w:ind w:left="288"/>
            </w:pPr>
            <w:r>
              <w:t>D</w:t>
            </w:r>
            <w:r w:rsidR="00EF0F79">
              <w:t>etermine antibody screen (display antibody screen only, or with a DAT or Autocontrol)</w:t>
            </w:r>
          </w:p>
          <w:p w14:paraId="02001B03" w14:textId="77777777" w:rsidR="00C7159B" w:rsidRDefault="00C7159B" w:rsidP="00C7159B">
            <w:pPr>
              <w:pStyle w:val="TableTextNumbers"/>
              <w:numPr>
                <w:ilvl w:val="0"/>
                <w:numId w:val="0"/>
              </w:numPr>
              <w:ind w:left="288"/>
            </w:pPr>
          </w:p>
          <w:p w14:paraId="5918E647" w14:textId="77777777" w:rsidR="00EF0F79" w:rsidRDefault="00C7159B" w:rsidP="00C7159B">
            <w:pPr>
              <w:pStyle w:val="TableTextNumbers"/>
              <w:numPr>
                <w:ilvl w:val="0"/>
                <w:numId w:val="0"/>
              </w:numPr>
              <w:ind w:left="288"/>
            </w:pPr>
            <w:r>
              <w:t xml:space="preserve">Determine the default test grid displayed </w:t>
            </w:r>
            <w:r w:rsidR="00EF0F79">
              <w:t>for ABS and XM Testing Phases</w:t>
            </w:r>
          </w:p>
        </w:tc>
        <w:tc>
          <w:tcPr>
            <w:tcW w:w="6120" w:type="dxa"/>
          </w:tcPr>
          <w:p w14:paraId="2B4727BC" w14:textId="77777777" w:rsidR="00E77D78" w:rsidRDefault="00A4668B" w:rsidP="002E7EBF">
            <w:pPr>
              <w:pStyle w:val="TableTextBullet"/>
            </w:pPr>
            <w:r>
              <w:t>Displays default configuration settings of</w:t>
            </w:r>
            <w:r w:rsidR="00E77D78">
              <w:t>:</w:t>
            </w:r>
          </w:p>
          <w:p w14:paraId="63CC1E07" w14:textId="77777777" w:rsidR="00E77D78" w:rsidRDefault="00A4668B" w:rsidP="00E77D78">
            <w:pPr>
              <w:pStyle w:val="TableTextBullet1"/>
            </w:pPr>
            <w:r>
              <w:t>Electronic Crossmatch</w:t>
            </w:r>
            <w:r w:rsidR="00E77D78">
              <w:t>:</w:t>
            </w:r>
            <w:r>
              <w:t xml:space="preserve"> Disabled</w:t>
            </w:r>
          </w:p>
          <w:p w14:paraId="28A8DE5E" w14:textId="77777777" w:rsidR="00EF0F79" w:rsidRDefault="00E77D78" w:rsidP="00E77D78">
            <w:pPr>
              <w:pStyle w:val="TableTextBullet1"/>
            </w:pPr>
            <w:r>
              <w:t>Antibody Screen: Antibody Screen Only</w:t>
            </w:r>
          </w:p>
          <w:p w14:paraId="71677E3C" w14:textId="77777777" w:rsidR="00E77D78" w:rsidRDefault="00E77D78" w:rsidP="00E77D78">
            <w:pPr>
              <w:pStyle w:val="TableTextBullet1"/>
            </w:pPr>
            <w:r>
              <w:t>ABS and XM Testing Phases: All Phases</w:t>
            </w:r>
          </w:p>
          <w:p w14:paraId="2A62A594" w14:textId="77777777" w:rsidR="00E77D78" w:rsidRDefault="00E77D78" w:rsidP="00E77D78">
            <w:pPr>
              <w:pStyle w:val="TableTextBullet"/>
            </w:pPr>
            <w:r>
              <w:rPr>
                <w:vanish/>
              </w:rPr>
              <w:t xml:space="preserve">BR_55.04 </w:t>
            </w:r>
            <w:r>
              <w:t>Changes to the configuration settings are captured for the Audit Trail Report.</w:t>
            </w:r>
          </w:p>
        </w:tc>
      </w:tr>
      <w:tr w:rsidR="002A21AE" w14:paraId="78091316" w14:textId="77777777">
        <w:tc>
          <w:tcPr>
            <w:tcW w:w="3240" w:type="dxa"/>
          </w:tcPr>
          <w:p w14:paraId="606B6122"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27A472C" w14:textId="77777777" w:rsidR="002A21AE" w:rsidRPr="002E7EBF" w:rsidRDefault="002A21AE" w:rsidP="002E7EBF">
            <w:pPr>
              <w:pStyle w:val="TableTextBullet"/>
            </w:pPr>
            <w:r>
              <w:t>Displays the appropriate testing grids for subsequent patient orders.</w:t>
            </w:r>
          </w:p>
        </w:tc>
      </w:tr>
    </w:tbl>
    <w:p w14:paraId="0F2E245D" w14:textId="494D2FC5" w:rsidR="000A273B" w:rsidRDefault="000A273B" w:rsidP="000A273B">
      <w:pPr>
        <w:pStyle w:val="Caption"/>
      </w:pPr>
      <w:bookmarkStart w:id="161" w:name="_Ref300722854"/>
      <w:bookmarkStart w:id="162" w:name="_Ref30072283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26</w:t>
      </w:r>
      <w:r w:rsidR="004E20BD">
        <w:rPr>
          <w:noProof/>
        </w:rPr>
        <w:fldChar w:fldCharType="end"/>
      </w:r>
      <w:bookmarkEnd w:id="161"/>
      <w:r>
        <w:t xml:space="preserve">: </w:t>
      </w:r>
      <w:r w:rsidR="00954B38">
        <w:t xml:space="preserve">Example of </w:t>
      </w:r>
      <w:r>
        <w:t>Configure Testing Tab</w:t>
      </w:r>
      <w:bookmarkEnd w:id="162"/>
    </w:p>
    <w:p w14:paraId="7835B084" w14:textId="77777777" w:rsidR="000A273B" w:rsidRPr="000A273B" w:rsidRDefault="00057948" w:rsidP="000A273B">
      <w:pPr>
        <w:pStyle w:val="BodyText"/>
      </w:pPr>
      <w:r>
        <w:rPr>
          <w:noProof/>
        </w:rPr>
        <w:drawing>
          <wp:inline distT="0" distB="0" distL="0" distR="0" wp14:anchorId="65411A45" wp14:editId="6569B61E">
            <wp:extent cx="3657600" cy="3657600"/>
            <wp:effectExtent l="0" t="0" r="0" b="0"/>
            <wp:docPr id="128" name="Picture 128" descr="Example of Configure Testing Tab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Example of Configure Testing Tab screen capt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3EC1A2A7" w14:textId="77777777" w:rsidR="00AF089A" w:rsidRDefault="00AF089A" w:rsidP="007716F7">
      <w:pPr>
        <w:pStyle w:val="Heading3"/>
      </w:pPr>
    </w:p>
    <w:p w14:paraId="2589AD52" w14:textId="77777777" w:rsidR="002A21AE" w:rsidRDefault="00AF089A" w:rsidP="007716F7">
      <w:pPr>
        <w:pStyle w:val="Heading3"/>
      </w:pPr>
      <w:r>
        <w:br w:type="page"/>
      </w:r>
      <w:bookmarkStart w:id="163" w:name="_Toc163644888"/>
      <w:r w:rsidR="00046402">
        <w:lastRenderedPageBreak/>
        <w:t>Product Modifications</w:t>
      </w:r>
      <w:bookmarkEnd w:id="163"/>
      <w:r w:rsidR="002A21AE">
        <w:fldChar w:fldCharType="begin"/>
      </w:r>
      <w:r w:rsidR="002A21AE">
        <w:instrText xml:space="preserve"> XE </w:instrText>
      </w:r>
      <w:r w:rsidR="00FA7E65">
        <w:instrText>“</w:instrText>
      </w:r>
      <w:r w:rsidR="00046402">
        <w:instrText>Product Modifications</w:instrText>
      </w:r>
      <w:r w:rsidR="00FA7E65">
        <w:instrText>”</w:instrText>
      </w:r>
      <w:r w:rsidR="002A21AE">
        <w:instrText xml:space="preserve"> </w:instrText>
      </w:r>
      <w:r w:rsidR="002A21AE">
        <w:fldChar w:fldCharType="end"/>
      </w:r>
      <w:r w:rsidR="002A21AE">
        <w:t xml:space="preserve"> </w:t>
      </w:r>
      <w:r w:rsidR="002A21AE" w:rsidRPr="00796039">
        <w:rPr>
          <w:rFonts w:ascii="Arial Bold" w:hAnsi="Arial Bold"/>
          <w:vanish/>
        </w:rPr>
        <w:t>UC_10</w:t>
      </w:r>
    </w:p>
    <w:p w14:paraId="2DCAF5A9" w14:textId="7D587774" w:rsidR="002A21AE" w:rsidRDefault="002A21AE" w:rsidP="00FA7E65">
      <w:pPr>
        <w:pStyle w:val="BodyText"/>
      </w:pPr>
      <w:r>
        <w:t xml:space="preserve">The user enables the types of modifications made at a division. </w:t>
      </w:r>
      <w:r w:rsidR="0056674A">
        <w:t xml:space="preserve">For additional information, see </w:t>
      </w:r>
      <w:r w:rsidR="00EE455E">
        <w:t xml:space="preserve">Appendix </w:t>
      </w:r>
      <w:r w:rsidR="00EE455E">
        <w:rPr>
          <w:noProof/>
        </w:rPr>
        <w:t>G</w:t>
      </w:r>
      <w:r w:rsidR="00EE455E">
        <w:t>: Work Process Flowcharts</w:t>
      </w:r>
      <w:r w:rsidR="0056674A">
        <w:t>.</w:t>
      </w:r>
    </w:p>
    <w:p w14:paraId="5E3F2A30" w14:textId="77777777" w:rsidR="002A21AE" w:rsidRDefault="002A21AE">
      <w:pPr>
        <w:pStyle w:val="Heading4"/>
      </w:pPr>
      <w:r>
        <w:t>Assumptions</w:t>
      </w:r>
      <w:r>
        <w:rPr>
          <w:b w:val="0"/>
        </w:rPr>
        <w:t xml:space="preserve"> </w:t>
      </w:r>
    </w:p>
    <w:p w14:paraId="38424C74" w14:textId="77777777" w:rsidR="002A21AE" w:rsidRDefault="002A21AE">
      <w:pPr>
        <w:pStyle w:val="ListBullet"/>
      </w:pPr>
      <w:r>
        <w:t>An ICCBBA number was entered for the division.</w:t>
      </w:r>
    </w:p>
    <w:p w14:paraId="627BCFE3" w14:textId="77777777" w:rsidR="002A21AE" w:rsidRDefault="002A21AE">
      <w:pPr>
        <w:pStyle w:val="ListBullet"/>
      </w:pPr>
      <w:r>
        <w:rPr>
          <w:vanish/>
          <w:spacing w:val="0"/>
        </w:rPr>
        <w:t xml:space="preserve">BR_55.02 </w:t>
      </w:r>
      <w:r>
        <w:t>VBECS locks a user out when the user attempts to change the configuration and there are open or partially completed worksheets or processes in the division.</w:t>
      </w:r>
    </w:p>
    <w:p w14:paraId="42E317D3" w14:textId="77777777" w:rsidR="002A21AE" w:rsidRDefault="002A21AE">
      <w:pPr>
        <w:pStyle w:val="Heading4"/>
      </w:pPr>
      <w:r>
        <w:t xml:space="preserve">Outcome </w:t>
      </w:r>
    </w:p>
    <w:p w14:paraId="1D15C3C2" w14:textId="77777777" w:rsidR="002A21AE" w:rsidRDefault="002A21AE">
      <w:pPr>
        <w:pStyle w:val="ListBullet"/>
      </w:pPr>
      <w:r>
        <w:t>This option dictates the available modification types displayed in Modify Units: Pool Units, Modify Units: Split a Unit, and Modify Units.</w:t>
      </w:r>
    </w:p>
    <w:p w14:paraId="6703B59A" w14:textId="77777777" w:rsidR="002A21AE" w:rsidRDefault="002A21AE">
      <w:pPr>
        <w:pStyle w:val="Heading4"/>
        <w:rPr>
          <w:b w:val="0"/>
        </w:rPr>
      </w:pPr>
      <w:r>
        <w:t>Limitations and Restrictions</w:t>
      </w:r>
      <w:r>
        <w:rPr>
          <w:b w:val="0"/>
        </w:rPr>
        <w:t xml:space="preserve"> </w:t>
      </w:r>
    </w:p>
    <w:p w14:paraId="145AC3C4" w14:textId="77777777" w:rsidR="002A21AE" w:rsidRDefault="002A21AE">
      <w:pPr>
        <w:pStyle w:val="ListBullet"/>
      </w:pPr>
      <w:r>
        <w:rPr>
          <w:snapToGrid w:val="0"/>
        </w:rPr>
        <w:t>None</w:t>
      </w:r>
    </w:p>
    <w:p w14:paraId="7915027A" w14:textId="77777777" w:rsidR="002A21AE" w:rsidRDefault="002A21AE">
      <w:pPr>
        <w:pStyle w:val="Heading4"/>
      </w:pPr>
      <w:r>
        <w:t xml:space="preserve">Additional Information </w:t>
      </w:r>
    </w:p>
    <w:p w14:paraId="360CFF14" w14:textId="77777777" w:rsidR="002A21AE" w:rsidRDefault="002A21AE">
      <w:pPr>
        <w:pStyle w:val="ListBullet"/>
      </w:pPr>
      <w:r>
        <w:rPr>
          <w:snapToGrid w:val="0"/>
        </w:rPr>
        <w:t>None</w:t>
      </w:r>
    </w:p>
    <w:p w14:paraId="2BA26661" w14:textId="77777777" w:rsidR="002A21AE" w:rsidRDefault="002A21AE">
      <w:pPr>
        <w:pStyle w:val="Heading4"/>
      </w:pPr>
      <w:r>
        <w:t xml:space="preserve">User Roles with Access to This Option </w:t>
      </w:r>
    </w:p>
    <w:p w14:paraId="103E4EFD"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168F8C8" w14:textId="77777777" w:rsidR="002A21AE" w:rsidRDefault="00046402">
      <w:pPr>
        <w:pStyle w:val="Heading4"/>
        <w:rPr>
          <w:u w:val="single"/>
        </w:rPr>
      </w:pPr>
      <w:r>
        <w:t>Product Modifications</w:t>
      </w:r>
    </w:p>
    <w:p w14:paraId="731CE553" w14:textId="77777777" w:rsidR="002A21AE" w:rsidRDefault="002A21AE" w:rsidP="00FA7E65">
      <w:pPr>
        <w:pStyle w:val="BodyText"/>
      </w:pPr>
      <w:r>
        <w:t>The user enables specific modification type procedures performed in the blood bank in the hospital division. The user may enable one, all, or some of the modification processes. Once the types of modifications are enabled, individual blood unit modification is controlled by the rules of modification truth tables. VBECS is exported with all modification types disabled. VBECS allows for full customization upon deployment as well as changes to the enabled modifications when a division’s capabilities and procedures change.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40F49F7" w14:textId="77777777">
        <w:trPr>
          <w:tblHeader/>
        </w:trPr>
        <w:tc>
          <w:tcPr>
            <w:tcW w:w="3240" w:type="dxa"/>
            <w:shd w:val="pct30" w:color="auto" w:fill="FFFFFF"/>
            <w:vAlign w:val="bottom"/>
          </w:tcPr>
          <w:p w14:paraId="369684BC" w14:textId="77777777" w:rsidR="002A21AE" w:rsidRDefault="002A21AE">
            <w:pPr>
              <w:pStyle w:val="TableText"/>
              <w:rPr>
                <w:b/>
              </w:rPr>
            </w:pPr>
            <w:r>
              <w:rPr>
                <w:b/>
              </w:rPr>
              <w:t>User Action</w:t>
            </w:r>
          </w:p>
        </w:tc>
        <w:tc>
          <w:tcPr>
            <w:tcW w:w="6120" w:type="dxa"/>
            <w:shd w:val="pct30" w:color="auto" w:fill="FFFFFF"/>
            <w:vAlign w:val="bottom"/>
          </w:tcPr>
          <w:p w14:paraId="476EE335" w14:textId="77777777" w:rsidR="002A21AE" w:rsidRDefault="002A21AE">
            <w:pPr>
              <w:pStyle w:val="TableText"/>
              <w:rPr>
                <w:b/>
              </w:rPr>
            </w:pPr>
            <w:r>
              <w:rPr>
                <w:b/>
              </w:rPr>
              <w:t>VBECS</w:t>
            </w:r>
          </w:p>
        </w:tc>
      </w:tr>
      <w:tr w:rsidR="002A21AE" w14:paraId="68FECCCE" w14:textId="77777777">
        <w:tc>
          <w:tcPr>
            <w:tcW w:w="3240" w:type="dxa"/>
          </w:tcPr>
          <w:p w14:paraId="599536CF" w14:textId="77777777" w:rsidR="002A21AE" w:rsidRDefault="002A21AE">
            <w:pPr>
              <w:pStyle w:val="TableTextNumbers"/>
            </w:pPr>
            <w:r>
              <w:t xml:space="preserve">Select </w:t>
            </w:r>
            <w:r>
              <w:rPr>
                <w:b/>
                <w:bCs/>
              </w:rPr>
              <w:t>Tools</w:t>
            </w:r>
            <w:r>
              <w:t xml:space="preserve"> from the main menu.</w:t>
            </w:r>
          </w:p>
          <w:p w14:paraId="4C64983D" w14:textId="77777777" w:rsidR="002A21AE" w:rsidRDefault="002A21AE">
            <w:pPr>
              <w:pStyle w:val="TableTextNumbersContinued"/>
              <w:rPr>
                <w:b/>
                <w:bCs/>
              </w:rPr>
            </w:pPr>
          </w:p>
          <w:p w14:paraId="4A312B5C" w14:textId="77777777" w:rsidR="002A21AE" w:rsidRDefault="002A21AE">
            <w:pPr>
              <w:pStyle w:val="TableTextNumbersContinued"/>
            </w:pPr>
            <w:r>
              <w:t xml:space="preserve">Select </w:t>
            </w:r>
            <w:r>
              <w:rPr>
                <w:b/>
              </w:rPr>
              <w:t>Configure Division</w:t>
            </w:r>
            <w:r>
              <w:t>.</w:t>
            </w:r>
          </w:p>
        </w:tc>
        <w:tc>
          <w:tcPr>
            <w:tcW w:w="6120" w:type="dxa"/>
          </w:tcPr>
          <w:p w14:paraId="5B594209" w14:textId="77777777" w:rsidR="002A21AE" w:rsidRDefault="002A21AE">
            <w:pPr>
              <w:pStyle w:val="TableTextBullet"/>
            </w:pPr>
            <w:r>
              <w:t>Displays options for processing administrative functions.</w:t>
            </w:r>
          </w:p>
          <w:p w14:paraId="0A473667" w14:textId="77777777" w:rsidR="002A21AE" w:rsidRDefault="002A21AE">
            <w:pPr>
              <w:pStyle w:val="TableTextBullet"/>
            </w:pPr>
            <w:r>
              <w:t>Displays the Configure Division tab with fields for entering division-specific testing information.</w:t>
            </w:r>
          </w:p>
        </w:tc>
      </w:tr>
      <w:tr w:rsidR="002A21AE" w14:paraId="529BF1D6" w14:textId="77777777">
        <w:tc>
          <w:tcPr>
            <w:tcW w:w="3240" w:type="dxa"/>
          </w:tcPr>
          <w:p w14:paraId="1203EE4E" w14:textId="562F7412" w:rsidR="002A21AE" w:rsidRDefault="002A21AE">
            <w:pPr>
              <w:pStyle w:val="TableTextNumbers"/>
            </w:pPr>
            <w:r>
              <w:t xml:space="preserve">Click the </w:t>
            </w:r>
            <w:r>
              <w:rPr>
                <w:b/>
              </w:rPr>
              <w:t xml:space="preserve">Product Modifications </w:t>
            </w:r>
            <w:r w:rsidRPr="00CC3C89">
              <w:t>tab</w:t>
            </w:r>
            <w:r w:rsidR="001266F5" w:rsidRPr="00CC3C89">
              <w:t xml:space="preserve"> </w:t>
            </w:r>
            <w:r w:rsidR="001266F5">
              <w:t>(</w:t>
            </w:r>
            <w:r w:rsidR="00EE455E">
              <w:t xml:space="preserve">Figure </w:t>
            </w:r>
            <w:r w:rsidR="00EE455E">
              <w:rPr>
                <w:noProof/>
              </w:rPr>
              <w:t>26</w:t>
            </w:r>
            <w:r w:rsidR="001266F5">
              <w:t>)</w:t>
            </w:r>
            <w:r>
              <w:t>.</w:t>
            </w:r>
          </w:p>
        </w:tc>
        <w:tc>
          <w:tcPr>
            <w:tcW w:w="6120" w:type="dxa"/>
          </w:tcPr>
          <w:p w14:paraId="3BD9D64A" w14:textId="77777777" w:rsidR="002A21AE" w:rsidRDefault="002A21AE">
            <w:pPr>
              <w:pStyle w:val="TableTextBullet"/>
            </w:pPr>
            <w:r>
              <w:t xml:space="preserve">Lists valid modification procedures. </w:t>
            </w:r>
          </w:p>
          <w:p w14:paraId="2EFEB850" w14:textId="77777777" w:rsidR="002A21AE" w:rsidRDefault="002A21AE">
            <w:pPr>
              <w:pStyle w:val="TableText"/>
            </w:pPr>
          </w:p>
          <w:p w14:paraId="7CF1B052" w14:textId="57266399" w:rsidR="002A21AE" w:rsidRDefault="002A21AE">
            <w:pPr>
              <w:pStyle w:val="TableText"/>
              <w:rPr>
                <w:b/>
                <w:bCs/>
                <w:szCs w:val="18"/>
              </w:rPr>
            </w:pPr>
            <w:r>
              <w:rPr>
                <w:b/>
                <w:bCs/>
                <w:szCs w:val="18"/>
              </w:rPr>
              <w:t>NOTES</w:t>
            </w:r>
          </w:p>
          <w:p w14:paraId="5F064322" w14:textId="77777777" w:rsidR="002A21AE" w:rsidRDefault="002A21AE">
            <w:pPr>
              <w:pStyle w:val="NotesText"/>
            </w:pPr>
          </w:p>
          <w:p w14:paraId="0E4A473F" w14:textId="77777777" w:rsidR="002A21AE" w:rsidRDefault="002A21AE">
            <w:pPr>
              <w:pStyle w:val="NotesText"/>
              <w:rPr>
                <w:strike/>
              </w:rPr>
            </w:pPr>
            <w:r>
              <w:t xml:space="preserve">A user may enable one, more, or all modification types. </w:t>
            </w:r>
          </w:p>
        </w:tc>
      </w:tr>
      <w:tr w:rsidR="002A21AE" w14:paraId="4A96F405" w14:textId="77777777" w:rsidTr="007E500E">
        <w:trPr>
          <w:cantSplit/>
        </w:trPr>
        <w:tc>
          <w:tcPr>
            <w:tcW w:w="3240" w:type="dxa"/>
          </w:tcPr>
          <w:p w14:paraId="43997030" w14:textId="77777777" w:rsidR="002A21AE" w:rsidRDefault="002A21AE">
            <w:pPr>
              <w:pStyle w:val="TableTextNumbers"/>
            </w:pPr>
            <w:r>
              <w:lastRenderedPageBreak/>
              <w:t>Click one or more check boxes to enable modification types.</w:t>
            </w:r>
          </w:p>
          <w:p w14:paraId="7071CC48" w14:textId="77777777" w:rsidR="002A21AE" w:rsidRDefault="002A21AE">
            <w:pPr>
              <w:pStyle w:val="TableTextNumbersContinued"/>
              <w:rPr>
                <w:b/>
                <w:bCs/>
              </w:rPr>
            </w:pPr>
          </w:p>
          <w:p w14:paraId="58B6E71B" w14:textId="77777777" w:rsidR="002A21AE" w:rsidRDefault="002A21AE">
            <w:pPr>
              <w:pStyle w:val="TableTextNumbersContinued"/>
            </w:pPr>
            <w:r>
              <w:t>Enter the</w:t>
            </w:r>
            <w:r w:rsidR="00B917A8">
              <w:t xml:space="preserve"> processing cost </w:t>
            </w:r>
            <w:r>
              <w:t xml:space="preserve">associated with each modification procedure. </w:t>
            </w:r>
          </w:p>
        </w:tc>
        <w:tc>
          <w:tcPr>
            <w:tcW w:w="6120" w:type="dxa"/>
          </w:tcPr>
          <w:p w14:paraId="7BCCE7DF" w14:textId="77777777" w:rsidR="002A21AE" w:rsidRDefault="002A21AE">
            <w:pPr>
              <w:pStyle w:val="TableTextBullet"/>
            </w:pPr>
            <w:r>
              <w:t>Lists modification procedures.</w:t>
            </w:r>
          </w:p>
          <w:p w14:paraId="7EE859E2" w14:textId="77777777" w:rsidR="002A21AE" w:rsidRDefault="002A21AE">
            <w:pPr>
              <w:pStyle w:val="TableText"/>
              <w:rPr>
                <w:b/>
                <w:bCs/>
                <w:szCs w:val="18"/>
              </w:rPr>
            </w:pPr>
          </w:p>
          <w:p w14:paraId="32CD2751" w14:textId="76C7B7AD" w:rsidR="002A21AE" w:rsidRDefault="002A21AE">
            <w:pPr>
              <w:pStyle w:val="TableText"/>
              <w:rPr>
                <w:b/>
                <w:bCs/>
                <w:szCs w:val="18"/>
              </w:rPr>
            </w:pPr>
            <w:r>
              <w:rPr>
                <w:b/>
                <w:bCs/>
                <w:szCs w:val="18"/>
              </w:rPr>
              <w:t>NOTES</w:t>
            </w:r>
          </w:p>
          <w:p w14:paraId="036A1DC7" w14:textId="77777777" w:rsidR="002A21AE" w:rsidRDefault="002A21AE">
            <w:pPr>
              <w:pStyle w:val="NotesText"/>
            </w:pPr>
          </w:p>
          <w:p w14:paraId="19051C7C" w14:textId="77777777" w:rsidR="002A21AE" w:rsidRDefault="002A21AE">
            <w:pPr>
              <w:pStyle w:val="NotesText"/>
            </w:pPr>
            <w:r>
              <w:t>Modification procedures:</w:t>
            </w:r>
          </w:p>
          <w:p w14:paraId="74227592" w14:textId="77777777" w:rsidR="002A21AE" w:rsidRDefault="002A21AE">
            <w:pPr>
              <w:pStyle w:val="NotesTextBullet"/>
            </w:pPr>
            <w:r>
              <w:t xml:space="preserve">Thaw </w:t>
            </w:r>
          </w:p>
          <w:p w14:paraId="6905488A" w14:textId="77777777" w:rsidR="002A21AE" w:rsidRDefault="002A21AE">
            <w:pPr>
              <w:pStyle w:val="NotesTextBullet"/>
            </w:pPr>
            <w:r>
              <w:t>Pool</w:t>
            </w:r>
          </w:p>
          <w:p w14:paraId="0ABCC28F" w14:textId="77777777" w:rsidR="002A21AE" w:rsidRDefault="002A21AE">
            <w:pPr>
              <w:pStyle w:val="NotesTextBullet"/>
            </w:pPr>
            <w:r>
              <w:t>Thaw/Pool Cryo</w:t>
            </w:r>
          </w:p>
          <w:p w14:paraId="0680950F" w14:textId="77777777" w:rsidR="002A21AE" w:rsidRDefault="002A21AE">
            <w:pPr>
              <w:pStyle w:val="NotesTextBullet"/>
            </w:pPr>
            <w:r>
              <w:t>Split/Divide</w:t>
            </w:r>
          </w:p>
          <w:p w14:paraId="0DE32144" w14:textId="77777777" w:rsidR="002A21AE" w:rsidRDefault="002A21AE">
            <w:pPr>
              <w:pStyle w:val="NotesTextBullet"/>
            </w:pPr>
            <w:r>
              <w:t>Irradiate</w:t>
            </w:r>
          </w:p>
          <w:p w14:paraId="5D7FE5BF" w14:textId="77777777" w:rsidR="002A21AE" w:rsidRDefault="002A21AE">
            <w:pPr>
              <w:pStyle w:val="NotesTextBullet"/>
            </w:pPr>
            <w:r>
              <w:t>Leukoreduce</w:t>
            </w:r>
          </w:p>
          <w:p w14:paraId="0E9DCB7F" w14:textId="77777777" w:rsidR="002A21AE" w:rsidRDefault="002A21AE">
            <w:pPr>
              <w:pStyle w:val="NotesTextBullet"/>
            </w:pPr>
            <w:r>
              <w:t>Volume reduce</w:t>
            </w:r>
          </w:p>
          <w:p w14:paraId="56948B52" w14:textId="77777777" w:rsidR="002A21AE" w:rsidRDefault="002A21AE">
            <w:pPr>
              <w:pStyle w:val="NotesTextBullet"/>
            </w:pPr>
            <w:r>
              <w:t>Wash</w:t>
            </w:r>
          </w:p>
          <w:p w14:paraId="1BB1ADDF" w14:textId="77777777" w:rsidR="002A21AE" w:rsidRDefault="002A21AE">
            <w:pPr>
              <w:pStyle w:val="NotesTextBullet"/>
            </w:pPr>
            <w:r>
              <w:t xml:space="preserve">Rejuvenate </w:t>
            </w:r>
          </w:p>
          <w:p w14:paraId="0A67F8C4" w14:textId="77777777" w:rsidR="002A21AE" w:rsidRDefault="002A21AE">
            <w:pPr>
              <w:pStyle w:val="NotesTextBullet"/>
            </w:pPr>
            <w:r>
              <w:t>Freeze</w:t>
            </w:r>
          </w:p>
          <w:p w14:paraId="51BF25E2" w14:textId="77777777" w:rsidR="002A21AE" w:rsidRDefault="002A21AE">
            <w:pPr>
              <w:pStyle w:val="NotesTextBullet"/>
            </w:pPr>
            <w:r>
              <w:t>Deglycerolize</w:t>
            </w:r>
          </w:p>
          <w:p w14:paraId="2D1D2F29" w14:textId="77777777" w:rsidR="002A21AE" w:rsidRPr="009D316D" w:rsidRDefault="002A21AE" w:rsidP="009D316D">
            <w:pPr>
              <w:pStyle w:val="NotesText"/>
            </w:pPr>
          </w:p>
          <w:p w14:paraId="53A70C7D" w14:textId="77777777" w:rsidR="000E19EE" w:rsidRDefault="002A21AE" w:rsidP="009D316D">
            <w:pPr>
              <w:pStyle w:val="NotesText"/>
            </w:pPr>
            <w:r w:rsidRPr="009D316D">
              <w:rPr>
                <w:vanish/>
                <w:szCs w:val="18"/>
              </w:rPr>
              <w:t xml:space="preserve">BR_10.03 </w:t>
            </w:r>
            <w:r w:rsidRPr="009D316D">
              <w:t xml:space="preserve">The modification process fee is added to the base unit cost </w:t>
            </w:r>
            <w:r w:rsidR="00D2265D" w:rsidRPr="009D316D">
              <w:t xml:space="preserve">of the first target unit </w:t>
            </w:r>
            <w:r w:rsidRPr="009D316D">
              <w:t>and special testing costs, creating a patient bill for a transfused blood product, not including on-site antigen typing performed. The modification process fee may be U.S. $0.00 to $9,999.99.</w:t>
            </w:r>
            <w:r w:rsidR="00A76634">
              <w:t xml:space="preserve"> VBECS will generate an audit trail report entry when this field is filled or changed.</w:t>
            </w:r>
          </w:p>
        </w:tc>
      </w:tr>
      <w:tr w:rsidR="002A21AE" w14:paraId="0961895B" w14:textId="77777777">
        <w:tc>
          <w:tcPr>
            <w:tcW w:w="3240" w:type="dxa"/>
          </w:tcPr>
          <w:p w14:paraId="1C1C5124"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5618615" w14:textId="77777777" w:rsidR="002A21AE" w:rsidRDefault="002A21AE">
            <w:pPr>
              <w:pStyle w:val="TableTextBullet"/>
            </w:pPr>
            <w:r>
              <w:t>Updates the database and captures changes to any previously defined parameters for inclusion in the Audit Trail Report.</w:t>
            </w:r>
          </w:p>
        </w:tc>
      </w:tr>
    </w:tbl>
    <w:p w14:paraId="7DDF2499" w14:textId="45E6B050" w:rsidR="001266F5" w:rsidRDefault="001266F5" w:rsidP="001266F5">
      <w:pPr>
        <w:pStyle w:val="Caption"/>
      </w:pPr>
      <w:bookmarkStart w:id="164" w:name="_Ref126470383"/>
      <w:bookmarkStart w:id="165" w:name="_Toc6368038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27</w:t>
      </w:r>
      <w:r w:rsidR="004E20BD">
        <w:rPr>
          <w:noProof/>
        </w:rPr>
        <w:fldChar w:fldCharType="end"/>
      </w:r>
      <w:bookmarkEnd w:id="164"/>
      <w:r>
        <w:t xml:space="preserve">: </w:t>
      </w:r>
      <w:r w:rsidR="00954B38">
        <w:t xml:space="preserve">Example of </w:t>
      </w:r>
      <w:r>
        <w:t>Product Modifications Tab</w:t>
      </w:r>
    </w:p>
    <w:p w14:paraId="748BF8CA" w14:textId="77777777" w:rsidR="0066425F" w:rsidRDefault="00057948" w:rsidP="0066425F">
      <w:pPr>
        <w:pStyle w:val="BodyText"/>
      </w:pPr>
      <w:r>
        <w:rPr>
          <w:noProof/>
        </w:rPr>
        <w:drawing>
          <wp:inline distT="0" distB="0" distL="0" distR="0" wp14:anchorId="58CB2321" wp14:editId="36255AC8">
            <wp:extent cx="3195955" cy="3214370"/>
            <wp:effectExtent l="0" t="0" r="4445" b="5080"/>
            <wp:docPr id="129" name="Picture 129" descr="Example of Product Modifications Tab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Example of Product Modifications Tab screen capt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95955" cy="3214370"/>
                    </a:xfrm>
                    <a:prstGeom prst="rect">
                      <a:avLst/>
                    </a:prstGeom>
                    <a:noFill/>
                    <a:ln>
                      <a:noFill/>
                    </a:ln>
                  </pic:spPr>
                </pic:pic>
              </a:graphicData>
            </a:graphic>
          </wp:inline>
        </w:drawing>
      </w:r>
      <w:r w:rsidR="001266F5">
        <w:t xml:space="preserve"> </w:t>
      </w:r>
    </w:p>
    <w:p w14:paraId="38D45D49" w14:textId="77777777" w:rsidR="00796039" w:rsidRDefault="00AF089A" w:rsidP="0066425F">
      <w:pPr>
        <w:pStyle w:val="Heading3"/>
      </w:pPr>
      <w:r>
        <w:br w:type="page"/>
      </w:r>
      <w:bookmarkStart w:id="166" w:name="_Toc163644889"/>
      <w:r w:rsidR="006068DE">
        <w:lastRenderedPageBreak/>
        <w:t>Order Alerts</w:t>
      </w:r>
      <w:bookmarkEnd w:id="166"/>
      <w:r w:rsidR="00796039">
        <w:fldChar w:fldCharType="begin"/>
      </w:r>
      <w:r w:rsidR="00796039">
        <w:instrText xml:space="preserve"> XE “</w:instrText>
      </w:r>
      <w:r w:rsidR="006068DE">
        <w:instrText>Order Alerts</w:instrText>
      </w:r>
      <w:r w:rsidR="00796039">
        <w:instrText xml:space="preserve">” </w:instrText>
      </w:r>
      <w:r w:rsidR="00796039">
        <w:fldChar w:fldCharType="end"/>
      </w:r>
      <w:r w:rsidR="00796039">
        <w:t xml:space="preserve"> </w:t>
      </w:r>
      <w:r w:rsidR="00796039">
        <w:rPr>
          <w:vanish/>
        </w:rPr>
        <w:t>UC_95</w:t>
      </w:r>
    </w:p>
    <w:p w14:paraId="460B95C2" w14:textId="57BB6B6B" w:rsidR="00796039" w:rsidRDefault="00796039" w:rsidP="00796039">
      <w:pPr>
        <w:pStyle w:val="BodyText"/>
      </w:pPr>
      <w:r>
        <w:t xml:space="preserve">The user configures </w:t>
      </w:r>
      <w:r w:rsidRPr="00CA0045">
        <w:rPr>
          <w:bCs/>
        </w:rPr>
        <w:t>VistA</w:t>
      </w:r>
      <w:r>
        <w:t xml:space="preserve"> alerts that appear at login. </w:t>
      </w:r>
      <w:r w:rsidR="00E90A01">
        <w:t xml:space="preserve">For additional information, see </w:t>
      </w:r>
      <w:r w:rsidR="00EE455E">
        <w:t xml:space="preserve">Appendix </w:t>
      </w:r>
      <w:r w:rsidR="00EE455E">
        <w:rPr>
          <w:noProof/>
        </w:rPr>
        <w:t>G</w:t>
      </w:r>
      <w:r w:rsidR="00EE455E">
        <w:t>: Work Process Flowcharts</w:t>
      </w:r>
      <w:r w:rsidR="00E90A01">
        <w:t>.</w:t>
      </w:r>
    </w:p>
    <w:p w14:paraId="457CFDF5" w14:textId="77777777" w:rsidR="00796039" w:rsidRDefault="00796039" w:rsidP="00796039">
      <w:pPr>
        <w:pStyle w:val="Heading4"/>
      </w:pPr>
      <w:r>
        <w:t>Assumptions</w:t>
      </w:r>
      <w:r>
        <w:rPr>
          <w:b w:val="0"/>
        </w:rPr>
        <w:t xml:space="preserve"> </w:t>
      </w:r>
    </w:p>
    <w:p w14:paraId="6727689B" w14:textId="77777777" w:rsidR="00796039" w:rsidRDefault="00796039" w:rsidP="00796039">
      <w:pPr>
        <w:pStyle w:val="ListBullet"/>
      </w:pPr>
      <w:r>
        <w:t>None</w:t>
      </w:r>
    </w:p>
    <w:p w14:paraId="6DE502E2" w14:textId="77777777" w:rsidR="00796039" w:rsidRDefault="00796039" w:rsidP="00796039">
      <w:pPr>
        <w:pStyle w:val="Heading4"/>
      </w:pPr>
      <w:r>
        <w:t xml:space="preserve">Outcome </w:t>
      </w:r>
    </w:p>
    <w:p w14:paraId="05AC8C9E" w14:textId="77777777" w:rsidR="00796039" w:rsidRDefault="00796039" w:rsidP="00796039">
      <w:pPr>
        <w:pStyle w:val="ListBullet"/>
      </w:pPr>
      <w:r>
        <w:t>User alerts of physician orders for blood bank diagnostic tests and blood components are configured.</w:t>
      </w:r>
    </w:p>
    <w:p w14:paraId="479B4E42" w14:textId="77777777" w:rsidR="00796039" w:rsidRDefault="00796039" w:rsidP="00796039">
      <w:pPr>
        <w:pStyle w:val="Heading4"/>
      </w:pPr>
      <w:r>
        <w:t>Limitations and Restrictions</w:t>
      </w:r>
      <w:r>
        <w:rPr>
          <w:b w:val="0"/>
        </w:rPr>
        <w:t xml:space="preserve"> </w:t>
      </w:r>
    </w:p>
    <w:p w14:paraId="2C16110B" w14:textId="77777777" w:rsidR="000D7828" w:rsidRDefault="000D7828" w:rsidP="00796039">
      <w:pPr>
        <w:pStyle w:val="ListBullet"/>
      </w:pPr>
      <w:r>
        <w:t xml:space="preserve">This is an alert only and contains limited information from the CPRS order. </w:t>
      </w:r>
      <w:r w:rsidRPr="000D7828">
        <w:rPr>
          <w:vanish/>
        </w:rPr>
        <w:t>Defect 368207</w:t>
      </w:r>
    </w:p>
    <w:p w14:paraId="6598AF61" w14:textId="77777777" w:rsidR="00796039" w:rsidRDefault="00796039" w:rsidP="00796039">
      <w:pPr>
        <w:pStyle w:val="ListBullet"/>
      </w:pPr>
      <w:r>
        <w:t>This option does not create a mechanism to accept or reject orders or specimens or define reports for viewing orders.</w:t>
      </w:r>
    </w:p>
    <w:p w14:paraId="2D8D1B05" w14:textId="77777777" w:rsidR="00796039" w:rsidRDefault="00796039" w:rsidP="00796039">
      <w:pPr>
        <w:pStyle w:val="ListBullet"/>
      </w:pPr>
      <w:r>
        <w:t>The user may select the option to display printer alerts only when the designated printer is configured and available.</w:t>
      </w:r>
    </w:p>
    <w:p w14:paraId="19524F2F" w14:textId="77777777" w:rsidR="00796039" w:rsidRDefault="00796039" w:rsidP="00796039">
      <w:pPr>
        <w:pStyle w:val="ListBullet"/>
      </w:pPr>
      <w:r>
        <w:t>The printer</w:t>
      </w:r>
      <w:r w:rsidR="006C2ED3" w:rsidRPr="006C2ED3">
        <w:t xml:space="preserve"> </w:t>
      </w:r>
      <w:r w:rsidR="006C2ED3">
        <w:t>must be configured by the System Administrator</w:t>
      </w:r>
      <w:r>
        <w:t>.</w:t>
      </w:r>
    </w:p>
    <w:p w14:paraId="17DB53D5" w14:textId="7F930824" w:rsidR="00325C70" w:rsidRPr="00C32C1A" w:rsidRDefault="00325C70" w:rsidP="00325C70">
      <w:pPr>
        <w:pStyle w:val="ListBullet"/>
      </w:pPr>
      <w:r w:rsidRPr="00C32C1A">
        <w:t xml:space="preserve">The Order alert functionality is disabled when VBECS is set to </w:t>
      </w:r>
      <w:r w:rsidR="00F63A03">
        <w:t>Read-Only</w:t>
      </w:r>
      <w:r w:rsidRPr="00C32C1A">
        <w:t xml:space="preserve">. </w:t>
      </w:r>
    </w:p>
    <w:p w14:paraId="05B472AE" w14:textId="77777777" w:rsidR="00796039" w:rsidRDefault="00796039" w:rsidP="00796039">
      <w:pPr>
        <w:pStyle w:val="Heading4"/>
      </w:pPr>
      <w:r>
        <w:t xml:space="preserve">Additional Information </w:t>
      </w:r>
    </w:p>
    <w:p w14:paraId="76A01DF4" w14:textId="77777777" w:rsidR="00796039" w:rsidRDefault="00796039" w:rsidP="00796039">
      <w:pPr>
        <w:pStyle w:val="ListBullet"/>
      </w:pPr>
      <w:r>
        <w:t>A user may review current user alert configurations.</w:t>
      </w:r>
    </w:p>
    <w:p w14:paraId="77AA01F0" w14:textId="77777777" w:rsidR="00796039" w:rsidRDefault="00796039" w:rsidP="00796039">
      <w:pPr>
        <w:pStyle w:val="ListBullet"/>
      </w:pPr>
      <w:r>
        <w:t>VBECS uses other alerts (patient update alerts, VistALink status alerts) that do not require configuration.</w:t>
      </w:r>
    </w:p>
    <w:p w14:paraId="50194E65" w14:textId="77777777" w:rsidR="007004B1" w:rsidRDefault="007004B1" w:rsidP="00796039">
      <w:pPr>
        <w:pStyle w:val="ListBullet"/>
      </w:pPr>
      <w:r>
        <w:t xml:space="preserve">The user may set </w:t>
      </w:r>
      <w:r w:rsidR="00922AD8">
        <w:t>VBECS to</w:t>
      </w:r>
      <w:r>
        <w:t xml:space="preserve"> automatically print an order alert on the designated printer when VBECS ackn</w:t>
      </w:r>
      <w:r w:rsidR="000D7828">
        <w:t xml:space="preserve">owledges the order. </w:t>
      </w:r>
      <w:r>
        <w:t>The CPRS can be configured to print a copy of the order on a printer in the blood bank.</w:t>
      </w:r>
    </w:p>
    <w:p w14:paraId="75E15C6B" w14:textId="77777777" w:rsidR="00491BEC" w:rsidRDefault="00491BEC" w:rsidP="00796039">
      <w:pPr>
        <w:pStyle w:val="ListBullet"/>
      </w:pPr>
      <w:r>
        <w:t>Printed order alerts are not queued.</w:t>
      </w:r>
    </w:p>
    <w:p w14:paraId="61A36C01" w14:textId="77777777" w:rsidR="00796039" w:rsidRDefault="00796039" w:rsidP="00796039">
      <w:pPr>
        <w:pStyle w:val="Heading4"/>
        <w:rPr>
          <w:b w:val="0"/>
        </w:rPr>
      </w:pPr>
      <w:r>
        <w:t>User Roles with Access to This Option</w:t>
      </w:r>
      <w:r>
        <w:rPr>
          <w:b w:val="0"/>
        </w:rPr>
        <w:t xml:space="preserve"> </w:t>
      </w:r>
    </w:p>
    <w:p w14:paraId="55735B5F" w14:textId="77777777" w:rsidR="00237C52" w:rsidRDefault="00237C52" w:rsidP="0079603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58532C3" w14:textId="77777777" w:rsidR="00796039" w:rsidRDefault="006068DE" w:rsidP="00796039">
      <w:pPr>
        <w:pStyle w:val="Heading4"/>
      </w:pPr>
      <w:r>
        <w:t>Order Alerts</w:t>
      </w:r>
    </w:p>
    <w:p w14:paraId="21F94838" w14:textId="1EA151BE" w:rsidR="00796039" w:rsidRDefault="00796039" w:rsidP="00796039">
      <w:pPr>
        <w:pStyle w:val="BodyText"/>
      </w:pPr>
      <w:r>
        <w:t xml:space="preserve">The user configures diagnostic test or component order </w:t>
      </w:r>
      <w:r w:rsidR="00702CFB">
        <w:t>alerts and</w:t>
      </w:r>
      <w:r>
        <w:t xml:space="preserve"> turns them on or off. The alerts notify users when new orders are entered, updated, or cancel</w:t>
      </w:r>
      <w:r w:rsidR="002F7E19">
        <w:t>l</w:t>
      </w:r>
      <w:r>
        <w:t xml:space="preserve">ed in </w:t>
      </w:r>
      <w:r w:rsidRPr="00CA0045">
        <w:rPr>
          <w:bCs/>
        </w:rPr>
        <w:t>VistA</w:t>
      </w:r>
      <w:r>
        <w:rPr>
          <w:bCs/>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EC59A4C" w14:textId="77777777">
        <w:trPr>
          <w:cantSplit/>
          <w:tblHeader/>
        </w:trPr>
        <w:tc>
          <w:tcPr>
            <w:tcW w:w="3240" w:type="dxa"/>
            <w:shd w:val="pct30" w:color="auto" w:fill="FFFFFF"/>
            <w:vAlign w:val="bottom"/>
          </w:tcPr>
          <w:p w14:paraId="73545CF7" w14:textId="77777777" w:rsidR="00796039" w:rsidRDefault="00796039" w:rsidP="00796039">
            <w:pPr>
              <w:pStyle w:val="TableText"/>
              <w:rPr>
                <w:b/>
              </w:rPr>
            </w:pPr>
            <w:r>
              <w:rPr>
                <w:b/>
              </w:rPr>
              <w:t>User Action</w:t>
            </w:r>
          </w:p>
        </w:tc>
        <w:tc>
          <w:tcPr>
            <w:tcW w:w="6120" w:type="dxa"/>
            <w:shd w:val="pct30" w:color="auto" w:fill="FFFFFF"/>
            <w:vAlign w:val="bottom"/>
          </w:tcPr>
          <w:p w14:paraId="067F5AA8" w14:textId="77777777" w:rsidR="00796039" w:rsidRDefault="00796039" w:rsidP="00796039">
            <w:pPr>
              <w:pStyle w:val="TableText"/>
              <w:rPr>
                <w:b/>
              </w:rPr>
            </w:pPr>
            <w:r>
              <w:rPr>
                <w:b/>
              </w:rPr>
              <w:t>VBECS</w:t>
            </w:r>
          </w:p>
        </w:tc>
      </w:tr>
      <w:tr w:rsidR="00796039" w14:paraId="2A200728" w14:textId="77777777">
        <w:tc>
          <w:tcPr>
            <w:tcW w:w="3240" w:type="dxa"/>
          </w:tcPr>
          <w:p w14:paraId="5DBD4972" w14:textId="77777777" w:rsidR="00796039" w:rsidRDefault="00796039" w:rsidP="00796039">
            <w:pPr>
              <w:pStyle w:val="TableTextNumbers"/>
            </w:pPr>
            <w:r>
              <w:t xml:space="preserve">Select </w:t>
            </w:r>
            <w:r>
              <w:rPr>
                <w:b/>
                <w:bCs/>
              </w:rPr>
              <w:t>Tools</w:t>
            </w:r>
            <w:r>
              <w:t xml:space="preserve"> from the main menu.</w:t>
            </w:r>
          </w:p>
          <w:p w14:paraId="41B79393" w14:textId="77777777" w:rsidR="00796039" w:rsidRDefault="00796039" w:rsidP="00796039">
            <w:pPr>
              <w:pStyle w:val="TableTextNumbersContinued"/>
              <w:rPr>
                <w:b/>
                <w:bCs/>
              </w:rPr>
            </w:pPr>
          </w:p>
          <w:p w14:paraId="3AA53D3A" w14:textId="77777777" w:rsidR="00796039" w:rsidRDefault="00796039" w:rsidP="00796039">
            <w:pPr>
              <w:pStyle w:val="TableTextNumbersContinued"/>
              <w:rPr>
                <w:b/>
                <w:bCs/>
              </w:rPr>
            </w:pPr>
            <w:r>
              <w:rPr>
                <w:b/>
                <w:bCs/>
              </w:rPr>
              <w:t>Select Configure Division.</w:t>
            </w:r>
          </w:p>
        </w:tc>
        <w:tc>
          <w:tcPr>
            <w:tcW w:w="6120" w:type="dxa"/>
          </w:tcPr>
          <w:p w14:paraId="702AB734" w14:textId="77777777" w:rsidR="00796039" w:rsidRDefault="00796039" w:rsidP="00796039">
            <w:pPr>
              <w:pStyle w:val="TableTextBullet"/>
            </w:pPr>
            <w:r>
              <w:t>Displays options for processing administrative functions.</w:t>
            </w:r>
          </w:p>
          <w:p w14:paraId="31C33DA1" w14:textId="77777777" w:rsidR="00796039" w:rsidRDefault="00796039" w:rsidP="00796039">
            <w:pPr>
              <w:pStyle w:val="TableTextBullet"/>
            </w:pPr>
            <w:r>
              <w:t>Displays configuration tabs.</w:t>
            </w:r>
          </w:p>
        </w:tc>
      </w:tr>
      <w:tr w:rsidR="00796039" w14:paraId="3B5D0941" w14:textId="77777777" w:rsidTr="007E500E">
        <w:trPr>
          <w:cantSplit/>
        </w:trPr>
        <w:tc>
          <w:tcPr>
            <w:tcW w:w="3240" w:type="dxa"/>
          </w:tcPr>
          <w:p w14:paraId="29BF4FD1" w14:textId="01AC235A" w:rsidR="00796039" w:rsidRDefault="00796039" w:rsidP="00796039">
            <w:pPr>
              <w:pStyle w:val="TableTextNumbers"/>
            </w:pPr>
            <w:r>
              <w:lastRenderedPageBreak/>
              <w:t xml:space="preserve">Click the </w:t>
            </w:r>
            <w:r>
              <w:rPr>
                <w:b/>
                <w:bCs/>
              </w:rPr>
              <w:t xml:space="preserve">Order Alerts </w:t>
            </w:r>
            <w:r w:rsidRPr="00CC3C89">
              <w:rPr>
                <w:bCs/>
              </w:rPr>
              <w:t>tab</w:t>
            </w:r>
            <w:r w:rsidR="008A6E48" w:rsidRPr="00CC3C89">
              <w:rPr>
                <w:bCs/>
              </w:rPr>
              <w:t xml:space="preserve"> </w:t>
            </w:r>
            <w:r w:rsidR="008A6E48">
              <w:rPr>
                <w:bCs/>
              </w:rPr>
              <w:t>(</w:t>
            </w:r>
            <w:r w:rsidR="00EE455E">
              <w:t xml:space="preserve">Figure </w:t>
            </w:r>
            <w:r w:rsidR="00EE455E">
              <w:rPr>
                <w:noProof/>
              </w:rPr>
              <w:t>27</w:t>
            </w:r>
            <w:r w:rsidR="008A6E48">
              <w:rPr>
                <w:bCs/>
              </w:rPr>
              <w:t>)</w:t>
            </w:r>
            <w:r>
              <w:t xml:space="preserve">. </w:t>
            </w:r>
          </w:p>
          <w:p w14:paraId="2B65C6F0" w14:textId="77777777" w:rsidR="00796039" w:rsidRDefault="00796039" w:rsidP="00796039">
            <w:pPr>
              <w:pStyle w:val="TableTextNumbersContinued"/>
            </w:pPr>
          </w:p>
          <w:p w14:paraId="7A8DBFFF" w14:textId="77777777" w:rsidR="00796039" w:rsidRDefault="00796039" w:rsidP="00796039">
            <w:pPr>
              <w:pStyle w:val="TableTextNumbersContinued"/>
            </w:pPr>
            <w:r>
              <w:t xml:space="preserve">Click the </w:t>
            </w:r>
            <w:r>
              <w:rPr>
                <w:b/>
              </w:rPr>
              <w:t>Printer Alerts On</w:t>
            </w:r>
            <w:r>
              <w:t xml:space="preserve"> and/or the</w:t>
            </w:r>
            <w:r>
              <w:rPr>
                <w:b/>
              </w:rPr>
              <w:t xml:space="preserve"> Icon Alerts On </w:t>
            </w:r>
            <w:r w:rsidRPr="00D1100E">
              <w:t>check box</w:t>
            </w:r>
            <w:r>
              <w:t>.</w:t>
            </w:r>
          </w:p>
          <w:p w14:paraId="2B0B9F89" w14:textId="77777777" w:rsidR="00796039" w:rsidRDefault="00796039" w:rsidP="00796039">
            <w:pPr>
              <w:pStyle w:val="TableTextNumbersContinued"/>
            </w:pPr>
          </w:p>
          <w:p w14:paraId="77F41505" w14:textId="77777777" w:rsidR="00796039" w:rsidRDefault="00796039" w:rsidP="00796039">
            <w:pPr>
              <w:pStyle w:val="TableTextNumbersContinued"/>
              <w:rPr>
                <w:b/>
                <w:bCs/>
              </w:rPr>
            </w:pPr>
            <w:r>
              <w:t>Select the order alert type from the drop-down menus in the Order Alert Type fields.</w:t>
            </w:r>
          </w:p>
        </w:tc>
        <w:tc>
          <w:tcPr>
            <w:tcW w:w="6120" w:type="dxa"/>
          </w:tcPr>
          <w:p w14:paraId="69D7613E" w14:textId="77777777" w:rsidR="00796039" w:rsidRDefault="00796039" w:rsidP="00796039">
            <w:pPr>
              <w:pStyle w:val="TableTextBullet"/>
            </w:pPr>
            <w:r>
              <w:t xml:space="preserve">Displays the existing order alert configuration and allows the user to edit it. </w:t>
            </w:r>
          </w:p>
          <w:p w14:paraId="06BA6E41" w14:textId="77777777" w:rsidR="00796039" w:rsidRDefault="00796039" w:rsidP="00796039">
            <w:pPr>
              <w:pStyle w:val="TableTextBullet"/>
            </w:pPr>
            <w:r>
              <w:rPr>
                <w:rFonts w:cs="Arial"/>
                <w:vanish/>
              </w:rPr>
              <w:t xml:space="preserve">BR_95.08 </w:t>
            </w:r>
            <w:r>
              <w:t>Requires the user to select a printer name and to define which orders to print.</w:t>
            </w:r>
          </w:p>
          <w:p w14:paraId="39246837" w14:textId="77777777" w:rsidR="00796039" w:rsidRDefault="00796039" w:rsidP="00796039">
            <w:pPr>
              <w:pStyle w:val="TableTextBullet"/>
            </w:pPr>
            <w:r>
              <w:rPr>
                <w:rFonts w:cs="Arial"/>
                <w:vanish/>
              </w:rPr>
              <w:t xml:space="preserve">BR_95.05 </w:t>
            </w:r>
            <w:r>
              <w:t>Displays the selected printer, the selected order alert type, and the number of hours (default: 48 hours) entered for review.</w:t>
            </w:r>
          </w:p>
          <w:p w14:paraId="44BECD16" w14:textId="77777777" w:rsidR="00796039" w:rsidRDefault="00796039" w:rsidP="00796039">
            <w:pPr>
              <w:pStyle w:val="TableText"/>
            </w:pPr>
          </w:p>
          <w:p w14:paraId="66CEAD4A" w14:textId="66DE528B" w:rsidR="00796039" w:rsidRDefault="00796039" w:rsidP="00796039">
            <w:pPr>
              <w:pStyle w:val="TableText"/>
              <w:rPr>
                <w:b/>
                <w:bCs/>
                <w:szCs w:val="18"/>
              </w:rPr>
            </w:pPr>
            <w:r>
              <w:rPr>
                <w:b/>
                <w:bCs/>
                <w:szCs w:val="18"/>
              </w:rPr>
              <w:t>NOTES</w:t>
            </w:r>
          </w:p>
          <w:p w14:paraId="21DAEA18" w14:textId="77777777" w:rsidR="00796039" w:rsidRDefault="00796039" w:rsidP="00796039">
            <w:pPr>
              <w:pStyle w:val="NotesText"/>
            </w:pPr>
          </w:p>
          <w:p w14:paraId="66535802" w14:textId="77777777" w:rsidR="00796039" w:rsidRDefault="002E301F" w:rsidP="00796039">
            <w:pPr>
              <w:pStyle w:val="NotesText"/>
            </w:pPr>
            <w:r w:rsidRPr="002E301F">
              <w:t>VBECS lists app</w:t>
            </w:r>
            <w:r>
              <w:t>lication</w:t>
            </w:r>
            <w:r w:rsidRPr="002E301F">
              <w:t xml:space="preserve"> server printers</w:t>
            </w:r>
            <w:r w:rsidR="00796039">
              <w:t>.</w:t>
            </w:r>
          </w:p>
          <w:p w14:paraId="266434E5" w14:textId="77777777" w:rsidR="00796039" w:rsidRDefault="00796039" w:rsidP="00796039">
            <w:pPr>
              <w:pStyle w:val="NotesText"/>
            </w:pPr>
          </w:p>
          <w:p w14:paraId="6D4E0BCE" w14:textId="77777777" w:rsidR="00796039" w:rsidRDefault="00796039" w:rsidP="00796039">
            <w:pPr>
              <w:pStyle w:val="NotesText"/>
            </w:pPr>
            <w:r>
              <w:rPr>
                <w:rFonts w:cs="Arial"/>
                <w:vanish/>
              </w:rPr>
              <w:t xml:space="preserve">BR_95.04 </w:t>
            </w:r>
            <w:r>
              <w:t>The user must select an order alert type:</w:t>
            </w:r>
          </w:p>
          <w:p w14:paraId="6627DD23" w14:textId="77777777" w:rsidR="00796039" w:rsidRDefault="00796039" w:rsidP="00796039">
            <w:pPr>
              <w:pStyle w:val="NotesTextBullet"/>
            </w:pPr>
            <w:r>
              <w:t>All orders (orders received by VBECS)</w:t>
            </w:r>
          </w:p>
          <w:p w14:paraId="225B78EF" w14:textId="77777777" w:rsidR="00796039" w:rsidRDefault="00796039" w:rsidP="00796039">
            <w:pPr>
              <w:pStyle w:val="NotesTextBullet"/>
            </w:pPr>
            <w:r>
              <w:t xml:space="preserve">Hours limit to fill </w:t>
            </w:r>
            <w:r w:rsidR="008426BA">
              <w:t>o</w:t>
            </w:r>
            <w:r>
              <w:t xml:space="preserve">rder (orders received by VBECS needed in the next </w:t>
            </w:r>
            <w:r w:rsidRPr="00A65947">
              <w:rPr>
                <w:i/>
              </w:rPr>
              <w:t>n</w:t>
            </w:r>
            <w:r>
              <w:t xml:space="preserve"> hours) </w:t>
            </w:r>
          </w:p>
          <w:p w14:paraId="2A3B2DE9" w14:textId="77777777" w:rsidR="00796039" w:rsidRDefault="00796039" w:rsidP="00796039">
            <w:pPr>
              <w:pStyle w:val="NotesTextBullet"/>
            </w:pPr>
            <w:r>
              <w:t>Spec</w:t>
            </w:r>
            <w:r w:rsidR="00802EE9">
              <w:t>imen OK or N/A (orders where</w:t>
            </w:r>
            <w:r>
              <w:t xml:space="preserve"> no specimen is require</w:t>
            </w:r>
            <w:r w:rsidR="00802EE9">
              <w:t>d</w:t>
            </w:r>
            <w:r>
              <w:t>)</w:t>
            </w:r>
          </w:p>
        </w:tc>
      </w:tr>
      <w:tr w:rsidR="00796039" w14:paraId="4CEB29F4" w14:textId="77777777">
        <w:tc>
          <w:tcPr>
            <w:tcW w:w="3240" w:type="dxa"/>
          </w:tcPr>
          <w:p w14:paraId="7B38D2A2" w14:textId="77777777" w:rsidR="00796039" w:rsidRDefault="00796039" w:rsidP="00796039">
            <w:pPr>
              <w:pStyle w:val="TableTextNumbers"/>
            </w:pPr>
            <w:r>
              <w:t>Enter or select a refresh rate</w:t>
            </w:r>
            <w:r w:rsidR="00B917A8">
              <w:t xml:space="preserve"> (the interval between searches for new orders)</w:t>
            </w:r>
            <w:r>
              <w:t xml:space="preserve"> for the order alert in the Refresh Rate field. </w:t>
            </w:r>
          </w:p>
        </w:tc>
        <w:tc>
          <w:tcPr>
            <w:tcW w:w="6120" w:type="dxa"/>
          </w:tcPr>
          <w:p w14:paraId="4DF590C1" w14:textId="77777777" w:rsidR="00796039" w:rsidRDefault="00796039" w:rsidP="00796039">
            <w:pPr>
              <w:pStyle w:val="TableTextBullet"/>
            </w:pPr>
            <w:r>
              <w:rPr>
                <w:rFonts w:cs="Arial"/>
                <w:vanish/>
              </w:rPr>
              <w:t xml:space="preserve">BR_95.07 </w:t>
            </w:r>
            <w:r>
              <w:t>Requires the user to enter a refresh rate (default: 60 seconds) (Icon Alerts On).</w:t>
            </w:r>
          </w:p>
          <w:p w14:paraId="60BF1859" w14:textId="77777777" w:rsidR="00796039" w:rsidRDefault="00796039" w:rsidP="00796039">
            <w:pPr>
              <w:pStyle w:val="TableTextBullet"/>
            </w:pPr>
            <w:r>
              <w:t>Displays the updated refresh rate.</w:t>
            </w:r>
          </w:p>
          <w:p w14:paraId="1E15FF2D" w14:textId="77777777" w:rsidR="00796039" w:rsidRDefault="00796039" w:rsidP="00796039">
            <w:pPr>
              <w:pStyle w:val="TableTextBullet"/>
            </w:pPr>
            <w:r>
              <w:t xml:space="preserve">Displays the selected order alert type. </w:t>
            </w:r>
          </w:p>
        </w:tc>
      </w:tr>
      <w:tr w:rsidR="00796039" w14:paraId="2F02D4FA" w14:textId="77777777">
        <w:tc>
          <w:tcPr>
            <w:tcW w:w="3240" w:type="dxa"/>
          </w:tcPr>
          <w:p w14:paraId="74B54FDA" w14:textId="77777777" w:rsidR="00796039" w:rsidRDefault="00796039" w:rsidP="00796039">
            <w:pPr>
              <w:pStyle w:val="TableTextNumbers"/>
            </w:pPr>
            <w:r>
              <w:t xml:space="preserve">Click </w:t>
            </w:r>
            <w:r>
              <w:rPr>
                <w:b/>
              </w:rPr>
              <w:t>OK</w:t>
            </w:r>
            <w:r>
              <w:t xml:space="preserve"> to save</w:t>
            </w:r>
          </w:p>
        </w:tc>
        <w:tc>
          <w:tcPr>
            <w:tcW w:w="6120" w:type="dxa"/>
          </w:tcPr>
          <w:p w14:paraId="6AC552B5" w14:textId="77777777" w:rsidR="00796039" w:rsidRDefault="00796039" w:rsidP="00796039">
            <w:pPr>
              <w:pStyle w:val="TableTextBullet"/>
            </w:pPr>
            <w:r>
              <w:t>Saves the user alert configuration settings.</w:t>
            </w:r>
          </w:p>
        </w:tc>
      </w:tr>
      <w:tr w:rsidR="00796039" w14:paraId="2BC0E681" w14:textId="77777777">
        <w:tc>
          <w:tcPr>
            <w:tcW w:w="3240" w:type="dxa"/>
          </w:tcPr>
          <w:p w14:paraId="1AB151F7"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FA22DB9" w14:textId="77777777" w:rsidR="00796039" w:rsidRDefault="00796039" w:rsidP="00796039">
            <w:pPr>
              <w:pStyle w:val="NotesText"/>
            </w:pPr>
          </w:p>
        </w:tc>
      </w:tr>
    </w:tbl>
    <w:p w14:paraId="2257A39A" w14:textId="5C02F9C7" w:rsidR="008A6E48" w:rsidRDefault="008A6E48" w:rsidP="008A6E48">
      <w:pPr>
        <w:pStyle w:val="Caption"/>
      </w:pPr>
      <w:bookmarkStart w:id="167" w:name="_Ref12647057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28</w:t>
      </w:r>
      <w:r w:rsidR="004E20BD">
        <w:rPr>
          <w:noProof/>
        </w:rPr>
        <w:fldChar w:fldCharType="end"/>
      </w:r>
      <w:bookmarkEnd w:id="167"/>
      <w:r>
        <w:t xml:space="preserve">: </w:t>
      </w:r>
      <w:r w:rsidR="00954B38">
        <w:t xml:space="preserve">Example of </w:t>
      </w:r>
      <w:r>
        <w:t>Order Alerts Tab</w:t>
      </w:r>
    </w:p>
    <w:p w14:paraId="172C2264" w14:textId="77777777" w:rsidR="00796039" w:rsidRDefault="00057948" w:rsidP="0066425F">
      <w:pPr>
        <w:pStyle w:val="BodyText"/>
      </w:pPr>
      <w:r>
        <w:rPr>
          <w:noProof/>
        </w:rPr>
        <w:drawing>
          <wp:inline distT="0" distB="0" distL="0" distR="0" wp14:anchorId="14646D10" wp14:editId="132E3002">
            <wp:extent cx="3195955" cy="3186430"/>
            <wp:effectExtent l="0" t="0" r="4445" b="0"/>
            <wp:docPr id="130" name="Picture 130" descr="Example of Order Alerts Tab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Example of Order Alerts Tab screen capt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95955" cy="3186430"/>
                    </a:xfrm>
                    <a:prstGeom prst="rect">
                      <a:avLst/>
                    </a:prstGeom>
                    <a:noFill/>
                    <a:ln>
                      <a:noFill/>
                    </a:ln>
                  </pic:spPr>
                </pic:pic>
              </a:graphicData>
            </a:graphic>
          </wp:inline>
        </w:drawing>
      </w:r>
    </w:p>
    <w:p w14:paraId="133008D5" w14:textId="77777777" w:rsidR="00796039" w:rsidRDefault="00AF089A" w:rsidP="00796039">
      <w:pPr>
        <w:pStyle w:val="Heading3"/>
      </w:pPr>
      <w:r>
        <w:br w:type="page"/>
      </w:r>
      <w:bookmarkStart w:id="168" w:name="_Toc163644890"/>
      <w:r w:rsidR="006068DE">
        <w:lastRenderedPageBreak/>
        <w:t>Login Message</w:t>
      </w:r>
      <w:bookmarkEnd w:id="168"/>
      <w:r w:rsidR="00796039">
        <w:fldChar w:fldCharType="begin"/>
      </w:r>
      <w:r w:rsidR="00796039">
        <w:instrText xml:space="preserve"> XE “</w:instrText>
      </w:r>
      <w:r w:rsidR="006068DE">
        <w:instrText>Login Message</w:instrText>
      </w:r>
      <w:r w:rsidR="00796039">
        <w:instrText xml:space="preserve">” </w:instrText>
      </w:r>
      <w:r w:rsidR="00796039">
        <w:fldChar w:fldCharType="end"/>
      </w:r>
    </w:p>
    <w:p w14:paraId="34CF9731" w14:textId="77777777" w:rsidR="00796039" w:rsidRDefault="00796039" w:rsidP="00796039">
      <w:pPr>
        <w:pStyle w:val="BodyText"/>
      </w:pPr>
      <w:r>
        <w:t>The user creates a division-wide VBECS message that appears at login.</w:t>
      </w:r>
    </w:p>
    <w:p w14:paraId="1AE7F50A" w14:textId="77777777" w:rsidR="00796039" w:rsidRDefault="00796039" w:rsidP="00796039">
      <w:pPr>
        <w:pStyle w:val="Heading4"/>
      </w:pPr>
      <w:r>
        <w:t>Assumptions</w:t>
      </w:r>
      <w:r>
        <w:rPr>
          <w:b w:val="0"/>
        </w:rPr>
        <w:t xml:space="preserve"> </w:t>
      </w:r>
    </w:p>
    <w:p w14:paraId="4FB049FD" w14:textId="77777777" w:rsidR="00796039" w:rsidRDefault="00796039" w:rsidP="00796039">
      <w:pPr>
        <w:pStyle w:val="ListBullet"/>
      </w:pPr>
      <w:r>
        <w:t xml:space="preserve">None </w:t>
      </w:r>
    </w:p>
    <w:p w14:paraId="39134215" w14:textId="77777777" w:rsidR="00796039" w:rsidRDefault="00796039" w:rsidP="00796039">
      <w:pPr>
        <w:pStyle w:val="Heading4"/>
      </w:pPr>
      <w:r>
        <w:t>Outcome</w:t>
      </w:r>
      <w:r>
        <w:rPr>
          <w:i/>
          <w:color w:val="0000FF"/>
          <w:sz w:val="24"/>
        </w:rPr>
        <w:t xml:space="preserve"> </w:t>
      </w:r>
    </w:p>
    <w:p w14:paraId="32DAEAEF" w14:textId="77777777" w:rsidR="00796039" w:rsidRDefault="00796039" w:rsidP="00796039">
      <w:pPr>
        <w:pStyle w:val="ListBullet"/>
      </w:pPr>
      <w:r>
        <w:t>A message was created for display when users log into a VBECS division.</w:t>
      </w:r>
    </w:p>
    <w:p w14:paraId="13739B5C" w14:textId="77777777" w:rsidR="00796039" w:rsidRDefault="00796039" w:rsidP="00796039">
      <w:pPr>
        <w:pStyle w:val="Heading4"/>
      </w:pPr>
      <w:r>
        <w:t>Limitations and Restrictions</w:t>
      </w:r>
      <w:r>
        <w:rPr>
          <w:b w:val="0"/>
        </w:rPr>
        <w:t xml:space="preserve"> </w:t>
      </w:r>
    </w:p>
    <w:p w14:paraId="551BC54E" w14:textId="77777777" w:rsidR="00796039" w:rsidRDefault="00796039" w:rsidP="00796039">
      <w:pPr>
        <w:pStyle w:val="ListBullet"/>
      </w:pPr>
      <w:r>
        <w:t>None</w:t>
      </w:r>
    </w:p>
    <w:p w14:paraId="256D139C" w14:textId="77777777" w:rsidR="00796039" w:rsidRDefault="00796039" w:rsidP="00796039">
      <w:pPr>
        <w:pStyle w:val="Heading4"/>
      </w:pPr>
      <w:r>
        <w:t>Additional Information</w:t>
      </w:r>
    </w:p>
    <w:p w14:paraId="64960C14" w14:textId="77777777" w:rsidR="00796039" w:rsidRDefault="00796039" w:rsidP="00796039">
      <w:pPr>
        <w:pStyle w:val="ListBullet"/>
      </w:pPr>
      <w:r>
        <w:t>None</w:t>
      </w:r>
    </w:p>
    <w:p w14:paraId="6B5A553F" w14:textId="77777777" w:rsidR="00796039" w:rsidRDefault="00796039" w:rsidP="00796039">
      <w:pPr>
        <w:pStyle w:val="Heading4"/>
        <w:rPr>
          <w:b w:val="0"/>
        </w:rPr>
      </w:pPr>
      <w:r>
        <w:t>User Roles with Access to This Option</w:t>
      </w:r>
      <w:r>
        <w:rPr>
          <w:b w:val="0"/>
        </w:rPr>
        <w:t xml:space="preserve"> </w:t>
      </w:r>
    </w:p>
    <w:p w14:paraId="03854701" w14:textId="77777777" w:rsidR="00796039" w:rsidRDefault="00237C52" w:rsidP="0079603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Lead Technologist</w:t>
      </w:r>
    </w:p>
    <w:p w14:paraId="2B01A13E" w14:textId="77777777" w:rsidR="00796039" w:rsidRDefault="006068DE" w:rsidP="00796039">
      <w:pPr>
        <w:pStyle w:val="Heading4"/>
      </w:pPr>
      <w:r>
        <w:t>Login Message</w:t>
      </w:r>
    </w:p>
    <w:p w14:paraId="7893A3FB" w14:textId="77777777" w:rsidR="00796039" w:rsidRDefault="00796039" w:rsidP="00796039">
      <w:pPr>
        <w:pStyle w:val="BodyText"/>
      </w:pPr>
      <w:r>
        <w:t>The user may add, update, or delete a message that VBECS displays to users logging into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638E162" w14:textId="77777777">
        <w:trPr>
          <w:cantSplit/>
          <w:tblHeader/>
        </w:trPr>
        <w:tc>
          <w:tcPr>
            <w:tcW w:w="3240" w:type="dxa"/>
            <w:shd w:val="pct30" w:color="auto" w:fill="FFFFFF"/>
            <w:vAlign w:val="bottom"/>
          </w:tcPr>
          <w:p w14:paraId="5306D9EE" w14:textId="77777777" w:rsidR="00796039" w:rsidRDefault="00796039" w:rsidP="00796039">
            <w:pPr>
              <w:pStyle w:val="TableText"/>
              <w:rPr>
                <w:b/>
              </w:rPr>
            </w:pPr>
            <w:r>
              <w:rPr>
                <w:b/>
              </w:rPr>
              <w:t>User Action</w:t>
            </w:r>
          </w:p>
        </w:tc>
        <w:tc>
          <w:tcPr>
            <w:tcW w:w="6120" w:type="dxa"/>
            <w:shd w:val="pct30" w:color="auto" w:fill="FFFFFF"/>
            <w:vAlign w:val="bottom"/>
          </w:tcPr>
          <w:p w14:paraId="48E36224" w14:textId="77777777" w:rsidR="00796039" w:rsidRDefault="00796039" w:rsidP="00796039">
            <w:pPr>
              <w:pStyle w:val="TableText"/>
              <w:rPr>
                <w:b/>
              </w:rPr>
            </w:pPr>
            <w:r>
              <w:rPr>
                <w:b/>
              </w:rPr>
              <w:t>VBECS</w:t>
            </w:r>
          </w:p>
        </w:tc>
      </w:tr>
      <w:tr w:rsidR="00796039" w14:paraId="11DEF8BA" w14:textId="77777777">
        <w:tc>
          <w:tcPr>
            <w:tcW w:w="3240" w:type="dxa"/>
          </w:tcPr>
          <w:p w14:paraId="5F2B526D" w14:textId="77777777" w:rsidR="00796039" w:rsidRDefault="00796039" w:rsidP="00796039">
            <w:pPr>
              <w:pStyle w:val="TableTextNumbers"/>
            </w:pPr>
            <w:r>
              <w:t xml:space="preserve">Select </w:t>
            </w:r>
            <w:r>
              <w:rPr>
                <w:b/>
                <w:bCs/>
              </w:rPr>
              <w:t>Tools</w:t>
            </w:r>
            <w:r>
              <w:t xml:space="preserve"> from the main menu.</w:t>
            </w:r>
          </w:p>
          <w:p w14:paraId="1C061A08" w14:textId="77777777" w:rsidR="00796039" w:rsidRDefault="00796039" w:rsidP="00796039">
            <w:pPr>
              <w:pStyle w:val="TableTextNumbersContinued"/>
            </w:pPr>
          </w:p>
          <w:p w14:paraId="3121771B" w14:textId="77777777" w:rsidR="00796039" w:rsidRDefault="00796039" w:rsidP="00796039">
            <w:pPr>
              <w:pStyle w:val="TableTextNumbersContinued"/>
            </w:pPr>
            <w:r>
              <w:t xml:space="preserve">Select </w:t>
            </w:r>
            <w:r>
              <w:rPr>
                <w:b/>
              </w:rPr>
              <w:t>Configure Division</w:t>
            </w:r>
            <w:r>
              <w:t>.</w:t>
            </w:r>
          </w:p>
        </w:tc>
        <w:tc>
          <w:tcPr>
            <w:tcW w:w="6120" w:type="dxa"/>
          </w:tcPr>
          <w:p w14:paraId="6BE3043F" w14:textId="77777777" w:rsidR="00796039" w:rsidRDefault="00796039" w:rsidP="00796039">
            <w:pPr>
              <w:pStyle w:val="TableTextBullet"/>
            </w:pPr>
            <w:r>
              <w:t>Displays options for processing administrative functions.</w:t>
            </w:r>
          </w:p>
          <w:p w14:paraId="7F26E2FD" w14:textId="77777777" w:rsidR="00796039" w:rsidRDefault="00796039" w:rsidP="00796039">
            <w:pPr>
              <w:pStyle w:val="TableTextBullet"/>
            </w:pPr>
            <w:r>
              <w:t>Displays configuration tabs.</w:t>
            </w:r>
          </w:p>
        </w:tc>
      </w:tr>
      <w:tr w:rsidR="00796039" w14:paraId="3864E959" w14:textId="77777777">
        <w:tc>
          <w:tcPr>
            <w:tcW w:w="3240" w:type="dxa"/>
            <w:tcBorders>
              <w:top w:val="single" w:sz="4" w:space="0" w:color="auto"/>
              <w:left w:val="single" w:sz="4" w:space="0" w:color="auto"/>
              <w:bottom w:val="single" w:sz="4" w:space="0" w:color="auto"/>
              <w:right w:val="single" w:sz="4" w:space="0" w:color="auto"/>
            </w:tcBorders>
          </w:tcPr>
          <w:p w14:paraId="31F8B1F1" w14:textId="1DF5F592" w:rsidR="00796039" w:rsidRDefault="00796039" w:rsidP="00796039">
            <w:pPr>
              <w:pStyle w:val="TableTextNumbers"/>
            </w:pPr>
            <w:r>
              <w:t xml:space="preserve">Click the </w:t>
            </w:r>
            <w:r>
              <w:rPr>
                <w:b/>
              </w:rPr>
              <w:t xml:space="preserve">Login Message </w:t>
            </w:r>
            <w:r w:rsidRPr="00CC3C89">
              <w:t>tab</w:t>
            </w:r>
            <w:r w:rsidR="008A6E48" w:rsidRPr="00CC3C89">
              <w:t xml:space="preserve"> </w:t>
            </w:r>
            <w:r w:rsidR="008A6E48">
              <w:t>(</w:t>
            </w:r>
            <w:r w:rsidR="00EE455E">
              <w:t xml:space="preserve">Figure </w:t>
            </w:r>
            <w:r w:rsidR="00EE455E">
              <w:rPr>
                <w:noProof/>
              </w:rPr>
              <w:t>28</w:t>
            </w:r>
            <w:r w:rsidR="008A6E48">
              <w:t>)</w:t>
            </w:r>
            <w:r>
              <w:t>.</w:t>
            </w:r>
          </w:p>
          <w:p w14:paraId="2CCF3122" w14:textId="77777777" w:rsidR="00796039" w:rsidRDefault="00796039" w:rsidP="00796039">
            <w:pPr>
              <w:pStyle w:val="TableTextNumbersContinued"/>
            </w:pPr>
          </w:p>
          <w:p w14:paraId="239CC33D" w14:textId="77777777" w:rsidR="00796039" w:rsidRDefault="00796039" w:rsidP="00796039">
            <w:pPr>
              <w:pStyle w:val="TableTextNumbersContinued"/>
            </w:pPr>
            <w:r>
              <w:t>Enter a message in the message field to display at login.</w:t>
            </w:r>
          </w:p>
        </w:tc>
        <w:tc>
          <w:tcPr>
            <w:tcW w:w="6120" w:type="dxa"/>
            <w:tcBorders>
              <w:top w:val="single" w:sz="4" w:space="0" w:color="auto"/>
              <w:left w:val="single" w:sz="4" w:space="0" w:color="auto"/>
              <w:bottom w:val="single" w:sz="4" w:space="0" w:color="auto"/>
              <w:right w:val="single" w:sz="4" w:space="0" w:color="auto"/>
            </w:tcBorders>
          </w:tcPr>
          <w:p w14:paraId="4FFAC57D" w14:textId="77777777" w:rsidR="00796039" w:rsidRDefault="00796039" w:rsidP="00796039">
            <w:pPr>
              <w:pStyle w:val="TableTextBullet"/>
            </w:pPr>
            <w:r>
              <w:t>Displays the existing login message and allows the user to edit or delete it.</w:t>
            </w:r>
          </w:p>
          <w:p w14:paraId="62772D71" w14:textId="77777777" w:rsidR="00796039" w:rsidRDefault="00796039" w:rsidP="00796039">
            <w:pPr>
              <w:pStyle w:val="TableTextBullet"/>
            </w:pPr>
            <w:r>
              <w:t>Displays the updated login message.</w:t>
            </w:r>
          </w:p>
          <w:p w14:paraId="11172A82" w14:textId="77777777" w:rsidR="00796039" w:rsidRDefault="00796039" w:rsidP="00796039">
            <w:pPr>
              <w:pStyle w:val="TableText"/>
            </w:pPr>
          </w:p>
          <w:p w14:paraId="40C68AA1" w14:textId="7A119182" w:rsidR="00796039" w:rsidRDefault="00796039" w:rsidP="00796039">
            <w:pPr>
              <w:pStyle w:val="TableText"/>
              <w:rPr>
                <w:b/>
              </w:rPr>
            </w:pPr>
            <w:r>
              <w:rPr>
                <w:b/>
              </w:rPr>
              <w:t>NOTES</w:t>
            </w:r>
          </w:p>
          <w:p w14:paraId="1BC10E51" w14:textId="77777777" w:rsidR="00796039" w:rsidRDefault="00796039" w:rsidP="00796039">
            <w:pPr>
              <w:pStyle w:val="NotesText"/>
            </w:pPr>
          </w:p>
          <w:p w14:paraId="584F0C5F" w14:textId="77777777" w:rsidR="00796039" w:rsidRDefault="00796039" w:rsidP="00796039">
            <w:pPr>
              <w:pStyle w:val="NotesText"/>
            </w:pPr>
            <w:r>
              <w:t>VBECS does not display a blank login message.</w:t>
            </w:r>
          </w:p>
          <w:p w14:paraId="6B9A7545" w14:textId="77777777" w:rsidR="00796039" w:rsidRDefault="00796039" w:rsidP="00796039">
            <w:pPr>
              <w:pStyle w:val="NotesText"/>
            </w:pPr>
          </w:p>
          <w:p w14:paraId="1F91D353" w14:textId="77777777" w:rsidR="00796039" w:rsidRDefault="00796039" w:rsidP="00796039">
            <w:pPr>
              <w:pStyle w:val="NotesText"/>
            </w:pPr>
            <w:r>
              <w:t xml:space="preserve">The user may click </w:t>
            </w:r>
            <w:r>
              <w:rPr>
                <w:b/>
              </w:rPr>
              <w:t>Clear</w:t>
            </w:r>
            <w:r>
              <w:t xml:space="preserve"> to clear the message field and enter a new login message.</w:t>
            </w:r>
          </w:p>
        </w:tc>
      </w:tr>
      <w:tr w:rsidR="00796039" w14:paraId="055E6BE2" w14:textId="77777777">
        <w:tc>
          <w:tcPr>
            <w:tcW w:w="3240" w:type="dxa"/>
          </w:tcPr>
          <w:p w14:paraId="1258DF24" w14:textId="77777777" w:rsidR="00796039" w:rsidRDefault="00796039" w:rsidP="00796039">
            <w:pPr>
              <w:pStyle w:val="TableTextNumbers"/>
            </w:pPr>
            <w:r>
              <w:t xml:space="preserve">Click </w:t>
            </w:r>
            <w:r>
              <w:rPr>
                <w:b/>
              </w:rPr>
              <w:t>OK</w:t>
            </w:r>
            <w:r>
              <w:t xml:space="preserve"> to save.</w:t>
            </w:r>
          </w:p>
        </w:tc>
        <w:tc>
          <w:tcPr>
            <w:tcW w:w="6120" w:type="dxa"/>
          </w:tcPr>
          <w:p w14:paraId="76751974" w14:textId="77777777" w:rsidR="00796039" w:rsidRDefault="00796039" w:rsidP="00796039">
            <w:pPr>
              <w:pStyle w:val="TableTextBullet"/>
            </w:pPr>
            <w:r>
              <w:t>Saves the login message changes.</w:t>
            </w:r>
          </w:p>
        </w:tc>
      </w:tr>
      <w:tr w:rsidR="00796039" w14:paraId="1FBB3514" w14:textId="77777777">
        <w:tc>
          <w:tcPr>
            <w:tcW w:w="3240" w:type="dxa"/>
          </w:tcPr>
          <w:p w14:paraId="125D7095"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5B4AF70" w14:textId="77777777" w:rsidR="00796039" w:rsidRDefault="00796039" w:rsidP="00796039">
            <w:pPr>
              <w:pStyle w:val="NotesText"/>
            </w:pPr>
          </w:p>
        </w:tc>
      </w:tr>
    </w:tbl>
    <w:p w14:paraId="6BF00E7D" w14:textId="6B532CC4" w:rsidR="008A6E48" w:rsidRDefault="008A6E48" w:rsidP="008A6E48">
      <w:pPr>
        <w:pStyle w:val="Caption"/>
      </w:pPr>
      <w:bookmarkStart w:id="169" w:name="_Ref12647075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29</w:t>
      </w:r>
      <w:r w:rsidR="004E20BD">
        <w:rPr>
          <w:noProof/>
        </w:rPr>
        <w:fldChar w:fldCharType="end"/>
      </w:r>
      <w:bookmarkEnd w:id="169"/>
      <w:r>
        <w:t xml:space="preserve">: </w:t>
      </w:r>
      <w:r w:rsidR="00954B38">
        <w:t xml:space="preserve">Example of </w:t>
      </w:r>
      <w:r>
        <w:t>Login Message Tab</w:t>
      </w:r>
    </w:p>
    <w:p w14:paraId="7368C386" w14:textId="77777777" w:rsidR="0066425F" w:rsidRDefault="00057948" w:rsidP="0066425F">
      <w:pPr>
        <w:pStyle w:val="BodyText"/>
      </w:pPr>
      <w:r>
        <w:rPr>
          <w:noProof/>
        </w:rPr>
        <w:drawing>
          <wp:inline distT="0" distB="0" distL="0" distR="0" wp14:anchorId="2EEF5702" wp14:editId="65C2E99A">
            <wp:extent cx="3204845" cy="3159125"/>
            <wp:effectExtent l="0" t="0" r="0" b="3175"/>
            <wp:docPr id="131" name="Picture 131" descr="Example of Login Message Tab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Example of Login Message Tab screen capt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04845" cy="3159125"/>
                    </a:xfrm>
                    <a:prstGeom prst="rect">
                      <a:avLst/>
                    </a:prstGeom>
                    <a:noFill/>
                    <a:ln>
                      <a:noFill/>
                    </a:ln>
                  </pic:spPr>
                </pic:pic>
              </a:graphicData>
            </a:graphic>
          </wp:inline>
        </w:drawing>
      </w:r>
      <w:r w:rsidR="008A6E48">
        <w:t xml:space="preserve"> </w:t>
      </w:r>
    </w:p>
    <w:p w14:paraId="1521DE19" w14:textId="77777777" w:rsidR="002A21AE" w:rsidRDefault="00AE1227" w:rsidP="00B937AA">
      <w:pPr>
        <w:pStyle w:val="Heading2"/>
      </w:pPr>
      <w:bookmarkStart w:id="170" w:name="_Toc63680387"/>
      <w:bookmarkEnd w:id="165"/>
      <w:r>
        <w:br w:type="page"/>
      </w:r>
      <w:bookmarkStart w:id="171" w:name="_Toc163644891"/>
      <w:r w:rsidR="002A21AE">
        <w:lastRenderedPageBreak/>
        <w:t>Local Facilities</w:t>
      </w:r>
      <w:bookmarkEnd w:id="170"/>
      <w:bookmarkEnd w:id="171"/>
      <w:r w:rsidR="002A21AE" w:rsidRPr="00C74523">
        <w:rPr>
          <w:rFonts w:ascii="Arial Bold" w:hAnsi="Arial Bold"/>
          <w:vanish/>
        </w:rPr>
        <w:fldChar w:fldCharType="begin"/>
      </w:r>
      <w:r w:rsidR="002A21AE" w:rsidRPr="00C74523">
        <w:rPr>
          <w:rFonts w:ascii="Arial Bold" w:hAnsi="Arial Bold"/>
          <w:vanish/>
        </w:rPr>
        <w:instrText xml:space="preserve"> XE </w:instrText>
      </w:r>
      <w:r w:rsidR="00FA7E65" w:rsidRPr="00C74523">
        <w:rPr>
          <w:rFonts w:ascii="Arial Bold" w:hAnsi="Arial Bold"/>
          <w:vanish/>
        </w:rPr>
        <w:instrText>“</w:instrText>
      </w:r>
      <w:r w:rsidR="002A21AE" w:rsidRPr="00C74523">
        <w:rPr>
          <w:rFonts w:ascii="Arial Bold" w:hAnsi="Arial Bold"/>
          <w:vanish/>
        </w:rPr>
        <w:instrText>Local Facilities</w:instrText>
      </w:r>
      <w:r w:rsidR="00FA7E65" w:rsidRPr="00C74523">
        <w:rPr>
          <w:rFonts w:ascii="Arial Bold" w:hAnsi="Arial Bold"/>
          <w:vanish/>
        </w:rPr>
        <w:instrText>”</w:instrText>
      </w:r>
      <w:r w:rsidR="002A21AE" w:rsidRPr="00C74523">
        <w:rPr>
          <w:rFonts w:ascii="Arial Bold" w:hAnsi="Arial Bold"/>
          <w:vanish/>
        </w:rPr>
        <w:instrText xml:space="preserve"> </w:instrText>
      </w:r>
      <w:r w:rsidR="002A21AE" w:rsidRPr="00C74523">
        <w:rPr>
          <w:rFonts w:ascii="Arial Bold" w:hAnsi="Arial Bold"/>
          <w:vanish/>
        </w:rPr>
        <w:fldChar w:fldCharType="end"/>
      </w:r>
      <w:r w:rsidR="002A21AE" w:rsidRPr="00C74523">
        <w:rPr>
          <w:rFonts w:ascii="Arial Bold" w:hAnsi="Arial Bold"/>
          <w:vanish/>
        </w:rPr>
        <w:t xml:space="preserve"> UC_06</w:t>
      </w:r>
    </w:p>
    <w:p w14:paraId="4F5226A5" w14:textId="6377FC5D" w:rsidR="002A21AE" w:rsidRDefault="002A21AE" w:rsidP="00FA7E65">
      <w:pPr>
        <w:pStyle w:val="BodyText"/>
      </w:pPr>
      <w:bookmarkStart w:id="172" w:name="_Toc63680388"/>
      <w:r>
        <w:t>The user customizes collection facility information.</w:t>
      </w:r>
      <w:r w:rsidR="00DD635C">
        <w:t xml:space="preserve"> (A </w:t>
      </w:r>
      <w:r w:rsidR="00F06ADF">
        <w:t>“</w:t>
      </w:r>
      <w:r w:rsidR="00DD635C">
        <w:t>collection facility</w:t>
      </w:r>
      <w:r w:rsidR="00F06ADF">
        <w:t>”</w:t>
      </w:r>
      <w:r w:rsidR="00DD635C">
        <w:t xml:space="preserve"> </w:t>
      </w:r>
      <w:r w:rsidR="00F06ADF">
        <w:t>is not</w:t>
      </w:r>
      <w:r w:rsidR="00DD635C">
        <w:t xml:space="preserve"> a facility for blood collection</w:t>
      </w:r>
      <w:r w:rsidR="00F06ADF">
        <w:t>:</w:t>
      </w:r>
      <w:r w:rsidR="00DD635C">
        <w:t xml:space="preserve"> it is </w:t>
      </w:r>
      <w:r w:rsidR="00F06ADF">
        <w:t>for</w:t>
      </w:r>
      <w:r w:rsidR="00DD635C">
        <w:t xml:space="preserve"> blood distribution </w:t>
      </w:r>
      <w:r w:rsidR="00F06ADF">
        <w:t>only</w:t>
      </w:r>
      <w:r w:rsidR="00DD635C">
        <w:t>.</w:t>
      </w:r>
      <w:r w:rsidR="00E3508E">
        <w:t xml:space="preserve"> See </w:t>
      </w:r>
      <w:r w:rsidR="00E3508E" w:rsidRPr="00423A7F">
        <w:rPr>
          <w:i/>
          <w:iCs/>
        </w:rPr>
        <w:t>FAQ Local Facilities</w:t>
      </w:r>
      <w:r w:rsidR="00DD635C">
        <w:t>)</w:t>
      </w:r>
    </w:p>
    <w:p w14:paraId="1DA15F4F" w14:textId="77777777" w:rsidR="002A21AE" w:rsidRDefault="002A21AE">
      <w:pPr>
        <w:pStyle w:val="Heading4"/>
      </w:pPr>
      <w:r>
        <w:t>Assumptions</w:t>
      </w:r>
    </w:p>
    <w:p w14:paraId="52D22B98" w14:textId="77777777" w:rsidR="002A21AE" w:rsidRDefault="002A21AE">
      <w:pPr>
        <w:pStyle w:val="ListBullet"/>
      </w:pPr>
      <w:r>
        <w:t>A table of known FDA-registered facilities accompanies VBECS.</w:t>
      </w:r>
    </w:p>
    <w:p w14:paraId="63DF5483" w14:textId="77777777" w:rsidR="002A21AE" w:rsidRDefault="002A21AE">
      <w:pPr>
        <w:pStyle w:val="Heading4"/>
      </w:pPr>
      <w:r>
        <w:t>Outcome</w:t>
      </w:r>
    </w:p>
    <w:p w14:paraId="09BA0DD2" w14:textId="77777777" w:rsidR="002A21AE" w:rsidRDefault="002A21AE">
      <w:pPr>
        <w:pStyle w:val="ListBullet"/>
      </w:pPr>
      <w:r>
        <w:t>The supplier is configured for a division.</w:t>
      </w:r>
    </w:p>
    <w:p w14:paraId="41B0D7CD" w14:textId="77777777" w:rsidR="002A21AE" w:rsidRDefault="002A21AE">
      <w:pPr>
        <w:pStyle w:val="Heading4"/>
      </w:pPr>
      <w:r>
        <w:t>Limitations and Restrictions</w:t>
      </w:r>
    </w:p>
    <w:p w14:paraId="3853BB40" w14:textId="77777777" w:rsidR="002A21AE" w:rsidRDefault="002A21AE">
      <w:pPr>
        <w:pStyle w:val="ListBullet"/>
      </w:pPr>
      <w:bookmarkStart w:id="173" w:name="OLE_LINK55"/>
      <w:bookmarkStart w:id="174" w:name="OLE_LINK56"/>
      <w:r>
        <w:t>A user may:</w:t>
      </w:r>
    </w:p>
    <w:p w14:paraId="7F434FAD" w14:textId="77777777" w:rsidR="002A21AE" w:rsidRDefault="002A21AE" w:rsidP="001414E9">
      <w:pPr>
        <w:pStyle w:val="ListBullet2"/>
        <w:tabs>
          <w:tab w:val="clear" w:pos="648"/>
        </w:tabs>
        <w:ind w:left="1080" w:hanging="432"/>
      </w:pPr>
      <w:r>
        <w:t>Activate and edit collection facility records distributed with VBECS.</w:t>
      </w:r>
    </w:p>
    <w:p w14:paraId="5454A059" w14:textId="77777777" w:rsidR="002A21AE" w:rsidRDefault="002A21AE" w:rsidP="001414E9">
      <w:pPr>
        <w:pStyle w:val="ListBullet2"/>
        <w:tabs>
          <w:tab w:val="clear" w:pos="648"/>
        </w:tabs>
        <w:ind w:left="1080" w:hanging="432"/>
      </w:pPr>
      <w:r>
        <w:t>Add and locally edit active collection facilities.</w:t>
      </w:r>
    </w:p>
    <w:p w14:paraId="4D9863F4" w14:textId="77777777" w:rsidR="002A21AE" w:rsidRDefault="002A21AE" w:rsidP="001414E9">
      <w:pPr>
        <w:pStyle w:val="ListBullet2"/>
        <w:tabs>
          <w:tab w:val="clear" w:pos="648"/>
        </w:tabs>
        <w:ind w:left="1080" w:hanging="432"/>
      </w:pPr>
      <w:r>
        <w:t xml:space="preserve">Activate and/or deactivate local collection facilities. </w:t>
      </w:r>
    </w:p>
    <w:p w14:paraId="6A3F5783" w14:textId="77777777" w:rsidR="004B1F58" w:rsidRPr="00742F59" w:rsidRDefault="004B1F58" w:rsidP="001414E9">
      <w:pPr>
        <w:pStyle w:val="ListBullet2"/>
        <w:tabs>
          <w:tab w:val="clear" w:pos="648"/>
        </w:tabs>
        <w:ind w:left="1080" w:hanging="432"/>
      </w:pPr>
      <w:r>
        <w:t>Edit a division name, which may result in a mismatch between VistA and VBECS division names.</w:t>
      </w:r>
      <w:r w:rsidR="00072131" w:rsidRPr="00524280">
        <w:rPr>
          <w:vanish/>
        </w:rPr>
        <w:t xml:space="preserve"> (DR 2,113)</w:t>
      </w:r>
    </w:p>
    <w:p w14:paraId="1B0D2E8F" w14:textId="77777777" w:rsidR="00742F59" w:rsidRPr="00DF363F" w:rsidRDefault="00742F59" w:rsidP="001414E9">
      <w:pPr>
        <w:pStyle w:val="ListBullet2"/>
        <w:tabs>
          <w:tab w:val="clear" w:pos="648"/>
        </w:tabs>
        <w:ind w:left="1080" w:hanging="432"/>
      </w:pPr>
      <w:r w:rsidRPr="005705B4">
        <w:t xml:space="preserve">The </w:t>
      </w:r>
      <w:r w:rsidR="004853C7" w:rsidRPr="005705B4">
        <w:t xml:space="preserve">Local Facility Address </w:t>
      </w:r>
      <w:r w:rsidRPr="005705B4">
        <w:t xml:space="preserve">maximum length </w:t>
      </w:r>
      <w:r w:rsidR="00467976" w:rsidRPr="005705B4">
        <w:t>is 45 characters</w:t>
      </w:r>
      <w:r w:rsidR="00AE19A0">
        <w:t xml:space="preserve"> including spaces </w:t>
      </w:r>
      <w:r w:rsidR="005705B4" w:rsidRPr="005705B4">
        <w:t xml:space="preserve">to allow the address to display </w:t>
      </w:r>
      <w:r w:rsidRPr="005705B4">
        <w:t>on VBECS repo</w:t>
      </w:r>
      <w:r w:rsidR="005705B4">
        <w:t>rts. The third line of the facility address is not displayed on VBECS reports</w:t>
      </w:r>
      <w:r w:rsidRPr="005705B4">
        <w:t xml:space="preserve">. </w:t>
      </w:r>
      <w:r w:rsidRPr="005705B4">
        <w:rPr>
          <w:vanish/>
        </w:rPr>
        <w:t>DR 4980</w:t>
      </w:r>
    </w:p>
    <w:p w14:paraId="02198916" w14:textId="45341D8A" w:rsidR="00DF363F" w:rsidRPr="00DF363F" w:rsidRDefault="00DF363F" w:rsidP="001414E9">
      <w:pPr>
        <w:pStyle w:val="ListBullet2"/>
        <w:tabs>
          <w:tab w:val="clear" w:pos="648"/>
        </w:tabs>
        <w:ind w:left="1080" w:hanging="432"/>
      </w:pPr>
      <w:r>
        <w:t>FDA registration number</w:t>
      </w:r>
      <w:r w:rsidRPr="00DF363F">
        <w:t xml:space="preserve"> is limited to 7 or 10 characters. </w:t>
      </w:r>
      <w:r>
        <w:t>Copy and paste can be used for entry of 10 characters.</w:t>
      </w:r>
      <w:r>
        <w:rPr>
          <w:vanish/>
        </w:rPr>
        <w:t xml:space="preserve"> (Bug 64944)</w:t>
      </w:r>
    </w:p>
    <w:bookmarkEnd w:id="173"/>
    <w:bookmarkEnd w:id="174"/>
    <w:p w14:paraId="63BFE1FD" w14:textId="77777777" w:rsidR="002A21AE" w:rsidRDefault="002A21AE">
      <w:pPr>
        <w:pStyle w:val="Heading4"/>
      </w:pPr>
      <w:r>
        <w:t>Additional Information</w:t>
      </w:r>
    </w:p>
    <w:p w14:paraId="534D9009" w14:textId="77777777" w:rsidR="00B62541" w:rsidRDefault="00B62541">
      <w:pPr>
        <w:pStyle w:val="ListBullet"/>
      </w:pPr>
      <w:r>
        <w:t xml:space="preserve">A facility must be </w:t>
      </w:r>
      <w:r w:rsidR="009D390D">
        <w:t>activated and have</w:t>
      </w:r>
      <w:r>
        <w:t xml:space="preserve"> at least one blood product defined to be a shipper.</w:t>
      </w:r>
    </w:p>
    <w:p w14:paraId="619B7D0A" w14:textId="77777777" w:rsidR="00F17965" w:rsidRPr="00F17965" w:rsidRDefault="00F17965">
      <w:pPr>
        <w:pStyle w:val="ListBullet"/>
      </w:pPr>
      <w:r>
        <w:t xml:space="preserve">A user may </w:t>
      </w:r>
      <w:r w:rsidR="00DD635C">
        <w:t xml:space="preserve">identify </w:t>
      </w:r>
      <w:r>
        <w:t>his</w:t>
      </w:r>
      <w:r w:rsidR="00706360">
        <w:t xml:space="preserve"> site as</w:t>
      </w:r>
      <w:r>
        <w:t xml:space="preserve"> a collection facility through this option.</w:t>
      </w:r>
    </w:p>
    <w:p w14:paraId="2518C552" w14:textId="77777777" w:rsidR="002A21AE" w:rsidRDefault="002A21AE">
      <w:pPr>
        <w:pStyle w:val="ListBullet"/>
      </w:pPr>
      <w:r>
        <w:rPr>
          <w:vanish/>
          <w:spacing w:val="0"/>
        </w:rPr>
        <w:t xml:space="preserve">BR_6.11 </w:t>
      </w:r>
      <w:r>
        <w:t xml:space="preserve">An ICCBBA </w:t>
      </w:r>
      <w:r w:rsidR="00B85812">
        <w:t>Registration Number</w:t>
      </w:r>
      <w:r>
        <w:t xml:space="preserve"> has one letter, indicating the country of origin (“W” for the U.S.) and four numbers. The field is five characters long.</w:t>
      </w:r>
    </w:p>
    <w:p w14:paraId="4256A8B7" w14:textId="77777777" w:rsidR="00E507A1" w:rsidRPr="00E507A1" w:rsidRDefault="00E507A1">
      <w:pPr>
        <w:pStyle w:val="ListBullet"/>
      </w:pPr>
      <w:bookmarkStart w:id="175" w:name="OLE_LINK3"/>
      <w:bookmarkStart w:id="176" w:name="OLE_LINK4"/>
      <w:r>
        <w:rPr>
          <w:spacing w:val="0"/>
        </w:rPr>
        <w:t>The user may change facility addresses that appear on reports.</w:t>
      </w:r>
    </w:p>
    <w:bookmarkEnd w:id="175"/>
    <w:bookmarkEnd w:id="176"/>
    <w:p w14:paraId="11934ABA" w14:textId="77777777" w:rsidR="002A21AE" w:rsidRDefault="002A21AE">
      <w:pPr>
        <w:pStyle w:val="Heading4"/>
      </w:pPr>
      <w:r>
        <w:t xml:space="preserve">User Roles with Access to This Option </w:t>
      </w:r>
    </w:p>
    <w:p w14:paraId="5AA677AB" w14:textId="77777777" w:rsidR="00215931" w:rsidRDefault="00215931" w:rsidP="00215931">
      <w:pPr>
        <w:pStyle w:val="Roles"/>
      </w:pPr>
      <w:r>
        <w:rPr>
          <w:snapToGrid w:val="0"/>
        </w:rPr>
        <w:t xml:space="preserve">All users </w:t>
      </w:r>
    </w:p>
    <w:p w14:paraId="3F49BA81" w14:textId="77777777" w:rsidR="002A21AE" w:rsidRDefault="002A21AE">
      <w:pPr>
        <w:pStyle w:val="Heading4"/>
      </w:pPr>
      <w:r>
        <w:t>Local Facilities</w:t>
      </w:r>
    </w:p>
    <w:p w14:paraId="0A84C979" w14:textId="77777777" w:rsidR="002A21AE" w:rsidRDefault="002A21AE" w:rsidP="00FA7E65">
      <w:pPr>
        <w:pStyle w:val="BodyText"/>
      </w:pPr>
      <w:r>
        <w:t xml:space="preserve">This option allows a user to activate an entry from the national collection facility table, thereby adding it to a division’s local collection facility table, and add or update the facility’s information (except for the FDA </w:t>
      </w:r>
      <w:r w:rsidR="00B85812">
        <w:t>Registration Number</w:t>
      </w:r>
      <w:r>
        <w:t xml:space="preserve">). A user may select an active collection facility to associate blood products (which makes the facility a shipper). </w:t>
      </w:r>
    </w:p>
    <w:p w14:paraId="2331DBEF" w14:textId="77777777" w:rsidR="002A21AE" w:rsidRDefault="002A21AE" w:rsidP="00FA7E65">
      <w:pPr>
        <w:pStyle w:val="BodyText"/>
      </w:pPr>
      <w:r>
        <w:t>This option also allows a user to create a collection facility.</w:t>
      </w:r>
    </w:p>
    <w:p w14:paraId="4ACF2369" w14:textId="77777777" w:rsidR="00D210F0" w:rsidRDefault="00D210F0" w:rsidP="00D210F0">
      <w:pPr>
        <w:pStyle w:val="Caution"/>
      </w:pPr>
      <w:r>
        <w:t>Verify that site information entered during installation is correct prior to adding local facilities.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CDB1FB3" w14:textId="77777777" w:rsidTr="007E3EE1">
        <w:trPr>
          <w:cantSplit/>
          <w:tblHeader/>
        </w:trPr>
        <w:tc>
          <w:tcPr>
            <w:tcW w:w="3240" w:type="dxa"/>
            <w:shd w:val="pct30" w:color="auto" w:fill="FFFFFF"/>
            <w:vAlign w:val="bottom"/>
          </w:tcPr>
          <w:p w14:paraId="078E46D8" w14:textId="77777777" w:rsidR="002A21AE" w:rsidRDefault="002A21AE">
            <w:pPr>
              <w:pStyle w:val="TableText"/>
              <w:rPr>
                <w:b/>
              </w:rPr>
            </w:pPr>
            <w:r>
              <w:rPr>
                <w:b/>
              </w:rPr>
              <w:lastRenderedPageBreak/>
              <w:t>User Action</w:t>
            </w:r>
          </w:p>
        </w:tc>
        <w:tc>
          <w:tcPr>
            <w:tcW w:w="6120" w:type="dxa"/>
            <w:shd w:val="pct30" w:color="auto" w:fill="FFFFFF"/>
            <w:vAlign w:val="bottom"/>
          </w:tcPr>
          <w:p w14:paraId="78407BD2" w14:textId="77777777" w:rsidR="002A21AE" w:rsidRDefault="002A21AE">
            <w:pPr>
              <w:pStyle w:val="TableText"/>
              <w:rPr>
                <w:b/>
              </w:rPr>
            </w:pPr>
            <w:r>
              <w:rPr>
                <w:b/>
              </w:rPr>
              <w:t>VBECS</w:t>
            </w:r>
          </w:p>
        </w:tc>
      </w:tr>
      <w:tr w:rsidR="002A21AE" w14:paraId="02D3ACC5" w14:textId="77777777" w:rsidTr="007E3EE1">
        <w:trPr>
          <w:cantSplit/>
        </w:trPr>
        <w:tc>
          <w:tcPr>
            <w:tcW w:w="3240" w:type="dxa"/>
            <w:tcBorders>
              <w:top w:val="single" w:sz="4" w:space="0" w:color="auto"/>
              <w:left w:val="single" w:sz="4" w:space="0" w:color="auto"/>
              <w:bottom w:val="single" w:sz="4" w:space="0" w:color="auto"/>
              <w:right w:val="single" w:sz="4" w:space="0" w:color="auto"/>
            </w:tcBorders>
          </w:tcPr>
          <w:p w14:paraId="5D5BEBF8" w14:textId="77777777" w:rsidR="002A21AE" w:rsidRDefault="002A21AE">
            <w:pPr>
              <w:pStyle w:val="TableTextNumbers"/>
            </w:pPr>
            <w:r>
              <w:t xml:space="preserve">Select </w:t>
            </w:r>
            <w:r>
              <w:rPr>
                <w:b/>
              </w:rPr>
              <w:t>Tools</w:t>
            </w:r>
            <w:r>
              <w:t xml:space="preserve"> from the main menu.</w:t>
            </w:r>
          </w:p>
          <w:p w14:paraId="2A78700C" w14:textId="77777777" w:rsidR="002A21AE" w:rsidRDefault="002A21AE">
            <w:pPr>
              <w:pStyle w:val="TableTextNumbersContinued"/>
              <w:rPr>
                <w:b/>
                <w:bCs/>
              </w:rPr>
            </w:pPr>
          </w:p>
          <w:p w14:paraId="696F45DD" w14:textId="77777777" w:rsidR="002A21AE" w:rsidRDefault="002A21AE">
            <w:pPr>
              <w:pStyle w:val="TableTextNumbersContinued"/>
            </w:pPr>
            <w:r>
              <w:t xml:space="preserve">Select </w:t>
            </w:r>
            <w:r>
              <w:rPr>
                <w:b/>
              </w:rPr>
              <w:t>Local Facilities</w:t>
            </w:r>
            <w:r>
              <w:t>.</w:t>
            </w:r>
          </w:p>
        </w:tc>
        <w:tc>
          <w:tcPr>
            <w:tcW w:w="6120" w:type="dxa"/>
            <w:tcBorders>
              <w:top w:val="single" w:sz="4" w:space="0" w:color="auto"/>
              <w:left w:val="single" w:sz="4" w:space="0" w:color="auto"/>
              <w:bottom w:val="single" w:sz="4" w:space="0" w:color="auto"/>
              <w:right w:val="single" w:sz="4" w:space="0" w:color="auto"/>
            </w:tcBorders>
          </w:tcPr>
          <w:p w14:paraId="6CD81064" w14:textId="77777777" w:rsidR="002A21AE" w:rsidRDefault="002A21AE">
            <w:pPr>
              <w:pStyle w:val="TableTextBullet"/>
            </w:pPr>
            <w:r>
              <w:t>Displays options for processing administrative functions.</w:t>
            </w:r>
          </w:p>
          <w:p w14:paraId="37F9B5C1" w14:textId="77777777" w:rsidR="002A21AE" w:rsidRDefault="002A21AE">
            <w:pPr>
              <w:pStyle w:val="TableTextBullet"/>
            </w:pPr>
            <w:r>
              <w:t>Displays fields for entering facility information.</w:t>
            </w:r>
          </w:p>
          <w:p w14:paraId="01BE7679" w14:textId="77777777" w:rsidR="002A21AE" w:rsidRDefault="002A21AE">
            <w:pPr>
              <w:pStyle w:val="TableTextBullet"/>
            </w:pPr>
            <w:r>
              <w:t>Allows a user to access an existing facility record.</w:t>
            </w:r>
          </w:p>
        </w:tc>
      </w:tr>
      <w:tr w:rsidR="002A21AE" w14:paraId="3EE5DD08" w14:textId="77777777" w:rsidTr="007E3EE1">
        <w:trPr>
          <w:cantSplit/>
        </w:trPr>
        <w:tc>
          <w:tcPr>
            <w:tcW w:w="3240" w:type="dxa"/>
          </w:tcPr>
          <w:p w14:paraId="0D97A683" w14:textId="251007C7" w:rsidR="002A21AE" w:rsidRDefault="002A21AE">
            <w:pPr>
              <w:pStyle w:val="TableTextNumbers"/>
            </w:pPr>
            <w:r>
              <w:t xml:space="preserve">To find a collection facility, scan or enter an FDA </w:t>
            </w:r>
            <w:r w:rsidR="00B85812">
              <w:t>Registration Number</w:t>
            </w:r>
            <w:r>
              <w:t xml:space="preserve"> in the FDA Reg. No. field and go to Step 4 (or click the </w:t>
            </w:r>
            <w:r w:rsidR="00A6373D">
              <w:rPr>
                <w:b/>
              </w:rPr>
              <w:t>find</w:t>
            </w:r>
            <w:r w:rsidRPr="00BF2E41">
              <w:t xml:space="preserve"> button</w:t>
            </w:r>
            <w:r>
              <w:t xml:space="preserve"> to open the Facility Search window).</w:t>
            </w:r>
            <w:r w:rsidR="004277F6">
              <w:t xml:space="preserve"> FDA Reg. No. must be 7 or 10 characters long. </w:t>
            </w:r>
          </w:p>
        </w:tc>
        <w:tc>
          <w:tcPr>
            <w:tcW w:w="6120" w:type="dxa"/>
          </w:tcPr>
          <w:p w14:paraId="0DDBA8C2" w14:textId="77777777" w:rsidR="002A21AE" w:rsidRDefault="002A21AE">
            <w:pPr>
              <w:pStyle w:val="TableTextBullet"/>
            </w:pPr>
            <w:r>
              <w:t>Displays the collection facilities that match the search criteria.</w:t>
            </w:r>
          </w:p>
        </w:tc>
      </w:tr>
      <w:tr w:rsidR="002A21AE" w14:paraId="1F7E922B" w14:textId="77777777" w:rsidTr="007E3EE1">
        <w:trPr>
          <w:cantSplit/>
        </w:trPr>
        <w:tc>
          <w:tcPr>
            <w:tcW w:w="3240" w:type="dxa"/>
          </w:tcPr>
          <w:p w14:paraId="135D594A" w14:textId="77777777" w:rsidR="002A21AE" w:rsidRDefault="002A21AE">
            <w:pPr>
              <w:pStyle w:val="TableTextNumbers"/>
            </w:pPr>
            <w:r>
              <w:t xml:space="preserve">In the Facility Search window, enter a full or partial facility name in the Partial Facility Name field (or enter a full or partial FDA </w:t>
            </w:r>
            <w:r w:rsidR="00B85812">
              <w:t>Registration Number</w:t>
            </w:r>
            <w:r>
              <w:t xml:space="preserve"> in the FDA Reg. No. field), and click </w:t>
            </w:r>
            <w:r w:rsidR="00173187" w:rsidRPr="00173187">
              <w:rPr>
                <w:b/>
              </w:rPr>
              <w:t>Search</w:t>
            </w:r>
            <w:r>
              <w:t xml:space="preserve"> to view a list of active facilities.</w:t>
            </w:r>
          </w:p>
          <w:p w14:paraId="7F3723ED" w14:textId="77777777" w:rsidR="002A21AE" w:rsidRDefault="002A21AE">
            <w:pPr>
              <w:pStyle w:val="TableTextNumbersContinued"/>
              <w:rPr>
                <w:b/>
                <w:bCs/>
              </w:rPr>
            </w:pPr>
          </w:p>
          <w:p w14:paraId="016A3636" w14:textId="77777777" w:rsidR="002A21AE" w:rsidRDefault="002A21AE">
            <w:pPr>
              <w:pStyle w:val="TableTextNumbersContinued"/>
            </w:pPr>
            <w:r>
              <w:t xml:space="preserve">Select a facility name from the list and click </w:t>
            </w:r>
            <w:r>
              <w:rPr>
                <w:b/>
              </w:rPr>
              <w:t>OK</w:t>
            </w:r>
            <w:r>
              <w:t>.</w:t>
            </w:r>
          </w:p>
        </w:tc>
        <w:tc>
          <w:tcPr>
            <w:tcW w:w="6120" w:type="dxa"/>
          </w:tcPr>
          <w:p w14:paraId="62AE5383" w14:textId="77777777" w:rsidR="002A21AE" w:rsidRDefault="002A21AE">
            <w:pPr>
              <w:pStyle w:val="TableTextBullet"/>
            </w:pPr>
            <w:r>
              <w:t xml:space="preserve">Displays properties of the selected collection facility. </w:t>
            </w:r>
          </w:p>
          <w:p w14:paraId="54C6B4A3" w14:textId="77777777" w:rsidR="002A21AE" w:rsidRDefault="002A21AE">
            <w:pPr>
              <w:pStyle w:val="TableText"/>
            </w:pPr>
          </w:p>
          <w:p w14:paraId="660CB3AB" w14:textId="0F082177" w:rsidR="002A21AE" w:rsidRDefault="002A21AE">
            <w:pPr>
              <w:pStyle w:val="TableText"/>
              <w:rPr>
                <w:b/>
                <w:bCs/>
                <w:szCs w:val="18"/>
              </w:rPr>
            </w:pPr>
            <w:r>
              <w:rPr>
                <w:b/>
                <w:bCs/>
                <w:szCs w:val="18"/>
              </w:rPr>
              <w:t>NOTES</w:t>
            </w:r>
          </w:p>
          <w:p w14:paraId="10559AE3" w14:textId="77777777" w:rsidR="002A21AE" w:rsidRDefault="002A21AE">
            <w:pPr>
              <w:pStyle w:val="NotesText"/>
            </w:pPr>
          </w:p>
          <w:p w14:paraId="3F23C24B" w14:textId="77777777" w:rsidR="002A21AE" w:rsidRDefault="002A21AE">
            <w:pPr>
              <w:pStyle w:val="NotesText"/>
            </w:pPr>
            <w:r>
              <w:t>The collection facility is tied to the user’s current login division.</w:t>
            </w:r>
          </w:p>
          <w:p w14:paraId="59E18A31" w14:textId="77777777" w:rsidR="002A21AE" w:rsidRDefault="002A21AE">
            <w:pPr>
              <w:pStyle w:val="NotesText"/>
            </w:pPr>
          </w:p>
          <w:p w14:paraId="3C7F5690" w14:textId="77777777" w:rsidR="002A21AE" w:rsidRDefault="002A21AE">
            <w:pPr>
              <w:pStyle w:val="NotesText"/>
            </w:pPr>
            <w:r w:rsidRPr="009660C3">
              <w:rPr>
                <w:vanish/>
                <w:szCs w:val="18"/>
              </w:rPr>
              <w:t xml:space="preserve">BR_6.05 </w:t>
            </w:r>
            <w:r>
              <w:t>A user may activate a facility. By default, VBECS marks active facilities as collection facilities.</w:t>
            </w:r>
          </w:p>
          <w:p w14:paraId="7C28A734" w14:textId="77777777" w:rsidR="002A21AE" w:rsidRDefault="002A21AE">
            <w:pPr>
              <w:pStyle w:val="NotesText"/>
            </w:pPr>
          </w:p>
          <w:p w14:paraId="67EF62FA" w14:textId="77777777" w:rsidR="002A21AE" w:rsidRDefault="002A21AE">
            <w:pPr>
              <w:pStyle w:val="NotesText"/>
            </w:pPr>
            <w:r w:rsidRPr="009660C3">
              <w:rPr>
                <w:vanish/>
                <w:szCs w:val="18"/>
              </w:rPr>
              <w:t xml:space="preserve">BR_6.06 </w:t>
            </w:r>
            <w:r>
              <w:t>When a user clears the Active Facility check box for a collection facility in a division, warns the user, and asks whether he wishes to inactivate this facility and continue.</w:t>
            </w:r>
          </w:p>
          <w:p w14:paraId="65B5052F" w14:textId="77777777" w:rsidR="002A21AE" w:rsidRDefault="002A21AE">
            <w:pPr>
              <w:pStyle w:val="NotesText"/>
            </w:pPr>
          </w:p>
          <w:p w14:paraId="6C94B948" w14:textId="77777777" w:rsidR="002A21AE" w:rsidRDefault="002A21AE">
            <w:pPr>
              <w:pStyle w:val="NotesText"/>
            </w:pPr>
            <w:r>
              <w:rPr>
                <w:b/>
              </w:rPr>
              <w:t>Yes</w:t>
            </w:r>
            <w:r>
              <w:t xml:space="preserve"> allows the action to continue. </w:t>
            </w:r>
            <w:r>
              <w:rPr>
                <w:b/>
              </w:rPr>
              <w:t>No</w:t>
            </w:r>
            <w:r>
              <w:t xml:space="preserve"> leaves the collection facility marked as active for the division.</w:t>
            </w:r>
          </w:p>
          <w:p w14:paraId="2094FDDD" w14:textId="77777777" w:rsidR="002A21AE" w:rsidRDefault="002A21AE">
            <w:pPr>
              <w:pStyle w:val="NotesText"/>
            </w:pPr>
          </w:p>
          <w:p w14:paraId="0EDBC0C2" w14:textId="00001868" w:rsidR="00143160" w:rsidRDefault="00143160">
            <w:pPr>
              <w:pStyle w:val="NotesText"/>
            </w:pPr>
            <w:r w:rsidRPr="00143160">
              <w:rPr>
                <w:vanish/>
              </w:rPr>
              <w:t xml:space="preserve">BR_8.11 </w:t>
            </w:r>
            <w:r>
              <w:t>In order to inactivate a facility that has been previously configured as a product shipper, you must first inactivate all product shipper entries for that facility. To deactivate prod</w:t>
            </w:r>
            <w:r w:rsidR="005375AC">
              <w:t xml:space="preserve">uct shippers, refer to the </w:t>
            </w:r>
            <w:r w:rsidR="00EE455E">
              <w:t>Blood Products</w:t>
            </w:r>
            <w:r w:rsidR="005375AC">
              <w:t xml:space="preserve"> section</w:t>
            </w:r>
            <w:r>
              <w:t>. Contact the Service Desk if you would like a list of products linked to the facility you want to inactivate.</w:t>
            </w:r>
          </w:p>
        </w:tc>
      </w:tr>
      <w:tr w:rsidR="002A21AE" w14:paraId="3986EDCF" w14:textId="77777777" w:rsidTr="007E3EE1">
        <w:trPr>
          <w:cantSplit/>
        </w:trPr>
        <w:tc>
          <w:tcPr>
            <w:tcW w:w="3240" w:type="dxa"/>
          </w:tcPr>
          <w:p w14:paraId="55BA3E3B" w14:textId="3B32DAB2" w:rsidR="002A21AE" w:rsidRDefault="002A21AE">
            <w:pPr>
              <w:pStyle w:val="TableTextNumbers"/>
            </w:pPr>
            <w:r>
              <w:t xml:space="preserve">Edit or enter information in the collection facility information fields (for example, address, telephone number, whether the facility is a testing and/or collection facility) </w:t>
            </w:r>
            <w:r w:rsidR="00363757">
              <w:t>(</w:t>
            </w:r>
            <w:r w:rsidR="00EE455E">
              <w:t xml:space="preserve">Figure </w:t>
            </w:r>
            <w:r w:rsidR="00EE455E">
              <w:rPr>
                <w:noProof/>
              </w:rPr>
              <w:t>29</w:t>
            </w:r>
            <w:r w:rsidR="00363757">
              <w:t xml:space="preserve">) </w:t>
            </w:r>
            <w:r>
              <w:t xml:space="preserve">and click </w:t>
            </w:r>
            <w:r>
              <w:rPr>
                <w:b/>
              </w:rPr>
              <w:t>OK</w:t>
            </w:r>
            <w:r>
              <w:t xml:space="preserve"> to save the updated information.</w:t>
            </w:r>
          </w:p>
        </w:tc>
        <w:tc>
          <w:tcPr>
            <w:tcW w:w="6120" w:type="dxa"/>
          </w:tcPr>
          <w:p w14:paraId="64F249A1" w14:textId="77777777" w:rsidR="002A21AE" w:rsidRDefault="002A21AE">
            <w:pPr>
              <w:pStyle w:val="TableTextBullet"/>
            </w:pPr>
            <w:r>
              <w:t xml:space="preserve">Displays entries for review and acceptance. </w:t>
            </w:r>
          </w:p>
          <w:p w14:paraId="3DFF8A6B" w14:textId="77777777" w:rsidR="002A21AE" w:rsidRDefault="002A21AE">
            <w:pPr>
              <w:pStyle w:val="TableTextBullet"/>
            </w:pPr>
            <w:r>
              <w:t>Prompts to save.</w:t>
            </w:r>
          </w:p>
          <w:p w14:paraId="0F6DF80D" w14:textId="77777777" w:rsidR="002A21AE" w:rsidRDefault="002A21AE">
            <w:pPr>
              <w:pStyle w:val="TableText"/>
            </w:pPr>
          </w:p>
          <w:p w14:paraId="08D1C1A6" w14:textId="45F881CF" w:rsidR="002A21AE" w:rsidRDefault="002A21AE">
            <w:pPr>
              <w:pStyle w:val="TableText"/>
              <w:rPr>
                <w:b/>
                <w:bCs/>
                <w:szCs w:val="18"/>
              </w:rPr>
            </w:pPr>
            <w:r>
              <w:rPr>
                <w:b/>
                <w:bCs/>
                <w:szCs w:val="18"/>
              </w:rPr>
              <w:t>NOTES</w:t>
            </w:r>
          </w:p>
          <w:p w14:paraId="71FEB63F" w14:textId="77777777" w:rsidR="002A21AE" w:rsidRDefault="002A21AE">
            <w:pPr>
              <w:pStyle w:val="NotesText"/>
            </w:pPr>
          </w:p>
          <w:p w14:paraId="714D8BAF" w14:textId="77777777" w:rsidR="002A21AE" w:rsidRDefault="002A21AE" w:rsidP="004E5EEE">
            <w:pPr>
              <w:pStyle w:val="NotesText"/>
            </w:pPr>
            <w:r>
              <w:rPr>
                <w:b/>
              </w:rPr>
              <w:t>OK</w:t>
            </w:r>
            <w:r>
              <w:t xml:space="preserve"> remains disabled until the user edits or enters information or simply clicks in a field or check box.</w:t>
            </w:r>
          </w:p>
          <w:p w14:paraId="33F18C98" w14:textId="77777777" w:rsidR="00962AB7" w:rsidRDefault="00962AB7" w:rsidP="004E5EEE">
            <w:pPr>
              <w:pStyle w:val="NotesText"/>
            </w:pPr>
          </w:p>
          <w:p w14:paraId="0FE0AE2F" w14:textId="0A8E3DF9" w:rsidR="00962AB7" w:rsidRDefault="005E0BEC" w:rsidP="004E5EEE">
            <w:pPr>
              <w:pStyle w:val="NotesText"/>
            </w:pPr>
            <w:r w:rsidRPr="005E0BEC">
              <w:rPr>
                <w:vanish/>
              </w:rPr>
              <w:t xml:space="preserve">BR_6.07 </w:t>
            </w:r>
            <w:r w:rsidR="00962AB7">
              <w:t>The eye-readable prefix (when used) is always a 2-character numeric field.</w:t>
            </w:r>
          </w:p>
        </w:tc>
      </w:tr>
      <w:tr w:rsidR="002A21AE" w14:paraId="1BC092BD" w14:textId="77777777" w:rsidTr="007E3EE1">
        <w:trPr>
          <w:cantSplit/>
        </w:trPr>
        <w:tc>
          <w:tcPr>
            <w:tcW w:w="3240" w:type="dxa"/>
          </w:tcPr>
          <w:p w14:paraId="085DE28A" w14:textId="77777777" w:rsidR="002A21AE" w:rsidRDefault="002A21AE">
            <w:pPr>
              <w:pStyle w:val="TableTextNumbers"/>
            </w:pPr>
            <w:r>
              <w:t xml:space="preserve">Click </w:t>
            </w:r>
            <w:r>
              <w:rPr>
                <w:b/>
              </w:rPr>
              <w:t>Yes</w:t>
            </w:r>
            <w:r>
              <w:t xml:space="preserve"> to confirm the save.</w:t>
            </w:r>
          </w:p>
        </w:tc>
        <w:tc>
          <w:tcPr>
            <w:tcW w:w="6120" w:type="dxa"/>
          </w:tcPr>
          <w:p w14:paraId="14C86E6D" w14:textId="77777777" w:rsidR="002A21AE" w:rsidRDefault="002A21AE">
            <w:pPr>
              <w:pStyle w:val="TableTextBullet"/>
            </w:pPr>
            <w:r>
              <w:t>Saves the active collection facility record and prompts to add or edit another facility.</w:t>
            </w:r>
          </w:p>
          <w:p w14:paraId="6840F81A" w14:textId="77777777" w:rsidR="002A21AE" w:rsidRDefault="002A21AE">
            <w:pPr>
              <w:pStyle w:val="TableText"/>
            </w:pPr>
          </w:p>
          <w:p w14:paraId="1F7AF99B" w14:textId="6998C926" w:rsidR="002A21AE" w:rsidRDefault="002A21AE">
            <w:pPr>
              <w:pStyle w:val="TableText"/>
              <w:rPr>
                <w:b/>
                <w:bCs/>
                <w:szCs w:val="18"/>
              </w:rPr>
            </w:pPr>
            <w:r>
              <w:rPr>
                <w:b/>
                <w:bCs/>
                <w:szCs w:val="18"/>
              </w:rPr>
              <w:t>NOTES</w:t>
            </w:r>
          </w:p>
          <w:p w14:paraId="4BC661F6" w14:textId="77777777" w:rsidR="002A21AE" w:rsidRDefault="002A21AE">
            <w:pPr>
              <w:pStyle w:val="NotesText"/>
            </w:pPr>
          </w:p>
          <w:p w14:paraId="14A8EC1E" w14:textId="77777777" w:rsidR="00B62541" w:rsidRDefault="002A21AE">
            <w:pPr>
              <w:pStyle w:val="NotesText"/>
            </w:pPr>
            <w:r w:rsidRPr="009660C3">
              <w:rPr>
                <w:vanish/>
                <w:szCs w:val="18"/>
              </w:rPr>
              <w:t xml:space="preserve">BR_6.09 </w:t>
            </w:r>
            <w:r>
              <w:t>VBECS saves an active collection facility only when it is iden</w:t>
            </w:r>
            <w:r w:rsidR="00836F52">
              <w:t>tified as a collection facility</w:t>
            </w:r>
            <w:r>
              <w:t>.</w:t>
            </w:r>
          </w:p>
          <w:p w14:paraId="2F76F4E5" w14:textId="77777777" w:rsidR="00B62541" w:rsidRDefault="00B62541">
            <w:pPr>
              <w:pStyle w:val="NotesText"/>
            </w:pPr>
          </w:p>
          <w:p w14:paraId="019DBF4D" w14:textId="77777777" w:rsidR="002A21AE" w:rsidRDefault="00B62541" w:rsidP="00E90A01">
            <w:pPr>
              <w:pStyle w:val="NotesText"/>
            </w:pPr>
            <w:r>
              <w:t xml:space="preserve">A facility must be activated and </w:t>
            </w:r>
            <w:r w:rsidR="009D390D">
              <w:t xml:space="preserve">have </w:t>
            </w:r>
            <w:r>
              <w:t xml:space="preserve">at least one blood product defined to be a shipper. Refer to Blood Products section for </w:t>
            </w:r>
            <w:r w:rsidR="00E90A01">
              <w:t>additional</w:t>
            </w:r>
            <w:r>
              <w:t xml:space="preserve"> information.</w:t>
            </w:r>
          </w:p>
        </w:tc>
      </w:tr>
      <w:tr w:rsidR="002A21AE" w14:paraId="273F1CDA" w14:textId="77777777" w:rsidTr="007E3EE1">
        <w:trPr>
          <w:cantSplit/>
        </w:trPr>
        <w:tc>
          <w:tcPr>
            <w:tcW w:w="3240" w:type="dxa"/>
          </w:tcPr>
          <w:p w14:paraId="45CA251E" w14:textId="77777777" w:rsidR="002A21AE" w:rsidRDefault="002A21AE">
            <w:pPr>
              <w:pStyle w:val="TableTextNumbers"/>
            </w:pPr>
            <w:r>
              <w:t>Repeat these steps to process another facility.</w:t>
            </w:r>
          </w:p>
        </w:tc>
        <w:tc>
          <w:tcPr>
            <w:tcW w:w="6120" w:type="dxa"/>
          </w:tcPr>
          <w:p w14:paraId="76FEC7AD" w14:textId="77777777" w:rsidR="002A21AE" w:rsidRDefault="002A21AE">
            <w:pPr>
              <w:pStyle w:val="TableText"/>
            </w:pPr>
          </w:p>
        </w:tc>
      </w:tr>
      <w:tr w:rsidR="002A21AE" w14:paraId="748CE95D" w14:textId="77777777" w:rsidTr="007E3EE1">
        <w:trPr>
          <w:cantSplit/>
        </w:trPr>
        <w:tc>
          <w:tcPr>
            <w:tcW w:w="3240" w:type="dxa"/>
          </w:tcPr>
          <w:p w14:paraId="3B42AB57" w14:textId="77777777" w:rsidR="002A21AE" w:rsidRDefault="002A21AE">
            <w:pPr>
              <w:pStyle w:val="TableTextNumbers"/>
            </w:pPr>
            <w:r>
              <w:lastRenderedPageBreak/>
              <w:t xml:space="preserve">Click </w:t>
            </w:r>
            <w:r>
              <w:rPr>
                <w:b/>
              </w:rPr>
              <w:t>Cancel</w:t>
            </w:r>
            <w:r>
              <w:t xml:space="preserve"> in the Maintain Facility screen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7B401C6" w14:textId="77777777" w:rsidR="002A21AE" w:rsidRDefault="002A21AE">
            <w:pPr>
              <w:pStyle w:val="TableText"/>
            </w:pPr>
          </w:p>
          <w:p w14:paraId="1FB4C241" w14:textId="77777777" w:rsidR="002A21AE" w:rsidRDefault="002A21AE">
            <w:pPr>
              <w:pStyle w:val="TableText"/>
            </w:pPr>
          </w:p>
        </w:tc>
      </w:tr>
    </w:tbl>
    <w:p w14:paraId="5CE18600" w14:textId="77777777" w:rsidR="002A21AE" w:rsidRDefault="002A21AE" w:rsidP="00FA7E65">
      <w:pPr>
        <w:pStyle w:val="BodyText"/>
      </w:pPr>
    </w:p>
    <w:p w14:paraId="52DE9985" w14:textId="480BE42E" w:rsidR="00363757" w:rsidRDefault="00363757" w:rsidP="00363757">
      <w:pPr>
        <w:pStyle w:val="Caption"/>
      </w:pPr>
      <w:bookmarkStart w:id="177" w:name="_Ref12647102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30</w:t>
      </w:r>
      <w:r w:rsidR="004E20BD">
        <w:rPr>
          <w:noProof/>
        </w:rPr>
        <w:fldChar w:fldCharType="end"/>
      </w:r>
      <w:bookmarkEnd w:id="177"/>
      <w:r>
        <w:t xml:space="preserve">: </w:t>
      </w:r>
      <w:r w:rsidR="00954B38">
        <w:t xml:space="preserve">Example of </w:t>
      </w:r>
      <w:r>
        <w:t>Maintain Facility</w:t>
      </w:r>
    </w:p>
    <w:p w14:paraId="40B47642" w14:textId="77777777" w:rsidR="0066425F" w:rsidRDefault="00057948" w:rsidP="0066425F">
      <w:pPr>
        <w:pStyle w:val="BodyText"/>
      </w:pPr>
      <w:r>
        <w:rPr>
          <w:noProof/>
        </w:rPr>
        <w:drawing>
          <wp:inline distT="0" distB="0" distL="0" distR="0" wp14:anchorId="7BAC7860" wp14:editId="679F75F7">
            <wp:extent cx="4304030" cy="5135245"/>
            <wp:effectExtent l="0" t="0" r="1270" b="8255"/>
            <wp:docPr id="132" name="Picture 132" descr="Example of Maintain Facility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Example of Maintain Facility screen capt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04030" cy="5135245"/>
                    </a:xfrm>
                    <a:prstGeom prst="rect">
                      <a:avLst/>
                    </a:prstGeom>
                    <a:noFill/>
                    <a:ln>
                      <a:noFill/>
                    </a:ln>
                  </pic:spPr>
                </pic:pic>
              </a:graphicData>
            </a:graphic>
          </wp:inline>
        </w:drawing>
      </w:r>
      <w:r w:rsidR="00363757">
        <w:t xml:space="preserve"> </w:t>
      </w:r>
    </w:p>
    <w:p w14:paraId="66298DE0" w14:textId="77777777" w:rsidR="002A21AE" w:rsidRDefault="00AF089A" w:rsidP="00A6079E">
      <w:pPr>
        <w:pStyle w:val="Heading2"/>
      </w:pPr>
      <w:r>
        <w:br w:type="page"/>
      </w:r>
      <w:bookmarkStart w:id="178" w:name="_Ref1732323"/>
      <w:bookmarkStart w:id="179" w:name="_Toc163644892"/>
      <w:r w:rsidR="002A21AE">
        <w:lastRenderedPageBreak/>
        <w:t>Blood Products</w:t>
      </w:r>
      <w:bookmarkEnd w:id="172"/>
      <w:bookmarkEnd w:id="178"/>
      <w:bookmarkEnd w:id="179"/>
      <w:r w:rsidR="002A21AE" w:rsidRPr="00C74523">
        <w:rPr>
          <w:vanish/>
        </w:rPr>
        <w:fldChar w:fldCharType="begin"/>
      </w:r>
      <w:r w:rsidR="002A21AE" w:rsidRPr="00C74523">
        <w:rPr>
          <w:vanish/>
        </w:rPr>
        <w:instrText xml:space="preserve"> XE </w:instrText>
      </w:r>
      <w:r w:rsidR="00FA7E65" w:rsidRPr="00C74523">
        <w:rPr>
          <w:vanish/>
        </w:rPr>
        <w:instrText>“</w:instrText>
      </w:r>
      <w:r w:rsidR="002A21AE" w:rsidRPr="00C74523">
        <w:rPr>
          <w:vanish/>
        </w:rPr>
        <w:instrText>Blood Products</w:instrText>
      </w:r>
      <w:r w:rsidR="00FA7E65" w:rsidRPr="00C74523">
        <w:rPr>
          <w:vanish/>
        </w:rPr>
        <w:instrText>”</w:instrText>
      </w:r>
      <w:r w:rsidR="002A21AE" w:rsidRPr="00C74523">
        <w:rPr>
          <w:vanish/>
        </w:rPr>
        <w:instrText xml:space="preserve"> </w:instrText>
      </w:r>
      <w:r w:rsidR="002A21AE" w:rsidRPr="00C74523">
        <w:rPr>
          <w:vanish/>
        </w:rPr>
        <w:fldChar w:fldCharType="end"/>
      </w:r>
      <w:r w:rsidR="002A21AE" w:rsidRPr="00C74523">
        <w:rPr>
          <w:vanish/>
        </w:rPr>
        <w:t xml:space="preserve"> </w:t>
      </w:r>
      <w:r w:rsidR="002A21AE" w:rsidRPr="00C74523">
        <w:rPr>
          <w:rFonts w:ascii="Arial Bold" w:hAnsi="Arial Bold"/>
          <w:vanish/>
        </w:rPr>
        <w:t>UC_08</w:t>
      </w:r>
    </w:p>
    <w:p w14:paraId="6334CAA7" w14:textId="7C4D783B" w:rsidR="002A21AE" w:rsidRDefault="002A21AE" w:rsidP="00FA7E65">
      <w:pPr>
        <w:pStyle w:val="BodyText"/>
      </w:pPr>
      <w:r>
        <w:t xml:space="preserve">The user activates, deactivates, and edits a limited number of variables for an existing blood product site parameter. VBECS </w:t>
      </w:r>
      <w:r w:rsidR="003D3067">
        <w:t>provides.</w:t>
      </w:r>
      <w:r>
        <w:t xml:space="preserve"> an ISBT 128 Blood Product reference table to facilitate these and other actions.</w:t>
      </w:r>
      <w:r w:rsidR="002F5EE5">
        <w:t xml:space="preserve"> (See </w:t>
      </w:r>
      <w:r w:rsidR="002F5EE5" w:rsidRPr="00423A7F">
        <w:rPr>
          <w:i/>
          <w:iCs/>
        </w:rPr>
        <w:t>FAQ Blood Product Table Processes</w:t>
      </w:r>
      <w:r w:rsidR="0054074A">
        <w:t xml:space="preserve"> and </w:t>
      </w:r>
      <w:r w:rsidR="0054074A" w:rsidRPr="00423A7F">
        <w:rPr>
          <w:i/>
          <w:iCs/>
        </w:rPr>
        <w:t>FAQ Identifying a Comparable Blood Product Code</w:t>
      </w:r>
      <w:r w:rsidR="002F5EE5">
        <w:t>)</w:t>
      </w:r>
    </w:p>
    <w:p w14:paraId="7B4F414E" w14:textId="77777777" w:rsidR="002A21AE" w:rsidRDefault="002A21AE">
      <w:pPr>
        <w:pStyle w:val="Heading4"/>
      </w:pPr>
      <w:r>
        <w:t>Assumptions</w:t>
      </w:r>
    </w:p>
    <w:p w14:paraId="2A8948F8" w14:textId="77777777" w:rsidR="002A21AE" w:rsidRDefault="002A21AE">
      <w:pPr>
        <w:pStyle w:val="ListBullet"/>
      </w:pPr>
      <w:r>
        <w:t xml:space="preserve">The connection to </w:t>
      </w:r>
      <w:r w:rsidR="00CA0045" w:rsidRPr="00CA0045">
        <w:t>VistA</w:t>
      </w:r>
      <w:r>
        <w:t xml:space="preserve"> is active.</w:t>
      </w:r>
    </w:p>
    <w:p w14:paraId="6FC120D7" w14:textId="77777777" w:rsidR="002A21AE" w:rsidRDefault="002A21AE">
      <w:pPr>
        <w:pStyle w:val="ListBullet"/>
      </w:pPr>
      <w:r>
        <w:t xml:space="preserve">The user understands </w:t>
      </w:r>
      <w:r w:rsidR="00735532">
        <w:t>Healthcare Common Procedure Coding System (</w:t>
      </w:r>
      <w:r>
        <w:t>HCPCS</w:t>
      </w:r>
      <w:r w:rsidR="00735532">
        <w:t>)</w:t>
      </w:r>
      <w:r>
        <w:t xml:space="preserve"> codes. (See Additional Information.)</w:t>
      </w:r>
    </w:p>
    <w:p w14:paraId="5F15D4A2" w14:textId="77777777" w:rsidR="002A21AE" w:rsidRDefault="002A21AE">
      <w:pPr>
        <w:pStyle w:val="ListBullet"/>
      </w:pPr>
      <w:r>
        <w:rPr>
          <w:vanish/>
          <w:spacing w:val="0"/>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p w14:paraId="638B46DB" w14:textId="77777777" w:rsidR="002A21AE" w:rsidRDefault="002A21AE">
      <w:pPr>
        <w:pStyle w:val="Heading4"/>
      </w:pPr>
      <w:r>
        <w:t>Outcome</w:t>
      </w:r>
    </w:p>
    <w:p w14:paraId="712A30FF" w14:textId="77777777" w:rsidR="002A21AE" w:rsidRDefault="002A21AE">
      <w:pPr>
        <w:pStyle w:val="ListBullet"/>
      </w:pPr>
      <w:r>
        <w:t xml:space="preserve">Blood product codes are activated in the user’s division. </w:t>
      </w:r>
    </w:p>
    <w:p w14:paraId="7AA6A6FC" w14:textId="77777777" w:rsidR="002A21AE" w:rsidRDefault="002A21AE">
      <w:pPr>
        <w:pStyle w:val="ListBullet"/>
      </w:pPr>
      <w:r>
        <w:rPr>
          <w:vanish/>
          <w:spacing w:val="0"/>
        </w:rPr>
        <w:t xml:space="preserve">BR_8.07 </w:t>
      </w:r>
      <w:r>
        <w:t xml:space="preserve">Each product’s HCPCS code and its activation and deactivation dates are maintained in a permanent historical record. </w:t>
      </w:r>
    </w:p>
    <w:p w14:paraId="66611797" w14:textId="77777777" w:rsidR="002A21AE" w:rsidRDefault="002A21AE">
      <w:pPr>
        <w:pStyle w:val="Heading4"/>
      </w:pPr>
      <w:r>
        <w:t>Limitations and Restrictions</w:t>
      </w:r>
    </w:p>
    <w:p w14:paraId="35D2FA69" w14:textId="77777777" w:rsidR="002A21AE" w:rsidRDefault="002A21AE">
      <w:pPr>
        <w:pStyle w:val="ListBullet"/>
      </w:pPr>
      <w:r>
        <w:t xml:space="preserve">Blood product records distributed through VBECS are national standards. </w:t>
      </w:r>
    </w:p>
    <w:p w14:paraId="79DD5FF7" w14:textId="77777777" w:rsidR="002A21AE" w:rsidRDefault="002A21AE">
      <w:pPr>
        <w:pStyle w:val="ListBullet"/>
      </w:pPr>
      <w:r>
        <w:t>The division must have activated the valid target blood products for modification.</w:t>
      </w:r>
    </w:p>
    <w:p w14:paraId="3CB76E0F" w14:textId="77777777" w:rsidR="002A21AE" w:rsidRDefault="002A21AE" w:rsidP="00755193">
      <w:pPr>
        <w:pStyle w:val="Heading4"/>
        <w:tabs>
          <w:tab w:val="left" w:pos="3060"/>
        </w:tabs>
      </w:pPr>
      <w:r>
        <w:t>Additional Information</w:t>
      </w:r>
      <w:r w:rsidR="00755193">
        <w:tab/>
      </w:r>
    </w:p>
    <w:p w14:paraId="6405FB81" w14:textId="77777777" w:rsidR="002A21AE" w:rsidRDefault="00735532">
      <w:pPr>
        <w:pStyle w:val="ListBullet"/>
      </w:pPr>
      <w:r>
        <w:t>HCPCS</w:t>
      </w:r>
      <w:r w:rsidR="002A21AE">
        <w:t xml:space="preserve"> codes are required for medical and surgical services and supplies for the outpatient setting under the final code set standards for the Health Insurance Portability and Accountability Act of 1996 (HIPAA). See your local </w:t>
      </w:r>
      <w:r w:rsidR="002A21AE">
        <w:rPr>
          <w:szCs w:val="24"/>
        </w:rPr>
        <w:t>Current Procedural Terminology</w:t>
      </w:r>
      <w:r w:rsidR="002A21AE">
        <w:t xml:space="preserve"> (CPT) coordinator for </w:t>
      </w:r>
      <w:r w:rsidR="00E90A01">
        <w:t>additional</w:t>
      </w:r>
      <w:r w:rsidR="002A21AE">
        <w:t xml:space="preserve"> information.</w:t>
      </w:r>
    </w:p>
    <w:p w14:paraId="548E7DB2" w14:textId="77777777" w:rsidR="002A21AE" w:rsidRDefault="002A21AE">
      <w:pPr>
        <w:pStyle w:val="ListBullet"/>
      </w:pPr>
      <w:r>
        <w:rPr>
          <w:vanish/>
          <w:spacing w:val="0"/>
        </w:rPr>
        <w:t xml:space="preserve">BR_8.04 </w:t>
      </w:r>
      <w:r>
        <w:t>At least one valid shipper and product cost must be defined for each active product code in use in the division; multiple shippers may be associated with a blood product code.</w:t>
      </w:r>
    </w:p>
    <w:p w14:paraId="7978FCD6" w14:textId="77777777" w:rsidR="002A21AE" w:rsidRDefault="002A21AE">
      <w:pPr>
        <w:pStyle w:val="Heading4"/>
      </w:pPr>
      <w:r>
        <w:t>User Roles with Access to This Option</w:t>
      </w:r>
    </w:p>
    <w:p w14:paraId="3188A284" w14:textId="77777777" w:rsidR="002A21AE" w:rsidRDefault="0007426E">
      <w:pPr>
        <w:pStyle w:val="Roles"/>
      </w:pPr>
      <w:r>
        <w:t>All users</w:t>
      </w:r>
    </w:p>
    <w:p w14:paraId="61CF76B2" w14:textId="77777777" w:rsidR="002A21AE" w:rsidRDefault="002A21AE">
      <w:pPr>
        <w:pStyle w:val="Heading4"/>
      </w:pPr>
      <w:r>
        <w:t>Blood Products</w:t>
      </w:r>
    </w:p>
    <w:p w14:paraId="6F097536" w14:textId="77777777" w:rsidR="002A21AE" w:rsidRDefault="002A21AE" w:rsidP="00FA7E65">
      <w:pPr>
        <w:pStyle w:val="BodyText"/>
      </w:pPr>
      <w:r>
        <w:t>Before processing a blood unit in an incoming shipment, or activating or creating a blood unit in-house, the user identifies the shipper(s), cost, and return credit percentage for each shipper. The user also tags each product as active for use within the division and assigns a</w:t>
      </w:r>
      <w:r w:rsidR="00C43566">
        <w:t>n</w:t>
      </w:r>
      <w:r>
        <w:t xml:space="preserve"> HCPCS code to each. These are the only fields the user may edit when maintaining an existing blood product</w:t>
      </w:r>
      <w:r w:rsidR="00C816A6">
        <w:t xml:space="preserve"> code</w:t>
      </w:r>
      <w:r>
        <w:t xml:space="preserve">. </w:t>
      </w:r>
    </w:p>
    <w:p w14:paraId="58E27DB2" w14:textId="33A6C237" w:rsidR="00776377" w:rsidRDefault="002A21AE" w:rsidP="00FA7E65">
      <w:pPr>
        <w:pStyle w:val="BodyText"/>
      </w:pPr>
      <w:r>
        <w:t>A “shipper” is the facility that delivers and bills for the blood product, regardless of the facility named on the unit’s label. The facility that delivers the product to the shipper is not considered a shipper nor does it have a product cost associated with it, but it needs to be activated in the division for VBECS to interpret the unit ID. When components are modified within the division, the shipper is defined as the division. The cost may be $0.00 or other U.S. dollar value assigned by the shipper.</w:t>
      </w:r>
    </w:p>
    <w:p w14:paraId="03FCF0DB" w14:textId="77777777" w:rsidR="002A21AE" w:rsidRDefault="00776377" w:rsidP="00FA7E65">
      <w:pPr>
        <w:pStyle w:val="BodyText"/>
      </w:pPr>
      <w:r>
        <w:br w:type="page"/>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6120"/>
      </w:tblGrid>
      <w:tr w:rsidR="002A21AE" w14:paraId="33EB54C5" w14:textId="77777777">
        <w:trPr>
          <w:tblHeader/>
        </w:trPr>
        <w:tc>
          <w:tcPr>
            <w:tcW w:w="3132" w:type="dxa"/>
            <w:shd w:val="pct30" w:color="auto" w:fill="FFFFFF"/>
            <w:vAlign w:val="bottom"/>
          </w:tcPr>
          <w:p w14:paraId="19B0B736" w14:textId="77777777" w:rsidR="002A21AE" w:rsidRDefault="002A21AE">
            <w:pPr>
              <w:pStyle w:val="TableText"/>
              <w:rPr>
                <w:b/>
              </w:rPr>
            </w:pPr>
            <w:r>
              <w:rPr>
                <w:b/>
              </w:rPr>
              <w:lastRenderedPageBreak/>
              <w:t>User Action</w:t>
            </w:r>
          </w:p>
        </w:tc>
        <w:tc>
          <w:tcPr>
            <w:tcW w:w="6120" w:type="dxa"/>
            <w:shd w:val="pct30" w:color="auto" w:fill="FFFFFF"/>
            <w:vAlign w:val="bottom"/>
          </w:tcPr>
          <w:p w14:paraId="2B714831" w14:textId="77777777" w:rsidR="002A21AE" w:rsidRDefault="002A21AE">
            <w:pPr>
              <w:pStyle w:val="TableText"/>
              <w:rPr>
                <w:b/>
              </w:rPr>
            </w:pPr>
            <w:r>
              <w:rPr>
                <w:b/>
              </w:rPr>
              <w:t>VBECS</w:t>
            </w:r>
          </w:p>
        </w:tc>
      </w:tr>
      <w:tr w:rsidR="002A21AE" w14:paraId="66DC890E" w14:textId="77777777">
        <w:tc>
          <w:tcPr>
            <w:tcW w:w="3132" w:type="dxa"/>
          </w:tcPr>
          <w:p w14:paraId="661FE2A7" w14:textId="77777777" w:rsidR="002A21AE" w:rsidRDefault="002A21AE">
            <w:pPr>
              <w:pStyle w:val="TableTextNumbers"/>
            </w:pPr>
            <w:r>
              <w:t xml:space="preserve">Select </w:t>
            </w:r>
            <w:r>
              <w:rPr>
                <w:b/>
              </w:rPr>
              <w:t xml:space="preserve">Tools </w:t>
            </w:r>
            <w:r>
              <w:t>from the main menu.</w:t>
            </w:r>
          </w:p>
          <w:p w14:paraId="70471FBE" w14:textId="77777777" w:rsidR="002A21AE" w:rsidRDefault="002A21AE">
            <w:pPr>
              <w:pStyle w:val="TableTextNumbersContinued"/>
              <w:rPr>
                <w:b/>
                <w:bCs/>
              </w:rPr>
            </w:pPr>
          </w:p>
          <w:p w14:paraId="7399BE9F" w14:textId="77777777" w:rsidR="002A21AE" w:rsidRDefault="002A21AE">
            <w:pPr>
              <w:pStyle w:val="TableTextNumbersContinued"/>
              <w:rPr>
                <w:b/>
                <w:bCs/>
              </w:rPr>
            </w:pPr>
            <w:r w:rsidRPr="00FA0EEB">
              <w:rPr>
                <w:bCs/>
              </w:rPr>
              <w:t>Select</w:t>
            </w:r>
            <w:r>
              <w:rPr>
                <w:b/>
                <w:bCs/>
              </w:rPr>
              <w:t xml:space="preserve"> Blood Products</w:t>
            </w:r>
            <w:r w:rsidRPr="00FA0EEB">
              <w:rPr>
                <w:bCs/>
              </w:rPr>
              <w:t>.</w:t>
            </w:r>
          </w:p>
        </w:tc>
        <w:tc>
          <w:tcPr>
            <w:tcW w:w="6120" w:type="dxa"/>
          </w:tcPr>
          <w:p w14:paraId="6C32CAAD" w14:textId="77777777" w:rsidR="002A21AE" w:rsidRDefault="002A21AE">
            <w:pPr>
              <w:pStyle w:val="TableTextBullet"/>
            </w:pPr>
            <w:r>
              <w:t>Displays options for processing administrative functions.</w:t>
            </w:r>
          </w:p>
          <w:p w14:paraId="739644DB" w14:textId="77777777" w:rsidR="002A21AE" w:rsidRDefault="002A21AE">
            <w:pPr>
              <w:pStyle w:val="TableTextBullet"/>
            </w:pPr>
            <w:r>
              <w:t>Displays fields for entering blood product information.</w:t>
            </w:r>
          </w:p>
        </w:tc>
      </w:tr>
      <w:tr w:rsidR="002A21AE" w14:paraId="327AEE4C" w14:textId="77777777">
        <w:tc>
          <w:tcPr>
            <w:tcW w:w="3132" w:type="dxa"/>
          </w:tcPr>
          <w:p w14:paraId="3582D5E6" w14:textId="6339CABE" w:rsidR="002A21AE" w:rsidRDefault="002A21AE">
            <w:pPr>
              <w:pStyle w:val="TableTextNumbers"/>
            </w:pPr>
            <w:r>
              <w:t xml:space="preserve">To identify the product, scan or enter </w:t>
            </w:r>
            <w:r w:rsidR="00430715">
              <w:t>an</w:t>
            </w:r>
            <w:r>
              <w:t xml:space="preserve"> ISBT product code.</w:t>
            </w:r>
          </w:p>
          <w:p w14:paraId="77549D09" w14:textId="77777777" w:rsidR="002A21AE" w:rsidRDefault="002A21AE">
            <w:pPr>
              <w:pStyle w:val="TableTextNumbersContinued"/>
            </w:pPr>
          </w:p>
          <w:p w14:paraId="0419633A" w14:textId="77777777" w:rsidR="002A21AE" w:rsidRDefault="002A21AE">
            <w:pPr>
              <w:pStyle w:val="TableTextNumbersContinued"/>
            </w:pPr>
            <w:r>
              <w:t xml:space="preserve">Click the </w:t>
            </w:r>
            <w:r w:rsidR="00A6373D">
              <w:rPr>
                <w:b/>
              </w:rPr>
              <w:t>find</w:t>
            </w:r>
            <w:r w:rsidRPr="00BF2E41">
              <w:t xml:space="preserve"> button</w:t>
            </w:r>
            <w:r>
              <w:t xml:space="preserve"> to search for a product.</w:t>
            </w:r>
          </w:p>
          <w:p w14:paraId="5D004C69" w14:textId="77777777" w:rsidR="002A21AE" w:rsidRDefault="002A21AE">
            <w:pPr>
              <w:pStyle w:val="TableTextNumbersContinued"/>
            </w:pPr>
          </w:p>
          <w:p w14:paraId="6F8035A7" w14:textId="77777777" w:rsidR="002A21AE" w:rsidRDefault="002A21AE">
            <w:pPr>
              <w:pStyle w:val="TableTextNumbersContinued"/>
            </w:pPr>
            <w:r>
              <w:t>Select a product type from the drop-down Product Type list or enter a partial product name in the Partial Product Name field.</w:t>
            </w:r>
          </w:p>
          <w:p w14:paraId="24973BE2" w14:textId="77777777" w:rsidR="002A21AE" w:rsidRDefault="002A21AE">
            <w:pPr>
              <w:pStyle w:val="TableTextNumbersContinued"/>
            </w:pPr>
          </w:p>
          <w:p w14:paraId="58E11C73" w14:textId="77777777" w:rsidR="002A21AE" w:rsidRDefault="002A21AE">
            <w:pPr>
              <w:pStyle w:val="TableTextNumbersContinued"/>
            </w:pPr>
            <w:r>
              <w:t xml:space="preserve">Click </w:t>
            </w:r>
            <w:r>
              <w:rPr>
                <w:b/>
              </w:rPr>
              <w:t>Search</w:t>
            </w:r>
            <w:r>
              <w:t>.</w:t>
            </w:r>
          </w:p>
        </w:tc>
        <w:tc>
          <w:tcPr>
            <w:tcW w:w="6120" w:type="dxa"/>
          </w:tcPr>
          <w:p w14:paraId="4F0D4F54" w14:textId="77777777" w:rsidR="002A21AE" w:rsidRDefault="002A21AE">
            <w:pPr>
              <w:pStyle w:val="TableTextBullet"/>
            </w:pPr>
            <w:r>
              <w:t>Displays current blood product information.</w:t>
            </w:r>
          </w:p>
          <w:p w14:paraId="4CA92467" w14:textId="77777777" w:rsidR="002A21AE" w:rsidRDefault="002A21AE">
            <w:pPr>
              <w:pStyle w:val="TableText"/>
            </w:pPr>
          </w:p>
          <w:p w14:paraId="0FE669EC" w14:textId="2569A6AD" w:rsidR="002A21AE" w:rsidRDefault="002A21AE">
            <w:pPr>
              <w:pStyle w:val="TableText"/>
              <w:rPr>
                <w:b/>
                <w:bCs/>
                <w:szCs w:val="18"/>
              </w:rPr>
            </w:pPr>
            <w:r>
              <w:rPr>
                <w:b/>
                <w:bCs/>
                <w:szCs w:val="18"/>
              </w:rPr>
              <w:t>NOTES</w:t>
            </w:r>
          </w:p>
          <w:p w14:paraId="157A48CC" w14:textId="77777777" w:rsidR="002A21AE" w:rsidRDefault="002A21AE">
            <w:pPr>
              <w:pStyle w:val="NotesText"/>
            </w:pPr>
          </w:p>
          <w:p w14:paraId="0F476738" w14:textId="77777777" w:rsidR="002A21AE" w:rsidRDefault="002A21AE">
            <w:pPr>
              <w:pStyle w:val="NotesText"/>
            </w:pPr>
            <w:r w:rsidRPr="009660C3">
              <w:rPr>
                <w:vanish/>
                <w:szCs w:val="18"/>
              </w:rPr>
              <w:t xml:space="preserve">BR_8.12 </w:t>
            </w:r>
            <w:r>
              <w:t>When a user enters a product code</w:t>
            </w:r>
            <w:r w:rsidR="00DA09BD">
              <w:t xml:space="preserve"> that VBECS does not recognize</w:t>
            </w:r>
            <w:r>
              <w:t>, VBECS warns that the blood product was not found and that it does not support entry of new blood products.</w:t>
            </w:r>
          </w:p>
          <w:p w14:paraId="414F9028" w14:textId="77777777" w:rsidR="002A21AE" w:rsidRDefault="002A21AE">
            <w:pPr>
              <w:pStyle w:val="NotesText"/>
            </w:pPr>
          </w:p>
          <w:p w14:paraId="245A2CF1" w14:textId="77777777" w:rsidR="002A21AE" w:rsidRDefault="002A21AE">
            <w:pPr>
              <w:pStyle w:val="NotesText"/>
            </w:pPr>
            <w:r>
              <w:rPr>
                <w:b/>
                <w:bCs/>
              </w:rPr>
              <w:t>OK</w:t>
            </w:r>
            <w:r>
              <w:t xml:space="preserve"> returns the user to a blank screen to enter a different product. VBECS clears the screen. The user may enter a different product code.</w:t>
            </w:r>
            <w:r>
              <w:rPr>
                <w:rStyle w:val="CommentReference"/>
                <w:rFonts w:ascii="Times New Roman" w:hAnsi="Times New Roman"/>
                <w:vanish/>
              </w:rPr>
              <w:t xml:space="preserve"> </w:t>
            </w:r>
          </w:p>
        </w:tc>
      </w:tr>
      <w:tr w:rsidR="002A21AE" w14:paraId="00DD85F1" w14:textId="77777777">
        <w:tc>
          <w:tcPr>
            <w:tcW w:w="3132" w:type="dxa"/>
            <w:tcBorders>
              <w:bottom w:val="single" w:sz="4" w:space="0" w:color="auto"/>
            </w:tcBorders>
          </w:tcPr>
          <w:p w14:paraId="31149DCC" w14:textId="35248279" w:rsidR="002A21AE" w:rsidRDefault="002A21AE">
            <w:pPr>
              <w:pStyle w:val="TableTextNumbers"/>
            </w:pPr>
            <w:r>
              <w:t xml:space="preserve">Select a product from the Search Results list and click </w:t>
            </w:r>
            <w:r>
              <w:rPr>
                <w:b/>
                <w:bCs/>
              </w:rPr>
              <w:t>OK</w:t>
            </w:r>
            <w:r w:rsidR="00FF1B65">
              <w:rPr>
                <w:bCs/>
              </w:rPr>
              <w:t xml:space="preserve"> (</w:t>
            </w:r>
            <w:r w:rsidR="00EE455E">
              <w:t xml:space="preserve">Figure </w:t>
            </w:r>
            <w:r w:rsidR="00EE455E">
              <w:rPr>
                <w:noProof/>
              </w:rPr>
              <w:t>30</w:t>
            </w:r>
            <w:r w:rsidR="00FF1B65">
              <w:rPr>
                <w:bCs/>
              </w:rPr>
              <w:t>)</w:t>
            </w:r>
            <w:r>
              <w:t>.</w:t>
            </w:r>
          </w:p>
          <w:p w14:paraId="7EF659D2" w14:textId="77777777" w:rsidR="002A21AE" w:rsidRDefault="002A21AE">
            <w:pPr>
              <w:pStyle w:val="TableTextNumbersContinued"/>
            </w:pPr>
          </w:p>
          <w:p w14:paraId="4BE0CEC4" w14:textId="77777777" w:rsidR="002A21AE" w:rsidRDefault="002A21AE">
            <w:pPr>
              <w:pStyle w:val="TableTextNumbersContinued"/>
            </w:pPr>
            <w:r>
              <w:t>Select an HCPCS code from the drop-down HCPCS Code list or enter an HCPCS code.</w:t>
            </w:r>
          </w:p>
        </w:tc>
        <w:tc>
          <w:tcPr>
            <w:tcW w:w="6120" w:type="dxa"/>
            <w:tcBorders>
              <w:bottom w:val="single" w:sz="4" w:space="0" w:color="auto"/>
            </w:tcBorders>
          </w:tcPr>
          <w:p w14:paraId="0A690A40" w14:textId="77777777" w:rsidR="002A21AE" w:rsidRDefault="002A21AE">
            <w:pPr>
              <w:pStyle w:val="TableTextBullet"/>
            </w:pPr>
            <w:r>
              <w:t xml:space="preserve">Allows a user to enter the HCPCS code. </w:t>
            </w:r>
          </w:p>
          <w:p w14:paraId="7ABAF2F1" w14:textId="77777777" w:rsidR="002A21AE" w:rsidRDefault="002A21AE">
            <w:pPr>
              <w:pStyle w:val="TableText"/>
            </w:pPr>
          </w:p>
          <w:p w14:paraId="71070281" w14:textId="4660CEDA" w:rsidR="002A21AE" w:rsidRDefault="002A21AE">
            <w:pPr>
              <w:pStyle w:val="TableText"/>
              <w:rPr>
                <w:b/>
                <w:bCs/>
                <w:szCs w:val="18"/>
              </w:rPr>
            </w:pPr>
            <w:r>
              <w:rPr>
                <w:b/>
                <w:bCs/>
                <w:szCs w:val="18"/>
              </w:rPr>
              <w:t>NOTES</w:t>
            </w:r>
          </w:p>
          <w:p w14:paraId="34F811EA" w14:textId="77777777" w:rsidR="002A21AE" w:rsidRDefault="002A21AE">
            <w:pPr>
              <w:pStyle w:val="NotesText"/>
            </w:pPr>
          </w:p>
          <w:p w14:paraId="66A22EA8" w14:textId="77777777" w:rsidR="002A21AE" w:rsidRDefault="002A21AE">
            <w:pPr>
              <w:pStyle w:val="NotesText"/>
            </w:pPr>
            <w:r w:rsidRPr="009660C3">
              <w:rPr>
                <w:vanish/>
                <w:szCs w:val="18"/>
              </w:rPr>
              <w:t xml:space="preserve">BR_8.06 </w:t>
            </w:r>
            <w:r>
              <w:t>A blood product may have only one HCPCS code at a time.</w:t>
            </w:r>
          </w:p>
          <w:p w14:paraId="1C1201B1" w14:textId="77777777" w:rsidR="007C5D69" w:rsidRDefault="007C5D69">
            <w:pPr>
              <w:pStyle w:val="NotesText"/>
            </w:pPr>
          </w:p>
          <w:p w14:paraId="2BD40C02" w14:textId="3B23C3C6" w:rsidR="007C5D69" w:rsidRDefault="007C5D69">
            <w:pPr>
              <w:pStyle w:val="NotesText"/>
            </w:pPr>
            <w:r>
              <w:t>A user may also add a</w:t>
            </w:r>
            <w:r w:rsidR="00430715">
              <w:t>n</w:t>
            </w:r>
            <w:r>
              <w:t xml:space="preserve"> </w:t>
            </w:r>
            <w:r w:rsidRPr="007C5D69">
              <w:t>HCPCS code after the blood product code is activated.</w:t>
            </w:r>
            <w:r w:rsidR="00AB4BD9">
              <w:t xml:space="preserve"> </w:t>
            </w:r>
            <w:r w:rsidR="00AB4BD9" w:rsidRPr="00AB4BD9">
              <w:rPr>
                <w:vanish/>
              </w:rPr>
              <w:t>Defect 208150</w:t>
            </w:r>
          </w:p>
        </w:tc>
      </w:tr>
      <w:tr w:rsidR="002A21AE" w14:paraId="0B25FDF6" w14:textId="77777777">
        <w:tc>
          <w:tcPr>
            <w:tcW w:w="3132" w:type="dxa"/>
            <w:tcBorders>
              <w:bottom w:val="single" w:sz="4" w:space="0" w:color="auto"/>
            </w:tcBorders>
          </w:tcPr>
          <w:p w14:paraId="4D682087" w14:textId="77777777" w:rsidR="002A21AE" w:rsidRPr="007144AE" w:rsidRDefault="002A21AE" w:rsidP="007144AE">
            <w:pPr>
              <w:pStyle w:val="TableTextNumbers"/>
              <w:rPr>
                <w:bCs/>
              </w:rPr>
            </w:pPr>
            <w:r>
              <w:t xml:space="preserve">Select or enter product shipper information: shipper name, FDA </w:t>
            </w:r>
            <w:r w:rsidR="00B85812">
              <w:t>Registration Number</w:t>
            </w:r>
            <w:r>
              <w:t>, c</w:t>
            </w:r>
            <w:r>
              <w:rPr>
                <w:bCs/>
              </w:rPr>
              <w:t>ost, and return credit percentage.</w:t>
            </w:r>
          </w:p>
        </w:tc>
        <w:tc>
          <w:tcPr>
            <w:tcW w:w="6120" w:type="dxa"/>
            <w:tcBorders>
              <w:bottom w:val="single" w:sz="4" w:space="0" w:color="auto"/>
            </w:tcBorders>
          </w:tcPr>
          <w:p w14:paraId="2EB4BACE" w14:textId="77777777" w:rsidR="002A21AE" w:rsidRDefault="002A21AE">
            <w:pPr>
              <w:pStyle w:val="TableText"/>
            </w:pPr>
          </w:p>
          <w:p w14:paraId="666F3505" w14:textId="612BF597" w:rsidR="002A21AE" w:rsidRDefault="002A21AE">
            <w:pPr>
              <w:pStyle w:val="TableText"/>
              <w:rPr>
                <w:b/>
                <w:bCs/>
                <w:szCs w:val="18"/>
              </w:rPr>
            </w:pPr>
            <w:r>
              <w:rPr>
                <w:b/>
                <w:bCs/>
                <w:szCs w:val="18"/>
              </w:rPr>
              <w:t>NOTES</w:t>
            </w:r>
          </w:p>
          <w:p w14:paraId="5351E5E5" w14:textId="77777777" w:rsidR="002A21AE" w:rsidRDefault="002A21AE">
            <w:pPr>
              <w:pStyle w:val="NotesText"/>
            </w:pPr>
          </w:p>
          <w:p w14:paraId="07ED5D4F" w14:textId="77777777" w:rsidR="002A21AE" w:rsidRDefault="002A21AE">
            <w:pPr>
              <w:pStyle w:val="NotesText"/>
              <w:rPr>
                <w:color w:val="000000"/>
                <w:szCs w:val="18"/>
              </w:rPr>
            </w:pPr>
            <w:r w:rsidRPr="009660C3">
              <w:rPr>
                <w:vanish/>
                <w:szCs w:val="18"/>
              </w:rPr>
              <w:t xml:space="preserve">BR_8.01 </w:t>
            </w:r>
            <w:r>
              <w:t xml:space="preserve">Site parameters determine which products are active for a division. Products marked as active can be received in an incoming shipment or created in-house through modification. </w:t>
            </w:r>
          </w:p>
          <w:p w14:paraId="38214E61" w14:textId="77777777" w:rsidR="002A21AE" w:rsidRDefault="002A21AE">
            <w:pPr>
              <w:pStyle w:val="NotesText"/>
            </w:pPr>
          </w:p>
          <w:p w14:paraId="70C8BF4B" w14:textId="77777777" w:rsidR="002A21AE" w:rsidRDefault="002A21AE">
            <w:pPr>
              <w:pStyle w:val="NotesText"/>
              <w:tabs>
                <w:tab w:val="center" w:pos="3312"/>
              </w:tabs>
            </w:pPr>
            <w:r w:rsidRPr="009660C3">
              <w:rPr>
                <w:vanish/>
                <w:szCs w:val="18"/>
              </w:rPr>
              <w:t xml:space="preserve">BR_8.02 </w:t>
            </w:r>
            <w:r>
              <w:t>A user with no increased security can maintain an existing blood product for use only within the user’s current division.</w:t>
            </w:r>
            <w:r>
              <w:tab/>
            </w:r>
          </w:p>
          <w:p w14:paraId="605F9B34" w14:textId="77777777" w:rsidR="002A21AE" w:rsidRDefault="002A21AE">
            <w:pPr>
              <w:pStyle w:val="NotesText"/>
            </w:pPr>
          </w:p>
          <w:p w14:paraId="4ED1F694" w14:textId="77777777" w:rsidR="002A21AE" w:rsidRDefault="002A21AE">
            <w:pPr>
              <w:pStyle w:val="NotesText"/>
            </w:pPr>
            <w:r>
              <w:t>The return credit default is “100%.”</w:t>
            </w:r>
          </w:p>
          <w:p w14:paraId="67ED59B0" w14:textId="77777777" w:rsidR="002A21AE" w:rsidRDefault="002A21AE">
            <w:pPr>
              <w:pStyle w:val="NotesText"/>
            </w:pPr>
          </w:p>
          <w:p w14:paraId="13DCC20D" w14:textId="56FA062A" w:rsidR="002A21AE" w:rsidRDefault="002A21AE">
            <w:pPr>
              <w:pStyle w:val="NotesText"/>
            </w:pPr>
            <w:r w:rsidRPr="009660C3">
              <w:rPr>
                <w:rFonts w:cs="Arial"/>
                <w:vanish/>
                <w:color w:val="0000FF"/>
                <w:szCs w:val="18"/>
              </w:rPr>
              <w:t>BR_8.11</w:t>
            </w:r>
            <w:r w:rsidRPr="009660C3">
              <w:rPr>
                <w:vanish/>
                <w:szCs w:val="18"/>
              </w:rPr>
              <w:t xml:space="preserve"> </w:t>
            </w:r>
            <w:r w:rsidR="00CC5FE9">
              <w:t xml:space="preserve">In order to inactivate a product shipper, all units via that shipper must be in a final status (or inactivated). </w:t>
            </w:r>
            <w:r w:rsidR="00276D7F">
              <w:t>Contact the Service Desk if you would like a list of units linked to the product shipper you want to inactivate.</w:t>
            </w:r>
          </w:p>
          <w:p w14:paraId="50CB63A8" w14:textId="25BAFB2D" w:rsidR="00EA7FA8" w:rsidRDefault="00EA7FA8">
            <w:pPr>
              <w:pStyle w:val="NotesText"/>
            </w:pPr>
          </w:p>
          <w:p w14:paraId="1796B18C" w14:textId="07407507" w:rsidR="00EA7FA8" w:rsidRDefault="00EA7FA8" w:rsidP="00EA7FA8">
            <w:pPr>
              <w:pStyle w:val="NotesText"/>
            </w:pPr>
            <w:r w:rsidRPr="00EA7FA8">
              <w:rPr>
                <w:vanish/>
              </w:rPr>
              <w:t>BR_8.13</w:t>
            </w:r>
            <w:r>
              <w:t>User role Traditional Supervisor or higher</w:t>
            </w:r>
            <w:r>
              <w:rPr>
                <w:rFonts w:cs="Arial"/>
              </w:rPr>
              <w:t xml:space="preserve"> can override the default Maximum Storage Time of ISBT-128 blood products. This change is shown in the Audit Trail Report.</w:t>
            </w:r>
          </w:p>
        </w:tc>
      </w:tr>
      <w:tr w:rsidR="002A21AE" w14:paraId="2487F159" w14:textId="77777777">
        <w:tc>
          <w:tcPr>
            <w:tcW w:w="3132" w:type="dxa"/>
            <w:tcBorders>
              <w:bottom w:val="single" w:sz="4" w:space="0" w:color="auto"/>
            </w:tcBorders>
          </w:tcPr>
          <w:p w14:paraId="4B8C7F63" w14:textId="77777777" w:rsidR="002A21AE" w:rsidRDefault="002A21AE">
            <w:pPr>
              <w:pStyle w:val="TableTextNumbers"/>
            </w:pPr>
            <w:r>
              <w:t xml:space="preserve">Repeat Steps 3 and 4 for each selected product’s shipper and for other products. </w:t>
            </w:r>
          </w:p>
        </w:tc>
        <w:tc>
          <w:tcPr>
            <w:tcW w:w="6120" w:type="dxa"/>
            <w:tcBorders>
              <w:bottom w:val="single" w:sz="4" w:space="0" w:color="auto"/>
            </w:tcBorders>
          </w:tcPr>
          <w:p w14:paraId="67FFDB92" w14:textId="77777777" w:rsidR="002A21AE" w:rsidRDefault="002A21AE">
            <w:pPr>
              <w:pStyle w:val="TableTextBullet"/>
            </w:pPr>
            <w:r>
              <w:t>Displays the information entered.</w:t>
            </w:r>
          </w:p>
          <w:p w14:paraId="5D974B60" w14:textId="77777777" w:rsidR="002A21AE" w:rsidRDefault="002A21AE">
            <w:pPr>
              <w:pStyle w:val="TableTextBullet"/>
            </w:pPr>
            <w:r>
              <w:t>Requests confirmation to update the database.</w:t>
            </w:r>
          </w:p>
          <w:p w14:paraId="10338BD4" w14:textId="77777777" w:rsidR="002A21AE" w:rsidRDefault="002A21AE">
            <w:pPr>
              <w:pStyle w:val="TableTextBullet"/>
            </w:pPr>
            <w:r>
              <w:t>Updates the database or warns the user with no override for discrepancies.</w:t>
            </w:r>
          </w:p>
        </w:tc>
      </w:tr>
      <w:tr w:rsidR="002A21AE" w14:paraId="1C97D070" w14:textId="77777777">
        <w:tc>
          <w:tcPr>
            <w:tcW w:w="3132" w:type="dxa"/>
            <w:tcBorders>
              <w:bottom w:val="single" w:sz="4" w:space="0" w:color="auto"/>
            </w:tcBorders>
          </w:tcPr>
          <w:p w14:paraId="0E42B90E"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30C1F9C5" w14:textId="77777777" w:rsidR="002A21AE" w:rsidRDefault="002A21AE">
            <w:pPr>
              <w:pStyle w:val="NotesText"/>
            </w:pPr>
          </w:p>
        </w:tc>
      </w:tr>
    </w:tbl>
    <w:p w14:paraId="07241250" w14:textId="77777777" w:rsidR="002A21AE" w:rsidRDefault="002A21AE">
      <w:pPr>
        <w:pStyle w:val="BodyText"/>
      </w:pPr>
    </w:p>
    <w:p w14:paraId="0DDF2E54" w14:textId="6F5B8E24" w:rsidR="00FF1B65" w:rsidRDefault="00FF1B65" w:rsidP="00FF1B65">
      <w:pPr>
        <w:pStyle w:val="Caption"/>
      </w:pPr>
      <w:bookmarkStart w:id="180" w:name="_Ref126471445"/>
      <w:bookmarkStart w:id="181" w:name="_Toc6368038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31</w:t>
      </w:r>
      <w:r w:rsidR="004E20BD">
        <w:rPr>
          <w:noProof/>
        </w:rPr>
        <w:fldChar w:fldCharType="end"/>
      </w:r>
      <w:bookmarkEnd w:id="180"/>
      <w:r>
        <w:t xml:space="preserve">: </w:t>
      </w:r>
      <w:r w:rsidR="00954B38">
        <w:t xml:space="preserve">Example of </w:t>
      </w:r>
      <w:r>
        <w:t>Maintain Blood Products</w:t>
      </w:r>
    </w:p>
    <w:p w14:paraId="460106E2" w14:textId="2A202998" w:rsidR="0066425F" w:rsidRDefault="005C6D50" w:rsidP="0066425F">
      <w:pPr>
        <w:pStyle w:val="BodyText"/>
      </w:pPr>
      <w:r>
        <w:rPr>
          <w:noProof/>
        </w:rPr>
        <w:drawing>
          <wp:inline distT="0" distB="0" distL="0" distR="0" wp14:anchorId="52460EC3" wp14:editId="123D6119">
            <wp:extent cx="5941060" cy="3218815"/>
            <wp:effectExtent l="0" t="0" r="2540" b="635"/>
            <wp:docPr id="40" name="Picture 40" descr="Example of Maintain Blood Produc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xample of Maintain Blood Products screen capt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1060" cy="3218815"/>
                    </a:xfrm>
                    <a:prstGeom prst="rect">
                      <a:avLst/>
                    </a:prstGeom>
                    <a:noFill/>
                    <a:ln>
                      <a:noFill/>
                    </a:ln>
                  </pic:spPr>
                </pic:pic>
              </a:graphicData>
            </a:graphic>
          </wp:inline>
        </w:drawing>
      </w:r>
      <w:r w:rsidR="00FF1B65">
        <w:t xml:space="preserve"> </w:t>
      </w:r>
    </w:p>
    <w:p w14:paraId="3071F90C" w14:textId="77777777" w:rsidR="002A21AE" w:rsidRDefault="003A2D61" w:rsidP="00A6079E">
      <w:pPr>
        <w:pStyle w:val="Heading2"/>
      </w:pPr>
      <w:r>
        <w:br w:type="page"/>
      </w:r>
      <w:bookmarkStart w:id="182" w:name="_Toc163644893"/>
      <w:r w:rsidR="002A21AE">
        <w:lastRenderedPageBreak/>
        <w:t>Antibodies</w:t>
      </w:r>
      <w:bookmarkEnd w:id="181"/>
      <w:bookmarkEnd w:id="182"/>
      <w:r w:rsidR="002A21AE" w:rsidRPr="00C74523">
        <w:rPr>
          <w:vanish/>
        </w:rPr>
        <w:fldChar w:fldCharType="begin"/>
      </w:r>
      <w:r w:rsidR="002A21AE" w:rsidRPr="00C74523">
        <w:rPr>
          <w:vanish/>
        </w:rPr>
        <w:instrText xml:space="preserve"> XE </w:instrText>
      </w:r>
      <w:r w:rsidR="00FA7E65" w:rsidRPr="00C74523">
        <w:rPr>
          <w:vanish/>
        </w:rPr>
        <w:instrText>“</w:instrText>
      </w:r>
      <w:r w:rsidR="002A21AE" w:rsidRPr="00C74523">
        <w:rPr>
          <w:vanish/>
        </w:rPr>
        <w:instrText>Antibodies</w:instrText>
      </w:r>
      <w:r w:rsidR="00FA7E65" w:rsidRPr="00C74523">
        <w:rPr>
          <w:vanish/>
        </w:rPr>
        <w:instrText>”</w:instrText>
      </w:r>
      <w:r w:rsidR="002A21AE" w:rsidRPr="00C74523">
        <w:rPr>
          <w:vanish/>
        </w:rPr>
        <w:instrText xml:space="preserve"> </w:instrText>
      </w:r>
      <w:r w:rsidR="002A21AE" w:rsidRPr="00C74523">
        <w:rPr>
          <w:vanish/>
        </w:rPr>
        <w:fldChar w:fldCharType="end"/>
      </w:r>
      <w:r w:rsidR="002A21AE" w:rsidRPr="00C74523">
        <w:rPr>
          <w:vanish/>
        </w:rPr>
        <w:t xml:space="preserve"> </w:t>
      </w:r>
      <w:r w:rsidR="002A21AE" w:rsidRPr="00C74523">
        <w:rPr>
          <w:rFonts w:ascii="Arial Bold" w:hAnsi="Arial Bold"/>
          <w:vanish/>
        </w:rPr>
        <w:t>UC_23</w:t>
      </w:r>
    </w:p>
    <w:p w14:paraId="1F6C1F3F" w14:textId="77777777" w:rsidR="002A21AE" w:rsidRDefault="002A21AE" w:rsidP="00FA7E65">
      <w:pPr>
        <w:pStyle w:val="BodyText"/>
      </w:pPr>
      <w:r>
        <w:t>The user edit</w:t>
      </w:r>
      <w:r w:rsidR="00657A5C">
        <w:t xml:space="preserve">s </w:t>
      </w:r>
      <w:r>
        <w:t>certain fields in the supplied antibody table.</w:t>
      </w:r>
    </w:p>
    <w:p w14:paraId="11F77E38" w14:textId="77777777" w:rsidR="002A21AE" w:rsidRDefault="002A21AE">
      <w:pPr>
        <w:pStyle w:val="Heading4"/>
      </w:pPr>
      <w:r>
        <w:t xml:space="preserve">Assumptions </w:t>
      </w:r>
    </w:p>
    <w:p w14:paraId="5EB1E503" w14:textId="77777777" w:rsidR="002A21AE" w:rsidRDefault="002A21AE">
      <w:pPr>
        <w:pStyle w:val="ListBullet"/>
      </w:pPr>
      <w:r>
        <w:t>VBECS is configured to reflect antibody reference parameters. Only some of these parameters may be changed locally.</w:t>
      </w:r>
    </w:p>
    <w:p w14:paraId="69AB868B" w14:textId="77777777" w:rsidR="002A21AE" w:rsidRDefault="002A21AE">
      <w:pPr>
        <w:pStyle w:val="ListBullet"/>
      </w:pPr>
      <w:r>
        <w:t>The default settings are enforced without user interaction.</w:t>
      </w:r>
    </w:p>
    <w:p w14:paraId="74557642" w14:textId="77777777" w:rsidR="002A21AE" w:rsidRDefault="002A21AE">
      <w:pPr>
        <w:pStyle w:val="Heading4"/>
      </w:pPr>
      <w:r>
        <w:t>Outcome</w:t>
      </w:r>
    </w:p>
    <w:p w14:paraId="0DA6B42C" w14:textId="77777777" w:rsidR="002A21AE" w:rsidRDefault="002A21AE">
      <w:pPr>
        <w:pStyle w:val="ListBullet"/>
      </w:pPr>
      <w:r>
        <w:t xml:space="preserve">Each division has a populated antibody table whether or not the user makes any edits. </w:t>
      </w:r>
    </w:p>
    <w:p w14:paraId="4F5AA891" w14:textId="77777777" w:rsidR="002A21AE" w:rsidRDefault="002A21AE">
      <w:pPr>
        <w:pStyle w:val="Heading4"/>
      </w:pPr>
      <w:r>
        <w:t>Limitations and Restrictions</w:t>
      </w:r>
    </w:p>
    <w:p w14:paraId="64019F6F" w14:textId="77777777" w:rsidR="002A21AE" w:rsidRDefault="002A21AE">
      <w:pPr>
        <w:pStyle w:val="ListBullet"/>
      </w:pPr>
      <w:r>
        <w:t>None</w:t>
      </w:r>
    </w:p>
    <w:p w14:paraId="2D4E6095" w14:textId="77777777" w:rsidR="002A21AE" w:rsidRDefault="002A21AE">
      <w:pPr>
        <w:pStyle w:val="Heading4"/>
      </w:pPr>
      <w:r>
        <w:t>Additional Information</w:t>
      </w:r>
    </w:p>
    <w:p w14:paraId="32DC0640" w14:textId="0CAC4ADF" w:rsidR="002A21AE" w:rsidRDefault="002A21AE">
      <w:pPr>
        <w:pStyle w:val="ListBullet"/>
      </w:pPr>
      <w:r>
        <w:t xml:space="preserve">The </w:t>
      </w:r>
      <w:r w:rsidR="007F7AC7">
        <w:t>antibody table</w:t>
      </w:r>
      <w:r>
        <w:t xml:space="preserve"> define</w:t>
      </w:r>
      <w:r w:rsidR="005321B0">
        <w:t>s</w:t>
      </w:r>
      <w:r>
        <w:t xml:space="preserve"> an antigen negative requirement for all instances of the antibody for all patients in the division. When an antibody specificity does not generally require antigen negative blood but a patient has a unique appearance of that antibody </w:t>
      </w:r>
      <w:r w:rsidR="005321B0">
        <w:t xml:space="preserve">that </w:t>
      </w:r>
      <w:r>
        <w:t>require</w:t>
      </w:r>
      <w:r w:rsidR="004547A0">
        <w:t>s</w:t>
      </w:r>
      <w:r>
        <w:t xml:space="preserve"> antigen negative blood, the user may enter the antigen negative requirement for that patient in Special Instructions &amp; Transfusion Requirements: Enter a Transfusion Requirement.</w:t>
      </w:r>
    </w:p>
    <w:p w14:paraId="3DE8A216" w14:textId="77777777" w:rsidR="002A21AE" w:rsidRDefault="002A21AE">
      <w:pPr>
        <w:pStyle w:val="Heading4"/>
      </w:pPr>
      <w:r>
        <w:t>User Roles with Access to This Option</w:t>
      </w:r>
    </w:p>
    <w:p w14:paraId="209F01DB" w14:textId="77777777" w:rsidR="002A21AE" w:rsidRDefault="00A91BAF">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0F16FC90" w14:textId="77777777" w:rsidR="002A21AE" w:rsidRDefault="002A21AE">
      <w:pPr>
        <w:pStyle w:val="Heading4"/>
      </w:pPr>
      <w:r>
        <w:t>Antibodies</w:t>
      </w:r>
    </w:p>
    <w:p w14:paraId="7FE3D728" w14:textId="77777777" w:rsidR="002A21AE" w:rsidRDefault="002A21AE" w:rsidP="00FA7E65">
      <w:pPr>
        <w:pStyle w:val="BodyText"/>
      </w:pPr>
      <w:r>
        <w:t xml:space="preserve">The user chooses to edit the system-supplied blood antibody table. The Compatibility Percentage field is fully editable </w:t>
      </w:r>
      <w:r w:rsidR="00F276FF">
        <w:t xml:space="preserve">(except for ABO antibodies and anti-D) </w:t>
      </w:r>
      <w:r>
        <w:t>to allow facilities to reflect local populations. The user may edit only the Clinically Significant entries initially exported as “No.”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F01278A" w14:textId="77777777">
        <w:trPr>
          <w:tblHeader/>
        </w:trPr>
        <w:tc>
          <w:tcPr>
            <w:tcW w:w="3240" w:type="dxa"/>
            <w:shd w:val="pct30" w:color="auto" w:fill="FFFFFF"/>
            <w:vAlign w:val="bottom"/>
          </w:tcPr>
          <w:p w14:paraId="62C2183C" w14:textId="77777777" w:rsidR="002A21AE" w:rsidRDefault="002A21AE">
            <w:pPr>
              <w:pStyle w:val="TableText"/>
              <w:rPr>
                <w:b/>
              </w:rPr>
            </w:pPr>
            <w:r>
              <w:rPr>
                <w:b/>
              </w:rPr>
              <w:t>User Action</w:t>
            </w:r>
          </w:p>
        </w:tc>
        <w:tc>
          <w:tcPr>
            <w:tcW w:w="6120" w:type="dxa"/>
            <w:shd w:val="pct30" w:color="auto" w:fill="FFFFFF"/>
            <w:vAlign w:val="bottom"/>
          </w:tcPr>
          <w:p w14:paraId="4B2895A1" w14:textId="77777777" w:rsidR="002A21AE" w:rsidRDefault="002A21AE">
            <w:pPr>
              <w:pStyle w:val="TableText"/>
              <w:rPr>
                <w:b/>
              </w:rPr>
            </w:pPr>
            <w:r>
              <w:rPr>
                <w:b/>
              </w:rPr>
              <w:t>VBECS</w:t>
            </w:r>
          </w:p>
        </w:tc>
      </w:tr>
      <w:tr w:rsidR="002A21AE" w14:paraId="4D14B97C" w14:textId="77777777">
        <w:tc>
          <w:tcPr>
            <w:tcW w:w="3240" w:type="dxa"/>
          </w:tcPr>
          <w:p w14:paraId="1A56C21C" w14:textId="77777777" w:rsidR="002A21AE" w:rsidRDefault="002A21AE">
            <w:pPr>
              <w:pStyle w:val="TableTextNumbers"/>
            </w:pPr>
            <w:r>
              <w:t xml:space="preserve">Select </w:t>
            </w:r>
            <w:r>
              <w:rPr>
                <w:b/>
              </w:rPr>
              <w:t>Tools</w:t>
            </w:r>
            <w:r>
              <w:t xml:space="preserve"> from the main menu. </w:t>
            </w:r>
          </w:p>
          <w:p w14:paraId="0D617215" w14:textId="77777777" w:rsidR="002A21AE" w:rsidRDefault="002A21AE">
            <w:pPr>
              <w:pStyle w:val="TableTextNumbersContinued"/>
            </w:pPr>
          </w:p>
          <w:p w14:paraId="6E625529" w14:textId="77777777" w:rsidR="002A21AE" w:rsidRDefault="002A21AE">
            <w:pPr>
              <w:pStyle w:val="TableTextNumbersContinued"/>
            </w:pPr>
            <w:r>
              <w:t xml:space="preserve">Select </w:t>
            </w:r>
            <w:r>
              <w:rPr>
                <w:b/>
              </w:rPr>
              <w:t>Antibodies</w:t>
            </w:r>
            <w:r>
              <w:t>.</w:t>
            </w:r>
          </w:p>
        </w:tc>
        <w:tc>
          <w:tcPr>
            <w:tcW w:w="6120" w:type="dxa"/>
          </w:tcPr>
          <w:p w14:paraId="4D69F550" w14:textId="77777777" w:rsidR="002A21AE" w:rsidRDefault="002A21AE">
            <w:pPr>
              <w:pStyle w:val="TableTextBullet"/>
            </w:pPr>
            <w:r>
              <w:t>Displays options for processing administrative functions.</w:t>
            </w:r>
          </w:p>
          <w:p w14:paraId="74F4DBCB" w14:textId="77777777" w:rsidR="002A21AE" w:rsidRDefault="002A21AE">
            <w:pPr>
              <w:pStyle w:val="TableTextBullet"/>
            </w:pPr>
            <w:r>
              <w:t>Lists available antibodies based on the system-supplied table.</w:t>
            </w:r>
          </w:p>
          <w:p w14:paraId="70A103DD" w14:textId="77777777" w:rsidR="002A21AE" w:rsidRDefault="002A21AE">
            <w:pPr>
              <w:pStyle w:val="TableText"/>
            </w:pPr>
          </w:p>
          <w:p w14:paraId="6C1E1EB5" w14:textId="6E798B47" w:rsidR="002A21AE" w:rsidRDefault="002A21AE">
            <w:pPr>
              <w:pStyle w:val="TableText"/>
              <w:rPr>
                <w:b/>
                <w:bCs/>
                <w:szCs w:val="18"/>
              </w:rPr>
            </w:pPr>
            <w:r>
              <w:rPr>
                <w:b/>
                <w:bCs/>
                <w:szCs w:val="18"/>
              </w:rPr>
              <w:t>NOTES</w:t>
            </w:r>
          </w:p>
          <w:p w14:paraId="5A8CF578" w14:textId="77777777" w:rsidR="002A21AE" w:rsidRDefault="002A21AE">
            <w:pPr>
              <w:pStyle w:val="NotesText"/>
            </w:pPr>
          </w:p>
          <w:p w14:paraId="6CB1F633" w14:textId="5659E1EE" w:rsidR="002A21AE" w:rsidRDefault="002A21AE">
            <w:pPr>
              <w:pStyle w:val="NotesText"/>
            </w:pPr>
            <w:r>
              <w:t xml:space="preserve">See </w:t>
            </w:r>
            <w:r w:rsidR="00EE455E">
              <w:t xml:space="preserve">Appendix </w:t>
            </w:r>
            <w:r w:rsidR="00EE455E">
              <w:rPr>
                <w:noProof/>
              </w:rPr>
              <w:t>B</w:t>
            </w:r>
            <w:r>
              <w:t xml:space="preserve">: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t>.</w:t>
            </w:r>
          </w:p>
          <w:p w14:paraId="023EFB2A" w14:textId="77777777" w:rsidR="002A21AE" w:rsidRDefault="002A21AE">
            <w:pPr>
              <w:pStyle w:val="NotesText"/>
            </w:pPr>
          </w:p>
          <w:p w14:paraId="45363ED1" w14:textId="77777777" w:rsidR="002A21AE" w:rsidRDefault="002A21AE">
            <w:pPr>
              <w:pStyle w:val="NotesText"/>
            </w:pPr>
            <w:r w:rsidRPr="009660C3">
              <w:rPr>
                <w:vanish/>
                <w:szCs w:val="18"/>
              </w:rPr>
              <w:t xml:space="preserve">BR_31.07 </w:t>
            </w:r>
            <w:r>
              <w:t>The table’s presentation order is predefined at implementation and may not be sorted.</w:t>
            </w:r>
          </w:p>
        </w:tc>
      </w:tr>
      <w:tr w:rsidR="002A21AE" w14:paraId="222B47C8" w14:textId="77777777" w:rsidTr="007E500E">
        <w:trPr>
          <w:cantSplit/>
        </w:trPr>
        <w:tc>
          <w:tcPr>
            <w:tcW w:w="3240" w:type="dxa"/>
          </w:tcPr>
          <w:p w14:paraId="2F1CA78F" w14:textId="420F0E14" w:rsidR="002A21AE" w:rsidRDefault="002A21AE">
            <w:pPr>
              <w:pStyle w:val="TableTextNumbers"/>
            </w:pPr>
            <w:r>
              <w:lastRenderedPageBreak/>
              <w:t xml:space="preserve">Select the antibody, edit each field, and click </w:t>
            </w:r>
            <w:r>
              <w:rPr>
                <w:b/>
              </w:rPr>
              <w:t>Update</w:t>
            </w:r>
            <w:r w:rsidR="006E74F2" w:rsidRPr="006E74F2">
              <w:t xml:space="preserve"> </w:t>
            </w:r>
            <w:r w:rsidR="006E74F2">
              <w:t>(</w:t>
            </w:r>
            <w:r w:rsidR="00EE455E">
              <w:t xml:space="preserve">Figure </w:t>
            </w:r>
            <w:r w:rsidR="00EE455E">
              <w:rPr>
                <w:noProof/>
              </w:rPr>
              <w:t>31</w:t>
            </w:r>
            <w:r w:rsidR="006E74F2">
              <w:t>)</w:t>
            </w:r>
            <w:r w:rsidRPr="00B65BA7">
              <w:t xml:space="preserve">. </w:t>
            </w:r>
          </w:p>
        </w:tc>
        <w:tc>
          <w:tcPr>
            <w:tcW w:w="6120" w:type="dxa"/>
          </w:tcPr>
          <w:p w14:paraId="7954E6CC" w14:textId="77777777" w:rsidR="002A21AE" w:rsidRDefault="002A21AE">
            <w:pPr>
              <w:pStyle w:val="TableTextBullet"/>
            </w:pPr>
            <w:r>
              <w:t>Displays data and allows the user to edit them.</w:t>
            </w:r>
          </w:p>
          <w:p w14:paraId="492715BF" w14:textId="79A7201B" w:rsidR="002A21AE" w:rsidRDefault="002A21AE" w:rsidP="005321B0">
            <w:pPr>
              <w:pStyle w:val="TableTextBullet"/>
            </w:pPr>
            <w:r>
              <w:t>Accommodates data entry</w:t>
            </w:r>
            <w:r w:rsidR="00D037D5">
              <w:t xml:space="preserve"> of whole numbers</w:t>
            </w:r>
            <w:r w:rsidR="005321B0">
              <w:t xml:space="preserve"> </w:t>
            </w:r>
            <w:r w:rsidR="000F2235">
              <w:t xml:space="preserve">(0–100) </w:t>
            </w:r>
            <w:r w:rsidR="005321B0">
              <w:t xml:space="preserve">and </w:t>
            </w:r>
            <w:r>
              <w:t>edit of the</w:t>
            </w:r>
            <w:r w:rsidR="005321B0">
              <w:t xml:space="preserve"> </w:t>
            </w:r>
            <w:r w:rsidR="000F2235">
              <w:t xml:space="preserve">Antigen Negative </w:t>
            </w:r>
            <w:r w:rsidR="005321B0">
              <w:t>C</w:t>
            </w:r>
            <w:r>
              <w:t xml:space="preserve">ompatibility </w:t>
            </w:r>
            <w:r w:rsidR="005321B0">
              <w:t>P</w:t>
            </w:r>
            <w:r>
              <w:t xml:space="preserve">ercentage </w:t>
            </w:r>
            <w:r w:rsidR="005321B0">
              <w:t xml:space="preserve">and </w:t>
            </w:r>
            <w:r w:rsidR="00435F15">
              <w:t>Higher-Level O</w:t>
            </w:r>
            <w:r>
              <w:t xml:space="preserve">verride </w:t>
            </w:r>
            <w:r w:rsidR="005321B0">
              <w:t>fields.</w:t>
            </w:r>
            <w:r w:rsidR="00EE3F5F">
              <w:t xml:space="preserve"> The user may not edit field</w:t>
            </w:r>
            <w:r w:rsidR="009363FF">
              <w:t>s</w:t>
            </w:r>
            <w:r w:rsidR="00EE3F5F">
              <w:t xml:space="preserve"> </w:t>
            </w:r>
            <w:r w:rsidR="007A3914">
              <w:t xml:space="preserve">displayed </w:t>
            </w:r>
            <w:r w:rsidR="00EE3F5F">
              <w:t>on a gray background.</w:t>
            </w:r>
            <w:r w:rsidR="00B72A6B">
              <w:t xml:space="preserve"> </w:t>
            </w:r>
            <w:r w:rsidR="00B72A6B" w:rsidRPr="00B72A6B">
              <w:rPr>
                <w:vanish/>
              </w:rPr>
              <w:t>Defect 208774</w:t>
            </w:r>
          </w:p>
          <w:p w14:paraId="7B7A211E" w14:textId="77777777" w:rsidR="002A21AE" w:rsidRDefault="002A21AE">
            <w:pPr>
              <w:pStyle w:val="TableText"/>
            </w:pPr>
          </w:p>
          <w:p w14:paraId="175568D9" w14:textId="47E11270" w:rsidR="002A21AE" w:rsidRDefault="002A21AE">
            <w:pPr>
              <w:pStyle w:val="TableText"/>
              <w:rPr>
                <w:b/>
                <w:bCs/>
                <w:szCs w:val="18"/>
              </w:rPr>
            </w:pPr>
            <w:r>
              <w:rPr>
                <w:b/>
                <w:bCs/>
                <w:szCs w:val="18"/>
              </w:rPr>
              <w:t>NOTES</w:t>
            </w:r>
          </w:p>
          <w:p w14:paraId="42A40481" w14:textId="77777777" w:rsidR="002A21AE" w:rsidRDefault="002A21AE">
            <w:pPr>
              <w:pStyle w:val="NotesText"/>
            </w:pPr>
          </w:p>
          <w:p w14:paraId="294DA121" w14:textId="15EE8833" w:rsidR="002A21AE" w:rsidRDefault="002A21AE">
            <w:pPr>
              <w:pStyle w:val="NotesText"/>
            </w:pPr>
            <w:r>
              <w:rPr>
                <w:rFonts w:cs="Arial"/>
                <w:vanish/>
              </w:rPr>
              <w:t xml:space="preserve">BR_23.01 </w:t>
            </w:r>
            <w:r>
              <w:t xml:space="preserve">When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t xml:space="preserve"> “antibody sets an antigen negative requirement” field is defined as REQ (required) at installation, it is not editable. When the default settings </w:t>
            </w:r>
            <w:r w:rsidR="00702CFB">
              <w:t>are</w:t>
            </w:r>
            <w:r>
              <w:t xml:space="preserve"> OPT (optional), the user may change the name to REQ at any time and it will remain editable. </w:t>
            </w:r>
          </w:p>
        </w:tc>
      </w:tr>
      <w:tr w:rsidR="002A21AE" w14:paraId="1A7AE4FB" w14:textId="77777777">
        <w:tc>
          <w:tcPr>
            <w:tcW w:w="3240" w:type="dxa"/>
          </w:tcPr>
          <w:p w14:paraId="716D807F" w14:textId="77777777" w:rsidR="002A21AE" w:rsidRDefault="002A21AE">
            <w:pPr>
              <w:pStyle w:val="TableTextNumbers"/>
            </w:pPr>
            <w:r>
              <w:t xml:space="preserve">Repeat for each antibody to be edited. </w:t>
            </w:r>
          </w:p>
        </w:tc>
        <w:tc>
          <w:tcPr>
            <w:tcW w:w="6120" w:type="dxa"/>
          </w:tcPr>
          <w:p w14:paraId="10E774DC" w14:textId="77777777" w:rsidR="002A21AE" w:rsidRDefault="002A21AE">
            <w:pPr>
              <w:pStyle w:val="TableText"/>
            </w:pPr>
          </w:p>
        </w:tc>
      </w:tr>
      <w:tr w:rsidR="002A21AE" w14:paraId="3B873311" w14:textId="77777777">
        <w:tc>
          <w:tcPr>
            <w:tcW w:w="3240" w:type="dxa"/>
          </w:tcPr>
          <w:p w14:paraId="77AF287A" w14:textId="77777777" w:rsidR="002A21AE" w:rsidRDefault="002A21AE">
            <w:pPr>
              <w:pStyle w:val="TableTextNumbers"/>
            </w:pPr>
            <w:r>
              <w:t xml:space="preserve">Click </w:t>
            </w:r>
            <w:r>
              <w:rPr>
                <w:b/>
              </w:rPr>
              <w:t>OK</w:t>
            </w:r>
            <w:r>
              <w:t xml:space="preserve"> and </w:t>
            </w:r>
            <w:r>
              <w:rPr>
                <w:b/>
              </w:rPr>
              <w:t>Yes</w:t>
            </w:r>
            <w:r>
              <w:t xml:space="preserve"> to confirm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5B0D279" w14:textId="77777777" w:rsidR="002A21AE" w:rsidRDefault="002A21AE">
            <w:pPr>
              <w:pStyle w:val="TableText"/>
            </w:pPr>
          </w:p>
        </w:tc>
      </w:tr>
    </w:tbl>
    <w:p w14:paraId="4CBED51D" w14:textId="5682C1CC" w:rsidR="006E74F2" w:rsidRDefault="006E74F2" w:rsidP="006E74F2">
      <w:pPr>
        <w:pStyle w:val="Caption"/>
      </w:pPr>
      <w:bookmarkStart w:id="183" w:name="_Ref1264716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32</w:t>
      </w:r>
      <w:r w:rsidR="004E20BD">
        <w:rPr>
          <w:noProof/>
        </w:rPr>
        <w:fldChar w:fldCharType="end"/>
      </w:r>
      <w:bookmarkEnd w:id="183"/>
      <w:r>
        <w:t>: Maintain Antibodies</w:t>
      </w:r>
    </w:p>
    <w:p w14:paraId="50028D61" w14:textId="77777777" w:rsidR="002A21AE" w:rsidRDefault="00057948">
      <w:pPr>
        <w:pStyle w:val="BodyText"/>
      </w:pPr>
      <w:r>
        <w:rPr>
          <w:noProof/>
        </w:rPr>
        <w:drawing>
          <wp:inline distT="0" distB="0" distL="0" distR="0" wp14:anchorId="5ECC81AD" wp14:editId="07ADCAD2">
            <wp:extent cx="3546475" cy="2835275"/>
            <wp:effectExtent l="0" t="0" r="0" b="3175"/>
            <wp:docPr id="134" name="Picture 134" descr="Example of Maintain Antibodi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Example of Maintain Antibodies screen capt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46475" cy="2835275"/>
                    </a:xfrm>
                    <a:prstGeom prst="rect">
                      <a:avLst/>
                    </a:prstGeom>
                    <a:noFill/>
                    <a:ln>
                      <a:noFill/>
                    </a:ln>
                  </pic:spPr>
                </pic:pic>
              </a:graphicData>
            </a:graphic>
          </wp:inline>
        </w:drawing>
      </w:r>
    </w:p>
    <w:p w14:paraId="0CF6A5E5" w14:textId="77777777" w:rsidR="002A21AE" w:rsidRDefault="00AF089A" w:rsidP="00A6079E">
      <w:pPr>
        <w:pStyle w:val="Heading2"/>
      </w:pPr>
      <w:bookmarkStart w:id="184" w:name="_Toc63680390"/>
      <w:r>
        <w:br w:type="page"/>
      </w:r>
      <w:bookmarkStart w:id="185" w:name="_Toc163644894"/>
      <w:r w:rsidR="002A21AE">
        <w:lastRenderedPageBreak/>
        <w:t>Canned Comments</w:t>
      </w:r>
      <w:bookmarkEnd w:id="184"/>
      <w:bookmarkEnd w:id="185"/>
      <w:r w:rsidR="002A21AE" w:rsidRPr="00C74523">
        <w:rPr>
          <w:vanish/>
        </w:rPr>
        <w:fldChar w:fldCharType="begin"/>
      </w:r>
      <w:r w:rsidR="002A21AE" w:rsidRPr="00C74523">
        <w:rPr>
          <w:vanish/>
        </w:rPr>
        <w:instrText xml:space="preserve"> XE </w:instrText>
      </w:r>
      <w:r w:rsidR="00FA7E65" w:rsidRPr="00C74523">
        <w:rPr>
          <w:vanish/>
        </w:rPr>
        <w:instrText>“</w:instrText>
      </w:r>
      <w:r w:rsidR="002A21AE" w:rsidRPr="00C74523">
        <w:rPr>
          <w:vanish/>
        </w:rPr>
        <w:instrText>Canned Comments</w:instrText>
      </w:r>
      <w:r w:rsidR="00FA7E65" w:rsidRPr="00C74523">
        <w:rPr>
          <w:vanish/>
        </w:rPr>
        <w:instrText>”</w:instrText>
      </w:r>
      <w:r w:rsidR="002A21AE" w:rsidRPr="00C74523">
        <w:rPr>
          <w:vanish/>
        </w:rPr>
        <w:instrText xml:space="preserve"> </w:instrText>
      </w:r>
      <w:r w:rsidR="002A21AE" w:rsidRPr="00C74523">
        <w:rPr>
          <w:vanish/>
        </w:rPr>
        <w:fldChar w:fldCharType="end"/>
      </w:r>
      <w:r w:rsidR="002A21AE" w:rsidRPr="00C74523">
        <w:rPr>
          <w:vanish/>
        </w:rPr>
        <w:t xml:space="preserve"> </w:t>
      </w:r>
      <w:r w:rsidR="002A21AE" w:rsidRPr="00C74523">
        <w:rPr>
          <w:rFonts w:ascii="Arial Bold" w:hAnsi="Arial Bold"/>
          <w:vanish/>
        </w:rPr>
        <w:t>UC_31</w:t>
      </w:r>
    </w:p>
    <w:p w14:paraId="6D470BFE" w14:textId="77777777" w:rsidR="002A21AE" w:rsidRDefault="002A21AE" w:rsidP="00FA7E65">
      <w:pPr>
        <w:pStyle w:val="BodyText"/>
      </w:pPr>
      <w:r>
        <w:t>The user defines canned comments for a division.</w:t>
      </w:r>
    </w:p>
    <w:p w14:paraId="59A40C41" w14:textId="77777777" w:rsidR="002A21AE" w:rsidRDefault="002A21AE">
      <w:pPr>
        <w:pStyle w:val="Heading4"/>
      </w:pPr>
      <w:r>
        <w:t>Assumptions</w:t>
      </w:r>
    </w:p>
    <w:p w14:paraId="0576F28F" w14:textId="77777777" w:rsidR="002A21AE" w:rsidRDefault="002A21AE">
      <w:pPr>
        <w:pStyle w:val="ListBullet"/>
      </w:pPr>
      <w:r>
        <w:t>None</w:t>
      </w:r>
    </w:p>
    <w:p w14:paraId="3F43FC5D" w14:textId="77777777" w:rsidR="002A21AE" w:rsidRDefault="002A21AE">
      <w:pPr>
        <w:pStyle w:val="Heading4"/>
      </w:pPr>
      <w:r>
        <w:t>Outcome</w:t>
      </w:r>
    </w:p>
    <w:p w14:paraId="2E356044" w14:textId="77777777" w:rsidR="002A21AE" w:rsidRDefault="002A21AE">
      <w:pPr>
        <w:pStyle w:val="ListBullet"/>
      </w:pPr>
      <w:r>
        <w:t>Canned comments for a division are available for selection.</w:t>
      </w:r>
    </w:p>
    <w:p w14:paraId="50BADA6F" w14:textId="77777777" w:rsidR="002A21AE" w:rsidRDefault="002A21AE">
      <w:pPr>
        <w:pStyle w:val="Heading4"/>
      </w:pPr>
      <w:r>
        <w:t>Limitations and Restrictions</w:t>
      </w:r>
    </w:p>
    <w:p w14:paraId="2B5AA3F9" w14:textId="28441C6C" w:rsidR="002F3BCC" w:rsidRDefault="002A21AE" w:rsidP="00C973F9">
      <w:pPr>
        <w:pStyle w:val="ListBullet"/>
      </w:pPr>
      <w:r>
        <w:t>The user may not edit comments</w:t>
      </w:r>
      <w:r w:rsidR="00E47F66">
        <w:t xml:space="preserve"> provided with VBECS </w:t>
      </w:r>
      <w:r>
        <w:t xml:space="preserve">but may create </w:t>
      </w:r>
      <w:r w:rsidR="00B97198">
        <w:t>additional comments</w:t>
      </w:r>
      <w:r>
        <w:t>.</w:t>
      </w:r>
      <w:r w:rsidR="0002020B">
        <w:t xml:space="preserve"> </w:t>
      </w:r>
      <w:r w:rsidR="00C973F9">
        <w:t xml:space="preserve">Although comments can </w:t>
      </w:r>
      <w:r w:rsidR="002211C7">
        <w:t xml:space="preserve">also </w:t>
      </w:r>
      <w:r w:rsidR="00C973F9">
        <w:t xml:space="preserve">be removed, there should remain at least one comment </w:t>
      </w:r>
      <w:r w:rsidR="00B72A6B">
        <w:t xml:space="preserve">per category </w:t>
      </w:r>
      <w:r w:rsidR="00C973F9">
        <w:t>available for selection, (e.g., “Other”).</w:t>
      </w:r>
      <w:r w:rsidR="0002020B">
        <w:t xml:space="preserve"> </w:t>
      </w:r>
      <w:r w:rsidR="0002020B" w:rsidRPr="0002020B">
        <w:rPr>
          <w:vanish/>
        </w:rPr>
        <w:t>Defect 209175</w:t>
      </w:r>
    </w:p>
    <w:p w14:paraId="4F516484" w14:textId="0B5237BE" w:rsidR="002C6BD1" w:rsidRDefault="002C6BD1" w:rsidP="002C6BD1">
      <w:pPr>
        <w:pStyle w:val="ListBullet"/>
      </w:pPr>
      <w:r>
        <w:t>Site personnel must enter comments in accordance with local policy and procedures.</w:t>
      </w:r>
    </w:p>
    <w:p w14:paraId="008A0CB9" w14:textId="77777777" w:rsidR="002A21AE" w:rsidRDefault="002A21AE">
      <w:pPr>
        <w:pStyle w:val="Heading4"/>
      </w:pPr>
      <w:r>
        <w:t>Additional Information</w:t>
      </w:r>
    </w:p>
    <w:p w14:paraId="4B16D6D8" w14:textId="7B59A3F9" w:rsidR="002A21AE" w:rsidRDefault="002A21AE">
      <w:pPr>
        <w:pStyle w:val="ListBullet"/>
      </w:pPr>
      <w:r>
        <w:rPr>
          <w:rFonts w:ascii="Arial" w:hAnsi="Arial" w:cs="Arial"/>
          <w:vanish/>
          <w:spacing w:val="0"/>
          <w:sz w:val="18"/>
        </w:rPr>
        <w:t xml:space="preserve">BR_31.01 </w:t>
      </w:r>
      <w:r>
        <w:t xml:space="preserve">Canned comments are specific to each division. See </w:t>
      </w:r>
      <w:r w:rsidR="00EE455E">
        <w:t xml:space="preserve">Appendix </w:t>
      </w:r>
      <w:r w:rsidR="00EE455E">
        <w:rPr>
          <w:noProof/>
        </w:rPr>
        <w:t>B</w:t>
      </w:r>
      <w:r>
        <w:t xml:space="preserve">: </w:t>
      </w:r>
      <w:r w:rsidR="00EE455E">
        <w:t xml:space="preserve">Table </w:t>
      </w:r>
      <w:r w:rsidR="00EE455E">
        <w:rPr>
          <w:noProof/>
        </w:rPr>
        <w:t>17</w:t>
      </w:r>
      <w:r w:rsidR="00EE455E">
        <w:t xml:space="preserve">: </w:t>
      </w:r>
      <w:r w:rsidR="00EE455E">
        <w:rPr>
          <w:vanish/>
        </w:rPr>
        <w:t xml:space="preserve">PT_31.01 </w:t>
      </w:r>
      <w:r w:rsidR="00EE455E">
        <w:t>Canned Comment Category Types and Message Text</w:t>
      </w:r>
      <w:r w:rsidR="00DA05C9">
        <w:t xml:space="preserve"> </w:t>
      </w:r>
      <w:r>
        <w:t>defines the category types and comments.</w:t>
      </w:r>
    </w:p>
    <w:p w14:paraId="4AB251BA" w14:textId="025160A9" w:rsidR="00EF0B68" w:rsidRDefault="00EF0B68" w:rsidP="00867DFC">
      <w:pPr>
        <w:pStyle w:val="ListBullet"/>
      </w:pPr>
      <w:r w:rsidRPr="00AE3748">
        <w:t xml:space="preserve">Currently, VBECS does not </w:t>
      </w:r>
      <w:r w:rsidR="00867DFC" w:rsidRPr="00AE3748">
        <w:t xml:space="preserve">identify the testing laboratory and include its address on results reports in CPRS. </w:t>
      </w:r>
      <w:r w:rsidR="00D44689">
        <w:t>A</w:t>
      </w:r>
      <w:r w:rsidR="00867DFC" w:rsidRPr="00AE3748">
        <w:t xml:space="preserve"> workaround for the issue is to create Canned Comments for the missing information and apply them to blood bank results.</w:t>
      </w:r>
    </w:p>
    <w:p w14:paraId="463CFACE" w14:textId="77777777" w:rsidR="002A21AE" w:rsidRPr="00AE3748" w:rsidRDefault="002A21AE">
      <w:pPr>
        <w:pStyle w:val="Heading4"/>
        <w:rPr>
          <w:rFonts w:ascii="Times New Roman" w:hAnsi="Times New Roman"/>
          <w:b w:val="0"/>
          <w:spacing w:val="-5"/>
          <w:szCs w:val="22"/>
        </w:rPr>
      </w:pPr>
      <w:r w:rsidRPr="00AE3748">
        <w:rPr>
          <w:rFonts w:ascii="Times New Roman" w:hAnsi="Times New Roman"/>
          <w:b w:val="0"/>
          <w:spacing w:val="-5"/>
          <w:szCs w:val="22"/>
        </w:rPr>
        <w:t>User Roles with Access to This Option</w:t>
      </w:r>
    </w:p>
    <w:p w14:paraId="2C6E8A14" w14:textId="77777777" w:rsidR="002A21AE" w:rsidRDefault="00785DA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7B3E18E" w14:textId="77777777" w:rsidR="002A21AE" w:rsidRDefault="002A21AE">
      <w:pPr>
        <w:pStyle w:val="Heading4"/>
      </w:pPr>
      <w:r>
        <w:t>Canned Comments</w:t>
      </w:r>
    </w:p>
    <w:p w14:paraId="3AE0D895" w14:textId="77777777" w:rsidR="00434F15" w:rsidRPr="00A0090C" w:rsidRDefault="00434F15" w:rsidP="00434F15">
      <w:pPr>
        <w:pStyle w:val="BodyText"/>
      </w:pPr>
      <w:r>
        <w:t xml:space="preserve">It is recommended that the user </w:t>
      </w:r>
      <w:r w:rsidRPr="00A0090C">
        <w:t xml:space="preserve">review the canned comments </w:t>
      </w:r>
      <w:r w:rsidR="0011459B">
        <w:t xml:space="preserve">provided with VBECS </w:t>
      </w:r>
      <w:r w:rsidRPr="00A0090C">
        <w:t xml:space="preserve">for each </w:t>
      </w:r>
      <w:r>
        <w:t>category type</w:t>
      </w:r>
      <w:r w:rsidRPr="00A0090C">
        <w:t xml:space="preserve"> and inactivate those that </w:t>
      </w:r>
      <w:r>
        <w:t>will not be used</w:t>
      </w:r>
      <w:r w:rsidRPr="00A0090C">
        <w:t>.</w:t>
      </w:r>
      <w:r w:rsidR="0011459B">
        <w:t xml:space="preserve"> </w:t>
      </w:r>
    </w:p>
    <w:p w14:paraId="5EE1975B" w14:textId="77777777" w:rsidR="002A21AE" w:rsidRDefault="002A21AE" w:rsidP="00FA7E65">
      <w:pPr>
        <w:pStyle w:val="BodyText"/>
      </w:pPr>
      <w:r>
        <w:t xml:space="preserve">The user creates canned comments to use in lieu of entering text. Canned comments are restricted for selection based on the </w:t>
      </w:r>
      <w:r w:rsidR="0036471F">
        <w:t>category type</w:t>
      </w:r>
      <w:r>
        <w:t xml:space="preserve"> of the comment field. </w:t>
      </w:r>
    </w:p>
    <w:p w14:paraId="0F7865FD" w14:textId="77777777" w:rsidR="002A21AE" w:rsidRDefault="002A21AE" w:rsidP="00FA7E65">
      <w:pPr>
        <w:pStyle w:val="BodyText"/>
      </w:pPr>
      <w:r>
        <w:t>The user may select a comment and has the option to enter explanatory text in the details field.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CF8936" w14:textId="77777777">
        <w:trPr>
          <w:tblHeader/>
        </w:trPr>
        <w:tc>
          <w:tcPr>
            <w:tcW w:w="3240" w:type="dxa"/>
            <w:shd w:val="pct30" w:color="auto" w:fill="FFFFFF"/>
            <w:vAlign w:val="bottom"/>
          </w:tcPr>
          <w:p w14:paraId="18ED4BEA" w14:textId="77777777" w:rsidR="002A21AE" w:rsidRDefault="002A21AE">
            <w:pPr>
              <w:pStyle w:val="TableText"/>
              <w:rPr>
                <w:b/>
              </w:rPr>
            </w:pPr>
            <w:bookmarkStart w:id="186" w:name="_Toc63680392"/>
            <w:r>
              <w:rPr>
                <w:b/>
              </w:rPr>
              <w:t>User Action</w:t>
            </w:r>
          </w:p>
        </w:tc>
        <w:tc>
          <w:tcPr>
            <w:tcW w:w="6120" w:type="dxa"/>
            <w:shd w:val="pct30" w:color="auto" w:fill="FFFFFF"/>
            <w:vAlign w:val="bottom"/>
          </w:tcPr>
          <w:p w14:paraId="628621E7" w14:textId="77777777" w:rsidR="002A21AE" w:rsidRDefault="002A21AE">
            <w:pPr>
              <w:pStyle w:val="TableText"/>
              <w:rPr>
                <w:b/>
              </w:rPr>
            </w:pPr>
            <w:r>
              <w:rPr>
                <w:b/>
              </w:rPr>
              <w:t>VBECS</w:t>
            </w:r>
          </w:p>
        </w:tc>
      </w:tr>
      <w:tr w:rsidR="002A21AE" w14:paraId="0012DE12" w14:textId="77777777">
        <w:tc>
          <w:tcPr>
            <w:tcW w:w="3240" w:type="dxa"/>
          </w:tcPr>
          <w:p w14:paraId="0ACFC4D9" w14:textId="77777777" w:rsidR="002A21AE" w:rsidRDefault="002A21AE">
            <w:pPr>
              <w:pStyle w:val="TableTextNumbers"/>
            </w:pPr>
            <w:r>
              <w:t xml:space="preserve">Select </w:t>
            </w:r>
            <w:r>
              <w:rPr>
                <w:b/>
              </w:rPr>
              <w:t>Tools</w:t>
            </w:r>
            <w:r>
              <w:t xml:space="preserve"> from the main menu.</w:t>
            </w:r>
          </w:p>
          <w:p w14:paraId="5FBF5F58" w14:textId="77777777" w:rsidR="002A21AE" w:rsidRDefault="002A21AE">
            <w:pPr>
              <w:pStyle w:val="TableTextNumbersContinued"/>
            </w:pPr>
          </w:p>
          <w:p w14:paraId="4BB99ABE" w14:textId="77777777" w:rsidR="002A21AE" w:rsidRDefault="002A21AE">
            <w:pPr>
              <w:pStyle w:val="TableTextNumbersContinued"/>
            </w:pPr>
            <w:r>
              <w:t xml:space="preserve">Select </w:t>
            </w:r>
            <w:r>
              <w:rPr>
                <w:b/>
              </w:rPr>
              <w:t>Canned Comments</w:t>
            </w:r>
            <w:r>
              <w:t>.</w:t>
            </w:r>
          </w:p>
        </w:tc>
        <w:tc>
          <w:tcPr>
            <w:tcW w:w="6120" w:type="dxa"/>
          </w:tcPr>
          <w:p w14:paraId="2A725AD1" w14:textId="77777777" w:rsidR="002A21AE" w:rsidRDefault="002A21AE">
            <w:pPr>
              <w:pStyle w:val="TableTextBullet"/>
            </w:pPr>
            <w:r>
              <w:t>Displays options for processing administrative functions.</w:t>
            </w:r>
          </w:p>
        </w:tc>
      </w:tr>
      <w:tr w:rsidR="002A21AE" w14:paraId="5E069D85" w14:textId="77777777">
        <w:tc>
          <w:tcPr>
            <w:tcW w:w="3240" w:type="dxa"/>
          </w:tcPr>
          <w:p w14:paraId="6EDDF95B" w14:textId="458E2D02" w:rsidR="002A21AE" w:rsidRDefault="002A21AE">
            <w:pPr>
              <w:pStyle w:val="TableTextNumbers"/>
            </w:pPr>
            <w:r>
              <w:t>Select a comment category type from the drop-down list</w:t>
            </w:r>
            <w:r w:rsidR="00A9458F">
              <w:t xml:space="preserve"> (</w:t>
            </w:r>
            <w:r w:rsidR="00EE455E">
              <w:t xml:space="preserve">Figure </w:t>
            </w:r>
            <w:r w:rsidR="00EE455E">
              <w:rPr>
                <w:noProof/>
              </w:rPr>
              <w:t>32</w:t>
            </w:r>
            <w:r w:rsidR="00A9458F">
              <w:t>)</w:t>
            </w:r>
            <w:r>
              <w:t>.</w:t>
            </w:r>
          </w:p>
        </w:tc>
        <w:tc>
          <w:tcPr>
            <w:tcW w:w="6120" w:type="dxa"/>
          </w:tcPr>
          <w:p w14:paraId="54B40754" w14:textId="77777777" w:rsidR="002A21AE" w:rsidRDefault="002A21AE">
            <w:pPr>
              <w:pStyle w:val="TableTextBullet"/>
            </w:pPr>
            <w:r>
              <w:t>Lists the category types for canned comments.</w:t>
            </w:r>
          </w:p>
          <w:p w14:paraId="1989FEF4" w14:textId="77777777" w:rsidR="002A21AE" w:rsidRDefault="002A21AE">
            <w:pPr>
              <w:pStyle w:val="TableTextBullet"/>
            </w:pPr>
            <w:r>
              <w:t>Allows the user to create a comment or inactivate an existing one.</w:t>
            </w:r>
          </w:p>
        </w:tc>
      </w:tr>
      <w:tr w:rsidR="002A21AE" w14:paraId="7FAA57A9" w14:textId="77777777" w:rsidTr="007E500E">
        <w:trPr>
          <w:cantSplit/>
        </w:trPr>
        <w:tc>
          <w:tcPr>
            <w:tcW w:w="3240" w:type="dxa"/>
          </w:tcPr>
          <w:p w14:paraId="3ED5F113" w14:textId="77777777" w:rsidR="002A21AE" w:rsidRDefault="002A21AE">
            <w:pPr>
              <w:pStyle w:val="TableTextNumbers"/>
            </w:pPr>
            <w:r>
              <w:lastRenderedPageBreak/>
              <w:t xml:space="preserve">Enter text in the Comment field and click </w:t>
            </w:r>
            <w:r>
              <w:rPr>
                <w:b/>
              </w:rPr>
              <w:t>Add</w:t>
            </w:r>
            <w:r>
              <w:t xml:space="preserve"> to add a comment.</w:t>
            </w:r>
          </w:p>
          <w:p w14:paraId="308E461D" w14:textId="77777777" w:rsidR="002A21AE" w:rsidRDefault="002A21AE">
            <w:pPr>
              <w:pStyle w:val="TableTextNumbersContinued"/>
            </w:pPr>
          </w:p>
          <w:p w14:paraId="5D2482B3" w14:textId="77777777" w:rsidR="002A21AE" w:rsidRDefault="002A21AE">
            <w:pPr>
              <w:pStyle w:val="TableTextNumbersContinued"/>
            </w:pPr>
            <w:r>
              <w:t>Click one or more check boxes to inactivate existing comments.</w:t>
            </w:r>
          </w:p>
        </w:tc>
        <w:tc>
          <w:tcPr>
            <w:tcW w:w="6120" w:type="dxa"/>
          </w:tcPr>
          <w:p w14:paraId="5CB707C2" w14:textId="77777777" w:rsidR="002A21AE" w:rsidRDefault="002A21AE">
            <w:pPr>
              <w:pStyle w:val="TableTextBullet"/>
            </w:pPr>
            <w:r>
              <w:t>Displays entered data and allows the user to edit them before saving.</w:t>
            </w:r>
          </w:p>
          <w:p w14:paraId="74B18B8B" w14:textId="77777777" w:rsidR="000144A0" w:rsidRDefault="000144A0" w:rsidP="000144A0">
            <w:pPr>
              <w:pStyle w:val="TableText"/>
            </w:pPr>
          </w:p>
          <w:p w14:paraId="5A434D2E" w14:textId="208D1F0B" w:rsidR="000144A0" w:rsidRDefault="000144A0" w:rsidP="000144A0">
            <w:pPr>
              <w:pStyle w:val="TableText"/>
              <w:rPr>
                <w:b/>
                <w:bCs/>
                <w:szCs w:val="18"/>
              </w:rPr>
            </w:pPr>
            <w:r>
              <w:rPr>
                <w:b/>
                <w:bCs/>
                <w:szCs w:val="18"/>
              </w:rPr>
              <w:t>NOTES</w:t>
            </w:r>
          </w:p>
          <w:p w14:paraId="62F4B6F3" w14:textId="77777777" w:rsidR="000144A0" w:rsidRDefault="000144A0" w:rsidP="000144A0">
            <w:pPr>
              <w:pStyle w:val="NotesText"/>
            </w:pPr>
          </w:p>
          <w:p w14:paraId="611B6EED" w14:textId="77777777" w:rsidR="002A21AE" w:rsidRDefault="002A21AE">
            <w:pPr>
              <w:pStyle w:val="NotesText"/>
            </w:pPr>
            <w:r>
              <w:rPr>
                <w:vanish/>
                <w:szCs w:val="18"/>
              </w:rPr>
              <w:t xml:space="preserve">BR_31.03, BR_31.04, BR_31.06, BR_31.05, BR_31.02 </w:t>
            </w:r>
            <w:r>
              <w:t>A user may:</w:t>
            </w:r>
          </w:p>
          <w:p w14:paraId="747B7474" w14:textId="77777777" w:rsidR="002A21AE" w:rsidRDefault="002A21AE">
            <w:pPr>
              <w:pStyle w:val="NotesTextBullet"/>
            </w:pPr>
            <w:r>
              <w:t>Add canned comments.</w:t>
            </w:r>
          </w:p>
          <w:p w14:paraId="3F2F77BB" w14:textId="77777777" w:rsidR="002A21AE" w:rsidRDefault="002A21AE">
            <w:pPr>
              <w:pStyle w:val="NotesTextBullet"/>
            </w:pPr>
            <w:r>
              <w:t>Inactivate canned comments.</w:t>
            </w:r>
          </w:p>
          <w:p w14:paraId="1B1128DD" w14:textId="77777777" w:rsidR="002A21AE" w:rsidRDefault="002A21AE">
            <w:pPr>
              <w:pStyle w:val="NotesTextBullet"/>
            </w:pPr>
            <w:r>
              <w:t>Reactivate inactive comments.</w:t>
            </w:r>
          </w:p>
          <w:p w14:paraId="7C595749" w14:textId="77777777" w:rsidR="002A21AE" w:rsidRDefault="002A21AE">
            <w:pPr>
              <w:pStyle w:val="NotesTextBullet"/>
            </w:pPr>
            <w:r>
              <w:t>View inactive comments and dates of inactivation.</w:t>
            </w:r>
          </w:p>
          <w:p w14:paraId="0A7683C8" w14:textId="77777777" w:rsidR="002A21AE" w:rsidRDefault="002A21AE" w:rsidP="000144A0">
            <w:pPr>
              <w:pStyle w:val="NotesTextBullet"/>
            </w:pPr>
            <w:r>
              <w:t>Control the order in which VBECS displays comments in a context.</w:t>
            </w:r>
          </w:p>
        </w:tc>
      </w:tr>
      <w:tr w:rsidR="002A21AE" w14:paraId="57D8AFD8" w14:textId="77777777">
        <w:tc>
          <w:tcPr>
            <w:tcW w:w="3240" w:type="dxa"/>
          </w:tcPr>
          <w:p w14:paraId="44F1DD97" w14:textId="1C0407A3" w:rsidR="002A21AE" w:rsidRDefault="002A21AE">
            <w:pPr>
              <w:pStyle w:val="TableTextNumbers"/>
            </w:pPr>
            <w:r>
              <w:t xml:space="preserve">Click the </w:t>
            </w:r>
            <w:r>
              <w:rPr>
                <w:b/>
              </w:rPr>
              <w:t xml:space="preserve">Show </w:t>
            </w:r>
            <w:r w:rsidR="00430715">
              <w:rPr>
                <w:b/>
              </w:rPr>
              <w:t>I</w:t>
            </w:r>
            <w:r>
              <w:rPr>
                <w:b/>
              </w:rPr>
              <w:t xml:space="preserve">nactive Comments </w:t>
            </w:r>
            <w:r w:rsidRPr="00D1100E">
              <w:t>check box</w:t>
            </w:r>
            <w:r>
              <w:t xml:space="preserve"> to view inactive comments.</w:t>
            </w:r>
          </w:p>
          <w:p w14:paraId="0DCEB29D" w14:textId="77777777" w:rsidR="002A21AE" w:rsidRDefault="002A21AE">
            <w:pPr>
              <w:pStyle w:val="TableTextNumbersContinued"/>
            </w:pPr>
          </w:p>
          <w:p w14:paraId="4DA6F2D2" w14:textId="77777777" w:rsidR="002A21AE" w:rsidRDefault="002A21AE">
            <w:pPr>
              <w:pStyle w:val="TableTextNumbersContinued"/>
            </w:pPr>
            <w:r>
              <w:t>Click one or more check boxes to reactivate inactive comments.</w:t>
            </w:r>
          </w:p>
        </w:tc>
        <w:tc>
          <w:tcPr>
            <w:tcW w:w="6120" w:type="dxa"/>
          </w:tcPr>
          <w:p w14:paraId="18BE4E90" w14:textId="77777777" w:rsidR="002A21AE" w:rsidRDefault="002A21AE">
            <w:pPr>
              <w:pStyle w:val="TableTextBullet"/>
            </w:pPr>
            <w:r>
              <w:t>Displays inactive comments and allows the user to reactivate them.</w:t>
            </w:r>
          </w:p>
        </w:tc>
      </w:tr>
      <w:tr w:rsidR="002A21AE" w14:paraId="76575D76" w14:textId="77777777">
        <w:tc>
          <w:tcPr>
            <w:tcW w:w="3240" w:type="dxa"/>
          </w:tcPr>
          <w:p w14:paraId="2EDEE0E3" w14:textId="113D56D3" w:rsidR="002A21AE" w:rsidRDefault="002A21AE">
            <w:pPr>
              <w:pStyle w:val="TableTextNumbers"/>
            </w:pPr>
            <w:r>
              <w:t>Repeat Steps 2</w:t>
            </w:r>
            <w:r w:rsidR="004F5589">
              <w:t xml:space="preserve"> through </w:t>
            </w:r>
            <w:r>
              <w:t xml:space="preserve">4, as needed. </w:t>
            </w:r>
          </w:p>
          <w:p w14:paraId="37664220" w14:textId="77777777" w:rsidR="002A21AE" w:rsidRDefault="002A21AE">
            <w:pPr>
              <w:pStyle w:val="TableTextNumbersContinued"/>
            </w:pPr>
          </w:p>
          <w:p w14:paraId="6903A169" w14:textId="77777777" w:rsidR="002A21AE" w:rsidRDefault="002A21AE">
            <w:pPr>
              <w:pStyle w:val="TableTextNumbersContinued"/>
            </w:pPr>
            <w:r>
              <w:t xml:space="preserve">Click </w:t>
            </w:r>
            <w:r>
              <w:rPr>
                <w:b/>
              </w:rPr>
              <w:t>OK</w:t>
            </w:r>
            <w:r>
              <w:t xml:space="preserve"> and </w:t>
            </w:r>
            <w:r>
              <w:rPr>
                <w:b/>
              </w:rPr>
              <w:t>Yes</w:t>
            </w:r>
            <w:r>
              <w:t xml:space="preserve"> to save and exit, or </w:t>
            </w:r>
            <w:r>
              <w:rPr>
                <w:b/>
              </w:rPr>
              <w:t>Cancel</w:t>
            </w:r>
            <w:r>
              <w:t xml:space="preserve"> to exit without saving.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B54268A" w14:textId="77777777" w:rsidR="002A21AE" w:rsidRDefault="002A21AE">
            <w:pPr>
              <w:pStyle w:val="TableTextBullet"/>
            </w:pPr>
            <w:r>
              <w:t>Updates the database.</w:t>
            </w:r>
          </w:p>
        </w:tc>
      </w:tr>
    </w:tbl>
    <w:p w14:paraId="10A97633" w14:textId="1FDFAA31" w:rsidR="00A9458F" w:rsidRDefault="00A9458F" w:rsidP="00A9458F">
      <w:pPr>
        <w:pStyle w:val="Caption"/>
      </w:pPr>
      <w:bookmarkStart w:id="187" w:name="_Ref12647198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33</w:t>
      </w:r>
      <w:r w:rsidR="004E20BD">
        <w:rPr>
          <w:noProof/>
        </w:rPr>
        <w:fldChar w:fldCharType="end"/>
      </w:r>
      <w:bookmarkEnd w:id="187"/>
      <w:r>
        <w:t>: Maintain Comments</w:t>
      </w:r>
    </w:p>
    <w:p w14:paraId="50283F98" w14:textId="77777777" w:rsidR="002A21AE" w:rsidRDefault="00057948" w:rsidP="0066425F">
      <w:pPr>
        <w:pStyle w:val="BodyText"/>
      </w:pPr>
      <w:r>
        <w:rPr>
          <w:noProof/>
        </w:rPr>
        <w:drawing>
          <wp:inline distT="0" distB="0" distL="0" distR="0" wp14:anchorId="4424B221" wp14:editId="03F03E64">
            <wp:extent cx="3657600" cy="3315970"/>
            <wp:effectExtent l="0" t="0" r="0" b="0"/>
            <wp:docPr id="135" name="Picture 135" descr="Example of Maintain Commen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Example of Maintain Comments screen capt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57600" cy="3315970"/>
                    </a:xfrm>
                    <a:prstGeom prst="rect">
                      <a:avLst/>
                    </a:prstGeom>
                    <a:noFill/>
                    <a:ln>
                      <a:noFill/>
                    </a:ln>
                  </pic:spPr>
                </pic:pic>
              </a:graphicData>
            </a:graphic>
          </wp:inline>
        </w:drawing>
      </w:r>
    </w:p>
    <w:p w14:paraId="331C857C" w14:textId="77777777" w:rsidR="002A21AE" w:rsidRDefault="00AF089A">
      <w:pPr>
        <w:pStyle w:val="Heading2"/>
      </w:pPr>
      <w:r>
        <w:br w:type="page"/>
      </w:r>
      <w:bookmarkStart w:id="188" w:name="_Toc163644895"/>
      <w:r w:rsidR="002A21AE">
        <w:lastRenderedPageBreak/>
        <w:t>Setting Transfusion Parameters</w:t>
      </w:r>
      <w:bookmarkEnd w:id="186"/>
      <w:bookmarkEnd w:id="188"/>
      <w:r w:rsidR="002A21AE">
        <w:fldChar w:fldCharType="begin"/>
      </w:r>
      <w:r w:rsidR="002A21AE">
        <w:instrText xml:space="preserve"> XE </w:instrText>
      </w:r>
      <w:r w:rsidR="00FA7E65">
        <w:instrText>“</w:instrText>
      </w:r>
      <w:r w:rsidR="002A21AE">
        <w:instrText>Setting Transfusion Parameters</w:instrText>
      </w:r>
      <w:r w:rsidR="00FA7E65">
        <w:instrText>”</w:instrText>
      </w:r>
      <w:r w:rsidR="002A21AE">
        <w:instrText xml:space="preserve"> </w:instrText>
      </w:r>
      <w:r w:rsidR="002A21AE">
        <w:fldChar w:fldCharType="end"/>
      </w:r>
    </w:p>
    <w:p w14:paraId="6839A2A9" w14:textId="77777777" w:rsidR="002A21AE" w:rsidRDefault="002A21AE">
      <w:pPr>
        <w:pStyle w:val="Heading3"/>
      </w:pPr>
      <w:bookmarkStart w:id="189" w:name="_Toc163644896"/>
      <w:r>
        <w:t>Transfusion Complications</w:t>
      </w:r>
      <w:bookmarkEnd w:id="189"/>
      <w:r w:rsidRPr="0050203A">
        <w:rPr>
          <w:rFonts w:ascii="Arial Bold" w:hAnsi="Arial Bold"/>
          <w:vanish/>
        </w:rPr>
        <w:fldChar w:fldCharType="begin"/>
      </w:r>
      <w:r w:rsidRPr="0050203A">
        <w:rPr>
          <w:rFonts w:ascii="Arial Bold" w:hAnsi="Arial Bold"/>
          <w:vanish/>
        </w:rPr>
        <w:instrText xml:space="preserve"> XE </w:instrText>
      </w:r>
      <w:r w:rsidR="00FA7E65" w:rsidRPr="0050203A">
        <w:rPr>
          <w:rFonts w:ascii="Arial Bold" w:hAnsi="Arial Bold"/>
          <w:vanish/>
        </w:rPr>
        <w:instrText>“</w:instrText>
      </w:r>
      <w:r w:rsidRPr="0050203A">
        <w:rPr>
          <w:rFonts w:ascii="Arial Bold" w:hAnsi="Arial Bold"/>
          <w:vanish/>
        </w:rPr>
        <w:instrText>Transfusion Complications</w:instrText>
      </w:r>
      <w:r w:rsidR="00FA7E65" w:rsidRPr="0050203A">
        <w:rPr>
          <w:rFonts w:ascii="Arial Bold" w:hAnsi="Arial Bold"/>
          <w:vanish/>
        </w:rPr>
        <w:instrText>”</w:instrText>
      </w:r>
      <w:r w:rsidRPr="0050203A">
        <w:rPr>
          <w:rFonts w:ascii="Arial Bold" w:hAnsi="Arial Bold"/>
          <w:vanish/>
        </w:rPr>
        <w:instrText xml:space="preserve"> </w:instrText>
      </w:r>
      <w:r w:rsidRPr="0050203A">
        <w:rPr>
          <w:rFonts w:ascii="Arial Bold" w:hAnsi="Arial Bold"/>
          <w:vanish/>
        </w:rPr>
        <w:fldChar w:fldCharType="end"/>
      </w:r>
      <w:r w:rsidRPr="0050203A">
        <w:rPr>
          <w:rFonts w:ascii="Arial Bold" w:hAnsi="Arial Bold"/>
          <w:vanish/>
        </w:rPr>
        <w:t xml:space="preserve"> UC_34</w:t>
      </w:r>
    </w:p>
    <w:p w14:paraId="06222B94" w14:textId="2C171C27" w:rsidR="002A21AE" w:rsidRDefault="002A21AE" w:rsidP="00FA7E65">
      <w:pPr>
        <w:pStyle w:val="BodyText"/>
      </w:pPr>
      <w:r>
        <w:t xml:space="preserve">The user defines Laboratory tests and threshold values used to generate a report listing patients who were transfused within a specified period and who may have developed a transfusion-associated disease. </w:t>
      </w:r>
      <w:r w:rsidR="00E90A01">
        <w:t xml:space="preserve">For additional information, see </w:t>
      </w:r>
      <w:r w:rsidR="00EE455E">
        <w:t xml:space="preserve">Appendix </w:t>
      </w:r>
      <w:r w:rsidR="00EE455E">
        <w:rPr>
          <w:noProof/>
        </w:rPr>
        <w:t>G</w:t>
      </w:r>
      <w:r w:rsidR="00EE455E">
        <w:t>: Work Process Flowcharts</w:t>
      </w:r>
      <w:r w:rsidR="00E90A01">
        <w:t>.</w:t>
      </w:r>
    </w:p>
    <w:p w14:paraId="67EE7BBE" w14:textId="77777777" w:rsidR="002A21AE" w:rsidRDefault="002A21AE">
      <w:pPr>
        <w:pStyle w:val="Heading4"/>
      </w:pPr>
      <w:r>
        <w:t>Assumptions</w:t>
      </w:r>
    </w:p>
    <w:p w14:paraId="430E23F4" w14:textId="77777777" w:rsidR="002A21AE" w:rsidRDefault="00CA0045">
      <w:pPr>
        <w:pStyle w:val="ListBullet"/>
      </w:pPr>
      <w:r w:rsidRPr="00CA0045">
        <w:rPr>
          <w:bCs/>
        </w:rPr>
        <w:t>VistA</w:t>
      </w:r>
      <w:r w:rsidR="002A21AE">
        <w:t xml:space="preserve"> tests are defined.</w:t>
      </w:r>
    </w:p>
    <w:p w14:paraId="1086321E" w14:textId="77777777" w:rsidR="002A21AE" w:rsidRDefault="002A21AE">
      <w:pPr>
        <w:pStyle w:val="ListBullet"/>
      </w:pPr>
      <w:r>
        <w:t xml:space="preserve">The connection to </w:t>
      </w:r>
      <w:r w:rsidR="00CA0045" w:rsidRPr="00CA0045">
        <w:rPr>
          <w:bCs/>
        </w:rPr>
        <w:t>VistA</w:t>
      </w:r>
      <w:r>
        <w:t xml:space="preserve"> is active.</w:t>
      </w:r>
    </w:p>
    <w:p w14:paraId="073D60A6" w14:textId="77777777" w:rsidR="002A21AE" w:rsidRDefault="002A21AE">
      <w:pPr>
        <w:pStyle w:val="Heading4"/>
      </w:pPr>
      <w:r>
        <w:t>Outcome</w:t>
      </w:r>
    </w:p>
    <w:p w14:paraId="58B1792D" w14:textId="77777777" w:rsidR="002A21AE" w:rsidRDefault="002A21AE">
      <w:pPr>
        <w:pStyle w:val="ListBullet"/>
      </w:pPr>
      <w:r>
        <w:t>Parameters are defined for future Transfusion Complication Reports.</w:t>
      </w:r>
    </w:p>
    <w:p w14:paraId="2B828805" w14:textId="77777777" w:rsidR="002A21AE" w:rsidRDefault="002A21AE">
      <w:pPr>
        <w:pStyle w:val="Heading4"/>
      </w:pPr>
      <w:r>
        <w:t>Limitations and Restrictions</w:t>
      </w:r>
    </w:p>
    <w:p w14:paraId="49A8E508" w14:textId="77777777" w:rsidR="002A21AE" w:rsidRDefault="002A21AE">
      <w:pPr>
        <w:pStyle w:val="ListBullet"/>
      </w:pPr>
      <w:r>
        <w:t>None</w:t>
      </w:r>
    </w:p>
    <w:p w14:paraId="6F674D1A" w14:textId="77777777" w:rsidR="002A21AE" w:rsidRDefault="002A21AE">
      <w:pPr>
        <w:pStyle w:val="Heading4"/>
      </w:pPr>
      <w:r>
        <w:t>Additional Information</w:t>
      </w:r>
    </w:p>
    <w:p w14:paraId="6905DF8B" w14:textId="06ECFF11" w:rsidR="002A21AE" w:rsidRDefault="00E35EAC" w:rsidP="00E35EAC">
      <w:pPr>
        <w:pStyle w:val="ListBullet"/>
      </w:pPr>
      <w:r>
        <w:t>None</w:t>
      </w:r>
    </w:p>
    <w:p w14:paraId="215DD680" w14:textId="77777777" w:rsidR="002A21AE" w:rsidRDefault="002A21AE">
      <w:pPr>
        <w:pStyle w:val="Heading4"/>
      </w:pPr>
      <w:r>
        <w:t>User Roles with Access to This Option</w:t>
      </w:r>
    </w:p>
    <w:p w14:paraId="27FAC1C5" w14:textId="77777777" w:rsidR="002A21AE" w:rsidRDefault="00804DED">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59E8712A" w14:textId="77777777" w:rsidR="002A21AE" w:rsidRDefault="002A21AE">
      <w:pPr>
        <w:pStyle w:val="Heading4"/>
      </w:pPr>
      <w:r>
        <w:t>Transfusion Complications</w:t>
      </w:r>
    </w:p>
    <w:p w14:paraId="454A46DA" w14:textId="77777777" w:rsidR="002A21AE" w:rsidRDefault="002A21AE" w:rsidP="00FA7E65">
      <w:pPr>
        <w:pStyle w:val="BodyText"/>
      </w:pPr>
      <w:r>
        <w:t>The user defines Laboratory tests for use in the transfusion complication table.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FF18642" w14:textId="77777777">
        <w:trPr>
          <w:tblHeader/>
        </w:trPr>
        <w:tc>
          <w:tcPr>
            <w:tcW w:w="3240" w:type="dxa"/>
            <w:shd w:val="pct30" w:color="auto" w:fill="FFFFFF"/>
            <w:vAlign w:val="bottom"/>
          </w:tcPr>
          <w:p w14:paraId="4D8CF6EE" w14:textId="77777777" w:rsidR="002A21AE" w:rsidRDefault="002A21AE">
            <w:pPr>
              <w:pStyle w:val="TableText"/>
              <w:rPr>
                <w:b/>
              </w:rPr>
            </w:pPr>
            <w:r>
              <w:rPr>
                <w:b/>
              </w:rPr>
              <w:t>User Action</w:t>
            </w:r>
          </w:p>
        </w:tc>
        <w:tc>
          <w:tcPr>
            <w:tcW w:w="6120" w:type="dxa"/>
            <w:shd w:val="pct30" w:color="auto" w:fill="FFFFFF"/>
            <w:vAlign w:val="bottom"/>
          </w:tcPr>
          <w:p w14:paraId="33E9EB38" w14:textId="77777777" w:rsidR="002A21AE" w:rsidRDefault="002A21AE">
            <w:pPr>
              <w:pStyle w:val="TableText"/>
              <w:rPr>
                <w:b/>
              </w:rPr>
            </w:pPr>
            <w:r>
              <w:rPr>
                <w:b/>
              </w:rPr>
              <w:t>VBECS</w:t>
            </w:r>
          </w:p>
        </w:tc>
      </w:tr>
      <w:tr w:rsidR="002A21AE" w14:paraId="28BEE293" w14:textId="77777777">
        <w:tc>
          <w:tcPr>
            <w:tcW w:w="3240" w:type="dxa"/>
          </w:tcPr>
          <w:p w14:paraId="5FB84D51" w14:textId="77777777" w:rsidR="002A21AE" w:rsidRDefault="002A21AE">
            <w:pPr>
              <w:pStyle w:val="TableTextNumbers"/>
            </w:pPr>
            <w:r>
              <w:t xml:space="preserve">Select </w:t>
            </w:r>
            <w:r>
              <w:rPr>
                <w:b/>
                <w:bCs/>
              </w:rPr>
              <w:t>Tools</w:t>
            </w:r>
            <w:r>
              <w:t xml:space="preserve"> from the main menu.</w:t>
            </w:r>
          </w:p>
          <w:p w14:paraId="3C7B173C" w14:textId="77777777" w:rsidR="002A21AE" w:rsidRDefault="002A21AE">
            <w:pPr>
              <w:pStyle w:val="TableTextNumbersContinued"/>
              <w:rPr>
                <w:b/>
                <w:bCs/>
              </w:rPr>
            </w:pPr>
          </w:p>
          <w:p w14:paraId="59372778" w14:textId="77777777" w:rsidR="002A21AE" w:rsidRDefault="002A21AE">
            <w:pPr>
              <w:pStyle w:val="TableTextNumbersContinued"/>
            </w:pPr>
            <w:r>
              <w:t xml:space="preserve">Select </w:t>
            </w:r>
            <w:r>
              <w:rPr>
                <w:b/>
              </w:rPr>
              <w:t>Transfusion Complications</w:t>
            </w:r>
            <w:r>
              <w:t>.</w:t>
            </w:r>
          </w:p>
        </w:tc>
        <w:tc>
          <w:tcPr>
            <w:tcW w:w="6120" w:type="dxa"/>
          </w:tcPr>
          <w:p w14:paraId="33F21C28" w14:textId="77777777" w:rsidR="002A21AE" w:rsidRDefault="002A21AE">
            <w:pPr>
              <w:pStyle w:val="TableTextBullet"/>
            </w:pPr>
            <w:r>
              <w:t>Displays options for processing administrative functions.</w:t>
            </w:r>
          </w:p>
          <w:p w14:paraId="6A2F0425" w14:textId="77777777" w:rsidR="002A21AE" w:rsidRDefault="002A21AE">
            <w:pPr>
              <w:pStyle w:val="TableTextBullet"/>
            </w:pPr>
            <w:r>
              <w:t>Displays fields for entering transfusion complication threshold data.</w:t>
            </w:r>
          </w:p>
        </w:tc>
      </w:tr>
      <w:tr w:rsidR="002A21AE" w14:paraId="5AE838BC" w14:textId="77777777">
        <w:tc>
          <w:tcPr>
            <w:tcW w:w="3240" w:type="dxa"/>
          </w:tcPr>
          <w:p w14:paraId="3E06E0CB" w14:textId="77777777" w:rsidR="002A21AE" w:rsidRDefault="002A21AE">
            <w:pPr>
              <w:pStyle w:val="TableTextNumbers"/>
            </w:pPr>
            <w:r>
              <w:t xml:space="preserve">Click the </w:t>
            </w:r>
            <w:r w:rsidR="00A6373D">
              <w:rPr>
                <w:b/>
              </w:rPr>
              <w:t>find</w:t>
            </w:r>
            <w:r w:rsidRPr="00BF2E41">
              <w:t xml:space="preserve"> button</w:t>
            </w:r>
            <w:r>
              <w:t xml:space="preserve"> to search for a Laboratory test.</w:t>
            </w:r>
          </w:p>
          <w:p w14:paraId="28EA98D9" w14:textId="77777777" w:rsidR="002A21AE" w:rsidRDefault="002A21AE">
            <w:pPr>
              <w:pStyle w:val="TableTextNumbersContinued"/>
            </w:pPr>
          </w:p>
          <w:p w14:paraId="4AF69326" w14:textId="77777777" w:rsidR="002A21AE" w:rsidRDefault="002A21AE">
            <w:pPr>
              <w:pStyle w:val="TableTextNumbersContinued"/>
            </w:pPr>
            <w:r>
              <w:t>Select a test.</w:t>
            </w:r>
          </w:p>
          <w:p w14:paraId="7077FC3B" w14:textId="77777777" w:rsidR="002A21AE" w:rsidRDefault="002A21AE">
            <w:pPr>
              <w:pStyle w:val="TableTextNumbersContinued"/>
            </w:pPr>
          </w:p>
          <w:p w14:paraId="4614650F" w14:textId="77777777" w:rsidR="002A21AE" w:rsidRDefault="002A21AE">
            <w:pPr>
              <w:pStyle w:val="TableTextNumbersContinued"/>
            </w:pPr>
            <w:r>
              <w:t xml:space="preserve">Click </w:t>
            </w:r>
            <w:r>
              <w:rPr>
                <w:b/>
              </w:rPr>
              <w:t>OK</w:t>
            </w:r>
            <w:r>
              <w:t>.</w:t>
            </w:r>
          </w:p>
        </w:tc>
        <w:tc>
          <w:tcPr>
            <w:tcW w:w="6120" w:type="dxa"/>
          </w:tcPr>
          <w:p w14:paraId="1775D395" w14:textId="77777777" w:rsidR="0048718E" w:rsidRDefault="002A21AE">
            <w:pPr>
              <w:pStyle w:val="TableTextBullet"/>
            </w:pPr>
            <w:r>
              <w:t xml:space="preserve">Allows the user to edit or add previously defined tests for use in a Transfusion Complication Report. </w:t>
            </w:r>
          </w:p>
          <w:p w14:paraId="1E42BA85" w14:textId="77777777" w:rsidR="00CB6A89" w:rsidRDefault="00CB6A89" w:rsidP="00CB6A89">
            <w:pPr>
              <w:pStyle w:val="TableText"/>
              <w:rPr>
                <w:b/>
                <w:bCs/>
                <w:szCs w:val="18"/>
              </w:rPr>
            </w:pPr>
          </w:p>
          <w:p w14:paraId="00FA4D6C" w14:textId="60EC9FFE" w:rsidR="00CB6A89" w:rsidRDefault="00CB6A89" w:rsidP="00CB6A89">
            <w:pPr>
              <w:pStyle w:val="TableText"/>
              <w:rPr>
                <w:b/>
                <w:bCs/>
                <w:szCs w:val="18"/>
              </w:rPr>
            </w:pPr>
            <w:r>
              <w:rPr>
                <w:b/>
                <w:bCs/>
                <w:szCs w:val="18"/>
              </w:rPr>
              <w:t>NOTES</w:t>
            </w:r>
          </w:p>
          <w:p w14:paraId="1D78D831" w14:textId="77777777" w:rsidR="00CB6A89" w:rsidRDefault="00CB6A89" w:rsidP="00CB6A89">
            <w:pPr>
              <w:pStyle w:val="NotesText"/>
            </w:pPr>
          </w:p>
          <w:p w14:paraId="400A8CDE" w14:textId="77777777" w:rsidR="002A21AE" w:rsidRDefault="00CB6A89" w:rsidP="00CB6A89">
            <w:pPr>
              <w:pStyle w:val="TableTextBullet"/>
              <w:numPr>
                <w:ilvl w:val="0"/>
                <w:numId w:val="0"/>
              </w:numPr>
              <w:ind w:left="720" w:hanging="720"/>
              <w:rPr>
                <w:rFonts w:ascii="MS Shell Dlg 2" w:hAnsi="MS Shell Dlg 2"/>
                <w:color w:val="000000"/>
                <w:szCs w:val="18"/>
              </w:rPr>
            </w:pPr>
            <w:r w:rsidRPr="00D0406D">
              <w:rPr>
                <w:rFonts w:cs="Arial"/>
                <w:vanish/>
              </w:rPr>
              <w:t>BR_34</w:t>
            </w:r>
            <w:r w:rsidR="00E170B3" w:rsidRPr="00D0406D">
              <w:rPr>
                <w:rFonts w:cs="Arial"/>
                <w:vanish/>
              </w:rPr>
              <w:t>.03, DR 4364</w:t>
            </w:r>
            <w:r w:rsidR="0048718E" w:rsidRPr="00D0406D">
              <w:tab/>
              <w:t xml:space="preserve">VBECS displays the </w:t>
            </w:r>
            <w:r w:rsidR="0043684E">
              <w:t xml:space="preserve">entered </w:t>
            </w:r>
            <w:r w:rsidR="0048718E" w:rsidRPr="00D0406D">
              <w:t>l</w:t>
            </w:r>
            <w:r w:rsidR="009C4F04">
              <w:t xml:space="preserve">aboratory test names in all uppercase </w:t>
            </w:r>
            <w:r w:rsidR="00A403FD">
              <w:t>letters</w:t>
            </w:r>
            <w:r w:rsidR="0048718E" w:rsidRPr="00D0406D">
              <w:t xml:space="preserve">. The retrieval of lab tests </w:t>
            </w:r>
            <w:r w:rsidR="00A1211F">
              <w:t>occurs</w:t>
            </w:r>
            <w:r w:rsidR="009C4F04">
              <w:t xml:space="preserve"> in VistA </w:t>
            </w:r>
            <w:r w:rsidR="0048718E" w:rsidRPr="00D0406D">
              <w:t>and results for the Transfusion Complications Report are not case sensitive. There is a limit of 25 active entries. (If the user enters all of the available results for the test, he can get results that are not filtered by VBECS.)</w:t>
            </w:r>
          </w:p>
          <w:p w14:paraId="6FCB0769" w14:textId="77777777" w:rsidR="00CB6A89" w:rsidRPr="00CB6A89" w:rsidRDefault="00CB6A89" w:rsidP="00CB6A89">
            <w:pPr>
              <w:pStyle w:val="TableTextBullet"/>
              <w:numPr>
                <w:ilvl w:val="0"/>
                <w:numId w:val="0"/>
              </w:numPr>
              <w:ind w:left="720" w:hanging="720"/>
              <w:rPr>
                <w:rFonts w:ascii="MS Shell Dlg 2" w:hAnsi="MS Shell Dlg 2"/>
                <w:color w:val="000000"/>
                <w:szCs w:val="18"/>
              </w:rPr>
            </w:pPr>
          </w:p>
        </w:tc>
      </w:tr>
      <w:tr w:rsidR="002A21AE" w14:paraId="00F19155" w14:textId="77777777" w:rsidTr="006C058D">
        <w:trPr>
          <w:cantSplit/>
        </w:trPr>
        <w:tc>
          <w:tcPr>
            <w:tcW w:w="3240" w:type="dxa"/>
          </w:tcPr>
          <w:p w14:paraId="19D56C3A" w14:textId="39EC501F" w:rsidR="002A21AE" w:rsidRDefault="002A21AE">
            <w:pPr>
              <w:pStyle w:val="TableTextNumbers"/>
            </w:pPr>
            <w:r>
              <w:lastRenderedPageBreak/>
              <w:t xml:space="preserve">Click the </w:t>
            </w:r>
            <w:r>
              <w:rPr>
                <w:b/>
              </w:rPr>
              <w:t xml:space="preserve">Numeric Threshold </w:t>
            </w:r>
            <w:r w:rsidRPr="00BF2E41">
              <w:t>radio button</w:t>
            </w:r>
            <w:r>
              <w:t xml:space="preserve"> and enter or edit test threshold information</w:t>
            </w:r>
            <w:r w:rsidR="00E1279C">
              <w:t xml:space="preserve"> (</w:t>
            </w:r>
            <w:r w:rsidR="00EE455E">
              <w:t xml:space="preserve">Figure </w:t>
            </w:r>
            <w:r w:rsidR="00EE455E">
              <w:rPr>
                <w:noProof/>
              </w:rPr>
              <w:t>33</w:t>
            </w:r>
            <w:r w:rsidR="00E1279C">
              <w:t>)</w:t>
            </w:r>
            <w:r>
              <w:t>.</w:t>
            </w:r>
          </w:p>
          <w:p w14:paraId="2BA59E13" w14:textId="77777777" w:rsidR="002A21AE" w:rsidRDefault="002A21AE">
            <w:pPr>
              <w:pStyle w:val="TableTextNumbersContinued"/>
            </w:pPr>
          </w:p>
          <w:p w14:paraId="0BAE10CD" w14:textId="77777777" w:rsidR="002A21AE" w:rsidRDefault="002A21AE">
            <w:pPr>
              <w:pStyle w:val="TableTextNumbersContinued"/>
            </w:pPr>
            <w:r>
              <w:t xml:space="preserve">Click </w:t>
            </w:r>
            <w:r>
              <w:rPr>
                <w:b/>
              </w:rPr>
              <w:t>Add</w:t>
            </w:r>
            <w:r>
              <w:t xml:space="preserve"> to add the test to the list, or</w:t>
            </w:r>
          </w:p>
          <w:p w14:paraId="2FC75068" w14:textId="77777777" w:rsidR="002A21AE" w:rsidRDefault="002A21AE">
            <w:pPr>
              <w:pStyle w:val="TableTextNumbersContinued"/>
            </w:pPr>
          </w:p>
          <w:p w14:paraId="0C6467A6" w14:textId="77777777" w:rsidR="002A21AE" w:rsidRDefault="002A21AE">
            <w:pPr>
              <w:pStyle w:val="TableTextNumbersContinued"/>
            </w:pPr>
            <w:r>
              <w:t xml:space="preserve">Click </w:t>
            </w:r>
            <w:r>
              <w:rPr>
                <w:b/>
              </w:rPr>
              <w:t>Update</w:t>
            </w:r>
            <w:r>
              <w:t xml:space="preserve"> to save changes to a previously saved test.</w:t>
            </w:r>
          </w:p>
          <w:p w14:paraId="02E8F1D2" w14:textId="77777777" w:rsidR="002A21AE" w:rsidRDefault="002A21AE">
            <w:pPr>
              <w:pStyle w:val="TableTextNumbersContinued"/>
            </w:pPr>
          </w:p>
          <w:p w14:paraId="3D91C6B4" w14:textId="77777777" w:rsidR="002A21AE" w:rsidRDefault="002A21AE">
            <w:pPr>
              <w:pStyle w:val="TableTextNumbersContinued"/>
            </w:pPr>
            <w:r>
              <w:t xml:space="preserve">Click </w:t>
            </w:r>
            <w:r>
              <w:rPr>
                <w:b/>
              </w:rPr>
              <w:t>OK</w:t>
            </w:r>
            <w:r>
              <w:t xml:space="preserve"> to save and </w:t>
            </w:r>
            <w:r>
              <w:rPr>
                <w:b/>
              </w:rPr>
              <w:t>Yes</w:t>
            </w:r>
            <w:r>
              <w:t xml:space="preserve"> to confirm the save.</w:t>
            </w:r>
          </w:p>
        </w:tc>
        <w:tc>
          <w:tcPr>
            <w:tcW w:w="6120" w:type="dxa"/>
          </w:tcPr>
          <w:p w14:paraId="1C80B0D3" w14:textId="77777777" w:rsidR="002A21AE" w:rsidRDefault="002A21AE">
            <w:pPr>
              <w:pStyle w:val="TableTextBullet"/>
            </w:pPr>
            <w:r>
              <w:t>Allows the user to enter one or more tests.</w:t>
            </w:r>
          </w:p>
          <w:p w14:paraId="100C596F" w14:textId="77777777" w:rsidR="002A21AE" w:rsidRDefault="002A21AE">
            <w:pPr>
              <w:pStyle w:val="TableTextBullet"/>
            </w:pPr>
            <w:r>
              <w:t>Uses VistALink to retrieve test data.</w:t>
            </w:r>
          </w:p>
          <w:p w14:paraId="44CFB571" w14:textId="77777777" w:rsidR="002A21AE" w:rsidRDefault="002A21AE">
            <w:pPr>
              <w:pStyle w:val="TableText"/>
            </w:pPr>
          </w:p>
          <w:p w14:paraId="6F7079C7" w14:textId="70C2B98C" w:rsidR="002A21AE" w:rsidRDefault="002A21AE">
            <w:pPr>
              <w:pStyle w:val="TableText"/>
              <w:rPr>
                <w:b/>
                <w:bCs/>
                <w:szCs w:val="18"/>
              </w:rPr>
            </w:pPr>
            <w:r>
              <w:rPr>
                <w:b/>
                <w:bCs/>
                <w:szCs w:val="18"/>
              </w:rPr>
              <w:t>NOTES</w:t>
            </w:r>
          </w:p>
          <w:p w14:paraId="48FCBD4E" w14:textId="77777777" w:rsidR="002A21AE" w:rsidRDefault="002A21AE">
            <w:pPr>
              <w:pStyle w:val="NotesText"/>
            </w:pPr>
          </w:p>
          <w:p w14:paraId="22F73679" w14:textId="411E7E44" w:rsidR="002A21AE" w:rsidRDefault="002A21AE">
            <w:pPr>
              <w:pStyle w:val="NotesText"/>
            </w:pPr>
            <w:r w:rsidRPr="008879B5">
              <w:rPr>
                <w:rFonts w:cs="Arial"/>
                <w:vanish/>
              </w:rPr>
              <w:t xml:space="preserve">BR_34.02 </w:t>
            </w:r>
            <w:r w:rsidRPr="008879B5">
              <w:t>When defining a test reported as a text value, VBECS accommodates the input of specific text (1</w:t>
            </w:r>
            <w:r w:rsidR="004D0A70">
              <w:t xml:space="preserve"> through </w:t>
            </w:r>
            <w:r w:rsidRPr="008879B5">
              <w:t xml:space="preserve">255 characters) that </w:t>
            </w:r>
            <w:r w:rsidR="004D0A70">
              <w:t>are</w:t>
            </w:r>
            <w:r w:rsidRPr="008879B5">
              <w:t xml:space="preserve"> used to search for matching values.</w:t>
            </w:r>
          </w:p>
        </w:tc>
      </w:tr>
      <w:tr w:rsidR="002A21AE" w14:paraId="79814122" w14:textId="77777777">
        <w:tc>
          <w:tcPr>
            <w:tcW w:w="3240" w:type="dxa"/>
          </w:tcPr>
          <w:p w14:paraId="4E612765" w14:textId="77777777" w:rsidR="002A21AE" w:rsidRDefault="002A21AE">
            <w:pPr>
              <w:pStyle w:val="TableTextNumbers"/>
            </w:pPr>
            <w:r>
              <w:t xml:space="preserve">Click </w:t>
            </w:r>
            <w:r>
              <w:rPr>
                <w:b/>
              </w:rPr>
              <w:t>OK</w:t>
            </w:r>
            <w:r>
              <w:t xml:space="preserve"> to save and </w:t>
            </w:r>
            <w:r>
              <w:rPr>
                <w:b/>
              </w:rPr>
              <w:t>Yes</w:t>
            </w:r>
            <w:r>
              <w:t xml:space="preserve"> to confirm the save and exit.</w:t>
            </w:r>
          </w:p>
        </w:tc>
        <w:tc>
          <w:tcPr>
            <w:tcW w:w="6120" w:type="dxa"/>
          </w:tcPr>
          <w:p w14:paraId="00312C68" w14:textId="77777777" w:rsidR="002A21AE" w:rsidRDefault="002A21AE">
            <w:pPr>
              <w:pStyle w:val="TableTextBullet"/>
            </w:pPr>
            <w:r>
              <w:t>Updates the database.</w:t>
            </w:r>
          </w:p>
        </w:tc>
      </w:tr>
      <w:tr w:rsidR="002A21AE" w14:paraId="2DFAB1DB" w14:textId="77777777">
        <w:tc>
          <w:tcPr>
            <w:tcW w:w="3240" w:type="dxa"/>
          </w:tcPr>
          <w:p w14:paraId="6EACADC3" w14:textId="5BB1B17F" w:rsidR="002A21AE" w:rsidRDefault="002A21AE">
            <w:pPr>
              <w:pStyle w:val="TableTextNumbers"/>
            </w:pPr>
            <w:r>
              <w:t>Repeat Steps 2</w:t>
            </w:r>
            <w:r w:rsidR="004F5589">
              <w:t xml:space="preserve"> through </w:t>
            </w:r>
            <w:r>
              <w:t xml:space="preserve">4 for each transfusion complication test to be defined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192F62B" w14:textId="77777777" w:rsidR="002A21AE" w:rsidRDefault="002A21AE">
            <w:pPr>
              <w:pStyle w:val="TableText"/>
            </w:pPr>
          </w:p>
        </w:tc>
      </w:tr>
    </w:tbl>
    <w:p w14:paraId="0585D722" w14:textId="1992F876" w:rsidR="00E1279C" w:rsidRDefault="00E1279C" w:rsidP="00E1279C">
      <w:pPr>
        <w:pStyle w:val="Caption"/>
      </w:pPr>
      <w:bookmarkStart w:id="190" w:name="_Ref12647216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34</w:t>
      </w:r>
      <w:r w:rsidR="004E20BD">
        <w:rPr>
          <w:noProof/>
        </w:rPr>
        <w:fldChar w:fldCharType="end"/>
      </w:r>
      <w:bookmarkEnd w:id="190"/>
      <w:r>
        <w:t>: Transfusion Complication Thresholds</w:t>
      </w:r>
    </w:p>
    <w:p w14:paraId="7A9AEC25" w14:textId="77777777" w:rsidR="00E1279C" w:rsidRDefault="00057948" w:rsidP="00E1279C">
      <w:pPr>
        <w:pStyle w:val="BodyText"/>
      </w:pPr>
      <w:r>
        <w:rPr>
          <w:noProof/>
        </w:rPr>
        <w:drawing>
          <wp:inline distT="0" distB="0" distL="0" distR="0" wp14:anchorId="29045821" wp14:editId="26284DCA">
            <wp:extent cx="3888740" cy="2909570"/>
            <wp:effectExtent l="0" t="0" r="0" b="5080"/>
            <wp:docPr id="136" name="Picture 136" descr="Example of Transfusion Complication Threshold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Example of Transfusion Complication Thresholds screen capt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8740" cy="2909570"/>
                    </a:xfrm>
                    <a:prstGeom prst="rect">
                      <a:avLst/>
                    </a:prstGeom>
                    <a:noFill/>
                    <a:ln>
                      <a:noFill/>
                    </a:ln>
                  </pic:spPr>
                </pic:pic>
              </a:graphicData>
            </a:graphic>
          </wp:inline>
        </w:drawing>
      </w:r>
    </w:p>
    <w:p w14:paraId="24623B82" w14:textId="77777777" w:rsidR="002A21AE" w:rsidRDefault="00466CF2">
      <w:pPr>
        <w:pStyle w:val="Heading3"/>
      </w:pPr>
      <w:r>
        <w:br w:type="page"/>
      </w:r>
      <w:bookmarkStart w:id="191" w:name="_Toc163644897"/>
      <w:r w:rsidR="002A21AE">
        <w:lastRenderedPageBreak/>
        <w:t>Transfusion Effectiveness</w:t>
      </w:r>
      <w:bookmarkEnd w:id="191"/>
      <w:r w:rsidR="002A21AE">
        <w:fldChar w:fldCharType="begin"/>
      </w:r>
      <w:r w:rsidR="002A21AE">
        <w:instrText xml:space="preserve"> XE </w:instrText>
      </w:r>
      <w:r w:rsidR="00FA7E65">
        <w:instrText>“</w:instrText>
      </w:r>
      <w:r w:rsidR="002A21AE">
        <w:instrText>Transfusion Effectiveness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UC_33</w:t>
      </w:r>
    </w:p>
    <w:p w14:paraId="6791ABA3" w14:textId="77777777" w:rsidR="002A21AE" w:rsidRDefault="00095BAC" w:rsidP="00FA7E65">
      <w:pPr>
        <w:pStyle w:val="BodyText"/>
      </w:pPr>
      <w:bookmarkStart w:id="192" w:name="_Toc63680393"/>
      <w:r>
        <w:t>The user defines L</w:t>
      </w:r>
      <w:r w:rsidR="002A21AE">
        <w:t xml:space="preserve">aboratory tests to monitor the effectiveness of transfusions. </w:t>
      </w:r>
    </w:p>
    <w:p w14:paraId="5A727C02" w14:textId="77777777" w:rsidR="002A21AE" w:rsidRDefault="002A21AE">
      <w:pPr>
        <w:pStyle w:val="Heading4"/>
      </w:pPr>
      <w:r>
        <w:t>Assumptions</w:t>
      </w:r>
    </w:p>
    <w:p w14:paraId="750C32DD" w14:textId="77777777" w:rsidR="00CA0045" w:rsidRDefault="00CA0045">
      <w:pPr>
        <w:pStyle w:val="ListBullet"/>
      </w:pPr>
      <w:r w:rsidRPr="00CA0045">
        <w:rPr>
          <w:bCs/>
        </w:rPr>
        <w:t>VistA</w:t>
      </w:r>
      <w:r w:rsidR="002A21AE">
        <w:t xml:space="preserve"> lab tests are defined</w:t>
      </w:r>
      <w:r>
        <w:t>.</w:t>
      </w:r>
    </w:p>
    <w:p w14:paraId="700835D4" w14:textId="77777777" w:rsidR="002A21AE" w:rsidRDefault="00CA0045">
      <w:pPr>
        <w:pStyle w:val="ListBullet"/>
      </w:pPr>
      <w:r>
        <w:t>T</w:t>
      </w:r>
      <w:r w:rsidR="002A21AE">
        <w:t xml:space="preserve">he connection to </w:t>
      </w:r>
      <w:r w:rsidRPr="00CA0045">
        <w:rPr>
          <w:bCs/>
        </w:rPr>
        <w:t>VistA</w:t>
      </w:r>
      <w:r w:rsidR="002A21AE">
        <w:t xml:space="preserve"> is active.</w:t>
      </w:r>
    </w:p>
    <w:p w14:paraId="0605F570" w14:textId="77777777" w:rsidR="002A21AE" w:rsidRDefault="002A21AE">
      <w:pPr>
        <w:pStyle w:val="Heading4"/>
      </w:pPr>
      <w:r>
        <w:t>Outcome</w:t>
      </w:r>
    </w:p>
    <w:p w14:paraId="2DA58110" w14:textId="77777777" w:rsidR="002A21AE" w:rsidRDefault="002A21AE">
      <w:pPr>
        <w:pStyle w:val="ListBullet"/>
      </w:pPr>
      <w:r>
        <w:t>Parameters are defined for future reports.</w:t>
      </w:r>
    </w:p>
    <w:p w14:paraId="4154FF34" w14:textId="77777777" w:rsidR="002A21AE" w:rsidRDefault="002A21AE">
      <w:pPr>
        <w:pStyle w:val="Heading4"/>
      </w:pPr>
      <w:r>
        <w:t>Limitations and Restrictions</w:t>
      </w:r>
    </w:p>
    <w:p w14:paraId="74CF5729" w14:textId="77777777" w:rsidR="002A21AE" w:rsidRDefault="002A21AE">
      <w:pPr>
        <w:pStyle w:val="ListBullet"/>
      </w:pPr>
      <w:r>
        <w:t xml:space="preserve">None </w:t>
      </w:r>
    </w:p>
    <w:p w14:paraId="514FC7F7" w14:textId="77777777" w:rsidR="002A21AE" w:rsidRDefault="002A21AE">
      <w:pPr>
        <w:pStyle w:val="Heading4"/>
      </w:pPr>
      <w:r>
        <w:t>Additional Information</w:t>
      </w:r>
    </w:p>
    <w:p w14:paraId="7CB7232C" w14:textId="77777777" w:rsidR="002A21AE" w:rsidRDefault="002A21AE">
      <w:pPr>
        <w:pStyle w:val="ListBullet"/>
      </w:pPr>
      <w:r>
        <w:t xml:space="preserve">None </w:t>
      </w:r>
    </w:p>
    <w:p w14:paraId="18CD4406" w14:textId="77777777" w:rsidR="002A21AE" w:rsidRDefault="002A21AE">
      <w:pPr>
        <w:pStyle w:val="Heading4"/>
      </w:pPr>
      <w:r>
        <w:t xml:space="preserve">User Roles with Access to This Option </w:t>
      </w:r>
    </w:p>
    <w:p w14:paraId="15B76988" w14:textId="77777777" w:rsidR="002A21AE" w:rsidRDefault="002A09A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8584798" w14:textId="77777777" w:rsidR="002A21AE" w:rsidRDefault="002A21AE">
      <w:pPr>
        <w:pStyle w:val="Heading4"/>
      </w:pPr>
      <w:r>
        <w:t>Transfusion Effectiveness</w:t>
      </w:r>
    </w:p>
    <w:p w14:paraId="2DBF6D1C" w14:textId="77777777" w:rsidR="002A21AE" w:rsidRDefault="002A21AE" w:rsidP="00FA7E65">
      <w:pPr>
        <w:pStyle w:val="BodyText"/>
      </w:pPr>
      <w:r>
        <w:t>The user enters the tests to be included in the Transfusion Effectiveness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9DF72BC" w14:textId="77777777">
        <w:trPr>
          <w:tblHeader/>
        </w:trPr>
        <w:tc>
          <w:tcPr>
            <w:tcW w:w="3240" w:type="dxa"/>
            <w:shd w:val="pct30" w:color="auto" w:fill="FFFFFF"/>
            <w:vAlign w:val="bottom"/>
          </w:tcPr>
          <w:p w14:paraId="23C98B50" w14:textId="77777777" w:rsidR="002A21AE" w:rsidRDefault="002A21AE">
            <w:pPr>
              <w:pStyle w:val="TableText"/>
              <w:rPr>
                <w:b/>
              </w:rPr>
            </w:pPr>
            <w:r>
              <w:rPr>
                <w:b/>
              </w:rPr>
              <w:t>User Action</w:t>
            </w:r>
          </w:p>
        </w:tc>
        <w:tc>
          <w:tcPr>
            <w:tcW w:w="6120" w:type="dxa"/>
            <w:shd w:val="pct30" w:color="auto" w:fill="FFFFFF"/>
            <w:vAlign w:val="bottom"/>
          </w:tcPr>
          <w:p w14:paraId="05F24220" w14:textId="77777777" w:rsidR="002A21AE" w:rsidRDefault="002A21AE">
            <w:pPr>
              <w:pStyle w:val="TableText"/>
              <w:rPr>
                <w:b/>
              </w:rPr>
            </w:pPr>
            <w:r>
              <w:rPr>
                <w:b/>
              </w:rPr>
              <w:t>VBECS</w:t>
            </w:r>
          </w:p>
        </w:tc>
      </w:tr>
      <w:tr w:rsidR="002A21AE" w14:paraId="2D1E86D3" w14:textId="77777777">
        <w:tc>
          <w:tcPr>
            <w:tcW w:w="3240" w:type="dxa"/>
          </w:tcPr>
          <w:p w14:paraId="4C41571C" w14:textId="77777777" w:rsidR="002A21AE" w:rsidRDefault="002A21AE">
            <w:pPr>
              <w:pStyle w:val="TableTextNumbers"/>
            </w:pPr>
            <w:r>
              <w:t xml:space="preserve">Select </w:t>
            </w:r>
            <w:r>
              <w:rPr>
                <w:b/>
                <w:bCs/>
              </w:rPr>
              <w:t>Tools</w:t>
            </w:r>
            <w:r>
              <w:t xml:space="preserve"> from the main menu.</w:t>
            </w:r>
          </w:p>
          <w:p w14:paraId="01B7AB96" w14:textId="77777777" w:rsidR="002A21AE" w:rsidRDefault="002A21AE">
            <w:pPr>
              <w:pStyle w:val="TableTextNumbersContinued"/>
              <w:rPr>
                <w:bCs/>
              </w:rPr>
            </w:pPr>
          </w:p>
          <w:p w14:paraId="7E3E47DF" w14:textId="77777777" w:rsidR="002A21AE" w:rsidRDefault="002A21AE">
            <w:pPr>
              <w:pStyle w:val="TableTextNumbersContinued"/>
              <w:rPr>
                <w:b/>
                <w:bCs/>
              </w:rPr>
            </w:pPr>
            <w:r>
              <w:rPr>
                <w:bCs/>
              </w:rPr>
              <w:t>Select</w:t>
            </w:r>
            <w:r>
              <w:rPr>
                <w:b/>
                <w:bCs/>
              </w:rPr>
              <w:t xml:space="preserve"> Transfusion Effectiveness</w:t>
            </w:r>
            <w:r>
              <w:rPr>
                <w:bCs/>
              </w:rPr>
              <w:t>.</w:t>
            </w:r>
          </w:p>
        </w:tc>
        <w:tc>
          <w:tcPr>
            <w:tcW w:w="6120" w:type="dxa"/>
          </w:tcPr>
          <w:p w14:paraId="36582090" w14:textId="77777777" w:rsidR="002A21AE" w:rsidRDefault="002A21AE">
            <w:pPr>
              <w:pStyle w:val="TableTextBullet"/>
            </w:pPr>
            <w:r>
              <w:t xml:space="preserve">Displays options for processing administrative functions. </w:t>
            </w:r>
          </w:p>
          <w:p w14:paraId="6DE60A1A" w14:textId="77777777" w:rsidR="002A21AE" w:rsidRDefault="002A21AE">
            <w:pPr>
              <w:pStyle w:val="TableTextBullet"/>
            </w:pPr>
            <w:r>
              <w:t>Allows the user to edit a previously defined Transfusion Effectiveness Tests or add a test.</w:t>
            </w:r>
          </w:p>
        </w:tc>
      </w:tr>
      <w:tr w:rsidR="002A21AE" w14:paraId="009083DB" w14:textId="77777777">
        <w:tc>
          <w:tcPr>
            <w:tcW w:w="3240" w:type="dxa"/>
          </w:tcPr>
          <w:p w14:paraId="07271E67" w14:textId="77777777" w:rsidR="002A21AE" w:rsidRDefault="002A21AE">
            <w:pPr>
              <w:pStyle w:val="TableTextNumbers"/>
            </w:pPr>
            <w:r>
              <w:t xml:space="preserve">Click the </w:t>
            </w:r>
            <w:r w:rsidR="00A6373D">
              <w:rPr>
                <w:b/>
              </w:rPr>
              <w:t>find</w:t>
            </w:r>
            <w:r w:rsidRPr="00BF2E41">
              <w:t xml:space="preserve"> button</w:t>
            </w:r>
            <w:r>
              <w:t xml:space="preserve"> to search for a Transfusion Effectiveness Test. </w:t>
            </w:r>
          </w:p>
          <w:p w14:paraId="02C60F6B" w14:textId="77777777" w:rsidR="002A21AE" w:rsidRDefault="002A21AE">
            <w:pPr>
              <w:pStyle w:val="TableTextNumbersContinued"/>
            </w:pPr>
          </w:p>
          <w:p w14:paraId="034A1F9E" w14:textId="77777777" w:rsidR="005E16D4" w:rsidRDefault="005E16D4">
            <w:pPr>
              <w:pStyle w:val="TableTextNumbersContinued"/>
            </w:pPr>
            <w:r>
              <w:t>Enter part or all of a laboratory test name.</w:t>
            </w:r>
          </w:p>
          <w:p w14:paraId="4DAB962A" w14:textId="77777777" w:rsidR="005E16D4" w:rsidRDefault="005E16D4">
            <w:pPr>
              <w:pStyle w:val="TableTextNumbersContinued"/>
            </w:pPr>
          </w:p>
          <w:p w14:paraId="4AACA8B6" w14:textId="77777777" w:rsidR="005E16D4" w:rsidRDefault="005E16D4">
            <w:pPr>
              <w:pStyle w:val="TableTextNumbersContinued"/>
            </w:pPr>
            <w:r>
              <w:t xml:space="preserve">Click </w:t>
            </w:r>
            <w:r w:rsidRPr="005E16D4">
              <w:rPr>
                <w:b/>
              </w:rPr>
              <w:t>Search</w:t>
            </w:r>
            <w:r>
              <w:t>.</w:t>
            </w:r>
          </w:p>
          <w:p w14:paraId="5CD1300C" w14:textId="77777777" w:rsidR="005E16D4" w:rsidRDefault="005E16D4">
            <w:pPr>
              <w:pStyle w:val="TableTextNumbersContinued"/>
            </w:pPr>
          </w:p>
          <w:p w14:paraId="602D25B5" w14:textId="77777777" w:rsidR="002A21AE" w:rsidRDefault="002A21AE">
            <w:pPr>
              <w:pStyle w:val="TableTextNumbersContinued"/>
            </w:pPr>
            <w:r>
              <w:t xml:space="preserve">Click one </w:t>
            </w:r>
            <w:r w:rsidR="005E16D4">
              <w:t>to four</w:t>
            </w:r>
            <w:r>
              <w:t xml:space="preserve"> check boxes to select tests.</w:t>
            </w:r>
          </w:p>
          <w:p w14:paraId="3F0C796E" w14:textId="77777777" w:rsidR="002A21AE" w:rsidRDefault="002A21AE">
            <w:pPr>
              <w:pStyle w:val="TableTextNumbersContinued"/>
            </w:pPr>
          </w:p>
          <w:p w14:paraId="5C9B4148" w14:textId="77777777" w:rsidR="00E959B5" w:rsidRDefault="00E959B5">
            <w:pPr>
              <w:pStyle w:val="TableTextNumbersContinued"/>
            </w:pPr>
            <w:r>
              <w:t xml:space="preserve">Click </w:t>
            </w:r>
            <w:r w:rsidRPr="00E959B5">
              <w:rPr>
                <w:b/>
              </w:rPr>
              <w:t>OK</w:t>
            </w:r>
            <w:r>
              <w:t>.</w:t>
            </w:r>
          </w:p>
          <w:p w14:paraId="4B245C92" w14:textId="77777777" w:rsidR="00E959B5" w:rsidRDefault="00E959B5">
            <w:pPr>
              <w:pStyle w:val="TableTextNumbersContinued"/>
            </w:pPr>
          </w:p>
          <w:p w14:paraId="4D0018B7" w14:textId="1B0D708D" w:rsidR="002A21AE" w:rsidRDefault="002A21AE">
            <w:pPr>
              <w:pStyle w:val="TableTextNumbersContinued"/>
            </w:pPr>
            <w:r>
              <w:t xml:space="preserve">Click </w:t>
            </w:r>
            <w:r>
              <w:rPr>
                <w:b/>
              </w:rPr>
              <w:t>Add</w:t>
            </w:r>
            <w:r>
              <w:t xml:space="preserve"> to add the tests</w:t>
            </w:r>
            <w:r w:rsidR="005E5594">
              <w:t xml:space="preserve"> (</w:t>
            </w:r>
            <w:r w:rsidR="00EE455E">
              <w:t xml:space="preserve">Figure </w:t>
            </w:r>
            <w:r w:rsidR="00EE455E">
              <w:rPr>
                <w:noProof/>
              </w:rPr>
              <w:t>34</w:t>
            </w:r>
            <w:r w:rsidR="005E5594">
              <w:t>)</w:t>
            </w:r>
            <w:r>
              <w:t>, or</w:t>
            </w:r>
          </w:p>
          <w:p w14:paraId="17C10FDB" w14:textId="77777777" w:rsidR="002A21AE" w:rsidRDefault="002A21AE">
            <w:pPr>
              <w:pStyle w:val="TableTextNumbersContinued"/>
            </w:pPr>
          </w:p>
          <w:p w14:paraId="648A0332" w14:textId="77777777" w:rsidR="002A21AE" w:rsidRDefault="00C15633">
            <w:pPr>
              <w:pStyle w:val="TableTextNumbersContinued"/>
            </w:pPr>
            <w:r>
              <w:t xml:space="preserve">Click the </w:t>
            </w:r>
            <w:r>
              <w:rPr>
                <w:b/>
              </w:rPr>
              <w:t>Show Inactive Transfusion Effectiveness Report</w:t>
            </w:r>
            <w:r w:rsidR="008632FE">
              <w:rPr>
                <w:b/>
              </w:rPr>
              <w:t xml:space="preserve"> </w:t>
            </w:r>
            <w:r>
              <w:rPr>
                <w:b/>
              </w:rPr>
              <w:t xml:space="preserve">Tests </w:t>
            </w:r>
            <w:r w:rsidRPr="00D1100E">
              <w:t>check box</w:t>
            </w:r>
            <w:r>
              <w:t>, if desired.</w:t>
            </w:r>
            <w:r w:rsidR="002A21AE">
              <w:t xml:space="preserve"> </w:t>
            </w:r>
          </w:p>
          <w:p w14:paraId="1DA98FAD" w14:textId="77777777" w:rsidR="002A21AE" w:rsidRDefault="002A21AE">
            <w:pPr>
              <w:pStyle w:val="TableTextNumbersContinued"/>
            </w:pPr>
          </w:p>
          <w:p w14:paraId="0CF992A7" w14:textId="77777777" w:rsidR="002A21AE" w:rsidRDefault="002A21AE">
            <w:pPr>
              <w:pStyle w:val="TableTextNumbersContinued"/>
            </w:pPr>
            <w:r>
              <w:t xml:space="preserve">Click </w:t>
            </w:r>
            <w:r>
              <w:rPr>
                <w:b/>
              </w:rPr>
              <w:t>Update</w:t>
            </w:r>
            <w:r>
              <w:t xml:space="preserve"> to edit the tests.</w:t>
            </w:r>
          </w:p>
        </w:tc>
        <w:tc>
          <w:tcPr>
            <w:tcW w:w="6120" w:type="dxa"/>
          </w:tcPr>
          <w:p w14:paraId="5D7BC9FD" w14:textId="77777777" w:rsidR="002A21AE" w:rsidRDefault="002A21AE">
            <w:pPr>
              <w:pStyle w:val="TableTextBullet"/>
            </w:pPr>
            <w:r>
              <w:t xml:space="preserve">Allows the user to enter one or more Transfusion Effectiveness Tests. </w:t>
            </w:r>
          </w:p>
          <w:p w14:paraId="7100C706" w14:textId="77777777" w:rsidR="002A21AE" w:rsidRDefault="002A21AE">
            <w:pPr>
              <w:pStyle w:val="TableTextBullet"/>
            </w:pPr>
            <w:r>
              <w:t>Uses VistALink to retrieve Laboratory test data for each of these indicators:</w:t>
            </w:r>
          </w:p>
          <w:p w14:paraId="45E02265" w14:textId="77777777" w:rsidR="002A21AE" w:rsidRDefault="002A21AE">
            <w:pPr>
              <w:pStyle w:val="TableTextBullet1"/>
            </w:pPr>
            <w:r>
              <w:t>Laboratory test name</w:t>
            </w:r>
          </w:p>
          <w:p w14:paraId="42946837" w14:textId="77777777" w:rsidR="002A21AE" w:rsidRDefault="00CA0045">
            <w:pPr>
              <w:pStyle w:val="TableTextBullet1"/>
            </w:pPr>
            <w:r w:rsidRPr="00CA0045">
              <w:rPr>
                <w:bCs/>
              </w:rPr>
              <w:t>VistA</w:t>
            </w:r>
            <w:r w:rsidR="002A21AE">
              <w:t xml:space="preserve"> Laboratory test Internal Entry Number (IEN)</w:t>
            </w:r>
          </w:p>
          <w:p w14:paraId="526ED28E" w14:textId="77777777" w:rsidR="002A21AE" w:rsidRDefault="002A21AE">
            <w:pPr>
              <w:pStyle w:val="TableTextBullet1"/>
            </w:pPr>
            <w:r>
              <w:t>Specimen type</w:t>
            </w:r>
          </w:p>
        </w:tc>
      </w:tr>
      <w:tr w:rsidR="002A21AE" w14:paraId="06F1AA4C" w14:textId="77777777">
        <w:tc>
          <w:tcPr>
            <w:tcW w:w="3240" w:type="dxa"/>
          </w:tcPr>
          <w:p w14:paraId="431F1C1C" w14:textId="77777777" w:rsidR="002A21AE" w:rsidRDefault="002A21AE">
            <w:pPr>
              <w:pStyle w:val="TableTextNumbers"/>
            </w:pPr>
            <w:r>
              <w:lastRenderedPageBreak/>
              <w:t xml:space="preserve">Repeat Step 2 for each Transfusion Effectiveness Test to be defined, or click </w:t>
            </w:r>
            <w:r>
              <w:rPr>
                <w:b/>
              </w:rPr>
              <w:t>Cancel</w:t>
            </w:r>
            <w:r>
              <w:t xml:space="preserve"> to exit. </w:t>
            </w:r>
          </w:p>
        </w:tc>
        <w:tc>
          <w:tcPr>
            <w:tcW w:w="6120" w:type="dxa"/>
          </w:tcPr>
          <w:p w14:paraId="1B8636D1" w14:textId="77777777" w:rsidR="002A21AE" w:rsidRDefault="002A21AE">
            <w:pPr>
              <w:pStyle w:val="TableText"/>
            </w:pPr>
          </w:p>
        </w:tc>
      </w:tr>
      <w:tr w:rsidR="00E51B8B" w14:paraId="71DFB744" w14:textId="77777777">
        <w:tc>
          <w:tcPr>
            <w:tcW w:w="3240" w:type="dxa"/>
            <w:tcBorders>
              <w:top w:val="single" w:sz="4" w:space="0" w:color="auto"/>
              <w:left w:val="single" w:sz="4" w:space="0" w:color="auto"/>
              <w:bottom w:val="single" w:sz="4" w:space="0" w:color="auto"/>
              <w:right w:val="single" w:sz="4" w:space="0" w:color="auto"/>
            </w:tcBorders>
          </w:tcPr>
          <w:p w14:paraId="001EEC32" w14:textId="77777777" w:rsidR="00E51B8B" w:rsidRDefault="00E51B8B" w:rsidP="00E51B8B">
            <w:pPr>
              <w:pStyle w:val="TableTextNumbers"/>
            </w:pPr>
            <w:r>
              <w:t xml:space="preserve">Click </w:t>
            </w:r>
            <w:r w:rsidRPr="00E51B8B">
              <w:rPr>
                <w:b/>
              </w:rPr>
              <w:t>OK</w:t>
            </w:r>
            <w:r>
              <w:t xml:space="preserve"> to save</w:t>
            </w:r>
            <w:r w:rsidR="00F8353F">
              <w:t xml:space="preserve"> and </w:t>
            </w:r>
            <w:r w:rsidR="00F8353F" w:rsidRPr="00F8353F">
              <w:rPr>
                <w:b/>
              </w:rPr>
              <w:t>Yes</w:t>
            </w:r>
            <w:r w:rsidR="00F8353F">
              <w:t xml:space="preserve"> to confirm the save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3D57F1B0" w14:textId="77777777" w:rsidR="00E51B8B" w:rsidRDefault="00E51B8B" w:rsidP="00EF41C4">
            <w:pPr>
              <w:pStyle w:val="TableTextBullet"/>
            </w:pPr>
            <w:r>
              <w:t>Updates the database, including the date and time and the technologist ID. Saves changes to previously defined tests for inclusion in an Audit Trail Report.</w:t>
            </w:r>
          </w:p>
        </w:tc>
      </w:tr>
    </w:tbl>
    <w:p w14:paraId="2E869B1F" w14:textId="7A12C228" w:rsidR="005E5594" w:rsidRDefault="005E5594" w:rsidP="005E5594">
      <w:pPr>
        <w:pStyle w:val="Caption"/>
      </w:pPr>
      <w:bookmarkStart w:id="193" w:name="_Ref1264725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35</w:t>
      </w:r>
      <w:r w:rsidR="004E20BD">
        <w:rPr>
          <w:noProof/>
        </w:rPr>
        <w:fldChar w:fldCharType="end"/>
      </w:r>
      <w:bookmarkEnd w:id="193"/>
      <w:r>
        <w:t>: Transfusion Effectiveness Report Tests</w:t>
      </w:r>
    </w:p>
    <w:p w14:paraId="7CF9D1FE" w14:textId="77777777" w:rsidR="005E5594" w:rsidRDefault="00057948" w:rsidP="005E5594">
      <w:pPr>
        <w:pStyle w:val="BodyText"/>
      </w:pPr>
      <w:r>
        <w:rPr>
          <w:noProof/>
        </w:rPr>
        <w:drawing>
          <wp:inline distT="0" distB="0" distL="0" distR="0" wp14:anchorId="23606DA2" wp14:editId="4C07C908">
            <wp:extent cx="3454400" cy="2891155"/>
            <wp:effectExtent l="0" t="0" r="0" b="4445"/>
            <wp:docPr id="137" name="Picture 137" descr="Example of Transfusion Effectiveness Report Tes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Example of Transfusion Effectiveness Report Tests screen capt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54400" cy="2891155"/>
                    </a:xfrm>
                    <a:prstGeom prst="rect">
                      <a:avLst/>
                    </a:prstGeom>
                    <a:noFill/>
                    <a:ln>
                      <a:noFill/>
                    </a:ln>
                  </pic:spPr>
                </pic:pic>
              </a:graphicData>
            </a:graphic>
          </wp:inline>
        </w:drawing>
      </w:r>
    </w:p>
    <w:bookmarkEnd w:id="192"/>
    <w:p w14:paraId="16FA0665" w14:textId="77777777" w:rsidR="00D75EF6" w:rsidRDefault="00466CF2" w:rsidP="005E5594">
      <w:pPr>
        <w:pStyle w:val="Heading3"/>
      </w:pPr>
      <w:r>
        <w:br w:type="page"/>
      </w:r>
      <w:bookmarkStart w:id="194" w:name="_Toc163644898"/>
      <w:r w:rsidR="00D75EF6">
        <w:lastRenderedPageBreak/>
        <w:t>MSBOS</w:t>
      </w:r>
      <w:bookmarkEnd w:id="194"/>
      <w:r w:rsidR="00D75EF6">
        <w:fldChar w:fldCharType="begin"/>
      </w:r>
      <w:r w:rsidR="00D75EF6">
        <w:instrText xml:space="preserve"> XE “MSBOS” </w:instrText>
      </w:r>
      <w:r w:rsidR="00D75EF6">
        <w:fldChar w:fldCharType="end"/>
      </w:r>
      <w:r w:rsidR="00D75EF6">
        <w:t xml:space="preserve"> </w:t>
      </w:r>
      <w:r w:rsidR="00D75EF6">
        <w:rPr>
          <w:rFonts w:ascii="Times New Roman" w:hAnsi="Times New Roman" w:cs="Times New Roman"/>
          <w:vanish/>
          <w:sz w:val="22"/>
        </w:rPr>
        <w:t>UC_32</w:t>
      </w:r>
    </w:p>
    <w:p w14:paraId="10D413C1" w14:textId="77777777" w:rsidR="00D75EF6" w:rsidRDefault="00D75EF6" w:rsidP="00D75EF6">
      <w:pPr>
        <w:pStyle w:val="BodyText"/>
      </w:pPr>
      <w:r>
        <w:t xml:space="preserve">The user defines parameters for comparing blood component orders placed by a clinician with the Maximum Surgical Blood Ordering Schedule (MSBOS). </w:t>
      </w:r>
    </w:p>
    <w:p w14:paraId="33069C65" w14:textId="77777777" w:rsidR="00D75EF6" w:rsidRDefault="00D75EF6" w:rsidP="00D75EF6">
      <w:pPr>
        <w:pStyle w:val="Heading4"/>
      </w:pPr>
      <w:r>
        <w:t>Assumptions</w:t>
      </w:r>
    </w:p>
    <w:p w14:paraId="1FAA9AE5" w14:textId="77777777" w:rsidR="00D75EF6" w:rsidRDefault="00D75EF6" w:rsidP="00D75EF6">
      <w:pPr>
        <w:pStyle w:val="ListBullet"/>
      </w:pPr>
      <w:r>
        <w:t>A table of generic surgery names is available for MSBOS activation.</w:t>
      </w:r>
      <w:r>
        <w:rPr>
          <w:noProof/>
        </w:rPr>
        <w:t xml:space="preserve"> </w:t>
      </w:r>
    </w:p>
    <w:p w14:paraId="6F05129D" w14:textId="77777777" w:rsidR="00D75EF6" w:rsidRDefault="00D75EF6" w:rsidP="00D75EF6">
      <w:pPr>
        <w:pStyle w:val="Heading4"/>
      </w:pPr>
      <w:r>
        <w:t>Outcome</w:t>
      </w:r>
    </w:p>
    <w:p w14:paraId="30A7FF8E" w14:textId="77777777" w:rsidR="00D75EF6" w:rsidRDefault="00D75EF6" w:rsidP="00D75EF6">
      <w:pPr>
        <w:pStyle w:val="ListBullet"/>
      </w:pPr>
      <w:r>
        <w:t xml:space="preserve">CPRS users will see only active surgery names when placing a blood bank order. </w:t>
      </w:r>
    </w:p>
    <w:p w14:paraId="3803C16E" w14:textId="77777777" w:rsidR="00D75EF6" w:rsidRDefault="00D75EF6" w:rsidP="00D75EF6">
      <w:pPr>
        <w:pStyle w:val="ListBullet"/>
      </w:pPr>
      <w:r>
        <w:t xml:space="preserve">MSBOS will be available to VBECS users to evaluate the appropriateness of </w:t>
      </w:r>
      <w:r w:rsidR="00200425">
        <w:t xml:space="preserve">pre-op </w:t>
      </w:r>
      <w:r>
        <w:t>orders.</w:t>
      </w:r>
    </w:p>
    <w:p w14:paraId="03206072" w14:textId="77777777" w:rsidR="00D75EF6" w:rsidRDefault="00D75EF6" w:rsidP="00D75EF6">
      <w:pPr>
        <w:pStyle w:val="Heading4"/>
      </w:pPr>
      <w:r>
        <w:t>Limitations and Restrictions</w:t>
      </w:r>
    </w:p>
    <w:p w14:paraId="0C20B3D5" w14:textId="77777777" w:rsidR="00D75EF6" w:rsidRDefault="00D75EF6" w:rsidP="00D75EF6">
      <w:pPr>
        <w:pStyle w:val="ListBullet"/>
      </w:pPr>
      <w:r>
        <w:t>None</w:t>
      </w:r>
    </w:p>
    <w:p w14:paraId="5D9FB19F" w14:textId="77777777" w:rsidR="00D75EF6" w:rsidRDefault="00D75EF6" w:rsidP="00D75EF6">
      <w:pPr>
        <w:pStyle w:val="Heading4"/>
      </w:pPr>
      <w:r>
        <w:t>Additional Information</w:t>
      </w:r>
    </w:p>
    <w:p w14:paraId="526DF6EB" w14:textId="77777777" w:rsidR="00D75EF6" w:rsidRDefault="00D75EF6" w:rsidP="00D75EF6">
      <w:pPr>
        <w:pStyle w:val="ListBullet"/>
      </w:pPr>
      <w:r>
        <w:t>The maximum number of blood products serves as a guideline. Orders in excess of the MSBOS are not prohibited.</w:t>
      </w:r>
    </w:p>
    <w:p w14:paraId="5FA681F1" w14:textId="77777777" w:rsidR="00D75EF6" w:rsidRDefault="00D75EF6" w:rsidP="00D75EF6">
      <w:pPr>
        <w:pStyle w:val="ListBullet"/>
      </w:pPr>
      <w:r>
        <w:t>The VBECS user may view active and inactive surgery names.</w:t>
      </w:r>
    </w:p>
    <w:p w14:paraId="11D3DBF6" w14:textId="77777777" w:rsidR="00D75EF6" w:rsidRDefault="00D75EF6" w:rsidP="00D75EF6">
      <w:pPr>
        <w:pStyle w:val="Heading4"/>
      </w:pPr>
      <w:r>
        <w:t>User Roles with Access to This Option</w:t>
      </w:r>
    </w:p>
    <w:p w14:paraId="07AA24F1" w14:textId="77777777" w:rsidR="00D75EF6" w:rsidRDefault="00D75EF6" w:rsidP="00D75EF6">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557EA59" w14:textId="77777777" w:rsidR="00D75EF6" w:rsidRDefault="00D75EF6" w:rsidP="00D75EF6">
      <w:pPr>
        <w:pStyle w:val="Heading4"/>
      </w:pPr>
      <w:r>
        <w:t>MSBOS</w:t>
      </w:r>
    </w:p>
    <w:p w14:paraId="38C62609" w14:textId="77777777" w:rsidR="00D75EF6" w:rsidRDefault="00D75EF6" w:rsidP="00D75EF6">
      <w:pPr>
        <w:pStyle w:val="BodyText"/>
      </w:pPr>
      <w:r>
        <w:t xml:space="preserve">The user selects a surgery name from the generic surgery list or creates a new surgery name, then defines the associated MSBOS recommendation. MSBOS is used when VBECS acknowledges orders from </w:t>
      </w:r>
      <w:r w:rsidRPr="00CA0045">
        <w:rPr>
          <w:bCs/>
        </w:rPr>
        <w:t>VistA</w:t>
      </w:r>
      <w:r>
        <w:t xml:space="preserve"> that are written for preoperative patients.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75EF6" w14:paraId="1D37D59D" w14:textId="77777777">
        <w:trPr>
          <w:tblHeader/>
        </w:trPr>
        <w:tc>
          <w:tcPr>
            <w:tcW w:w="3240" w:type="dxa"/>
            <w:shd w:val="pct30" w:color="auto" w:fill="FFFFFF"/>
            <w:vAlign w:val="bottom"/>
          </w:tcPr>
          <w:p w14:paraId="24ADE89C" w14:textId="77777777" w:rsidR="00D75EF6" w:rsidRDefault="00D75EF6" w:rsidP="00DB1D38">
            <w:pPr>
              <w:pStyle w:val="TableText"/>
              <w:rPr>
                <w:b/>
              </w:rPr>
            </w:pPr>
            <w:r>
              <w:rPr>
                <w:b/>
              </w:rPr>
              <w:t>User Action</w:t>
            </w:r>
          </w:p>
        </w:tc>
        <w:tc>
          <w:tcPr>
            <w:tcW w:w="6120" w:type="dxa"/>
            <w:shd w:val="pct30" w:color="auto" w:fill="FFFFFF"/>
            <w:vAlign w:val="bottom"/>
          </w:tcPr>
          <w:p w14:paraId="3EC16B22" w14:textId="77777777" w:rsidR="00D75EF6" w:rsidRDefault="00D75EF6" w:rsidP="00DB1D38">
            <w:pPr>
              <w:pStyle w:val="TableText"/>
              <w:rPr>
                <w:b/>
              </w:rPr>
            </w:pPr>
            <w:r>
              <w:rPr>
                <w:b/>
              </w:rPr>
              <w:t>VBECS</w:t>
            </w:r>
          </w:p>
        </w:tc>
      </w:tr>
      <w:tr w:rsidR="00D75EF6" w14:paraId="36EF6B73" w14:textId="77777777">
        <w:tc>
          <w:tcPr>
            <w:tcW w:w="3240" w:type="dxa"/>
          </w:tcPr>
          <w:p w14:paraId="020AAED9" w14:textId="77777777" w:rsidR="00D75EF6" w:rsidRDefault="00D75EF6" w:rsidP="00DB1D38">
            <w:pPr>
              <w:pStyle w:val="TableTextNumbers"/>
            </w:pPr>
            <w:r>
              <w:t xml:space="preserve">Select </w:t>
            </w:r>
            <w:r>
              <w:rPr>
                <w:b/>
                <w:bCs/>
              </w:rPr>
              <w:t>Tools</w:t>
            </w:r>
            <w:r>
              <w:t xml:space="preserve"> from the main menu.</w:t>
            </w:r>
          </w:p>
          <w:p w14:paraId="6EE260E5" w14:textId="77777777" w:rsidR="00D75EF6" w:rsidRDefault="00D75EF6" w:rsidP="00DB1D38">
            <w:pPr>
              <w:pStyle w:val="TableTextNumbersContinued"/>
            </w:pPr>
          </w:p>
          <w:p w14:paraId="7DAC1585" w14:textId="77777777" w:rsidR="00D75EF6" w:rsidRDefault="00D75EF6" w:rsidP="00DB1D38">
            <w:pPr>
              <w:pStyle w:val="TableTextNumbersContinued"/>
            </w:pPr>
            <w:r>
              <w:t xml:space="preserve">Select </w:t>
            </w:r>
            <w:r>
              <w:rPr>
                <w:b/>
              </w:rPr>
              <w:t>MSBOS</w:t>
            </w:r>
            <w:r>
              <w:t>.</w:t>
            </w:r>
          </w:p>
        </w:tc>
        <w:tc>
          <w:tcPr>
            <w:tcW w:w="6120" w:type="dxa"/>
          </w:tcPr>
          <w:p w14:paraId="4DC2887A" w14:textId="77777777" w:rsidR="00D75EF6" w:rsidRDefault="00D75EF6" w:rsidP="00DB1D38">
            <w:pPr>
              <w:pStyle w:val="TableTextBullet"/>
            </w:pPr>
            <w:r>
              <w:t>Displays options for processing administrative functions.</w:t>
            </w:r>
          </w:p>
          <w:p w14:paraId="3AFA7F38" w14:textId="77777777" w:rsidR="00D75EF6" w:rsidRDefault="00D75EF6" w:rsidP="00DB1D38">
            <w:pPr>
              <w:pStyle w:val="TableTextBullet"/>
            </w:pPr>
            <w:r>
              <w:t xml:space="preserve">Displays the schedule and component recommendation options. </w:t>
            </w:r>
          </w:p>
        </w:tc>
      </w:tr>
      <w:tr w:rsidR="00D75EF6" w14:paraId="3A051B4E" w14:textId="77777777" w:rsidTr="007E500E">
        <w:trPr>
          <w:cantSplit/>
        </w:trPr>
        <w:tc>
          <w:tcPr>
            <w:tcW w:w="3240" w:type="dxa"/>
          </w:tcPr>
          <w:p w14:paraId="19F9E808" w14:textId="3ECAAC2D" w:rsidR="00D75EF6" w:rsidRDefault="00D75EF6" w:rsidP="00DB1D38">
            <w:pPr>
              <w:pStyle w:val="TableTextNumbers"/>
            </w:pPr>
            <w:r>
              <w:lastRenderedPageBreak/>
              <w:t xml:space="preserve">To activate an existing surgery name, click the </w:t>
            </w:r>
            <w:r>
              <w:rPr>
                <w:b/>
                <w:bCs/>
              </w:rPr>
              <w:t xml:space="preserve">Show Inactive MSBOS entries </w:t>
            </w:r>
            <w:r w:rsidRPr="00D1100E">
              <w:rPr>
                <w:bCs/>
              </w:rPr>
              <w:t>check box</w:t>
            </w:r>
            <w:r w:rsidR="00070D1C">
              <w:rPr>
                <w:bCs/>
              </w:rPr>
              <w:t xml:space="preserve"> (</w:t>
            </w:r>
            <w:r w:rsidR="00EE455E">
              <w:t xml:space="preserve">Figure </w:t>
            </w:r>
            <w:r w:rsidR="00EE455E">
              <w:rPr>
                <w:noProof/>
              </w:rPr>
              <w:t>35</w:t>
            </w:r>
            <w:r w:rsidR="00070D1C">
              <w:rPr>
                <w:bCs/>
              </w:rPr>
              <w:t>)</w:t>
            </w:r>
            <w:r>
              <w:t>.</w:t>
            </w:r>
          </w:p>
          <w:p w14:paraId="234738CD" w14:textId="77777777" w:rsidR="00D75EF6" w:rsidRDefault="00D75EF6" w:rsidP="00DB1D38">
            <w:pPr>
              <w:pStyle w:val="TableTextNumbersContinued"/>
            </w:pPr>
          </w:p>
          <w:p w14:paraId="7E5AC54B" w14:textId="77777777" w:rsidR="00D75EF6" w:rsidRDefault="00D75EF6" w:rsidP="00DB1D38">
            <w:pPr>
              <w:pStyle w:val="TableTextNumbersContinued"/>
            </w:pPr>
            <w:r>
              <w:t>Select a surgery name.</w:t>
            </w:r>
          </w:p>
          <w:p w14:paraId="7B4FD09E" w14:textId="77777777" w:rsidR="00D75EF6" w:rsidRDefault="00D75EF6" w:rsidP="00DB1D38">
            <w:pPr>
              <w:pStyle w:val="TableTextNumbersContinued"/>
            </w:pPr>
          </w:p>
          <w:p w14:paraId="40033FB3" w14:textId="77777777" w:rsidR="00D75EF6" w:rsidRDefault="00D75EF6" w:rsidP="00DB1D38">
            <w:pPr>
              <w:pStyle w:val="TableTextNumbersContinued"/>
            </w:pPr>
            <w:r>
              <w:t xml:space="preserve">Click the </w:t>
            </w:r>
            <w:r>
              <w:rPr>
                <w:b/>
                <w:bCs/>
              </w:rPr>
              <w:t xml:space="preserve">Active MSBOS Entry? </w:t>
            </w:r>
            <w:r w:rsidRPr="00D1100E">
              <w:rPr>
                <w:bCs/>
              </w:rPr>
              <w:t>check box</w:t>
            </w:r>
            <w:r>
              <w:t>, or</w:t>
            </w:r>
          </w:p>
          <w:p w14:paraId="57AF8B12" w14:textId="77777777" w:rsidR="00D75EF6" w:rsidRDefault="00D75EF6" w:rsidP="00DB1D38">
            <w:pPr>
              <w:pStyle w:val="TableTextNumbersContinued"/>
            </w:pPr>
          </w:p>
          <w:p w14:paraId="0477119A" w14:textId="77777777" w:rsidR="00D75EF6" w:rsidRDefault="00D75EF6" w:rsidP="00DB1D38">
            <w:pPr>
              <w:pStyle w:val="TableTextNumbersContinued"/>
            </w:pPr>
            <w:r>
              <w:t xml:space="preserve">To add and activate a surgery name, click </w:t>
            </w:r>
            <w:r>
              <w:rPr>
                <w:b/>
                <w:bCs/>
              </w:rPr>
              <w:t xml:space="preserve">New Surgery </w:t>
            </w:r>
            <w:r>
              <w:t xml:space="preserve">and enter a surgery name in the Surgery Name field. Click </w:t>
            </w:r>
            <w:r>
              <w:rPr>
                <w:b/>
                <w:bCs/>
              </w:rPr>
              <w:t>Add</w:t>
            </w:r>
            <w:r>
              <w:t xml:space="preserve">, or </w:t>
            </w:r>
          </w:p>
          <w:p w14:paraId="66EAEF2D" w14:textId="77777777" w:rsidR="00D75EF6" w:rsidRDefault="00D75EF6" w:rsidP="00DB1D38">
            <w:pPr>
              <w:pStyle w:val="TableTextNumbersContinued"/>
            </w:pPr>
          </w:p>
          <w:p w14:paraId="5DE66DF5" w14:textId="77777777" w:rsidR="00D75EF6" w:rsidRDefault="00D75EF6" w:rsidP="00DB1D38">
            <w:pPr>
              <w:pStyle w:val="TableTextNumbersContinued"/>
            </w:pPr>
            <w:r>
              <w:t xml:space="preserve">To edit and/or inactivate an existing surgery name, click the appropriate options in the MSBOS Component Recommendation area of the screen edit. Click </w:t>
            </w:r>
            <w:r>
              <w:rPr>
                <w:b/>
                <w:bCs/>
              </w:rPr>
              <w:t>Update</w:t>
            </w:r>
            <w:r>
              <w:t>.</w:t>
            </w:r>
          </w:p>
        </w:tc>
        <w:tc>
          <w:tcPr>
            <w:tcW w:w="6120" w:type="dxa"/>
          </w:tcPr>
          <w:p w14:paraId="6C153D52" w14:textId="77777777" w:rsidR="00D75EF6" w:rsidRDefault="00D75EF6" w:rsidP="00DB1D38">
            <w:pPr>
              <w:pStyle w:val="TableTextBullet"/>
            </w:pPr>
            <w:r>
              <w:t>Lists active surgery names or allows the user to create an entry.</w:t>
            </w:r>
          </w:p>
          <w:p w14:paraId="05DE7385" w14:textId="77777777" w:rsidR="00D75EF6" w:rsidRDefault="00D75EF6" w:rsidP="00DB1D38">
            <w:pPr>
              <w:pStyle w:val="TableTextBullet"/>
            </w:pPr>
            <w:r>
              <w:t>Activate, add, or edit a MSBOS entry and its associated data.</w:t>
            </w:r>
          </w:p>
          <w:p w14:paraId="42026B31" w14:textId="77777777" w:rsidR="00D75EF6" w:rsidRDefault="00D75EF6" w:rsidP="00DB1D38">
            <w:pPr>
              <w:pStyle w:val="TableTextBullet"/>
            </w:pPr>
            <w:r>
              <w:t>Displays surgery names available for activation.</w:t>
            </w:r>
          </w:p>
          <w:p w14:paraId="71D70147" w14:textId="77777777" w:rsidR="00D75EF6" w:rsidRDefault="00D75EF6" w:rsidP="00DB1D38">
            <w:pPr>
              <w:pStyle w:val="TableTextBullet"/>
            </w:pPr>
            <w:r>
              <w:t>Displays entries for review and acceptance.</w:t>
            </w:r>
          </w:p>
          <w:p w14:paraId="6058EFC3" w14:textId="77777777" w:rsidR="00D75EF6" w:rsidRDefault="00D75EF6" w:rsidP="00DB1D38">
            <w:pPr>
              <w:pStyle w:val="TableText"/>
            </w:pPr>
          </w:p>
          <w:p w14:paraId="4EF2E621" w14:textId="79552DBC" w:rsidR="00D75EF6" w:rsidRDefault="00D75EF6" w:rsidP="00DB1D38">
            <w:pPr>
              <w:pStyle w:val="TableText"/>
              <w:rPr>
                <w:b/>
                <w:bCs/>
                <w:szCs w:val="18"/>
              </w:rPr>
            </w:pPr>
            <w:r>
              <w:rPr>
                <w:b/>
                <w:bCs/>
                <w:szCs w:val="18"/>
              </w:rPr>
              <w:t>NOTES</w:t>
            </w:r>
          </w:p>
          <w:p w14:paraId="5773551B" w14:textId="77777777" w:rsidR="00D75EF6" w:rsidRDefault="00D75EF6" w:rsidP="00DB1D38">
            <w:pPr>
              <w:pStyle w:val="NotesText"/>
            </w:pPr>
          </w:p>
          <w:p w14:paraId="7E94D3D5" w14:textId="77777777" w:rsidR="00D75EF6" w:rsidRDefault="00D75EF6" w:rsidP="00DB1D38">
            <w:pPr>
              <w:pStyle w:val="NotesText"/>
            </w:pPr>
            <w:r w:rsidRPr="009660C3">
              <w:rPr>
                <w:vanish/>
                <w:szCs w:val="18"/>
              </w:rPr>
              <w:t xml:space="preserve">BR_32.01 </w:t>
            </w:r>
            <w:r>
              <w:t>MSBOS is specific to the division.</w:t>
            </w:r>
          </w:p>
          <w:p w14:paraId="2E8F8937" w14:textId="77777777" w:rsidR="00D75EF6" w:rsidRDefault="00D75EF6" w:rsidP="00DB1D38">
            <w:pPr>
              <w:pStyle w:val="NotesText"/>
            </w:pPr>
          </w:p>
          <w:p w14:paraId="538FE01E" w14:textId="59E51744" w:rsidR="00D75EF6" w:rsidRDefault="00D75EF6" w:rsidP="00DB1D38">
            <w:pPr>
              <w:pStyle w:val="NotesText"/>
            </w:pPr>
            <w:r>
              <w:t xml:space="preserve">See </w:t>
            </w:r>
            <w:r w:rsidR="00EE455E">
              <w:t xml:space="preserve">Appendix </w:t>
            </w:r>
            <w:r w:rsidR="00EE455E">
              <w:rPr>
                <w:noProof/>
              </w:rPr>
              <w:t>B</w:t>
            </w:r>
            <w:r w:rsidR="00DB529D">
              <w:t xml:space="preserve">: </w:t>
            </w:r>
            <w:r w:rsidR="00EE455E">
              <w:t xml:space="preserve">Table </w:t>
            </w:r>
            <w:r w:rsidR="00EE455E">
              <w:rPr>
                <w:noProof/>
              </w:rPr>
              <w:t>23</w:t>
            </w:r>
            <w:r w:rsidR="00EE455E">
              <w:t xml:space="preserve">: </w:t>
            </w:r>
            <w:r w:rsidR="00EE455E">
              <w:rPr>
                <w:vanish/>
              </w:rPr>
              <w:t>PT_32.01</w:t>
            </w:r>
            <w:r w:rsidR="00EE455E">
              <w:rPr>
                <w:vanish/>
                <w:sz w:val="16"/>
              </w:rPr>
              <w:t xml:space="preserve"> </w:t>
            </w:r>
            <w:r w:rsidR="00EE455E">
              <w:t>VBECS Maximum Surgical Blood Order Schedule (MSBOS)</w:t>
            </w:r>
            <w:r>
              <w:t>.</w:t>
            </w:r>
          </w:p>
          <w:p w14:paraId="5195B045" w14:textId="77777777" w:rsidR="00D75EF6" w:rsidRDefault="00D75EF6" w:rsidP="00DB1D38">
            <w:pPr>
              <w:pStyle w:val="NotesText"/>
            </w:pPr>
          </w:p>
          <w:p w14:paraId="76982AF1" w14:textId="77777777" w:rsidR="00D75EF6" w:rsidRDefault="00D75EF6" w:rsidP="00DB1D38">
            <w:pPr>
              <w:pStyle w:val="NotesText"/>
            </w:pPr>
            <w:r w:rsidRPr="009660C3">
              <w:rPr>
                <w:vanish/>
                <w:szCs w:val="18"/>
              </w:rPr>
              <w:t xml:space="preserve">BR_32.04 </w:t>
            </w:r>
            <w:r>
              <w:t>Each surgery name has a Type &amp; Screen (TAS) (no blood order recommended) or one or more component classes defined as recommended orders.</w:t>
            </w:r>
          </w:p>
          <w:p w14:paraId="46B464A0" w14:textId="77777777" w:rsidR="00D75EF6" w:rsidRDefault="00D75EF6" w:rsidP="00DB1D38">
            <w:pPr>
              <w:pStyle w:val="NotesText"/>
            </w:pPr>
          </w:p>
          <w:p w14:paraId="11851862" w14:textId="77777777" w:rsidR="00D75EF6" w:rsidRDefault="00D75EF6" w:rsidP="00DB1D38">
            <w:pPr>
              <w:pStyle w:val="NotesText"/>
            </w:pPr>
            <w:r w:rsidRPr="009660C3">
              <w:rPr>
                <w:vanish/>
                <w:szCs w:val="18"/>
              </w:rPr>
              <w:t>BR_32.02</w:t>
            </w:r>
            <w:r w:rsidR="009660C3" w:rsidRPr="009660C3">
              <w:rPr>
                <w:vanish/>
                <w:szCs w:val="18"/>
              </w:rPr>
              <w:t>,</w:t>
            </w:r>
            <w:r w:rsidRPr="009660C3">
              <w:rPr>
                <w:vanish/>
                <w:szCs w:val="18"/>
              </w:rPr>
              <w:t xml:space="preserve"> BR_32.03 </w:t>
            </w:r>
            <w:r>
              <w:t>The user may select one or more component classes for MSBOS recommendation. Each defined component class must have an associated maximum number recommended. The user may inactivate previously activated component classes for an MSBOS recommendation. The OTHER component class is not available for selection.</w:t>
            </w:r>
          </w:p>
        </w:tc>
      </w:tr>
      <w:tr w:rsidR="00D75EF6" w14:paraId="476AC749" w14:textId="77777777">
        <w:tc>
          <w:tcPr>
            <w:tcW w:w="3240" w:type="dxa"/>
          </w:tcPr>
          <w:p w14:paraId="70F53F8C" w14:textId="77777777" w:rsidR="00D75EF6" w:rsidRDefault="00D75EF6" w:rsidP="00DB1D38">
            <w:pPr>
              <w:pStyle w:val="TableTextNumbers"/>
            </w:pPr>
            <w:r>
              <w:t>Repeat Step 2 until all new entries are created or existing entries are edited.</w:t>
            </w:r>
          </w:p>
          <w:p w14:paraId="0B93D141" w14:textId="77777777" w:rsidR="00D75EF6" w:rsidRDefault="00D75EF6" w:rsidP="00DB1D38">
            <w:pPr>
              <w:pStyle w:val="TableTextNumbersContinued"/>
            </w:pPr>
          </w:p>
          <w:p w14:paraId="40CF5399" w14:textId="77777777" w:rsidR="00D75EF6" w:rsidRDefault="00D75EF6" w:rsidP="00DB1D38">
            <w:pPr>
              <w:pStyle w:val="TableTextNumbersContinued"/>
            </w:pPr>
            <w:r>
              <w:t xml:space="preserve">Click </w:t>
            </w:r>
            <w:r>
              <w:rPr>
                <w:b/>
              </w:rPr>
              <w:t>OK</w:t>
            </w:r>
            <w:r>
              <w:t xml:space="preserve"> to save the updated data.</w:t>
            </w:r>
          </w:p>
        </w:tc>
        <w:tc>
          <w:tcPr>
            <w:tcW w:w="6120" w:type="dxa"/>
          </w:tcPr>
          <w:p w14:paraId="6CC6FC21" w14:textId="77777777" w:rsidR="00D75EF6" w:rsidRDefault="00D75EF6" w:rsidP="00DB1D38">
            <w:pPr>
              <w:pStyle w:val="TableText"/>
              <w:rPr>
                <w:b/>
                <w:bCs/>
                <w:szCs w:val="18"/>
              </w:rPr>
            </w:pPr>
          </w:p>
          <w:p w14:paraId="28C37F3E" w14:textId="53C88B7E" w:rsidR="00D75EF6" w:rsidRDefault="00D75EF6" w:rsidP="00DB1D38">
            <w:pPr>
              <w:pStyle w:val="TableText"/>
              <w:rPr>
                <w:b/>
                <w:bCs/>
                <w:szCs w:val="18"/>
              </w:rPr>
            </w:pPr>
            <w:r>
              <w:rPr>
                <w:b/>
                <w:bCs/>
                <w:szCs w:val="18"/>
              </w:rPr>
              <w:t>NOTES</w:t>
            </w:r>
          </w:p>
          <w:p w14:paraId="6EF52DBC" w14:textId="77777777" w:rsidR="00D75EF6" w:rsidRDefault="00D75EF6" w:rsidP="00DB1D38">
            <w:pPr>
              <w:pStyle w:val="NotesText"/>
            </w:pPr>
          </w:p>
          <w:p w14:paraId="4EE878B0" w14:textId="77777777" w:rsidR="00D75EF6" w:rsidRDefault="00D75EF6" w:rsidP="00DB1D38">
            <w:pPr>
              <w:pStyle w:val="NotesText"/>
            </w:pPr>
            <w:r>
              <w:t xml:space="preserve">VBECS does not save changes to the database when the user clicks </w:t>
            </w:r>
            <w:r>
              <w:rPr>
                <w:b/>
                <w:bCs/>
              </w:rPr>
              <w:t>Cancel</w:t>
            </w:r>
            <w:r>
              <w:t xml:space="preserve"> without clicking </w:t>
            </w:r>
            <w:r>
              <w:rPr>
                <w:b/>
                <w:bCs/>
              </w:rPr>
              <w:t>OK</w:t>
            </w:r>
            <w:r>
              <w:t>.</w:t>
            </w:r>
          </w:p>
        </w:tc>
      </w:tr>
      <w:tr w:rsidR="00D75EF6" w14:paraId="1C6FF01A" w14:textId="77777777">
        <w:tc>
          <w:tcPr>
            <w:tcW w:w="3240" w:type="dxa"/>
          </w:tcPr>
          <w:p w14:paraId="666C2312" w14:textId="77777777" w:rsidR="00D75EF6" w:rsidRDefault="00D75EF6" w:rsidP="00DB1D38">
            <w:pPr>
              <w:pStyle w:val="TableTextNumbers"/>
            </w:pPr>
            <w:r>
              <w:t xml:space="preserve">Click </w:t>
            </w:r>
            <w:r>
              <w:rPr>
                <w:b/>
              </w:rPr>
              <w:t>Cancel</w:t>
            </w:r>
            <w:r>
              <w:rPr>
                <w:bCs/>
              </w:rPr>
              <w:t xml:space="preserve"> to exit</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D8A446D" w14:textId="77777777" w:rsidR="00D75EF6" w:rsidRDefault="00D75EF6" w:rsidP="00DB1D38">
            <w:pPr>
              <w:pStyle w:val="TableText"/>
            </w:pPr>
          </w:p>
        </w:tc>
      </w:tr>
    </w:tbl>
    <w:p w14:paraId="0D5ADB82" w14:textId="0F973D71" w:rsidR="00070D1C" w:rsidRDefault="00070D1C" w:rsidP="00070D1C">
      <w:pPr>
        <w:pStyle w:val="Caption"/>
      </w:pPr>
      <w:bookmarkStart w:id="195" w:name="_Ref12647286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36</w:t>
      </w:r>
      <w:r w:rsidR="004E20BD">
        <w:rPr>
          <w:noProof/>
        </w:rPr>
        <w:fldChar w:fldCharType="end"/>
      </w:r>
      <w:bookmarkEnd w:id="195"/>
      <w:r>
        <w:t>: Maintain MSBOS</w:t>
      </w:r>
    </w:p>
    <w:p w14:paraId="71A3B755" w14:textId="77777777" w:rsidR="00D75EF6" w:rsidRDefault="00057948" w:rsidP="00070D1C">
      <w:pPr>
        <w:pStyle w:val="BodyText"/>
      </w:pPr>
      <w:r>
        <w:rPr>
          <w:noProof/>
        </w:rPr>
        <w:drawing>
          <wp:inline distT="0" distB="0" distL="0" distR="0" wp14:anchorId="1027D1CB" wp14:editId="5F2EA27E">
            <wp:extent cx="3546475" cy="2936875"/>
            <wp:effectExtent l="0" t="0" r="0" b="0"/>
            <wp:docPr id="138" name="Picture 138" descr="Example of Maintain MSBO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Example of Maintain MSBOS screen capt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46475" cy="2936875"/>
                    </a:xfrm>
                    <a:prstGeom prst="rect">
                      <a:avLst/>
                    </a:prstGeom>
                    <a:noFill/>
                    <a:ln>
                      <a:noFill/>
                    </a:ln>
                  </pic:spPr>
                </pic:pic>
              </a:graphicData>
            </a:graphic>
          </wp:inline>
        </w:drawing>
      </w:r>
    </w:p>
    <w:p w14:paraId="30BD1F0E" w14:textId="77777777" w:rsidR="002A21AE" w:rsidRDefault="00466CF2" w:rsidP="00D75EF6">
      <w:pPr>
        <w:pStyle w:val="Heading3"/>
      </w:pPr>
      <w:r>
        <w:br w:type="page"/>
      </w:r>
      <w:bookmarkStart w:id="196" w:name="_Toc163644899"/>
      <w:r w:rsidR="002A21AE">
        <w:lastRenderedPageBreak/>
        <w:t>Workload Codes</w:t>
      </w:r>
      <w:bookmarkEnd w:id="196"/>
      <w:r w:rsidR="002A21AE">
        <w:fldChar w:fldCharType="begin"/>
      </w:r>
      <w:r w:rsidR="002A21AE">
        <w:instrText xml:space="preserve"> XE </w:instrText>
      </w:r>
      <w:r w:rsidR="00FA7E65">
        <w:instrText>“</w:instrText>
      </w:r>
      <w:r w:rsidR="002A21AE">
        <w:instrText>Workload Codes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UC_29</w:t>
      </w:r>
    </w:p>
    <w:p w14:paraId="625D3A92" w14:textId="2E680492" w:rsidR="009D7052" w:rsidRDefault="009D7052" w:rsidP="009D7052">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which VBECS uses when compiling and storing data to provide workload-related reports to </w:t>
      </w:r>
      <w:r w:rsidRPr="00CA0045">
        <w:rPr>
          <w:bCs/>
        </w:rPr>
        <w:t>VistA</w:t>
      </w:r>
      <w:r>
        <w:t>.</w:t>
      </w:r>
      <w:r w:rsidR="001414E9">
        <w:t xml:space="preserve"> See </w:t>
      </w:r>
      <w:r w:rsidR="001414E9" w:rsidRPr="00423A7F">
        <w:rPr>
          <w:i/>
          <w:iCs/>
        </w:rPr>
        <w:t xml:space="preserve">FAQ </w:t>
      </w:r>
      <w:r w:rsidR="002F7CC9" w:rsidRPr="00423A7F">
        <w:rPr>
          <w:i/>
          <w:iCs/>
        </w:rPr>
        <w:t xml:space="preserve">Workload Assignments </w:t>
      </w:r>
      <w:r w:rsidR="001414E9" w:rsidRPr="00423A7F">
        <w:rPr>
          <w:i/>
          <w:iCs/>
        </w:rPr>
        <w:t>Single vs Batch Processing</w:t>
      </w:r>
      <w:r w:rsidR="001414E9">
        <w:t>.</w:t>
      </w:r>
      <w:r w:rsidR="00E90A01">
        <w:t xml:space="preserve"> For additional information, see </w:t>
      </w:r>
      <w:r w:rsidR="00EE455E">
        <w:t xml:space="preserve">Appendix </w:t>
      </w:r>
      <w:r w:rsidR="00EE455E">
        <w:rPr>
          <w:noProof/>
        </w:rPr>
        <w:t>G</w:t>
      </w:r>
      <w:r w:rsidR="00EE455E">
        <w:t>: Work Process Flowcharts</w:t>
      </w:r>
      <w:r w:rsidR="00E90A01">
        <w:t>.</w:t>
      </w:r>
    </w:p>
    <w:p w14:paraId="2D9CCEC1" w14:textId="77777777" w:rsidR="002A21AE" w:rsidRDefault="002A21AE">
      <w:pPr>
        <w:pStyle w:val="Heading4"/>
      </w:pPr>
      <w:r>
        <w:t>Assumptions</w:t>
      </w:r>
    </w:p>
    <w:p w14:paraId="73B4822D" w14:textId="77777777" w:rsidR="002A21AE" w:rsidRDefault="002A21AE">
      <w:pPr>
        <w:pStyle w:val="ListBullet"/>
      </w:pPr>
      <w:r>
        <w:t xml:space="preserve">The </w:t>
      </w:r>
      <w:r w:rsidR="00CA0045" w:rsidRPr="00CA0045">
        <w:rPr>
          <w:bCs/>
        </w:rPr>
        <w:t>VistA</w:t>
      </w:r>
      <w:r>
        <w:t xml:space="preserve"> database was updated to include all required workload codes for the VBECS process.</w:t>
      </w:r>
    </w:p>
    <w:p w14:paraId="6EF2DDCC" w14:textId="77777777" w:rsidR="002A21AE" w:rsidRDefault="002A21AE">
      <w:pPr>
        <w:pStyle w:val="ListBullet"/>
      </w:pPr>
      <w:r>
        <w:t xml:space="preserve">The </w:t>
      </w:r>
      <w:r w:rsidR="00CA0045" w:rsidRPr="00CA0045">
        <w:rPr>
          <w:bCs/>
        </w:rPr>
        <w:t>VistA</w:t>
      </w:r>
      <w:r>
        <w:t xml:space="preserve"> database was updated to associate CPT codes and costs with the workload codes to be used by VBECS.</w:t>
      </w:r>
    </w:p>
    <w:p w14:paraId="7633D936" w14:textId="77777777" w:rsidR="002A21AE" w:rsidRDefault="002A21AE">
      <w:pPr>
        <w:pStyle w:val="ListBullet"/>
      </w:pPr>
      <w:r>
        <w:t xml:space="preserve">The connection to </w:t>
      </w:r>
      <w:r w:rsidR="00CA0045" w:rsidRPr="00CA0045">
        <w:rPr>
          <w:bCs/>
        </w:rPr>
        <w:t>VistA</w:t>
      </w:r>
      <w:r>
        <w:t xml:space="preserve"> is active.</w:t>
      </w:r>
    </w:p>
    <w:p w14:paraId="3E20E16E" w14:textId="77777777" w:rsidR="002A21AE" w:rsidRDefault="002A21AE">
      <w:pPr>
        <w:pStyle w:val="Heading4"/>
      </w:pPr>
      <w:r>
        <w:t>Outcome</w:t>
      </w:r>
    </w:p>
    <w:p w14:paraId="0E7519B2" w14:textId="77777777" w:rsidR="002A21AE" w:rsidRDefault="002A21AE">
      <w:pPr>
        <w:pStyle w:val="ListBullet"/>
      </w:pPr>
      <w:r>
        <w:t xml:space="preserve">Data are available to the </w:t>
      </w:r>
      <w:r w:rsidR="00CA0045" w:rsidRPr="00CA0045">
        <w:rPr>
          <w:bCs/>
        </w:rPr>
        <w:t>VistA</w:t>
      </w:r>
      <w:r>
        <w:t xml:space="preserve"> workload package.</w:t>
      </w:r>
    </w:p>
    <w:p w14:paraId="3D67883F" w14:textId="77777777" w:rsidR="002A21AE" w:rsidRDefault="002A21AE">
      <w:pPr>
        <w:pStyle w:val="Heading4"/>
      </w:pPr>
      <w:r>
        <w:t>Limitations and Restrictions</w:t>
      </w:r>
    </w:p>
    <w:p w14:paraId="47E2B6C6" w14:textId="77777777" w:rsidR="002A21AE" w:rsidRDefault="001016A5">
      <w:pPr>
        <w:pStyle w:val="ListBullet"/>
      </w:pPr>
      <w:r>
        <w:t>Transfusion-only sites must not map workload codes to processes</w:t>
      </w:r>
      <w:r w:rsidR="009D4700">
        <w:t xml:space="preserve">, such as ABO/Rh testing, </w:t>
      </w:r>
      <w:r>
        <w:t>not performed on site.</w:t>
      </w:r>
    </w:p>
    <w:p w14:paraId="5F8A9442" w14:textId="5C992680" w:rsidR="0024008D" w:rsidRDefault="0024008D">
      <w:pPr>
        <w:pStyle w:val="ListBullet"/>
      </w:pPr>
      <w:r>
        <w:t xml:space="preserve">Retrieved </w:t>
      </w:r>
      <w:r w:rsidR="00D34F22">
        <w:t xml:space="preserve">LMIP/NLT </w:t>
      </w:r>
      <w:r>
        <w:t>codes from VistA may have multiple CPT codes. Inactivating any of the associated CPT codes in VBECS will inactivate the LMIP</w:t>
      </w:r>
      <w:r w:rsidR="00D34F22">
        <w:t>/NLT</w:t>
      </w:r>
      <w:r>
        <w:t xml:space="preserve"> code. Editing of the LMIP/NLT code associations </w:t>
      </w:r>
      <w:r w:rsidR="00D34F22">
        <w:t xml:space="preserve">must be done in </w:t>
      </w:r>
      <w:r w:rsidR="00D34F22" w:rsidRPr="00D34F22">
        <w:t>VistA</w:t>
      </w:r>
      <w:r w:rsidR="00D34F22">
        <w:t>.</w:t>
      </w:r>
      <w:r w:rsidR="00395ABB">
        <w:rPr>
          <w:vanish/>
        </w:rPr>
        <w:t xml:space="preserve"> DR 3090</w:t>
      </w:r>
      <w:r w:rsidR="00377878">
        <w:t xml:space="preserve"> </w:t>
      </w:r>
      <w:r w:rsidR="00377878" w:rsidRPr="00377878">
        <w:rPr>
          <w:vanish/>
        </w:rPr>
        <w:t>Defect 209370</w:t>
      </w:r>
    </w:p>
    <w:p w14:paraId="7A66F236" w14:textId="5687C1D7" w:rsidR="002C4355" w:rsidRDefault="002C4355">
      <w:pPr>
        <w:pStyle w:val="ListBullet"/>
      </w:pPr>
      <w:r>
        <w:t xml:space="preserve">Invalidating split units will result in extra workload equal to the number of splits created applied to the total number of units logged in. This occurs when split units are incorrectly processed in VBECS. </w:t>
      </w:r>
      <w:r w:rsidRPr="002C4355">
        <w:rPr>
          <w:vanish/>
        </w:rPr>
        <w:t>Defect 209156</w:t>
      </w:r>
    </w:p>
    <w:p w14:paraId="62668902" w14:textId="77777777" w:rsidR="002A21AE" w:rsidRDefault="002A21AE">
      <w:pPr>
        <w:pStyle w:val="Heading4"/>
      </w:pPr>
      <w:r>
        <w:t>Additional Information</w:t>
      </w:r>
    </w:p>
    <w:p w14:paraId="12A2F42F" w14:textId="77777777" w:rsidR="002A21AE" w:rsidRDefault="002A21AE">
      <w:pPr>
        <w:pStyle w:val="ListBullet"/>
      </w:pPr>
      <w:r>
        <w:t xml:space="preserve">VistALink is required to query </w:t>
      </w:r>
      <w:r w:rsidR="00CA0045" w:rsidRPr="00CA0045">
        <w:rPr>
          <w:bCs/>
        </w:rPr>
        <w:t>VistA</w:t>
      </w:r>
      <w:r>
        <w:t xml:space="preserve"> files 64 (NLT/LMIP) and 81 (CPT) for appropriate entries.</w:t>
      </w:r>
    </w:p>
    <w:p w14:paraId="107E7C7A" w14:textId="77777777" w:rsidR="001B4207" w:rsidRDefault="003605E3" w:rsidP="001B4207">
      <w:pPr>
        <w:pStyle w:val="ListBullet"/>
      </w:pPr>
      <w:r>
        <w:t>The division provides CPT codes and costs associated with the workload codes when they need updating.</w:t>
      </w:r>
    </w:p>
    <w:p w14:paraId="5F7A2025" w14:textId="77777777" w:rsidR="003605E3" w:rsidRDefault="001B4207" w:rsidP="001B4207">
      <w:pPr>
        <w:pStyle w:val="ListBullet"/>
      </w:pPr>
      <w:r w:rsidRPr="001B4207">
        <w:t>Each</w:t>
      </w:r>
      <w:r>
        <w:t xml:space="preserve"> site is responsible for notifying users when incorrect CPT codes are used.</w:t>
      </w:r>
    </w:p>
    <w:p w14:paraId="6B3024BF" w14:textId="77777777" w:rsidR="00B32F1A" w:rsidRDefault="00B32F1A" w:rsidP="00B32F1A">
      <w:pPr>
        <w:pStyle w:val="ListBullet"/>
      </w:pPr>
      <w:r w:rsidRPr="009F086D">
        <w:rPr>
          <w:vanish/>
        </w:rPr>
        <w:t xml:space="preserve">BR_15.09 </w:t>
      </w:r>
      <w:r>
        <w:t xml:space="preserve">Workload events are placed in a queue for transmission via </w:t>
      </w:r>
      <w:r w:rsidR="00922AD8">
        <w:t>VistALink</w:t>
      </w:r>
      <w:r>
        <w:t>.</w:t>
      </w:r>
    </w:p>
    <w:p w14:paraId="30FEB683" w14:textId="77777777" w:rsidR="002A21AE" w:rsidRDefault="002A21AE">
      <w:pPr>
        <w:pStyle w:val="Heading4"/>
      </w:pPr>
      <w:r>
        <w:t>User Roles with Access to This Option</w:t>
      </w:r>
    </w:p>
    <w:p w14:paraId="36AC94A2" w14:textId="77777777" w:rsidR="002A21AE" w:rsidRDefault="0023084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15CEEAEA" w14:textId="77777777" w:rsidR="002A21AE" w:rsidRDefault="002A21AE">
      <w:pPr>
        <w:pStyle w:val="Heading4"/>
      </w:pPr>
      <w:r>
        <w:t>Workload Codes</w:t>
      </w:r>
    </w:p>
    <w:p w14:paraId="3E16C13D" w14:textId="77777777" w:rsidR="002A21AE" w:rsidRDefault="002A21AE" w:rsidP="00FA7E65">
      <w:pPr>
        <w:pStyle w:val="BodyText"/>
      </w:pPr>
      <w:r>
        <w:t xml:space="preserve">As part of record-keeping activity, VBECS allows the user to account for workload units associated with each activity and to assign costs incurred by the blood bank due to these activities. Data gathered because of this workload collection are available to </w:t>
      </w:r>
      <w:r w:rsidR="00CA0045" w:rsidRPr="00CA0045">
        <w:rPr>
          <w:bCs/>
        </w:rPr>
        <w:t>VistA</w:t>
      </w:r>
      <w:r>
        <w:t>, as needed, for various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9060DD4" w14:textId="77777777">
        <w:trPr>
          <w:tblHeader/>
        </w:trPr>
        <w:tc>
          <w:tcPr>
            <w:tcW w:w="3240" w:type="dxa"/>
            <w:shd w:val="pct30" w:color="auto" w:fill="FFFFFF"/>
            <w:vAlign w:val="bottom"/>
          </w:tcPr>
          <w:p w14:paraId="0A001DC6" w14:textId="77777777" w:rsidR="002A21AE" w:rsidRDefault="002A21AE">
            <w:pPr>
              <w:pStyle w:val="TableText"/>
              <w:rPr>
                <w:b/>
              </w:rPr>
            </w:pPr>
            <w:r>
              <w:rPr>
                <w:b/>
              </w:rPr>
              <w:t>User Action</w:t>
            </w:r>
          </w:p>
        </w:tc>
        <w:tc>
          <w:tcPr>
            <w:tcW w:w="6120" w:type="dxa"/>
            <w:shd w:val="pct30" w:color="auto" w:fill="FFFFFF"/>
            <w:vAlign w:val="bottom"/>
          </w:tcPr>
          <w:p w14:paraId="4182FBE3" w14:textId="77777777" w:rsidR="002A21AE" w:rsidRDefault="002A21AE">
            <w:pPr>
              <w:pStyle w:val="TableText"/>
              <w:rPr>
                <w:b/>
              </w:rPr>
            </w:pPr>
            <w:r>
              <w:rPr>
                <w:b/>
              </w:rPr>
              <w:t>VBECS</w:t>
            </w:r>
          </w:p>
        </w:tc>
      </w:tr>
      <w:tr w:rsidR="002A21AE" w14:paraId="37F81144" w14:textId="77777777">
        <w:tc>
          <w:tcPr>
            <w:tcW w:w="3240" w:type="dxa"/>
          </w:tcPr>
          <w:p w14:paraId="584D5A1A" w14:textId="77777777" w:rsidR="002A21AE" w:rsidRDefault="002A21AE">
            <w:pPr>
              <w:pStyle w:val="TableTextNumbers"/>
            </w:pPr>
            <w:r>
              <w:t xml:space="preserve">Select </w:t>
            </w:r>
            <w:r>
              <w:rPr>
                <w:b/>
              </w:rPr>
              <w:t>Tools</w:t>
            </w:r>
            <w:r>
              <w:t xml:space="preserve"> from the main menu.</w:t>
            </w:r>
          </w:p>
          <w:p w14:paraId="2A867A5A" w14:textId="77777777" w:rsidR="002A21AE" w:rsidRDefault="002A21AE">
            <w:pPr>
              <w:pStyle w:val="TableTextNumbersContinued"/>
              <w:rPr>
                <w:b/>
                <w:bCs/>
              </w:rPr>
            </w:pPr>
          </w:p>
          <w:p w14:paraId="04109F8C" w14:textId="77777777" w:rsidR="002A21AE" w:rsidRDefault="002A21AE">
            <w:pPr>
              <w:pStyle w:val="TableTextNumbersContinued"/>
            </w:pPr>
            <w:r>
              <w:t xml:space="preserve">Select </w:t>
            </w:r>
            <w:r>
              <w:rPr>
                <w:b/>
              </w:rPr>
              <w:t>Workload Codes</w:t>
            </w:r>
            <w:r>
              <w:t>.</w:t>
            </w:r>
          </w:p>
        </w:tc>
        <w:tc>
          <w:tcPr>
            <w:tcW w:w="6120" w:type="dxa"/>
          </w:tcPr>
          <w:p w14:paraId="0CC570F7" w14:textId="77777777" w:rsidR="002A21AE" w:rsidRDefault="002A21AE">
            <w:pPr>
              <w:pStyle w:val="TableTextBullet"/>
            </w:pPr>
            <w:r>
              <w:t>Displays options for processing administrative functions.</w:t>
            </w:r>
          </w:p>
          <w:p w14:paraId="0D8B6290" w14:textId="77777777" w:rsidR="002A21AE" w:rsidRDefault="002A21AE">
            <w:pPr>
              <w:pStyle w:val="TableTextBullet"/>
            </w:pPr>
            <w:r>
              <w:t>Displays fields for entering workload-related data.</w:t>
            </w:r>
          </w:p>
          <w:p w14:paraId="3750F5F2" w14:textId="77777777" w:rsidR="002A21AE" w:rsidRDefault="002A21AE" w:rsidP="00FE130E">
            <w:pPr>
              <w:pStyle w:val="TableTextBullet"/>
            </w:pPr>
            <w:r>
              <w:t xml:space="preserve">Lists and retrieves processes that may involve workload. </w:t>
            </w:r>
          </w:p>
        </w:tc>
      </w:tr>
      <w:tr w:rsidR="002A21AE" w14:paraId="7A072B56" w14:textId="77777777" w:rsidTr="007E500E">
        <w:trPr>
          <w:cantSplit/>
        </w:trPr>
        <w:tc>
          <w:tcPr>
            <w:tcW w:w="3240" w:type="dxa"/>
          </w:tcPr>
          <w:p w14:paraId="42BB3B10" w14:textId="77777777" w:rsidR="002A21AE" w:rsidRDefault="002A21AE">
            <w:pPr>
              <w:pStyle w:val="TableTextNumbers"/>
            </w:pPr>
            <w:r>
              <w:lastRenderedPageBreak/>
              <w:t>Select a process for which to define workload codes.</w:t>
            </w:r>
          </w:p>
        </w:tc>
        <w:tc>
          <w:tcPr>
            <w:tcW w:w="6120" w:type="dxa"/>
          </w:tcPr>
          <w:p w14:paraId="23D5BB17" w14:textId="77777777" w:rsidR="002A21AE" w:rsidRDefault="002A21AE">
            <w:pPr>
              <w:pStyle w:val="TableTextBullet"/>
            </w:pPr>
            <w:r>
              <w:t>Allows the user to edit existing data or add data.</w:t>
            </w:r>
          </w:p>
          <w:p w14:paraId="597738DF" w14:textId="77777777" w:rsidR="002A21AE" w:rsidRDefault="002A21AE">
            <w:pPr>
              <w:pStyle w:val="TableText"/>
            </w:pPr>
          </w:p>
          <w:p w14:paraId="4DCDA2D8" w14:textId="4F9C46E6" w:rsidR="002A21AE" w:rsidRDefault="002A21AE">
            <w:pPr>
              <w:pStyle w:val="TableText"/>
              <w:rPr>
                <w:b/>
                <w:bCs/>
                <w:szCs w:val="18"/>
              </w:rPr>
            </w:pPr>
            <w:r>
              <w:rPr>
                <w:b/>
                <w:bCs/>
                <w:szCs w:val="18"/>
              </w:rPr>
              <w:t>NOTES</w:t>
            </w:r>
          </w:p>
          <w:p w14:paraId="64ED1E85" w14:textId="77777777" w:rsidR="002A21AE" w:rsidRDefault="002A21AE">
            <w:pPr>
              <w:pStyle w:val="NotesText"/>
            </w:pPr>
          </w:p>
          <w:p w14:paraId="77B8BD4A" w14:textId="77777777" w:rsidR="002A21AE" w:rsidRDefault="002A21AE">
            <w:pPr>
              <w:pStyle w:val="NotesText"/>
            </w:pPr>
            <w:r>
              <w:rPr>
                <w:rFonts w:cs="Arial"/>
                <w:vanish/>
              </w:rPr>
              <w:t xml:space="preserve">BR_29.02 </w:t>
            </w:r>
            <w:r>
              <w:t>The user may assign multiple LMIP and CPT workload codes to a process.</w:t>
            </w:r>
          </w:p>
          <w:p w14:paraId="0542AC15" w14:textId="77777777" w:rsidR="002A21AE" w:rsidRDefault="002A21AE">
            <w:pPr>
              <w:pStyle w:val="NotesText"/>
            </w:pPr>
          </w:p>
          <w:p w14:paraId="69D06031" w14:textId="77777777" w:rsidR="0024008D" w:rsidRDefault="002A21AE" w:rsidP="0024008D">
            <w:pPr>
              <w:pStyle w:val="NotesText"/>
            </w:pPr>
            <w:r>
              <w:rPr>
                <w:rFonts w:cs="Arial"/>
                <w:vanish/>
              </w:rPr>
              <w:t xml:space="preserve">BR_29.08 </w:t>
            </w:r>
            <w:r>
              <w:t xml:space="preserve">VBECS checks for active and </w:t>
            </w:r>
            <w:r w:rsidR="00F1401D">
              <w:t>inactivated</w:t>
            </w:r>
            <w:r>
              <w:t xml:space="preserve"> workload associations and does not allow the user to enter a duplicate association. VBECS allows the user to reactivate previously inactivate entries and add workload associations.</w:t>
            </w:r>
          </w:p>
        </w:tc>
      </w:tr>
      <w:tr w:rsidR="002A21AE" w14:paraId="0484A684" w14:textId="77777777">
        <w:tc>
          <w:tcPr>
            <w:tcW w:w="3240" w:type="dxa"/>
          </w:tcPr>
          <w:p w14:paraId="001685E5" w14:textId="77777777" w:rsidR="002A21AE" w:rsidRDefault="002A21AE">
            <w:pPr>
              <w:pStyle w:val="TableTextNumbers"/>
            </w:pPr>
            <w:r>
              <w:t>Select an LMIP/NLT code.</w:t>
            </w:r>
          </w:p>
          <w:p w14:paraId="7B1B5B35" w14:textId="77777777" w:rsidR="002A21AE" w:rsidRDefault="002A21AE">
            <w:pPr>
              <w:pStyle w:val="TableTextNumbersContinued"/>
              <w:rPr>
                <w:b/>
                <w:bCs/>
              </w:rPr>
            </w:pPr>
          </w:p>
          <w:p w14:paraId="63870939" w14:textId="77777777" w:rsidR="002A21AE" w:rsidRDefault="002A21AE">
            <w:pPr>
              <w:pStyle w:val="TableTextNumbersContinued"/>
            </w:pPr>
            <w:r>
              <w:t xml:space="preserve">Click </w:t>
            </w:r>
            <w:r>
              <w:rPr>
                <w:b/>
              </w:rPr>
              <w:t>Add</w:t>
            </w:r>
            <w:r>
              <w:t xml:space="preserve"> to add the code, or click </w:t>
            </w:r>
            <w:r>
              <w:rPr>
                <w:b/>
              </w:rPr>
              <w:t>Update</w:t>
            </w:r>
            <w:r>
              <w:t xml:space="preserve"> to select a current association to edit.</w:t>
            </w:r>
          </w:p>
          <w:p w14:paraId="4E79B8D5" w14:textId="77777777" w:rsidR="002A21AE" w:rsidRDefault="002A21AE">
            <w:pPr>
              <w:pStyle w:val="TableTextNumbersContinued"/>
            </w:pPr>
          </w:p>
          <w:p w14:paraId="2EB49726" w14:textId="77777777" w:rsidR="002A21AE" w:rsidRDefault="002A21AE">
            <w:pPr>
              <w:pStyle w:val="TableTextNumbersContinued"/>
            </w:pPr>
          </w:p>
        </w:tc>
        <w:tc>
          <w:tcPr>
            <w:tcW w:w="6120" w:type="dxa"/>
          </w:tcPr>
          <w:p w14:paraId="6117697D" w14:textId="77777777" w:rsidR="002A21AE" w:rsidRDefault="002A21AE">
            <w:pPr>
              <w:pStyle w:val="TableTextBullet"/>
            </w:pPr>
            <w:r>
              <w:t>Lists previously assigned LMIP/NLT codes for the selected process.</w:t>
            </w:r>
          </w:p>
          <w:p w14:paraId="5A36D4B3" w14:textId="189D27F3" w:rsidR="002A21AE" w:rsidRDefault="002A21AE">
            <w:pPr>
              <w:pStyle w:val="TableTextBullet"/>
            </w:pPr>
            <w:r>
              <w:t xml:space="preserve">Allows the user to select an </w:t>
            </w:r>
            <w:r w:rsidR="00F8401C">
              <w:t>LMIP</w:t>
            </w:r>
            <w:r>
              <w:t>/NLT code.</w:t>
            </w:r>
          </w:p>
          <w:p w14:paraId="048AAD46" w14:textId="77777777" w:rsidR="002A21AE" w:rsidRDefault="002A21AE">
            <w:pPr>
              <w:pStyle w:val="TableText"/>
            </w:pPr>
          </w:p>
          <w:p w14:paraId="57260C87" w14:textId="3958D580" w:rsidR="002A21AE" w:rsidRDefault="002A21AE">
            <w:pPr>
              <w:pStyle w:val="TableText"/>
              <w:rPr>
                <w:b/>
                <w:bCs/>
                <w:szCs w:val="18"/>
              </w:rPr>
            </w:pPr>
            <w:r>
              <w:rPr>
                <w:b/>
                <w:bCs/>
                <w:szCs w:val="18"/>
              </w:rPr>
              <w:t>NOTES</w:t>
            </w:r>
          </w:p>
          <w:p w14:paraId="69BB766D" w14:textId="77777777" w:rsidR="002A21AE" w:rsidRDefault="002A21AE">
            <w:pPr>
              <w:pStyle w:val="NotesText"/>
            </w:pPr>
          </w:p>
          <w:p w14:paraId="57BB1634" w14:textId="77777777" w:rsidR="002A21AE" w:rsidRDefault="002A21AE">
            <w:pPr>
              <w:pStyle w:val="NotesText"/>
            </w:pPr>
            <w:r>
              <w:t xml:space="preserve">VBECS uses VistALink to query the </w:t>
            </w:r>
            <w:r w:rsidR="00CA0045" w:rsidRPr="00CA0045">
              <w:rPr>
                <w:bCs/>
              </w:rPr>
              <w:t>VistA</w:t>
            </w:r>
            <w:r>
              <w:t xml:space="preserve"> WKLD CODE File (#64) for valid LMIP/NLT codes. </w:t>
            </w:r>
          </w:p>
          <w:p w14:paraId="3F4FA43B" w14:textId="77777777" w:rsidR="002A21AE" w:rsidRDefault="002A21AE">
            <w:pPr>
              <w:pStyle w:val="NotesText"/>
            </w:pPr>
          </w:p>
          <w:p w14:paraId="6D5C2F04" w14:textId="35208642" w:rsidR="002A21AE" w:rsidRDefault="00CA0045">
            <w:pPr>
              <w:pStyle w:val="NotesText"/>
            </w:pPr>
            <w:r w:rsidRPr="00CA0045">
              <w:rPr>
                <w:bCs/>
              </w:rPr>
              <w:t>VistA</w:t>
            </w:r>
            <w:r w:rsidR="002A21AE">
              <w:t xml:space="preserve"> uses the LMIP/NLT code to create workload reports as well as reports to </w:t>
            </w:r>
            <w:r w:rsidR="009B5B80">
              <w:t>patient care encounter (</w:t>
            </w:r>
            <w:r w:rsidR="002A21AE">
              <w:t>PCE</w:t>
            </w:r>
            <w:r w:rsidR="009B5B80">
              <w:t>)</w:t>
            </w:r>
            <w:r w:rsidR="002A21AE">
              <w:t xml:space="preserve"> and the</w:t>
            </w:r>
            <w:r w:rsidR="00A814C4">
              <w:t xml:space="preserve"> decision support system (</w:t>
            </w:r>
            <w:r w:rsidR="002A21AE">
              <w:t>DSS</w:t>
            </w:r>
            <w:r w:rsidR="00A814C4">
              <w:t>)</w:t>
            </w:r>
            <w:r w:rsidR="002A21AE">
              <w:t xml:space="preserve"> database.</w:t>
            </w:r>
          </w:p>
        </w:tc>
      </w:tr>
      <w:tr w:rsidR="002A21AE" w14:paraId="1697C986" w14:textId="77777777">
        <w:tc>
          <w:tcPr>
            <w:tcW w:w="3240" w:type="dxa"/>
          </w:tcPr>
          <w:p w14:paraId="6FF4C561" w14:textId="681FC681" w:rsidR="002A21AE" w:rsidRDefault="007E004C">
            <w:pPr>
              <w:pStyle w:val="TableTextNumbers"/>
            </w:pPr>
            <w:r>
              <w:t>Enter</w:t>
            </w:r>
            <w:r w:rsidR="002A21AE">
              <w:t xml:space="preserve"> the </w:t>
            </w:r>
            <w:r w:rsidR="000144A0">
              <w:t>start</w:t>
            </w:r>
            <w:r w:rsidR="002A21AE">
              <w:t xml:space="preserve"> or </w:t>
            </w:r>
            <w:r w:rsidR="000144A0">
              <w:t>stop</w:t>
            </w:r>
            <w:r w:rsidR="002A21AE">
              <w:t xml:space="preserve"> date (whichever is appropriate) of the workload code association with the VBECS process</w:t>
            </w:r>
            <w:r w:rsidR="006A1989">
              <w:t xml:space="preserve"> (</w:t>
            </w:r>
            <w:r w:rsidR="00EE455E">
              <w:t xml:space="preserve">Figure </w:t>
            </w:r>
            <w:r w:rsidR="00EE455E">
              <w:rPr>
                <w:noProof/>
              </w:rPr>
              <w:t>36</w:t>
            </w:r>
            <w:r w:rsidR="006A1989">
              <w:t>)</w:t>
            </w:r>
            <w:r w:rsidR="002A21AE">
              <w:t>.</w:t>
            </w:r>
          </w:p>
        </w:tc>
        <w:tc>
          <w:tcPr>
            <w:tcW w:w="6120" w:type="dxa"/>
          </w:tcPr>
          <w:p w14:paraId="1C45199E" w14:textId="77777777" w:rsidR="002A21AE" w:rsidRDefault="002A21AE">
            <w:pPr>
              <w:pStyle w:val="TableTextBullet"/>
            </w:pPr>
            <w:r>
              <w:t xml:space="preserve">Allows the user to enter a date. </w:t>
            </w:r>
          </w:p>
          <w:p w14:paraId="21F49426" w14:textId="77777777" w:rsidR="002A21AE" w:rsidRDefault="002A21AE">
            <w:pPr>
              <w:pStyle w:val="TableText"/>
            </w:pPr>
          </w:p>
          <w:p w14:paraId="3EE42FCD" w14:textId="20035137" w:rsidR="002A21AE" w:rsidRDefault="002A21AE">
            <w:pPr>
              <w:pStyle w:val="TableText"/>
              <w:rPr>
                <w:b/>
                <w:bCs/>
                <w:szCs w:val="18"/>
              </w:rPr>
            </w:pPr>
            <w:r>
              <w:rPr>
                <w:b/>
                <w:bCs/>
                <w:szCs w:val="18"/>
              </w:rPr>
              <w:t>NOTES</w:t>
            </w:r>
          </w:p>
          <w:p w14:paraId="530A9593" w14:textId="77777777" w:rsidR="002A21AE" w:rsidRDefault="002A21AE">
            <w:pPr>
              <w:pStyle w:val="NotesText"/>
            </w:pPr>
          </w:p>
          <w:p w14:paraId="58191AE4" w14:textId="77777777" w:rsidR="002A21AE" w:rsidRDefault="002A21AE">
            <w:pPr>
              <w:pStyle w:val="NotesText"/>
            </w:pPr>
            <w:r>
              <w:rPr>
                <w:rFonts w:cs="Arial"/>
                <w:vanish/>
              </w:rPr>
              <w:t xml:space="preserve">BR_29.05 </w:t>
            </w:r>
            <w:r>
              <w:t>The user may enter an inactivation date only when an activation date was previously entered (default start date and time: current date and time).</w:t>
            </w:r>
          </w:p>
          <w:p w14:paraId="56298BA5" w14:textId="77777777" w:rsidR="002A21AE" w:rsidRDefault="002A21AE">
            <w:pPr>
              <w:pStyle w:val="NotesText"/>
            </w:pPr>
          </w:p>
          <w:p w14:paraId="12DF2B96" w14:textId="77777777" w:rsidR="002A21AE" w:rsidRDefault="002A21AE">
            <w:pPr>
              <w:pStyle w:val="NotesText"/>
            </w:pPr>
            <w:r>
              <w:rPr>
                <w:rFonts w:cs="Arial"/>
                <w:vanish/>
              </w:rPr>
              <w:t xml:space="preserve">BR_29.06 </w:t>
            </w:r>
            <w:r>
              <w:t>The inactivation date must be later than or the same as the activation date. When the user attempts to enter an inactivation date that is earlier than the activation date, VBECS warns the user. There is no override.</w:t>
            </w:r>
          </w:p>
        </w:tc>
      </w:tr>
      <w:tr w:rsidR="002A21AE" w14:paraId="57F7931E" w14:textId="77777777">
        <w:tc>
          <w:tcPr>
            <w:tcW w:w="3240" w:type="dxa"/>
          </w:tcPr>
          <w:p w14:paraId="581ADDB7" w14:textId="1F00285A" w:rsidR="002A21AE" w:rsidRDefault="00047C63">
            <w:pPr>
              <w:pStyle w:val="TableTextNumbers"/>
            </w:pPr>
            <w:r>
              <w:t>Repeat Steps 3</w:t>
            </w:r>
            <w:r w:rsidR="004F5589">
              <w:t xml:space="preserve"> through </w:t>
            </w:r>
            <w:r>
              <w:t>4</w:t>
            </w:r>
            <w:r w:rsidR="002A21AE">
              <w:t xml:space="preserve"> for each LMIP/NLT code to be associated with the selected process.</w:t>
            </w:r>
          </w:p>
        </w:tc>
        <w:tc>
          <w:tcPr>
            <w:tcW w:w="6120" w:type="dxa"/>
          </w:tcPr>
          <w:p w14:paraId="19B88CA0" w14:textId="77777777" w:rsidR="002A21AE" w:rsidRDefault="002A21AE" w:rsidP="0037534D">
            <w:pPr>
              <w:pStyle w:val="TableText"/>
            </w:pPr>
          </w:p>
        </w:tc>
      </w:tr>
      <w:tr w:rsidR="002A21AE" w14:paraId="364D055C" w14:textId="77777777">
        <w:tc>
          <w:tcPr>
            <w:tcW w:w="3240" w:type="dxa"/>
          </w:tcPr>
          <w:p w14:paraId="4FD3BA31" w14:textId="77777777" w:rsidR="002A21AE" w:rsidRDefault="002A21AE">
            <w:pPr>
              <w:pStyle w:val="TableTextNumbers"/>
            </w:pPr>
            <w:r>
              <w:t>Add the selected parameters to the selected process.</w:t>
            </w:r>
          </w:p>
        </w:tc>
        <w:tc>
          <w:tcPr>
            <w:tcW w:w="6120" w:type="dxa"/>
          </w:tcPr>
          <w:p w14:paraId="089AD0E8" w14:textId="77777777" w:rsidR="002A21AE" w:rsidRDefault="002A21AE">
            <w:pPr>
              <w:pStyle w:val="TableTextBullet"/>
            </w:pPr>
            <w:r>
              <w:t xml:space="preserve">Allows the user to add the selected parameters. </w:t>
            </w:r>
          </w:p>
        </w:tc>
      </w:tr>
      <w:tr w:rsidR="002A21AE" w14:paraId="2719EBE7" w14:textId="77777777">
        <w:tc>
          <w:tcPr>
            <w:tcW w:w="3240" w:type="dxa"/>
          </w:tcPr>
          <w:p w14:paraId="43D37349" w14:textId="493077D0" w:rsidR="002A21AE" w:rsidRDefault="002A21AE" w:rsidP="00047C63">
            <w:pPr>
              <w:pStyle w:val="TableTextNumbers"/>
            </w:pPr>
            <w:r>
              <w:t>Repeat Steps 1</w:t>
            </w:r>
            <w:r w:rsidR="004F5589">
              <w:t xml:space="preserve"> through </w:t>
            </w:r>
            <w:r w:rsidR="00047C63">
              <w:t>6</w:t>
            </w:r>
            <w:r>
              <w:t xml:space="preserve"> for to define workload parameters for another process, or exit. </w:t>
            </w:r>
            <w:r w:rsidRPr="0079067D">
              <w:rPr>
                <w:vanish/>
                <w:color w:val="FFFFFF"/>
                <w:szCs w:val="18"/>
              </w:rPr>
              <w:fldChar w:fldCharType="begin"/>
            </w:r>
            <w:r w:rsidRPr="0079067D">
              <w:rPr>
                <w:vanish/>
                <w:color w:val="FFFFFF"/>
                <w:szCs w:val="18"/>
              </w:rPr>
              <w:instrText xml:space="preserve"> LISTNUM \l 1 \s 0 </w:instrText>
            </w:r>
            <w:r w:rsidRPr="0079067D">
              <w:rPr>
                <w:vanish/>
                <w:color w:val="FFFFFF"/>
                <w:szCs w:val="18"/>
              </w:rPr>
              <w:fldChar w:fldCharType="end"/>
            </w:r>
          </w:p>
        </w:tc>
        <w:tc>
          <w:tcPr>
            <w:tcW w:w="6120" w:type="dxa"/>
          </w:tcPr>
          <w:p w14:paraId="21FAA1B2" w14:textId="77777777" w:rsidR="002A21AE" w:rsidRDefault="002A21AE">
            <w:pPr>
              <w:pStyle w:val="TableText"/>
            </w:pPr>
          </w:p>
        </w:tc>
      </w:tr>
    </w:tbl>
    <w:p w14:paraId="287BC646" w14:textId="01383CAB" w:rsidR="006A1989" w:rsidRDefault="006A1989" w:rsidP="006A1989">
      <w:pPr>
        <w:pStyle w:val="Caption"/>
      </w:pPr>
      <w:bookmarkStart w:id="197" w:name="_Ref126473082"/>
      <w:bookmarkStart w:id="198" w:name="_Toc6368039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37</w:t>
      </w:r>
      <w:r w:rsidR="004E20BD">
        <w:rPr>
          <w:noProof/>
        </w:rPr>
        <w:fldChar w:fldCharType="end"/>
      </w:r>
      <w:bookmarkEnd w:id="197"/>
      <w:r>
        <w:t>: Assign Workload Codes</w:t>
      </w:r>
    </w:p>
    <w:p w14:paraId="2F723E9A" w14:textId="77777777" w:rsidR="00AA3950" w:rsidRDefault="00057948" w:rsidP="006A1989">
      <w:pPr>
        <w:pStyle w:val="BodyText"/>
      </w:pPr>
      <w:r>
        <w:rPr>
          <w:noProof/>
        </w:rPr>
        <w:drawing>
          <wp:inline distT="0" distB="0" distL="0" distR="0" wp14:anchorId="2CEA1965" wp14:editId="1CE20B1B">
            <wp:extent cx="3657600" cy="2484755"/>
            <wp:effectExtent l="0" t="0" r="0" b="0"/>
            <wp:docPr id="139" name="Picture 139" descr="Example of Assign Workload Cod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Example of Assign Workload Codes screen capt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57600" cy="2484755"/>
                    </a:xfrm>
                    <a:prstGeom prst="rect">
                      <a:avLst/>
                    </a:prstGeom>
                    <a:noFill/>
                    <a:ln>
                      <a:noFill/>
                    </a:ln>
                  </pic:spPr>
                </pic:pic>
              </a:graphicData>
            </a:graphic>
          </wp:inline>
        </w:drawing>
      </w:r>
    </w:p>
    <w:p w14:paraId="4CD8653F" w14:textId="7A1D7D79" w:rsidR="00F46B5A" w:rsidRDefault="00F46B5A" w:rsidP="00F46B5A">
      <w:pPr>
        <w:pStyle w:val="Heading4"/>
      </w:pPr>
      <w:bookmarkStart w:id="199" w:name="_Toc91651289"/>
      <w:bookmarkStart w:id="200" w:name="_Toc91651290"/>
      <w:bookmarkStart w:id="201" w:name="_Toc63680374"/>
      <w:bookmarkStart w:id="202" w:name="_Toc63680383"/>
      <w:bookmarkEnd w:id="198"/>
      <w:r>
        <w:t>Remapping Workload Codes</w:t>
      </w:r>
      <w:r w:rsidR="00DC3DA1">
        <w:t xml:space="preserve"> </w:t>
      </w:r>
      <w:r w:rsidR="00F067E0">
        <w:rPr>
          <w:rFonts w:ascii="Arial Bold" w:hAnsi="Arial Bold"/>
          <w:vanish/>
        </w:rPr>
        <w:t xml:space="preserve"> DR 3762</w:t>
      </w:r>
    </w:p>
    <w:p w14:paraId="37DD9BE7" w14:textId="77777777" w:rsidR="00F46B5A" w:rsidRDefault="00F46B5A" w:rsidP="00F46B5A">
      <w:pPr>
        <w:pStyle w:val="BodyText"/>
      </w:pPr>
      <w:r>
        <w:t xml:space="preserve">When workload codes or a workload code multiplier is </w:t>
      </w:r>
      <w:r w:rsidR="004641B8">
        <w:t>changed,</w:t>
      </w:r>
      <w:r>
        <w:t xml:space="preserve"> VBECS must be updated. The active workload process to LMIP/NLT Code association must be inactivated and remapped for VBECS to track workload correctly.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46B5A" w14:paraId="54E60E3C" w14:textId="77777777" w:rsidTr="00F46B5A">
        <w:trPr>
          <w:tblHeader/>
        </w:trPr>
        <w:tc>
          <w:tcPr>
            <w:tcW w:w="3240" w:type="dxa"/>
            <w:shd w:val="pct30" w:color="auto" w:fill="FFFFFF"/>
            <w:vAlign w:val="bottom"/>
          </w:tcPr>
          <w:p w14:paraId="4BB2BF30" w14:textId="77777777" w:rsidR="00F46B5A" w:rsidRDefault="00F46B5A" w:rsidP="00F46B5A">
            <w:pPr>
              <w:pStyle w:val="TableText"/>
              <w:rPr>
                <w:b/>
              </w:rPr>
            </w:pPr>
            <w:r>
              <w:rPr>
                <w:b/>
              </w:rPr>
              <w:t>User Action</w:t>
            </w:r>
          </w:p>
        </w:tc>
        <w:tc>
          <w:tcPr>
            <w:tcW w:w="6120" w:type="dxa"/>
            <w:shd w:val="pct30" w:color="auto" w:fill="FFFFFF"/>
            <w:vAlign w:val="bottom"/>
          </w:tcPr>
          <w:p w14:paraId="235D7F36" w14:textId="77777777" w:rsidR="00F46B5A" w:rsidRDefault="00F46B5A" w:rsidP="00F46B5A">
            <w:pPr>
              <w:pStyle w:val="TableText"/>
              <w:rPr>
                <w:b/>
              </w:rPr>
            </w:pPr>
            <w:r>
              <w:rPr>
                <w:b/>
              </w:rPr>
              <w:t>VBECS</w:t>
            </w:r>
          </w:p>
        </w:tc>
      </w:tr>
      <w:tr w:rsidR="00F46B5A" w14:paraId="728AE562" w14:textId="77777777" w:rsidTr="00F46B5A">
        <w:tc>
          <w:tcPr>
            <w:tcW w:w="3240" w:type="dxa"/>
          </w:tcPr>
          <w:p w14:paraId="18BD08EA" w14:textId="77777777" w:rsidR="00F46B5A" w:rsidRDefault="00F46B5A" w:rsidP="00F46B5A">
            <w:pPr>
              <w:pStyle w:val="TableTextNumbers"/>
            </w:pPr>
            <w:r>
              <w:t xml:space="preserve">Select </w:t>
            </w:r>
            <w:r>
              <w:rPr>
                <w:b/>
              </w:rPr>
              <w:t>Tools</w:t>
            </w:r>
            <w:r>
              <w:t xml:space="preserve"> from the main menu.</w:t>
            </w:r>
          </w:p>
          <w:p w14:paraId="270BA8D0" w14:textId="77777777" w:rsidR="00F46B5A" w:rsidRDefault="00F46B5A" w:rsidP="00F46B5A">
            <w:pPr>
              <w:pStyle w:val="TableTextNumbersContinued"/>
              <w:rPr>
                <w:b/>
                <w:bCs/>
              </w:rPr>
            </w:pPr>
          </w:p>
          <w:p w14:paraId="0558090F" w14:textId="77777777" w:rsidR="00F46B5A" w:rsidRDefault="00F46B5A" w:rsidP="00F46B5A">
            <w:pPr>
              <w:pStyle w:val="TableTextNumbersContinued"/>
            </w:pPr>
            <w:r>
              <w:t xml:space="preserve">Select </w:t>
            </w:r>
            <w:r>
              <w:rPr>
                <w:b/>
              </w:rPr>
              <w:t>Workload Codes</w:t>
            </w:r>
            <w:r>
              <w:t>.</w:t>
            </w:r>
          </w:p>
        </w:tc>
        <w:tc>
          <w:tcPr>
            <w:tcW w:w="6120" w:type="dxa"/>
          </w:tcPr>
          <w:p w14:paraId="1D604198" w14:textId="77777777" w:rsidR="00F46B5A" w:rsidRDefault="00F46B5A" w:rsidP="00F46B5A">
            <w:pPr>
              <w:pStyle w:val="TableTextBullet"/>
            </w:pPr>
            <w:r>
              <w:t>Displays options for processing administrative functions.</w:t>
            </w:r>
          </w:p>
          <w:p w14:paraId="10C12017" w14:textId="77777777" w:rsidR="00F46B5A" w:rsidRDefault="00F46B5A" w:rsidP="00F46B5A">
            <w:pPr>
              <w:pStyle w:val="TableTextBullet"/>
            </w:pPr>
            <w:r>
              <w:t>Displays fields for entering workload-related data.</w:t>
            </w:r>
          </w:p>
          <w:p w14:paraId="5BF8CADA" w14:textId="77777777" w:rsidR="00F46B5A" w:rsidRDefault="00F46B5A" w:rsidP="00F46B5A">
            <w:pPr>
              <w:pStyle w:val="TableTextBullet"/>
            </w:pPr>
            <w:r>
              <w:t xml:space="preserve">Lists and retrieves processes that may involve workload. </w:t>
            </w:r>
          </w:p>
        </w:tc>
      </w:tr>
      <w:tr w:rsidR="00F46B5A" w14:paraId="273EE251" w14:textId="77777777" w:rsidTr="00F46B5A">
        <w:tc>
          <w:tcPr>
            <w:tcW w:w="3240" w:type="dxa"/>
          </w:tcPr>
          <w:p w14:paraId="558ED8C9" w14:textId="77777777" w:rsidR="00F46B5A" w:rsidRDefault="00F46B5A" w:rsidP="00F46B5A">
            <w:pPr>
              <w:pStyle w:val="TableTextNumbers"/>
            </w:pPr>
            <w:r>
              <w:t xml:space="preserve">Select a process to </w:t>
            </w:r>
            <w:r w:rsidR="008B6D25">
              <w:t>edit</w:t>
            </w:r>
            <w:r>
              <w:t xml:space="preserve"> workload codes.</w:t>
            </w:r>
          </w:p>
        </w:tc>
        <w:tc>
          <w:tcPr>
            <w:tcW w:w="6120" w:type="dxa"/>
          </w:tcPr>
          <w:p w14:paraId="641F7E58" w14:textId="77777777" w:rsidR="00F46B5A" w:rsidRDefault="00F46B5A" w:rsidP="00F46B5A">
            <w:pPr>
              <w:pStyle w:val="TableTextBullet"/>
            </w:pPr>
            <w:r>
              <w:t>Allows the user to edit existing data or add data.</w:t>
            </w:r>
          </w:p>
        </w:tc>
      </w:tr>
      <w:tr w:rsidR="00F46B5A" w14:paraId="190970BD" w14:textId="77777777" w:rsidTr="00F46B5A">
        <w:tc>
          <w:tcPr>
            <w:tcW w:w="3240" w:type="dxa"/>
          </w:tcPr>
          <w:p w14:paraId="327D09EE" w14:textId="77777777" w:rsidR="00F46B5A" w:rsidRDefault="00F46B5A" w:rsidP="00F46B5A">
            <w:pPr>
              <w:pStyle w:val="TableTextNumbers"/>
            </w:pPr>
            <w:r>
              <w:t>Click one or more check boxes to inactivate LMIP/NLT Code.</w:t>
            </w:r>
          </w:p>
          <w:p w14:paraId="01F2B466" w14:textId="77777777" w:rsidR="00202ACF" w:rsidRDefault="00202ACF" w:rsidP="00202ACF">
            <w:pPr>
              <w:pStyle w:val="TableTextNumbers"/>
              <w:numPr>
                <w:ilvl w:val="0"/>
                <w:numId w:val="0"/>
              </w:numPr>
              <w:ind w:left="288"/>
            </w:pPr>
          </w:p>
          <w:p w14:paraId="56FF64BA" w14:textId="77777777" w:rsidR="00202ACF" w:rsidRDefault="00202ACF" w:rsidP="00202ACF">
            <w:pPr>
              <w:pStyle w:val="TableTextNumbers"/>
              <w:numPr>
                <w:ilvl w:val="0"/>
                <w:numId w:val="0"/>
              </w:numPr>
              <w:ind w:left="288"/>
            </w:pPr>
            <w:r>
              <w:t xml:space="preserve">Click </w:t>
            </w:r>
            <w:r>
              <w:rPr>
                <w:b/>
              </w:rPr>
              <w:t>OK</w:t>
            </w:r>
            <w:r>
              <w:t xml:space="preserve"> and </w:t>
            </w:r>
            <w:r>
              <w:rPr>
                <w:b/>
              </w:rPr>
              <w:t xml:space="preserve">Yes </w:t>
            </w:r>
            <w:r>
              <w:t>to save and exit.</w:t>
            </w:r>
          </w:p>
        </w:tc>
        <w:tc>
          <w:tcPr>
            <w:tcW w:w="6120" w:type="dxa"/>
          </w:tcPr>
          <w:p w14:paraId="1EC80BD7" w14:textId="77777777" w:rsidR="00F46B5A" w:rsidRDefault="00F46B5A" w:rsidP="00202ACF">
            <w:pPr>
              <w:pStyle w:val="TableTextBullet"/>
            </w:pPr>
            <w:r>
              <w:t>Removes the code from the Current Associations window.</w:t>
            </w:r>
          </w:p>
          <w:p w14:paraId="7B7B0088" w14:textId="77777777" w:rsidR="00202ACF" w:rsidRDefault="00202ACF" w:rsidP="00202ACF">
            <w:pPr>
              <w:pStyle w:val="TableText"/>
            </w:pPr>
          </w:p>
          <w:p w14:paraId="38D061E9" w14:textId="3A4F69EC" w:rsidR="00202ACF" w:rsidRDefault="00202ACF" w:rsidP="00202ACF">
            <w:pPr>
              <w:pStyle w:val="TableText"/>
              <w:rPr>
                <w:b/>
                <w:bCs/>
                <w:szCs w:val="18"/>
              </w:rPr>
            </w:pPr>
            <w:r>
              <w:rPr>
                <w:b/>
                <w:bCs/>
                <w:szCs w:val="18"/>
              </w:rPr>
              <w:t>NOTES</w:t>
            </w:r>
          </w:p>
          <w:p w14:paraId="7D8CAE58" w14:textId="6809A33C" w:rsidR="00202ACF" w:rsidRDefault="00344E38" w:rsidP="007E3EE1">
            <w:pPr>
              <w:pStyle w:val="NotesText"/>
            </w:pPr>
            <w:r>
              <w:t>Inactive codes can be viewed by clicking the Show Inactive Workload Codes checkbox.</w:t>
            </w:r>
          </w:p>
        </w:tc>
      </w:tr>
      <w:tr w:rsidR="00F46B5A" w14:paraId="427AC70D" w14:textId="77777777" w:rsidTr="00F46B5A">
        <w:tc>
          <w:tcPr>
            <w:tcW w:w="3240" w:type="dxa"/>
          </w:tcPr>
          <w:p w14:paraId="1A36C56D" w14:textId="77777777" w:rsidR="00F46B5A" w:rsidRDefault="00202ACF" w:rsidP="00F46B5A">
            <w:pPr>
              <w:pStyle w:val="TableTextNumbers"/>
            </w:pPr>
            <w:r>
              <w:t xml:space="preserve">Click </w:t>
            </w:r>
            <w:r>
              <w:rPr>
                <w:b/>
              </w:rPr>
              <w:t>OK</w:t>
            </w:r>
            <w:r>
              <w:t xml:space="preserve"> and </w:t>
            </w:r>
            <w:r>
              <w:rPr>
                <w:b/>
              </w:rPr>
              <w:t xml:space="preserve">Yes </w:t>
            </w:r>
            <w:r>
              <w:t>to save and exit.</w:t>
            </w:r>
          </w:p>
        </w:tc>
        <w:tc>
          <w:tcPr>
            <w:tcW w:w="6120" w:type="dxa"/>
          </w:tcPr>
          <w:p w14:paraId="42409401" w14:textId="77777777" w:rsidR="00F46B5A" w:rsidRDefault="00202ACF" w:rsidP="00F46B5A">
            <w:pPr>
              <w:pStyle w:val="TableTextBullet"/>
            </w:pPr>
            <w:r>
              <w:t>Saves the changes to the workload code mapping.</w:t>
            </w:r>
          </w:p>
        </w:tc>
      </w:tr>
      <w:tr w:rsidR="00202ACF" w14:paraId="4CCF2452" w14:textId="77777777" w:rsidTr="00F46B5A">
        <w:tc>
          <w:tcPr>
            <w:tcW w:w="3240" w:type="dxa"/>
          </w:tcPr>
          <w:p w14:paraId="7B330BA5" w14:textId="77777777" w:rsidR="00202ACF" w:rsidRDefault="00202ACF" w:rsidP="00202ACF">
            <w:pPr>
              <w:pStyle w:val="TableTextNumbers"/>
            </w:pPr>
            <w:r>
              <w:t xml:space="preserve">Select </w:t>
            </w:r>
            <w:r>
              <w:rPr>
                <w:b/>
              </w:rPr>
              <w:t>Tools</w:t>
            </w:r>
            <w:r>
              <w:t xml:space="preserve"> from the main menu.</w:t>
            </w:r>
          </w:p>
          <w:p w14:paraId="7052B58B" w14:textId="77777777" w:rsidR="00202ACF" w:rsidRDefault="00202ACF" w:rsidP="00202ACF">
            <w:pPr>
              <w:pStyle w:val="TableTextNumbersContinued"/>
              <w:rPr>
                <w:b/>
                <w:bCs/>
              </w:rPr>
            </w:pPr>
          </w:p>
          <w:p w14:paraId="300B9866" w14:textId="77777777" w:rsidR="00202ACF" w:rsidRDefault="00202ACF" w:rsidP="00202ACF">
            <w:pPr>
              <w:pStyle w:val="TableTextNumbers"/>
              <w:numPr>
                <w:ilvl w:val="0"/>
                <w:numId w:val="0"/>
              </w:numPr>
              <w:ind w:left="288"/>
            </w:pPr>
            <w:r>
              <w:t xml:space="preserve">Select </w:t>
            </w:r>
            <w:r>
              <w:rPr>
                <w:b/>
              </w:rPr>
              <w:t>Workload Codes</w:t>
            </w:r>
          </w:p>
        </w:tc>
        <w:tc>
          <w:tcPr>
            <w:tcW w:w="6120" w:type="dxa"/>
          </w:tcPr>
          <w:p w14:paraId="47E2411E" w14:textId="77777777" w:rsidR="008D0D9B" w:rsidRDefault="008D0D9B" w:rsidP="008D0D9B">
            <w:pPr>
              <w:pStyle w:val="TableTextBullet"/>
            </w:pPr>
            <w:r>
              <w:t>Displays options for processing administrative functions.</w:t>
            </w:r>
          </w:p>
          <w:p w14:paraId="4DE9015A" w14:textId="77777777" w:rsidR="008D0D9B" w:rsidRDefault="008D0D9B" w:rsidP="008D0D9B">
            <w:pPr>
              <w:pStyle w:val="TableTextBullet"/>
            </w:pPr>
            <w:r>
              <w:t>Displays fields for entering workload-related data.</w:t>
            </w:r>
          </w:p>
          <w:p w14:paraId="7EE5B148" w14:textId="77777777" w:rsidR="00202ACF" w:rsidRDefault="00857128" w:rsidP="00857128">
            <w:pPr>
              <w:pStyle w:val="TableTextBullet"/>
            </w:pPr>
            <w:r>
              <w:t>Lists and retrieves processes that may involve workload.</w:t>
            </w:r>
          </w:p>
        </w:tc>
      </w:tr>
      <w:tr w:rsidR="00202ACF" w14:paraId="6BDEC379" w14:textId="77777777" w:rsidTr="00F46B5A">
        <w:tc>
          <w:tcPr>
            <w:tcW w:w="3240" w:type="dxa"/>
          </w:tcPr>
          <w:p w14:paraId="41B13FB8" w14:textId="77777777" w:rsidR="00202ACF" w:rsidRDefault="00202ACF" w:rsidP="00202ACF">
            <w:pPr>
              <w:pStyle w:val="TableTextNumbers"/>
            </w:pPr>
            <w:r>
              <w:t xml:space="preserve">Select a process to </w:t>
            </w:r>
            <w:r w:rsidR="008B6D25">
              <w:t>edit</w:t>
            </w:r>
            <w:r>
              <w:t xml:space="preserve"> workload codes.</w:t>
            </w:r>
          </w:p>
        </w:tc>
        <w:tc>
          <w:tcPr>
            <w:tcW w:w="6120" w:type="dxa"/>
          </w:tcPr>
          <w:p w14:paraId="47E65F31" w14:textId="77777777" w:rsidR="00202ACF" w:rsidRDefault="00344E38" w:rsidP="00F46B5A">
            <w:pPr>
              <w:pStyle w:val="TableTextBullet"/>
            </w:pPr>
            <w:r>
              <w:t>Allows the user to edit existing data or add data.</w:t>
            </w:r>
          </w:p>
        </w:tc>
      </w:tr>
      <w:tr w:rsidR="00202ACF" w14:paraId="782F3FDF" w14:textId="77777777" w:rsidTr="007E500E">
        <w:trPr>
          <w:cantSplit/>
        </w:trPr>
        <w:tc>
          <w:tcPr>
            <w:tcW w:w="3240" w:type="dxa"/>
          </w:tcPr>
          <w:p w14:paraId="5BFDEFA4" w14:textId="77777777" w:rsidR="00202ACF" w:rsidRDefault="00202ACF" w:rsidP="00202ACF">
            <w:pPr>
              <w:pStyle w:val="TableTextNumbers"/>
            </w:pPr>
            <w:r>
              <w:t>Select an LMIP/NLT code.</w:t>
            </w:r>
          </w:p>
          <w:p w14:paraId="37DF5BFE" w14:textId="77777777" w:rsidR="00202ACF" w:rsidRDefault="00202ACF" w:rsidP="00202ACF">
            <w:pPr>
              <w:pStyle w:val="TableTextNumbersContinued"/>
            </w:pPr>
          </w:p>
          <w:p w14:paraId="0ED8EAF4" w14:textId="77777777" w:rsidR="00202ACF" w:rsidRPr="00202ACF" w:rsidRDefault="00202ACF" w:rsidP="00202ACF">
            <w:pPr>
              <w:pStyle w:val="TableTextNumbersContinued"/>
              <w:rPr>
                <w:b/>
                <w:bCs/>
              </w:rPr>
            </w:pPr>
            <w:r>
              <w:t xml:space="preserve">Click </w:t>
            </w:r>
            <w:r>
              <w:rPr>
                <w:b/>
              </w:rPr>
              <w:t>Add</w:t>
            </w:r>
            <w:r>
              <w:t xml:space="preserve"> to add the code.</w:t>
            </w:r>
          </w:p>
        </w:tc>
        <w:tc>
          <w:tcPr>
            <w:tcW w:w="6120" w:type="dxa"/>
          </w:tcPr>
          <w:p w14:paraId="32BA57A7" w14:textId="601249CD" w:rsidR="00344E38" w:rsidRDefault="00344E38" w:rsidP="00344E38">
            <w:pPr>
              <w:pStyle w:val="TableTextBullet"/>
            </w:pPr>
            <w:r>
              <w:t xml:space="preserve">Allows the user to select an </w:t>
            </w:r>
            <w:r w:rsidR="00F8401C">
              <w:t>LMIP</w:t>
            </w:r>
            <w:r>
              <w:t>/NLT code.</w:t>
            </w:r>
          </w:p>
          <w:p w14:paraId="31C1604F" w14:textId="77777777" w:rsidR="00202ACF" w:rsidRDefault="00202ACF" w:rsidP="00344E38">
            <w:pPr>
              <w:pStyle w:val="TableTextBullet"/>
              <w:numPr>
                <w:ilvl w:val="0"/>
                <w:numId w:val="0"/>
              </w:numPr>
            </w:pPr>
          </w:p>
          <w:p w14:paraId="62988AD8" w14:textId="139F4C64" w:rsidR="00344E38" w:rsidRPr="00344E38" w:rsidRDefault="00344E38" w:rsidP="00344E38">
            <w:pPr>
              <w:pStyle w:val="TableText"/>
              <w:rPr>
                <w:b/>
                <w:bCs/>
              </w:rPr>
            </w:pPr>
            <w:r w:rsidRPr="00344E38">
              <w:rPr>
                <w:b/>
                <w:bCs/>
              </w:rPr>
              <w:t>NOTES</w:t>
            </w:r>
          </w:p>
          <w:p w14:paraId="2E627B89" w14:textId="77777777" w:rsidR="00F067E0" w:rsidRDefault="00F067E0" w:rsidP="00F067E0">
            <w:pPr>
              <w:pStyle w:val="NotesText"/>
            </w:pPr>
            <w:r>
              <w:t>LMIP/NLT weight multipliers values are set in VistA and that value is imported into VBECS.</w:t>
            </w:r>
          </w:p>
          <w:p w14:paraId="132A0EE3" w14:textId="77777777" w:rsidR="00F067E0" w:rsidRDefault="00F067E0" w:rsidP="00F067E0">
            <w:pPr>
              <w:pStyle w:val="NotesText"/>
            </w:pPr>
          </w:p>
          <w:p w14:paraId="4F89E551" w14:textId="561ACE92" w:rsidR="00F067E0" w:rsidRDefault="00344E38" w:rsidP="00F067E0">
            <w:pPr>
              <w:pStyle w:val="NotesText"/>
            </w:pPr>
            <w:r>
              <w:t xml:space="preserve">Changes made to </w:t>
            </w:r>
            <w:r w:rsidRPr="00CA0045">
              <w:rPr>
                <w:bCs/>
              </w:rPr>
              <w:t>VistA</w:t>
            </w:r>
            <w:r>
              <w:t xml:space="preserve"> files 64 (NLT/LMIP) and 81 (CPT) are updated in VBECS </w:t>
            </w:r>
            <w:r w:rsidR="00F067E0">
              <w:t xml:space="preserve">on a rolling </w:t>
            </w:r>
            <w:r w:rsidR="002E5AC8">
              <w:t>24-hour</w:t>
            </w:r>
            <w:r w:rsidR="00F067E0">
              <w:t xml:space="preserve"> clock. The first user to log in 24 hours after the last update will trigger the next update.</w:t>
            </w:r>
          </w:p>
        </w:tc>
      </w:tr>
      <w:tr w:rsidR="00202ACF" w14:paraId="645AC272" w14:textId="77777777" w:rsidTr="00F46B5A">
        <w:tc>
          <w:tcPr>
            <w:tcW w:w="3240" w:type="dxa"/>
          </w:tcPr>
          <w:p w14:paraId="47B239FC" w14:textId="4F79CCFF" w:rsidR="00202ACF" w:rsidRDefault="00202ACF" w:rsidP="00722DBF">
            <w:pPr>
              <w:pStyle w:val="TableTextNumbers"/>
            </w:pPr>
            <w:r>
              <w:t>Repeat Steps 1</w:t>
            </w:r>
            <w:r w:rsidR="004F5589">
              <w:t xml:space="preserve"> through </w:t>
            </w:r>
            <w:r>
              <w:t>7 for to edit workload parameters for another process</w:t>
            </w:r>
            <w:r w:rsidR="00722DBF">
              <w:t xml:space="preserve">. </w:t>
            </w:r>
            <w:r w:rsidR="00722DBF" w:rsidRPr="0079067D">
              <w:rPr>
                <w:vanish/>
                <w:color w:val="FFFFFF"/>
                <w:szCs w:val="18"/>
              </w:rPr>
              <w:fldChar w:fldCharType="begin"/>
            </w:r>
            <w:r w:rsidR="00722DBF" w:rsidRPr="0079067D">
              <w:rPr>
                <w:vanish/>
                <w:color w:val="FFFFFF"/>
                <w:szCs w:val="18"/>
              </w:rPr>
              <w:instrText xml:space="preserve"> LISTNUM \l 1 \s 0 </w:instrText>
            </w:r>
            <w:r w:rsidR="00722DBF" w:rsidRPr="0079067D">
              <w:rPr>
                <w:vanish/>
                <w:color w:val="FFFFFF"/>
                <w:szCs w:val="18"/>
              </w:rPr>
              <w:fldChar w:fldCharType="end"/>
            </w:r>
          </w:p>
        </w:tc>
        <w:tc>
          <w:tcPr>
            <w:tcW w:w="6120" w:type="dxa"/>
          </w:tcPr>
          <w:p w14:paraId="1B6748A6" w14:textId="77777777" w:rsidR="00202ACF" w:rsidRDefault="00202ACF" w:rsidP="00F067E0">
            <w:pPr>
              <w:pStyle w:val="TableTextBullet"/>
              <w:numPr>
                <w:ilvl w:val="0"/>
                <w:numId w:val="0"/>
              </w:numPr>
            </w:pPr>
          </w:p>
        </w:tc>
      </w:tr>
    </w:tbl>
    <w:p w14:paraId="7667752C" w14:textId="3B81DE11" w:rsidR="002A21AE" w:rsidRDefault="002A21AE" w:rsidP="007E3EE1">
      <w:pPr>
        <w:pStyle w:val="Heading2"/>
        <w:pageBreakBefore/>
      </w:pPr>
      <w:bookmarkStart w:id="203" w:name="_Toc163644900"/>
      <w:r>
        <w:lastRenderedPageBreak/>
        <w:t>Reagents and Supplies</w:t>
      </w:r>
      <w:bookmarkEnd w:id="199"/>
      <w:bookmarkEnd w:id="200"/>
      <w:bookmarkEnd w:id="203"/>
      <w:r>
        <w:fldChar w:fldCharType="begin"/>
      </w:r>
      <w:r>
        <w:instrText xml:space="preserve"> XE </w:instrText>
      </w:r>
      <w:r w:rsidR="00FA7E65">
        <w:instrText>“</w:instrText>
      </w:r>
      <w:r>
        <w:instrText>Reagents and Supplies</w:instrText>
      </w:r>
      <w:r w:rsidR="00FA7E65">
        <w:instrText>”</w:instrText>
      </w:r>
      <w:r>
        <w:instrText xml:space="preserve"> </w:instrText>
      </w:r>
      <w:r>
        <w:fldChar w:fldCharType="end"/>
      </w:r>
    </w:p>
    <w:p w14:paraId="7A07088D" w14:textId="77777777" w:rsidR="002A21AE" w:rsidRDefault="002A21AE">
      <w:pPr>
        <w:pStyle w:val="Heading3"/>
      </w:pPr>
      <w:bookmarkStart w:id="204" w:name="_Enter_Daily_QC_Results"/>
      <w:bookmarkStart w:id="205" w:name="_Toc163644901"/>
      <w:bookmarkEnd w:id="204"/>
      <w:r>
        <w:t>Enter Daily QC Results</w:t>
      </w:r>
      <w:bookmarkEnd w:id="205"/>
      <w:r>
        <w:fldChar w:fldCharType="begin"/>
      </w:r>
      <w:r>
        <w:instrText xml:space="preserve"> XE </w:instrText>
      </w:r>
      <w:r w:rsidR="00FA7E65">
        <w:instrText>“</w:instrText>
      </w:r>
      <w:r>
        <w:instrText>Enter Daily QC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UC_28</w:t>
      </w:r>
    </w:p>
    <w:p w14:paraId="7ADFF4E4" w14:textId="77777777" w:rsidR="002A21AE" w:rsidRDefault="002A21AE" w:rsidP="00FA7E65">
      <w:pPr>
        <w:pStyle w:val="BodyText"/>
      </w:pPr>
      <w:r>
        <w:t>The user enters observed serological reactions for all phases of testing and interpretations of the various routine reagents.</w:t>
      </w:r>
    </w:p>
    <w:p w14:paraId="7CC2CFC7" w14:textId="77777777" w:rsidR="002A21AE" w:rsidRDefault="002A21AE">
      <w:pPr>
        <w:pStyle w:val="Heading4"/>
      </w:pPr>
      <w:r>
        <w:t>Assumptions</w:t>
      </w:r>
      <w:r>
        <w:rPr>
          <w:b w:val="0"/>
        </w:rPr>
        <w:t xml:space="preserve"> </w:t>
      </w:r>
    </w:p>
    <w:p w14:paraId="58A9F65C" w14:textId="77777777" w:rsidR="002A21AE" w:rsidRDefault="002A21AE">
      <w:pPr>
        <w:pStyle w:val="ListBullet"/>
      </w:pPr>
      <w:r>
        <w:t>The division is “full service.”</w:t>
      </w:r>
    </w:p>
    <w:p w14:paraId="0B5D0503" w14:textId="77777777" w:rsidR="002A21AE" w:rsidRDefault="002A21AE">
      <w:pPr>
        <w:pStyle w:val="ListBullet"/>
      </w:pPr>
      <w:r>
        <w:t>Site parameters regarding reagent quality control are set up.</w:t>
      </w:r>
    </w:p>
    <w:p w14:paraId="0A95F28D" w14:textId="77777777" w:rsidR="002A21AE" w:rsidRDefault="002A21AE">
      <w:pPr>
        <w:pStyle w:val="ListBullet"/>
      </w:pPr>
      <w:r>
        <w:t xml:space="preserve">Minimum inventory levels for reagent types are defined. </w:t>
      </w:r>
    </w:p>
    <w:p w14:paraId="3586B003" w14:textId="77777777" w:rsidR="002A21AE" w:rsidRDefault="002A21AE">
      <w:pPr>
        <w:pStyle w:val="ListBullet"/>
      </w:pPr>
      <w:r>
        <w:t xml:space="preserve">Inventory control functionality is in use and reagents are in the inventory of the user’s division. </w:t>
      </w:r>
    </w:p>
    <w:p w14:paraId="0B1B440D" w14:textId="77777777" w:rsidR="002A21AE" w:rsidRDefault="002A21AE">
      <w:pPr>
        <w:pStyle w:val="ListBullet"/>
      </w:pPr>
      <w:r>
        <w:t>Daily QC testing does not include reagents used in special antigen typing.</w:t>
      </w:r>
    </w:p>
    <w:p w14:paraId="300E5BD9" w14:textId="77777777" w:rsidR="002A21AE" w:rsidRDefault="002A21AE">
      <w:pPr>
        <w:pStyle w:val="Heading4"/>
      </w:pPr>
      <w:r>
        <w:t xml:space="preserve">Outcome </w:t>
      </w:r>
    </w:p>
    <w:p w14:paraId="31E6655B" w14:textId="77777777" w:rsidR="002A21AE" w:rsidRDefault="002A21AE">
      <w:pPr>
        <w:pStyle w:val="ListBullet"/>
      </w:pPr>
      <w:r>
        <w:t>Routine reagents are available for use, shutting down the alert for the day associated with the rack.</w:t>
      </w:r>
    </w:p>
    <w:p w14:paraId="6ECB1F82" w14:textId="77777777" w:rsidR="002A21AE" w:rsidRDefault="002A21AE">
      <w:pPr>
        <w:pStyle w:val="ListBullet"/>
      </w:pPr>
      <w:r>
        <w:t>The user may enter and save reaction results below the minimum expected reaction; an Exception Report may be generated for supervisory review; the rack may or may not be used by the site for routine testing throughout that day.</w:t>
      </w:r>
    </w:p>
    <w:p w14:paraId="0184BB10" w14:textId="77777777" w:rsidR="002A21AE" w:rsidRDefault="002A21AE">
      <w:pPr>
        <w:pStyle w:val="Heading4"/>
      </w:pPr>
      <w:r>
        <w:t>Limitations and Restrictions</w:t>
      </w:r>
      <w:r>
        <w:rPr>
          <w:b w:val="0"/>
        </w:rPr>
        <w:t xml:space="preserve"> </w:t>
      </w:r>
    </w:p>
    <w:p w14:paraId="5C08F99A" w14:textId="77777777" w:rsidR="002A21AE" w:rsidRDefault="002A21AE">
      <w:pPr>
        <w:pStyle w:val="ListBullet"/>
      </w:pPr>
      <w:r>
        <w:t xml:space="preserve">Additional user-defined reagent types not available in Configure Daily QC or Enter Daily QC Results are not part of a reagent rack’s daily QC testing. </w:t>
      </w:r>
    </w:p>
    <w:p w14:paraId="5F5C69E7" w14:textId="77777777" w:rsidR="002A21AE" w:rsidRDefault="002A21AE">
      <w:pPr>
        <w:pStyle w:val="Heading4"/>
      </w:pPr>
      <w:r>
        <w:t xml:space="preserve">Additional Information </w:t>
      </w:r>
    </w:p>
    <w:p w14:paraId="7757A9DE" w14:textId="77777777" w:rsidR="002A21AE" w:rsidRDefault="002A21AE">
      <w:pPr>
        <w:pStyle w:val="ListBullet"/>
      </w:pPr>
      <w:r>
        <w:rPr>
          <w:rFonts w:ascii="Arial" w:hAnsi="Arial" w:cs="Arial"/>
          <w:vanish/>
          <w:spacing w:val="0"/>
          <w:sz w:val="18"/>
        </w:rPr>
        <w:t xml:space="preserve">BR_28.19 </w:t>
      </w:r>
      <w:r>
        <w:t>VBECS allows the user to save a partially filled worksheet for a specific QC rack ID and allows the same or a different user to redisplay the form for the entry of remaining test results at a later time. The user, first or second, may enter new results but may not edit prior entries. VBECS records the ID of each user who enters test observations on a worksheet.</w:t>
      </w:r>
    </w:p>
    <w:p w14:paraId="791C9983" w14:textId="77777777" w:rsidR="002A21AE" w:rsidRDefault="002A21AE">
      <w:pPr>
        <w:pStyle w:val="ListBullet"/>
      </w:pPr>
      <w:r>
        <w:t>VBECS issues warnings when they are defined in Maintain Minimum Levels.</w:t>
      </w:r>
    </w:p>
    <w:p w14:paraId="593A3E22" w14:textId="77777777" w:rsidR="002A21AE" w:rsidRDefault="002A21AE">
      <w:pPr>
        <w:pStyle w:val="ListBullet"/>
      </w:pPr>
      <w:r>
        <w:t xml:space="preserve">VistALink does not need to be active when a user enters </w:t>
      </w:r>
      <w:r>
        <w:rPr>
          <w:bCs/>
        </w:rPr>
        <w:t>daily quality control results</w:t>
      </w:r>
      <w:r>
        <w:t>.</w:t>
      </w:r>
    </w:p>
    <w:p w14:paraId="2A6E8ED2" w14:textId="77777777" w:rsidR="002A21AE" w:rsidRDefault="002A21AE">
      <w:pPr>
        <w:pStyle w:val="ListBullet"/>
      </w:pPr>
      <w:r>
        <w:t>A testing template is generated for daily quality control testing of routine reagents for each rack in a division. (Multiple templates may be used on a given day.)</w:t>
      </w:r>
    </w:p>
    <w:p w14:paraId="6E69DA6A" w14:textId="77777777" w:rsidR="002A21AE" w:rsidRDefault="002A21AE">
      <w:pPr>
        <w:pStyle w:val="ListBullet"/>
      </w:pPr>
      <w:r>
        <w:t>System rules</w:t>
      </w:r>
      <w:r w:rsidR="00AA6C54">
        <w:t xml:space="preserve"> </w:t>
      </w:r>
      <w:r>
        <w:t>determine the validity of the test interpretations and determine if all phases of testing were recorded for both scenarios.</w:t>
      </w:r>
    </w:p>
    <w:p w14:paraId="6DED0353" w14:textId="77777777" w:rsidR="002A21AE" w:rsidRDefault="002A21AE">
      <w:pPr>
        <w:pStyle w:val="ListBullet"/>
      </w:pPr>
      <w:r>
        <w:t>A user must enter and may view one day’s QC data at a time. The supervisor or administrator must review these entries and the reagent information daily.</w:t>
      </w:r>
    </w:p>
    <w:p w14:paraId="38A579DE" w14:textId="77777777" w:rsidR="002A21AE" w:rsidRDefault="002A21AE">
      <w:pPr>
        <w:pStyle w:val="ListBullet"/>
      </w:pPr>
      <w:r>
        <w:t xml:space="preserve">VBECS compares the current rack QC results with the prior day’s QC results. </w:t>
      </w:r>
    </w:p>
    <w:p w14:paraId="3F411716" w14:textId="77777777" w:rsidR="002A21AE" w:rsidRDefault="002A21AE">
      <w:pPr>
        <w:pStyle w:val="ListBullet"/>
      </w:pPr>
      <w:r>
        <w:t xml:space="preserve">Multiple technologists may use the same rack. </w:t>
      </w:r>
    </w:p>
    <w:p w14:paraId="3F1F6DE0" w14:textId="77777777" w:rsidR="002A21AE" w:rsidRDefault="002A21AE">
      <w:pPr>
        <w:pStyle w:val="ListBullet"/>
      </w:pPr>
      <w:r>
        <w:t>Rack number and reagents used to test a specimen are linked to the lot number, manufacturer, and expiration date of the reagent type as well as the rack identifier.</w:t>
      </w:r>
    </w:p>
    <w:p w14:paraId="33C6FDC5" w14:textId="77777777" w:rsidR="00254E7B" w:rsidRDefault="00254E7B">
      <w:pPr>
        <w:pStyle w:val="ListBullet"/>
      </w:pPr>
      <w:r>
        <w:t>A user may use more than one testing method in accordance with local policies and procedures.</w:t>
      </w:r>
    </w:p>
    <w:p w14:paraId="74024EC5" w14:textId="15F691AC" w:rsidR="00F62041" w:rsidRDefault="00F62041" w:rsidP="00F62041">
      <w:pPr>
        <w:pStyle w:val="ListBullet"/>
      </w:pPr>
      <w:r w:rsidRPr="00622C54">
        <w:t xml:space="preserve">If a rack has never been used with reagents prior to using the QC Documentation Offline option and the rack is not so checked when the user attempts to use this untested rack, the message appears that this rack has never been tested and cannot be used. The user may not proceed. To use this rack on this date, the QC Offline check needs to be indicated or testing performed. </w:t>
      </w:r>
      <w:r w:rsidRPr="00622C54">
        <w:rPr>
          <w:vanish/>
        </w:rPr>
        <w:t>DR 4317</w:t>
      </w:r>
    </w:p>
    <w:p w14:paraId="2F3F2BE8" w14:textId="741D13C4" w:rsidR="00A03C1C" w:rsidRDefault="00A03C1C" w:rsidP="00A03C1C">
      <w:pPr>
        <w:pStyle w:val="ListBullet"/>
      </w:pPr>
      <w:r w:rsidRPr="00A03C1C">
        <w:lastRenderedPageBreak/>
        <w:t>A rack can be set as pa</w:t>
      </w:r>
      <w:r w:rsidR="00AE3748">
        <w:t>rtially tested and marked as "QC</w:t>
      </w:r>
      <w:r w:rsidRPr="00A03C1C">
        <w:t xml:space="preserve">’d Offline" at the same time. </w:t>
      </w:r>
      <w:r>
        <w:t>The r</w:t>
      </w:r>
      <w:r w:rsidRPr="00A03C1C">
        <w:t>ack wi</w:t>
      </w:r>
      <w:r>
        <w:t>ll be listed as "Tested = No", S</w:t>
      </w:r>
      <w:r w:rsidRPr="00A03C1C">
        <w:t>electing it will prompt for the "Rack QC not performed" override</w:t>
      </w:r>
      <w:r>
        <w:t>,</w:t>
      </w:r>
      <w:r w:rsidRPr="00A03C1C">
        <w:t xml:space="preserve"> as the partially tested rack setting is enforced.</w:t>
      </w:r>
      <w:r w:rsidR="00AB4BD9">
        <w:t xml:space="preserve"> </w:t>
      </w:r>
      <w:r w:rsidR="00AB4BD9" w:rsidRPr="00AB4BD9">
        <w:rPr>
          <w:vanish/>
        </w:rPr>
        <w:t>Defect 210297</w:t>
      </w:r>
    </w:p>
    <w:p w14:paraId="66D9AC81" w14:textId="725EBE85" w:rsidR="003A7501" w:rsidRDefault="003A7501" w:rsidP="003A7501">
      <w:pPr>
        <w:pStyle w:val="ListBullet"/>
      </w:pPr>
      <w:r>
        <w:t xml:space="preserve">The </w:t>
      </w:r>
      <w:r w:rsidRPr="003A7501">
        <w:t>antiglobulin testing grids for QC have a title of IAT. The same grid for patient testing is titled AHG.</w:t>
      </w:r>
      <w:r w:rsidR="00AB4BD9">
        <w:t xml:space="preserve"> </w:t>
      </w:r>
      <w:r w:rsidR="00AB4BD9" w:rsidRPr="00AB4BD9">
        <w:rPr>
          <w:vanish/>
        </w:rPr>
        <w:t>Defect 211747</w:t>
      </w:r>
    </w:p>
    <w:p w14:paraId="1794E477" w14:textId="26A0D3CA" w:rsidR="00E86766" w:rsidRPr="00622C54" w:rsidRDefault="009A1817" w:rsidP="00F62041">
      <w:pPr>
        <w:pStyle w:val="ListBullet"/>
      </w:pPr>
      <w:r>
        <w:t xml:space="preserve">If two instances of Enter Daily QC are opened, the second instance will not recognize testing performed in the first </w:t>
      </w:r>
      <w:r w:rsidR="00523215">
        <w:t>instance and</w:t>
      </w:r>
      <w:r>
        <w:t xml:space="preserve"> will accept retesting of the rack.</w:t>
      </w:r>
      <w:r w:rsidR="00AB4BD9">
        <w:t xml:space="preserve"> </w:t>
      </w:r>
      <w:r w:rsidR="00203682">
        <w:t>(</w:t>
      </w:r>
      <w:r w:rsidR="004C63BA">
        <w:t>See</w:t>
      </w:r>
      <w:r w:rsidR="00AC093B">
        <w:t xml:space="preserve"> </w:t>
      </w:r>
      <w:r w:rsidR="00E86766" w:rsidRPr="00423A7F">
        <w:rPr>
          <w:i/>
          <w:iCs/>
        </w:rPr>
        <w:t>FAQ QC Setup</w:t>
      </w:r>
      <w:r w:rsidR="00AB4BD9">
        <w:t xml:space="preserve"> </w:t>
      </w:r>
      <w:r w:rsidR="00AC093B">
        <w:t xml:space="preserve">and </w:t>
      </w:r>
      <w:r w:rsidR="00AC093B" w:rsidRPr="00423A7F">
        <w:rPr>
          <w:i/>
          <w:iCs/>
        </w:rPr>
        <w:t>FAQ Re</w:t>
      </w:r>
      <w:r w:rsidR="004C63BA" w:rsidRPr="00423A7F">
        <w:rPr>
          <w:i/>
          <w:iCs/>
        </w:rPr>
        <w:t>testing QC</w:t>
      </w:r>
      <w:r w:rsidR="004C63BA">
        <w:t xml:space="preserve"> for </w:t>
      </w:r>
      <w:r w:rsidR="00E90A01">
        <w:t>additional</w:t>
      </w:r>
      <w:r w:rsidR="004C63BA">
        <w:t xml:space="preserve"> information.</w:t>
      </w:r>
      <w:r w:rsidR="00A868BE" w:rsidRPr="00A868BE">
        <w:rPr>
          <w:vanish/>
        </w:rPr>
        <w:t xml:space="preserve"> Task 628088</w:t>
      </w:r>
      <w:r w:rsidR="00203682">
        <w:t>)</w:t>
      </w:r>
      <w:r w:rsidR="0002020B">
        <w:t xml:space="preserve"> </w:t>
      </w:r>
      <w:r w:rsidR="0002020B" w:rsidRPr="0002020B">
        <w:rPr>
          <w:vanish/>
        </w:rPr>
        <w:t>Defect 210503</w:t>
      </w:r>
    </w:p>
    <w:p w14:paraId="460D5750" w14:textId="77777777" w:rsidR="002A21AE" w:rsidRDefault="002A21AE">
      <w:pPr>
        <w:pStyle w:val="Heading4"/>
        <w:rPr>
          <w:b w:val="0"/>
        </w:rPr>
      </w:pPr>
      <w:r>
        <w:t>User Roles with Access to This Option</w:t>
      </w:r>
      <w:r>
        <w:rPr>
          <w:b w:val="0"/>
        </w:rPr>
        <w:t xml:space="preserve"> </w:t>
      </w:r>
    </w:p>
    <w:p w14:paraId="08DB66BE" w14:textId="77777777" w:rsidR="002A21AE" w:rsidRDefault="00046C55">
      <w:pPr>
        <w:pStyle w:val="Roles"/>
        <w:rPr>
          <w:snapToGrid w:val="0"/>
        </w:rPr>
      </w:pPr>
      <w:r>
        <w:t>All users</w:t>
      </w:r>
    </w:p>
    <w:p w14:paraId="64012FDC" w14:textId="77777777" w:rsidR="002A21AE" w:rsidRDefault="002A21AE">
      <w:pPr>
        <w:pStyle w:val="Heading4"/>
      </w:pPr>
      <w:r>
        <w:t xml:space="preserve">Enter Daily QC Results </w:t>
      </w:r>
    </w:p>
    <w:p w14:paraId="1C95E48A" w14:textId="77777777" w:rsidR="002A21AE" w:rsidRDefault="002A21AE" w:rsidP="00FA7E65">
      <w:pPr>
        <w:pStyle w:val="BodyText"/>
      </w:pPr>
      <w:r>
        <w:t xml:space="preserve">The American Association of Blood Banks’ </w:t>
      </w:r>
      <w:r>
        <w:rPr>
          <w:i/>
        </w:rPr>
        <w:t>Standards for Blood Banks and Transfusion Services</w:t>
      </w:r>
      <w:r>
        <w:t xml:space="preserve"> requires that commercial reagents in the blood bank—antisera and routinely-used red cell reagents—must be tested for performance “on the day of use.” As routine reagents are always used, they are tested daily. Records of these reagents, their lot numbers, and their testing results must be stored for reference. VBECS verifies and indicates whether the reagent is satisfactory for use. </w:t>
      </w:r>
    </w:p>
    <w:p w14:paraId="3D6D3EE6" w14:textId="77777777" w:rsidR="002A21AE" w:rsidRDefault="002A21AE" w:rsidP="00FA7E65">
      <w:pPr>
        <w:pStyle w:val="BodyText"/>
      </w:pPr>
      <w:r>
        <w:t xml:space="preserve">This option facilitates the direct entry of reaction results and interpretations, constituting daily reagent quality control testing for a rack of reagents. </w:t>
      </w:r>
    </w:p>
    <w:p w14:paraId="2312E34F" w14:textId="77777777" w:rsidR="002A21AE" w:rsidRDefault="002A21AE" w:rsidP="00FA7E65">
      <w:pPr>
        <w:pStyle w:val="BodyText"/>
      </w:pPr>
      <w:r>
        <w:t>VBECS allows the user to change individual reagents without repeating the QC for the full rack during the day.</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356"/>
      </w:tblGrid>
      <w:tr w:rsidR="002A21AE" w14:paraId="0E7728D1" w14:textId="77777777">
        <w:trPr>
          <w:tblHeader/>
        </w:trPr>
        <w:tc>
          <w:tcPr>
            <w:tcW w:w="3240" w:type="dxa"/>
            <w:shd w:val="pct30" w:color="auto" w:fill="FFFFFF"/>
            <w:vAlign w:val="bottom"/>
          </w:tcPr>
          <w:p w14:paraId="26A71ACD" w14:textId="77777777" w:rsidR="002A21AE" w:rsidRDefault="002A21AE">
            <w:pPr>
              <w:pStyle w:val="TableText"/>
              <w:rPr>
                <w:b/>
              </w:rPr>
            </w:pPr>
            <w:bookmarkStart w:id="206" w:name="_Toc30304250"/>
            <w:bookmarkStart w:id="207" w:name="_Toc30912571"/>
            <w:bookmarkStart w:id="208" w:name="_Toc49251208"/>
            <w:bookmarkStart w:id="209" w:name="_Toc49251692"/>
            <w:bookmarkStart w:id="210" w:name="_Toc68448916"/>
            <w:r>
              <w:rPr>
                <w:b/>
              </w:rPr>
              <w:t>User Action</w:t>
            </w:r>
          </w:p>
        </w:tc>
        <w:tc>
          <w:tcPr>
            <w:tcW w:w="6356" w:type="dxa"/>
            <w:shd w:val="pct30" w:color="auto" w:fill="FFFFFF"/>
            <w:vAlign w:val="bottom"/>
          </w:tcPr>
          <w:p w14:paraId="73BC00CA" w14:textId="77777777" w:rsidR="002A21AE" w:rsidRDefault="002A21AE">
            <w:pPr>
              <w:pStyle w:val="TableText"/>
              <w:rPr>
                <w:b/>
              </w:rPr>
            </w:pPr>
            <w:r>
              <w:rPr>
                <w:b/>
              </w:rPr>
              <w:t>VBECS</w:t>
            </w:r>
          </w:p>
        </w:tc>
      </w:tr>
      <w:tr w:rsidR="002A21AE" w14:paraId="2812042B" w14:textId="77777777">
        <w:tc>
          <w:tcPr>
            <w:tcW w:w="3240" w:type="dxa"/>
          </w:tcPr>
          <w:p w14:paraId="0C658EE7" w14:textId="77777777" w:rsidR="002A21AE" w:rsidRDefault="002A21AE">
            <w:pPr>
              <w:pStyle w:val="TableTextNumbers"/>
            </w:pPr>
            <w:r>
              <w:t xml:space="preserve">Select </w:t>
            </w:r>
            <w:r>
              <w:rPr>
                <w:b/>
              </w:rPr>
              <w:t>Reagents</w:t>
            </w:r>
            <w:r>
              <w:t xml:space="preserve"> from the main menu.</w:t>
            </w:r>
          </w:p>
          <w:p w14:paraId="2F27F781" w14:textId="77777777" w:rsidR="002A21AE" w:rsidRDefault="002A21AE">
            <w:pPr>
              <w:pStyle w:val="TableTextNumbersContinued"/>
              <w:rPr>
                <w:b/>
                <w:bCs/>
              </w:rPr>
            </w:pPr>
          </w:p>
          <w:p w14:paraId="2B4EE38F" w14:textId="77777777" w:rsidR="002A21AE" w:rsidRDefault="002A21AE">
            <w:pPr>
              <w:pStyle w:val="TableTextNumbersContinued"/>
            </w:pPr>
            <w:r>
              <w:t xml:space="preserve">Select </w:t>
            </w:r>
            <w:r>
              <w:rPr>
                <w:b/>
              </w:rPr>
              <w:t>Enter Daily QC Results</w:t>
            </w:r>
            <w:r>
              <w:t>.</w:t>
            </w:r>
          </w:p>
        </w:tc>
        <w:tc>
          <w:tcPr>
            <w:tcW w:w="6356" w:type="dxa"/>
          </w:tcPr>
          <w:p w14:paraId="0C7CBAAC" w14:textId="77777777" w:rsidR="002A21AE" w:rsidRDefault="002A21AE" w:rsidP="003356B8">
            <w:pPr>
              <w:pStyle w:val="TableTextBullet"/>
            </w:pPr>
            <w:r>
              <w:t>Displays options to perform daily reagent rack QC</w:t>
            </w:r>
            <w:r w:rsidR="000D380C">
              <w:t>.</w:t>
            </w:r>
          </w:p>
        </w:tc>
      </w:tr>
      <w:tr w:rsidR="000B5EBA" w14:paraId="2D6D8A80" w14:textId="77777777">
        <w:tc>
          <w:tcPr>
            <w:tcW w:w="3240" w:type="dxa"/>
          </w:tcPr>
          <w:p w14:paraId="5636BB7D" w14:textId="77777777" w:rsidR="000B5EBA" w:rsidRDefault="00003AD3" w:rsidP="00D148D7">
            <w:pPr>
              <w:pStyle w:val="TableTextNumbers"/>
            </w:pPr>
            <w:r>
              <w:t>Verify</w:t>
            </w:r>
            <w:r w:rsidR="000B5EBA">
              <w:t xml:space="preserve"> the default date tested and tester</w:t>
            </w:r>
            <w:r>
              <w:t xml:space="preserve">, </w:t>
            </w:r>
            <w:r w:rsidR="00686785">
              <w:t>and</w:t>
            </w:r>
            <w:r>
              <w:t xml:space="preserve"> edit them</w:t>
            </w:r>
            <w:r w:rsidR="000B5EBA">
              <w:t>, if needed.</w:t>
            </w:r>
          </w:p>
        </w:tc>
        <w:tc>
          <w:tcPr>
            <w:tcW w:w="6356" w:type="dxa"/>
          </w:tcPr>
          <w:p w14:paraId="0CC38A66" w14:textId="77777777" w:rsidR="000B5EBA" w:rsidRDefault="000B5EBA" w:rsidP="00D148D7">
            <w:pPr>
              <w:pStyle w:val="TableTextBullet"/>
            </w:pPr>
            <w:r>
              <w:t>Displays the date and time the testing was performed; the default is the current date and time, which are editable to allow retrospective entry.</w:t>
            </w:r>
          </w:p>
          <w:p w14:paraId="44A11251" w14:textId="77777777" w:rsidR="000B5EBA" w:rsidRDefault="000B5EBA" w:rsidP="00D148D7">
            <w:pPr>
              <w:pStyle w:val="TableTextBullet"/>
            </w:pPr>
            <w:r>
              <w:t>Displays the testing technologist’s identification; the default is the current user. Lists valid division users for selection.</w:t>
            </w:r>
          </w:p>
          <w:p w14:paraId="72488E28" w14:textId="77777777" w:rsidR="000B5EBA" w:rsidRDefault="000B5EBA" w:rsidP="00D148D7">
            <w:pPr>
              <w:pStyle w:val="TableTextBullet"/>
            </w:pPr>
            <w:r>
              <w:t>Displays the option to indicate the rack number of the reagents to test, a list of racks to be tested for the current date, and a retest option for the racks with testing completed for the date.</w:t>
            </w:r>
          </w:p>
          <w:p w14:paraId="6482817A" w14:textId="77777777" w:rsidR="000B5EBA" w:rsidRDefault="000B5EBA" w:rsidP="00D148D7">
            <w:pPr>
              <w:pStyle w:val="TableText"/>
            </w:pPr>
          </w:p>
          <w:p w14:paraId="7DAE035A" w14:textId="61426102" w:rsidR="000B5EBA" w:rsidRDefault="000B5EBA" w:rsidP="00D148D7">
            <w:pPr>
              <w:pStyle w:val="TableText"/>
              <w:rPr>
                <w:b/>
                <w:bCs/>
                <w:szCs w:val="18"/>
              </w:rPr>
            </w:pPr>
            <w:r>
              <w:rPr>
                <w:b/>
                <w:bCs/>
                <w:szCs w:val="18"/>
              </w:rPr>
              <w:t>NOTES</w:t>
            </w:r>
          </w:p>
          <w:p w14:paraId="17C39254" w14:textId="77777777" w:rsidR="000B5EBA" w:rsidRDefault="000B5EBA" w:rsidP="00D148D7">
            <w:pPr>
              <w:pStyle w:val="NotesText"/>
            </w:pPr>
          </w:p>
          <w:p w14:paraId="44D15318" w14:textId="77777777" w:rsidR="000B5EBA" w:rsidRDefault="000B5EBA" w:rsidP="001272CA">
            <w:pPr>
              <w:pStyle w:val="NotesText"/>
            </w:pPr>
            <w:r>
              <w:t>Daily QC testing does not include reagents used in special antigen typing.</w:t>
            </w:r>
          </w:p>
        </w:tc>
      </w:tr>
      <w:tr w:rsidR="002A21AE" w14:paraId="37D8DEBB"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5E670E9D" w14:textId="63EB54BB" w:rsidR="000D380C" w:rsidRDefault="000D380C">
            <w:pPr>
              <w:pStyle w:val="TableTextNumbers"/>
            </w:pPr>
            <w:r>
              <w:lastRenderedPageBreak/>
              <w:t xml:space="preserve">Select the </w:t>
            </w:r>
            <w:r w:rsidRPr="000D380C">
              <w:rPr>
                <w:b/>
              </w:rPr>
              <w:t>Test Rack(s)</w:t>
            </w:r>
            <w:r w:rsidRPr="000D380C">
              <w:t>,</w:t>
            </w:r>
            <w:r w:rsidRPr="000D380C">
              <w:rPr>
                <w:b/>
              </w:rPr>
              <w:t xml:space="preserve"> </w:t>
            </w:r>
            <w:r>
              <w:rPr>
                <w:b/>
              </w:rPr>
              <w:t>P</w:t>
            </w:r>
            <w:r w:rsidRPr="000D380C">
              <w:rPr>
                <w:b/>
              </w:rPr>
              <w:t>artially Tested Rack(s)</w:t>
            </w:r>
            <w:r w:rsidRPr="00F62D64">
              <w:t>, or</w:t>
            </w:r>
            <w:r w:rsidRPr="000D380C">
              <w:rPr>
                <w:b/>
              </w:rPr>
              <w:t xml:space="preserve"> Retest Rack(s</w:t>
            </w:r>
            <w:r w:rsidRPr="00F62D64">
              <w:rPr>
                <w:b/>
              </w:rPr>
              <w:t xml:space="preserve">) </w:t>
            </w:r>
            <w:r w:rsidRPr="00CC3C89">
              <w:t>tab</w:t>
            </w:r>
            <w:r w:rsidR="00957095" w:rsidRPr="00CC3C89">
              <w:t xml:space="preserve"> </w:t>
            </w:r>
            <w:r w:rsidR="00957095">
              <w:t>(</w:t>
            </w:r>
            <w:r w:rsidR="00EE455E">
              <w:t xml:space="preserve">Figure </w:t>
            </w:r>
            <w:r w:rsidR="00EE455E">
              <w:rPr>
                <w:noProof/>
              </w:rPr>
              <w:t>37</w:t>
            </w:r>
            <w:r w:rsidR="00957095">
              <w:t>)</w:t>
            </w:r>
            <w:r>
              <w:t>.</w:t>
            </w:r>
          </w:p>
          <w:p w14:paraId="32A88D21" w14:textId="77777777" w:rsidR="000D380C" w:rsidRDefault="000D380C" w:rsidP="000D380C">
            <w:pPr>
              <w:pStyle w:val="TableTextNumbersContinued"/>
            </w:pPr>
          </w:p>
          <w:p w14:paraId="073AFAA4" w14:textId="77777777" w:rsidR="002A21AE" w:rsidRDefault="00922EBC" w:rsidP="000D380C">
            <w:pPr>
              <w:pStyle w:val="TableTextNumbersContinued"/>
            </w:pPr>
            <w:r>
              <w:t>Click one or more check boxes to select</w:t>
            </w:r>
            <w:r w:rsidR="002A21AE">
              <w:t xml:space="preserve"> rack numbers.</w:t>
            </w:r>
          </w:p>
          <w:p w14:paraId="7CAE1C46" w14:textId="77777777" w:rsidR="00C36763" w:rsidRDefault="00C36763" w:rsidP="000D380C">
            <w:pPr>
              <w:pStyle w:val="TableTextNumbersContinued"/>
            </w:pPr>
          </w:p>
          <w:p w14:paraId="3E7F9A32" w14:textId="77777777" w:rsidR="00C36763" w:rsidRDefault="00C36763" w:rsidP="000D380C">
            <w:pPr>
              <w:pStyle w:val="TableTextNumbersContinued"/>
            </w:pPr>
            <w:r>
              <w:t xml:space="preserve">Click </w:t>
            </w:r>
            <w:r w:rsidRPr="00C36763">
              <w:rPr>
                <w:b/>
              </w:rPr>
              <w:t>OK</w:t>
            </w:r>
            <w:r>
              <w:t>.</w:t>
            </w:r>
          </w:p>
          <w:p w14:paraId="404B583D" w14:textId="77777777" w:rsidR="002A21AE" w:rsidRDefault="002A21AE" w:rsidP="00107CEB">
            <w:pPr>
              <w:pStyle w:val="TableTextNumbersContinued"/>
            </w:pPr>
          </w:p>
        </w:tc>
        <w:tc>
          <w:tcPr>
            <w:tcW w:w="6356" w:type="dxa"/>
            <w:tcBorders>
              <w:top w:val="single" w:sz="4" w:space="0" w:color="auto"/>
              <w:left w:val="single" w:sz="4" w:space="0" w:color="auto"/>
              <w:bottom w:val="single" w:sz="4" w:space="0" w:color="auto"/>
              <w:right w:val="single" w:sz="4" w:space="0" w:color="auto"/>
            </w:tcBorders>
          </w:tcPr>
          <w:p w14:paraId="25850177" w14:textId="77777777" w:rsidR="002A21AE" w:rsidRDefault="002A21AE">
            <w:pPr>
              <w:pStyle w:val="TableTextBullet"/>
            </w:pPr>
            <w:r>
              <w:t>Displays the lot number verification template for each rack selected.</w:t>
            </w:r>
          </w:p>
          <w:p w14:paraId="7A95FBE2" w14:textId="77777777" w:rsidR="002A21AE" w:rsidRDefault="002A21AE">
            <w:pPr>
              <w:pStyle w:val="TableText"/>
            </w:pPr>
          </w:p>
          <w:p w14:paraId="66ECFC25" w14:textId="4A906AE9" w:rsidR="002A21AE" w:rsidRDefault="002A21AE">
            <w:pPr>
              <w:pStyle w:val="TableText"/>
              <w:rPr>
                <w:b/>
                <w:bCs/>
                <w:szCs w:val="18"/>
              </w:rPr>
            </w:pPr>
            <w:r>
              <w:rPr>
                <w:b/>
                <w:bCs/>
                <w:szCs w:val="18"/>
              </w:rPr>
              <w:t>NOTES</w:t>
            </w:r>
          </w:p>
          <w:p w14:paraId="2C91F8C6" w14:textId="77777777" w:rsidR="00A013ED" w:rsidRDefault="00A013ED" w:rsidP="00A013ED">
            <w:pPr>
              <w:pStyle w:val="NotesText"/>
            </w:pPr>
          </w:p>
          <w:p w14:paraId="77019BE4" w14:textId="77777777" w:rsidR="00F233CC" w:rsidRDefault="005C1490" w:rsidP="00F233CC">
            <w:pPr>
              <w:pStyle w:val="NotesText"/>
            </w:pPr>
            <w:r>
              <w:rPr>
                <w:vanish/>
              </w:rPr>
              <w:t>BR_</w:t>
            </w:r>
            <w:r w:rsidRPr="00707B78">
              <w:rPr>
                <w:vanish/>
              </w:rPr>
              <w:t>28.3</w:t>
            </w:r>
            <w:r w:rsidR="00324E04" w:rsidRPr="00707B78">
              <w:rPr>
                <w:vanish/>
              </w:rPr>
              <w:t xml:space="preserve">3 </w:t>
            </w:r>
            <w:r w:rsidRPr="005C1490">
              <w:t>A</w:t>
            </w:r>
            <w:r w:rsidR="00F233CC" w:rsidRPr="005C1490">
              <w:t xml:space="preserve"> </w:t>
            </w:r>
            <w:r>
              <w:t xml:space="preserve">reagent </w:t>
            </w:r>
            <w:r w:rsidR="00F233CC">
              <w:t xml:space="preserve">rack </w:t>
            </w:r>
            <w:r>
              <w:t>is</w:t>
            </w:r>
            <w:r w:rsidR="00F233CC">
              <w:t xml:space="preserve"> displayed on one of three tabs based on its testing status and the daily alert time setting:</w:t>
            </w:r>
          </w:p>
          <w:p w14:paraId="13C68379" w14:textId="77777777" w:rsidR="00F233CC" w:rsidRDefault="00F233CC" w:rsidP="00F233CC">
            <w:pPr>
              <w:pStyle w:val="NotesTextBullet"/>
            </w:pPr>
            <w:r>
              <w:t>Test Rack(s): the current alert time has passed and is/are considered “untested”</w:t>
            </w:r>
          </w:p>
          <w:p w14:paraId="41AE865C" w14:textId="3880B745" w:rsidR="00F233CC" w:rsidRDefault="00F233CC" w:rsidP="00F233CC">
            <w:pPr>
              <w:pStyle w:val="NotesTextBullet"/>
            </w:pPr>
            <w:r>
              <w:t xml:space="preserve">Partially tested: racks that have incomplete test results for the current </w:t>
            </w:r>
            <w:r w:rsidR="002E5AC8">
              <w:t>24-hour</w:t>
            </w:r>
            <w:r>
              <w:t xml:space="preserve"> time clock and are considered “untested”</w:t>
            </w:r>
          </w:p>
          <w:p w14:paraId="5F65433F" w14:textId="77777777" w:rsidR="00F233CC" w:rsidRDefault="00F233CC" w:rsidP="00F233CC">
            <w:pPr>
              <w:pStyle w:val="NotesTextBullet"/>
            </w:pPr>
            <w:r>
              <w:t>Retest Racks: racks that are fully tested within the current alert time and are available for new lot number selection and its testing.</w:t>
            </w:r>
          </w:p>
          <w:p w14:paraId="4AD1C132" w14:textId="77777777" w:rsidR="00503F5E" w:rsidRDefault="00503F5E" w:rsidP="00A013ED">
            <w:pPr>
              <w:pStyle w:val="NotesText"/>
            </w:pPr>
          </w:p>
          <w:p w14:paraId="6BED77EC" w14:textId="77777777" w:rsidR="00F233CC" w:rsidRPr="00503F5E" w:rsidRDefault="00503F5E" w:rsidP="00A013ED">
            <w:pPr>
              <w:pStyle w:val="NotesText"/>
            </w:pPr>
            <w:r w:rsidRPr="00503F5E">
              <w:t>The user may test a rack no earlier than the alert time for the next 24 hours</w:t>
            </w:r>
            <w:r>
              <w:t>.</w:t>
            </w:r>
            <w:r>
              <w:rPr>
                <w:vanish/>
              </w:rPr>
              <w:t xml:space="preserve"> DR 4014</w:t>
            </w:r>
          </w:p>
          <w:p w14:paraId="101E93FF" w14:textId="77777777" w:rsidR="00503F5E" w:rsidRDefault="00503F5E" w:rsidP="00A013ED">
            <w:pPr>
              <w:pStyle w:val="NotesText"/>
            </w:pPr>
          </w:p>
          <w:p w14:paraId="00204979" w14:textId="77777777" w:rsidR="00A013ED" w:rsidRDefault="00A013ED" w:rsidP="00A013ED">
            <w:pPr>
              <w:pStyle w:val="NotesText"/>
            </w:pPr>
            <w:r>
              <w:t>On occasion, a user may save a partially completed QC worksheet and finish it later. The same user or a different user may complete the testing.</w:t>
            </w:r>
          </w:p>
          <w:p w14:paraId="71AF6465" w14:textId="77777777" w:rsidR="00A013ED" w:rsidRDefault="00A013ED" w:rsidP="00A013ED">
            <w:pPr>
              <w:pStyle w:val="NotesText"/>
            </w:pPr>
          </w:p>
          <w:p w14:paraId="70AB74CB" w14:textId="77777777" w:rsidR="00A013ED" w:rsidRDefault="00A013ED" w:rsidP="00A013ED">
            <w:pPr>
              <w:pStyle w:val="NotesText"/>
            </w:pPr>
            <w:r>
              <w:t>The user may retest a rack when a reagent lot number changes after initial testing. VBECS does not allow the user to retest saved valid results.</w:t>
            </w:r>
          </w:p>
          <w:p w14:paraId="7CAC92F1" w14:textId="77777777" w:rsidR="00A013ED" w:rsidRDefault="00A013ED" w:rsidP="00A013ED">
            <w:pPr>
              <w:pStyle w:val="NotesText"/>
              <w:rPr>
                <w:vanish/>
                <w:szCs w:val="18"/>
              </w:rPr>
            </w:pPr>
          </w:p>
          <w:p w14:paraId="038E29DB" w14:textId="77777777" w:rsidR="002A21AE" w:rsidRDefault="002A21AE">
            <w:pPr>
              <w:pStyle w:val="NotesText"/>
            </w:pPr>
            <w:r>
              <w:rPr>
                <w:vanish/>
                <w:szCs w:val="18"/>
              </w:rPr>
              <w:t xml:space="preserve">PT_28.01 </w:t>
            </w:r>
            <w:r>
              <w:t xml:space="preserve">VBECS requires the user to indicate the rack identifier to provide a testing template for each daily reagent rack QC. </w:t>
            </w:r>
          </w:p>
          <w:p w14:paraId="7FE8653C" w14:textId="77777777" w:rsidR="002A21AE" w:rsidRDefault="002A21AE" w:rsidP="00995EAA">
            <w:pPr>
              <w:pStyle w:val="NotesText"/>
            </w:pPr>
          </w:p>
          <w:p w14:paraId="1180B539" w14:textId="77777777" w:rsidR="002A21AE" w:rsidRDefault="002A21AE">
            <w:pPr>
              <w:pStyle w:val="NotesText"/>
            </w:pPr>
            <w:r>
              <w:rPr>
                <w:rFonts w:cs="Arial"/>
                <w:vanish/>
                <w:szCs w:val="18"/>
              </w:rPr>
              <w:t>BR_28.11</w:t>
            </w:r>
            <w:r w:rsidR="00CE3961">
              <w:rPr>
                <w:rFonts w:cs="Arial"/>
                <w:vanish/>
                <w:szCs w:val="18"/>
              </w:rPr>
              <w:t>,</w:t>
            </w:r>
            <w:r>
              <w:rPr>
                <w:rFonts w:cs="Arial"/>
                <w:vanish/>
                <w:szCs w:val="18"/>
              </w:rPr>
              <w:t xml:space="preserve"> </w:t>
            </w:r>
            <w:r>
              <w:rPr>
                <w:vanish/>
                <w:szCs w:val="18"/>
              </w:rPr>
              <w:t xml:space="preserve">BR_28.23 </w:t>
            </w:r>
            <w:r>
              <w:t>Site settings determine reagent types and lot numbers present. VBECS displays only reagent types previously entered for the division using the reagent inventory function. VBECS allows entry of lot numbers only. When VBECS displays lot numbers for selection, it checks the inventory system for the reagent name and lot numbers in use in a rack. VBECS does not offer a reagent with an unsatisfactory value in the “Inspection” field or with a quantity of zero as a selectable reagent. The user cannot force the entry of a lot number that VBECS disallowed on the selection list. The user must choose a different reagent.</w:t>
            </w:r>
          </w:p>
          <w:p w14:paraId="11B4FA17" w14:textId="77777777" w:rsidR="002A21AE" w:rsidRDefault="002A21AE">
            <w:pPr>
              <w:pStyle w:val="NotesText"/>
            </w:pPr>
          </w:p>
          <w:p w14:paraId="66EB088A" w14:textId="77777777" w:rsidR="002A21AE" w:rsidRDefault="002A21AE">
            <w:pPr>
              <w:pStyle w:val="NotesText"/>
            </w:pPr>
            <w:r>
              <w:rPr>
                <w:rFonts w:cs="Arial"/>
                <w:vanish/>
              </w:rPr>
              <w:t xml:space="preserve">BR_28.24 </w:t>
            </w:r>
            <w:r w:rsidR="00D62E87" w:rsidRPr="00896F17">
              <w:rPr>
                <w:rStyle w:val="BullhornChar"/>
              </w:rPr>
              <w:t></w:t>
            </w:r>
            <w:r w:rsidR="00D62E87" w:rsidRPr="00D62E87">
              <w:rPr>
                <w:rFonts w:ascii="Webdings" w:hAnsi="Webdings"/>
              </w:rPr>
              <w:t></w:t>
            </w:r>
            <w:r w:rsidR="00D62E87" w:rsidRPr="00D62E87">
              <w:t>V</w:t>
            </w:r>
            <w:r>
              <w:t>BECS compares the expiration date of each reagent on the selected rack to the testing date, emits an audible alert, and warns when the reagent is expired.</w:t>
            </w:r>
          </w:p>
          <w:p w14:paraId="61B37B36" w14:textId="77777777" w:rsidR="002A21AE" w:rsidRDefault="002A21AE">
            <w:pPr>
              <w:pStyle w:val="NotesText"/>
            </w:pPr>
          </w:p>
          <w:p w14:paraId="3D8AA1BB" w14:textId="77777777" w:rsidR="002A21AE" w:rsidRDefault="002A21AE">
            <w:pPr>
              <w:pStyle w:val="NotesText"/>
            </w:pPr>
            <w:r>
              <w:rPr>
                <w:b/>
              </w:rPr>
              <w:t>Yes</w:t>
            </w:r>
            <w:r>
              <w:t xml:space="preserve"> requires a comment and VBECS captures details for inclusion in an Exception Report (exception type: expired reagent QC’d).</w:t>
            </w:r>
          </w:p>
          <w:p w14:paraId="0A6B57FB" w14:textId="77777777" w:rsidR="002A21AE" w:rsidRDefault="002A21AE">
            <w:pPr>
              <w:pStyle w:val="NotesText"/>
            </w:pPr>
          </w:p>
          <w:p w14:paraId="531AF1E1" w14:textId="77777777" w:rsidR="002A21AE" w:rsidRDefault="002A21AE">
            <w:pPr>
              <w:pStyle w:val="NotesText"/>
            </w:pPr>
            <w:r>
              <w:rPr>
                <w:b/>
              </w:rPr>
              <w:t>No</w:t>
            </w:r>
            <w:r>
              <w:t xml:space="preserve"> removes the unsatisfactory reagent from the daily QC rack. The user must select a new one. VBECS does not display unsatisfactory lot numbers.</w:t>
            </w:r>
          </w:p>
          <w:p w14:paraId="4BBE1955" w14:textId="77777777" w:rsidR="002A21AE" w:rsidRDefault="002A21AE">
            <w:pPr>
              <w:pStyle w:val="NotesText"/>
            </w:pPr>
          </w:p>
          <w:p w14:paraId="56DEAE7D" w14:textId="77777777" w:rsidR="002A21AE" w:rsidRDefault="002A21AE">
            <w:pPr>
              <w:pStyle w:val="NotesText"/>
            </w:pPr>
            <w:r>
              <w:rPr>
                <w:rFonts w:cs="Arial"/>
                <w:vanish/>
              </w:rPr>
              <w:t xml:space="preserve">BR_28.32 </w:t>
            </w:r>
            <w:r>
              <w:t>The user may enter the lot numbers of the reagents used for the daily QC rack and the lot numbers of the enhancement media reagents defined in Configure Daily QC. VBECS does not display these reagents on the reaction results grid for a rack.</w:t>
            </w:r>
          </w:p>
        </w:tc>
      </w:tr>
      <w:tr w:rsidR="002A21AE" w14:paraId="260979B4"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15E5864D" w14:textId="58EA3C71" w:rsidR="002A21AE" w:rsidRDefault="002A21AE">
            <w:pPr>
              <w:pStyle w:val="TableTextNumbers"/>
            </w:pPr>
            <w:r>
              <w:lastRenderedPageBreak/>
              <w:t>Select a wo</w:t>
            </w:r>
            <w:r w:rsidR="0086218A">
              <w:t>rksheet to complete the testing</w:t>
            </w:r>
            <w:r w:rsidR="00F20BC5">
              <w:t xml:space="preserve"> (</w:t>
            </w:r>
            <w:r w:rsidR="00EE455E">
              <w:t xml:space="preserve">Figure </w:t>
            </w:r>
            <w:r w:rsidR="00EE455E">
              <w:rPr>
                <w:noProof/>
              </w:rPr>
              <w:t>38</w:t>
            </w:r>
            <w:r w:rsidR="00F20BC5">
              <w:t>)</w:t>
            </w:r>
            <w:r w:rsidR="0086218A">
              <w:t>, or</w:t>
            </w:r>
          </w:p>
          <w:p w14:paraId="215DEDB3" w14:textId="77777777" w:rsidR="0086218A" w:rsidRDefault="0086218A" w:rsidP="0086218A">
            <w:pPr>
              <w:pStyle w:val="TableTextNumbersContinued"/>
            </w:pPr>
          </w:p>
          <w:p w14:paraId="2B74A892" w14:textId="77777777" w:rsidR="002A21AE" w:rsidRDefault="0086218A" w:rsidP="001D6DF1">
            <w:pPr>
              <w:pStyle w:val="TableTextNumbersContinued"/>
            </w:pPr>
            <w:r>
              <w:rPr>
                <w:rFonts w:cs="Arial"/>
                <w:vanish/>
              </w:rPr>
              <w:t xml:space="preserve">BR_28.05 </w:t>
            </w:r>
            <w:r>
              <w:t xml:space="preserve">Click the </w:t>
            </w:r>
            <w:r w:rsidRPr="0086218A">
              <w:rPr>
                <w:b/>
              </w:rPr>
              <w:t xml:space="preserve">Rack not in use today </w:t>
            </w:r>
            <w:r w:rsidRPr="00D1100E">
              <w:t>check box</w:t>
            </w:r>
            <w:r>
              <w:t xml:space="preserve"> to indicate that testing of a rack will not be performed.</w:t>
            </w:r>
          </w:p>
          <w:p w14:paraId="3573B9E3" w14:textId="77777777" w:rsidR="006D3D24" w:rsidRDefault="006D3D24" w:rsidP="001D6DF1">
            <w:pPr>
              <w:pStyle w:val="TableTextNumbersContinued"/>
            </w:pPr>
          </w:p>
          <w:p w14:paraId="33AF12EE" w14:textId="77777777" w:rsidR="006D3D24" w:rsidRPr="006D3D24" w:rsidRDefault="006D3D24" w:rsidP="006D3D24">
            <w:pPr>
              <w:pStyle w:val="TableTextNumbersContinued"/>
            </w:pPr>
            <w:r>
              <w:rPr>
                <w:vanish/>
              </w:rPr>
              <w:t xml:space="preserve">BR_28.34 </w:t>
            </w:r>
            <w:r>
              <w:t xml:space="preserve">Click the </w:t>
            </w:r>
            <w:r>
              <w:rPr>
                <w:b/>
              </w:rPr>
              <w:t>QC Testing Documentation Offline</w:t>
            </w:r>
            <w:r>
              <w:t xml:space="preserve"> check box to acknowledge QC is not performed in VBECS but has been properly documented.</w:t>
            </w:r>
            <w:r w:rsidR="00D827B9">
              <w:t xml:space="preserve"> Click </w:t>
            </w:r>
            <w:r w:rsidR="00D827B9" w:rsidRPr="00D827B9">
              <w:rPr>
                <w:b/>
              </w:rPr>
              <w:t>Yes</w:t>
            </w:r>
            <w:r w:rsidR="00D827B9">
              <w:t xml:space="preserve"> to save changes. Close the window.</w:t>
            </w:r>
          </w:p>
        </w:tc>
        <w:tc>
          <w:tcPr>
            <w:tcW w:w="6356" w:type="dxa"/>
            <w:tcBorders>
              <w:top w:val="single" w:sz="4" w:space="0" w:color="auto"/>
              <w:left w:val="single" w:sz="4" w:space="0" w:color="auto"/>
              <w:bottom w:val="single" w:sz="4" w:space="0" w:color="auto"/>
              <w:right w:val="single" w:sz="4" w:space="0" w:color="auto"/>
            </w:tcBorders>
          </w:tcPr>
          <w:p w14:paraId="5E7609A7" w14:textId="77777777" w:rsidR="002A21AE" w:rsidRDefault="002A21AE">
            <w:pPr>
              <w:pStyle w:val="TableTextBullet"/>
            </w:pPr>
            <w:r>
              <w:t>Displays the selected worksheet.</w:t>
            </w:r>
          </w:p>
          <w:p w14:paraId="715D39A9" w14:textId="77777777" w:rsidR="002A21AE" w:rsidRDefault="002A21AE">
            <w:pPr>
              <w:pStyle w:val="TableTextBullet"/>
            </w:pPr>
            <w:r>
              <w:t>Displays the selected partially completed worksheet with the option to cancel the worksheet or continue to enter more testing information.</w:t>
            </w:r>
          </w:p>
          <w:p w14:paraId="2079FB1D" w14:textId="77777777" w:rsidR="002A21AE" w:rsidRDefault="002A21AE">
            <w:pPr>
              <w:pStyle w:val="TableText"/>
            </w:pPr>
          </w:p>
          <w:p w14:paraId="02A33E9D" w14:textId="216236AD" w:rsidR="002A21AE" w:rsidRDefault="002A21AE">
            <w:pPr>
              <w:pStyle w:val="TableText"/>
              <w:rPr>
                <w:b/>
                <w:bCs/>
                <w:szCs w:val="18"/>
              </w:rPr>
            </w:pPr>
            <w:r>
              <w:rPr>
                <w:b/>
                <w:bCs/>
                <w:szCs w:val="18"/>
              </w:rPr>
              <w:t>NOTES</w:t>
            </w:r>
          </w:p>
          <w:p w14:paraId="4BA5AD8E" w14:textId="77777777" w:rsidR="002A21AE" w:rsidRDefault="002A21AE">
            <w:pPr>
              <w:pStyle w:val="NotesText"/>
            </w:pPr>
          </w:p>
          <w:p w14:paraId="2DFFF3FC" w14:textId="77777777" w:rsidR="00CF0BDB" w:rsidRDefault="006D3D24">
            <w:pPr>
              <w:pStyle w:val="NotesText"/>
              <w:rPr>
                <w:rFonts w:cs="Arial"/>
              </w:rPr>
            </w:pPr>
            <w:r>
              <w:rPr>
                <w:rFonts w:cs="Arial"/>
              </w:rPr>
              <w:t xml:space="preserve">When the QC Testing Documentation Offline check box is checked </w:t>
            </w:r>
            <w:r w:rsidR="00CF0BDB">
              <w:rPr>
                <w:rFonts w:cs="Arial"/>
              </w:rPr>
              <w:t>for a reagent rack</w:t>
            </w:r>
            <w:r w:rsidR="00FE130E">
              <w:rPr>
                <w:rFonts w:cs="Arial"/>
              </w:rPr>
              <w:t>,</w:t>
            </w:r>
            <w:r w:rsidR="00CF0BDB">
              <w:rPr>
                <w:rFonts w:cs="Arial"/>
              </w:rPr>
              <w:t xml:space="preserve"> VBECS allows the rack to be used for patient testing until the next daily alert time.</w:t>
            </w:r>
          </w:p>
          <w:p w14:paraId="4F3FDB65" w14:textId="77777777" w:rsidR="006D3D24" w:rsidRPr="006D3D24" w:rsidRDefault="006D3D24">
            <w:pPr>
              <w:pStyle w:val="NotesText"/>
              <w:rPr>
                <w:rFonts w:cs="Arial"/>
              </w:rPr>
            </w:pPr>
            <w:r>
              <w:rPr>
                <w:rFonts w:cs="Arial"/>
              </w:rPr>
              <w:t xml:space="preserve"> </w:t>
            </w:r>
          </w:p>
          <w:p w14:paraId="5FD08B27" w14:textId="77777777" w:rsidR="002A21AE" w:rsidRDefault="00E10815">
            <w:pPr>
              <w:pStyle w:val="NotesText"/>
            </w:pPr>
            <w:r>
              <w:t>The primary lot number can be tested and changed and the results for both will display on the Testing Worklist Report.</w:t>
            </w:r>
          </w:p>
          <w:p w14:paraId="5E7752B9" w14:textId="77777777" w:rsidR="002A21AE" w:rsidRDefault="002A21AE">
            <w:pPr>
              <w:pStyle w:val="NotesText"/>
            </w:pPr>
          </w:p>
          <w:p w14:paraId="22AD7134" w14:textId="77777777" w:rsidR="002A21AE" w:rsidRDefault="00D62E87">
            <w:pPr>
              <w:pStyle w:val="NotesText"/>
            </w:pPr>
            <w:r w:rsidRPr="00896F17">
              <w:rPr>
                <w:rStyle w:val="BullhornChar"/>
              </w:rPr>
              <w:t></w:t>
            </w:r>
            <w:r w:rsidRPr="00D62E87">
              <w:rPr>
                <w:rFonts w:ascii="Webdings" w:hAnsi="Webdings"/>
              </w:rPr>
              <w:t></w:t>
            </w:r>
            <w:r w:rsidR="002A21AE">
              <w:t>A user may cancel or invalidate a partially completed QC rack worksheet when it is available. VBECS emits an audible alert and warns that invalidating this worksheet will necessitate starting over and asks whether the user wishes to continue.</w:t>
            </w:r>
          </w:p>
          <w:p w14:paraId="72DCA43D" w14:textId="77777777" w:rsidR="002A21AE" w:rsidRDefault="002A21AE">
            <w:pPr>
              <w:pStyle w:val="NotesText"/>
            </w:pPr>
          </w:p>
          <w:p w14:paraId="1595BBE3" w14:textId="77777777" w:rsidR="002A21AE" w:rsidRDefault="002A21AE">
            <w:pPr>
              <w:pStyle w:val="NotesText"/>
            </w:pPr>
            <w:r>
              <w:rPr>
                <w:b/>
              </w:rPr>
              <w:t>No</w:t>
            </w:r>
            <w:r>
              <w:t xml:space="preserve"> returns the user to the partially partially-completed worksheet. </w:t>
            </w:r>
          </w:p>
          <w:p w14:paraId="2C55B388" w14:textId="77777777" w:rsidR="002A21AE" w:rsidRDefault="002A21AE">
            <w:pPr>
              <w:pStyle w:val="NotesText"/>
            </w:pPr>
            <w:r>
              <w:rPr>
                <w:b/>
              </w:rPr>
              <w:t>Yes</w:t>
            </w:r>
            <w:r>
              <w:t xml:space="preserve"> invalidates the worksheet. VBECS does not delete reaction results from the database. </w:t>
            </w:r>
          </w:p>
          <w:p w14:paraId="6ED5277E" w14:textId="77777777" w:rsidR="002A21AE" w:rsidRDefault="002A21AE">
            <w:pPr>
              <w:pStyle w:val="NotesText"/>
            </w:pPr>
          </w:p>
          <w:p w14:paraId="02590ABB" w14:textId="77777777" w:rsidR="002A21AE" w:rsidRDefault="002A21AE">
            <w:pPr>
              <w:pStyle w:val="NotesText"/>
            </w:pPr>
            <w:r>
              <w:t>An Exception Report comment documents the invalidation of the rack’s worksheet. VBECS does not record workload calculation for invalidated testing. The invalidated reaction results and associated testing information remain in the database for future retrieval (exception type: deletion of partially completed QC).</w:t>
            </w:r>
          </w:p>
          <w:p w14:paraId="2CFD6873" w14:textId="77777777" w:rsidR="002A21AE" w:rsidRDefault="002A21AE">
            <w:pPr>
              <w:pStyle w:val="NotesText"/>
            </w:pPr>
          </w:p>
          <w:p w14:paraId="109CC652" w14:textId="77777777" w:rsidR="002A21AE" w:rsidRDefault="002A21AE">
            <w:pPr>
              <w:pStyle w:val="NotesText"/>
            </w:pPr>
            <w:r>
              <w:rPr>
                <w:rFonts w:cs="Arial"/>
                <w:vanish/>
              </w:rPr>
              <w:t xml:space="preserve">BR_28.12 </w:t>
            </w:r>
            <w:r w:rsidR="00D62E87" w:rsidRPr="00896F17">
              <w:rPr>
                <w:rStyle w:val="BullhornChar"/>
              </w:rPr>
              <w:t></w:t>
            </w:r>
            <w:r w:rsidR="00D62E87" w:rsidRPr="00D62E87">
              <w:rPr>
                <w:rFonts w:ascii="Webdings" w:hAnsi="Webdings"/>
              </w:rPr>
              <w:t></w:t>
            </w:r>
            <w:r w:rsidR="00D62E87" w:rsidRPr="00D62E87">
              <w:t>V</w:t>
            </w:r>
            <w:r>
              <w:t xml:space="preserve">BECS compares the results entered to those of the previous day for the same rack number and alerts the user when there is a </w:t>
            </w:r>
            <w:r w:rsidR="001F4C96">
              <w:t>change</w:t>
            </w:r>
            <w:r>
              <w:t xml:space="preserve"> in reactivity of two or more </w:t>
            </w:r>
            <w:r w:rsidR="001F4C96">
              <w:t>or when the result is changed from positive to negative</w:t>
            </w:r>
            <w:r>
              <w:t xml:space="preserve"> for each reagent type by lot number. VBECS </w:t>
            </w:r>
            <w:r>
              <w:rPr>
                <w:noProof/>
              </w:rPr>
              <w:t>emits an audible a</w:t>
            </w:r>
            <w:r w:rsidR="000C0766">
              <w:rPr>
                <w:noProof/>
              </w:rPr>
              <w:t xml:space="preserve">lert and warns that there is a </w:t>
            </w:r>
            <w:r w:rsidR="000C0766">
              <w:t>decrease</w:t>
            </w:r>
            <w:r>
              <w:t xml:space="preserve"> in reagent reactivity of two or more and asks whether the user wishes to continue to use this vial.</w:t>
            </w:r>
          </w:p>
          <w:p w14:paraId="6970E74B" w14:textId="77777777" w:rsidR="002A21AE" w:rsidRDefault="002A21AE">
            <w:pPr>
              <w:pStyle w:val="NotesText"/>
            </w:pPr>
          </w:p>
          <w:p w14:paraId="2B66083B" w14:textId="77777777" w:rsidR="002A21AE" w:rsidRDefault="002A21AE">
            <w:pPr>
              <w:pStyle w:val="NotesText"/>
            </w:pPr>
            <w:r>
              <w:rPr>
                <w:b/>
              </w:rPr>
              <w:t>Yes</w:t>
            </w:r>
            <w:r>
              <w:t xml:space="preserve"> allows the user to continue and requires a comment. VBECS captures details for inclusion in an Exception Report and allows this reagent to be used with the change (within acceptable limits) (exception type: QC decrease reagent reactivity </w:t>
            </w:r>
            <w:r w:rsidR="00DE5EF3" w:rsidRPr="00DE5EF3">
              <w:rPr>
                <w:rStyle w:val="Char"/>
                <w:rFonts w:cs="Arial"/>
                <w:sz w:val="18"/>
                <w:szCs w:val="18"/>
              </w:rPr>
              <w:t>≥</w:t>
            </w:r>
            <w:r>
              <w:t>2).</w:t>
            </w:r>
            <w:r w:rsidR="00DE5EF3">
              <w:t xml:space="preserve"> </w:t>
            </w:r>
          </w:p>
          <w:p w14:paraId="04568D10" w14:textId="77777777" w:rsidR="002A21AE" w:rsidRDefault="002A21AE">
            <w:pPr>
              <w:pStyle w:val="NotesText"/>
            </w:pPr>
          </w:p>
          <w:p w14:paraId="076E592F" w14:textId="77777777" w:rsidR="002A21AE" w:rsidRDefault="002A21AE">
            <w:pPr>
              <w:pStyle w:val="NotesText"/>
            </w:pPr>
            <w:r>
              <w:rPr>
                <w:b/>
              </w:rPr>
              <w:t>No</w:t>
            </w:r>
            <w:r>
              <w:t xml:space="preserve"> allows the user to return to the lot number entry for this reagent type and approve this lot number (different vial) or enter a new lot number. VBECS returns to the testing worksheet where the user left off. (An individual vial of the same lot number may replace the one losing its reactivity.)</w:t>
            </w:r>
          </w:p>
          <w:p w14:paraId="2F6026A8" w14:textId="77777777" w:rsidR="002A21AE" w:rsidRDefault="002A21AE">
            <w:pPr>
              <w:pStyle w:val="NotesText"/>
            </w:pPr>
          </w:p>
          <w:p w14:paraId="16B7D8EB" w14:textId="77777777" w:rsidR="002A21AE" w:rsidRDefault="002A21AE">
            <w:pPr>
              <w:pStyle w:val="NotesText"/>
            </w:pPr>
            <w:r>
              <w:rPr>
                <w:rFonts w:cs="Arial"/>
                <w:vanish/>
              </w:rPr>
              <w:t>BR_28.30</w:t>
            </w:r>
            <w:r w:rsidR="00C852BF">
              <w:rPr>
                <w:rFonts w:cs="Arial"/>
                <w:vanish/>
              </w:rPr>
              <w:t>,</w:t>
            </w:r>
            <w:r>
              <w:rPr>
                <w:rFonts w:cs="Arial"/>
                <w:vanish/>
              </w:rPr>
              <w:t xml:space="preserve"> </w:t>
            </w:r>
            <w:r w:rsidR="00C852BF">
              <w:rPr>
                <w:rFonts w:cs="Arial"/>
                <w:vanish/>
              </w:rPr>
              <w:t>BR_28.31</w:t>
            </w:r>
            <w:r>
              <w:t xml:space="preserve">The </w:t>
            </w:r>
            <w:r w:rsidR="00C377F3">
              <w:t>s</w:t>
            </w:r>
            <w:r>
              <w:t xml:space="preserve">creening </w:t>
            </w:r>
            <w:r w:rsidR="00C377F3">
              <w:t>c</w:t>
            </w:r>
            <w:r w:rsidR="00F20BC5">
              <w:t>ell</w:t>
            </w:r>
            <w:r w:rsidR="00462FB1">
              <w:t xml:space="preserve"> and reverse typing</w:t>
            </w:r>
            <w:r>
              <w:t xml:space="preserve"> reagents are delivered in set</w:t>
            </w:r>
            <w:r w:rsidR="00462FB1">
              <w:t>s</w:t>
            </w:r>
            <w:r>
              <w:t xml:space="preserve"> and share the same lot number; therefore, VBECS displays only one reagent type on the lot number template.</w:t>
            </w:r>
          </w:p>
        </w:tc>
      </w:tr>
      <w:tr w:rsidR="002A21AE" w14:paraId="7C6BD218" w14:textId="77777777" w:rsidTr="007E500E">
        <w:trPr>
          <w:cantSplit/>
        </w:trPr>
        <w:tc>
          <w:tcPr>
            <w:tcW w:w="3240" w:type="dxa"/>
          </w:tcPr>
          <w:p w14:paraId="548EA90F" w14:textId="77777777" w:rsidR="00A83F42" w:rsidRDefault="00A83F42" w:rsidP="00A83F42">
            <w:pPr>
              <w:pStyle w:val="TableTextNumbers"/>
            </w:pPr>
            <w:r>
              <w:lastRenderedPageBreak/>
              <w:t>Verify or select from the drop-down menu the reagent type lot number and test method for each rack chosen for processing.</w:t>
            </w:r>
          </w:p>
          <w:p w14:paraId="7FF886E7" w14:textId="77777777" w:rsidR="00107CEB" w:rsidRDefault="00107CEB" w:rsidP="00107CEB">
            <w:pPr>
              <w:pStyle w:val="TableTextNumbersContinued"/>
            </w:pPr>
          </w:p>
          <w:p w14:paraId="7C5C3FAE" w14:textId="77777777" w:rsidR="00107CEB" w:rsidRDefault="00A83F42" w:rsidP="00107CEB">
            <w:pPr>
              <w:pStyle w:val="TableTextNumbersContinued"/>
            </w:pPr>
            <w:r>
              <w:t xml:space="preserve">Click </w:t>
            </w:r>
            <w:r w:rsidRPr="001272CA">
              <w:rPr>
                <w:b/>
              </w:rPr>
              <w:t>OK</w:t>
            </w:r>
            <w:r>
              <w:t>.</w:t>
            </w:r>
          </w:p>
          <w:p w14:paraId="7A03E879" w14:textId="77777777" w:rsidR="00107CEB" w:rsidRDefault="00107CEB" w:rsidP="00A83F42">
            <w:pPr>
              <w:pStyle w:val="TableTextNumbersContinued"/>
            </w:pPr>
          </w:p>
        </w:tc>
        <w:tc>
          <w:tcPr>
            <w:tcW w:w="6356" w:type="dxa"/>
          </w:tcPr>
          <w:p w14:paraId="02FA6A50" w14:textId="77777777" w:rsidR="00A83F42" w:rsidRDefault="00A83F42" w:rsidP="00A83F42">
            <w:pPr>
              <w:pStyle w:val="TableTextBullet"/>
            </w:pPr>
            <w:r>
              <w:t xml:space="preserve">Displays the lot numbers and expiration dates for verification, if any. </w:t>
            </w:r>
          </w:p>
          <w:p w14:paraId="5BCD3862" w14:textId="77777777" w:rsidR="00687D72" w:rsidRDefault="00687D72" w:rsidP="00A83F42">
            <w:pPr>
              <w:pStyle w:val="TableTextBullet"/>
            </w:pPr>
            <w:r>
              <w:t>Displays each rack in its own tab.</w:t>
            </w:r>
          </w:p>
          <w:p w14:paraId="6AF8DFB8" w14:textId="77777777" w:rsidR="00A83F42" w:rsidRDefault="00A83F42" w:rsidP="00A83F42">
            <w:pPr>
              <w:pStyle w:val="TableText"/>
            </w:pPr>
          </w:p>
          <w:p w14:paraId="68AB77B3" w14:textId="4FD85001" w:rsidR="00A83F42" w:rsidRDefault="00A83F42" w:rsidP="00A83F42">
            <w:pPr>
              <w:pStyle w:val="TableText"/>
              <w:rPr>
                <w:b/>
                <w:bCs/>
                <w:szCs w:val="18"/>
              </w:rPr>
            </w:pPr>
            <w:r>
              <w:rPr>
                <w:b/>
                <w:bCs/>
                <w:szCs w:val="18"/>
              </w:rPr>
              <w:t>NOTES</w:t>
            </w:r>
          </w:p>
          <w:p w14:paraId="151BF090" w14:textId="77777777" w:rsidR="00A83F42" w:rsidRDefault="00A83F42" w:rsidP="00A83F42">
            <w:pPr>
              <w:pStyle w:val="NotesText"/>
            </w:pPr>
          </w:p>
          <w:p w14:paraId="6BE87251" w14:textId="77777777" w:rsidR="00A83F42" w:rsidRDefault="00A83F42" w:rsidP="00A83F42">
            <w:pPr>
              <w:pStyle w:val="NotesText"/>
            </w:pPr>
            <w:r>
              <w:rPr>
                <w:vanish/>
                <w:szCs w:val="18"/>
              </w:rPr>
              <w:t>BR_28.02</w:t>
            </w:r>
            <w:r w:rsidR="00CE3961">
              <w:rPr>
                <w:vanish/>
                <w:szCs w:val="18"/>
              </w:rPr>
              <w:t>,</w:t>
            </w:r>
            <w:r>
              <w:rPr>
                <w:vanish/>
                <w:szCs w:val="18"/>
              </w:rPr>
              <w:t xml:space="preserve"> BR_28.03 </w:t>
            </w:r>
            <w:r>
              <w:t xml:space="preserve">VBECS allows for one lot number entry per reagent type per rack template. </w:t>
            </w:r>
          </w:p>
          <w:p w14:paraId="4F767B7F" w14:textId="77777777" w:rsidR="00A83F42" w:rsidRDefault="00A83F42" w:rsidP="00A83F42">
            <w:pPr>
              <w:pStyle w:val="NotesText"/>
              <w:rPr>
                <w:rFonts w:cs="Arial"/>
                <w:vanish/>
              </w:rPr>
            </w:pPr>
          </w:p>
          <w:p w14:paraId="0F6C8A89" w14:textId="77777777" w:rsidR="002A21AE" w:rsidRDefault="00A83F42" w:rsidP="00A83F42">
            <w:pPr>
              <w:pStyle w:val="NotesText"/>
            </w:pPr>
            <w:r>
              <w:rPr>
                <w:rFonts w:cs="Arial"/>
                <w:vanish/>
              </w:rPr>
              <w:t xml:space="preserve">BR_28.13 </w:t>
            </w:r>
            <w:r>
              <w:t xml:space="preserve">When an entry was made, VBECS fills in the reagent type lot number, the expiration date of that lot number, and the manufacturer. The user may edit the lot number. </w:t>
            </w:r>
            <w:r w:rsidR="002A21AE">
              <w:t>The user must verify the lot numbers of racks in the selected batch before VBECS allows the user to move to the reaction results grids.</w:t>
            </w:r>
          </w:p>
          <w:p w14:paraId="520B639D" w14:textId="77777777" w:rsidR="002A21AE" w:rsidRDefault="002A21AE">
            <w:pPr>
              <w:pStyle w:val="NotesText"/>
            </w:pPr>
          </w:p>
          <w:p w14:paraId="19F96092" w14:textId="77777777" w:rsidR="002A21AE" w:rsidRDefault="002A21AE">
            <w:pPr>
              <w:pStyle w:val="NotesText"/>
            </w:pPr>
            <w:r>
              <w:rPr>
                <w:rFonts w:cs="Arial"/>
                <w:vanish/>
              </w:rPr>
              <w:t xml:space="preserve">BR_28.15 </w:t>
            </w:r>
            <w:r>
              <w:t xml:space="preserve">Each reagent rack has a separate reaction results grid to collect the user’s direct observations. </w:t>
            </w:r>
            <w:r>
              <w:rPr>
                <w:vanish/>
                <w:szCs w:val="18"/>
              </w:rPr>
              <w:t>See PT_28.02 Commercial QC Kit in Use and PT_28.03 Non-Commercial Daily QC Template.</w:t>
            </w:r>
          </w:p>
          <w:p w14:paraId="0EFA6F0C" w14:textId="77777777" w:rsidR="002A21AE" w:rsidRDefault="002A21AE">
            <w:pPr>
              <w:pStyle w:val="NotesText"/>
            </w:pPr>
          </w:p>
          <w:p w14:paraId="3882E711" w14:textId="77777777" w:rsidR="002A21AE" w:rsidRDefault="002A21AE">
            <w:pPr>
              <w:pStyle w:val="NotesText"/>
              <w:rPr>
                <w:vanish/>
                <w:szCs w:val="18"/>
              </w:rPr>
            </w:pPr>
            <w:r>
              <w:rPr>
                <w:rFonts w:cs="Arial"/>
                <w:vanish/>
              </w:rPr>
              <w:t xml:space="preserve">BR_51.10 </w:t>
            </w:r>
            <w:r>
              <w:t>VBECS displays reagent types (except for the gel and the instrument lot numbers) listed as REQUIRED (by VBECS or by the user) in the daily use field on the rack lot number template and the reaction result entry worksheet for each rack in Enter Daily QC Results.</w:t>
            </w:r>
          </w:p>
          <w:p w14:paraId="10E74A80" w14:textId="77777777" w:rsidR="00DF355E" w:rsidRDefault="00DF355E" w:rsidP="00DF355E">
            <w:pPr>
              <w:pStyle w:val="NotesText"/>
            </w:pPr>
          </w:p>
          <w:p w14:paraId="1421C361" w14:textId="77777777" w:rsidR="00DF355E" w:rsidRDefault="00DF355E" w:rsidP="00DF355E">
            <w:pPr>
              <w:pStyle w:val="NotesText"/>
            </w:pPr>
            <w:r>
              <w:rPr>
                <w:vanish/>
                <w:szCs w:val="18"/>
              </w:rPr>
              <w:t>BR_28.06</w:t>
            </w:r>
            <w:r w:rsidR="00CE3961">
              <w:rPr>
                <w:vanish/>
                <w:szCs w:val="18"/>
              </w:rPr>
              <w:t>,</w:t>
            </w:r>
            <w:r>
              <w:rPr>
                <w:vanish/>
                <w:szCs w:val="18"/>
              </w:rPr>
              <w:t xml:space="preserve"> BR_28.07 </w:t>
            </w:r>
            <w:r>
              <w:t xml:space="preserve">When a rack is tested, VBECS displays a retest option at the daily reagent QC prompt with the untested rack numbers. When a user requests to retest a rack on a given date, VBECS displays the option to reenter a lot number for reagent types for all or part of the daily QC with a comment. All other reagent type results previously entered are locked and may not be edited. VBECS saves the new information and the original data, then generates a report entry. </w:t>
            </w:r>
          </w:p>
          <w:p w14:paraId="6E512086" w14:textId="77777777" w:rsidR="00DF355E" w:rsidRDefault="00DF355E" w:rsidP="00DF355E">
            <w:pPr>
              <w:pStyle w:val="NotesText"/>
            </w:pPr>
          </w:p>
          <w:p w14:paraId="69CB4C1A" w14:textId="521A0DD0" w:rsidR="001055DF" w:rsidRDefault="00DF355E">
            <w:pPr>
              <w:pStyle w:val="NotesText"/>
              <w:rPr>
                <w:vanish/>
                <w:szCs w:val="18"/>
              </w:rPr>
            </w:pPr>
            <w:r>
              <w:t>When a user changes a reagent lot number, VBECS clears the testing template for that reagent type and allows the user to enter new results.</w:t>
            </w:r>
          </w:p>
          <w:p w14:paraId="3A2CAAEC" w14:textId="487A5168" w:rsidR="001055DF" w:rsidRDefault="001055DF">
            <w:pPr>
              <w:pStyle w:val="NotesText"/>
              <w:rPr>
                <w:vanish/>
                <w:szCs w:val="18"/>
              </w:rPr>
            </w:pPr>
          </w:p>
          <w:p w14:paraId="5CFB08B7" w14:textId="1E8163CE" w:rsidR="002A21AE" w:rsidRDefault="001055DF">
            <w:pPr>
              <w:pStyle w:val="NotesText"/>
              <w:rPr>
                <w:vanish/>
                <w:szCs w:val="18"/>
              </w:rPr>
            </w:pPr>
            <w:r>
              <w:rPr>
                <w:vanish/>
                <w:szCs w:val="18"/>
              </w:rPr>
              <w:t>TT</w:t>
            </w:r>
            <w:r w:rsidR="002A21AE">
              <w:rPr>
                <w:vanish/>
                <w:szCs w:val="18"/>
              </w:rPr>
              <w:t xml:space="preserve">_28.01 Daily QC Using a Commercial QC Template or PT_28.02 Commercial QC Kit </w:t>
            </w:r>
          </w:p>
          <w:p w14:paraId="258A4E17" w14:textId="77777777" w:rsidR="002A21AE" w:rsidRDefault="002A21AE">
            <w:pPr>
              <w:pStyle w:val="NotesText"/>
              <w:rPr>
                <w:vanish/>
                <w:szCs w:val="18"/>
              </w:rPr>
            </w:pPr>
          </w:p>
          <w:p w14:paraId="45E29AA0" w14:textId="77777777" w:rsidR="002A21AE" w:rsidRDefault="002A21AE">
            <w:pPr>
              <w:pStyle w:val="NotesText"/>
              <w:rPr>
                <w:vanish/>
                <w:szCs w:val="18"/>
              </w:rPr>
            </w:pPr>
            <w:r>
              <w:rPr>
                <w:vanish/>
                <w:szCs w:val="18"/>
              </w:rPr>
              <w:t>TT_28.02 Daily QC Using Non-Commercial QC Template</w:t>
            </w:r>
          </w:p>
          <w:p w14:paraId="2152D6E6" w14:textId="77777777" w:rsidR="002A21AE" w:rsidRDefault="002A21AE">
            <w:pPr>
              <w:pStyle w:val="NotesText"/>
              <w:rPr>
                <w:vanish/>
                <w:szCs w:val="18"/>
              </w:rPr>
            </w:pPr>
          </w:p>
          <w:p w14:paraId="020B092E" w14:textId="77777777" w:rsidR="002A21AE" w:rsidRDefault="002A21AE">
            <w:pPr>
              <w:pStyle w:val="NotesText"/>
            </w:pPr>
            <w:r>
              <w:rPr>
                <w:vanish/>
                <w:szCs w:val="18"/>
              </w:rPr>
              <w:t>PT_28.03 Non-Commercial Daily QC Template</w:t>
            </w:r>
          </w:p>
        </w:tc>
      </w:tr>
      <w:tr w:rsidR="002A21AE" w14:paraId="2B4763C8" w14:textId="77777777" w:rsidTr="007E500E">
        <w:trPr>
          <w:cantSplit/>
        </w:trPr>
        <w:tc>
          <w:tcPr>
            <w:tcW w:w="3240" w:type="dxa"/>
          </w:tcPr>
          <w:p w14:paraId="4F67DF40" w14:textId="6E7D9726" w:rsidR="002A21AE" w:rsidRDefault="002A21AE">
            <w:pPr>
              <w:pStyle w:val="TableTextNumbers"/>
            </w:pPr>
            <w:r>
              <w:lastRenderedPageBreak/>
              <w:t>Enter the observed serologic reacti</w:t>
            </w:r>
            <w:r w:rsidR="009C1A31">
              <w:t>ons</w:t>
            </w:r>
            <w:r w:rsidR="00462FB1">
              <w:t xml:space="preserve"> (</w:t>
            </w:r>
            <w:r w:rsidR="00EE455E">
              <w:t xml:space="preserve">Figure </w:t>
            </w:r>
            <w:r w:rsidR="00EE455E">
              <w:rPr>
                <w:noProof/>
              </w:rPr>
              <w:t>39</w:t>
            </w:r>
            <w:r w:rsidR="00462FB1">
              <w:t>)</w:t>
            </w:r>
            <w:r>
              <w:t>.</w:t>
            </w:r>
          </w:p>
          <w:p w14:paraId="5EEC86D2" w14:textId="77777777" w:rsidR="007D23B5" w:rsidRDefault="007D23B5" w:rsidP="007D23B5">
            <w:pPr>
              <w:pStyle w:val="TableTextNumbersContinued"/>
            </w:pPr>
          </w:p>
          <w:p w14:paraId="32FD07B2" w14:textId="77777777" w:rsidR="007D23B5" w:rsidRDefault="007D23B5" w:rsidP="007D23B5">
            <w:pPr>
              <w:pStyle w:val="TableTextNumbersContinued"/>
            </w:pPr>
            <w:r>
              <w:t xml:space="preserve">Click </w:t>
            </w:r>
            <w:r w:rsidRPr="007D23B5">
              <w:rPr>
                <w:b/>
              </w:rPr>
              <w:t>OK</w:t>
            </w:r>
            <w:r>
              <w:t xml:space="preserve"> and </w:t>
            </w:r>
            <w:r w:rsidRPr="007D23B5">
              <w:rPr>
                <w:b/>
              </w:rPr>
              <w:t>Yes</w:t>
            </w:r>
            <w:r>
              <w:t xml:space="preserve"> to save</w:t>
            </w:r>
            <w:r w:rsidR="00281172">
              <w:t xml:space="preserve"> and exit</w:t>
            </w:r>
            <w:r>
              <w:t>.</w:t>
            </w:r>
          </w:p>
          <w:p w14:paraId="301D1699" w14:textId="77777777" w:rsidR="00881170" w:rsidRDefault="00881170" w:rsidP="00881170">
            <w:pPr>
              <w:pStyle w:val="TableTextNumbersContinued"/>
            </w:pPr>
          </w:p>
          <w:p w14:paraId="66F8CABD" w14:textId="77777777" w:rsidR="00881170" w:rsidRDefault="00881170" w:rsidP="00881170">
            <w:pPr>
              <w:pStyle w:val="TableTextNumbersContinued"/>
            </w:pPr>
            <w:r>
              <w:t xml:space="preserve">Repeat for </w:t>
            </w:r>
            <w:r w:rsidR="00281172">
              <w:t>each rack</w:t>
            </w:r>
            <w:r>
              <w:t xml:space="preserve"> selected in Step 3. </w:t>
            </w:r>
            <w:r w:rsidR="005F23AD">
              <w:rPr>
                <w:rStyle w:val="TableTextNumbersChar"/>
                <w:vanish/>
                <w:color w:val="FFFFFF"/>
                <w:szCs w:val="18"/>
              </w:rPr>
              <w:fldChar w:fldCharType="begin"/>
            </w:r>
            <w:r w:rsidR="005F23AD">
              <w:rPr>
                <w:rStyle w:val="TableTextNumbersChar"/>
                <w:vanish/>
                <w:color w:val="FFFFFF"/>
                <w:szCs w:val="18"/>
              </w:rPr>
              <w:instrText xml:space="preserve"> LISTNUM \l 1 \s 0 </w:instrText>
            </w:r>
            <w:r w:rsidR="005F23AD">
              <w:rPr>
                <w:rStyle w:val="TableTextNumbersChar"/>
                <w:vanish/>
                <w:color w:val="FFFFFF"/>
                <w:szCs w:val="18"/>
              </w:rPr>
              <w:fldChar w:fldCharType="end"/>
            </w:r>
          </w:p>
        </w:tc>
        <w:tc>
          <w:tcPr>
            <w:tcW w:w="6356" w:type="dxa"/>
          </w:tcPr>
          <w:p w14:paraId="7186A8B9" w14:textId="77777777" w:rsidR="000F2E95" w:rsidRDefault="000F2E95" w:rsidP="000F2E95">
            <w:pPr>
              <w:pStyle w:val="TableTextBullet"/>
            </w:pPr>
            <w:r>
              <w:t>Displays the testing template reaction results grid for each rack selected, when</w:t>
            </w:r>
            <w:r>
              <w:rPr>
                <w:i/>
              </w:rPr>
              <w:t xml:space="preserve"> </w:t>
            </w:r>
            <w:r>
              <w:t>no lot number changes were made.</w:t>
            </w:r>
          </w:p>
          <w:p w14:paraId="5603A8E8" w14:textId="77777777" w:rsidR="002A21AE" w:rsidRDefault="002A21AE">
            <w:pPr>
              <w:pStyle w:val="TableTextBullet"/>
            </w:pPr>
            <w:r>
              <w:t>Determines whether the entered results are acceptable and indicates acceptability of the lot number for the reagent type.</w:t>
            </w:r>
          </w:p>
          <w:p w14:paraId="6573B51B" w14:textId="77777777" w:rsidR="00881170" w:rsidRDefault="002A21AE" w:rsidP="00881170">
            <w:pPr>
              <w:pStyle w:val="TableTextBullet"/>
            </w:pPr>
            <w:r>
              <w:t>Verifies (by type and lot number) that the reagent is satisfactory or unsatisfactory for use.</w:t>
            </w:r>
            <w:r w:rsidR="00881170">
              <w:t xml:space="preserve"> </w:t>
            </w:r>
          </w:p>
          <w:p w14:paraId="22F7AB12" w14:textId="77777777" w:rsidR="002A21AE" w:rsidRDefault="00881170" w:rsidP="00881170">
            <w:pPr>
              <w:pStyle w:val="TableTextBullet"/>
            </w:pPr>
            <w:r>
              <w:t xml:space="preserve">Saves the partially or fully completed data. </w:t>
            </w:r>
          </w:p>
          <w:p w14:paraId="126A9859" w14:textId="77777777" w:rsidR="002A21AE" w:rsidRDefault="002A21AE">
            <w:pPr>
              <w:pStyle w:val="TableText"/>
            </w:pPr>
          </w:p>
          <w:p w14:paraId="1E635AC3" w14:textId="3882294E" w:rsidR="002A21AE" w:rsidRDefault="002A21AE">
            <w:pPr>
              <w:pStyle w:val="TableText"/>
              <w:rPr>
                <w:b/>
                <w:bCs/>
                <w:szCs w:val="18"/>
              </w:rPr>
            </w:pPr>
            <w:r>
              <w:rPr>
                <w:b/>
                <w:bCs/>
                <w:szCs w:val="18"/>
              </w:rPr>
              <w:t>NOTES</w:t>
            </w:r>
          </w:p>
          <w:p w14:paraId="649DA8CE" w14:textId="77777777" w:rsidR="002A21AE" w:rsidRDefault="002A21AE">
            <w:pPr>
              <w:pStyle w:val="NotesText"/>
            </w:pPr>
          </w:p>
          <w:p w14:paraId="0F61C8FF" w14:textId="77777777" w:rsidR="002A21AE" w:rsidRDefault="002A21AE">
            <w:pPr>
              <w:pStyle w:val="NotesText"/>
            </w:pPr>
            <w:r>
              <w:t xml:space="preserve">The user may enter results on multiple reagent racks. VBECS displays each rack in its own tab. </w:t>
            </w:r>
          </w:p>
          <w:p w14:paraId="3568902A" w14:textId="77777777" w:rsidR="00881170" w:rsidRDefault="00881170">
            <w:pPr>
              <w:pStyle w:val="NotesText"/>
            </w:pPr>
          </w:p>
          <w:p w14:paraId="076F7793" w14:textId="77777777" w:rsidR="00881170" w:rsidRDefault="00881170" w:rsidP="00881170">
            <w:pPr>
              <w:pStyle w:val="NotesText"/>
            </w:pPr>
            <w:r>
              <w:rPr>
                <w:rFonts w:cs="Arial"/>
                <w:vanish/>
              </w:rPr>
              <w:t xml:space="preserve">BR_28.20 </w:t>
            </w:r>
            <w:r>
              <w:t>VBECS verifies satisfactory and unsatisfactory QC testing based on site parameters and user data entry. If the user-entered test results indicate a satisfactory interpretation, VBECS displays “Satisfactory.” VBECS saves results that are satisfactory only when the testing for a row is complete and the worksheet is saved. VBECS clears results associated with an unsatisfactory interpretation from the screen/worksheet and the testing for the affected QC rack is considered incomplete until the rack is retested with satisfactory results for the affected row. (Warnings generated by other options when QC testing is incomplete apply).</w:t>
            </w:r>
          </w:p>
          <w:p w14:paraId="5A4AED7C" w14:textId="77777777" w:rsidR="00881170" w:rsidRDefault="00881170" w:rsidP="00881170">
            <w:pPr>
              <w:pStyle w:val="NotesText"/>
            </w:pPr>
          </w:p>
          <w:p w14:paraId="078598E6" w14:textId="77777777" w:rsidR="00881170" w:rsidRDefault="00881170" w:rsidP="00881170">
            <w:pPr>
              <w:pStyle w:val="NotesText"/>
            </w:pPr>
            <w:r>
              <w:rPr>
                <w:rFonts w:cs="Arial"/>
                <w:vanish/>
              </w:rPr>
              <w:t xml:space="preserve">BR_28.14 </w:t>
            </w:r>
            <w:r>
              <w:t>The daily reagent QC for a date requires a valid entry for each reagent displayed on the worksheet. VBECS considers a rack ready and available for patient testing on that date when all reagents on a rack have valid test results.</w:t>
            </w:r>
          </w:p>
        </w:tc>
      </w:tr>
    </w:tbl>
    <w:p w14:paraId="6CCBBA48" w14:textId="2DD107C7" w:rsidR="00957095" w:rsidRDefault="00957095" w:rsidP="00957095">
      <w:pPr>
        <w:pStyle w:val="Caption"/>
      </w:pPr>
      <w:bookmarkStart w:id="211" w:name="_Ref126641381"/>
      <w:bookmarkStart w:id="212" w:name="_Ref126548442"/>
      <w:bookmarkEnd w:id="206"/>
      <w:bookmarkEnd w:id="207"/>
      <w:bookmarkEnd w:id="208"/>
      <w:bookmarkEnd w:id="209"/>
      <w:bookmarkEnd w:id="21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38</w:t>
      </w:r>
      <w:r w:rsidR="004E20BD">
        <w:rPr>
          <w:noProof/>
        </w:rPr>
        <w:fldChar w:fldCharType="end"/>
      </w:r>
      <w:bookmarkEnd w:id="211"/>
      <w:r>
        <w:t>: Enter Daily QC Results</w:t>
      </w:r>
    </w:p>
    <w:p w14:paraId="5EB6590F" w14:textId="77777777" w:rsidR="00957095" w:rsidRDefault="00057948" w:rsidP="00957095">
      <w:pPr>
        <w:pStyle w:val="BodyText"/>
      </w:pPr>
      <w:r>
        <w:rPr>
          <w:noProof/>
        </w:rPr>
        <w:drawing>
          <wp:inline distT="0" distB="0" distL="0" distR="0" wp14:anchorId="76731457" wp14:editId="4A4E1882">
            <wp:extent cx="4460875" cy="4220845"/>
            <wp:effectExtent l="0" t="0" r="0" b="8255"/>
            <wp:docPr id="140" name="Picture 140" descr="Example of Enter Daily QC Resul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Example of Enter Daily QC Results screen capt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60875" cy="4220845"/>
                    </a:xfrm>
                    <a:prstGeom prst="rect">
                      <a:avLst/>
                    </a:prstGeom>
                    <a:noFill/>
                    <a:ln>
                      <a:noFill/>
                    </a:ln>
                  </pic:spPr>
                </pic:pic>
              </a:graphicData>
            </a:graphic>
          </wp:inline>
        </w:drawing>
      </w:r>
    </w:p>
    <w:p w14:paraId="14838CDD" w14:textId="3F29CBBA" w:rsidR="002118B0" w:rsidRDefault="002118B0" w:rsidP="002118B0">
      <w:pPr>
        <w:pStyle w:val="Caption"/>
      </w:pPr>
      <w:bookmarkStart w:id="213" w:name="_Ref12664147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39</w:t>
      </w:r>
      <w:r w:rsidR="004E20BD">
        <w:rPr>
          <w:noProof/>
        </w:rPr>
        <w:fldChar w:fldCharType="end"/>
      </w:r>
      <w:bookmarkEnd w:id="212"/>
      <w:bookmarkEnd w:id="213"/>
      <w:r>
        <w:t>:</w:t>
      </w:r>
      <w:r w:rsidR="00F20BC5">
        <w:t xml:space="preserve"> </w:t>
      </w:r>
      <w:r w:rsidR="00957095">
        <w:t>Record Lot Numbers for</w:t>
      </w:r>
      <w:r w:rsidR="00F20BC5">
        <w:t xml:space="preserve"> Daily QC </w:t>
      </w:r>
      <w:r w:rsidR="00957095">
        <w:t>Testing</w:t>
      </w:r>
    </w:p>
    <w:p w14:paraId="15BFA9CB" w14:textId="77777777" w:rsidR="00F20BC5" w:rsidRPr="00F20BC5" w:rsidRDefault="00057948" w:rsidP="00580E36">
      <w:pPr>
        <w:pStyle w:val="BodyText"/>
      </w:pPr>
      <w:r>
        <w:rPr>
          <w:noProof/>
        </w:rPr>
        <w:drawing>
          <wp:inline distT="0" distB="0" distL="0" distR="0" wp14:anchorId="31CB3EBF" wp14:editId="18732C76">
            <wp:extent cx="4728845" cy="3444875"/>
            <wp:effectExtent l="0" t="0" r="0" b="3175"/>
            <wp:docPr id="141" name="Picture 141" descr="Example of Record Lot Numbers for Daily QC Test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Example of Record Lot Numbers for Daily QC Testing screen capt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28845" cy="3444875"/>
                    </a:xfrm>
                    <a:prstGeom prst="rect">
                      <a:avLst/>
                    </a:prstGeom>
                    <a:noFill/>
                    <a:ln>
                      <a:noFill/>
                    </a:ln>
                  </pic:spPr>
                </pic:pic>
              </a:graphicData>
            </a:graphic>
          </wp:inline>
        </w:drawing>
      </w:r>
    </w:p>
    <w:p w14:paraId="74E18A5D" w14:textId="12B1E4E1" w:rsidR="00462FB1" w:rsidRDefault="00462FB1" w:rsidP="00462FB1">
      <w:pPr>
        <w:pStyle w:val="Caption"/>
      </w:pPr>
      <w:bookmarkStart w:id="214" w:name="_Ref12664206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40</w:t>
      </w:r>
      <w:r w:rsidR="004E20BD">
        <w:rPr>
          <w:noProof/>
        </w:rPr>
        <w:fldChar w:fldCharType="end"/>
      </w:r>
      <w:bookmarkEnd w:id="214"/>
      <w:r>
        <w:t>: Enter Daily QC Results with Serologic Reactions</w:t>
      </w:r>
    </w:p>
    <w:p w14:paraId="0B8605C7" w14:textId="77777777" w:rsidR="00F759ED" w:rsidRDefault="00057948" w:rsidP="00462FB1">
      <w:pPr>
        <w:pStyle w:val="BodyText"/>
      </w:pPr>
      <w:r>
        <w:rPr>
          <w:noProof/>
        </w:rPr>
        <w:drawing>
          <wp:inline distT="0" distB="0" distL="0" distR="0" wp14:anchorId="04AD7154" wp14:editId="63C896C4">
            <wp:extent cx="4803140" cy="3509645"/>
            <wp:effectExtent l="0" t="0" r="0" b="0"/>
            <wp:docPr id="142" name="Picture 142" descr="Example of Enter Daily QC Results with Serologic Reacti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Example of Enter Daily QC Results with Serologic Reactions screen capt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03140" cy="3509645"/>
                    </a:xfrm>
                    <a:prstGeom prst="rect">
                      <a:avLst/>
                    </a:prstGeom>
                    <a:noFill/>
                    <a:ln>
                      <a:noFill/>
                    </a:ln>
                  </pic:spPr>
                </pic:pic>
              </a:graphicData>
            </a:graphic>
          </wp:inline>
        </w:drawing>
      </w:r>
    </w:p>
    <w:p w14:paraId="2205461F" w14:textId="2C7A0B2A" w:rsidR="0049125E" w:rsidRPr="008000E5" w:rsidRDefault="0049125E" w:rsidP="0049125E">
      <w:pPr>
        <w:pStyle w:val="Heading3"/>
      </w:pPr>
      <w:bookmarkStart w:id="215" w:name="_Toc163644902"/>
      <w:r>
        <w:lastRenderedPageBreak/>
        <w:t>Reagents</w:t>
      </w:r>
      <w:bookmarkEnd w:id="215"/>
      <w:r>
        <w:fldChar w:fldCharType="begin"/>
      </w:r>
      <w:r w:rsidRPr="008000E5">
        <w:instrText xml:space="preserve"> XE "Configure Division" </w:instrText>
      </w:r>
      <w:r>
        <w:fldChar w:fldCharType="end"/>
      </w:r>
      <w:r w:rsidRPr="008000E5">
        <w:rPr>
          <w:rFonts w:ascii="Arial Bold" w:hAnsi="Arial Bold"/>
          <w:vanish/>
        </w:rPr>
        <w:t xml:space="preserve"> UC_09</w:t>
      </w:r>
    </w:p>
    <w:p w14:paraId="034E0958" w14:textId="77777777" w:rsidR="002A21AE" w:rsidRDefault="002A21AE" w:rsidP="00FA7E65">
      <w:pPr>
        <w:pStyle w:val="BodyText"/>
      </w:pPr>
      <w:r>
        <w:t>The options related to reagent inventory control record the receipt of specific reagents by reagent type for each division.</w:t>
      </w:r>
    </w:p>
    <w:p w14:paraId="63C92C7D" w14:textId="77777777" w:rsidR="002A21AE" w:rsidRDefault="002A21AE">
      <w:pPr>
        <w:pStyle w:val="Heading4"/>
      </w:pPr>
      <w:bookmarkStart w:id="216" w:name="_Log_In_Reagents,_Update_Inventory,_"/>
      <w:bookmarkEnd w:id="201"/>
      <w:bookmarkEnd w:id="216"/>
      <w:r>
        <w:t>Log In Reagents, Update Inventory,</w:t>
      </w:r>
      <w:bookmarkStart w:id="217" w:name="_Toc63680376"/>
      <w:r>
        <w:t xml:space="preserve"> View/Print Inventory</w:t>
      </w:r>
      <w:bookmarkEnd w:id="217"/>
      <w:r w:rsidR="00771C65">
        <w:t xml:space="preserve">, Maintain </w:t>
      </w:r>
      <w:r w:rsidR="005F6016">
        <w:t>Minimum Levels</w:t>
      </w:r>
    </w:p>
    <w:p w14:paraId="37BCA81B" w14:textId="77777777" w:rsidR="002A21AE" w:rsidRDefault="002A21AE" w:rsidP="00FA7E65">
      <w:pPr>
        <w:pStyle w:val="BodyText"/>
      </w:pPr>
      <w:r>
        <w:t>The reagent log is maintained by individual division even in a multidivisional database. Update Inventory allows the user to update reagent inventory by changing the number of vials available. The user may view inventory online using various search criteria and prin</w:t>
      </w:r>
      <w:r w:rsidR="00447051">
        <w:t>t a copy of the search results.</w:t>
      </w:r>
    </w:p>
    <w:p w14:paraId="5B89E57B" w14:textId="77777777" w:rsidR="002A21AE" w:rsidRDefault="002A21AE">
      <w:pPr>
        <w:pStyle w:val="Heading4"/>
      </w:pPr>
      <w:r>
        <w:t>Assumptions</w:t>
      </w:r>
      <w:r>
        <w:rPr>
          <w:b w:val="0"/>
        </w:rPr>
        <w:t xml:space="preserve"> </w:t>
      </w:r>
    </w:p>
    <w:p w14:paraId="54357912" w14:textId="77777777" w:rsidR="00852AC1" w:rsidRDefault="00852AC1" w:rsidP="00852AC1">
      <w:pPr>
        <w:pStyle w:val="ListBullet"/>
      </w:pPr>
      <w:r>
        <w:t>The division is “full service.”</w:t>
      </w:r>
    </w:p>
    <w:p w14:paraId="22729C21" w14:textId="77777777" w:rsidR="002A21AE" w:rsidRDefault="002A21AE">
      <w:pPr>
        <w:pStyle w:val="ListBullet"/>
      </w:pPr>
      <w:r>
        <w:t>Reagents are in the inventory of the user’s division.</w:t>
      </w:r>
    </w:p>
    <w:p w14:paraId="21DC69BE" w14:textId="77777777" w:rsidR="002A21AE" w:rsidRDefault="002A21AE">
      <w:pPr>
        <w:pStyle w:val="Heading4"/>
      </w:pPr>
      <w:r>
        <w:t xml:space="preserve">Outcome </w:t>
      </w:r>
    </w:p>
    <w:p w14:paraId="1FD16A01" w14:textId="77777777" w:rsidR="002A21AE" w:rsidRDefault="002A21AE">
      <w:pPr>
        <w:pStyle w:val="ListBullet"/>
      </w:pPr>
      <w:r>
        <w:t>A user may select previously logged-in reagents through Enter Daily QC Results, Patient Testing: Record a Patient Antigen Typing, and Unit Antigen Typing.</w:t>
      </w:r>
    </w:p>
    <w:p w14:paraId="3FDC62E2" w14:textId="77777777" w:rsidR="002A21AE" w:rsidRDefault="002A21AE">
      <w:pPr>
        <w:pStyle w:val="ListBullet"/>
      </w:pPr>
      <w:r>
        <w:t>Reagents entered are accessible only within the division in which they were entered.</w:t>
      </w:r>
    </w:p>
    <w:p w14:paraId="04CA4CA0" w14:textId="77777777" w:rsidR="002A21AE" w:rsidRDefault="002A21AE">
      <w:pPr>
        <w:pStyle w:val="Heading4"/>
      </w:pPr>
      <w:r>
        <w:t>Limitations and Restrictions</w:t>
      </w:r>
      <w:r>
        <w:rPr>
          <w:b w:val="0"/>
        </w:rPr>
        <w:t xml:space="preserve"> </w:t>
      </w:r>
    </w:p>
    <w:p w14:paraId="5FEA4567" w14:textId="77777777" w:rsidR="002A21AE" w:rsidRDefault="002A21AE">
      <w:pPr>
        <w:pStyle w:val="ListBullet"/>
      </w:pPr>
      <w:r>
        <w:t>VBECS does not display a reagent report by invoice number.</w:t>
      </w:r>
    </w:p>
    <w:p w14:paraId="397571DC" w14:textId="77777777" w:rsidR="0029147B" w:rsidRDefault="0029147B">
      <w:pPr>
        <w:pStyle w:val="ListBullet"/>
      </w:pPr>
      <w:r>
        <w:t>The unsatisfactory portion of a shipment must be recorded individually.</w:t>
      </w:r>
    </w:p>
    <w:p w14:paraId="699DDEE9" w14:textId="77777777" w:rsidR="00BE53DD" w:rsidRDefault="00BE53DD" w:rsidP="00BE53DD">
      <w:pPr>
        <w:pStyle w:val="ListBullet"/>
      </w:pPr>
      <w:r>
        <w:t>There is no retrospective data entry or user selection for th</w:t>
      </w:r>
      <w:r w:rsidR="0061702F">
        <w:t>ese</w:t>
      </w:r>
      <w:r>
        <w:t xml:space="preserve"> </w:t>
      </w:r>
      <w:r w:rsidR="0061702F">
        <w:t>options</w:t>
      </w:r>
      <w:r>
        <w:t>.</w:t>
      </w:r>
    </w:p>
    <w:p w14:paraId="687D7040" w14:textId="77777777" w:rsidR="00053349" w:rsidRDefault="00053349" w:rsidP="00053349">
      <w:pPr>
        <w:pStyle w:val="ListBullet"/>
      </w:pPr>
      <w:r>
        <w:t xml:space="preserve">Each site must set a standard for recording quantity: it may use the number of cases or the number of units within the cases. </w:t>
      </w:r>
    </w:p>
    <w:p w14:paraId="2F483EC3" w14:textId="77777777" w:rsidR="00F759ED" w:rsidRPr="00993A74" w:rsidRDefault="00F759ED" w:rsidP="00053349">
      <w:pPr>
        <w:pStyle w:val="ListBullet"/>
      </w:pPr>
      <w:r>
        <w:t xml:space="preserve">When a user enters a lot number in the Lot # field and clicks the </w:t>
      </w:r>
      <w:r>
        <w:rPr>
          <w:b/>
        </w:rPr>
        <w:t>magnifying glass</w:t>
      </w:r>
      <w:r>
        <w:t xml:space="preserve">, VBECS displays only the first instance of a duplicate lot number. </w:t>
      </w:r>
      <w:r w:rsidRPr="00F759ED">
        <w:rPr>
          <w:vanish/>
        </w:rPr>
        <w:t>(UserDoc Task 1083)</w:t>
      </w:r>
    </w:p>
    <w:p w14:paraId="23508AFF" w14:textId="7D31D4E0" w:rsidR="004F5DF6" w:rsidRDefault="004F5DF6" w:rsidP="00053349">
      <w:pPr>
        <w:pStyle w:val="ListBullet"/>
      </w:pPr>
      <w:r>
        <w:t>When reagents with the same Manufacturer Reagent Name and Lot Number are entered from multiple invoices, only one of the reagents is visible for update.</w:t>
      </w:r>
      <w:r w:rsidR="005E3B7C">
        <w:t xml:space="preserve"> </w:t>
      </w:r>
      <w:r w:rsidR="005E3B7C" w:rsidRPr="005E3B7C">
        <w:rPr>
          <w:vanish/>
        </w:rPr>
        <w:t>Defect 209141</w:t>
      </w:r>
    </w:p>
    <w:p w14:paraId="7BC088B0" w14:textId="14B9F091" w:rsidR="00917168" w:rsidRDefault="00917168" w:rsidP="00053349">
      <w:pPr>
        <w:pStyle w:val="ListBullet"/>
      </w:pPr>
      <w:r>
        <w:t>Reagents that have had their Number of Vials Available set to zero (0) are no longer visible on the Update Reagent Inventory screen o</w:t>
      </w:r>
      <w:r w:rsidR="00A11CA3">
        <w:t>r</w:t>
      </w:r>
      <w:r>
        <w:t xml:space="preserve"> the Reagent Inventory Report. Print a copy of the Reagent Inventory Report prior to setting the Number of Vials Available to zero (0). </w:t>
      </w:r>
      <w:r w:rsidRPr="00917168">
        <w:rPr>
          <w:vanish/>
        </w:rPr>
        <w:t>Defects 208863, 208890, 210063</w:t>
      </w:r>
    </w:p>
    <w:p w14:paraId="6DF94FA2" w14:textId="77777777" w:rsidR="002A21AE" w:rsidRDefault="002A21AE">
      <w:pPr>
        <w:pStyle w:val="Heading4"/>
      </w:pPr>
      <w:r>
        <w:t>Additional Information</w:t>
      </w:r>
    </w:p>
    <w:p w14:paraId="1070E959" w14:textId="1F92AED8" w:rsidR="00852AC1" w:rsidRPr="00852AC1" w:rsidRDefault="00852AC1" w:rsidP="00852AC1">
      <w:pPr>
        <w:pStyle w:val="ListBullet"/>
      </w:pPr>
      <w:r w:rsidRPr="00852AC1">
        <w:rPr>
          <w:snapToGrid w:val="0"/>
          <w:vanish/>
        </w:rPr>
        <w:t>BR_</w:t>
      </w:r>
      <w:r w:rsidR="00F63A03">
        <w:rPr>
          <w:snapToGrid w:val="0"/>
          <w:vanish/>
        </w:rPr>
        <w:t>2.43</w:t>
      </w:r>
      <w:r>
        <w:rPr>
          <w:snapToGrid w:val="0"/>
        </w:rPr>
        <w:t xml:space="preserve">This option is disabled for transfusion-only facilities. </w:t>
      </w:r>
    </w:p>
    <w:p w14:paraId="56B4C523" w14:textId="77777777" w:rsidR="002A21AE" w:rsidRDefault="002A21AE">
      <w:pPr>
        <w:pStyle w:val="ListBullet"/>
      </w:pPr>
      <w:r>
        <w:t>VBECS displays alerts, as appropriate, during execution of Enter Daily QC Results to notify the user when reagent inventory levels fall below minimum inventory levels, as defined in Maintain Minimum Levels.</w:t>
      </w:r>
    </w:p>
    <w:p w14:paraId="6FFBA654" w14:textId="77777777" w:rsidR="00CA67F2" w:rsidRDefault="00CA67F2">
      <w:pPr>
        <w:pStyle w:val="ListBullet"/>
      </w:pPr>
      <w:r>
        <w:t>Local policies and procedures must define the use of patient antisera as reagents.</w:t>
      </w:r>
    </w:p>
    <w:p w14:paraId="2428E3D2" w14:textId="77777777" w:rsidR="002A21AE" w:rsidRDefault="002A21AE">
      <w:pPr>
        <w:pStyle w:val="Heading4"/>
        <w:rPr>
          <w:b w:val="0"/>
        </w:rPr>
      </w:pPr>
      <w:r>
        <w:t>User Roles with Access to This Option</w:t>
      </w:r>
      <w:r>
        <w:rPr>
          <w:b w:val="0"/>
        </w:rPr>
        <w:t xml:space="preserve"> </w:t>
      </w:r>
    </w:p>
    <w:p w14:paraId="4FB8BA24" w14:textId="77777777" w:rsidR="002A21AE" w:rsidRDefault="00560BC1">
      <w:pPr>
        <w:pStyle w:val="Roles"/>
        <w:rPr>
          <w:snapToGrid w:val="0"/>
        </w:rPr>
      </w:pPr>
      <w:r>
        <w:t>All users</w:t>
      </w:r>
    </w:p>
    <w:p w14:paraId="7CC9E286" w14:textId="77777777" w:rsidR="00D34814" w:rsidRDefault="00D34814" w:rsidP="00D34814">
      <w:pPr>
        <w:pStyle w:val="Heading4"/>
      </w:pPr>
      <w:r>
        <w:lastRenderedPageBreak/>
        <w:t>Log in Reagents</w:t>
      </w:r>
      <w:r>
        <w:fldChar w:fldCharType="begin"/>
      </w:r>
      <w:r>
        <w:instrText xml:space="preserve"> XE </w:instrText>
      </w:r>
      <w:r w:rsidR="00FA7E65">
        <w:instrText>“</w:instrText>
      </w:r>
      <w:r>
        <w:instrText>Log in Reagents</w:instrText>
      </w:r>
      <w:r w:rsidR="00FA7E65">
        <w:instrText>”</w:instrText>
      </w:r>
      <w:r>
        <w:instrText xml:space="preserve"> </w:instrText>
      </w:r>
      <w:r>
        <w:fldChar w:fldCharType="end"/>
      </w:r>
      <w:r>
        <w:t xml:space="preserve"> </w:t>
      </w:r>
    </w:p>
    <w:p w14:paraId="68041AA6" w14:textId="77777777" w:rsidR="009C34E7" w:rsidRDefault="00D34814" w:rsidP="00FA7E65">
      <w:pPr>
        <w:pStyle w:val="BodyText"/>
      </w:pPr>
      <w:r w:rsidRPr="00FA7E65">
        <w:t>A user records the receipt of specific reagents by type. The reagent record includes the date the shipment was received, reagent name, lot number, expiration date, manufacturer, and number of vials received in a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B4E58" w14:paraId="52F28929" w14:textId="77777777">
        <w:trPr>
          <w:cantSplit/>
          <w:tblHeader/>
        </w:trPr>
        <w:tc>
          <w:tcPr>
            <w:tcW w:w="3240" w:type="dxa"/>
            <w:shd w:val="pct30" w:color="auto" w:fill="FFFFFF"/>
            <w:vAlign w:val="bottom"/>
          </w:tcPr>
          <w:p w14:paraId="007F48C5" w14:textId="77777777" w:rsidR="00FB4E58" w:rsidRDefault="009C34E7" w:rsidP="00A65805">
            <w:pPr>
              <w:pStyle w:val="TableText"/>
              <w:rPr>
                <w:b/>
              </w:rPr>
            </w:pPr>
            <w:r>
              <w:br w:type="page"/>
            </w:r>
            <w:r w:rsidR="00FB4E58">
              <w:rPr>
                <w:b/>
              </w:rPr>
              <w:t>User Action</w:t>
            </w:r>
          </w:p>
        </w:tc>
        <w:tc>
          <w:tcPr>
            <w:tcW w:w="6120" w:type="dxa"/>
            <w:shd w:val="pct30" w:color="auto" w:fill="FFFFFF"/>
            <w:vAlign w:val="bottom"/>
          </w:tcPr>
          <w:p w14:paraId="2E1767B6" w14:textId="77777777" w:rsidR="00FB4E58" w:rsidRDefault="00FB4E58" w:rsidP="00A65805">
            <w:pPr>
              <w:pStyle w:val="TableText"/>
              <w:rPr>
                <w:b/>
              </w:rPr>
            </w:pPr>
            <w:r>
              <w:rPr>
                <w:b/>
              </w:rPr>
              <w:t>VBECS</w:t>
            </w:r>
          </w:p>
        </w:tc>
      </w:tr>
      <w:tr w:rsidR="00FB4E58" w14:paraId="236B050B" w14:textId="77777777">
        <w:tc>
          <w:tcPr>
            <w:tcW w:w="3240" w:type="dxa"/>
            <w:tcBorders>
              <w:top w:val="single" w:sz="4" w:space="0" w:color="auto"/>
              <w:left w:val="single" w:sz="4" w:space="0" w:color="auto"/>
              <w:bottom w:val="single" w:sz="4" w:space="0" w:color="auto"/>
              <w:right w:val="single" w:sz="4" w:space="0" w:color="auto"/>
            </w:tcBorders>
          </w:tcPr>
          <w:p w14:paraId="3D84B948" w14:textId="77777777" w:rsidR="00FB4E58" w:rsidRDefault="00FB4E58" w:rsidP="00FB4E58">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27C4D6F9" w14:textId="77777777" w:rsidR="00FB4E58" w:rsidRDefault="00FB4E58" w:rsidP="00A65805">
            <w:pPr>
              <w:pStyle w:val="TableTextBullet"/>
            </w:pPr>
            <w:r>
              <w:t xml:space="preserve">Displays options for Quality Control functions. </w:t>
            </w:r>
          </w:p>
          <w:p w14:paraId="4577E3CD" w14:textId="77777777" w:rsidR="00FB4E58" w:rsidRDefault="00FB4E58" w:rsidP="00A65805">
            <w:pPr>
              <w:pStyle w:val="TableTextBullet"/>
            </w:pPr>
            <w:r>
              <w:t>Displays options for processing reagents.</w:t>
            </w:r>
          </w:p>
        </w:tc>
      </w:tr>
      <w:tr w:rsidR="00FB4E58" w14:paraId="577D0E9B" w14:textId="77777777">
        <w:tc>
          <w:tcPr>
            <w:tcW w:w="3240" w:type="dxa"/>
          </w:tcPr>
          <w:p w14:paraId="5BAD3B1B" w14:textId="77777777" w:rsidR="00FB4E58" w:rsidRDefault="00FB4E58" w:rsidP="00A65805">
            <w:pPr>
              <w:pStyle w:val="TableTextNumbers"/>
            </w:pPr>
            <w:r>
              <w:t xml:space="preserve">Select </w:t>
            </w:r>
            <w:r>
              <w:rPr>
                <w:b/>
              </w:rPr>
              <w:t>Log In Reagents</w:t>
            </w:r>
            <w:r w:rsidRPr="00FB4E58">
              <w:t>.</w:t>
            </w:r>
          </w:p>
        </w:tc>
        <w:tc>
          <w:tcPr>
            <w:tcW w:w="6120" w:type="dxa"/>
          </w:tcPr>
          <w:p w14:paraId="1FC158EC" w14:textId="77777777" w:rsidR="00FB4E58" w:rsidRDefault="00FB4E58" w:rsidP="00A65805">
            <w:pPr>
              <w:pStyle w:val="TableTextBullet"/>
            </w:pPr>
            <w:r>
              <w:t>Displays fields for entering invoice and reagent information.</w:t>
            </w:r>
          </w:p>
        </w:tc>
      </w:tr>
      <w:tr w:rsidR="00FB4E58" w14:paraId="55B29153" w14:textId="77777777">
        <w:tc>
          <w:tcPr>
            <w:tcW w:w="3240" w:type="dxa"/>
            <w:tcBorders>
              <w:top w:val="single" w:sz="4" w:space="0" w:color="auto"/>
              <w:left w:val="single" w:sz="4" w:space="0" w:color="auto"/>
              <w:bottom w:val="single" w:sz="4" w:space="0" w:color="auto"/>
              <w:right w:val="single" w:sz="4" w:space="0" w:color="auto"/>
            </w:tcBorders>
          </w:tcPr>
          <w:p w14:paraId="73A624FA" w14:textId="77777777" w:rsidR="00FB4E58" w:rsidRDefault="00FB4E58" w:rsidP="00A65805">
            <w:pPr>
              <w:pStyle w:val="TableTextNumbers"/>
            </w:pPr>
            <w:r>
              <w:t>Invoice Information:</w:t>
            </w:r>
          </w:p>
          <w:p w14:paraId="47E56E66" w14:textId="77777777" w:rsidR="00FB4E58" w:rsidRDefault="00FB4E58" w:rsidP="00A65805">
            <w:pPr>
              <w:pStyle w:val="TableTextNumbersContinued"/>
              <w:rPr>
                <w:b/>
                <w:bCs/>
              </w:rPr>
            </w:pPr>
          </w:p>
          <w:p w14:paraId="47C92854" w14:textId="77777777" w:rsidR="00FB4E58" w:rsidRDefault="00FB4E58" w:rsidP="00A65805">
            <w:pPr>
              <w:pStyle w:val="TableTextNumbersContinued"/>
            </w:pPr>
            <w:r>
              <w:t>Select or edit the date and time in the Date Received field.</w:t>
            </w:r>
          </w:p>
          <w:p w14:paraId="0B1D003A" w14:textId="77777777" w:rsidR="00FB4E58" w:rsidRDefault="00FB4E58" w:rsidP="00A65805">
            <w:pPr>
              <w:pStyle w:val="TableTextNumbersContinued"/>
            </w:pPr>
          </w:p>
          <w:p w14:paraId="729E5F26" w14:textId="77777777" w:rsidR="00FB4E58" w:rsidRDefault="00FB4E58" w:rsidP="00A65805">
            <w:pPr>
              <w:pStyle w:val="TableTextNumbersContinued"/>
            </w:pPr>
            <w:r>
              <w:t>Enter the invoice number in the Invoice Number field.</w:t>
            </w:r>
          </w:p>
          <w:p w14:paraId="40B529D8" w14:textId="77777777" w:rsidR="00FB4E58" w:rsidRDefault="00FB4E58" w:rsidP="00A65805">
            <w:pPr>
              <w:pStyle w:val="TableTextNumbersContinued"/>
            </w:pPr>
          </w:p>
          <w:p w14:paraId="011312D2" w14:textId="77777777" w:rsidR="00FB4E58" w:rsidRDefault="00FB4E58" w:rsidP="00A65805">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53C5C37A" w14:textId="77777777" w:rsidR="00FB4E58" w:rsidRDefault="00FB4E58" w:rsidP="00A65805">
            <w:pPr>
              <w:pStyle w:val="TableText"/>
            </w:pPr>
          </w:p>
          <w:p w14:paraId="64E8FA35" w14:textId="7477613C" w:rsidR="00FB4E58" w:rsidRDefault="00FB4E58" w:rsidP="00A65805">
            <w:pPr>
              <w:pStyle w:val="TableText"/>
              <w:rPr>
                <w:b/>
                <w:bCs/>
                <w:szCs w:val="18"/>
              </w:rPr>
            </w:pPr>
            <w:r>
              <w:rPr>
                <w:b/>
                <w:bCs/>
                <w:szCs w:val="18"/>
              </w:rPr>
              <w:t>NOTES</w:t>
            </w:r>
          </w:p>
          <w:p w14:paraId="58D3B538" w14:textId="77777777" w:rsidR="00FB4E58" w:rsidRDefault="00FB4E58" w:rsidP="00A65805">
            <w:pPr>
              <w:pStyle w:val="NotesText"/>
            </w:pPr>
          </w:p>
          <w:p w14:paraId="4CDC09BF" w14:textId="77777777" w:rsidR="00FB4E58" w:rsidRDefault="00FB4E58" w:rsidP="00A65805">
            <w:pPr>
              <w:pStyle w:val="NotesText"/>
            </w:pPr>
            <w:r w:rsidRPr="00FB4E58">
              <w:rPr>
                <w:rFonts w:cs="Arial"/>
                <w:vanish/>
                <w:szCs w:val="18"/>
              </w:rPr>
              <w:t xml:space="preserve">BR_81.10 </w:t>
            </w:r>
            <w:r>
              <w:t xml:space="preserve">More than one technologist at a time may process a large shipment of reagents; only one technologist at a time may process individual reagents in the shipment. </w:t>
            </w:r>
          </w:p>
          <w:p w14:paraId="306ECD83" w14:textId="77777777" w:rsidR="00FB4E58" w:rsidRDefault="00FB4E58" w:rsidP="00A65805">
            <w:pPr>
              <w:pStyle w:val="NotesText"/>
            </w:pPr>
          </w:p>
          <w:p w14:paraId="25CEEE5D" w14:textId="77777777" w:rsidR="00FB4E58" w:rsidRDefault="00FB4E58" w:rsidP="00A65805">
            <w:pPr>
              <w:pStyle w:val="NotesText"/>
            </w:pPr>
            <w:r w:rsidRPr="00FB4E58">
              <w:rPr>
                <w:rFonts w:cs="Arial"/>
                <w:vanish/>
                <w:szCs w:val="18"/>
              </w:rPr>
              <w:t xml:space="preserve">BR_20.01 </w:t>
            </w:r>
            <w:r>
              <w:t>The default date received is the current date and time. The user may edit it to a past date and time only.</w:t>
            </w:r>
          </w:p>
          <w:p w14:paraId="0E9B1C1D" w14:textId="77777777" w:rsidR="00FB4E58" w:rsidRDefault="00FB4E58" w:rsidP="00A65805">
            <w:pPr>
              <w:pStyle w:val="NotesText"/>
            </w:pPr>
          </w:p>
          <w:p w14:paraId="6F922C18" w14:textId="77777777" w:rsidR="00FB4E58" w:rsidRDefault="00FB4E58" w:rsidP="00A65805">
            <w:pPr>
              <w:pStyle w:val="NotesText"/>
            </w:pPr>
            <w:r w:rsidRPr="001017A2">
              <w:rPr>
                <w:rFonts w:cs="Arial"/>
                <w:vanish/>
                <w:szCs w:val="18"/>
              </w:rPr>
              <w:t xml:space="preserve">BR_81.07 </w:t>
            </w:r>
            <w:r>
              <w:t xml:space="preserve">When the reagent type and lot number were already entered for this invoice, VBECS </w:t>
            </w:r>
            <w:r>
              <w:rPr>
                <w:noProof/>
              </w:rPr>
              <w:t>warns that the user is</w:t>
            </w:r>
            <w:r>
              <w:t xml:space="preserve"> trying to enter </w:t>
            </w:r>
            <w:r w:rsidR="001017A2">
              <w:t xml:space="preserve">a </w:t>
            </w:r>
            <w:r>
              <w:t xml:space="preserve">reagent that was already logged into the system for this invoice. </w:t>
            </w:r>
            <w:r>
              <w:rPr>
                <w:b/>
              </w:rPr>
              <w:t>Yes</w:t>
            </w:r>
            <w:r>
              <w:t xml:space="preserve"> takes the user to the </w:t>
            </w:r>
            <w:r w:rsidR="00FA7E65">
              <w:t>“</w:t>
            </w:r>
            <w:r>
              <w:t>Update Reagent Inventory</w:t>
            </w:r>
            <w:r w:rsidR="00FA7E65">
              <w:t>”</w:t>
            </w:r>
            <w:r>
              <w:t xml:space="preserve"> screen where VBECS displays the reagent type and lot number for update. </w:t>
            </w:r>
            <w:r>
              <w:rPr>
                <w:b/>
              </w:rPr>
              <w:t>No</w:t>
            </w:r>
            <w:r>
              <w:t xml:space="preserve"> clears all fields on the screen, allowing the user to log in another reagent. </w:t>
            </w:r>
          </w:p>
        </w:tc>
      </w:tr>
      <w:tr w:rsidR="00FB4E58" w14:paraId="78DAC8C7" w14:textId="77777777">
        <w:tc>
          <w:tcPr>
            <w:tcW w:w="3240" w:type="dxa"/>
            <w:tcBorders>
              <w:top w:val="single" w:sz="4" w:space="0" w:color="auto"/>
              <w:left w:val="single" w:sz="4" w:space="0" w:color="auto"/>
              <w:bottom w:val="single" w:sz="4" w:space="0" w:color="auto"/>
              <w:right w:val="single" w:sz="4" w:space="0" w:color="auto"/>
            </w:tcBorders>
          </w:tcPr>
          <w:p w14:paraId="3E7DF9B0" w14:textId="77777777" w:rsidR="00FB4E58" w:rsidRDefault="00FB4E58" w:rsidP="00A65805">
            <w:pPr>
              <w:pStyle w:val="TableTextNumbers"/>
            </w:pPr>
            <w:r>
              <w:t>Reagent Information:</w:t>
            </w:r>
          </w:p>
          <w:p w14:paraId="01E0BB4B" w14:textId="77777777" w:rsidR="00FB4E58" w:rsidRDefault="00FB4E58" w:rsidP="00A65805">
            <w:pPr>
              <w:pStyle w:val="TableTextNumbersContinued"/>
              <w:rPr>
                <w:b/>
                <w:bCs/>
              </w:rPr>
            </w:pPr>
          </w:p>
          <w:p w14:paraId="257DE45F" w14:textId="77777777" w:rsidR="00FB4E58" w:rsidRDefault="00FB4E58" w:rsidP="00A65805">
            <w:pPr>
              <w:pStyle w:val="TableTextNumbersContinued"/>
            </w:pPr>
            <w:r>
              <w:t>Enter the reagent name and reagent type in the Manufacturer Reagent Name and Reagent Type fields, or select from the drop-down lists.</w:t>
            </w:r>
          </w:p>
          <w:p w14:paraId="69AEC5DC" w14:textId="77777777" w:rsidR="00FB4E58" w:rsidRDefault="00FB4E58" w:rsidP="00A65805">
            <w:pPr>
              <w:pStyle w:val="TableTextNumbersContinued"/>
            </w:pPr>
          </w:p>
          <w:p w14:paraId="70E98659" w14:textId="77777777" w:rsidR="00FB4E58" w:rsidRDefault="00FB4E58" w:rsidP="00A65805">
            <w:pPr>
              <w:pStyle w:val="TableTextNumbersContinued"/>
            </w:pPr>
            <w:r>
              <w:t>Enter the lot number in the Lot Number field.</w:t>
            </w:r>
          </w:p>
          <w:p w14:paraId="49D40715" w14:textId="77777777" w:rsidR="00FB4E58" w:rsidRDefault="00FB4E58" w:rsidP="00A65805">
            <w:pPr>
              <w:pStyle w:val="TableTextNumbersContinued"/>
            </w:pPr>
          </w:p>
          <w:p w14:paraId="6620891E" w14:textId="77777777" w:rsidR="00FB4E58" w:rsidRDefault="00FB4E58" w:rsidP="00A65805">
            <w:pPr>
              <w:pStyle w:val="TableTextNumbersContinued"/>
            </w:pPr>
            <w:r>
              <w:t>Select or edit the date and time in the Lot Expiration Date field.</w:t>
            </w:r>
          </w:p>
          <w:p w14:paraId="09393199" w14:textId="77777777" w:rsidR="00FB4E58" w:rsidRDefault="00FB4E58" w:rsidP="00A65805">
            <w:pPr>
              <w:pStyle w:val="TableTextNumbersContinued"/>
            </w:pPr>
          </w:p>
          <w:p w14:paraId="72306B0F" w14:textId="77777777" w:rsidR="00FB4E58" w:rsidRDefault="00FB4E58" w:rsidP="00A65805">
            <w:pPr>
              <w:pStyle w:val="TableTextNumbersContinued"/>
            </w:pPr>
            <w:r>
              <w:t>Enter (or select) a quantity (1–999) in the Vials Received per Lot Number field.</w:t>
            </w:r>
          </w:p>
        </w:tc>
        <w:tc>
          <w:tcPr>
            <w:tcW w:w="6120" w:type="dxa"/>
            <w:tcBorders>
              <w:top w:val="single" w:sz="4" w:space="0" w:color="auto"/>
              <w:left w:val="single" w:sz="4" w:space="0" w:color="auto"/>
              <w:bottom w:val="single" w:sz="4" w:space="0" w:color="auto"/>
              <w:right w:val="single" w:sz="4" w:space="0" w:color="auto"/>
            </w:tcBorders>
          </w:tcPr>
          <w:p w14:paraId="46880C4B" w14:textId="77777777" w:rsidR="00FB4E58" w:rsidRDefault="00FB4E58" w:rsidP="00A65805">
            <w:pPr>
              <w:pStyle w:val="TableText"/>
              <w:rPr>
                <w:b/>
                <w:bCs/>
                <w:szCs w:val="18"/>
              </w:rPr>
            </w:pPr>
          </w:p>
          <w:p w14:paraId="6C4C7E2C" w14:textId="22DA3B14" w:rsidR="00FB4E58" w:rsidRDefault="00FB4E58" w:rsidP="00A65805">
            <w:pPr>
              <w:pStyle w:val="TableText"/>
              <w:rPr>
                <w:b/>
                <w:bCs/>
                <w:szCs w:val="18"/>
              </w:rPr>
            </w:pPr>
            <w:r>
              <w:rPr>
                <w:b/>
                <w:bCs/>
                <w:szCs w:val="18"/>
              </w:rPr>
              <w:t>NOTES</w:t>
            </w:r>
          </w:p>
          <w:p w14:paraId="4D915186" w14:textId="77777777" w:rsidR="00FB4E58" w:rsidRDefault="00FB4E58" w:rsidP="00A65805">
            <w:pPr>
              <w:pStyle w:val="NotesText"/>
            </w:pPr>
          </w:p>
          <w:p w14:paraId="5AF15F1D" w14:textId="77777777" w:rsidR="00FB4E58" w:rsidRDefault="00FB4E58" w:rsidP="00F95BCA">
            <w:pPr>
              <w:pStyle w:val="NotesText"/>
            </w:pPr>
            <w:r>
              <w:t>The default lot expiration date is one minute before midnig</w:t>
            </w:r>
            <w:r w:rsidR="00F95BCA">
              <w:t>ht (23:59) of the current date.</w:t>
            </w:r>
          </w:p>
        </w:tc>
      </w:tr>
      <w:tr w:rsidR="00FB4E58" w14:paraId="6F903EB3" w14:textId="77777777">
        <w:tc>
          <w:tcPr>
            <w:tcW w:w="3240" w:type="dxa"/>
            <w:tcBorders>
              <w:top w:val="single" w:sz="4" w:space="0" w:color="auto"/>
              <w:left w:val="single" w:sz="4" w:space="0" w:color="auto"/>
              <w:bottom w:val="single" w:sz="4" w:space="0" w:color="auto"/>
              <w:right w:val="single" w:sz="4" w:space="0" w:color="auto"/>
            </w:tcBorders>
          </w:tcPr>
          <w:p w14:paraId="7C55740C" w14:textId="77777777" w:rsidR="00FB4E58" w:rsidRDefault="00FB4E58" w:rsidP="00A65805">
            <w:pPr>
              <w:pStyle w:val="TableTextNumbers"/>
            </w:pPr>
            <w:r>
              <w:t>Visual Inspection Information:</w:t>
            </w:r>
          </w:p>
          <w:p w14:paraId="7551F701" w14:textId="77777777" w:rsidR="00FB4E58" w:rsidRDefault="00FB4E58" w:rsidP="00A65805">
            <w:pPr>
              <w:pStyle w:val="TableTextNumbersContinued"/>
              <w:rPr>
                <w:b/>
                <w:bCs/>
              </w:rPr>
            </w:pPr>
          </w:p>
          <w:p w14:paraId="647DCAEF" w14:textId="47ACCF1C" w:rsidR="00FB4E58" w:rsidRDefault="00FB4E58" w:rsidP="00A65805">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w:t>
            </w:r>
            <w:r w:rsidR="00EF7A1C">
              <w:t xml:space="preserve"> or enter a free text comment</w:t>
            </w:r>
            <w:r>
              <w:t xml:space="preserve"> in the Comment field.</w:t>
            </w:r>
          </w:p>
          <w:p w14:paraId="48DF307B" w14:textId="77777777" w:rsidR="00FB4E58" w:rsidRDefault="00FB4E58" w:rsidP="00A65805">
            <w:pPr>
              <w:pStyle w:val="TableTextNumbersContinued"/>
            </w:pPr>
          </w:p>
          <w:p w14:paraId="3553A99D" w14:textId="77777777" w:rsidR="00FB4E58" w:rsidRDefault="00FB4E58" w:rsidP="00A65805">
            <w:pPr>
              <w:pStyle w:val="TableTextNumbersContinued"/>
            </w:pPr>
            <w:r>
              <w:t xml:space="preserve">Click </w:t>
            </w:r>
            <w:r>
              <w:rPr>
                <w:b/>
              </w:rPr>
              <w:t>Add</w:t>
            </w:r>
            <w:r>
              <w:t xml:space="preserve"> to add the reagents to the inventory list.</w:t>
            </w:r>
          </w:p>
        </w:tc>
        <w:tc>
          <w:tcPr>
            <w:tcW w:w="6120" w:type="dxa"/>
            <w:tcBorders>
              <w:top w:val="single" w:sz="4" w:space="0" w:color="auto"/>
              <w:left w:val="single" w:sz="4" w:space="0" w:color="auto"/>
              <w:bottom w:val="single" w:sz="4" w:space="0" w:color="auto"/>
              <w:right w:val="single" w:sz="4" w:space="0" w:color="auto"/>
            </w:tcBorders>
          </w:tcPr>
          <w:p w14:paraId="659EB816" w14:textId="77777777" w:rsidR="00FB4E58" w:rsidRDefault="00FB4E58" w:rsidP="00A65805">
            <w:pPr>
              <w:pStyle w:val="TableText"/>
              <w:rPr>
                <w:b/>
                <w:bCs/>
                <w:szCs w:val="18"/>
              </w:rPr>
            </w:pPr>
          </w:p>
          <w:p w14:paraId="15090BD9" w14:textId="2919208B" w:rsidR="00FB4E58" w:rsidRDefault="00FB4E58" w:rsidP="00A65805">
            <w:pPr>
              <w:pStyle w:val="TableText"/>
              <w:rPr>
                <w:b/>
                <w:bCs/>
                <w:szCs w:val="18"/>
              </w:rPr>
            </w:pPr>
            <w:r>
              <w:rPr>
                <w:b/>
                <w:bCs/>
                <w:szCs w:val="18"/>
              </w:rPr>
              <w:t>NOTES</w:t>
            </w:r>
          </w:p>
          <w:p w14:paraId="17182DDF" w14:textId="77777777" w:rsidR="00FB4E58" w:rsidRDefault="00FB4E58" w:rsidP="00A65805">
            <w:pPr>
              <w:pStyle w:val="NotesText"/>
            </w:pPr>
          </w:p>
          <w:p w14:paraId="15A473AB" w14:textId="77777777" w:rsidR="00FB4E58" w:rsidRDefault="00FB4E58" w:rsidP="00A65805">
            <w:pPr>
              <w:pStyle w:val="NotesText"/>
            </w:pPr>
            <w:r>
              <w:t>Satisfactory reagent</w:t>
            </w:r>
            <w:r w:rsidR="001017A2">
              <w:t>s are</w:t>
            </w:r>
            <w:r>
              <w:t xml:space="preserve"> available for later selection, unsatisfactory reagent</w:t>
            </w:r>
            <w:r w:rsidR="001017A2">
              <w:t>s</w:t>
            </w:r>
            <w:r>
              <w:t xml:space="preserve"> are not.</w:t>
            </w:r>
          </w:p>
          <w:p w14:paraId="60F62EAD" w14:textId="77777777" w:rsidR="00FB4E58" w:rsidRDefault="00FB4E58" w:rsidP="00A65805">
            <w:pPr>
              <w:pStyle w:val="NotesText"/>
            </w:pPr>
          </w:p>
          <w:p w14:paraId="5F698E98" w14:textId="77777777" w:rsidR="00FB4E58" w:rsidRDefault="00FB4E58" w:rsidP="00A65805">
            <w:pPr>
              <w:pStyle w:val="NotesText"/>
            </w:pPr>
            <w:r>
              <w:t>When a user selects Other from the drop-down list in the Comment field, entry of additional text in the Details field is required.</w:t>
            </w:r>
          </w:p>
        </w:tc>
      </w:tr>
      <w:tr w:rsidR="00FB4E58" w14:paraId="56B42877"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0BC23EEF" w14:textId="60EA1738" w:rsidR="00FB4E58" w:rsidRDefault="00FB4E58" w:rsidP="00A65805">
            <w:pPr>
              <w:pStyle w:val="TableTextNumbers"/>
            </w:pPr>
            <w:r>
              <w:lastRenderedPageBreak/>
              <w:t>Repeat Steps 3</w:t>
            </w:r>
            <w:r w:rsidR="004F5589">
              <w:t xml:space="preserve"> through </w:t>
            </w:r>
            <w:r>
              <w:t>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35F50B80" w14:textId="77777777" w:rsidR="00FB4E58" w:rsidRDefault="00FB4E58" w:rsidP="00A65805">
            <w:pPr>
              <w:pStyle w:val="TableText"/>
              <w:rPr>
                <w:b/>
                <w:bCs/>
                <w:szCs w:val="18"/>
              </w:rPr>
            </w:pPr>
          </w:p>
          <w:p w14:paraId="14C6FB94" w14:textId="440249C4" w:rsidR="00FB4E58" w:rsidRDefault="00FB4E58" w:rsidP="00A65805">
            <w:pPr>
              <w:pStyle w:val="TableText"/>
              <w:rPr>
                <w:b/>
                <w:bCs/>
                <w:szCs w:val="18"/>
              </w:rPr>
            </w:pPr>
            <w:r>
              <w:rPr>
                <w:b/>
                <w:bCs/>
                <w:szCs w:val="18"/>
              </w:rPr>
              <w:t>NOTES</w:t>
            </w:r>
          </w:p>
          <w:p w14:paraId="30AE1A95" w14:textId="77777777" w:rsidR="00FB4E58" w:rsidRDefault="00FB4E58" w:rsidP="00A65805">
            <w:pPr>
              <w:pStyle w:val="NotesText"/>
            </w:pPr>
          </w:p>
          <w:p w14:paraId="223E9A5A" w14:textId="77777777" w:rsidR="00FB4E58" w:rsidRDefault="00FB4E58" w:rsidP="00A65805">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FB4E58" w14:paraId="12ADDBE2" w14:textId="77777777">
        <w:tc>
          <w:tcPr>
            <w:tcW w:w="3240" w:type="dxa"/>
            <w:tcBorders>
              <w:top w:val="single" w:sz="4" w:space="0" w:color="auto"/>
              <w:left w:val="single" w:sz="4" w:space="0" w:color="auto"/>
              <w:bottom w:val="single" w:sz="4" w:space="0" w:color="auto"/>
              <w:right w:val="single" w:sz="4" w:space="0" w:color="auto"/>
            </w:tcBorders>
          </w:tcPr>
          <w:p w14:paraId="588138CB" w14:textId="77777777" w:rsidR="00FB4E58" w:rsidRDefault="00FB4E58" w:rsidP="00A65805">
            <w:pPr>
              <w:pStyle w:val="TableTextNumbers"/>
            </w:pPr>
            <w:r>
              <w:t xml:space="preserve">Click </w:t>
            </w:r>
            <w:r>
              <w:rPr>
                <w:b/>
              </w:rPr>
              <w:t>OK</w:t>
            </w:r>
            <w:r>
              <w:t xml:space="preserve"> to save.</w:t>
            </w:r>
          </w:p>
          <w:p w14:paraId="706C9C3C" w14:textId="77777777" w:rsidR="00FB4E58" w:rsidRDefault="00FB4E58" w:rsidP="00A65805">
            <w:pPr>
              <w:pStyle w:val="TableTextNumbersContinued"/>
              <w:rPr>
                <w:b/>
                <w:bCs/>
              </w:rPr>
            </w:pPr>
          </w:p>
          <w:p w14:paraId="11B2977F" w14:textId="77777777" w:rsidR="00FB4E58" w:rsidRDefault="00FB4E58" w:rsidP="00A65805">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B6A939E" w14:textId="77777777" w:rsidR="00FB4E58" w:rsidRDefault="00FB4E58" w:rsidP="00A65805">
            <w:pPr>
              <w:pStyle w:val="TableTextBullet"/>
            </w:pPr>
            <w:r>
              <w:t>Requests confirmation to update the database.</w:t>
            </w:r>
          </w:p>
        </w:tc>
      </w:tr>
    </w:tbl>
    <w:p w14:paraId="32D92B85" w14:textId="77777777" w:rsidR="00466CF2" w:rsidRDefault="00466CF2" w:rsidP="00613D46">
      <w:pPr>
        <w:pStyle w:val="Heading4"/>
      </w:pPr>
    </w:p>
    <w:p w14:paraId="50674C8E" w14:textId="77777777" w:rsidR="00613D46" w:rsidRDefault="00466CF2" w:rsidP="00613D46">
      <w:pPr>
        <w:pStyle w:val="Heading4"/>
      </w:pPr>
      <w:r>
        <w:br w:type="page"/>
      </w:r>
      <w:r w:rsidR="00613D46">
        <w:lastRenderedPageBreak/>
        <w:t>Update Reagent Inventory</w:t>
      </w:r>
      <w:r w:rsidR="00613D46">
        <w:fldChar w:fldCharType="begin"/>
      </w:r>
      <w:r w:rsidR="00613D46">
        <w:instrText xml:space="preserve"> XE </w:instrText>
      </w:r>
      <w:r w:rsidR="00FA7E65">
        <w:instrText>“</w:instrText>
      </w:r>
      <w:r w:rsidR="00613D46">
        <w:instrText>Update Reagent Inventory</w:instrText>
      </w:r>
      <w:r w:rsidR="00FA7E65">
        <w:instrText>”</w:instrText>
      </w:r>
      <w:r w:rsidR="00613D46">
        <w:instrText xml:space="preserve"> </w:instrText>
      </w:r>
      <w:r w:rsidR="00613D46">
        <w:fldChar w:fldCharType="end"/>
      </w:r>
      <w:r w:rsidR="00613D46">
        <w:t xml:space="preserve"> </w:t>
      </w:r>
    </w:p>
    <w:p w14:paraId="25F0C91E" w14:textId="77777777" w:rsidR="002A21AE" w:rsidRDefault="00C461C7" w:rsidP="007F12F1">
      <w:pPr>
        <w:pStyle w:val="BodyText"/>
      </w:pPr>
      <w:r>
        <w:t>The</w:t>
      </w:r>
      <w:r w:rsidR="00613D46">
        <w:t xml:space="preserve"> user change</w:t>
      </w:r>
      <w:r w:rsidR="003B2E74">
        <w:t>s</w:t>
      </w:r>
      <w:r w:rsidR="00613D46">
        <w:t xml:space="preserve"> the number of available items in the reagent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13D46" w14:paraId="6735F65C" w14:textId="77777777">
        <w:trPr>
          <w:cantSplit/>
          <w:tblHeader/>
        </w:trPr>
        <w:tc>
          <w:tcPr>
            <w:tcW w:w="3240" w:type="dxa"/>
            <w:shd w:val="pct30" w:color="auto" w:fill="FFFFFF"/>
            <w:vAlign w:val="bottom"/>
          </w:tcPr>
          <w:p w14:paraId="21603C19" w14:textId="77777777" w:rsidR="00613D46" w:rsidRDefault="00613D46" w:rsidP="00A65805">
            <w:pPr>
              <w:pStyle w:val="TableText"/>
              <w:rPr>
                <w:b/>
              </w:rPr>
            </w:pPr>
            <w:r>
              <w:rPr>
                <w:b/>
              </w:rPr>
              <w:t>User Action</w:t>
            </w:r>
          </w:p>
        </w:tc>
        <w:tc>
          <w:tcPr>
            <w:tcW w:w="6120" w:type="dxa"/>
            <w:shd w:val="pct30" w:color="auto" w:fill="FFFFFF"/>
            <w:vAlign w:val="bottom"/>
          </w:tcPr>
          <w:p w14:paraId="03EE4767" w14:textId="77777777" w:rsidR="00613D46" w:rsidRDefault="00613D46" w:rsidP="00A65805">
            <w:pPr>
              <w:pStyle w:val="TableText"/>
              <w:rPr>
                <w:b/>
              </w:rPr>
            </w:pPr>
            <w:r>
              <w:rPr>
                <w:b/>
              </w:rPr>
              <w:t>VBECS</w:t>
            </w:r>
          </w:p>
        </w:tc>
      </w:tr>
      <w:tr w:rsidR="00613D46" w14:paraId="2A31BA5A" w14:textId="77777777">
        <w:tc>
          <w:tcPr>
            <w:tcW w:w="3240" w:type="dxa"/>
            <w:tcBorders>
              <w:top w:val="single" w:sz="4" w:space="0" w:color="auto"/>
              <w:left w:val="single" w:sz="4" w:space="0" w:color="auto"/>
              <w:bottom w:val="single" w:sz="4" w:space="0" w:color="auto"/>
              <w:right w:val="single" w:sz="4" w:space="0" w:color="auto"/>
            </w:tcBorders>
          </w:tcPr>
          <w:p w14:paraId="1C390D40" w14:textId="77777777" w:rsidR="00613D46" w:rsidRDefault="00613D46" w:rsidP="002244F1">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53BE2452" w14:textId="77777777" w:rsidR="00613D46" w:rsidRDefault="00613D46" w:rsidP="00A65805">
            <w:pPr>
              <w:pStyle w:val="TableTextBullet"/>
            </w:pPr>
            <w:r>
              <w:t xml:space="preserve">Displays options for Quality Control functions. </w:t>
            </w:r>
          </w:p>
          <w:p w14:paraId="40842FFC" w14:textId="77777777" w:rsidR="00613D46" w:rsidRDefault="00613D46" w:rsidP="00A65805">
            <w:pPr>
              <w:pStyle w:val="TableTextBullet"/>
            </w:pPr>
            <w:r>
              <w:t>Displays options for processing reagents.</w:t>
            </w:r>
          </w:p>
        </w:tc>
      </w:tr>
      <w:tr w:rsidR="00613D46" w14:paraId="3731B081" w14:textId="77777777">
        <w:tc>
          <w:tcPr>
            <w:tcW w:w="3240" w:type="dxa"/>
          </w:tcPr>
          <w:p w14:paraId="50C6E670" w14:textId="77777777" w:rsidR="00613D46" w:rsidRDefault="00613D46" w:rsidP="00AB00F0">
            <w:pPr>
              <w:pStyle w:val="TableTextNumbers"/>
            </w:pPr>
            <w:r>
              <w:t xml:space="preserve">Select </w:t>
            </w:r>
            <w:r>
              <w:rPr>
                <w:b/>
              </w:rPr>
              <w:t>Update Inventory</w:t>
            </w:r>
            <w:r>
              <w:t>.</w:t>
            </w:r>
          </w:p>
        </w:tc>
        <w:tc>
          <w:tcPr>
            <w:tcW w:w="6120" w:type="dxa"/>
          </w:tcPr>
          <w:p w14:paraId="7983250F" w14:textId="77777777" w:rsidR="00613D46" w:rsidRDefault="00613D46" w:rsidP="00A65805">
            <w:pPr>
              <w:pStyle w:val="TableTextBullet"/>
            </w:pPr>
            <w:r>
              <w:t>Lists existing satisfactory reagents by default.</w:t>
            </w:r>
          </w:p>
        </w:tc>
      </w:tr>
      <w:tr w:rsidR="00613D46" w14:paraId="4EBCA6C7" w14:textId="77777777">
        <w:tc>
          <w:tcPr>
            <w:tcW w:w="3240" w:type="dxa"/>
            <w:tcBorders>
              <w:top w:val="single" w:sz="4" w:space="0" w:color="auto"/>
              <w:left w:val="single" w:sz="4" w:space="0" w:color="auto"/>
              <w:bottom w:val="single" w:sz="4" w:space="0" w:color="auto"/>
              <w:right w:val="single" w:sz="4" w:space="0" w:color="auto"/>
            </w:tcBorders>
          </w:tcPr>
          <w:p w14:paraId="084D08AD" w14:textId="77777777" w:rsidR="00613D46" w:rsidRDefault="00613D46" w:rsidP="00A65805">
            <w:pPr>
              <w:pStyle w:val="TableTextNumbers"/>
            </w:pPr>
            <w:r>
              <w:t>Select a reagent to edit.</w:t>
            </w:r>
          </w:p>
          <w:p w14:paraId="0E529716" w14:textId="77777777" w:rsidR="00613D46" w:rsidRDefault="00613D46" w:rsidP="00A65805">
            <w:pPr>
              <w:pStyle w:val="TableTextNumbersContinued"/>
            </w:pPr>
          </w:p>
          <w:p w14:paraId="117AF05A" w14:textId="77777777" w:rsidR="00613D46" w:rsidRDefault="00613D46" w:rsidP="00A65805">
            <w:pPr>
              <w:pStyle w:val="TableTextNumbersContinued"/>
            </w:pPr>
            <w:r>
              <w:t xml:space="preserve">To view </w:t>
            </w:r>
            <w:r w:rsidR="00E516F6">
              <w:t>reagents</w:t>
            </w:r>
            <w:r>
              <w:t xml:space="preserve">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34635981" w14:textId="77777777" w:rsidR="00613D46" w:rsidRDefault="00613D46" w:rsidP="00A65805">
            <w:pPr>
              <w:pStyle w:val="TableText"/>
            </w:pPr>
          </w:p>
          <w:p w14:paraId="626D752A" w14:textId="26D4B2CE" w:rsidR="00613D46" w:rsidRDefault="00613D46" w:rsidP="00A65805">
            <w:pPr>
              <w:pStyle w:val="TableText"/>
              <w:rPr>
                <w:b/>
                <w:bCs/>
                <w:szCs w:val="18"/>
              </w:rPr>
            </w:pPr>
            <w:r>
              <w:rPr>
                <w:b/>
                <w:bCs/>
                <w:szCs w:val="18"/>
              </w:rPr>
              <w:t>NOTES</w:t>
            </w:r>
          </w:p>
          <w:p w14:paraId="1C34BB27" w14:textId="77777777" w:rsidR="00613D46" w:rsidRDefault="00613D46" w:rsidP="00A65805">
            <w:pPr>
              <w:pStyle w:val="NotesText"/>
            </w:pPr>
          </w:p>
          <w:p w14:paraId="2DFC9A6A" w14:textId="77777777" w:rsidR="00613D46" w:rsidRDefault="00613D46" w:rsidP="00A65805">
            <w:pPr>
              <w:pStyle w:val="NotesText"/>
            </w:pPr>
            <w:r>
              <w:t>Click a reagent type to reveal manufacturer names. Click a manufacturer name to reveal lot numbers.</w:t>
            </w:r>
          </w:p>
        </w:tc>
      </w:tr>
      <w:tr w:rsidR="00613D46" w14:paraId="257998E3" w14:textId="77777777">
        <w:tc>
          <w:tcPr>
            <w:tcW w:w="3240" w:type="dxa"/>
            <w:tcBorders>
              <w:top w:val="single" w:sz="4" w:space="0" w:color="auto"/>
              <w:left w:val="single" w:sz="4" w:space="0" w:color="auto"/>
              <w:bottom w:val="single" w:sz="4" w:space="0" w:color="auto"/>
              <w:right w:val="single" w:sz="4" w:space="0" w:color="auto"/>
            </w:tcBorders>
          </w:tcPr>
          <w:p w14:paraId="36570B11" w14:textId="77777777" w:rsidR="00613D46" w:rsidRDefault="00613D46" w:rsidP="00A65805">
            <w:pPr>
              <w:pStyle w:val="TableTextNumbers"/>
            </w:pPr>
            <w:r>
              <w:t>Click a lot number to enable the Number of Vials Available field.</w:t>
            </w:r>
          </w:p>
          <w:p w14:paraId="44505ECC" w14:textId="77777777" w:rsidR="00613D46" w:rsidRDefault="00613D46" w:rsidP="00A65805">
            <w:pPr>
              <w:pStyle w:val="TableTextNumbersContinued"/>
            </w:pPr>
          </w:p>
          <w:p w14:paraId="5A5186DC" w14:textId="77777777" w:rsidR="00613D46" w:rsidRDefault="00613D46" w:rsidP="00A65805">
            <w:pPr>
              <w:pStyle w:val="TableTextNumbersContinued"/>
            </w:pPr>
            <w:r>
              <w:t>Enter (or select) a quantity that is less than or equal to the current entry in the Quantity Available field.</w:t>
            </w:r>
          </w:p>
          <w:p w14:paraId="04AF7C18" w14:textId="77777777" w:rsidR="00613D46" w:rsidRDefault="00613D46" w:rsidP="00A65805">
            <w:pPr>
              <w:pStyle w:val="TableTextNumbersContinued"/>
            </w:pPr>
          </w:p>
          <w:p w14:paraId="5B3853D9" w14:textId="46B16922" w:rsidR="00613D46" w:rsidRDefault="00613D46" w:rsidP="00A65805">
            <w:pPr>
              <w:pStyle w:val="TableTextNumbersContinued"/>
            </w:pPr>
            <w:r>
              <w:t>Select or edit the date and time in the Date Changed field</w:t>
            </w:r>
            <w:r w:rsidR="00580E36">
              <w:t xml:space="preserve"> (</w:t>
            </w:r>
            <w:r w:rsidR="00EE455E">
              <w:t xml:space="preserve">Figure </w:t>
            </w:r>
            <w:r w:rsidR="00EE455E">
              <w:rPr>
                <w:noProof/>
              </w:rPr>
              <w:t>40</w:t>
            </w:r>
            <w:r w:rsidR="00580E36">
              <w:t>)</w:t>
            </w:r>
            <w:r>
              <w:t>.</w:t>
            </w:r>
          </w:p>
        </w:tc>
        <w:tc>
          <w:tcPr>
            <w:tcW w:w="6120" w:type="dxa"/>
            <w:tcBorders>
              <w:top w:val="single" w:sz="4" w:space="0" w:color="auto"/>
              <w:left w:val="single" w:sz="4" w:space="0" w:color="auto"/>
              <w:bottom w:val="single" w:sz="4" w:space="0" w:color="auto"/>
              <w:right w:val="single" w:sz="4" w:space="0" w:color="auto"/>
            </w:tcBorders>
          </w:tcPr>
          <w:p w14:paraId="1AF58F57" w14:textId="77777777" w:rsidR="00613D46" w:rsidRDefault="00613D46" w:rsidP="00A65805">
            <w:pPr>
              <w:pStyle w:val="TableText"/>
            </w:pPr>
          </w:p>
          <w:p w14:paraId="5988B879" w14:textId="48DC5111" w:rsidR="00613D46" w:rsidRDefault="00613D46" w:rsidP="00A65805">
            <w:pPr>
              <w:pStyle w:val="TableText"/>
              <w:rPr>
                <w:b/>
                <w:bCs/>
                <w:szCs w:val="18"/>
              </w:rPr>
            </w:pPr>
            <w:r>
              <w:rPr>
                <w:b/>
                <w:bCs/>
                <w:szCs w:val="18"/>
              </w:rPr>
              <w:t>NOTES</w:t>
            </w:r>
          </w:p>
          <w:p w14:paraId="6D19D8D0" w14:textId="77777777" w:rsidR="00613D46" w:rsidRDefault="00613D46" w:rsidP="00A65805">
            <w:pPr>
              <w:pStyle w:val="NotesText"/>
            </w:pPr>
          </w:p>
          <w:p w14:paraId="139FA21F" w14:textId="77777777" w:rsidR="00613D46" w:rsidRDefault="00613D46" w:rsidP="00A65805">
            <w:pPr>
              <w:pStyle w:val="NotesText"/>
            </w:pPr>
            <w:r>
              <w:t>The default change date is the current date and time. The user may edit it to a past date and time only.</w:t>
            </w:r>
          </w:p>
          <w:p w14:paraId="6E1B2ACB" w14:textId="77777777" w:rsidR="00613D46" w:rsidRDefault="00613D46" w:rsidP="00A65805">
            <w:pPr>
              <w:pStyle w:val="NotesText"/>
            </w:pPr>
          </w:p>
          <w:p w14:paraId="23459C0B" w14:textId="5E12FEB6" w:rsidR="00613D46" w:rsidRDefault="00AC4234" w:rsidP="00A65805">
            <w:pPr>
              <w:pStyle w:val="NotesText"/>
            </w:pPr>
            <w:r w:rsidRPr="00AC4234">
              <w:t xml:space="preserve">The list of selectable comments in Reason for Change field is not associated with a canned comment category. </w:t>
            </w:r>
            <w:r w:rsidR="00613D46">
              <w:t>When a user selects Other from the drop-down list in the Reason for Change field, he may enter additional text in the Comments field.</w:t>
            </w:r>
          </w:p>
          <w:p w14:paraId="408013DC" w14:textId="67AEB418" w:rsidR="006B451C" w:rsidRDefault="006B451C" w:rsidP="00A65805">
            <w:pPr>
              <w:pStyle w:val="NotesText"/>
            </w:pPr>
            <w:r>
              <w:t>To avoid a system error, d</w:t>
            </w:r>
            <w:r w:rsidRPr="006B451C">
              <w:t>o not remove the reason for change before saving.</w:t>
            </w:r>
            <w:r w:rsidR="0002020B">
              <w:t xml:space="preserve"> </w:t>
            </w:r>
            <w:r w:rsidR="0002020B" w:rsidRPr="0002020B">
              <w:rPr>
                <w:vanish/>
              </w:rPr>
              <w:t>Defect 209684</w:t>
            </w:r>
            <w:r w:rsidR="0002020B">
              <w:rPr>
                <w:vanish/>
              </w:rPr>
              <w:t>, 210320</w:t>
            </w:r>
          </w:p>
          <w:p w14:paraId="0C86ABCD" w14:textId="77777777" w:rsidR="00613D46" w:rsidRDefault="00613D46" w:rsidP="00A65805">
            <w:pPr>
              <w:pStyle w:val="NotesText"/>
            </w:pPr>
          </w:p>
        </w:tc>
      </w:tr>
      <w:tr w:rsidR="00613D46" w14:paraId="55D6100F" w14:textId="77777777">
        <w:tc>
          <w:tcPr>
            <w:tcW w:w="3240" w:type="dxa"/>
            <w:tcBorders>
              <w:top w:val="single" w:sz="4" w:space="0" w:color="auto"/>
              <w:left w:val="single" w:sz="4" w:space="0" w:color="auto"/>
              <w:bottom w:val="single" w:sz="4" w:space="0" w:color="auto"/>
              <w:right w:val="single" w:sz="4" w:space="0" w:color="auto"/>
            </w:tcBorders>
          </w:tcPr>
          <w:p w14:paraId="44EB05E5" w14:textId="77777777" w:rsidR="00613D46" w:rsidRDefault="00613D46" w:rsidP="00A65805">
            <w:pPr>
              <w:pStyle w:val="TableTextNumbers"/>
            </w:pPr>
            <w:r>
              <w:t>Repeat Steps 3 and 4 to edit more reagents</w:t>
            </w:r>
            <w:r w:rsidR="00E516F6">
              <w:t>,</w:t>
            </w:r>
            <w:r>
              <w:t xml:space="preserve"> as desired.</w:t>
            </w:r>
          </w:p>
        </w:tc>
        <w:tc>
          <w:tcPr>
            <w:tcW w:w="6120" w:type="dxa"/>
            <w:tcBorders>
              <w:top w:val="single" w:sz="4" w:space="0" w:color="auto"/>
              <w:left w:val="single" w:sz="4" w:space="0" w:color="auto"/>
              <w:bottom w:val="single" w:sz="4" w:space="0" w:color="auto"/>
              <w:right w:val="single" w:sz="4" w:space="0" w:color="auto"/>
            </w:tcBorders>
          </w:tcPr>
          <w:p w14:paraId="074DFC55" w14:textId="77777777" w:rsidR="00613D46" w:rsidRDefault="00613D46" w:rsidP="00A65805">
            <w:pPr>
              <w:pStyle w:val="TableText"/>
            </w:pPr>
          </w:p>
        </w:tc>
      </w:tr>
      <w:tr w:rsidR="00613D46" w14:paraId="3E9E568F" w14:textId="77777777">
        <w:tc>
          <w:tcPr>
            <w:tcW w:w="3240" w:type="dxa"/>
            <w:tcBorders>
              <w:top w:val="single" w:sz="4" w:space="0" w:color="auto"/>
              <w:left w:val="single" w:sz="4" w:space="0" w:color="auto"/>
              <w:bottom w:val="single" w:sz="4" w:space="0" w:color="auto"/>
              <w:right w:val="single" w:sz="4" w:space="0" w:color="auto"/>
            </w:tcBorders>
          </w:tcPr>
          <w:p w14:paraId="1032FEB9" w14:textId="77777777" w:rsidR="00613D46" w:rsidRDefault="00613D46" w:rsidP="00A65805">
            <w:pPr>
              <w:pStyle w:val="TableTextNumbers"/>
            </w:pPr>
            <w:r>
              <w:t xml:space="preserve">Click </w:t>
            </w:r>
            <w:r>
              <w:rPr>
                <w:b/>
              </w:rPr>
              <w:t>OK</w:t>
            </w:r>
            <w:r>
              <w:t xml:space="preserve"> to save.</w:t>
            </w:r>
          </w:p>
          <w:p w14:paraId="0F62A892" w14:textId="77777777" w:rsidR="00613D46" w:rsidRDefault="00613D46" w:rsidP="00A65805">
            <w:pPr>
              <w:pStyle w:val="TableTextNumbersContinued"/>
            </w:pPr>
          </w:p>
          <w:p w14:paraId="56E9A6B4" w14:textId="77777777" w:rsidR="00613D46" w:rsidRDefault="00613D46" w:rsidP="00A65805">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5CAD3409" w14:textId="77777777" w:rsidR="00613D46" w:rsidRDefault="00613D46" w:rsidP="00A65805">
            <w:pPr>
              <w:pStyle w:val="TableTextBullet"/>
            </w:pPr>
            <w:r>
              <w:t xml:space="preserve">Prompts </w:t>
            </w:r>
            <w:r w:rsidR="00E516F6">
              <w:t>the user to confirm</w:t>
            </w:r>
            <w:r>
              <w:t xml:space="preserve"> the save.</w:t>
            </w:r>
          </w:p>
          <w:p w14:paraId="7BB225A4" w14:textId="77777777" w:rsidR="00613D46" w:rsidRDefault="00613D46" w:rsidP="00A65805">
            <w:pPr>
              <w:pStyle w:val="TableTextBullet"/>
            </w:pPr>
            <w:r>
              <w:t xml:space="preserve">Saves the record and redisplays current inventory, as in Step 3. </w:t>
            </w:r>
          </w:p>
          <w:p w14:paraId="7C5B05C0" w14:textId="77777777" w:rsidR="00613D46" w:rsidRDefault="00613D46" w:rsidP="00A65805">
            <w:pPr>
              <w:pStyle w:val="TableTextBullet"/>
            </w:pPr>
            <w:r>
              <w:t>Displays an option to exit.</w:t>
            </w:r>
          </w:p>
          <w:p w14:paraId="4AF89CA6" w14:textId="68C39AB3" w:rsidR="0050266C" w:rsidRDefault="0050266C" w:rsidP="0050266C">
            <w:pPr>
              <w:pStyle w:val="TableTextBullet"/>
            </w:pPr>
            <w:r w:rsidRPr="0050266C">
              <w:t>Click the Clear button to continue</w:t>
            </w:r>
            <w:r>
              <w:t xml:space="preserve"> if a warning message displays after selecting “No” to the entry confirmation message.</w:t>
            </w:r>
            <w:r w:rsidR="0002020B">
              <w:t xml:space="preserve"> </w:t>
            </w:r>
            <w:r w:rsidR="0002020B" w:rsidRPr="0002020B">
              <w:rPr>
                <w:vanish/>
              </w:rPr>
              <w:t>Defect 208884</w:t>
            </w:r>
          </w:p>
        </w:tc>
      </w:tr>
      <w:tr w:rsidR="00613D46" w14:paraId="0D8FF827" w14:textId="77777777">
        <w:tc>
          <w:tcPr>
            <w:tcW w:w="3240" w:type="dxa"/>
            <w:tcBorders>
              <w:top w:val="single" w:sz="4" w:space="0" w:color="auto"/>
              <w:left w:val="single" w:sz="4" w:space="0" w:color="auto"/>
              <w:bottom w:val="single" w:sz="4" w:space="0" w:color="auto"/>
              <w:right w:val="single" w:sz="4" w:space="0" w:color="auto"/>
            </w:tcBorders>
          </w:tcPr>
          <w:p w14:paraId="5B6B8603" w14:textId="77777777" w:rsidR="00613D46" w:rsidRDefault="00613D46" w:rsidP="00A65805">
            <w:pPr>
              <w:pStyle w:val="TableTextNumbers"/>
            </w:pPr>
            <w:r>
              <w:t xml:space="preserve">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70107AB" w14:textId="77777777" w:rsidR="00613D46" w:rsidRDefault="00613D46" w:rsidP="00A65805">
            <w:pPr>
              <w:pStyle w:val="NotesText"/>
              <w:ind w:left="0"/>
            </w:pPr>
          </w:p>
        </w:tc>
      </w:tr>
    </w:tbl>
    <w:p w14:paraId="672F9927" w14:textId="216A52A1" w:rsidR="00580E36" w:rsidRDefault="00580E36" w:rsidP="00580E36">
      <w:pPr>
        <w:pStyle w:val="Caption"/>
      </w:pPr>
      <w:bookmarkStart w:id="218" w:name="_Ref12654907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41</w:t>
      </w:r>
      <w:r w:rsidR="004E20BD">
        <w:rPr>
          <w:noProof/>
        </w:rPr>
        <w:fldChar w:fldCharType="end"/>
      </w:r>
      <w:bookmarkEnd w:id="218"/>
      <w:r>
        <w:t>: Update Reagent Inventory</w:t>
      </w:r>
    </w:p>
    <w:p w14:paraId="281354B8" w14:textId="77777777" w:rsidR="00580E36" w:rsidRDefault="00057948" w:rsidP="00580E36">
      <w:pPr>
        <w:pStyle w:val="BodyText"/>
      </w:pPr>
      <w:r>
        <w:rPr>
          <w:noProof/>
        </w:rPr>
        <w:drawing>
          <wp:inline distT="0" distB="0" distL="0" distR="0" wp14:anchorId="00E18D60" wp14:editId="7089A521">
            <wp:extent cx="4460875" cy="3667125"/>
            <wp:effectExtent l="0" t="0" r="0" b="9525"/>
            <wp:docPr id="143" name="Picture 143" descr="Example of Update Reagent Inventory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Example of Update Reagent Inventory screen capt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60875" cy="3667125"/>
                    </a:xfrm>
                    <a:prstGeom prst="rect">
                      <a:avLst/>
                    </a:prstGeom>
                    <a:noFill/>
                    <a:ln>
                      <a:noFill/>
                    </a:ln>
                  </pic:spPr>
                </pic:pic>
              </a:graphicData>
            </a:graphic>
          </wp:inline>
        </w:drawing>
      </w:r>
    </w:p>
    <w:p w14:paraId="08A5F1BC" w14:textId="77777777" w:rsidR="00FE6B9A" w:rsidRDefault="00466CF2" w:rsidP="00FE6B9A">
      <w:pPr>
        <w:pStyle w:val="Heading4"/>
      </w:pPr>
      <w:r>
        <w:br w:type="page"/>
      </w:r>
      <w:r w:rsidR="00FE6B9A">
        <w:lastRenderedPageBreak/>
        <w:t>View/Print Reagent Inventory</w:t>
      </w:r>
      <w:r w:rsidR="00FE6B9A">
        <w:fldChar w:fldCharType="begin"/>
      </w:r>
      <w:r w:rsidR="00FE6B9A">
        <w:instrText xml:space="preserve"> XE </w:instrText>
      </w:r>
      <w:r w:rsidR="00FA7E65">
        <w:instrText>“</w:instrText>
      </w:r>
      <w:r w:rsidR="00FE6B9A">
        <w:instrText>View/Print Reagent Inventory</w:instrText>
      </w:r>
      <w:r w:rsidR="00FA7E65">
        <w:instrText>”</w:instrText>
      </w:r>
      <w:r w:rsidR="00FE6B9A">
        <w:instrText xml:space="preserve"> </w:instrText>
      </w:r>
      <w:r w:rsidR="00FE6B9A">
        <w:fldChar w:fldCharType="end"/>
      </w:r>
      <w:r w:rsidR="00FE6B9A">
        <w:t xml:space="preserve"> </w:t>
      </w:r>
    </w:p>
    <w:p w14:paraId="6137796F" w14:textId="77777777" w:rsidR="002A21AE" w:rsidRDefault="00C461C7" w:rsidP="007F12F1">
      <w:pPr>
        <w:pStyle w:val="BodyText"/>
      </w:pPr>
      <w:r>
        <w:t>The</w:t>
      </w:r>
      <w:r w:rsidR="00FE6B9A">
        <w:t xml:space="preserve"> user view</w:t>
      </w:r>
      <w:r w:rsidR="00F859D5">
        <w:t>s</w:t>
      </w:r>
      <w:r w:rsidR="00FE6B9A">
        <w:t xml:space="preserve"> inventory online based on various search criteria and print</w:t>
      </w:r>
      <w:r w:rsidR="00F859D5">
        <w:t>s</w:t>
      </w:r>
      <w:r w:rsidR="00FE6B9A">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6B9A" w14:paraId="25CFFDBD" w14:textId="77777777">
        <w:trPr>
          <w:cantSplit/>
          <w:tblHeader/>
        </w:trPr>
        <w:tc>
          <w:tcPr>
            <w:tcW w:w="3240" w:type="dxa"/>
            <w:shd w:val="pct30" w:color="auto" w:fill="FFFFFF"/>
            <w:vAlign w:val="bottom"/>
          </w:tcPr>
          <w:p w14:paraId="283A83BF" w14:textId="77777777" w:rsidR="00FE6B9A" w:rsidRDefault="00FE6B9A" w:rsidP="00A65805">
            <w:pPr>
              <w:pStyle w:val="TableText"/>
              <w:rPr>
                <w:b/>
              </w:rPr>
            </w:pPr>
            <w:r>
              <w:rPr>
                <w:b/>
              </w:rPr>
              <w:t>User Action</w:t>
            </w:r>
          </w:p>
        </w:tc>
        <w:tc>
          <w:tcPr>
            <w:tcW w:w="6120" w:type="dxa"/>
            <w:shd w:val="pct30" w:color="auto" w:fill="FFFFFF"/>
            <w:vAlign w:val="bottom"/>
          </w:tcPr>
          <w:p w14:paraId="67DD09DB" w14:textId="77777777" w:rsidR="00FE6B9A" w:rsidRDefault="00FE6B9A" w:rsidP="00A65805">
            <w:pPr>
              <w:pStyle w:val="TableText"/>
              <w:rPr>
                <w:b/>
              </w:rPr>
            </w:pPr>
            <w:r>
              <w:rPr>
                <w:b/>
              </w:rPr>
              <w:t>VBECS</w:t>
            </w:r>
          </w:p>
        </w:tc>
      </w:tr>
      <w:tr w:rsidR="00FE6B9A" w14:paraId="35D6F0C8" w14:textId="77777777">
        <w:tc>
          <w:tcPr>
            <w:tcW w:w="3240" w:type="dxa"/>
            <w:tcBorders>
              <w:top w:val="single" w:sz="4" w:space="0" w:color="auto"/>
              <w:left w:val="single" w:sz="4" w:space="0" w:color="auto"/>
              <w:bottom w:val="single" w:sz="4" w:space="0" w:color="auto"/>
              <w:right w:val="single" w:sz="4" w:space="0" w:color="auto"/>
            </w:tcBorders>
          </w:tcPr>
          <w:p w14:paraId="3745F3B5" w14:textId="77777777" w:rsidR="00FE6B9A" w:rsidRDefault="00FE6B9A" w:rsidP="00A65805">
            <w:pPr>
              <w:pStyle w:val="TableTextNumbers"/>
            </w:pPr>
            <w:r>
              <w:t xml:space="preserve">Select </w:t>
            </w:r>
            <w:r>
              <w:rPr>
                <w:b/>
              </w:rPr>
              <w:t>Reagents</w:t>
            </w:r>
            <w:r>
              <w:t xml:space="preserve"> from the main menu.</w:t>
            </w:r>
          </w:p>
          <w:p w14:paraId="11A33B80" w14:textId="77777777" w:rsidR="00FE6B9A" w:rsidRDefault="00FE6B9A" w:rsidP="00A65805">
            <w:pPr>
              <w:pStyle w:val="TableTextNumbersContinued"/>
            </w:pPr>
          </w:p>
        </w:tc>
        <w:tc>
          <w:tcPr>
            <w:tcW w:w="6120" w:type="dxa"/>
            <w:tcBorders>
              <w:top w:val="single" w:sz="4" w:space="0" w:color="auto"/>
              <w:left w:val="single" w:sz="4" w:space="0" w:color="auto"/>
              <w:bottom w:val="single" w:sz="4" w:space="0" w:color="auto"/>
              <w:right w:val="single" w:sz="4" w:space="0" w:color="auto"/>
            </w:tcBorders>
          </w:tcPr>
          <w:p w14:paraId="3E2E61AF" w14:textId="77777777" w:rsidR="00FE6B9A" w:rsidRDefault="00FE6B9A" w:rsidP="00A65805">
            <w:pPr>
              <w:pStyle w:val="TableTextBullet"/>
            </w:pPr>
            <w:r>
              <w:t xml:space="preserve">Displays options for Quality Control functions. </w:t>
            </w:r>
          </w:p>
          <w:p w14:paraId="14665BA8" w14:textId="77777777" w:rsidR="00FE6B9A" w:rsidRDefault="00FE6B9A" w:rsidP="00A65805">
            <w:pPr>
              <w:pStyle w:val="TableTextBullet"/>
            </w:pPr>
            <w:r>
              <w:t>Displays options for processing reagents.</w:t>
            </w:r>
          </w:p>
        </w:tc>
      </w:tr>
      <w:tr w:rsidR="00FE6B9A" w14:paraId="06B4CC97" w14:textId="77777777">
        <w:tc>
          <w:tcPr>
            <w:tcW w:w="3240" w:type="dxa"/>
          </w:tcPr>
          <w:p w14:paraId="11DFFDB4" w14:textId="77777777" w:rsidR="00FE6B9A" w:rsidRDefault="00FE6B9A" w:rsidP="00A65805">
            <w:pPr>
              <w:pStyle w:val="TableTextNumbers"/>
            </w:pPr>
            <w:r>
              <w:t xml:space="preserve">Select </w:t>
            </w:r>
            <w:r>
              <w:rPr>
                <w:b/>
              </w:rPr>
              <w:t>View/Print Inventory</w:t>
            </w:r>
            <w:r>
              <w:t>.</w:t>
            </w:r>
          </w:p>
        </w:tc>
        <w:tc>
          <w:tcPr>
            <w:tcW w:w="6120" w:type="dxa"/>
          </w:tcPr>
          <w:p w14:paraId="59149C16" w14:textId="77777777" w:rsidR="00FE6B9A" w:rsidRDefault="00FE6B9A" w:rsidP="00A65805">
            <w:pPr>
              <w:pStyle w:val="TableTextBullet"/>
            </w:pPr>
            <w:r>
              <w:t xml:space="preserve">Lists </w:t>
            </w:r>
            <w:r w:rsidR="006B2239">
              <w:t>r</w:t>
            </w:r>
            <w:r>
              <w:t xml:space="preserve">eagent </w:t>
            </w:r>
            <w:r w:rsidR="006B2239">
              <w:t>t</w:t>
            </w:r>
            <w:r>
              <w:t>ypes.</w:t>
            </w:r>
          </w:p>
        </w:tc>
      </w:tr>
      <w:tr w:rsidR="00FE6B9A" w14:paraId="3FEFAD77" w14:textId="77777777">
        <w:tc>
          <w:tcPr>
            <w:tcW w:w="3240" w:type="dxa"/>
            <w:tcBorders>
              <w:top w:val="single" w:sz="4" w:space="0" w:color="auto"/>
              <w:left w:val="single" w:sz="4" w:space="0" w:color="auto"/>
              <w:bottom w:val="single" w:sz="4" w:space="0" w:color="auto"/>
              <w:right w:val="single" w:sz="4" w:space="0" w:color="auto"/>
            </w:tcBorders>
          </w:tcPr>
          <w:p w14:paraId="6119731A" w14:textId="77777777" w:rsidR="00FE6B9A" w:rsidRDefault="00FE6B9A" w:rsidP="00A65805">
            <w:pPr>
              <w:pStyle w:val="TableTextNumbers"/>
            </w:pPr>
            <w:r>
              <w:t>Click one or more check boxes in the Reagent Type list to select reagent types.</w:t>
            </w:r>
          </w:p>
        </w:tc>
        <w:tc>
          <w:tcPr>
            <w:tcW w:w="6120" w:type="dxa"/>
            <w:tcBorders>
              <w:top w:val="single" w:sz="4" w:space="0" w:color="auto"/>
              <w:left w:val="single" w:sz="4" w:space="0" w:color="auto"/>
              <w:bottom w:val="single" w:sz="4" w:space="0" w:color="auto"/>
              <w:right w:val="single" w:sz="4" w:space="0" w:color="auto"/>
            </w:tcBorders>
          </w:tcPr>
          <w:p w14:paraId="286199C4" w14:textId="77777777" w:rsidR="00FE6B9A" w:rsidRDefault="00FE6B9A" w:rsidP="00A65805">
            <w:pPr>
              <w:pStyle w:val="TableTextBullet"/>
            </w:pPr>
            <w:r>
              <w:t xml:space="preserve">Displays or allows </w:t>
            </w:r>
            <w:r w:rsidR="006B2239">
              <w:t xml:space="preserve">the </w:t>
            </w:r>
            <w:r>
              <w:t>user to print a report of all current in-date, unsatisfactory, expired reagent inventory and minimum stock levels as a read-only display based on the selection criteria entered:</w:t>
            </w:r>
          </w:p>
          <w:p w14:paraId="4354CE91" w14:textId="77777777" w:rsidR="00FE6B9A" w:rsidRDefault="00FE6B9A" w:rsidP="00A65805">
            <w:pPr>
              <w:pStyle w:val="TableTextBullet1"/>
            </w:pPr>
            <w:r>
              <w:t xml:space="preserve">Reagent </w:t>
            </w:r>
            <w:r w:rsidR="006B2239">
              <w:t>t</w:t>
            </w:r>
            <w:r>
              <w:t>ype</w:t>
            </w:r>
          </w:p>
          <w:p w14:paraId="27856CC4" w14:textId="77777777" w:rsidR="00FE6B9A" w:rsidRDefault="00FE6B9A" w:rsidP="00A65805">
            <w:pPr>
              <w:pStyle w:val="TableTextBullet1"/>
            </w:pPr>
            <w:r>
              <w:t xml:space="preserve">In-date (active) </w:t>
            </w:r>
            <w:r w:rsidR="006B2239">
              <w:t>r</w:t>
            </w:r>
            <w:r>
              <w:t>eagents</w:t>
            </w:r>
          </w:p>
          <w:p w14:paraId="44AA57BF" w14:textId="77777777" w:rsidR="00FE6B9A" w:rsidRDefault="00FE6B9A" w:rsidP="00A65805">
            <w:pPr>
              <w:pStyle w:val="TableTextBullet1"/>
            </w:pPr>
            <w:r>
              <w:t xml:space="preserve">Unsatisfactory </w:t>
            </w:r>
            <w:r w:rsidR="006B2239">
              <w:t>r</w:t>
            </w:r>
            <w:r>
              <w:t>eagents</w:t>
            </w:r>
          </w:p>
          <w:p w14:paraId="55F50B3C" w14:textId="77777777" w:rsidR="00FE6B9A" w:rsidRDefault="00FE6B9A" w:rsidP="00A65805">
            <w:pPr>
              <w:pStyle w:val="TableTextBullet1"/>
            </w:pPr>
            <w:r>
              <w:t xml:space="preserve">Expired (inactive) </w:t>
            </w:r>
            <w:r w:rsidR="006B2239">
              <w:t>r</w:t>
            </w:r>
            <w:r>
              <w:t>eagents</w:t>
            </w:r>
          </w:p>
          <w:p w14:paraId="34BCD643" w14:textId="77777777" w:rsidR="00FE6B9A" w:rsidRDefault="00FE6B9A" w:rsidP="00A65805">
            <w:pPr>
              <w:pStyle w:val="TableTextBullet1"/>
            </w:pPr>
            <w:r>
              <w:t xml:space="preserve">Expiration </w:t>
            </w:r>
            <w:r w:rsidR="006B2239">
              <w:t>d</w:t>
            </w:r>
            <w:r>
              <w:t xml:space="preserve">ate </w:t>
            </w:r>
            <w:r w:rsidR="006B2239">
              <w:t>r</w:t>
            </w:r>
            <w:r>
              <w:t>ange (</w:t>
            </w:r>
            <w:r w:rsidR="006B2239">
              <w:t xml:space="preserve">the </w:t>
            </w:r>
            <w:r>
              <w:t>user enters a date to begin and end the search)</w:t>
            </w:r>
          </w:p>
          <w:p w14:paraId="4B749D88" w14:textId="77777777" w:rsidR="00FE6B9A" w:rsidRDefault="00A517D3" w:rsidP="00A65805">
            <w:pPr>
              <w:pStyle w:val="TableTextBullet1"/>
            </w:pPr>
            <w:r>
              <w:t>Date received</w:t>
            </w:r>
            <w:r w:rsidR="00FE6B9A">
              <w:t xml:space="preserve"> (</w:t>
            </w:r>
            <w:r w:rsidR="006B2239">
              <w:t xml:space="preserve">the </w:t>
            </w:r>
            <w:r w:rsidR="00FE6B9A">
              <w:t>user enters a date to begin and end the search)</w:t>
            </w:r>
          </w:p>
          <w:p w14:paraId="53CC5866" w14:textId="77777777" w:rsidR="00FE6B9A" w:rsidRDefault="00FE6B9A" w:rsidP="00A65805">
            <w:pPr>
              <w:pStyle w:val="TableText"/>
            </w:pPr>
          </w:p>
          <w:p w14:paraId="616833C5" w14:textId="471ED6E9" w:rsidR="00FE6B9A" w:rsidRDefault="00FE6B9A" w:rsidP="00A65805">
            <w:pPr>
              <w:pStyle w:val="TableText"/>
              <w:rPr>
                <w:b/>
                <w:bCs/>
                <w:szCs w:val="18"/>
              </w:rPr>
            </w:pPr>
            <w:r>
              <w:rPr>
                <w:b/>
                <w:bCs/>
                <w:szCs w:val="18"/>
              </w:rPr>
              <w:t>NOTES</w:t>
            </w:r>
          </w:p>
          <w:p w14:paraId="7596E9ED" w14:textId="77777777" w:rsidR="00FE6B9A" w:rsidRDefault="00FE6B9A" w:rsidP="00A65805">
            <w:pPr>
              <w:pStyle w:val="NotesText"/>
            </w:pPr>
          </w:p>
          <w:p w14:paraId="6944DAF5" w14:textId="31970020" w:rsidR="00FE6B9A" w:rsidRDefault="00FE6B9A" w:rsidP="00165119">
            <w:pPr>
              <w:pStyle w:val="NotesText"/>
            </w:pPr>
            <w:r>
              <w:rPr>
                <w:rFonts w:cs="Arial"/>
                <w:vanish/>
              </w:rPr>
              <w:t>BR_</w:t>
            </w:r>
            <w:r w:rsidR="00C8315E">
              <w:rPr>
                <w:rFonts w:cs="Arial"/>
                <w:vanish/>
              </w:rPr>
              <w:t>20.16</w:t>
            </w:r>
            <w:r>
              <w:rPr>
                <w:rFonts w:cs="Arial"/>
                <w:vanish/>
              </w:rPr>
              <w:t xml:space="preserve"> </w:t>
            </w:r>
            <w:bookmarkStart w:id="219" w:name="OLE_LINK11"/>
            <w:bookmarkStart w:id="220" w:name="OLE_LINK12"/>
            <w:r w:rsidR="00C8315E">
              <w:t>VBECS display</w:t>
            </w:r>
            <w:r w:rsidR="005E01BC">
              <w:t>s</w:t>
            </w:r>
            <w:r w:rsidR="00C8315E">
              <w:t xml:space="preserve"> only reagents selected based on search criteria.</w:t>
            </w:r>
            <w:bookmarkEnd w:id="219"/>
            <w:bookmarkEnd w:id="220"/>
          </w:p>
          <w:p w14:paraId="6A6822B8" w14:textId="77777777" w:rsidR="005E01BC" w:rsidRDefault="005E01BC" w:rsidP="00165119">
            <w:pPr>
              <w:pStyle w:val="NotesText"/>
            </w:pPr>
          </w:p>
          <w:p w14:paraId="1AFABB26" w14:textId="0C0BFCC5" w:rsidR="005E01BC" w:rsidRDefault="0055690F" w:rsidP="00165119">
            <w:pPr>
              <w:pStyle w:val="NotesText"/>
              <w:rPr>
                <w:szCs w:val="18"/>
              </w:rPr>
            </w:pPr>
            <w:r w:rsidRPr="0055690F">
              <w:rPr>
                <w:szCs w:val="18"/>
              </w:rPr>
              <w:t>In a multidivi</w:t>
            </w:r>
            <w:r>
              <w:rPr>
                <w:szCs w:val="18"/>
              </w:rPr>
              <w:t xml:space="preserve">sional environment, the </w:t>
            </w:r>
            <w:r w:rsidRPr="0055690F">
              <w:rPr>
                <w:szCs w:val="18"/>
              </w:rPr>
              <w:t>repor</w:t>
            </w:r>
            <w:r w:rsidR="002C71AF">
              <w:rPr>
                <w:szCs w:val="18"/>
              </w:rPr>
              <w:t xml:space="preserve">t for a division will print one </w:t>
            </w:r>
            <w:r w:rsidR="00AE3748">
              <w:rPr>
                <w:szCs w:val="18"/>
              </w:rPr>
              <w:t>line-</w:t>
            </w:r>
            <w:r w:rsidRPr="0055690F">
              <w:rPr>
                <w:szCs w:val="18"/>
              </w:rPr>
              <w:t>item for each division that has set minimum levels for that reagent type.</w:t>
            </w:r>
            <w:r w:rsidR="0002020B">
              <w:rPr>
                <w:szCs w:val="18"/>
              </w:rPr>
              <w:t xml:space="preserve"> </w:t>
            </w:r>
            <w:r w:rsidR="0002020B" w:rsidRPr="0002020B">
              <w:rPr>
                <w:vanish/>
                <w:szCs w:val="18"/>
              </w:rPr>
              <w:t>Defect 209165</w:t>
            </w:r>
          </w:p>
          <w:p w14:paraId="69396FBC" w14:textId="77777777" w:rsidR="00817083" w:rsidRDefault="00817083" w:rsidP="00165119">
            <w:pPr>
              <w:pStyle w:val="NotesText"/>
              <w:rPr>
                <w:szCs w:val="18"/>
              </w:rPr>
            </w:pPr>
          </w:p>
          <w:p w14:paraId="39990F60" w14:textId="16B11285" w:rsidR="00817083" w:rsidRPr="00165119" w:rsidRDefault="00817083" w:rsidP="00165119">
            <w:pPr>
              <w:pStyle w:val="NotesText"/>
              <w:rPr>
                <w:vanish/>
                <w:szCs w:val="18"/>
              </w:rPr>
            </w:pPr>
            <w:r w:rsidRPr="00817083">
              <w:rPr>
                <w:szCs w:val="18"/>
              </w:rPr>
              <w:t>Multiple shipments of the same lot number of a reagent type can cause a discrepancy in the total number available displayed on the</w:t>
            </w:r>
            <w:r w:rsidR="00D14259">
              <w:rPr>
                <w:szCs w:val="18"/>
              </w:rPr>
              <w:t xml:space="preserve"> report. Always r</w:t>
            </w:r>
            <w:r w:rsidR="00D14259" w:rsidRPr="00D14259">
              <w:rPr>
                <w:szCs w:val="18"/>
              </w:rPr>
              <w:t>efer to the most recent entry of a reagent for the number of vials available when the shipment was received.</w:t>
            </w:r>
            <w:r w:rsidR="0002020B">
              <w:rPr>
                <w:szCs w:val="18"/>
              </w:rPr>
              <w:t xml:space="preserve"> </w:t>
            </w:r>
            <w:r w:rsidR="0002020B" w:rsidRPr="0002020B">
              <w:rPr>
                <w:vanish/>
                <w:szCs w:val="18"/>
              </w:rPr>
              <w:t>Defect 209</w:t>
            </w:r>
            <w:r w:rsidR="00963554">
              <w:rPr>
                <w:vanish/>
                <w:szCs w:val="18"/>
              </w:rPr>
              <w:t>531</w:t>
            </w:r>
          </w:p>
        </w:tc>
      </w:tr>
      <w:tr w:rsidR="00FE6B9A" w14:paraId="763C2707" w14:textId="77777777">
        <w:tc>
          <w:tcPr>
            <w:tcW w:w="3240" w:type="dxa"/>
            <w:tcBorders>
              <w:top w:val="single" w:sz="4" w:space="0" w:color="auto"/>
              <w:left w:val="single" w:sz="4" w:space="0" w:color="auto"/>
              <w:bottom w:val="single" w:sz="4" w:space="0" w:color="auto"/>
              <w:right w:val="single" w:sz="4" w:space="0" w:color="auto"/>
            </w:tcBorders>
          </w:tcPr>
          <w:p w14:paraId="68DE9508" w14:textId="3479845B" w:rsidR="00FE6B9A" w:rsidRDefault="000D70D6" w:rsidP="00A65805">
            <w:pPr>
              <w:pStyle w:val="TableTextNumbers"/>
            </w:pPr>
            <w:r>
              <w:t xml:space="preserve">Click </w:t>
            </w:r>
            <w:r w:rsidRPr="000D70D6">
              <w:rPr>
                <w:b/>
              </w:rPr>
              <w:t>OK</w:t>
            </w:r>
            <w:r>
              <w:t xml:space="preserve"> to a</w:t>
            </w:r>
            <w:r w:rsidR="00FE6B9A">
              <w:t>ccept the displayed selection criteria</w:t>
            </w:r>
            <w:r w:rsidR="00686D38">
              <w:t xml:space="preserve"> (</w:t>
            </w:r>
            <w:r w:rsidR="00EE455E">
              <w:t xml:space="preserve">Figure </w:t>
            </w:r>
            <w:r w:rsidR="00EE455E">
              <w:rPr>
                <w:noProof/>
              </w:rPr>
              <w:t>41</w:t>
            </w:r>
            <w:r w:rsidR="00686D38">
              <w:t>)</w:t>
            </w:r>
            <w:r w:rsidR="00FE6B9A">
              <w:t>.</w:t>
            </w:r>
          </w:p>
          <w:p w14:paraId="3E0835D7" w14:textId="77777777" w:rsidR="00FE6B9A" w:rsidRDefault="00FE6B9A" w:rsidP="00A65805">
            <w:pPr>
              <w:pStyle w:val="TableTextNumbers"/>
              <w:numPr>
                <w:ilvl w:val="0"/>
                <w:numId w:val="0"/>
              </w:numPr>
            </w:pPr>
          </w:p>
        </w:tc>
        <w:tc>
          <w:tcPr>
            <w:tcW w:w="6120" w:type="dxa"/>
            <w:tcBorders>
              <w:top w:val="single" w:sz="4" w:space="0" w:color="auto"/>
              <w:left w:val="single" w:sz="4" w:space="0" w:color="auto"/>
              <w:bottom w:val="single" w:sz="4" w:space="0" w:color="auto"/>
              <w:right w:val="single" w:sz="4" w:space="0" w:color="auto"/>
            </w:tcBorders>
          </w:tcPr>
          <w:p w14:paraId="5C063C17" w14:textId="77777777" w:rsidR="00FE6B9A" w:rsidRDefault="00FE6B9A" w:rsidP="00A65805">
            <w:pPr>
              <w:pStyle w:val="TableTextBullet"/>
            </w:pPr>
            <w:r>
              <w:t>Compiles the report and displays an option to print or exit the report.</w:t>
            </w:r>
          </w:p>
        </w:tc>
      </w:tr>
      <w:tr w:rsidR="00FE6B9A" w14:paraId="6E7CCCCC" w14:textId="77777777">
        <w:tc>
          <w:tcPr>
            <w:tcW w:w="3240" w:type="dxa"/>
            <w:tcBorders>
              <w:top w:val="single" w:sz="4" w:space="0" w:color="auto"/>
              <w:left w:val="single" w:sz="4" w:space="0" w:color="auto"/>
              <w:bottom w:val="single" w:sz="4" w:space="0" w:color="auto"/>
              <w:right w:val="single" w:sz="4" w:space="0" w:color="auto"/>
            </w:tcBorders>
          </w:tcPr>
          <w:p w14:paraId="7CB22E3A" w14:textId="77777777" w:rsidR="00FE6B9A" w:rsidRDefault="00FE6B9A" w:rsidP="00A65805">
            <w:pPr>
              <w:pStyle w:val="TableTextNumbers"/>
            </w:pPr>
            <w:r>
              <w:t xml:space="preserve">Click </w:t>
            </w:r>
            <w:r>
              <w:rPr>
                <w:b/>
              </w:rPr>
              <w:t xml:space="preserve">Print </w:t>
            </w:r>
            <w:r>
              <w:t>to print the list of reagents.</w:t>
            </w:r>
          </w:p>
        </w:tc>
        <w:tc>
          <w:tcPr>
            <w:tcW w:w="6120" w:type="dxa"/>
            <w:tcBorders>
              <w:top w:val="single" w:sz="4" w:space="0" w:color="auto"/>
              <w:left w:val="single" w:sz="4" w:space="0" w:color="auto"/>
              <w:bottom w:val="single" w:sz="4" w:space="0" w:color="auto"/>
              <w:right w:val="single" w:sz="4" w:space="0" w:color="auto"/>
            </w:tcBorders>
          </w:tcPr>
          <w:p w14:paraId="5AA45C7B" w14:textId="77777777" w:rsidR="00FE6B9A" w:rsidRDefault="00FE6B9A" w:rsidP="009710F9">
            <w:pPr>
              <w:pStyle w:val="TableTextBullet"/>
            </w:pPr>
            <w:r>
              <w:t>Sends the report to print on the printer selected by the user.</w:t>
            </w:r>
          </w:p>
        </w:tc>
      </w:tr>
      <w:tr w:rsidR="00FE6B9A" w14:paraId="2AB2B3A8" w14:textId="77777777">
        <w:tc>
          <w:tcPr>
            <w:tcW w:w="3240" w:type="dxa"/>
            <w:tcBorders>
              <w:top w:val="single" w:sz="4" w:space="0" w:color="auto"/>
              <w:left w:val="single" w:sz="4" w:space="0" w:color="auto"/>
              <w:bottom w:val="single" w:sz="4" w:space="0" w:color="auto"/>
              <w:right w:val="single" w:sz="4" w:space="0" w:color="auto"/>
            </w:tcBorders>
          </w:tcPr>
          <w:p w14:paraId="44C9A073" w14:textId="77777777" w:rsidR="00FE6B9A" w:rsidRDefault="00FE6B9A" w:rsidP="00A65805">
            <w:pPr>
              <w:pStyle w:val="TableTextNumbers"/>
            </w:pPr>
            <w:r>
              <w:t xml:space="preserve">Print another report or </w:t>
            </w:r>
            <w:r w:rsidR="000D70D6">
              <w:t xml:space="preserve">click </w:t>
            </w:r>
            <w:r w:rsidR="000D70D6" w:rsidRPr="000D70D6">
              <w:rPr>
                <w:b/>
              </w:rPr>
              <w:t>Close</w:t>
            </w:r>
            <w:r w:rsidR="000D70D6">
              <w:t xml:space="preserve"> </w:t>
            </w:r>
            <w:r w:rsidR="005D7E72">
              <w:t xml:space="preserve">to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61D3CD0" w14:textId="77777777" w:rsidR="00FE6B9A" w:rsidRDefault="00FE6B9A" w:rsidP="00A65805">
            <w:pPr>
              <w:pStyle w:val="TableText"/>
            </w:pPr>
          </w:p>
        </w:tc>
      </w:tr>
    </w:tbl>
    <w:p w14:paraId="24A3016F" w14:textId="65BE5C0F" w:rsidR="00686D38" w:rsidRDefault="00686D38" w:rsidP="00686D38">
      <w:pPr>
        <w:pStyle w:val="Caption"/>
      </w:pPr>
      <w:bookmarkStart w:id="221" w:name="_Ref12655001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42</w:t>
      </w:r>
      <w:r w:rsidR="004E20BD">
        <w:rPr>
          <w:noProof/>
        </w:rPr>
        <w:fldChar w:fldCharType="end"/>
      </w:r>
      <w:bookmarkEnd w:id="221"/>
      <w:r>
        <w:t xml:space="preserve">: Reagent </w:t>
      </w:r>
      <w:r w:rsidR="006406D8">
        <w:t>Search</w:t>
      </w:r>
    </w:p>
    <w:p w14:paraId="1C7ACB27" w14:textId="77777777" w:rsidR="00307D76" w:rsidRDefault="00057948" w:rsidP="00307D76">
      <w:pPr>
        <w:pStyle w:val="BodyText"/>
      </w:pPr>
      <w:r>
        <w:rPr>
          <w:noProof/>
        </w:rPr>
        <w:drawing>
          <wp:inline distT="0" distB="0" distL="0" distR="0" wp14:anchorId="18FA9AC9" wp14:editId="0AA49529">
            <wp:extent cx="4017645" cy="2872740"/>
            <wp:effectExtent l="0" t="0" r="1905" b="3810"/>
            <wp:docPr id="144" name="Picture 144" descr="Example of Reagent Search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Example of Reagent Search screen capt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17645" cy="2872740"/>
                    </a:xfrm>
                    <a:prstGeom prst="rect">
                      <a:avLst/>
                    </a:prstGeom>
                    <a:noFill/>
                    <a:ln>
                      <a:noFill/>
                    </a:ln>
                  </pic:spPr>
                </pic:pic>
              </a:graphicData>
            </a:graphic>
          </wp:inline>
        </w:drawing>
      </w:r>
    </w:p>
    <w:p w14:paraId="2DD06A1D" w14:textId="77777777" w:rsidR="00771C65" w:rsidRDefault="00B06E01" w:rsidP="00FD24BA">
      <w:pPr>
        <w:pStyle w:val="Heading4"/>
      </w:pPr>
      <w:r>
        <w:br w:type="page"/>
      </w:r>
      <w:r w:rsidR="005F6016">
        <w:lastRenderedPageBreak/>
        <w:t xml:space="preserve">Maintain Minimum Levels </w:t>
      </w:r>
      <w:r w:rsidR="00771C65">
        <w:fldChar w:fldCharType="begin"/>
      </w:r>
      <w:r w:rsidR="00771C65">
        <w:instrText xml:space="preserve"> XE </w:instrText>
      </w:r>
      <w:r w:rsidR="00FA7E65">
        <w:instrText>“</w:instrText>
      </w:r>
      <w:r w:rsidR="005F6016">
        <w:instrText xml:space="preserve">Maintain Minimum Levels </w:instrText>
      </w:r>
      <w:r w:rsidR="00FA7E65">
        <w:instrText>”</w:instrText>
      </w:r>
      <w:r w:rsidR="00771C65">
        <w:instrText xml:space="preserve"> </w:instrText>
      </w:r>
      <w:r w:rsidR="00771C65">
        <w:fldChar w:fldCharType="end"/>
      </w:r>
      <w:r w:rsidR="00771C65">
        <w:t xml:space="preserve"> </w:t>
      </w:r>
    </w:p>
    <w:p w14:paraId="2F83B74C" w14:textId="77777777" w:rsidR="002A21AE" w:rsidRPr="00CF3293" w:rsidRDefault="00CF3293" w:rsidP="00CF3293">
      <w:pPr>
        <w:pStyle w:val="BodyText"/>
        <w:rPr>
          <w:rFonts w:cs="Arial"/>
          <w:snapToGrid w:val="0"/>
          <w:color w:val="000000"/>
          <w:szCs w:val="18"/>
        </w:rPr>
      </w:pPr>
      <w:r>
        <w:t>The user sets minimum stock levels for reagent types used in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1B61D3" w14:paraId="546AF962" w14:textId="77777777">
        <w:trPr>
          <w:cantSplit/>
          <w:tblHeader/>
        </w:trPr>
        <w:tc>
          <w:tcPr>
            <w:tcW w:w="3240" w:type="dxa"/>
            <w:shd w:val="pct30" w:color="auto" w:fill="FFFFFF"/>
            <w:vAlign w:val="bottom"/>
          </w:tcPr>
          <w:p w14:paraId="6B1BB380" w14:textId="77777777" w:rsidR="001B61D3" w:rsidRDefault="001B61D3" w:rsidP="00A65805">
            <w:pPr>
              <w:pStyle w:val="TableText"/>
              <w:rPr>
                <w:b/>
              </w:rPr>
            </w:pPr>
            <w:r>
              <w:rPr>
                <w:b/>
              </w:rPr>
              <w:t>User Action</w:t>
            </w:r>
          </w:p>
        </w:tc>
        <w:tc>
          <w:tcPr>
            <w:tcW w:w="6120" w:type="dxa"/>
            <w:shd w:val="pct30" w:color="auto" w:fill="FFFFFF"/>
            <w:vAlign w:val="bottom"/>
          </w:tcPr>
          <w:p w14:paraId="20C22DFD" w14:textId="77777777" w:rsidR="001B61D3" w:rsidRDefault="001B61D3" w:rsidP="00A65805">
            <w:pPr>
              <w:pStyle w:val="TableText"/>
              <w:rPr>
                <w:b/>
              </w:rPr>
            </w:pPr>
            <w:r>
              <w:rPr>
                <w:b/>
              </w:rPr>
              <w:t>VBECS</w:t>
            </w:r>
          </w:p>
        </w:tc>
      </w:tr>
      <w:tr w:rsidR="001B61D3" w14:paraId="63CAF148" w14:textId="77777777">
        <w:tc>
          <w:tcPr>
            <w:tcW w:w="3240" w:type="dxa"/>
          </w:tcPr>
          <w:p w14:paraId="26EE0077" w14:textId="77777777" w:rsidR="001B61D3" w:rsidRDefault="001B61D3" w:rsidP="006D628A">
            <w:pPr>
              <w:pStyle w:val="TableTextNumbers"/>
            </w:pPr>
            <w:r>
              <w:t xml:space="preserve">Select </w:t>
            </w:r>
            <w:r>
              <w:rPr>
                <w:b/>
              </w:rPr>
              <w:t>Reagents</w:t>
            </w:r>
            <w:r w:rsidR="006D628A">
              <w:t xml:space="preserve"> from the main menu.</w:t>
            </w:r>
          </w:p>
        </w:tc>
        <w:tc>
          <w:tcPr>
            <w:tcW w:w="6120" w:type="dxa"/>
          </w:tcPr>
          <w:p w14:paraId="1394A33C" w14:textId="77777777" w:rsidR="001B61D3" w:rsidRDefault="001B61D3" w:rsidP="006D628A">
            <w:pPr>
              <w:pStyle w:val="TableTextBullet"/>
            </w:pPr>
            <w:r>
              <w:t>Displays o</w:t>
            </w:r>
            <w:r w:rsidR="006D628A">
              <w:t>ptions for processing reagents.</w:t>
            </w:r>
          </w:p>
          <w:p w14:paraId="4846EBA5" w14:textId="77777777" w:rsidR="001B61D3" w:rsidRDefault="001B61D3" w:rsidP="00A65805">
            <w:pPr>
              <w:pStyle w:val="NotesText"/>
            </w:pPr>
          </w:p>
        </w:tc>
      </w:tr>
      <w:tr w:rsidR="001B61D3" w14:paraId="0FB1F587" w14:textId="77777777">
        <w:tc>
          <w:tcPr>
            <w:tcW w:w="3240" w:type="dxa"/>
            <w:tcBorders>
              <w:top w:val="single" w:sz="4" w:space="0" w:color="auto"/>
              <w:left w:val="single" w:sz="4" w:space="0" w:color="auto"/>
              <w:bottom w:val="single" w:sz="4" w:space="0" w:color="auto"/>
              <w:right w:val="single" w:sz="4" w:space="0" w:color="auto"/>
            </w:tcBorders>
          </w:tcPr>
          <w:p w14:paraId="7B9736E9" w14:textId="77777777" w:rsidR="001B61D3" w:rsidRDefault="001B61D3" w:rsidP="00A65805">
            <w:pPr>
              <w:pStyle w:val="TableTextNumbers"/>
            </w:pPr>
            <w:r>
              <w:t xml:space="preserve">Select </w:t>
            </w:r>
            <w:r>
              <w:rPr>
                <w:b/>
              </w:rPr>
              <w:t>Maintain Minimum Levels</w:t>
            </w:r>
            <w:r>
              <w:rPr>
                <w:rStyle w:val="TableTextNumbersContinuedChar"/>
              </w:rPr>
              <w:t>.</w:t>
            </w:r>
          </w:p>
        </w:tc>
        <w:tc>
          <w:tcPr>
            <w:tcW w:w="6120" w:type="dxa"/>
            <w:tcBorders>
              <w:top w:val="single" w:sz="4" w:space="0" w:color="auto"/>
              <w:left w:val="single" w:sz="4" w:space="0" w:color="auto"/>
              <w:bottom w:val="single" w:sz="4" w:space="0" w:color="auto"/>
              <w:right w:val="single" w:sz="4" w:space="0" w:color="auto"/>
            </w:tcBorders>
          </w:tcPr>
          <w:p w14:paraId="73228E17" w14:textId="77777777" w:rsidR="001B61D3" w:rsidRDefault="001B61D3" w:rsidP="00A65805">
            <w:pPr>
              <w:pStyle w:val="TableTextBullet"/>
            </w:pPr>
            <w:r>
              <w:t>Lists available reagent types and their associated minimum stock levels.</w:t>
            </w:r>
          </w:p>
        </w:tc>
      </w:tr>
      <w:tr w:rsidR="001B61D3" w14:paraId="44362FD3" w14:textId="77777777">
        <w:tc>
          <w:tcPr>
            <w:tcW w:w="3240" w:type="dxa"/>
            <w:tcBorders>
              <w:top w:val="single" w:sz="4" w:space="0" w:color="auto"/>
              <w:left w:val="single" w:sz="4" w:space="0" w:color="auto"/>
              <w:bottom w:val="single" w:sz="4" w:space="0" w:color="auto"/>
              <w:right w:val="single" w:sz="4" w:space="0" w:color="auto"/>
            </w:tcBorders>
          </w:tcPr>
          <w:p w14:paraId="3925088C" w14:textId="77777777" w:rsidR="001B61D3" w:rsidRDefault="001B61D3" w:rsidP="00A65805">
            <w:pPr>
              <w:pStyle w:val="TableTextNumbers"/>
            </w:pPr>
            <w:r>
              <w:t xml:space="preserve">Select a </w:t>
            </w:r>
            <w:r w:rsidRPr="00A96756">
              <w:rPr>
                <w:b/>
              </w:rPr>
              <w:t>Reagent Type</w:t>
            </w:r>
            <w:r>
              <w:t xml:space="preserve"> to edit the minimum level threshold. </w:t>
            </w:r>
          </w:p>
        </w:tc>
        <w:tc>
          <w:tcPr>
            <w:tcW w:w="6120" w:type="dxa"/>
            <w:tcBorders>
              <w:top w:val="single" w:sz="4" w:space="0" w:color="auto"/>
              <w:left w:val="single" w:sz="4" w:space="0" w:color="auto"/>
              <w:bottom w:val="single" w:sz="4" w:space="0" w:color="auto"/>
              <w:right w:val="single" w:sz="4" w:space="0" w:color="auto"/>
            </w:tcBorders>
          </w:tcPr>
          <w:p w14:paraId="5CC5A7CB" w14:textId="77777777" w:rsidR="001B61D3" w:rsidRDefault="006D628A" w:rsidP="00A65805">
            <w:pPr>
              <w:pStyle w:val="TableTextBullet"/>
            </w:pPr>
            <w:r>
              <w:t>Displays the r</w:t>
            </w:r>
            <w:r w:rsidR="001B61D3">
              <w:t xml:space="preserve">eagent </w:t>
            </w:r>
            <w:r>
              <w:t>t</w:t>
            </w:r>
            <w:r w:rsidR="001B61D3">
              <w:t xml:space="preserve">ype selected and allows the user to edit the Minimum Stock Level field or select </w:t>
            </w:r>
            <w:r>
              <w:t>another</w:t>
            </w:r>
            <w:r w:rsidR="001B61D3">
              <w:t xml:space="preserve"> reagent.</w:t>
            </w:r>
          </w:p>
          <w:p w14:paraId="25C2F4C8" w14:textId="77777777" w:rsidR="001B61D3" w:rsidRDefault="001B61D3" w:rsidP="006D628A">
            <w:pPr>
              <w:pStyle w:val="TableText"/>
            </w:pPr>
          </w:p>
          <w:p w14:paraId="433574EC" w14:textId="05278B67" w:rsidR="001B61D3" w:rsidRDefault="001B61D3" w:rsidP="00A65805">
            <w:pPr>
              <w:pStyle w:val="TableText"/>
              <w:rPr>
                <w:b/>
                <w:bCs/>
                <w:szCs w:val="18"/>
              </w:rPr>
            </w:pPr>
            <w:r>
              <w:rPr>
                <w:b/>
                <w:bCs/>
                <w:szCs w:val="18"/>
              </w:rPr>
              <w:t>NOTES</w:t>
            </w:r>
          </w:p>
          <w:p w14:paraId="74D35A86" w14:textId="77777777" w:rsidR="001B61D3" w:rsidRDefault="001B61D3" w:rsidP="00A65805">
            <w:pPr>
              <w:pStyle w:val="NotesText"/>
            </w:pPr>
          </w:p>
          <w:p w14:paraId="6B44A9E2" w14:textId="77777777" w:rsidR="001B61D3" w:rsidRDefault="001B61D3" w:rsidP="006D628A">
            <w:pPr>
              <w:pStyle w:val="NotesText"/>
            </w:pPr>
            <w:r w:rsidRPr="00A96756">
              <w:rPr>
                <w:rFonts w:cs="Arial"/>
              </w:rPr>
              <w:t xml:space="preserve">A minimum inventory level (a whole number from 0 to 999) is set for each reagent type. This is related to the reagent type, independent of manufacturer name and lot numbers. </w:t>
            </w:r>
          </w:p>
        </w:tc>
      </w:tr>
      <w:tr w:rsidR="001B61D3" w14:paraId="653E05BC" w14:textId="77777777">
        <w:tc>
          <w:tcPr>
            <w:tcW w:w="3240" w:type="dxa"/>
            <w:tcBorders>
              <w:top w:val="single" w:sz="4" w:space="0" w:color="auto"/>
              <w:left w:val="single" w:sz="4" w:space="0" w:color="auto"/>
              <w:bottom w:val="single" w:sz="4" w:space="0" w:color="auto"/>
              <w:right w:val="single" w:sz="4" w:space="0" w:color="auto"/>
            </w:tcBorders>
          </w:tcPr>
          <w:p w14:paraId="6DD57AB4" w14:textId="77777777" w:rsidR="001B61D3" w:rsidRDefault="001B61D3" w:rsidP="00A65805">
            <w:pPr>
              <w:pStyle w:val="TableTextNumbers"/>
            </w:pPr>
            <w:r>
              <w:t xml:space="preserve">Enter (or select) a minimum number of vials in the </w:t>
            </w:r>
            <w:r w:rsidRPr="00A96756">
              <w:rPr>
                <w:b/>
              </w:rPr>
              <w:t xml:space="preserve">Minimum Stock </w:t>
            </w:r>
            <w:r>
              <w:rPr>
                <w:b/>
              </w:rPr>
              <w:t>L</w:t>
            </w:r>
            <w:r w:rsidRPr="00A96756">
              <w:rPr>
                <w:b/>
              </w:rPr>
              <w:t>evel</w:t>
            </w:r>
            <w:r>
              <w:t xml:space="preserve"> field.</w:t>
            </w:r>
          </w:p>
        </w:tc>
        <w:tc>
          <w:tcPr>
            <w:tcW w:w="6120" w:type="dxa"/>
            <w:tcBorders>
              <w:top w:val="single" w:sz="4" w:space="0" w:color="auto"/>
              <w:left w:val="single" w:sz="4" w:space="0" w:color="auto"/>
              <w:bottom w:val="single" w:sz="4" w:space="0" w:color="auto"/>
              <w:right w:val="single" w:sz="4" w:space="0" w:color="auto"/>
            </w:tcBorders>
          </w:tcPr>
          <w:p w14:paraId="31D14F6A" w14:textId="77777777" w:rsidR="001B61D3" w:rsidRDefault="001B61D3" w:rsidP="00A65805">
            <w:pPr>
              <w:pStyle w:val="TableTextBullet"/>
            </w:pPr>
            <w:r>
              <w:t>Displays the changes and allows the user to</w:t>
            </w:r>
            <w:r w:rsidR="00BC0E81">
              <w:t xml:space="preserve"> select another reagent to edit.</w:t>
            </w:r>
          </w:p>
          <w:p w14:paraId="45E07172" w14:textId="77777777" w:rsidR="001B61D3" w:rsidRDefault="001B61D3" w:rsidP="00A65805">
            <w:pPr>
              <w:pStyle w:val="TableText"/>
            </w:pPr>
          </w:p>
          <w:p w14:paraId="4E6CF762" w14:textId="591BB154" w:rsidR="001B61D3" w:rsidRDefault="001B61D3" w:rsidP="00A65805">
            <w:pPr>
              <w:pStyle w:val="TableText"/>
              <w:rPr>
                <w:b/>
                <w:bCs/>
                <w:szCs w:val="18"/>
              </w:rPr>
            </w:pPr>
            <w:r>
              <w:rPr>
                <w:b/>
                <w:bCs/>
                <w:szCs w:val="18"/>
              </w:rPr>
              <w:t>NOTES</w:t>
            </w:r>
          </w:p>
          <w:p w14:paraId="455B43B1" w14:textId="77777777" w:rsidR="001B61D3" w:rsidRDefault="001B61D3" w:rsidP="00A65805">
            <w:pPr>
              <w:pStyle w:val="NotesText"/>
            </w:pPr>
          </w:p>
          <w:p w14:paraId="5940B604" w14:textId="77777777" w:rsidR="001B61D3" w:rsidRDefault="001B61D3" w:rsidP="00A65805">
            <w:pPr>
              <w:pStyle w:val="NotesText"/>
            </w:pPr>
            <w:r>
              <w:rPr>
                <w:rFonts w:cs="Arial"/>
                <w:vanish/>
              </w:rPr>
              <w:t xml:space="preserve">BR_20.09 </w:t>
            </w:r>
            <w:r>
              <w:t xml:space="preserve">When the number of vials in stock is at or is less than the stock minimum, VBECS notifies the user and instructs him to check the inventory. </w:t>
            </w:r>
          </w:p>
          <w:p w14:paraId="229393B1" w14:textId="77777777" w:rsidR="001B61D3" w:rsidRDefault="001B61D3" w:rsidP="00A65805">
            <w:pPr>
              <w:pStyle w:val="NotesText"/>
            </w:pPr>
          </w:p>
          <w:p w14:paraId="1295B7C8" w14:textId="77777777" w:rsidR="001B61D3" w:rsidRDefault="001B61D3" w:rsidP="00A65805">
            <w:pPr>
              <w:pStyle w:val="NotesText"/>
            </w:pPr>
            <w:r>
              <w:t>Inventory levels are tied to the reagent type, not to the manufacturer reagent name or the lot number. A particular type may have multiple manufacturer reagent names and multiple lot numbers associated with that manufacturer reagent name, all of which are summed to create the inventory of that reagent type. VBECS tracks the total number of vials in the system for a particular reagent type.</w:t>
            </w:r>
          </w:p>
          <w:p w14:paraId="14B83C44" w14:textId="77777777" w:rsidR="0079067D" w:rsidRDefault="0079067D" w:rsidP="00A65805">
            <w:pPr>
              <w:pStyle w:val="NotesText"/>
            </w:pPr>
          </w:p>
          <w:p w14:paraId="7AECB08D" w14:textId="77777777" w:rsidR="0079067D" w:rsidRDefault="0079067D" w:rsidP="00A65805">
            <w:pPr>
              <w:pStyle w:val="NotesText"/>
            </w:pPr>
            <w:r>
              <w:rPr>
                <w:rFonts w:cs="Arial"/>
                <w:vanish/>
              </w:rPr>
              <w:t xml:space="preserve">BR_58.02 </w:t>
            </w:r>
            <w:r>
              <w:t xml:space="preserve">Each reagent type has one minimum inventory level established regardless of manufacturer name and lot numbers. Valid entries are whole numbers from </w:t>
            </w:r>
            <w:r w:rsidR="00133C70">
              <w:t>0</w:t>
            </w:r>
            <w:r>
              <w:t xml:space="preserve"> to 999.</w:t>
            </w:r>
          </w:p>
        </w:tc>
      </w:tr>
      <w:tr w:rsidR="001B61D3" w14:paraId="566C7653" w14:textId="77777777">
        <w:tc>
          <w:tcPr>
            <w:tcW w:w="3240" w:type="dxa"/>
            <w:tcBorders>
              <w:top w:val="single" w:sz="4" w:space="0" w:color="auto"/>
              <w:left w:val="single" w:sz="4" w:space="0" w:color="auto"/>
              <w:bottom w:val="single" w:sz="4" w:space="0" w:color="auto"/>
              <w:right w:val="single" w:sz="4" w:space="0" w:color="auto"/>
            </w:tcBorders>
          </w:tcPr>
          <w:p w14:paraId="176EE886" w14:textId="78E41AFB" w:rsidR="001B61D3" w:rsidRDefault="001B61D3" w:rsidP="00A65805">
            <w:pPr>
              <w:pStyle w:val="TableTextNumbers"/>
            </w:pPr>
            <w:r>
              <w:t xml:space="preserve">Review the displayed information and click </w:t>
            </w:r>
            <w:r>
              <w:rPr>
                <w:b/>
              </w:rPr>
              <w:t>U</w:t>
            </w:r>
            <w:r w:rsidR="00B31DEA">
              <w:rPr>
                <w:b/>
              </w:rPr>
              <w:t>pdate</w:t>
            </w:r>
            <w:r w:rsidR="00307D76" w:rsidRPr="00307D76">
              <w:t xml:space="preserve"> (</w:t>
            </w:r>
            <w:r w:rsidR="00EE455E">
              <w:t xml:space="preserve">Figure </w:t>
            </w:r>
            <w:r w:rsidR="00EE455E">
              <w:rPr>
                <w:noProof/>
              </w:rPr>
              <w:t>42</w:t>
            </w:r>
            <w:r w:rsidR="00307D76" w:rsidRPr="00307D76">
              <w:t>)</w:t>
            </w:r>
            <w:r>
              <w:t>.</w:t>
            </w:r>
          </w:p>
        </w:tc>
        <w:tc>
          <w:tcPr>
            <w:tcW w:w="6120" w:type="dxa"/>
            <w:tcBorders>
              <w:top w:val="single" w:sz="4" w:space="0" w:color="auto"/>
              <w:left w:val="single" w:sz="4" w:space="0" w:color="auto"/>
              <w:bottom w:val="single" w:sz="4" w:space="0" w:color="auto"/>
              <w:right w:val="single" w:sz="4" w:space="0" w:color="auto"/>
            </w:tcBorders>
          </w:tcPr>
          <w:p w14:paraId="14DB0D63" w14:textId="77777777" w:rsidR="001B61D3" w:rsidRDefault="001B61D3" w:rsidP="00A65805">
            <w:pPr>
              <w:pStyle w:val="TableTextBullet"/>
            </w:pPr>
            <w:r>
              <w:t>Displays the changes and allows the user to select another reagent to edit</w:t>
            </w:r>
            <w:r w:rsidR="002F1731">
              <w:t>.</w:t>
            </w:r>
          </w:p>
          <w:p w14:paraId="329D44FD" w14:textId="77777777" w:rsidR="001B61D3" w:rsidRDefault="001B61D3" w:rsidP="00A65805">
            <w:pPr>
              <w:pStyle w:val="TableTextBullet"/>
            </w:pPr>
            <w:r>
              <w:t xml:space="preserve">Prompts </w:t>
            </w:r>
            <w:r w:rsidR="00B31DEA">
              <w:t>the user to confirm</w:t>
            </w:r>
            <w:r>
              <w:t xml:space="preserve"> the save. </w:t>
            </w:r>
          </w:p>
        </w:tc>
      </w:tr>
      <w:tr w:rsidR="00BE3C21" w14:paraId="386F9E80" w14:textId="77777777">
        <w:tc>
          <w:tcPr>
            <w:tcW w:w="3240" w:type="dxa"/>
            <w:tcBorders>
              <w:top w:val="single" w:sz="4" w:space="0" w:color="auto"/>
              <w:left w:val="single" w:sz="4" w:space="0" w:color="auto"/>
              <w:bottom w:val="single" w:sz="4" w:space="0" w:color="auto"/>
              <w:right w:val="single" w:sz="4" w:space="0" w:color="auto"/>
            </w:tcBorders>
          </w:tcPr>
          <w:p w14:paraId="1A0434E2" w14:textId="5890BA9A" w:rsidR="00BE3C21" w:rsidRDefault="00BE3C21" w:rsidP="004A7373">
            <w:pPr>
              <w:pStyle w:val="TableTextNumbers"/>
            </w:pPr>
            <w:r>
              <w:t>Repeat Steps 3</w:t>
            </w:r>
            <w:r w:rsidR="004F5589">
              <w:t xml:space="preserve"> through </w:t>
            </w:r>
            <w:r>
              <w:t>5 until all minimum reagent levels are set.</w:t>
            </w:r>
          </w:p>
        </w:tc>
        <w:tc>
          <w:tcPr>
            <w:tcW w:w="6120" w:type="dxa"/>
            <w:tcBorders>
              <w:top w:val="single" w:sz="4" w:space="0" w:color="auto"/>
              <w:left w:val="single" w:sz="4" w:space="0" w:color="auto"/>
              <w:bottom w:val="single" w:sz="4" w:space="0" w:color="auto"/>
              <w:right w:val="single" w:sz="4" w:space="0" w:color="auto"/>
            </w:tcBorders>
          </w:tcPr>
          <w:p w14:paraId="2E6D76B4" w14:textId="77777777" w:rsidR="00BE3C21" w:rsidRDefault="00BE3C21" w:rsidP="00BE3C21">
            <w:pPr>
              <w:pStyle w:val="TableText"/>
            </w:pPr>
          </w:p>
        </w:tc>
      </w:tr>
      <w:tr w:rsidR="001B61D3" w14:paraId="51EC770F" w14:textId="77777777">
        <w:tc>
          <w:tcPr>
            <w:tcW w:w="3240" w:type="dxa"/>
            <w:tcBorders>
              <w:top w:val="single" w:sz="4" w:space="0" w:color="auto"/>
              <w:left w:val="single" w:sz="4" w:space="0" w:color="auto"/>
              <w:bottom w:val="single" w:sz="4" w:space="0" w:color="auto"/>
              <w:right w:val="single" w:sz="4" w:space="0" w:color="auto"/>
            </w:tcBorders>
          </w:tcPr>
          <w:p w14:paraId="2D205670" w14:textId="77777777" w:rsidR="001B61D3" w:rsidRDefault="001B61D3" w:rsidP="004A7373">
            <w:pPr>
              <w:pStyle w:val="TableTextNumbers"/>
            </w:pPr>
            <w:r>
              <w:t xml:space="preserve">Click </w:t>
            </w:r>
            <w:r>
              <w:rPr>
                <w:b/>
              </w:rPr>
              <w:t>OK</w:t>
            </w:r>
            <w:r>
              <w:t xml:space="preserve"> to save</w:t>
            </w:r>
            <w:r w:rsidR="004A7373">
              <w:t>,</w:t>
            </w:r>
            <w:r w:rsidR="00B31DEA">
              <w:t xml:space="preserve"> and </w:t>
            </w:r>
            <w:r>
              <w:rPr>
                <w:b/>
              </w:rPr>
              <w:t>Yes</w:t>
            </w:r>
            <w:r>
              <w:t xml:space="preserve"> to confirm the save.</w:t>
            </w:r>
            <w:r w:rsidR="005D6F0D">
              <w:rPr>
                <w:vanish/>
                <w:color w:val="FFFFFF"/>
                <w:szCs w:val="18"/>
              </w:rPr>
              <w:t xml:space="preserve"> </w:t>
            </w:r>
            <w:r w:rsidR="005D6F0D">
              <w:rPr>
                <w:vanish/>
                <w:color w:val="FFFFFF"/>
                <w:szCs w:val="18"/>
              </w:rPr>
              <w:fldChar w:fldCharType="begin"/>
            </w:r>
            <w:r w:rsidR="005D6F0D">
              <w:rPr>
                <w:vanish/>
                <w:color w:val="FFFFFF"/>
                <w:szCs w:val="18"/>
              </w:rPr>
              <w:instrText xml:space="preserve"> LISTNUM \l 1 \s 0 </w:instrText>
            </w:r>
            <w:r w:rsidR="005D6F0D">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CA0DA88" w14:textId="77777777" w:rsidR="001B61D3" w:rsidRDefault="001B61D3" w:rsidP="00A65805">
            <w:pPr>
              <w:pStyle w:val="TableTextBullet"/>
            </w:pPr>
            <w:r>
              <w:t>Saves the record and exits.</w:t>
            </w:r>
          </w:p>
        </w:tc>
      </w:tr>
    </w:tbl>
    <w:p w14:paraId="77A06A9D" w14:textId="06B823AC" w:rsidR="00307D76" w:rsidRDefault="00307D76" w:rsidP="00307D76">
      <w:pPr>
        <w:pStyle w:val="Caption"/>
      </w:pPr>
      <w:bookmarkStart w:id="222" w:name="_Ref12655065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43</w:t>
      </w:r>
      <w:r w:rsidR="004E20BD">
        <w:rPr>
          <w:noProof/>
        </w:rPr>
        <w:fldChar w:fldCharType="end"/>
      </w:r>
      <w:bookmarkEnd w:id="222"/>
      <w:r>
        <w:t>: Maintain Minimum Reagent Levels</w:t>
      </w:r>
    </w:p>
    <w:p w14:paraId="60270604" w14:textId="77777777" w:rsidR="00771C65" w:rsidRDefault="00057948" w:rsidP="00771C65">
      <w:pPr>
        <w:pStyle w:val="BodyText"/>
      </w:pPr>
      <w:r>
        <w:rPr>
          <w:noProof/>
        </w:rPr>
        <w:drawing>
          <wp:inline distT="0" distB="0" distL="0" distR="0" wp14:anchorId="6101395D" wp14:editId="1DB80FA5">
            <wp:extent cx="3417570" cy="3519170"/>
            <wp:effectExtent l="0" t="0" r="0" b="5080"/>
            <wp:docPr id="145" name="Picture 145" descr="Example of Maintain Minimum Reagent Level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Example of Maintain Minimum Reagent Levels screen capt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17570" cy="3519170"/>
                    </a:xfrm>
                    <a:prstGeom prst="rect">
                      <a:avLst/>
                    </a:prstGeom>
                    <a:noFill/>
                    <a:ln>
                      <a:noFill/>
                    </a:ln>
                  </pic:spPr>
                </pic:pic>
              </a:graphicData>
            </a:graphic>
          </wp:inline>
        </w:drawing>
      </w:r>
    </w:p>
    <w:p w14:paraId="541EA064" w14:textId="77777777" w:rsidR="002A21AE" w:rsidRDefault="00864906">
      <w:pPr>
        <w:pStyle w:val="Heading3"/>
      </w:pPr>
      <w:r>
        <w:br w:type="page"/>
      </w:r>
      <w:bookmarkStart w:id="223" w:name="_Toc163644903"/>
      <w:r w:rsidR="00FF225E">
        <w:lastRenderedPageBreak/>
        <w:t>Supplies</w:t>
      </w:r>
      <w:bookmarkEnd w:id="223"/>
      <w:r w:rsidR="002A21AE">
        <w:fldChar w:fldCharType="begin"/>
      </w:r>
      <w:r w:rsidR="002A21AE">
        <w:instrText xml:space="preserve"> XE </w:instrText>
      </w:r>
      <w:r w:rsidR="00FA7E65">
        <w:instrText>“</w:instrText>
      </w:r>
      <w:r w:rsidR="00FF225E">
        <w:instrText>Supplies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UC_81</w:t>
      </w:r>
    </w:p>
    <w:p w14:paraId="35FC0D79" w14:textId="77777777" w:rsidR="002A21AE" w:rsidRDefault="002A21AE" w:rsidP="00FA7E65">
      <w:pPr>
        <w:pStyle w:val="BodyText"/>
      </w:pPr>
      <w:r>
        <w:t xml:space="preserve">The user documents the receipt of supplies, and updates and views the supply inventory. </w:t>
      </w:r>
    </w:p>
    <w:p w14:paraId="219D9913" w14:textId="77777777" w:rsidR="002A21AE" w:rsidRDefault="002A21AE">
      <w:pPr>
        <w:pStyle w:val="Heading4"/>
      </w:pPr>
      <w:r>
        <w:t>Assumptions</w:t>
      </w:r>
      <w:r>
        <w:rPr>
          <w:b w:val="0"/>
        </w:rPr>
        <w:t xml:space="preserve"> </w:t>
      </w:r>
    </w:p>
    <w:p w14:paraId="360637A2" w14:textId="77777777" w:rsidR="002A21AE" w:rsidRDefault="002A21AE">
      <w:pPr>
        <w:pStyle w:val="ListBullet"/>
      </w:pPr>
      <w:r>
        <w:rPr>
          <w:rFonts w:ascii="Arial" w:hAnsi="Arial" w:cs="Arial"/>
          <w:vanish/>
          <w:spacing w:val="0"/>
          <w:sz w:val="18"/>
        </w:rPr>
        <w:t xml:space="preserve">BR_81.01 </w:t>
      </w:r>
      <w:r>
        <w:t>A user may maintain supply inventory only in the division logged into.</w:t>
      </w:r>
    </w:p>
    <w:p w14:paraId="27911181" w14:textId="77777777" w:rsidR="002A21AE" w:rsidRDefault="002A21AE">
      <w:pPr>
        <w:pStyle w:val="Heading4"/>
      </w:pPr>
      <w:r>
        <w:t xml:space="preserve">Outcome </w:t>
      </w:r>
    </w:p>
    <w:p w14:paraId="03593891" w14:textId="77777777" w:rsidR="002A21AE" w:rsidRDefault="002A21AE">
      <w:pPr>
        <w:pStyle w:val="ListBullet"/>
      </w:pPr>
      <w:r>
        <w:t>A supply inventory that is accessible only within the division of entry was established.</w:t>
      </w:r>
    </w:p>
    <w:p w14:paraId="10DBB6B8" w14:textId="77777777" w:rsidR="002A21AE" w:rsidRDefault="002A21AE">
      <w:pPr>
        <w:pStyle w:val="Heading4"/>
      </w:pPr>
      <w:r>
        <w:t>Limitations and Restrictions</w:t>
      </w:r>
      <w:r>
        <w:rPr>
          <w:b w:val="0"/>
        </w:rPr>
        <w:t xml:space="preserve"> </w:t>
      </w:r>
    </w:p>
    <w:p w14:paraId="57FD727B" w14:textId="77777777" w:rsidR="002A21AE" w:rsidRDefault="002A21AE">
      <w:pPr>
        <w:pStyle w:val="ListBullet"/>
      </w:pPr>
      <w:r>
        <w:t xml:space="preserve">The division’s modification processes may allow or require the user to select previously entered supplies for association with a blood unit’s modification. An inventory of containers (transfer bags) and sterile </w:t>
      </w:r>
      <w:r w:rsidR="00AD29E0">
        <w:t>connection</w:t>
      </w:r>
      <w:r>
        <w:t xml:space="preserve"> device (SCD) wafers is </w:t>
      </w:r>
      <w:r>
        <w:rPr>
          <w:i/>
        </w:rPr>
        <w:t>required</w:t>
      </w:r>
      <w:r>
        <w:t xml:space="preserve"> for various modification processes. </w:t>
      </w:r>
    </w:p>
    <w:p w14:paraId="311DB705" w14:textId="77777777" w:rsidR="002A21AE" w:rsidRDefault="002A21AE">
      <w:pPr>
        <w:pStyle w:val="ListBullet"/>
      </w:pPr>
      <w:r>
        <w:t>There is no retrospective data entry or user selection for th</w:t>
      </w:r>
      <w:r w:rsidR="00932460">
        <w:t>is</w:t>
      </w:r>
      <w:r>
        <w:t xml:space="preserve"> </w:t>
      </w:r>
      <w:r w:rsidR="00932460">
        <w:t>option</w:t>
      </w:r>
      <w:r>
        <w:t>.</w:t>
      </w:r>
    </w:p>
    <w:p w14:paraId="5C030897" w14:textId="77777777" w:rsidR="0007472F" w:rsidRDefault="0007472F" w:rsidP="0007472F">
      <w:pPr>
        <w:pStyle w:val="ListBullet"/>
      </w:pPr>
      <w:r>
        <w:t>The unsatisfactory portion of a shipment must be recorded individually.</w:t>
      </w:r>
    </w:p>
    <w:p w14:paraId="7B6D7785" w14:textId="77777777" w:rsidR="00A90872" w:rsidRDefault="007F4949">
      <w:pPr>
        <w:pStyle w:val="ListBullet"/>
      </w:pPr>
      <w:r>
        <w:t>Each site must set a standard for recording quantity: it may</w:t>
      </w:r>
      <w:r w:rsidR="00A90872">
        <w:t xml:space="preserve"> </w:t>
      </w:r>
      <w:r>
        <w:t>use</w:t>
      </w:r>
      <w:r w:rsidR="00A90872">
        <w:t xml:space="preserve"> </w:t>
      </w:r>
      <w:r>
        <w:t xml:space="preserve">the number of </w:t>
      </w:r>
      <w:r w:rsidR="009335DA">
        <w:t>case</w:t>
      </w:r>
      <w:r>
        <w:t>s</w:t>
      </w:r>
      <w:r w:rsidR="00A90872">
        <w:t xml:space="preserve"> or the number of units </w:t>
      </w:r>
      <w:r>
        <w:t>within the cases</w:t>
      </w:r>
      <w:r w:rsidR="00A90872">
        <w:t>.</w:t>
      </w:r>
      <w:r>
        <w:t xml:space="preserve"> </w:t>
      </w:r>
    </w:p>
    <w:p w14:paraId="318F3462" w14:textId="77777777" w:rsidR="002A21AE" w:rsidRDefault="002A21AE">
      <w:pPr>
        <w:pStyle w:val="Heading4"/>
      </w:pPr>
      <w:r>
        <w:t xml:space="preserve">Additional Information </w:t>
      </w:r>
    </w:p>
    <w:p w14:paraId="5DD9723C" w14:textId="77777777" w:rsidR="002A21AE" w:rsidRDefault="002A21AE">
      <w:pPr>
        <w:pStyle w:val="ListBullet"/>
      </w:pPr>
      <w:r>
        <w:t xml:space="preserve">Maintaining Blood Bank Equipment (Equipment: Log In Equipment, Equipment: Maintain Equipment) and </w:t>
      </w:r>
      <w:r w:rsidR="005F6016">
        <w:t>Reagents</w:t>
      </w:r>
      <w:r>
        <w:t xml:space="preserve"> (Log In Reagents, Update Inventory, View/Print Inventory</w:t>
      </w:r>
      <w:r w:rsidR="005F6016">
        <w:t>, Maintain Minimum Levels</w:t>
      </w:r>
      <w:r>
        <w:t xml:space="preserve">) accommodate the maintenance of reagents and equipment, respectively. </w:t>
      </w:r>
    </w:p>
    <w:p w14:paraId="7A005171" w14:textId="77777777" w:rsidR="002A21AE" w:rsidRDefault="002A21AE">
      <w:pPr>
        <w:pStyle w:val="ListBullet"/>
      </w:pPr>
      <w:r>
        <w:t xml:space="preserve">VBECS saves the lot number, manufacturer name, and expiration date of supplies used in a unit’s modification process as part of a unit’s modification record when associated during the modification transaction. </w:t>
      </w:r>
    </w:p>
    <w:p w14:paraId="79416099" w14:textId="77777777" w:rsidR="002A21AE" w:rsidRDefault="002A21AE">
      <w:pPr>
        <w:pStyle w:val="ListBullet"/>
      </w:pPr>
      <w:r>
        <w:t>VBECS creates a list of manufacturers as they are entered and makes the list available for selection. Users may not edit entries.</w:t>
      </w:r>
    </w:p>
    <w:p w14:paraId="5C23B3DC" w14:textId="77777777" w:rsidR="002A21AE" w:rsidRDefault="002A21AE">
      <w:pPr>
        <w:pStyle w:val="Heading4"/>
        <w:rPr>
          <w:b w:val="0"/>
        </w:rPr>
      </w:pPr>
      <w:r>
        <w:t>User Roles with Access to This Option</w:t>
      </w:r>
      <w:r>
        <w:rPr>
          <w:b w:val="0"/>
        </w:rPr>
        <w:t xml:space="preserve"> </w:t>
      </w:r>
    </w:p>
    <w:p w14:paraId="60B7D683" w14:textId="77777777" w:rsidR="002A21AE" w:rsidRDefault="00BB1B50">
      <w:pPr>
        <w:pStyle w:val="Roles"/>
        <w:rPr>
          <w:snapToGrid w:val="0"/>
        </w:rPr>
      </w:pPr>
      <w:r>
        <w:t>All users</w:t>
      </w:r>
    </w:p>
    <w:p w14:paraId="07AD4665" w14:textId="77777777" w:rsidR="002A21AE" w:rsidRDefault="002A21AE">
      <w:pPr>
        <w:pStyle w:val="Heading4"/>
      </w:pPr>
      <w:r>
        <w:t>Log in Supplies</w:t>
      </w:r>
      <w:r>
        <w:fldChar w:fldCharType="begin"/>
      </w:r>
      <w:r>
        <w:instrText xml:space="preserve"> XE </w:instrText>
      </w:r>
      <w:r w:rsidR="00FA7E65">
        <w:instrText>“</w:instrText>
      </w:r>
      <w:r>
        <w:instrText>Log in Supplies</w:instrText>
      </w:r>
      <w:r w:rsidR="00FA7E65">
        <w:instrText>”</w:instrText>
      </w:r>
      <w:r>
        <w:instrText xml:space="preserve"> </w:instrText>
      </w:r>
      <w:r>
        <w:fldChar w:fldCharType="end"/>
      </w:r>
      <w:r>
        <w:t xml:space="preserve"> </w:t>
      </w:r>
    </w:p>
    <w:p w14:paraId="1D724C43" w14:textId="77777777" w:rsidR="002A21AE" w:rsidRDefault="00153A27" w:rsidP="00FA7E65">
      <w:pPr>
        <w:pStyle w:val="BodyText"/>
      </w:pPr>
      <w:r>
        <w:t>The</w:t>
      </w:r>
      <w:r w:rsidR="002A21AE">
        <w:t xml:space="preserve"> user records the receipt of specific supplies by type. The supply record includes the date the shipment was received, supply name, lot number, expiration date, manufacturer, and number of items received in a shipment.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64CFE57" w14:textId="77777777">
        <w:trPr>
          <w:cantSplit/>
          <w:tblHeader/>
        </w:trPr>
        <w:tc>
          <w:tcPr>
            <w:tcW w:w="3240" w:type="dxa"/>
            <w:shd w:val="pct30" w:color="auto" w:fill="FFFFFF"/>
            <w:vAlign w:val="bottom"/>
          </w:tcPr>
          <w:p w14:paraId="44E46953" w14:textId="77777777" w:rsidR="002A21AE" w:rsidRDefault="002A21AE">
            <w:pPr>
              <w:pStyle w:val="TableText"/>
              <w:rPr>
                <w:b/>
              </w:rPr>
            </w:pPr>
            <w:r>
              <w:rPr>
                <w:b/>
              </w:rPr>
              <w:t>User Action</w:t>
            </w:r>
          </w:p>
        </w:tc>
        <w:tc>
          <w:tcPr>
            <w:tcW w:w="6120" w:type="dxa"/>
            <w:shd w:val="pct30" w:color="auto" w:fill="FFFFFF"/>
            <w:vAlign w:val="bottom"/>
          </w:tcPr>
          <w:p w14:paraId="09A97DD5" w14:textId="77777777" w:rsidR="002A21AE" w:rsidRDefault="002A21AE">
            <w:pPr>
              <w:pStyle w:val="TableText"/>
              <w:rPr>
                <w:b/>
              </w:rPr>
            </w:pPr>
            <w:r>
              <w:rPr>
                <w:b/>
              </w:rPr>
              <w:t>VBECS</w:t>
            </w:r>
          </w:p>
        </w:tc>
      </w:tr>
      <w:tr w:rsidR="002A21AE" w14:paraId="29366905" w14:textId="77777777">
        <w:tc>
          <w:tcPr>
            <w:tcW w:w="3240" w:type="dxa"/>
            <w:tcBorders>
              <w:top w:val="single" w:sz="4" w:space="0" w:color="auto"/>
              <w:left w:val="single" w:sz="4" w:space="0" w:color="auto"/>
              <w:bottom w:val="single" w:sz="4" w:space="0" w:color="auto"/>
              <w:right w:val="single" w:sz="4" w:space="0" w:color="auto"/>
            </w:tcBorders>
          </w:tcPr>
          <w:p w14:paraId="12C61EA8" w14:textId="77777777" w:rsidR="002A21AE" w:rsidRDefault="002A21AE">
            <w:pPr>
              <w:pStyle w:val="TableTextNumbers"/>
            </w:pPr>
            <w:r>
              <w:t xml:space="preserve">Select </w:t>
            </w:r>
            <w:r>
              <w:rPr>
                <w:b/>
              </w:rPr>
              <w:t>Tools</w:t>
            </w:r>
            <w:r>
              <w:t xml:space="preserve"> from the main menu.</w:t>
            </w:r>
          </w:p>
          <w:p w14:paraId="5592DEB5" w14:textId="77777777" w:rsidR="002A21AE" w:rsidRDefault="002A21AE">
            <w:pPr>
              <w:pStyle w:val="TableTextNumbersContinued"/>
            </w:pPr>
          </w:p>
          <w:p w14:paraId="7E76B11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2A75FDA1" w14:textId="77777777" w:rsidR="002A21AE" w:rsidRDefault="002A21AE">
            <w:pPr>
              <w:pStyle w:val="TableTextBullet"/>
            </w:pPr>
            <w:r>
              <w:t xml:space="preserve">Displays options for processing administrative functions. </w:t>
            </w:r>
          </w:p>
          <w:p w14:paraId="0B8FDDA3" w14:textId="77777777" w:rsidR="002A21AE" w:rsidRDefault="002A21AE">
            <w:pPr>
              <w:pStyle w:val="TableTextBullet"/>
            </w:pPr>
            <w:r>
              <w:t>Displays options for processing supplies.</w:t>
            </w:r>
          </w:p>
        </w:tc>
      </w:tr>
      <w:tr w:rsidR="002A21AE" w14:paraId="7203C23B" w14:textId="77777777">
        <w:tc>
          <w:tcPr>
            <w:tcW w:w="3240" w:type="dxa"/>
          </w:tcPr>
          <w:p w14:paraId="27679E23" w14:textId="77777777" w:rsidR="002A21AE" w:rsidRDefault="002A21AE">
            <w:pPr>
              <w:pStyle w:val="TableTextNumbers"/>
            </w:pPr>
            <w:r>
              <w:t xml:space="preserve">Select </w:t>
            </w:r>
            <w:r>
              <w:rPr>
                <w:b/>
              </w:rPr>
              <w:t>Log In Supplies</w:t>
            </w:r>
            <w:r>
              <w:t>.</w:t>
            </w:r>
          </w:p>
        </w:tc>
        <w:tc>
          <w:tcPr>
            <w:tcW w:w="6120" w:type="dxa"/>
          </w:tcPr>
          <w:p w14:paraId="4D2A7CD4" w14:textId="77777777" w:rsidR="002A21AE" w:rsidRDefault="002A21AE">
            <w:pPr>
              <w:pStyle w:val="TableTextBullet"/>
            </w:pPr>
            <w:r>
              <w:t>Displays fields for entering invoice and supply information.</w:t>
            </w:r>
          </w:p>
        </w:tc>
      </w:tr>
      <w:tr w:rsidR="002A21AE" w14:paraId="42D51A75"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153F3CE2" w14:textId="77777777" w:rsidR="002A21AE" w:rsidRDefault="002A21AE">
            <w:pPr>
              <w:pStyle w:val="TableTextNumbers"/>
            </w:pPr>
            <w:r>
              <w:lastRenderedPageBreak/>
              <w:t>Invoice Information:</w:t>
            </w:r>
          </w:p>
          <w:p w14:paraId="360F6FDC" w14:textId="77777777" w:rsidR="002A21AE" w:rsidRDefault="002A21AE">
            <w:pPr>
              <w:pStyle w:val="TableTextNumbersContinued"/>
              <w:rPr>
                <w:b/>
                <w:bCs/>
              </w:rPr>
            </w:pPr>
          </w:p>
          <w:p w14:paraId="094328E3" w14:textId="77777777" w:rsidR="002A21AE" w:rsidRDefault="002A21AE">
            <w:pPr>
              <w:pStyle w:val="TableTextNumbersContinued"/>
            </w:pPr>
            <w:r>
              <w:t>Enter the invoice number in the Invoice Number field.</w:t>
            </w:r>
          </w:p>
          <w:p w14:paraId="70843765" w14:textId="77777777" w:rsidR="002A21AE" w:rsidRDefault="002A21AE">
            <w:pPr>
              <w:pStyle w:val="TableTextNumbersContinued"/>
            </w:pPr>
          </w:p>
          <w:p w14:paraId="1B4E20F8" w14:textId="77777777" w:rsidR="002A21AE" w:rsidRDefault="002A21AE">
            <w:pPr>
              <w:pStyle w:val="TableTextNumbersContinued"/>
            </w:pPr>
            <w:r>
              <w:t>Select or edit the date and time in the Date Received field</w:t>
            </w:r>
            <w:r w:rsidR="00FB4E58">
              <w:t>.</w:t>
            </w:r>
          </w:p>
          <w:p w14:paraId="1F538690" w14:textId="77777777" w:rsidR="002A21AE" w:rsidRDefault="002A21AE">
            <w:pPr>
              <w:pStyle w:val="TableTextNumbersContinued"/>
            </w:pPr>
          </w:p>
          <w:p w14:paraId="625E0C31" w14:textId="77777777" w:rsidR="002A21AE" w:rsidRDefault="002A21AE">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4D069163" w14:textId="77777777" w:rsidR="002A21AE" w:rsidRDefault="002A21AE">
            <w:pPr>
              <w:pStyle w:val="TableText"/>
            </w:pPr>
          </w:p>
          <w:p w14:paraId="100457C9" w14:textId="166EC53A" w:rsidR="002A21AE" w:rsidRDefault="002A21AE">
            <w:pPr>
              <w:pStyle w:val="TableText"/>
              <w:rPr>
                <w:b/>
                <w:bCs/>
                <w:szCs w:val="18"/>
              </w:rPr>
            </w:pPr>
            <w:r>
              <w:rPr>
                <w:b/>
                <w:bCs/>
                <w:szCs w:val="18"/>
              </w:rPr>
              <w:t>NOTES</w:t>
            </w:r>
          </w:p>
          <w:p w14:paraId="11A8852D" w14:textId="77777777" w:rsidR="002A21AE" w:rsidRDefault="002A21AE">
            <w:pPr>
              <w:pStyle w:val="NotesText"/>
            </w:pPr>
          </w:p>
          <w:p w14:paraId="0909C9F2" w14:textId="77777777" w:rsidR="002A21AE" w:rsidRDefault="002A21AE">
            <w:pPr>
              <w:pStyle w:val="NotesText"/>
            </w:pPr>
            <w:r>
              <w:rPr>
                <w:rFonts w:cs="Arial"/>
                <w:vanish/>
              </w:rPr>
              <w:t xml:space="preserve">BR_81.10 </w:t>
            </w:r>
            <w:r>
              <w:t xml:space="preserve">More than one technologist at a time may process a large shipment of supplies; only one technologist at a time may process individual supplies in the shipment. </w:t>
            </w:r>
          </w:p>
          <w:p w14:paraId="5794FE0A" w14:textId="77777777" w:rsidR="002A21AE" w:rsidRDefault="002A21AE">
            <w:pPr>
              <w:pStyle w:val="NotesText"/>
            </w:pPr>
          </w:p>
          <w:p w14:paraId="09E29729" w14:textId="77777777" w:rsidR="002A21AE" w:rsidRDefault="002A21AE">
            <w:pPr>
              <w:pStyle w:val="NotesText"/>
            </w:pPr>
            <w:r>
              <w:rPr>
                <w:rFonts w:cs="Arial"/>
                <w:vanish/>
              </w:rPr>
              <w:t xml:space="preserve">BR_20.01 </w:t>
            </w:r>
            <w:r>
              <w:t>The default date received is the current date and time. The user may edit it to a past date and time only.</w:t>
            </w:r>
          </w:p>
          <w:p w14:paraId="54CDA4FC" w14:textId="77777777" w:rsidR="002A21AE" w:rsidRDefault="002A21AE">
            <w:pPr>
              <w:pStyle w:val="NotesText"/>
            </w:pPr>
          </w:p>
          <w:p w14:paraId="703F2E03" w14:textId="77777777" w:rsidR="002A21AE" w:rsidRDefault="002A21AE">
            <w:pPr>
              <w:pStyle w:val="NotesText"/>
            </w:pPr>
            <w:r>
              <w:rPr>
                <w:rFonts w:cs="Arial"/>
                <w:vanish/>
              </w:rPr>
              <w:t xml:space="preserve">BR_81.07 </w:t>
            </w:r>
            <w:r>
              <w:t xml:space="preserve">When the supply type and lot number were already entered for this invoice, VBECS </w:t>
            </w:r>
            <w:r>
              <w:rPr>
                <w:noProof/>
              </w:rPr>
              <w:t>warns that the user is</w:t>
            </w:r>
            <w:r>
              <w:t xml:space="preserve"> trying to enter </w:t>
            </w:r>
            <w:r w:rsidR="001017A2">
              <w:t xml:space="preserve">a </w:t>
            </w:r>
            <w:r>
              <w:t xml:space="preserve">supply that was already logged into the system for this invoice. </w:t>
            </w:r>
            <w:r>
              <w:rPr>
                <w:b/>
              </w:rPr>
              <w:t>Yes</w:t>
            </w:r>
            <w:r>
              <w:t xml:space="preserve"> takes the user to the </w:t>
            </w:r>
            <w:r w:rsidR="00FA7E65">
              <w:t>“</w:t>
            </w:r>
            <w:r>
              <w:t>Update Supply Inventory</w:t>
            </w:r>
            <w:r w:rsidR="00FA7E65">
              <w:t>”</w:t>
            </w:r>
            <w:r>
              <w:t xml:space="preserve"> screen where VBECS displays the supply type and lot number for update. </w:t>
            </w:r>
            <w:r>
              <w:rPr>
                <w:b/>
              </w:rPr>
              <w:t>No</w:t>
            </w:r>
            <w:r>
              <w:t xml:space="preserve"> clears all fields on the screen, allowing the user to log in another supply. </w:t>
            </w:r>
          </w:p>
        </w:tc>
      </w:tr>
      <w:tr w:rsidR="002A21AE" w14:paraId="2847B64B" w14:textId="77777777">
        <w:tc>
          <w:tcPr>
            <w:tcW w:w="3240" w:type="dxa"/>
            <w:tcBorders>
              <w:top w:val="single" w:sz="4" w:space="0" w:color="auto"/>
              <w:left w:val="single" w:sz="4" w:space="0" w:color="auto"/>
              <w:bottom w:val="single" w:sz="4" w:space="0" w:color="auto"/>
              <w:right w:val="single" w:sz="4" w:space="0" w:color="auto"/>
            </w:tcBorders>
          </w:tcPr>
          <w:p w14:paraId="0464CD9A" w14:textId="77777777" w:rsidR="002A21AE" w:rsidRDefault="002A21AE">
            <w:pPr>
              <w:pStyle w:val="TableTextNumbers"/>
            </w:pPr>
            <w:r>
              <w:t>Supply Information:</w:t>
            </w:r>
          </w:p>
          <w:p w14:paraId="2A305148" w14:textId="77777777" w:rsidR="002A21AE" w:rsidRDefault="002A21AE">
            <w:pPr>
              <w:pStyle w:val="TableTextNumbersContinued"/>
              <w:rPr>
                <w:b/>
                <w:bCs/>
              </w:rPr>
            </w:pPr>
          </w:p>
          <w:p w14:paraId="1AAB03CF" w14:textId="77777777" w:rsidR="002A21AE" w:rsidRDefault="002A21AE">
            <w:pPr>
              <w:pStyle w:val="TableTextNumbersContinued"/>
            </w:pPr>
            <w:r>
              <w:t>Enter the name of the manufacturer and supply type in the Manufacturer and Supply Type fields, or select from the drop-down lists.</w:t>
            </w:r>
          </w:p>
          <w:p w14:paraId="2DBDEF12" w14:textId="77777777" w:rsidR="002A21AE" w:rsidRDefault="002A21AE">
            <w:pPr>
              <w:pStyle w:val="TableTextNumbersContinued"/>
            </w:pPr>
          </w:p>
          <w:p w14:paraId="6A895B54" w14:textId="77777777" w:rsidR="002A21AE" w:rsidRDefault="002A21AE">
            <w:pPr>
              <w:pStyle w:val="TableTextNumbersContinued"/>
            </w:pPr>
            <w:r>
              <w:t>Enter the lot number in the Lot Number field.</w:t>
            </w:r>
          </w:p>
          <w:p w14:paraId="3281A4E5" w14:textId="77777777" w:rsidR="002A21AE" w:rsidRDefault="002A21AE">
            <w:pPr>
              <w:pStyle w:val="TableTextNumbersContinued"/>
            </w:pPr>
          </w:p>
          <w:p w14:paraId="329FB6F0" w14:textId="77777777" w:rsidR="002A21AE" w:rsidRDefault="002A21AE">
            <w:pPr>
              <w:pStyle w:val="TableTextNumbersContinued"/>
            </w:pPr>
            <w:r>
              <w:t>Select or edit the date and time in the Lot Expiration Date field.</w:t>
            </w:r>
          </w:p>
          <w:p w14:paraId="3439F58C" w14:textId="77777777" w:rsidR="002A21AE" w:rsidRDefault="002A21AE">
            <w:pPr>
              <w:pStyle w:val="TableTextNumbersContinued"/>
            </w:pPr>
          </w:p>
          <w:p w14:paraId="2E8DC5F7" w14:textId="77777777" w:rsidR="002A21AE" w:rsidRDefault="002A21AE">
            <w:pPr>
              <w:pStyle w:val="TableTextNumbersContinued"/>
            </w:pPr>
            <w:r>
              <w:t>Enter (or select) a quantity (1–999) in the Quantity Received field.</w:t>
            </w:r>
          </w:p>
        </w:tc>
        <w:tc>
          <w:tcPr>
            <w:tcW w:w="6120" w:type="dxa"/>
            <w:tcBorders>
              <w:top w:val="single" w:sz="4" w:space="0" w:color="auto"/>
              <w:left w:val="single" w:sz="4" w:space="0" w:color="auto"/>
              <w:bottom w:val="single" w:sz="4" w:space="0" w:color="auto"/>
              <w:right w:val="single" w:sz="4" w:space="0" w:color="auto"/>
            </w:tcBorders>
          </w:tcPr>
          <w:p w14:paraId="0FF060DC" w14:textId="77777777" w:rsidR="002A21AE" w:rsidRDefault="002A21AE">
            <w:pPr>
              <w:pStyle w:val="TableText"/>
              <w:rPr>
                <w:b/>
                <w:bCs/>
                <w:szCs w:val="18"/>
              </w:rPr>
            </w:pPr>
          </w:p>
          <w:p w14:paraId="13C0A061" w14:textId="3290F027" w:rsidR="002A21AE" w:rsidRDefault="002A21AE">
            <w:pPr>
              <w:pStyle w:val="TableText"/>
              <w:rPr>
                <w:b/>
                <w:bCs/>
                <w:szCs w:val="18"/>
              </w:rPr>
            </w:pPr>
            <w:r>
              <w:rPr>
                <w:b/>
                <w:bCs/>
                <w:szCs w:val="18"/>
              </w:rPr>
              <w:t>NOTES</w:t>
            </w:r>
          </w:p>
          <w:p w14:paraId="5FD57583" w14:textId="77777777" w:rsidR="002A21AE" w:rsidRDefault="002A21AE">
            <w:pPr>
              <w:pStyle w:val="NotesText"/>
            </w:pPr>
          </w:p>
          <w:p w14:paraId="1B0A1F59" w14:textId="77777777" w:rsidR="002A21AE" w:rsidRDefault="002A21AE">
            <w:pPr>
              <w:pStyle w:val="NotesText"/>
            </w:pPr>
            <w:r>
              <w:t>The default lot expiration date is one minute before midnight (23:59) of the current date.</w:t>
            </w:r>
          </w:p>
          <w:p w14:paraId="6E615D5D" w14:textId="77777777" w:rsidR="002A21AE" w:rsidRDefault="002A21AE">
            <w:pPr>
              <w:pStyle w:val="TableText"/>
            </w:pPr>
          </w:p>
        </w:tc>
      </w:tr>
      <w:tr w:rsidR="002A21AE" w14:paraId="0C00DEB5" w14:textId="77777777">
        <w:tc>
          <w:tcPr>
            <w:tcW w:w="3240" w:type="dxa"/>
            <w:tcBorders>
              <w:top w:val="single" w:sz="4" w:space="0" w:color="auto"/>
              <w:left w:val="single" w:sz="4" w:space="0" w:color="auto"/>
              <w:bottom w:val="single" w:sz="4" w:space="0" w:color="auto"/>
              <w:right w:val="single" w:sz="4" w:space="0" w:color="auto"/>
            </w:tcBorders>
          </w:tcPr>
          <w:p w14:paraId="62291850" w14:textId="77777777" w:rsidR="002A21AE" w:rsidRDefault="002A21AE">
            <w:pPr>
              <w:pStyle w:val="TableTextNumbers"/>
            </w:pPr>
            <w:r>
              <w:t>Visual Inspection Information:</w:t>
            </w:r>
          </w:p>
          <w:p w14:paraId="5D969053" w14:textId="77777777" w:rsidR="002A21AE" w:rsidRDefault="002A21AE">
            <w:pPr>
              <w:pStyle w:val="TableTextNumbersContinued"/>
              <w:rPr>
                <w:b/>
                <w:bCs/>
              </w:rPr>
            </w:pPr>
          </w:p>
          <w:p w14:paraId="742BA321" w14:textId="77777777" w:rsidR="002A21AE" w:rsidRDefault="002A21AE">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14:paraId="491E272B" w14:textId="77777777" w:rsidR="002A21AE" w:rsidRDefault="002A21AE">
            <w:pPr>
              <w:pStyle w:val="TableTextNumbersContinued"/>
            </w:pPr>
          </w:p>
          <w:p w14:paraId="24D171F7" w14:textId="77B534B4" w:rsidR="002A21AE" w:rsidRDefault="002A21AE">
            <w:pPr>
              <w:pStyle w:val="TableTextNumbersContinued"/>
            </w:pPr>
            <w:r>
              <w:t xml:space="preserve">Click </w:t>
            </w:r>
            <w:r>
              <w:rPr>
                <w:b/>
              </w:rPr>
              <w:t>Add</w:t>
            </w:r>
            <w:r>
              <w:t xml:space="preserve"> to add the supplies to the inventory list</w:t>
            </w:r>
            <w:r w:rsidR="00FD24BA">
              <w:t xml:space="preserve"> (</w:t>
            </w:r>
            <w:r w:rsidR="00EE455E">
              <w:t xml:space="preserve">Figure </w:t>
            </w:r>
            <w:r w:rsidR="00EE455E">
              <w:rPr>
                <w:noProof/>
              </w:rPr>
              <w:t>43</w:t>
            </w:r>
            <w:r w:rsidR="00FD24BA">
              <w:t>)</w:t>
            </w:r>
            <w:r>
              <w:t>.</w:t>
            </w:r>
          </w:p>
        </w:tc>
        <w:tc>
          <w:tcPr>
            <w:tcW w:w="6120" w:type="dxa"/>
            <w:tcBorders>
              <w:top w:val="single" w:sz="4" w:space="0" w:color="auto"/>
              <w:left w:val="single" w:sz="4" w:space="0" w:color="auto"/>
              <w:bottom w:val="single" w:sz="4" w:space="0" w:color="auto"/>
              <w:right w:val="single" w:sz="4" w:space="0" w:color="auto"/>
            </w:tcBorders>
          </w:tcPr>
          <w:p w14:paraId="120DE64D" w14:textId="77777777" w:rsidR="002A21AE" w:rsidRDefault="002A21AE">
            <w:pPr>
              <w:pStyle w:val="TableText"/>
              <w:rPr>
                <w:b/>
                <w:bCs/>
                <w:szCs w:val="18"/>
              </w:rPr>
            </w:pPr>
          </w:p>
          <w:p w14:paraId="3A48DC15" w14:textId="7D59D6D7" w:rsidR="002A21AE" w:rsidRDefault="002A21AE">
            <w:pPr>
              <w:pStyle w:val="TableText"/>
              <w:rPr>
                <w:b/>
                <w:bCs/>
                <w:szCs w:val="18"/>
              </w:rPr>
            </w:pPr>
            <w:r>
              <w:rPr>
                <w:b/>
                <w:bCs/>
                <w:szCs w:val="18"/>
              </w:rPr>
              <w:t>NOTES</w:t>
            </w:r>
          </w:p>
          <w:p w14:paraId="182FEFBE" w14:textId="77777777" w:rsidR="002A21AE" w:rsidRDefault="002A21AE">
            <w:pPr>
              <w:pStyle w:val="NotesText"/>
            </w:pPr>
          </w:p>
          <w:p w14:paraId="020D04E6" w14:textId="77777777" w:rsidR="002A21AE" w:rsidRDefault="002A21AE">
            <w:pPr>
              <w:pStyle w:val="NotesText"/>
            </w:pPr>
            <w:r>
              <w:t xml:space="preserve">Satisfactory inventory is available for later selection, unsatisfactory inventory </w:t>
            </w:r>
            <w:r w:rsidR="001017A2">
              <w:t xml:space="preserve">is </w:t>
            </w:r>
            <w:r>
              <w:t>not.</w:t>
            </w:r>
          </w:p>
          <w:p w14:paraId="488199DC" w14:textId="77777777" w:rsidR="002A21AE" w:rsidRDefault="002A21AE">
            <w:pPr>
              <w:pStyle w:val="NotesText"/>
            </w:pPr>
          </w:p>
          <w:p w14:paraId="2EF87081" w14:textId="77777777" w:rsidR="002A21AE" w:rsidRDefault="002A21AE">
            <w:pPr>
              <w:pStyle w:val="NotesText"/>
            </w:pPr>
            <w:r>
              <w:t>When a user selects Other from the drop-down list in the Comment field, entry of additional text in the Details field is required.</w:t>
            </w:r>
          </w:p>
        </w:tc>
      </w:tr>
      <w:tr w:rsidR="002A21AE" w14:paraId="305F07D3" w14:textId="77777777">
        <w:tc>
          <w:tcPr>
            <w:tcW w:w="3240" w:type="dxa"/>
            <w:tcBorders>
              <w:top w:val="single" w:sz="4" w:space="0" w:color="auto"/>
              <w:left w:val="single" w:sz="4" w:space="0" w:color="auto"/>
              <w:bottom w:val="single" w:sz="4" w:space="0" w:color="auto"/>
              <w:right w:val="single" w:sz="4" w:space="0" w:color="auto"/>
            </w:tcBorders>
          </w:tcPr>
          <w:p w14:paraId="186C7111" w14:textId="099303B9" w:rsidR="002A21AE" w:rsidRDefault="002A21AE">
            <w:pPr>
              <w:pStyle w:val="TableTextNumbers"/>
            </w:pPr>
            <w:r>
              <w:t>Repeat Steps 3</w:t>
            </w:r>
            <w:r w:rsidR="004F5589">
              <w:t xml:space="preserve"> through </w:t>
            </w:r>
            <w:r>
              <w:t>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133A4C34" w14:textId="77777777" w:rsidR="002A21AE" w:rsidRDefault="002A21AE">
            <w:pPr>
              <w:pStyle w:val="TableText"/>
              <w:rPr>
                <w:b/>
                <w:bCs/>
                <w:szCs w:val="18"/>
              </w:rPr>
            </w:pPr>
          </w:p>
          <w:p w14:paraId="3E8A351E" w14:textId="7A93EBAA" w:rsidR="002A21AE" w:rsidRDefault="002A21AE">
            <w:pPr>
              <w:pStyle w:val="TableText"/>
              <w:rPr>
                <w:b/>
                <w:bCs/>
                <w:szCs w:val="18"/>
              </w:rPr>
            </w:pPr>
            <w:r>
              <w:rPr>
                <w:b/>
                <w:bCs/>
                <w:szCs w:val="18"/>
              </w:rPr>
              <w:t>NOTES</w:t>
            </w:r>
          </w:p>
          <w:p w14:paraId="57248BA6" w14:textId="77777777" w:rsidR="002A21AE" w:rsidRDefault="002A21AE">
            <w:pPr>
              <w:pStyle w:val="NotesText"/>
            </w:pPr>
          </w:p>
          <w:p w14:paraId="300E51A6" w14:textId="77777777" w:rsidR="002A21AE" w:rsidRDefault="002A21AE">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2A21AE" w14:paraId="4F64DF1B" w14:textId="77777777">
        <w:tc>
          <w:tcPr>
            <w:tcW w:w="3240" w:type="dxa"/>
            <w:tcBorders>
              <w:top w:val="single" w:sz="4" w:space="0" w:color="auto"/>
              <w:left w:val="single" w:sz="4" w:space="0" w:color="auto"/>
              <w:bottom w:val="single" w:sz="4" w:space="0" w:color="auto"/>
              <w:right w:val="single" w:sz="4" w:space="0" w:color="auto"/>
            </w:tcBorders>
          </w:tcPr>
          <w:p w14:paraId="48BBFE2C" w14:textId="77777777" w:rsidR="002A21AE" w:rsidRDefault="002A21AE">
            <w:pPr>
              <w:pStyle w:val="TableTextNumbers"/>
            </w:pPr>
            <w:r>
              <w:t xml:space="preserve">Click </w:t>
            </w:r>
            <w:r>
              <w:rPr>
                <w:b/>
              </w:rPr>
              <w:t>OK</w:t>
            </w:r>
            <w:r>
              <w:t xml:space="preserve"> to save.</w:t>
            </w:r>
          </w:p>
          <w:p w14:paraId="6F12B3A0" w14:textId="77777777" w:rsidR="002A21AE" w:rsidRDefault="002A21AE">
            <w:pPr>
              <w:pStyle w:val="TableTextNumbersContinued"/>
              <w:rPr>
                <w:b/>
                <w:bCs/>
              </w:rPr>
            </w:pPr>
          </w:p>
          <w:p w14:paraId="3B81F291" w14:textId="77777777" w:rsidR="002A21AE" w:rsidRDefault="002A21AE">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3437ED2" w14:textId="77777777" w:rsidR="002A21AE" w:rsidRDefault="002A21AE">
            <w:pPr>
              <w:pStyle w:val="TableTextBullet"/>
            </w:pPr>
            <w:r>
              <w:t>Requests confirmation to update the database.</w:t>
            </w:r>
          </w:p>
        </w:tc>
      </w:tr>
    </w:tbl>
    <w:p w14:paraId="6BCFFE14" w14:textId="4C663E60" w:rsidR="00FD24BA" w:rsidRDefault="00FD24BA" w:rsidP="00FD24BA">
      <w:pPr>
        <w:pStyle w:val="Caption"/>
      </w:pPr>
      <w:bookmarkStart w:id="224" w:name="_Ref12655151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44</w:t>
      </w:r>
      <w:r w:rsidR="004E20BD">
        <w:rPr>
          <w:noProof/>
        </w:rPr>
        <w:fldChar w:fldCharType="end"/>
      </w:r>
      <w:bookmarkEnd w:id="224"/>
      <w:r>
        <w:t>: Log In Supplies</w:t>
      </w:r>
    </w:p>
    <w:p w14:paraId="25532BFF" w14:textId="77777777" w:rsidR="00FD24BA" w:rsidRDefault="00057948" w:rsidP="00FD24BA">
      <w:pPr>
        <w:pStyle w:val="BodyText"/>
      </w:pPr>
      <w:r>
        <w:rPr>
          <w:noProof/>
        </w:rPr>
        <w:drawing>
          <wp:inline distT="0" distB="0" distL="0" distR="0" wp14:anchorId="2A3BD9B0" wp14:editId="755E8D95">
            <wp:extent cx="5144770" cy="3444875"/>
            <wp:effectExtent l="0" t="0" r="0" b="3175"/>
            <wp:docPr id="146" name="Picture 146" descr="Example of Log In Suppli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Example of Log In Supplies screen capt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44770" cy="3444875"/>
                    </a:xfrm>
                    <a:prstGeom prst="rect">
                      <a:avLst/>
                    </a:prstGeom>
                    <a:noFill/>
                    <a:ln>
                      <a:noFill/>
                    </a:ln>
                  </pic:spPr>
                </pic:pic>
              </a:graphicData>
            </a:graphic>
          </wp:inline>
        </w:drawing>
      </w:r>
    </w:p>
    <w:p w14:paraId="02CB8A51" w14:textId="77777777" w:rsidR="002A21AE" w:rsidRDefault="002A21AE">
      <w:pPr>
        <w:pStyle w:val="Heading4"/>
      </w:pPr>
      <w:r>
        <w:t>Update Supply Inventory</w:t>
      </w:r>
      <w:r>
        <w:fldChar w:fldCharType="begin"/>
      </w:r>
      <w:r>
        <w:instrText xml:space="preserve"> XE </w:instrText>
      </w:r>
      <w:r w:rsidR="00FA7E65">
        <w:instrText>“</w:instrText>
      </w:r>
      <w:r>
        <w:instrText>Update Supply Inventory</w:instrText>
      </w:r>
      <w:r w:rsidR="00FA7E65">
        <w:instrText>”</w:instrText>
      </w:r>
      <w:r>
        <w:instrText xml:space="preserve"> </w:instrText>
      </w:r>
      <w:r>
        <w:fldChar w:fldCharType="end"/>
      </w:r>
      <w:r>
        <w:t xml:space="preserve"> </w:t>
      </w:r>
    </w:p>
    <w:p w14:paraId="5585ED23" w14:textId="77777777" w:rsidR="002A21AE" w:rsidRDefault="00153A27" w:rsidP="00FA7E65">
      <w:pPr>
        <w:pStyle w:val="BodyText"/>
      </w:pPr>
      <w:r>
        <w:t>The</w:t>
      </w:r>
      <w:r w:rsidR="002A21AE">
        <w:t xml:space="preserve"> user change</w:t>
      </w:r>
      <w:r w:rsidR="00CE6B22">
        <w:t>s</w:t>
      </w:r>
      <w:r w:rsidR="002A21AE">
        <w:t xml:space="preserve"> the number of available items in the supply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449D894" w14:textId="77777777">
        <w:trPr>
          <w:cantSplit/>
          <w:tblHeader/>
        </w:trPr>
        <w:tc>
          <w:tcPr>
            <w:tcW w:w="3240" w:type="dxa"/>
            <w:shd w:val="pct30" w:color="auto" w:fill="FFFFFF"/>
            <w:vAlign w:val="bottom"/>
          </w:tcPr>
          <w:p w14:paraId="0DE73BE6" w14:textId="77777777" w:rsidR="002A21AE" w:rsidRDefault="002A21AE">
            <w:pPr>
              <w:pStyle w:val="TableText"/>
              <w:rPr>
                <w:b/>
              </w:rPr>
            </w:pPr>
            <w:r>
              <w:rPr>
                <w:b/>
              </w:rPr>
              <w:t>User Action</w:t>
            </w:r>
          </w:p>
        </w:tc>
        <w:tc>
          <w:tcPr>
            <w:tcW w:w="6120" w:type="dxa"/>
            <w:shd w:val="pct30" w:color="auto" w:fill="FFFFFF"/>
            <w:vAlign w:val="bottom"/>
          </w:tcPr>
          <w:p w14:paraId="7AF1AB69" w14:textId="77777777" w:rsidR="002A21AE" w:rsidRDefault="002A21AE">
            <w:pPr>
              <w:pStyle w:val="TableText"/>
              <w:rPr>
                <w:b/>
              </w:rPr>
            </w:pPr>
            <w:r>
              <w:rPr>
                <w:b/>
              </w:rPr>
              <w:t>VBECS</w:t>
            </w:r>
          </w:p>
        </w:tc>
      </w:tr>
      <w:tr w:rsidR="002A21AE" w14:paraId="614B841C" w14:textId="77777777">
        <w:tc>
          <w:tcPr>
            <w:tcW w:w="3240" w:type="dxa"/>
            <w:tcBorders>
              <w:top w:val="single" w:sz="4" w:space="0" w:color="auto"/>
              <w:left w:val="single" w:sz="4" w:space="0" w:color="auto"/>
              <w:bottom w:val="single" w:sz="4" w:space="0" w:color="auto"/>
              <w:right w:val="single" w:sz="4" w:space="0" w:color="auto"/>
            </w:tcBorders>
          </w:tcPr>
          <w:p w14:paraId="40065BF0" w14:textId="77777777" w:rsidR="002A21AE" w:rsidRDefault="002A21AE">
            <w:pPr>
              <w:pStyle w:val="TableTextNumbers"/>
            </w:pPr>
            <w:r>
              <w:t xml:space="preserve">Select </w:t>
            </w:r>
            <w:r>
              <w:rPr>
                <w:b/>
              </w:rPr>
              <w:t>Tools</w:t>
            </w:r>
            <w:r>
              <w:t xml:space="preserve"> from the main menu.</w:t>
            </w:r>
          </w:p>
          <w:p w14:paraId="4F01EC8A" w14:textId="77777777" w:rsidR="002A21AE" w:rsidRDefault="002A21AE">
            <w:pPr>
              <w:pStyle w:val="TableTextNumbersContinued"/>
            </w:pPr>
          </w:p>
          <w:p w14:paraId="17DC489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8DAB11C" w14:textId="77777777" w:rsidR="002A21AE" w:rsidRDefault="002A21AE">
            <w:pPr>
              <w:pStyle w:val="TableTextBullet"/>
            </w:pPr>
            <w:r>
              <w:t xml:space="preserve">Displays options for processing administrative functions. </w:t>
            </w:r>
          </w:p>
          <w:p w14:paraId="78C96599" w14:textId="77777777" w:rsidR="002A21AE" w:rsidRDefault="002A21AE">
            <w:pPr>
              <w:pStyle w:val="TableTextBullet"/>
            </w:pPr>
            <w:r>
              <w:t>Displays options for processing supplies.</w:t>
            </w:r>
          </w:p>
        </w:tc>
      </w:tr>
      <w:tr w:rsidR="002A21AE" w14:paraId="47035DC3" w14:textId="77777777">
        <w:tc>
          <w:tcPr>
            <w:tcW w:w="3240" w:type="dxa"/>
          </w:tcPr>
          <w:p w14:paraId="291804CF" w14:textId="77777777" w:rsidR="002A21AE" w:rsidRDefault="002A21AE">
            <w:pPr>
              <w:pStyle w:val="TableTextNumbers"/>
            </w:pPr>
            <w:r>
              <w:t xml:space="preserve">Select </w:t>
            </w:r>
            <w:r>
              <w:rPr>
                <w:b/>
              </w:rPr>
              <w:t>Update Supply Inventory</w:t>
            </w:r>
            <w:r>
              <w:t>.</w:t>
            </w:r>
          </w:p>
          <w:p w14:paraId="197D3C7D" w14:textId="77777777" w:rsidR="002A21AE" w:rsidRDefault="002A21AE">
            <w:pPr>
              <w:pStyle w:val="TableTextNumbersContinued"/>
            </w:pPr>
          </w:p>
          <w:p w14:paraId="74863F3B" w14:textId="77777777" w:rsidR="002A21AE" w:rsidRDefault="002A21AE">
            <w:pPr>
              <w:pStyle w:val="TableTextNumbersContinued"/>
            </w:pPr>
            <w:r>
              <w:rPr>
                <w:rFonts w:cs="Arial"/>
                <w:vanish/>
              </w:rPr>
              <w:t xml:space="preserve">BR_81.12 </w:t>
            </w:r>
            <w:r>
              <w:t xml:space="preserve">Click the </w:t>
            </w:r>
            <w:r>
              <w:rPr>
                <w:b/>
              </w:rPr>
              <w:t xml:space="preserve">Include Expired Supplies </w:t>
            </w:r>
            <w:r w:rsidRPr="00D1100E">
              <w:t>check box</w:t>
            </w:r>
            <w:r>
              <w:t xml:space="preserve"> to include expired supplies in the list.</w:t>
            </w:r>
          </w:p>
        </w:tc>
        <w:tc>
          <w:tcPr>
            <w:tcW w:w="6120" w:type="dxa"/>
          </w:tcPr>
          <w:p w14:paraId="5D34A0A2" w14:textId="77777777" w:rsidR="002A21AE" w:rsidRDefault="002A21AE">
            <w:pPr>
              <w:pStyle w:val="TableTextBullet"/>
            </w:pPr>
            <w:r>
              <w:t>Lists existing satisfactory supplies by default.</w:t>
            </w:r>
          </w:p>
        </w:tc>
      </w:tr>
      <w:tr w:rsidR="002A21AE" w14:paraId="0B8DE93C" w14:textId="77777777">
        <w:tc>
          <w:tcPr>
            <w:tcW w:w="3240" w:type="dxa"/>
            <w:tcBorders>
              <w:top w:val="single" w:sz="4" w:space="0" w:color="auto"/>
              <w:left w:val="single" w:sz="4" w:space="0" w:color="auto"/>
              <w:bottom w:val="single" w:sz="4" w:space="0" w:color="auto"/>
              <w:right w:val="single" w:sz="4" w:space="0" w:color="auto"/>
            </w:tcBorders>
          </w:tcPr>
          <w:p w14:paraId="6730E5CB" w14:textId="77777777" w:rsidR="002A21AE" w:rsidRDefault="002A21AE">
            <w:pPr>
              <w:pStyle w:val="TableTextNumbers"/>
            </w:pPr>
            <w:r>
              <w:t>Select a supply to edit.</w:t>
            </w:r>
          </w:p>
          <w:p w14:paraId="59EC826C" w14:textId="77777777" w:rsidR="002A21AE" w:rsidRDefault="002A21AE">
            <w:pPr>
              <w:pStyle w:val="TableTextNumbersContinued"/>
            </w:pPr>
          </w:p>
          <w:p w14:paraId="615455BB" w14:textId="77777777" w:rsidR="002A21AE" w:rsidRDefault="002A21AE">
            <w:pPr>
              <w:pStyle w:val="TableTextNumbersContinued"/>
            </w:pPr>
            <w:r>
              <w:t xml:space="preserve">To view supplies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7B69C15E" w14:textId="77777777" w:rsidR="002A21AE" w:rsidRDefault="002A21AE">
            <w:pPr>
              <w:pStyle w:val="TableText"/>
            </w:pPr>
          </w:p>
          <w:p w14:paraId="232C3C92" w14:textId="17C4D8D0" w:rsidR="002A21AE" w:rsidRDefault="002A21AE">
            <w:pPr>
              <w:pStyle w:val="TableText"/>
              <w:rPr>
                <w:b/>
                <w:bCs/>
                <w:szCs w:val="18"/>
              </w:rPr>
            </w:pPr>
            <w:r>
              <w:rPr>
                <w:b/>
                <w:bCs/>
                <w:szCs w:val="18"/>
              </w:rPr>
              <w:t>NOTES</w:t>
            </w:r>
          </w:p>
          <w:p w14:paraId="731C659B" w14:textId="77777777" w:rsidR="002A21AE" w:rsidRDefault="002A21AE">
            <w:pPr>
              <w:pStyle w:val="NotesText"/>
            </w:pPr>
          </w:p>
          <w:p w14:paraId="2372F0D5" w14:textId="77777777" w:rsidR="002A21AE" w:rsidRDefault="002A21AE">
            <w:pPr>
              <w:pStyle w:val="NotesText"/>
            </w:pPr>
            <w:r>
              <w:t>Click a supply type to reveal manufacturer supply names. Click a manufacturer supply name to reveal lot numbers.</w:t>
            </w:r>
          </w:p>
        </w:tc>
      </w:tr>
      <w:tr w:rsidR="002A21AE" w14:paraId="6F9B7FE5"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5E394BB5" w14:textId="77777777" w:rsidR="002A21AE" w:rsidRDefault="002A21AE">
            <w:pPr>
              <w:pStyle w:val="TableTextNumbers"/>
            </w:pPr>
            <w:r>
              <w:lastRenderedPageBreak/>
              <w:t>Click a lot number to enable the Quantity Available field.</w:t>
            </w:r>
          </w:p>
          <w:p w14:paraId="571A3F56" w14:textId="77777777" w:rsidR="002A21AE" w:rsidRDefault="002A21AE">
            <w:pPr>
              <w:pStyle w:val="TableTextNumbersContinued"/>
            </w:pPr>
          </w:p>
          <w:p w14:paraId="24FCA541" w14:textId="77777777" w:rsidR="002A21AE" w:rsidRDefault="002A21AE">
            <w:pPr>
              <w:pStyle w:val="TableTextNumbersContinued"/>
            </w:pPr>
            <w:r>
              <w:t>Enter (or select) a quantity that is less than or equal to the current entry in the Quantity Available field.</w:t>
            </w:r>
          </w:p>
          <w:p w14:paraId="0B5C6E61" w14:textId="77777777" w:rsidR="002A21AE" w:rsidRDefault="002A21AE">
            <w:pPr>
              <w:pStyle w:val="TableTextNumbersContinued"/>
            </w:pPr>
          </w:p>
          <w:p w14:paraId="740348D1" w14:textId="376525AC" w:rsidR="002A21AE" w:rsidRDefault="002A21AE">
            <w:pPr>
              <w:pStyle w:val="TableTextNumbersContinued"/>
            </w:pPr>
            <w:r>
              <w:t>Select or edit the date and time in the Date Changed field</w:t>
            </w:r>
            <w:r w:rsidR="001556AE">
              <w:t xml:space="preserve"> (</w:t>
            </w:r>
            <w:r w:rsidR="00EE455E">
              <w:t xml:space="preserve">Figure </w:t>
            </w:r>
            <w:r w:rsidR="00EE455E">
              <w:rPr>
                <w:noProof/>
              </w:rPr>
              <w:t>44</w:t>
            </w:r>
            <w:r w:rsidR="001556AE">
              <w:t>)</w:t>
            </w:r>
            <w:r>
              <w:t>.</w:t>
            </w:r>
          </w:p>
        </w:tc>
        <w:tc>
          <w:tcPr>
            <w:tcW w:w="6120" w:type="dxa"/>
            <w:tcBorders>
              <w:top w:val="single" w:sz="4" w:space="0" w:color="auto"/>
              <w:left w:val="single" w:sz="4" w:space="0" w:color="auto"/>
              <w:bottom w:val="single" w:sz="4" w:space="0" w:color="auto"/>
              <w:right w:val="single" w:sz="4" w:space="0" w:color="auto"/>
            </w:tcBorders>
          </w:tcPr>
          <w:p w14:paraId="3D0D6200" w14:textId="77777777" w:rsidR="002A21AE" w:rsidRDefault="002A21AE">
            <w:pPr>
              <w:pStyle w:val="TableText"/>
            </w:pPr>
          </w:p>
          <w:p w14:paraId="45757F61" w14:textId="75BE675F" w:rsidR="002A21AE" w:rsidRDefault="002A21AE">
            <w:pPr>
              <w:pStyle w:val="TableText"/>
              <w:rPr>
                <w:b/>
                <w:bCs/>
                <w:szCs w:val="18"/>
              </w:rPr>
            </w:pPr>
            <w:r>
              <w:rPr>
                <w:b/>
                <w:bCs/>
                <w:szCs w:val="18"/>
              </w:rPr>
              <w:t>NOTES</w:t>
            </w:r>
          </w:p>
          <w:p w14:paraId="47A47CDC" w14:textId="77777777" w:rsidR="002A21AE" w:rsidRDefault="002A21AE">
            <w:pPr>
              <w:pStyle w:val="NotesText"/>
            </w:pPr>
          </w:p>
          <w:p w14:paraId="0C56EED9" w14:textId="77777777" w:rsidR="002A21AE" w:rsidRDefault="002A21AE">
            <w:pPr>
              <w:pStyle w:val="NotesText"/>
            </w:pPr>
            <w:r>
              <w:t>The default change date is the current date and time. The user may edit it to a past date and time only.</w:t>
            </w:r>
          </w:p>
          <w:p w14:paraId="7E15B606" w14:textId="77777777" w:rsidR="002A21AE" w:rsidRDefault="002A21AE">
            <w:pPr>
              <w:pStyle w:val="NotesText"/>
            </w:pPr>
          </w:p>
          <w:p w14:paraId="21F4F10D" w14:textId="77777777" w:rsidR="002A21AE" w:rsidRDefault="002A21AE">
            <w:pPr>
              <w:pStyle w:val="NotesText"/>
            </w:pPr>
            <w:r>
              <w:t>When a user selects Other from the drop-down list in the Reason for Change field, he may enter additional text in the Comments field.</w:t>
            </w:r>
          </w:p>
          <w:p w14:paraId="4CD056B7" w14:textId="77777777" w:rsidR="002A21AE" w:rsidRDefault="002A21AE">
            <w:pPr>
              <w:pStyle w:val="NotesText"/>
            </w:pPr>
          </w:p>
        </w:tc>
      </w:tr>
      <w:tr w:rsidR="002A21AE" w14:paraId="2899451C" w14:textId="77777777">
        <w:tc>
          <w:tcPr>
            <w:tcW w:w="3240" w:type="dxa"/>
            <w:tcBorders>
              <w:top w:val="single" w:sz="4" w:space="0" w:color="auto"/>
              <w:left w:val="single" w:sz="4" w:space="0" w:color="auto"/>
              <w:bottom w:val="single" w:sz="4" w:space="0" w:color="auto"/>
              <w:right w:val="single" w:sz="4" w:space="0" w:color="auto"/>
            </w:tcBorders>
          </w:tcPr>
          <w:p w14:paraId="3B867717" w14:textId="77777777" w:rsidR="002A21AE" w:rsidRDefault="002A21AE">
            <w:pPr>
              <w:pStyle w:val="TableTextNumbers"/>
            </w:pPr>
            <w:r>
              <w:t>Repeat Steps 3 and 4 to edit more supplies, as desired.</w:t>
            </w:r>
          </w:p>
        </w:tc>
        <w:tc>
          <w:tcPr>
            <w:tcW w:w="6120" w:type="dxa"/>
            <w:tcBorders>
              <w:top w:val="single" w:sz="4" w:space="0" w:color="auto"/>
              <w:left w:val="single" w:sz="4" w:space="0" w:color="auto"/>
              <w:bottom w:val="single" w:sz="4" w:space="0" w:color="auto"/>
              <w:right w:val="single" w:sz="4" w:space="0" w:color="auto"/>
            </w:tcBorders>
          </w:tcPr>
          <w:p w14:paraId="309393C9" w14:textId="77777777" w:rsidR="002A21AE" w:rsidRDefault="002A21AE">
            <w:pPr>
              <w:pStyle w:val="TableText"/>
            </w:pPr>
          </w:p>
        </w:tc>
      </w:tr>
      <w:tr w:rsidR="002A21AE" w14:paraId="22AED5F3" w14:textId="77777777">
        <w:tc>
          <w:tcPr>
            <w:tcW w:w="3240" w:type="dxa"/>
            <w:tcBorders>
              <w:top w:val="single" w:sz="4" w:space="0" w:color="auto"/>
              <w:left w:val="single" w:sz="4" w:space="0" w:color="auto"/>
              <w:bottom w:val="single" w:sz="4" w:space="0" w:color="auto"/>
              <w:right w:val="single" w:sz="4" w:space="0" w:color="auto"/>
            </w:tcBorders>
          </w:tcPr>
          <w:p w14:paraId="1AFD1AC4" w14:textId="77777777" w:rsidR="002A21AE" w:rsidRDefault="002A21AE">
            <w:pPr>
              <w:pStyle w:val="TableTextNumbers"/>
            </w:pPr>
            <w:r>
              <w:t xml:space="preserve">Click </w:t>
            </w:r>
            <w:r>
              <w:rPr>
                <w:b/>
              </w:rPr>
              <w:t>OK</w:t>
            </w:r>
            <w:r>
              <w:t xml:space="preserve"> to save.</w:t>
            </w:r>
          </w:p>
          <w:p w14:paraId="7AF891A3" w14:textId="77777777" w:rsidR="002A21AE" w:rsidRDefault="002A21AE">
            <w:pPr>
              <w:pStyle w:val="TableTextNumbersContinued"/>
            </w:pPr>
          </w:p>
          <w:p w14:paraId="2CF82283" w14:textId="77777777" w:rsidR="002A21AE" w:rsidRDefault="002A21AE">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4650BEA7" w14:textId="77777777" w:rsidR="002A21AE" w:rsidRDefault="002A21AE">
            <w:pPr>
              <w:pStyle w:val="TableText"/>
            </w:pPr>
          </w:p>
        </w:tc>
      </w:tr>
      <w:tr w:rsidR="002A21AE" w14:paraId="63F20F53" w14:textId="77777777">
        <w:tc>
          <w:tcPr>
            <w:tcW w:w="3240" w:type="dxa"/>
            <w:tcBorders>
              <w:top w:val="single" w:sz="4" w:space="0" w:color="auto"/>
              <w:left w:val="single" w:sz="4" w:space="0" w:color="auto"/>
              <w:bottom w:val="single" w:sz="4" w:space="0" w:color="auto"/>
              <w:right w:val="single" w:sz="4" w:space="0" w:color="auto"/>
            </w:tcBorders>
          </w:tcPr>
          <w:p w14:paraId="2852977B"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038A191D" w14:textId="77777777" w:rsidR="002A21AE" w:rsidRDefault="002A21AE">
            <w:pPr>
              <w:pStyle w:val="TableTextBullet"/>
            </w:pPr>
            <w:r>
              <w:t>Displays the Supply Inventory window (see View/Print Supply Inventory).</w:t>
            </w:r>
          </w:p>
        </w:tc>
      </w:tr>
      <w:tr w:rsidR="002A21AE" w14:paraId="42D148CE" w14:textId="77777777">
        <w:tc>
          <w:tcPr>
            <w:tcW w:w="3240" w:type="dxa"/>
            <w:tcBorders>
              <w:top w:val="single" w:sz="4" w:space="0" w:color="auto"/>
              <w:left w:val="single" w:sz="4" w:space="0" w:color="auto"/>
              <w:bottom w:val="single" w:sz="4" w:space="0" w:color="auto"/>
              <w:right w:val="single" w:sz="4" w:space="0" w:color="auto"/>
            </w:tcBorders>
          </w:tcPr>
          <w:p w14:paraId="5842E048"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18A31109" w14:textId="77777777" w:rsidR="002A21AE" w:rsidRDefault="002A21AE">
            <w:pPr>
              <w:pStyle w:val="NotesText"/>
              <w:ind w:left="0"/>
            </w:pPr>
          </w:p>
        </w:tc>
      </w:tr>
    </w:tbl>
    <w:p w14:paraId="71E2EC10" w14:textId="28745A5B" w:rsidR="001556AE" w:rsidRDefault="001556AE" w:rsidP="001556AE">
      <w:pPr>
        <w:pStyle w:val="Caption"/>
      </w:pPr>
      <w:bookmarkStart w:id="225" w:name="_Ref12655225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45</w:t>
      </w:r>
      <w:r w:rsidR="004E20BD">
        <w:rPr>
          <w:noProof/>
        </w:rPr>
        <w:fldChar w:fldCharType="end"/>
      </w:r>
      <w:bookmarkEnd w:id="225"/>
      <w:r>
        <w:t>: Update Supplies</w:t>
      </w:r>
    </w:p>
    <w:p w14:paraId="29870ADD" w14:textId="77777777" w:rsidR="001556AE" w:rsidRDefault="00057948" w:rsidP="001556AE">
      <w:pPr>
        <w:pStyle w:val="BodyText"/>
      </w:pPr>
      <w:r>
        <w:rPr>
          <w:noProof/>
        </w:rPr>
        <w:drawing>
          <wp:inline distT="0" distB="0" distL="0" distR="0" wp14:anchorId="0F04B074" wp14:editId="091C2FC9">
            <wp:extent cx="5144770" cy="3888740"/>
            <wp:effectExtent l="0" t="0" r="0" b="0"/>
            <wp:docPr id="147" name="Picture 147" descr="Example of Update Suppli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Example of Update Supplies screen captur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44770" cy="3888740"/>
                    </a:xfrm>
                    <a:prstGeom prst="rect">
                      <a:avLst/>
                    </a:prstGeom>
                    <a:noFill/>
                    <a:ln>
                      <a:noFill/>
                    </a:ln>
                  </pic:spPr>
                </pic:pic>
              </a:graphicData>
            </a:graphic>
          </wp:inline>
        </w:drawing>
      </w:r>
    </w:p>
    <w:p w14:paraId="2F5B271B" w14:textId="77777777" w:rsidR="007E500E" w:rsidRDefault="007E500E">
      <w:pPr>
        <w:rPr>
          <w:rFonts w:ascii="Arial" w:hAnsi="Arial"/>
          <w:b/>
          <w:sz w:val="22"/>
        </w:rPr>
      </w:pPr>
      <w:r>
        <w:br w:type="page"/>
      </w:r>
    </w:p>
    <w:p w14:paraId="3CB88D3D" w14:textId="37CC3006" w:rsidR="002A21AE" w:rsidRDefault="002A21AE">
      <w:pPr>
        <w:pStyle w:val="Heading4"/>
      </w:pPr>
      <w:r>
        <w:lastRenderedPageBreak/>
        <w:t>View/Print Supply Inventory</w:t>
      </w:r>
      <w:r>
        <w:fldChar w:fldCharType="begin"/>
      </w:r>
      <w:r>
        <w:instrText xml:space="preserve"> XE </w:instrText>
      </w:r>
      <w:r w:rsidR="00FA7E65">
        <w:instrText>“</w:instrText>
      </w:r>
      <w:r>
        <w:instrText>View/Print Supply Inventory</w:instrText>
      </w:r>
      <w:r w:rsidR="00FA7E65">
        <w:instrText>”</w:instrText>
      </w:r>
      <w:r>
        <w:instrText xml:space="preserve"> </w:instrText>
      </w:r>
      <w:r>
        <w:fldChar w:fldCharType="end"/>
      </w:r>
      <w:r>
        <w:t xml:space="preserve"> </w:t>
      </w:r>
    </w:p>
    <w:p w14:paraId="0F0F258B" w14:textId="77777777" w:rsidR="002A21AE" w:rsidRDefault="00153A27" w:rsidP="00FA7E65">
      <w:pPr>
        <w:pStyle w:val="BodyText"/>
      </w:pPr>
      <w:r>
        <w:t>The</w:t>
      </w:r>
      <w:r w:rsidR="002A21AE">
        <w:t xml:space="preserve"> user view</w:t>
      </w:r>
      <w:r w:rsidR="00A91655">
        <w:t>s</w:t>
      </w:r>
      <w:r w:rsidR="002A21AE">
        <w:t xml:space="preserve"> inventory online based on various search criteria and print</w:t>
      </w:r>
      <w:r w:rsidR="00A91655">
        <w:t>s</w:t>
      </w:r>
      <w:r w:rsidR="002A21AE">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FC4F5B" w14:textId="77777777">
        <w:trPr>
          <w:cantSplit/>
          <w:tblHeader/>
        </w:trPr>
        <w:tc>
          <w:tcPr>
            <w:tcW w:w="3240" w:type="dxa"/>
            <w:shd w:val="pct30" w:color="auto" w:fill="FFFFFF"/>
            <w:vAlign w:val="bottom"/>
          </w:tcPr>
          <w:p w14:paraId="53200ACE" w14:textId="77777777" w:rsidR="002A21AE" w:rsidRDefault="002A21AE">
            <w:pPr>
              <w:pStyle w:val="TableText"/>
              <w:rPr>
                <w:b/>
              </w:rPr>
            </w:pPr>
            <w:bookmarkStart w:id="226" w:name="_Toc73176862"/>
            <w:r>
              <w:rPr>
                <w:b/>
              </w:rPr>
              <w:t>User Action</w:t>
            </w:r>
          </w:p>
        </w:tc>
        <w:tc>
          <w:tcPr>
            <w:tcW w:w="6120" w:type="dxa"/>
            <w:shd w:val="pct30" w:color="auto" w:fill="FFFFFF"/>
            <w:vAlign w:val="bottom"/>
          </w:tcPr>
          <w:p w14:paraId="0F4B5B5A" w14:textId="77777777" w:rsidR="002A21AE" w:rsidRDefault="002A21AE">
            <w:pPr>
              <w:pStyle w:val="TableText"/>
              <w:rPr>
                <w:b/>
              </w:rPr>
            </w:pPr>
            <w:r>
              <w:rPr>
                <w:b/>
              </w:rPr>
              <w:t>VBECS</w:t>
            </w:r>
          </w:p>
        </w:tc>
      </w:tr>
      <w:tr w:rsidR="002A21AE" w14:paraId="0B27150F" w14:textId="77777777">
        <w:tc>
          <w:tcPr>
            <w:tcW w:w="3240" w:type="dxa"/>
            <w:tcBorders>
              <w:top w:val="single" w:sz="4" w:space="0" w:color="auto"/>
              <w:left w:val="single" w:sz="4" w:space="0" w:color="auto"/>
              <w:bottom w:val="single" w:sz="4" w:space="0" w:color="auto"/>
              <w:right w:val="single" w:sz="4" w:space="0" w:color="auto"/>
            </w:tcBorders>
          </w:tcPr>
          <w:p w14:paraId="627D30B8" w14:textId="77777777" w:rsidR="002A21AE" w:rsidRDefault="002A21AE">
            <w:pPr>
              <w:pStyle w:val="TableTextNumbers"/>
            </w:pPr>
            <w:r>
              <w:t xml:space="preserve">Select </w:t>
            </w:r>
            <w:r>
              <w:rPr>
                <w:b/>
              </w:rPr>
              <w:t>Tools</w:t>
            </w:r>
            <w:r>
              <w:t xml:space="preserve"> from the main menu.</w:t>
            </w:r>
          </w:p>
          <w:p w14:paraId="77C2FACD" w14:textId="77777777" w:rsidR="002A21AE" w:rsidRDefault="002A21AE">
            <w:pPr>
              <w:pStyle w:val="TableTextNumbersContinued"/>
            </w:pPr>
          </w:p>
          <w:p w14:paraId="0E1C8343"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6E44D52" w14:textId="77777777" w:rsidR="002A21AE" w:rsidRDefault="002A21AE">
            <w:pPr>
              <w:pStyle w:val="TableTextBullet"/>
            </w:pPr>
            <w:r>
              <w:t xml:space="preserve">Displays options for processing administrative functions. </w:t>
            </w:r>
          </w:p>
          <w:p w14:paraId="2F773488" w14:textId="77777777" w:rsidR="002A21AE" w:rsidRDefault="002A21AE">
            <w:pPr>
              <w:pStyle w:val="TableTextBullet"/>
            </w:pPr>
            <w:r>
              <w:t>Displays options for processing supplies.</w:t>
            </w:r>
          </w:p>
        </w:tc>
      </w:tr>
      <w:tr w:rsidR="002A21AE" w14:paraId="12BC7455" w14:textId="77777777">
        <w:tc>
          <w:tcPr>
            <w:tcW w:w="3240" w:type="dxa"/>
          </w:tcPr>
          <w:p w14:paraId="755F9725" w14:textId="77777777" w:rsidR="002A21AE" w:rsidRDefault="002A21AE">
            <w:pPr>
              <w:pStyle w:val="TableTextNumbers"/>
            </w:pPr>
            <w:r>
              <w:t xml:space="preserve">Select </w:t>
            </w:r>
            <w:r>
              <w:rPr>
                <w:b/>
              </w:rPr>
              <w:t>View/Print Supply Inventory</w:t>
            </w:r>
            <w:r>
              <w:t>.</w:t>
            </w:r>
          </w:p>
        </w:tc>
        <w:tc>
          <w:tcPr>
            <w:tcW w:w="6120" w:type="dxa"/>
          </w:tcPr>
          <w:p w14:paraId="6F365735" w14:textId="77777777" w:rsidR="002A21AE" w:rsidRDefault="002A21AE">
            <w:pPr>
              <w:pStyle w:val="TableTextBullet"/>
            </w:pPr>
            <w:r>
              <w:t>Lists supply types.</w:t>
            </w:r>
          </w:p>
        </w:tc>
      </w:tr>
      <w:tr w:rsidR="002A21AE" w14:paraId="2E0E87BF" w14:textId="77777777">
        <w:tc>
          <w:tcPr>
            <w:tcW w:w="3240" w:type="dxa"/>
            <w:tcBorders>
              <w:top w:val="single" w:sz="4" w:space="0" w:color="auto"/>
              <w:left w:val="single" w:sz="4" w:space="0" w:color="auto"/>
              <w:bottom w:val="single" w:sz="4" w:space="0" w:color="auto"/>
              <w:right w:val="single" w:sz="4" w:space="0" w:color="auto"/>
            </w:tcBorders>
          </w:tcPr>
          <w:p w14:paraId="62C79FE4" w14:textId="77777777" w:rsidR="002A21AE" w:rsidRDefault="002A21AE">
            <w:pPr>
              <w:pStyle w:val="TableTextNumbers"/>
            </w:pPr>
            <w:r>
              <w:t>Click one or more check boxes in the Supply Type list to select supply types.</w:t>
            </w:r>
          </w:p>
        </w:tc>
        <w:tc>
          <w:tcPr>
            <w:tcW w:w="6120" w:type="dxa"/>
            <w:tcBorders>
              <w:top w:val="single" w:sz="4" w:space="0" w:color="auto"/>
              <w:left w:val="single" w:sz="4" w:space="0" w:color="auto"/>
              <w:bottom w:val="single" w:sz="4" w:space="0" w:color="auto"/>
              <w:right w:val="single" w:sz="4" w:space="0" w:color="auto"/>
            </w:tcBorders>
          </w:tcPr>
          <w:p w14:paraId="1F4DE4D1" w14:textId="77777777" w:rsidR="002A21AE" w:rsidRDefault="002A21AE">
            <w:pPr>
              <w:pStyle w:val="TableTextBullet"/>
            </w:pPr>
            <w:r>
              <w:t>Displays or allows</w:t>
            </w:r>
            <w:r w:rsidR="006B2239">
              <w:t xml:space="preserve"> the</w:t>
            </w:r>
            <w:r>
              <w:t xml:space="preserve"> user to print a report of all current in-date, expired, and unsatisfactory supply inventory and minimum stock levels as a read-only display based on the selection criteria entered:</w:t>
            </w:r>
          </w:p>
          <w:p w14:paraId="0A4FEA7D" w14:textId="77777777" w:rsidR="002A21AE" w:rsidRDefault="002A21AE">
            <w:pPr>
              <w:pStyle w:val="TableTextBullet1"/>
            </w:pPr>
            <w:r>
              <w:t>Date range (</w:t>
            </w:r>
            <w:r w:rsidR="006B2239">
              <w:t xml:space="preserve">the </w:t>
            </w:r>
            <w:r>
              <w:t>user enter</w:t>
            </w:r>
            <w:r w:rsidR="006B2239">
              <w:t>s</w:t>
            </w:r>
            <w:r>
              <w:t xml:space="preserve"> a date to begin and end the search)</w:t>
            </w:r>
          </w:p>
          <w:p w14:paraId="36E3789B" w14:textId="77777777" w:rsidR="002A21AE" w:rsidRDefault="002A21AE">
            <w:pPr>
              <w:pStyle w:val="TableTextBullet1"/>
            </w:pPr>
            <w:r>
              <w:t>Supply type</w:t>
            </w:r>
          </w:p>
          <w:p w14:paraId="4F9698D1" w14:textId="77777777" w:rsidR="002A21AE" w:rsidRDefault="002A21AE">
            <w:pPr>
              <w:pStyle w:val="TableTextBullet1"/>
            </w:pPr>
            <w:r>
              <w:t>In-date (active) Supplies</w:t>
            </w:r>
          </w:p>
          <w:p w14:paraId="5F7160D7" w14:textId="77777777" w:rsidR="002A21AE" w:rsidRDefault="002A21AE">
            <w:pPr>
              <w:pStyle w:val="TableTextBullet1"/>
            </w:pPr>
            <w:r>
              <w:t>Expired (inactive) Supplies</w:t>
            </w:r>
          </w:p>
          <w:p w14:paraId="1B9D0CEC" w14:textId="77777777" w:rsidR="002A21AE" w:rsidRDefault="002A21AE">
            <w:pPr>
              <w:pStyle w:val="TableTextBullet1"/>
            </w:pPr>
            <w:r>
              <w:t>Expiration date of the supply</w:t>
            </w:r>
          </w:p>
          <w:p w14:paraId="73057407" w14:textId="77777777" w:rsidR="002A21AE" w:rsidRDefault="002A21AE">
            <w:pPr>
              <w:pStyle w:val="TableTextBullet1"/>
            </w:pPr>
            <w:r>
              <w:t>Date received</w:t>
            </w:r>
          </w:p>
          <w:p w14:paraId="33411685" w14:textId="77777777" w:rsidR="002A21AE" w:rsidRDefault="002A21AE">
            <w:pPr>
              <w:pStyle w:val="TableText"/>
            </w:pPr>
          </w:p>
          <w:p w14:paraId="6309CE65" w14:textId="2490901D" w:rsidR="002A21AE" w:rsidRDefault="002A21AE">
            <w:pPr>
              <w:pStyle w:val="TableText"/>
              <w:rPr>
                <w:b/>
                <w:bCs/>
                <w:szCs w:val="18"/>
              </w:rPr>
            </w:pPr>
            <w:r>
              <w:rPr>
                <w:b/>
                <w:bCs/>
                <w:szCs w:val="18"/>
              </w:rPr>
              <w:t>NOTES</w:t>
            </w:r>
          </w:p>
          <w:p w14:paraId="0A3FEFFB" w14:textId="77777777" w:rsidR="002A21AE" w:rsidRDefault="002A21AE">
            <w:pPr>
              <w:pStyle w:val="NotesText"/>
            </w:pPr>
          </w:p>
          <w:p w14:paraId="51E62A41" w14:textId="77777777" w:rsidR="002A21AE" w:rsidRDefault="002A21AE">
            <w:pPr>
              <w:pStyle w:val="NotesText"/>
              <w:rPr>
                <w:vanish/>
                <w:szCs w:val="18"/>
              </w:rPr>
            </w:pPr>
            <w:r>
              <w:rPr>
                <w:rFonts w:cs="Arial"/>
                <w:vanish/>
              </w:rPr>
              <w:t xml:space="preserve">BR_81.08 </w:t>
            </w:r>
            <w:r>
              <w:t>A user may view the supply inventory by one, some, or all of the selection criteria.</w:t>
            </w:r>
          </w:p>
          <w:p w14:paraId="05EFD0B1" w14:textId="77777777" w:rsidR="002A21AE" w:rsidRDefault="002A21AE">
            <w:pPr>
              <w:pStyle w:val="NotesText"/>
              <w:rPr>
                <w:vanish/>
                <w:szCs w:val="18"/>
              </w:rPr>
            </w:pPr>
          </w:p>
          <w:p w14:paraId="5C25B7F1" w14:textId="77777777" w:rsidR="002A21AE" w:rsidRDefault="002A21AE">
            <w:pPr>
              <w:pStyle w:val="NotesText"/>
            </w:pPr>
            <w:r>
              <w:rPr>
                <w:vanish/>
                <w:szCs w:val="18"/>
              </w:rPr>
              <w:t>PT_81.01 Supply Types</w:t>
            </w:r>
          </w:p>
        </w:tc>
      </w:tr>
      <w:tr w:rsidR="002A21AE" w14:paraId="2A34E17E" w14:textId="77777777">
        <w:tc>
          <w:tcPr>
            <w:tcW w:w="3240" w:type="dxa"/>
            <w:tcBorders>
              <w:top w:val="single" w:sz="4" w:space="0" w:color="auto"/>
              <w:left w:val="single" w:sz="4" w:space="0" w:color="auto"/>
              <w:bottom w:val="single" w:sz="4" w:space="0" w:color="auto"/>
              <w:right w:val="single" w:sz="4" w:space="0" w:color="auto"/>
            </w:tcBorders>
          </w:tcPr>
          <w:p w14:paraId="7E7A7323" w14:textId="77777777" w:rsidR="002A21AE" w:rsidRDefault="00165119">
            <w:pPr>
              <w:pStyle w:val="TableTextNumbers"/>
            </w:pPr>
            <w:r>
              <w:t xml:space="preserve">Click </w:t>
            </w:r>
            <w:r w:rsidRPr="00165119">
              <w:rPr>
                <w:b/>
              </w:rPr>
              <w:t>OK</w:t>
            </w:r>
            <w:r>
              <w:t xml:space="preserve"> to a</w:t>
            </w:r>
            <w:r w:rsidR="002A21AE">
              <w:t>ccept the displayed selection criteria.</w:t>
            </w:r>
          </w:p>
        </w:tc>
        <w:tc>
          <w:tcPr>
            <w:tcW w:w="6120" w:type="dxa"/>
            <w:tcBorders>
              <w:top w:val="single" w:sz="4" w:space="0" w:color="auto"/>
              <w:left w:val="single" w:sz="4" w:space="0" w:color="auto"/>
              <w:bottom w:val="single" w:sz="4" w:space="0" w:color="auto"/>
              <w:right w:val="single" w:sz="4" w:space="0" w:color="auto"/>
            </w:tcBorders>
          </w:tcPr>
          <w:p w14:paraId="3AA0143B" w14:textId="77777777" w:rsidR="002A21AE" w:rsidRDefault="002A21AE">
            <w:pPr>
              <w:pStyle w:val="TableTextBullet"/>
            </w:pPr>
            <w:r>
              <w:t>Compiles the report and displays an option to print or exit the report.</w:t>
            </w:r>
          </w:p>
        </w:tc>
      </w:tr>
      <w:tr w:rsidR="002A21AE" w14:paraId="184BAAFD" w14:textId="77777777">
        <w:tc>
          <w:tcPr>
            <w:tcW w:w="3240" w:type="dxa"/>
            <w:tcBorders>
              <w:top w:val="single" w:sz="4" w:space="0" w:color="auto"/>
              <w:left w:val="single" w:sz="4" w:space="0" w:color="auto"/>
              <w:bottom w:val="single" w:sz="4" w:space="0" w:color="auto"/>
              <w:right w:val="single" w:sz="4" w:space="0" w:color="auto"/>
            </w:tcBorders>
          </w:tcPr>
          <w:p w14:paraId="49BB723E"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371A9BB3" w14:textId="77777777" w:rsidR="002A21AE" w:rsidRDefault="002A21AE">
            <w:pPr>
              <w:pStyle w:val="TableTextBullet"/>
            </w:pPr>
            <w:r>
              <w:t>Sends the report to print on the printer selected by the user.</w:t>
            </w:r>
          </w:p>
          <w:p w14:paraId="12D40071" w14:textId="77777777" w:rsidR="002A21AE" w:rsidRDefault="002A21AE">
            <w:pPr>
              <w:pStyle w:val="TableText"/>
            </w:pPr>
          </w:p>
          <w:p w14:paraId="6A219D6E" w14:textId="58F571E4" w:rsidR="002A21AE" w:rsidRDefault="002A21AE">
            <w:pPr>
              <w:pStyle w:val="TableText"/>
              <w:rPr>
                <w:b/>
                <w:bCs/>
                <w:szCs w:val="18"/>
              </w:rPr>
            </w:pPr>
            <w:r>
              <w:rPr>
                <w:b/>
                <w:bCs/>
                <w:szCs w:val="18"/>
              </w:rPr>
              <w:t>NOTES</w:t>
            </w:r>
          </w:p>
          <w:p w14:paraId="26A16F83" w14:textId="77777777" w:rsidR="002A21AE" w:rsidRDefault="002A21AE">
            <w:pPr>
              <w:pStyle w:val="NotesText"/>
            </w:pPr>
          </w:p>
          <w:p w14:paraId="1A3FB34F" w14:textId="77777777" w:rsidR="002A21AE" w:rsidRDefault="002A21AE">
            <w:pPr>
              <w:pStyle w:val="NotesText"/>
            </w:pPr>
            <w:r>
              <w:rPr>
                <w:rFonts w:cs="Arial"/>
                <w:vanish/>
              </w:rPr>
              <w:t xml:space="preserve">BR_81.09 </w:t>
            </w:r>
            <w:r>
              <w:t>VBECS displays and prints the report in the supply type order</w:t>
            </w:r>
            <w:r w:rsidR="00F85F11">
              <w:t xml:space="preserve"> </w:t>
            </w:r>
            <w:r>
              <w:rPr>
                <w:vanish/>
                <w:szCs w:val="18"/>
              </w:rPr>
              <w:t>(as defined in PT_81.01)</w:t>
            </w:r>
            <w:r>
              <w:t>: in-date by lot number in reverse chronological order of expiration date, followed by expired and unsatisfactory supplies. Details included in the report:</w:t>
            </w:r>
          </w:p>
          <w:p w14:paraId="18CE9274" w14:textId="77777777" w:rsidR="002A21AE" w:rsidRDefault="002A21AE">
            <w:pPr>
              <w:pStyle w:val="NotesTextBullet"/>
            </w:pPr>
            <w:r>
              <w:t xml:space="preserve">Supply Type (Unit of Measure) </w:t>
            </w:r>
          </w:p>
          <w:p w14:paraId="47D51AD2" w14:textId="77777777" w:rsidR="002A21AE" w:rsidRDefault="002A21AE">
            <w:pPr>
              <w:pStyle w:val="NotesTextBullet"/>
            </w:pPr>
            <w:r>
              <w:t>Manufacturer</w:t>
            </w:r>
          </w:p>
          <w:p w14:paraId="5572CA59" w14:textId="77777777" w:rsidR="002A21AE" w:rsidRDefault="002A21AE">
            <w:pPr>
              <w:pStyle w:val="NotesTextBullet"/>
            </w:pPr>
            <w:r>
              <w:t>Manufacturer’s Supply Name</w:t>
            </w:r>
          </w:p>
          <w:p w14:paraId="2FC98CED" w14:textId="77777777" w:rsidR="002A21AE" w:rsidRDefault="002A21AE">
            <w:pPr>
              <w:pStyle w:val="NotesTextBullet"/>
            </w:pPr>
            <w:r>
              <w:t>Lot Number</w:t>
            </w:r>
          </w:p>
          <w:p w14:paraId="62303CB5" w14:textId="77777777" w:rsidR="002A21AE" w:rsidRDefault="002A21AE">
            <w:pPr>
              <w:pStyle w:val="NotesTextBullet"/>
            </w:pPr>
            <w:r>
              <w:t>Expiration Date</w:t>
            </w:r>
          </w:p>
          <w:p w14:paraId="6F95D912" w14:textId="77777777" w:rsidR="002A21AE" w:rsidRDefault="002A21AE">
            <w:pPr>
              <w:pStyle w:val="NotesTextBullet"/>
            </w:pPr>
            <w:r>
              <w:t>Number Available</w:t>
            </w:r>
          </w:p>
          <w:p w14:paraId="62B58844" w14:textId="77777777" w:rsidR="002A21AE" w:rsidRDefault="002A21AE">
            <w:pPr>
              <w:pStyle w:val="NotesTextBullet"/>
            </w:pPr>
            <w:r>
              <w:t>Inspection upon receipt</w:t>
            </w:r>
          </w:p>
          <w:p w14:paraId="693974F0" w14:textId="77777777" w:rsidR="002A21AE" w:rsidRDefault="002A21AE">
            <w:pPr>
              <w:pStyle w:val="NotesTextBullet"/>
            </w:pPr>
            <w:r>
              <w:t>Invoice Number</w:t>
            </w:r>
          </w:p>
          <w:p w14:paraId="5C480C07" w14:textId="77777777" w:rsidR="002A21AE" w:rsidRDefault="002A21AE">
            <w:pPr>
              <w:pStyle w:val="NotesTextBullet"/>
            </w:pPr>
            <w:r>
              <w:t xml:space="preserve">Received Date/Time </w:t>
            </w:r>
          </w:p>
          <w:p w14:paraId="53025783" w14:textId="77777777" w:rsidR="002A21AE" w:rsidRDefault="002A21AE">
            <w:pPr>
              <w:pStyle w:val="NotesTextBullet"/>
            </w:pPr>
            <w:r>
              <w:t>Received by Tech Name</w:t>
            </w:r>
          </w:p>
          <w:p w14:paraId="1BE416CE" w14:textId="77777777" w:rsidR="002A21AE" w:rsidRDefault="002A21AE" w:rsidP="000C4324">
            <w:pPr>
              <w:pStyle w:val="NotesTextBullet"/>
            </w:pPr>
            <w:r>
              <w:t>Comments</w:t>
            </w:r>
          </w:p>
        </w:tc>
      </w:tr>
      <w:tr w:rsidR="002A21AE" w14:paraId="2075155A" w14:textId="77777777">
        <w:tc>
          <w:tcPr>
            <w:tcW w:w="3240" w:type="dxa"/>
            <w:tcBorders>
              <w:top w:val="single" w:sz="4" w:space="0" w:color="auto"/>
              <w:left w:val="single" w:sz="4" w:space="0" w:color="auto"/>
              <w:bottom w:val="single" w:sz="4" w:space="0" w:color="auto"/>
              <w:right w:val="single" w:sz="4" w:space="0" w:color="auto"/>
            </w:tcBorders>
          </w:tcPr>
          <w:p w14:paraId="29EB70B2" w14:textId="77777777" w:rsidR="002A21AE" w:rsidRDefault="002A21AE">
            <w:pPr>
              <w:pStyle w:val="TableTextNumbers"/>
            </w:pPr>
            <w:r>
              <w:t>Print another report or</w:t>
            </w:r>
            <w:r w:rsidR="00165119">
              <w:t xml:space="preserve"> click </w:t>
            </w:r>
            <w:r w:rsidR="00165119" w:rsidRPr="00165119">
              <w:rPr>
                <w:b/>
              </w:rPr>
              <w:t>Cancel</w:t>
            </w:r>
            <w:r w:rsidR="00165119">
              <w:t xml:space="preserve"> to</w:t>
            </w:r>
            <w:r>
              <w:t xml:space="preserve">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84F2CC3" w14:textId="77777777" w:rsidR="002A21AE" w:rsidRDefault="002A21AE">
            <w:pPr>
              <w:pStyle w:val="TableText"/>
            </w:pPr>
          </w:p>
        </w:tc>
      </w:tr>
      <w:bookmarkEnd w:id="226"/>
    </w:tbl>
    <w:p w14:paraId="46C0CF5F" w14:textId="77777777" w:rsidR="00DC6F96" w:rsidRDefault="00DC6F96">
      <w:pPr>
        <w:pStyle w:val="Heading3"/>
      </w:pPr>
    </w:p>
    <w:p w14:paraId="6DE059C2" w14:textId="77777777" w:rsidR="002A21AE" w:rsidRDefault="00DC6F96">
      <w:pPr>
        <w:pStyle w:val="Heading3"/>
      </w:pPr>
      <w:r>
        <w:br w:type="page"/>
      </w:r>
      <w:bookmarkStart w:id="227" w:name="_Toc163644904"/>
      <w:r w:rsidR="002A21AE">
        <w:lastRenderedPageBreak/>
        <w:t>Equipment</w:t>
      </w:r>
      <w:bookmarkEnd w:id="227"/>
      <w:r w:rsidR="002A21AE">
        <w:fldChar w:fldCharType="begin"/>
      </w:r>
      <w:r w:rsidR="002A21AE">
        <w:instrText xml:space="preserve"> XE </w:instrText>
      </w:r>
      <w:r w:rsidR="00FA7E65">
        <w:instrText>“</w:instrText>
      </w:r>
      <w:r w:rsidR="002A21AE">
        <w:instrText>Equipment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UC_22</w:t>
      </w:r>
    </w:p>
    <w:p w14:paraId="52E0570B" w14:textId="77777777" w:rsidR="002A21AE" w:rsidRDefault="002A21AE" w:rsidP="00FA7E65">
      <w:pPr>
        <w:pStyle w:val="BodyText"/>
      </w:pPr>
      <w:r>
        <w:t>The user registers blood bank instruments and other equipment (refrigerators, freezers, thawing bath, incubators, centrifuges, etc.) and records associated maintenance activities.</w:t>
      </w:r>
    </w:p>
    <w:p w14:paraId="03782CAC" w14:textId="77777777" w:rsidR="002A21AE" w:rsidRDefault="002A21AE">
      <w:pPr>
        <w:pStyle w:val="Heading4"/>
        <w:rPr>
          <w:b w:val="0"/>
        </w:rPr>
      </w:pPr>
      <w:r>
        <w:t>Assumptions</w:t>
      </w:r>
    </w:p>
    <w:p w14:paraId="345676A3" w14:textId="77777777" w:rsidR="002A21AE" w:rsidRDefault="002A21AE">
      <w:pPr>
        <w:pStyle w:val="ListBullet"/>
      </w:pPr>
      <w:r>
        <w:rPr>
          <w:rFonts w:ascii="Arial" w:hAnsi="Arial" w:cs="Arial"/>
          <w:vanish/>
          <w:spacing w:val="0"/>
          <w:sz w:val="18"/>
        </w:rPr>
        <w:t xml:space="preserve">BR_22.01 </w:t>
      </w:r>
      <w:r>
        <w:t>A user may maintain equipment inventory only in the division currently logged into.</w:t>
      </w:r>
    </w:p>
    <w:p w14:paraId="74120EDF" w14:textId="77777777" w:rsidR="002A21AE" w:rsidRDefault="002A21AE">
      <w:pPr>
        <w:pStyle w:val="Heading4"/>
      </w:pPr>
      <w:r>
        <w:t xml:space="preserve">Outcome </w:t>
      </w:r>
    </w:p>
    <w:p w14:paraId="73D18209" w14:textId="77777777" w:rsidR="002A21AE" w:rsidRDefault="002A21AE">
      <w:pPr>
        <w:pStyle w:val="ListBullet"/>
        <w:rPr>
          <w:b/>
        </w:rPr>
      </w:pPr>
      <w:r>
        <w:t>An equipment maintenance record, accessible within the division of entry, was established.</w:t>
      </w:r>
    </w:p>
    <w:p w14:paraId="47768B61" w14:textId="77777777" w:rsidR="002A21AE" w:rsidRDefault="002A21AE">
      <w:pPr>
        <w:pStyle w:val="Heading4"/>
      </w:pPr>
      <w:r>
        <w:t xml:space="preserve">Limitations and Restrictions </w:t>
      </w:r>
    </w:p>
    <w:p w14:paraId="29CDE8AC" w14:textId="77777777" w:rsidR="002A21AE" w:rsidRDefault="002A21AE">
      <w:pPr>
        <w:pStyle w:val="ListBullet"/>
      </w:pPr>
      <w:r>
        <w:t>VBECS does not check for duplicate entries of equipment names and identifiers.</w:t>
      </w:r>
    </w:p>
    <w:p w14:paraId="5B63DF8E" w14:textId="77777777" w:rsidR="002A21AE" w:rsidRDefault="002A21AE">
      <w:pPr>
        <w:pStyle w:val="ListBullet"/>
      </w:pPr>
      <w:r>
        <w:t xml:space="preserve">There is no retrospective data entry or user selection for </w:t>
      </w:r>
      <w:r w:rsidR="00932460">
        <w:t>this option</w:t>
      </w:r>
      <w:r>
        <w:t>.</w:t>
      </w:r>
    </w:p>
    <w:p w14:paraId="218438F5" w14:textId="77777777" w:rsidR="002A21AE" w:rsidRDefault="002A21AE">
      <w:pPr>
        <w:pStyle w:val="Heading4"/>
      </w:pPr>
      <w:r>
        <w:t xml:space="preserve">Additional Information </w:t>
      </w:r>
    </w:p>
    <w:p w14:paraId="6889D7D5" w14:textId="77777777" w:rsidR="002A21AE" w:rsidRDefault="002A21AE">
      <w:pPr>
        <w:pStyle w:val="ListBullet"/>
      </w:pPr>
      <w:r>
        <w:t>VBECS does not calculate inventory levels for supplies or equipment.</w:t>
      </w:r>
    </w:p>
    <w:p w14:paraId="0B29F580" w14:textId="77777777" w:rsidR="002A21AE" w:rsidRDefault="002A21AE">
      <w:pPr>
        <w:pStyle w:val="Heading4"/>
        <w:rPr>
          <w:b w:val="0"/>
        </w:rPr>
      </w:pPr>
      <w:r>
        <w:t>User Roles with Access to This Option</w:t>
      </w:r>
      <w:r>
        <w:rPr>
          <w:b w:val="0"/>
        </w:rPr>
        <w:t xml:space="preserve"> </w:t>
      </w:r>
    </w:p>
    <w:p w14:paraId="63BBF149" w14:textId="77777777" w:rsidR="002A21AE" w:rsidRDefault="00410B0E">
      <w:pPr>
        <w:pStyle w:val="Roles"/>
        <w:rPr>
          <w:snapToGrid w:val="0"/>
        </w:rPr>
      </w:pPr>
      <w:r>
        <w:t>All users</w:t>
      </w:r>
    </w:p>
    <w:p w14:paraId="3C2469CB" w14:textId="77777777" w:rsidR="002A21AE" w:rsidRDefault="002A21AE">
      <w:pPr>
        <w:pStyle w:val="Heading4"/>
      </w:pPr>
      <w:r>
        <w:t>Equipment: Log In Equipment</w:t>
      </w:r>
      <w:r>
        <w:fldChar w:fldCharType="begin"/>
      </w:r>
      <w:r>
        <w:instrText xml:space="preserve"> XE </w:instrText>
      </w:r>
      <w:r w:rsidR="00FA7E65">
        <w:instrText>“</w:instrText>
      </w:r>
      <w:r>
        <w:instrText>Equipment\: Log In Equipment</w:instrText>
      </w:r>
      <w:r w:rsidR="00FA7E65">
        <w:instrText>”</w:instrText>
      </w:r>
      <w:r>
        <w:instrText xml:space="preserve"> </w:instrText>
      </w:r>
      <w:r>
        <w:fldChar w:fldCharType="end"/>
      </w:r>
    </w:p>
    <w:p w14:paraId="5BFB5647" w14:textId="77777777" w:rsidR="002A21AE" w:rsidRDefault="002A21AE" w:rsidP="00FA7E65">
      <w:pPr>
        <w:pStyle w:val="BodyText"/>
      </w:pPr>
      <w:r>
        <w:t>A user add</w:t>
      </w:r>
      <w:r w:rsidR="0000095B">
        <w:t>s</w:t>
      </w:r>
      <w:r>
        <w:t xml:space="preserve"> new equipment or maintain</w:t>
      </w:r>
      <w:r w:rsidR="0000095B">
        <w:t>s</w:t>
      </w:r>
      <w:r>
        <w:t xml:space="preserve"> existing equipment. After equipment is registered, the user must record periodic maintenance. The equipment records are updated and retained according to local procedure and policy. Once an equipment record is established, it may be selected as equipment used during a blood product modification.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349994" w14:textId="77777777">
        <w:trPr>
          <w:cantSplit/>
          <w:tblHeader/>
        </w:trPr>
        <w:tc>
          <w:tcPr>
            <w:tcW w:w="3240" w:type="dxa"/>
            <w:shd w:val="pct30" w:color="auto" w:fill="FFFFFF"/>
            <w:vAlign w:val="bottom"/>
          </w:tcPr>
          <w:p w14:paraId="5429D136" w14:textId="77777777" w:rsidR="002A21AE" w:rsidRDefault="002A21AE">
            <w:pPr>
              <w:pStyle w:val="TableText"/>
              <w:rPr>
                <w:b/>
              </w:rPr>
            </w:pPr>
            <w:r>
              <w:rPr>
                <w:b/>
              </w:rPr>
              <w:t>User Action</w:t>
            </w:r>
          </w:p>
        </w:tc>
        <w:tc>
          <w:tcPr>
            <w:tcW w:w="6120" w:type="dxa"/>
            <w:shd w:val="pct30" w:color="auto" w:fill="FFFFFF"/>
            <w:vAlign w:val="bottom"/>
          </w:tcPr>
          <w:p w14:paraId="634BE247" w14:textId="77777777" w:rsidR="002A21AE" w:rsidRDefault="002A21AE">
            <w:pPr>
              <w:pStyle w:val="TableText"/>
              <w:rPr>
                <w:b/>
              </w:rPr>
            </w:pPr>
            <w:r>
              <w:rPr>
                <w:b/>
              </w:rPr>
              <w:t>VBECS</w:t>
            </w:r>
          </w:p>
        </w:tc>
      </w:tr>
      <w:tr w:rsidR="002A21AE" w14:paraId="546EFB15" w14:textId="77777777">
        <w:tc>
          <w:tcPr>
            <w:tcW w:w="3240" w:type="dxa"/>
          </w:tcPr>
          <w:p w14:paraId="09F4B02A" w14:textId="77777777" w:rsidR="002A21AE" w:rsidRDefault="002A21AE">
            <w:pPr>
              <w:pStyle w:val="TableTextNumbers"/>
            </w:pPr>
            <w:r>
              <w:t xml:space="preserve">To add new equipment, select </w:t>
            </w:r>
            <w:r>
              <w:rPr>
                <w:b/>
              </w:rPr>
              <w:t>Tools</w:t>
            </w:r>
            <w:r>
              <w:t xml:space="preserve"> from the main menu.</w:t>
            </w:r>
          </w:p>
          <w:p w14:paraId="0B16F63B" w14:textId="77777777" w:rsidR="002A21AE" w:rsidRDefault="002A21AE">
            <w:pPr>
              <w:pStyle w:val="TableTextNumbersContinued"/>
            </w:pPr>
          </w:p>
          <w:p w14:paraId="0AF0E70A" w14:textId="77777777" w:rsidR="002A21AE" w:rsidRDefault="002A21AE">
            <w:pPr>
              <w:pStyle w:val="TableTextNumbersContinued"/>
            </w:pPr>
            <w:r>
              <w:t xml:space="preserve">Select </w:t>
            </w:r>
            <w:r>
              <w:rPr>
                <w:b/>
              </w:rPr>
              <w:t>Equipment</w:t>
            </w:r>
            <w:r>
              <w:t>.</w:t>
            </w:r>
          </w:p>
        </w:tc>
        <w:tc>
          <w:tcPr>
            <w:tcW w:w="6120" w:type="dxa"/>
          </w:tcPr>
          <w:p w14:paraId="56DC278C" w14:textId="77777777" w:rsidR="002A21AE" w:rsidRDefault="002A21AE">
            <w:pPr>
              <w:pStyle w:val="TableTextBullet"/>
            </w:pPr>
            <w:r>
              <w:t>Displays options to maintain equipment maintenance.</w:t>
            </w:r>
          </w:p>
          <w:p w14:paraId="56E6198C" w14:textId="77777777" w:rsidR="002A21AE" w:rsidRDefault="002A21AE">
            <w:pPr>
              <w:pStyle w:val="NotesText"/>
            </w:pPr>
          </w:p>
        </w:tc>
      </w:tr>
      <w:tr w:rsidR="002A21AE" w14:paraId="088B4C72" w14:textId="77777777">
        <w:tc>
          <w:tcPr>
            <w:tcW w:w="3240" w:type="dxa"/>
            <w:tcBorders>
              <w:top w:val="single" w:sz="4" w:space="0" w:color="auto"/>
              <w:left w:val="single" w:sz="4" w:space="0" w:color="auto"/>
              <w:bottom w:val="single" w:sz="4" w:space="0" w:color="auto"/>
              <w:right w:val="single" w:sz="4" w:space="0" w:color="auto"/>
            </w:tcBorders>
          </w:tcPr>
          <w:p w14:paraId="40A32BB2" w14:textId="77777777" w:rsidR="002A21AE" w:rsidRDefault="002A21AE">
            <w:pPr>
              <w:pStyle w:val="TableTextNumbers"/>
            </w:pPr>
            <w:r>
              <w:t xml:space="preserve">Select </w:t>
            </w:r>
            <w:r>
              <w:rPr>
                <w:b/>
              </w:rPr>
              <w:t>Log In Equipment</w:t>
            </w:r>
            <w:r>
              <w:t xml:space="preserve"> to create an equipment record or </w:t>
            </w:r>
            <w:r>
              <w:rPr>
                <w:b/>
              </w:rPr>
              <w:t>Maintain Equipment</w:t>
            </w:r>
            <w:r>
              <w:t xml:space="preserve"> to record maintenance (see Equipment: Maintain Equipment).</w:t>
            </w:r>
          </w:p>
        </w:tc>
        <w:tc>
          <w:tcPr>
            <w:tcW w:w="6120" w:type="dxa"/>
            <w:tcBorders>
              <w:top w:val="single" w:sz="4" w:space="0" w:color="auto"/>
              <w:left w:val="single" w:sz="4" w:space="0" w:color="auto"/>
              <w:bottom w:val="single" w:sz="4" w:space="0" w:color="auto"/>
              <w:right w:val="single" w:sz="4" w:space="0" w:color="auto"/>
            </w:tcBorders>
          </w:tcPr>
          <w:p w14:paraId="4ED0280D" w14:textId="77777777" w:rsidR="002A21AE" w:rsidRDefault="002A21AE">
            <w:pPr>
              <w:pStyle w:val="TableTextBullet"/>
            </w:pPr>
            <w:r>
              <w:rPr>
                <w:rFonts w:cs="Arial"/>
                <w:vanish/>
              </w:rPr>
              <w:t xml:space="preserve">BR_22.05 </w:t>
            </w:r>
            <w:r>
              <w:t>Displays an empty equipment property template.</w:t>
            </w:r>
          </w:p>
          <w:p w14:paraId="229D5324" w14:textId="77777777" w:rsidR="002A21AE" w:rsidRDefault="002A21AE">
            <w:pPr>
              <w:pStyle w:val="TableTextBullet"/>
            </w:pPr>
            <w:r>
              <w:t>Displays all in-service equipment items for the blood bank associated with the user’s division and offers the option to display out-of-service equipment.</w:t>
            </w:r>
          </w:p>
        </w:tc>
      </w:tr>
      <w:tr w:rsidR="002A21AE" w14:paraId="10E5BC00"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63006603" w14:textId="77777777" w:rsidR="002A21AE" w:rsidRDefault="002A21AE">
            <w:pPr>
              <w:pStyle w:val="TableTextNumbers"/>
            </w:pPr>
            <w:r>
              <w:lastRenderedPageBreak/>
              <w:t>Equipment Info area: Enter the equipment information in the appropriate fields. Enter or select an equipment type from the drop-down menu.</w:t>
            </w:r>
          </w:p>
          <w:p w14:paraId="21566E90" w14:textId="77777777" w:rsidR="002A21AE" w:rsidRDefault="002A21AE">
            <w:pPr>
              <w:pStyle w:val="TableTextNumbersContinued"/>
              <w:rPr>
                <w:b/>
                <w:bCs/>
              </w:rPr>
            </w:pPr>
          </w:p>
          <w:p w14:paraId="0BDC4C41" w14:textId="77777777" w:rsidR="002A21AE" w:rsidRDefault="002A21AE">
            <w:pPr>
              <w:pStyle w:val="TableTextNumbersContinued"/>
            </w:pPr>
            <w:r>
              <w:t>Installation Info area: Select or edit the date and time in the Date Received/Installed field.</w:t>
            </w:r>
          </w:p>
          <w:p w14:paraId="1D660719" w14:textId="77777777" w:rsidR="002A21AE" w:rsidRDefault="002A21AE">
            <w:pPr>
              <w:pStyle w:val="TableTextNumbersContinued"/>
            </w:pPr>
          </w:p>
          <w:p w14:paraId="6E2B075F" w14:textId="77777777" w:rsidR="002A21AE" w:rsidRDefault="002A21AE">
            <w:pPr>
              <w:pStyle w:val="TableTextNumbersContinued"/>
            </w:pPr>
            <w:r>
              <w:t xml:space="preserve">Click the </w:t>
            </w:r>
            <w:r>
              <w:rPr>
                <w:b/>
              </w:rPr>
              <w:t xml:space="preserve">Expiration/Renewal Date </w:t>
            </w:r>
            <w:r w:rsidRPr="00D1100E">
              <w:t>check box</w:t>
            </w:r>
            <w:r>
              <w:rPr>
                <w:b/>
              </w:rPr>
              <w:t xml:space="preserve"> </w:t>
            </w:r>
            <w:r>
              <w:t xml:space="preserve">when there’s an expiration or renewal date, and edit the date as above. </w:t>
            </w:r>
          </w:p>
          <w:p w14:paraId="03C6B7AF" w14:textId="77777777" w:rsidR="002A21AE" w:rsidRDefault="002A21AE">
            <w:pPr>
              <w:pStyle w:val="TableTextNumbersContinued"/>
            </w:pPr>
          </w:p>
          <w:p w14:paraId="798164E6" w14:textId="77777777" w:rsidR="002A21AE" w:rsidRDefault="002A21AE">
            <w:pPr>
              <w:pStyle w:val="TableTextNumbersContinued"/>
            </w:pPr>
            <w:r>
              <w:t>Manufacturer Info area: Enter the manufacturer name or select a manufacturer from the drop-down list.</w:t>
            </w:r>
          </w:p>
          <w:p w14:paraId="7408D1D3" w14:textId="77777777" w:rsidR="002A21AE" w:rsidRDefault="002A21AE">
            <w:pPr>
              <w:pStyle w:val="TableTextNumbersContinued"/>
            </w:pPr>
          </w:p>
          <w:p w14:paraId="116678AD" w14:textId="77777777" w:rsidR="002A21AE" w:rsidRDefault="002A21AE">
            <w:pPr>
              <w:pStyle w:val="TableTextNumbersContinued"/>
            </w:pPr>
            <w:r>
              <w:t xml:space="preserve">Enter the manufacturer’s contact information in the appropriate fields or click the </w:t>
            </w:r>
            <w:r w:rsidR="00A6373D">
              <w:rPr>
                <w:b/>
              </w:rPr>
              <w:t>find</w:t>
            </w:r>
            <w:r w:rsidRPr="00BF2E41">
              <w:t xml:space="preserve"> button</w:t>
            </w:r>
            <w:r>
              <w:t xml:space="preserve"> to select the manufacturer’s address.</w:t>
            </w:r>
          </w:p>
          <w:p w14:paraId="2330436A" w14:textId="77777777" w:rsidR="002A21AE" w:rsidRDefault="002A21AE">
            <w:pPr>
              <w:pStyle w:val="TableTextNumbersContinued"/>
            </w:pPr>
          </w:p>
          <w:p w14:paraId="0D9706B0" w14:textId="019772D5" w:rsidR="002A21AE" w:rsidRDefault="002A21AE">
            <w:pPr>
              <w:pStyle w:val="TableTextNumbersContinued"/>
            </w:pPr>
            <w:r>
              <w:t xml:space="preserve">Click </w:t>
            </w:r>
            <w:r>
              <w:rPr>
                <w:b/>
              </w:rPr>
              <w:t>Add</w:t>
            </w:r>
            <w:r>
              <w:t xml:space="preserve"> to add the equipment to inventory</w:t>
            </w:r>
            <w:r w:rsidR="00D33C56">
              <w:t xml:space="preserve"> (</w:t>
            </w:r>
            <w:r w:rsidR="00EE455E">
              <w:t xml:space="preserve">Figure </w:t>
            </w:r>
            <w:r w:rsidR="00EE455E">
              <w:rPr>
                <w:noProof/>
              </w:rPr>
              <w:t>45</w:t>
            </w:r>
            <w:r w:rsidR="00D33C56">
              <w:t>)</w:t>
            </w:r>
            <w:r>
              <w:t>.</w:t>
            </w:r>
          </w:p>
        </w:tc>
        <w:tc>
          <w:tcPr>
            <w:tcW w:w="6120" w:type="dxa"/>
            <w:tcBorders>
              <w:top w:val="single" w:sz="4" w:space="0" w:color="auto"/>
              <w:left w:val="single" w:sz="4" w:space="0" w:color="auto"/>
              <w:bottom w:val="single" w:sz="4" w:space="0" w:color="auto"/>
              <w:right w:val="single" w:sz="4" w:space="0" w:color="auto"/>
            </w:tcBorders>
          </w:tcPr>
          <w:p w14:paraId="75E844DB" w14:textId="77777777" w:rsidR="002A21AE" w:rsidRDefault="002A21AE">
            <w:pPr>
              <w:pStyle w:val="TableTextBullet"/>
            </w:pPr>
            <w:r>
              <w:t>Displays fields for entering equipment name, ID, serial number, and type in the Equipment Info area.</w:t>
            </w:r>
          </w:p>
          <w:p w14:paraId="6AA68B3A" w14:textId="77777777" w:rsidR="002A21AE" w:rsidRDefault="002A21AE">
            <w:pPr>
              <w:pStyle w:val="TableTextBullet"/>
            </w:pPr>
            <w:r>
              <w:t>Displays fields for entering the date the equipment was received or installed, warranty or service contract number, and expiration or renewal service contract date in the Installation Info area.</w:t>
            </w:r>
          </w:p>
          <w:p w14:paraId="12383213" w14:textId="77777777" w:rsidR="002A21AE" w:rsidRDefault="002A21AE">
            <w:pPr>
              <w:pStyle w:val="TableTextBullet"/>
            </w:pPr>
            <w:r>
              <w:t>Displays fields for entering the manufacturer name, address, and phone in the Manufacturer Info area.</w:t>
            </w:r>
          </w:p>
        </w:tc>
      </w:tr>
      <w:tr w:rsidR="002A21AE" w14:paraId="00DB82BD" w14:textId="77777777">
        <w:tc>
          <w:tcPr>
            <w:tcW w:w="3240" w:type="dxa"/>
            <w:tcBorders>
              <w:top w:val="single" w:sz="4" w:space="0" w:color="auto"/>
              <w:left w:val="single" w:sz="4" w:space="0" w:color="auto"/>
              <w:bottom w:val="single" w:sz="4" w:space="0" w:color="auto"/>
              <w:right w:val="single" w:sz="4" w:space="0" w:color="auto"/>
            </w:tcBorders>
          </w:tcPr>
          <w:p w14:paraId="586A0F36" w14:textId="77777777" w:rsidR="002A21AE" w:rsidRDefault="002A21AE">
            <w:pPr>
              <w:pStyle w:val="TableTextNumbers"/>
            </w:pPr>
            <w:r>
              <w:t>Repeat Step 3 to add new items to the equipment list.</w:t>
            </w:r>
          </w:p>
          <w:p w14:paraId="77D661D5" w14:textId="77777777" w:rsidR="002A21AE" w:rsidRDefault="002A21AE">
            <w:pPr>
              <w:pStyle w:val="TableTextNumbersContinued"/>
            </w:pPr>
          </w:p>
          <w:p w14:paraId="767412B3" w14:textId="77777777" w:rsidR="002A21AE" w:rsidRDefault="002A21AE">
            <w:pPr>
              <w:pStyle w:val="TableTextNumbersContinued"/>
            </w:pPr>
            <w:r>
              <w:t xml:space="preserve">Click </w:t>
            </w:r>
            <w:r>
              <w:rPr>
                <w:b/>
              </w:rPr>
              <w:t>OK</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5DFE53A3" w14:textId="77777777" w:rsidR="002A21AE" w:rsidRDefault="002A21AE">
            <w:pPr>
              <w:pStyle w:val="TableTextBullet"/>
            </w:pPr>
            <w:r>
              <w:rPr>
                <w:rFonts w:cs="Arial"/>
                <w:vanish/>
              </w:rPr>
              <w:t xml:space="preserve">BR_22.02 </w:t>
            </w:r>
            <w:r>
              <w:t>VBECS maintains a historical record for each piece of equipment entered.</w:t>
            </w:r>
          </w:p>
        </w:tc>
      </w:tr>
      <w:tr w:rsidR="002A21AE" w14:paraId="3441D556" w14:textId="77777777">
        <w:tc>
          <w:tcPr>
            <w:tcW w:w="3240" w:type="dxa"/>
            <w:tcBorders>
              <w:top w:val="single" w:sz="4" w:space="0" w:color="auto"/>
              <w:left w:val="single" w:sz="4" w:space="0" w:color="auto"/>
              <w:bottom w:val="single" w:sz="4" w:space="0" w:color="auto"/>
              <w:right w:val="single" w:sz="4" w:space="0" w:color="auto"/>
            </w:tcBorders>
          </w:tcPr>
          <w:p w14:paraId="00333D11" w14:textId="77777777" w:rsidR="002A21AE" w:rsidRDefault="002A21AE">
            <w:pPr>
              <w:pStyle w:val="TableTextNumbers"/>
            </w:pPr>
            <w:r>
              <w:t xml:space="preserve">Click </w:t>
            </w:r>
            <w:r>
              <w:rPr>
                <w:b/>
              </w:rPr>
              <w:t>Yes</w:t>
            </w:r>
            <w:r>
              <w:t xml:space="preserve"> to confirm and exit.</w:t>
            </w:r>
            <w:r>
              <w:rPr>
                <w:vanish/>
                <w:szCs w:val="18"/>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8BA75B1" w14:textId="77777777" w:rsidR="002A21AE" w:rsidRDefault="002A21AE">
            <w:pPr>
              <w:pStyle w:val="TableText"/>
            </w:pPr>
          </w:p>
        </w:tc>
      </w:tr>
    </w:tbl>
    <w:p w14:paraId="5CA22400" w14:textId="334A1BBC" w:rsidR="00D33C56" w:rsidRDefault="00D33C56" w:rsidP="00D33C56">
      <w:pPr>
        <w:pStyle w:val="Caption"/>
      </w:pPr>
      <w:bookmarkStart w:id="228" w:name="_Toc67109534"/>
      <w:bookmarkStart w:id="229" w:name="_Ref126556319"/>
      <w:bookmarkEnd w:id="22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46</w:t>
      </w:r>
      <w:r w:rsidR="004E20BD">
        <w:rPr>
          <w:noProof/>
        </w:rPr>
        <w:fldChar w:fldCharType="end"/>
      </w:r>
      <w:bookmarkEnd w:id="229"/>
      <w:r>
        <w:t>: Log In Equipment</w:t>
      </w:r>
    </w:p>
    <w:p w14:paraId="534BF315" w14:textId="77777777" w:rsidR="00F00E49" w:rsidRDefault="00057948" w:rsidP="00F00E49">
      <w:pPr>
        <w:pStyle w:val="BodyText"/>
      </w:pPr>
      <w:r>
        <w:rPr>
          <w:noProof/>
        </w:rPr>
        <w:drawing>
          <wp:inline distT="0" distB="0" distL="0" distR="0" wp14:anchorId="5CF459A1" wp14:editId="324D7434">
            <wp:extent cx="5939155" cy="3814445"/>
            <wp:effectExtent l="0" t="0" r="4445" b="0"/>
            <wp:docPr id="148" name="Picture 148" descr="Example of Log In Equip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Example of Log In Equipment screen capt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9155" cy="3814445"/>
                    </a:xfrm>
                    <a:prstGeom prst="rect">
                      <a:avLst/>
                    </a:prstGeom>
                    <a:noFill/>
                    <a:ln>
                      <a:noFill/>
                    </a:ln>
                  </pic:spPr>
                </pic:pic>
              </a:graphicData>
            </a:graphic>
          </wp:inline>
        </w:drawing>
      </w:r>
    </w:p>
    <w:p w14:paraId="23B959BA" w14:textId="77777777" w:rsidR="002A21AE" w:rsidRDefault="00DC6F96">
      <w:pPr>
        <w:pStyle w:val="Heading4"/>
      </w:pPr>
      <w:r>
        <w:br w:type="page"/>
      </w:r>
      <w:r w:rsidR="002A21AE">
        <w:lastRenderedPageBreak/>
        <w:t>Equipment: Maintain Equipment</w:t>
      </w:r>
      <w:r w:rsidR="002A21AE">
        <w:fldChar w:fldCharType="begin"/>
      </w:r>
      <w:r w:rsidR="002A21AE">
        <w:instrText xml:space="preserve"> XE </w:instrText>
      </w:r>
      <w:r w:rsidR="00FA7E65">
        <w:instrText>“</w:instrText>
      </w:r>
      <w:r w:rsidR="002A21AE">
        <w:instrText>Equipment\: Maintain Equipment</w:instrText>
      </w:r>
      <w:r w:rsidR="00FA7E65">
        <w:instrText>”</w:instrText>
      </w:r>
      <w:r w:rsidR="002A21AE">
        <w:instrText xml:space="preserve"> </w:instrText>
      </w:r>
      <w:r w:rsidR="002A21AE">
        <w:fldChar w:fldCharType="end"/>
      </w:r>
      <w:r w:rsidR="002A21AE">
        <w:t xml:space="preserve"> </w:t>
      </w:r>
    </w:p>
    <w:p w14:paraId="18B3FA08" w14:textId="77777777" w:rsidR="002A21AE" w:rsidRDefault="002A21AE" w:rsidP="00FA7E65">
      <w:pPr>
        <w:pStyle w:val="BodyText"/>
      </w:pPr>
      <w:r>
        <w:t>The user maintain</w:t>
      </w:r>
      <w:r w:rsidR="00D268A9">
        <w:t>s</w:t>
      </w:r>
      <w:r>
        <w:t xml:space="preserve"> an online equipment record to record periodic maintenance. Equipment records are updated and retained according to local procedure and policy.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695480" w14:textId="77777777">
        <w:trPr>
          <w:tblHeader/>
        </w:trPr>
        <w:tc>
          <w:tcPr>
            <w:tcW w:w="3240" w:type="dxa"/>
            <w:shd w:val="clear" w:color="auto" w:fill="B3B3B3"/>
            <w:vAlign w:val="bottom"/>
          </w:tcPr>
          <w:p w14:paraId="4B8BC6FE" w14:textId="77777777" w:rsidR="002A21AE" w:rsidRDefault="002A21AE">
            <w:pPr>
              <w:pStyle w:val="TableText"/>
              <w:rPr>
                <w:b/>
              </w:rPr>
            </w:pPr>
            <w:r>
              <w:rPr>
                <w:b/>
              </w:rPr>
              <w:t>User Action</w:t>
            </w:r>
          </w:p>
        </w:tc>
        <w:tc>
          <w:tcPr>
            <w:tcW w:w="6120" w:type="dxa"/>
            <w:shd w:val="clear" w:color="auto" w:fill="B3B3B3"/>
            <w:vAlign w:val="bottom"/>
          </w:tcPr>
          <w:p w14:paraId="4C5DE00E" w14:textId="77777777" w:rsidR="002A21AE" w:rsidRDefault="002A21AE">
            <w:pPr>
              <w:pStyle w:val="TableText"/>
              <w:rPr>
                <w:b/>
              </w:rPr>
            </w:pPr>
            <w:r>
              <w:rPr>
                <w:b/>
              </w:rPr>
              <w:t>VBECS</w:t>
            </w:r>
          </w:p>
        </w:tc>
      </w:tr>
      <w:tr w:rsidR="002A21AE" w14:paraId="4997DE86" w14:textId="77777777">
        <w:tc>
          <w:tcPr>
            <w:tcW w:w="3240" w:type="dxa"/>
          </w:tcPr>
          <w:p w14:paraId="0BDB7D0F" w14:textId="77777777" w:rsidR="002A21AE" w:rsidRDefault="002A21AE">
            <w:pPr>
              <w:pStyle w:val="TableTextNumbers"/>
            </w:pPr>
            <w:r>
              <w:t xml:space="preserve">To maintain equipment, select </w:t>
            </w:r>
            <w:r>
              <w:rPr>
                <w:b/>
              </w:rPr>
              <w:t>Tools</w:t>
            </w:r>
            <w:r>
              <w:t xml:space="preserve"> from the main menu.</w:t>
            </w:r>
          </w:p>
          <w:p w14:paraId="7E5951A8" w14:textId="77777777" w:rsidR="002A21AE" w:rsidRDefault="002A21AE">
            <w:pPr>
              <w:pStyle w:val="TableTextNumbersContinued"/>
              <w:rPr>
                <w:b/>
                <w:bCs/>
              </w:rPr>
            </w:pPr>
          </w:p>
          <w:p w14:paraId="439E967D" w14:textId="77777777" w:rsidR="002A21AE" w:rsidRDefault="002A21AE">
            <w:pPr>
              <w:pStyle w:val="TableTextNumbersContinued"/>
            </w:pPr>
            <w:r>
              <w:t xml:space="preserve">Select </w:t>
            </w:r>
            <w:r>
              <w:rPr>
                <w:b/>
              </w:rPr>
              <w:t>Equipment</w:t>
            </w:r>
            <w:r>
              <w:t>.</w:t>
            </w:r>
          </w:p>
        </w:tc>
        <w:tc>
          <w:tcPr>
            <w:tcW w:w="6120" w:type="dxa"/>
          </w:tcPr>
          <w:p w14:paraId="36000803" w14:textId="77777777" w:rsidR="002A21AE" w:rsidRDefault="002A21AE">
            <w:pPr>
              <w:pStyle w:val="TableTextBullet"/>
            </w:pPr>
            <w:r>
              <w:t>Displays options to maintain equipment maintenance.</w:t>
            </w:r>
          </w:p>
          <w:p w14:paraId="3A402352" w14:textId="77777777" w:rsidR="002A21AE" w:rsidRDefault="002A21AE">
            <w:pPr>
              <w:pStyle w:val="NotesText"/>
            </w:pPr>
          </w:p>
        </w:tc>
      </w:tr>
      <w:tr w:rsidR="002A21AE" w14:paraId="5325934A" w14:textId="77777777">
        <w:tc>
          <w:tcPr>
            <w:tcW w:w="3240" w:type="dxa"/>
            <w:tcBorders>
              <w:top w:val="single" w:sz="4" w:space="0" w:color="auto"/>
              <w:left w:val="single" w:sz="4" w:space="0" w:color="auto"/>
              <w:bottom w:val="single" w:sz="4" w:space="0" w:color="auto"/>
              <w:right w:val="single" w:sz="4" w:space="0" w:color="auto"/>
            </w:tcBorders>
          </w:tcPr>
          <w:p w14:paraId="62409D6F" w14:textId="77777777" w:rsidR="002A21AE" w:rsidRDefault="002A21AE">
            <w:pPr>
              <w:pStyle w:val="TableTextNumbers"/>
            </w:pPr>
            <w:r>
              <w:t xml:space="preserve">Select </w:t>
            </w:r>
            <w:r>
              <w:rPr>
                <w:b/>
              </w:rPr>
              <w:t>Maintain Equipment</w:t>
            </w:r>
            <w:r>
              <w:t xml:space="preserve"> to record maintenance or </w:t>
            </w:r>
            <w:r>
              <w:rPr>
                <w:b/>
              </w:rPr>
              <w:t>Log In Equipment</w:t>
            </w:r>
            <w:r>
              <w:t xml:space="preserve"> to create an equipment record (see Equipment: Log In Equipment).</w:t>
            </w:r>
            <w:r>
              <w:rPr>
                <w:b/>
              </w:rPr>
              <w:t xml:space="preserve"> </w:t>
            </w:r>
          </w:p>
        </w:tc>
        <w:tc>
          <w:tcPr>
            <w:tcW w:w="6120" w:type="dxa"/>
            <w:tcBorders>
              <w:top w:val="single" w:sz="4" w:space="0" w:color="auto"/>
              <w:left w:val="single" w:sz="4" w:space="0" w:color="auto"/>
              <w:bottom w:val="single" w:sz="4" w:space="0" w:color="auto"/>
              <w:right w:val="single" w:sz="4" w:space="0" w:color="auto"/>
            </w:tcBorders>
          </w:tcPr>
          <w:p w14:paraId="63E49499" w14:textId="77777777" w:rsidR="002A21AE" w:rsidRDefault="002A21AE">
            <w:pPr>
              <w:pStyle w:val="TableTextBullet"/>
            </w:pPr>
            <w:r>
              <w:t>Displays entered in-service equipment items for the blood bank associated with the user’s division and offers the option to display out-of-service equipment.</w:t>
            </w:r>
          </w:p>
        </w:tc>
      </w:tr>
      <w:tr w:rsidR="002A21AE" w14:paraId="70F0D41E" w14:textId="77777777">
        <w:tc>
          <w:tcPr>
            <w:tcW w:w="3240" w:type="dxa"/>
          </w:tcPr>
          <w:p w14:paraId="63905253" w14:textId="3DACE64F" w:rsidR="002A21AE" w:rsidRDefault="002A21AE">
            <w:pPr>
              <w:pStyle w:val="TableTextNumbers"/>
            </w:pPr>
            <w:r>
              <w:t>In the Equipment tab, enter the equipment serial number</w:t>
            </w:r>
            <w:r w:rsidR="005B4E11">
              <w:t xml:space="preserve"> (or </w:t>
            </w:r>
            <w:r>
              <w:t xml:space="preserve">enter part of the serial number and click the </w:t>
            </w:r>
            <w:r>
              <w:rPr>
                <w:b/>
              </w:rPr>
              <w:t>magnifying glass</w:t>
            </w:r>
            <w:r>
              <w:t xml:space="preserve"> to view serial numbers</w:t>
            </w:r>
            <w:r w:rsidR="005B4E11">
              <w:t>)</w:t>
            </w:r>
            <w:r>
              <w:t xml:space="preserve">, or click </w:t>
            </w:r>
            <w:r>
              <w:rPr>
                <w:bdr w:val="single" w:sz="4" w:space="0" w:color="auto"/>
              </w:rPr>
              <w:fldChar w:fldCharType="begin">
                <w:ffData>
                  <w:name w:val=""/>
                  <w:enabled w:val="0"/>
                  <w:calcOnExit w:val="0"/>
                  <w:textInput>
                    <w:default w:val=" + "/>
                  </w:textInput>
                </w:ffData>
              </w:fldChar>
            </w:r>
            <w:r>
              <w:rPr>
                <w:bdr w:val="single" w:sz="4" w:space="0" w:color="auto"/>
              </w:rPr>
              <w:instrText xml:space="preserve"> FORMTEXT </w:instrText>
            </w:r>
            <w:r>
              <w:rPr>
                <w:bdr w:val="single" w:sz="4" w:space="0" w:color="auto"/>
              </w:rPr>
            </w:r>
            <w:r>
              <w:rPr>
                <w:bdr w:val="single" w:sz="4" w:space="0" w:color="auto"/>
              </w:rPr>
              <w:fldChar w:fldCharType="separate"/>
            </w:r>
            <w:r w:rsidR="005755DC">
              <w:rPr>
                <w:noProof/>
                <w:bdr w:val="single" w:sz="4" w:space="0" w:color="auto"/>
              </w:rPr>
              <w:t xml:space="preserve"> + </w:t>
            </w:r>
            <w:r>
              <w:rPr>
                <w:bdr w:val="single" w:sz="4" w:space="0" w:color="auto"/>
              </w:rPr>
              <w:fldChar w:fldCharType="end"/>
            </w:r>
            <w:r>
              <w:t xml:space="preserve"> in front of each equipment type and name to view equipment items.</w:t>
            </w:r>
          </w:p>
          <w:p w14:paraId="32B32F31" w14:textId="77777777" w:rsidR="002A21AE" w:rsidRDefault="002A21AE">
            <w:pPr>
              <w:pStyle w:val="TableTextNumbersContinued"/>
            </w:pPr>
          </w:p>
          <w:p w14:paraId="1F263A01" w14:textId="77777777" w:rsidR="002A21AE" w:rsidRDefault="002A21AE">
            <w:pPr>
              <w:pStyle w:val="TableTextNumbersContinued"/>
            </w:pPr>
            <w:r>
              <w:t>Select the serial number of the item whose record will be maintained.</w:t>
            </w:r>
          </w:p>
          <w:p w14:paraId="188BEB9E" w14:textId="77777777" w:rsidR="002A21AE" w:rsidRDefault="002A21AE">
            <w:pPr>
              <w:pStyle w:val="TableTextNumbersContinued"/>
            </w:pPr>
          </w:p>
          <w:p w14:paraId="4ADAC92A" w14:textId="77777777" w:rsidR="002A21AE" w:rsidRDefault="002A21AE">
            <w:pPr>
              <w:pStyle w:val="TableTextNumbersContinued"/>
            </w:pPr>
            <w:r>
              <w:t xml:space="preserve">Click the </w:t>
            </w:r>
            <w:r>
              <w:rPr>
                <w:b/>
              </w:rPr>
              <w:t xml:space="preserve">Include Out of Service Equipment </w:t>
            </w:r>
            <w:r w:rsidRPr="00D1100E">
              <w:t>check box</w:t>
            </w:r>
            <w:r>
              <w:t>, if desired.</w:t>
            </w:r>
          </w:p>
        </w:tc>
        <w:tc>
          <w:tcPr>
            <w:tcW w:w="6120" w:type="dxa"/>
          </w:tcPr>
          <w:p w14:paraId="46643603" w14:textId="77777777" w:rsidR="002A21AE" w:rsidRDefault="002A21AE">
            <w:pPr>
              <w:pStyle w:val="TableTextBullet"/>
            </w:pPr>
            <w:r>
              <w:t>Displays fields for entering the type of maintenance event performed, the date the maintenance was performed, the results of the event, the next scheduled event, the next scheduled maintenance date, and pending maintenance issues in the Maintenance tab, and allows the user to select a maintenance event type and event details.</w:t>
            </w:r>
          </w:p>
          <w:p w14:paraId="0D78DE32" w14:textId="77777777" w:rsidR="002A21AE" w:rsidRDefault="002A21AE">
            <w:pPr>
              <w:pStyle w:val="TableTextBullet"/>
            </w:pPr>
            <w:r>
              <w:t>Displays entered information.</w:t>
            </w:r>
          </w:p>
        </w:tc>
      </w:tr>
      <w:tr w:rsidR="002A21AE" w14:paraId="0485B826" w14:textId="77777777">
        <w:tc>
          <w:tcPr>
            <w:tcW w:w="3240" w:type="dxa"/>
          </w:tcPr>
          <w:p w14:paraId="62066654" w14:textId="77777777" w:rsidR="002A21AE" w:rsidRDefault="002A21AE">
            <w:pPr>
              <w:pStyle w:val="TableTextNumbers"/>
            </w:pPr>
            <w:r>
              <w:t>Review and edit the equipment data in the Equipment tab.</w:t>
            </w:r>
          </w:p>
        </w:tc>
        <w:tc>
          <w:tcPr>
            <w:tcW w:w="6120" w:type="dxa"/>
          </w:tcPr>
          <w:p w14:paraId="2A907FDB" w14:textId="77777777" w:rsidR="002A21AE" w:rsidRDefault="002A21AE">
            <w:pPr>
              <w:pStyle w:val="TableTextBullet"/>
            </w:pPr>
            <w:r>
              <w:t>Displays entered information.</w:t>
            </w:r>
          </w:p>
        </w:tc>
      </w:tr>
      <w:tr w:rsidR="002A21AE" w14:paraId="33DA3297" w14:textId="77777777">
        <w:tc>
          <w:tcPr>
            <w:tcW w:w="3240" w:type="dxa"/>
          </w:tcPr>
          <w:p w14:paraId="18F63724" w14:textId="77777777" w:rsidR="002A21AE" w:rsidRDefault="002A21AE">
            <w:pPr>
              <w:pStyle w:val="TableTextNumbers"/>
            </w:pPr>
            <w:r>
              <w:t xml:space="preserve">Select the </w:t>
            </w:r>
            <w:r>
              <w:rPr>
                <w:b/>
              </w:rPr>
              <w:t>Maintenance</w:t>
            </w:r>
            <w:r>
              <w:t xml:space="preserve"> </w:t>
            </w:r>
            <w:r>
              <w:rPr>
                <w:b/>
              </w:rPr>
              <w:t>tab</w:t>
            </w:r>
            <w:r>
              <w:t>.</w:t>
            </w:r>
          </w:p>
          <w:p w14:paraId="38AE0F6F" w14:textId="77777777" w:rsidR="002A21AE" w:rsidRDefault="002A21AE">
            <w:pPr>
              <w:pStyle w:val="TableTextNumbersContinued"/>
            </w:pPr>
          </w:p>
          <w:p w14:paraId="0892E760" w14:textId="77777777" w:rsidR="002A21AE" w:rsidRDefault="002A21AE">
            <w:pPr>
              <w:pStyle w:val="TableTextNumbersContinued"/>
            </w:pPr>
            <w:r>
              <w:t xml:space="preserve">To add a maintenance event, enter the maintenance type or select it from the drop-down list. </w:t>
            </w:r>
          </w:p>
          <w:p w14:paraId="06C2FD62" w14:textId="77777777" w:rsidR="002A21AE" w:rsidRDefault="002A21AE">
            <w:pPr>
              <w:pStyle w:val="TableTextNumbersContinued"/>
            </w:pPr>
          </w:p>
          <w:p w14:paraId="017F523A" w14:textId="77777777" w:rsidR="002A21AE" w:rsidRDefault="002A21AE">
            <w:pPr>
              <w:pStyle w:val="TableTextNumbersContinued"/>
            </w:pPr>
            <w:r>
              <w:t>Select or edit the date and time in the Maintenance Date field.</w:t>
            </w:r>
          </w:p>
          <w:p w14:paraId="0C822256" w14:textId="77777777" w:rsidR="002A21AE" w:rsidRDefault="002A21AE">
            <w:pPr>
              <w:pStyle w:val="TableTextNumbersContinued"/>
            </w:pPr>
          </w:p>
          <w:p w14:paraId="776BF79C" w14:textId="77777777" w:rsidR="002A21AE" w:rsidRDefault="002A21AE">
            <w:pPr>
              <w:pStyle w:val="TableTextNumbersContinued"/>
            </w:pPr>
            <w:r>
              <w:t>Enter details in the Maintenance Results and Pending Issues fields.</w:t>
            </w:r>
          </w:p>
          <w:p w14:paraId="04071420" w14:textId="77777777" w:rsidR="002A21AE" w:rsidRDefault="002A21AE">
            <w:pPr>
              <w:pStyle w:val="TableTextNumbersContinued"/>
            </w:pPr>
          </w:p>
          <w:p w14:paraId="1E9BAF79" w14:textId="3EE309C7" w:rsidR="002A21AE" w:rsidRDefault="002A21AE">
            <w:pPr>
              <w:pStyle w:val="TableTextNumbersContinued"/>
            </w:pPr>
            <w:r>
              <w:t xml:space="preserve">Click </w:t>
            </w:r>
            <w:r>
              <w:rPr>
                <w:b/>
              </w:rPr>
              <w:t>Add</w:t>
            </w:r>
            <w:r>
              <w:t xml:space="preserve"> to add the maintenance event to the Maintenance Events list</w:t>
            </w:r>
            <w:r w:rsidR="005B4E11">
              <w:t xml:space="preserve"> (</w:t>
            </w:r>
            <w:r w:rsidR="00EE455E">
              <w:t xml:space="preserve">Figure </w:t>
            </w:r>
            <w:r w:rsidR="00EE455E">
              <w:rPr>
                <w:noProof/>
              </w:rPr>
              <w:t>46</w:t>
            </w:r>
            <w:r w:rsidR="005B4E11">
              <w:t>)</w:t>
            </w:r>
            <w:r>
              <w:t>.</w:t>
            </w:r>
          </w:p>
          <w:p w14:paraId="55A77000" w14:textId="77777777" w:rsidR="002A21AE" w:rsidRDefault="002A21AE">
            <w:pPr>
              <w:pStyle w:val="TableTextNumbersContinued"/>
            </w:pPr>
          </w:p>
          <w:p w14:paraId="13808EF0" w14:textId="77777777" w:rsidR="002A21AE" w:rsidRDefault="002A21AE">
            <w:pPr>
              <w:pStyle w:val="TableTextNumbersContinued"/>
            </w:pPr>
            <w:r>
              <w:t xml:space="preserve">Click </w:t>
            </w:r>
            <w:r>
              <w:rPr>
                <w:b/>
              </w:rPr>
              <w:t>Print</w:t>
            </w:r>
            <w:r>
              <w:t xml:space="preserve"> to print the record.</w:t>
            </w:r>
          </w:p>
        </w:tc>
        <w:tc>
          <w:tcPr>
            <w:tcW w:w="6120" w:type="dxa"/>
          </w:tcPr>
          <w:p w14:paraId="45F845FC" w14:textId="77777777" w:rsidR="002A21AE" w:rsidRDefault="002A21AE">
            <w:pPr>
              <w:pStyle w:val="TableTextBullet"/>
            </w:pPr>
            <w:r>
              <w:t>Displays recorded maintenance information and allows the user to update information.</w:t>
            </w:r>
          </w:p>
          <w:p w14:paraId="60A1A23F" w14:textId="77777777" w:rsidR="002A21AE" w:rsidRDefault="002A21AE">
            <w:pPr>
              <w:pStyle w:val="TableTextBullet"/>
            </w:pPr>
            <w:r>
              <w:t>Displays an option to print an Equipment Report.</w:t>
            </w:r>
          </w:p>
        </w:tc>
      </w:tr>
      <w:tr w:rsidR="002A21AE" w14:paraId="259538BF" w14:textId="77777777">
        <w:tc>
          <w:tcPr>
            <w:tcW w:w="3240" w:type="dxa"/>
          </w:tcPr>
          <w:p w14:paraId="54D38D51" w14:textId="77777777" w:rsidR="002A21AE" w:rsidRDefault="002A21AE">
            <w:pPr>
              <w:pStyle w:val="TableTextNumbers"/>
            </w:pPr>
            <w:r>
              <w:t xml:space="preserve">Click the </w:t>
            </w:r>
            <w:r>
              <w:rPr>
                <w:b/>
              </w:rPr>
              <w:t>Out of Service Equipment</w:t>
            </w:r>
            <w:r>
              <w:t xml:space="preserve"> </w:t>
            </w:r>
            <w:r w:rsidRPr="00D1100E">
              <w:t>check box</w:t>
            </w:r>
            <w:r>
              <w:t xml:space="preserve"> to remove equipment.</w:t>
            </w:r>
          </w:p>
        </w:tc>
        <w:tc>
          <w:tcPr>
            <w:tcW w:w="6120" w:type="dxa"/>
          </w:tcPr>
          <w:p w14:paraId="52E13AAF" w14:textId="77777777" w:rsidR="002A21AE" w:rsidRDefault="002A21AE">
            <w:pPr>
              <w:pStyle w:val="TableTextBullet"/>
            </w:pPr>
            <w:r>
              <w:t>Removes the equipment from the list of currently maintained equipment.</w:t>
            </w:r>
          </w:p>
        </w:tc>
      </w:tr>
      <w:tr w:rsidR="002A21AE" w14:paraId="38989AFC" w14:textId="77777777">
        <w:tc>
          <w:tcPr>
            <w:tcW w:w="3240" w:type="dxa"/>
          </w:tcPr>
          <w:p w14:paraId="68AEC3D0" w14:textId="6BEAB35E" w:rsidR="002A21AE" w:rsidRDefault="002A21AE">
            <w:pPr>
              <w:pStyle w:val="TableTextNumbers"/>
            </w:pPr>
            <w:r>
              <w:t>Repeat Steps 3</w:t>
            </w:r>
            <w:r w:rsidR="004F5589">
              <w:t xml:space="preserve"> through </w:t>
            </w:r>
            <w:r>
              <w:t>6, as desired.</w:t>
            </w:r>
          </w:p>
        </w:tc>
        <w:tc>
          <w:tcPr>
            <w:tcW w:w="6120" w:type="dxa"/>
          </w:tcPr>
          <w:p w14:paraId="139AE6E5" w14:textId="77777777" w:rsidR="002A21AE" w:rsidRDefault="002A21AE">
            <w:pPr>
              <w:pStyle w:val="TableText"/>
            </w:pPr>
          </w:p>
        </w:tc>
      </w:tr>
      <w:tr w:rsidR="002A21AE" w14:paraId="6D03E5D9" w14:textId="77777777" w:rsidTr="007E500E">
        <w:trPr>
          <w:cantSplit/>
        </w:trPr>
        <w:tc>
          <w:tcPr>
            <w:tcW w:w="3240" w:type="dxa"/>
          </w:tcPr>
          <w:p w14:paraId="517E8D70" w14:textId="77777777" w:rsidR="002A21AE" w:rsidRDefault="002A21AE">
            <w:pPr>
              <w:pStyle w:val="TableTextNumbers"/>
            </w:pPr>
            <w:r>
              <w:lastRenderedPageBreak/>
              <w:t xml:space="preserve">Click </w:t>
            </w:r>
            <w:r>
              <w:rPr>
                <w:b/>
              </w:rPr>
              <w:t xml:space="preserve">OK </w:t>
            </w:r>
            <w:r>
              <w:t xml:space="preserve">and </w:t>
            </w:r>
            <w:r>
              <w:rPr>
                <w:b/>
              </w:rPr>
              <w:t>Yes</w:t>
            </w:r>
            <w:r>
              <w:t xml:space="preserve"> to save and continue, or </w:t>
            </w:r>
            <w:r>
              <w:rPr>
                <w:b/>
              </w:rPr>
              <w:t>No</w:t>
            </w:r>
            <w:r>
              <w:t xml:space="preserve"> to return to the screen and continue.</w:t>
            </w:r>
          </w:p>
          <w:p w14:paraId="7F04DDFF" w14:textId="77777777" w:rsidR="002A21AE" w:rsidRDefault="002A21AE">
            <w:pPr>
              <w:pStyle w:val="TableTextNumbersContinued"/>
            </w:pPr>
          </w:p>
          <w:p w14:paraId="78C57772" w14:textId="77777777" w:rsidR="002A21AE" w:rsidRDefault="002A21AE">
            <w:pPr>
              <w:pStyle w:val="TableTextNumbersContinued"/>
            </w:pPr>
            <w:r>
              <w:t xml:space="preserve">Click </w:t>
            </w:r>
            <w:r>
              <w:rPr>
                <w:b/>
              </w:rPr>
              <w:t>Cancel</w:t>
            </w:r>
            <w:r>
              <w:t xml:space="preserve"> to exit without saving.</w:t>
            </w:r>
            <w:r>
              <w:rPr>
                <w:vanish/>
                <w:szCs w:val="18"/>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4A843B56" w14:textId="77777777" w:rsidR="002A21AE" w:rsidRDefault="002A21AE">
            <w:pPr>
              <w:pStyle w:val="TableTextBullet"/>
              <w:ind w:left="0" w:firstLine="0"/>
            </w:pPr>
            <w:r>
              <w:t>Prompts the user to confirm the save.</w:t>
            </w:r>
          </w:p>
          <w:p w14:paraId="4DE533E0" w14:textId="77777777" w:rsidR="002A21AE" w:rsidRDefault="002A21AE">
            <w:pPr>
              <w:pStyle w:val="TableTextBullet"/>
              <w:ind w:left="0" w:firstLine="0"/>
            </w:pPr>
            <w:r>
              <w:t>Saves the updates to the equipment record.</w:t>
            </w:r>
          </w:p>
        </w:tc>
      </w:tr>
    </w:tbl>
    <w:p w14:paraId="4995AEFE" w14:textId="51CE3045" w:rsidR="005B4E11" w:rsidRDefault="005B4E11" w:rsidP="005B4E11">
      <w:pPr>
        <w:pStyle w:val="Caption"/>
      </w:pPr>
      <w:bookmarkStart w:id="230" w:name="_Ref1265567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47</w:t>
      </w:r>
      <w:r w:rsidR="004E20BD">
        <w:rPr>
          <w:noProof/>
        </w:rPr>
        <w:fldChar w:fldCharType="end"/>
      </w:r>
      <w:bookmarkEnd w:id="230"/>
      <w:r>
        <w:t>: Maintain Equipment</w:t>
      </w:r>
    </w:p>
    <w:p w14:paraId="0E67152D" w14:textId="77777777" w:rsidR="009516A4" w:rsidRDefault="00057948" w:rsidP="005B4E11">
      <w:pPr>
        <w:pStyle w:val="BodyText"/>
      </w:pPr>
      <w:r>
        <w:rPr>
          <w:noProof/>
        </w:rPr>
        <w:drawing>
          <wp:inline distT="0" distB="0" distL="0" distR="0" wp14:anchorId="3CD71F54" wp14:editId="5C6828C6">
            <wp:extent cx="5597525" cy="4405630"/>
            <wp:effectExtent l="0" t="0" r="3175" b="0"/>
            <wp:docPr id="149" name="Picture 149" descr="Example of Maintain Equip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Example of Maintain Equipment screen captu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97525" cy="4405630"/>
                    </a:xfrm>
                    <a:prstGeom prst="rect">
                      <a:avLst/>
                    </a:prstGeom>
                    <a:noFill/>
                    <a:ln>
                      <a:noFill/>
                    </a:ln>
                  </pic:spPr>
                </pic:pic>
              </a:graphicData>
            </a:graphic>
          </wp:inline>
        </w:drawing>
      </w:r>
    </w:p>
    <w:p w14:paraId="69FCC89B" w14:textId="77777777" w:rsidR="002A21AE" w:rsidRDefault="003C25CC">
      <w:pPr>
        <w:pStyle w:val="Heading1"/>
      </w:pPr>
      <w:bookmarkStart w:id="231" w:name="_Toc63680360"/>
      <w:bookmarkEnd w:id="202"/>
      <w:r>
        <w:br w:type="page"/>
      </w:r>
      <w:bookmarkStart w:id="232" w:name="_Toc163644905"/>
      <w:r w:rsidR="002A21AE">
        <w:lastRenderedPageBreak/>
        <w:t>Component Processing</w:t>
      </w:r>
      <w:bookmarkEnd w:id="232"/>
      <w:r w:rsidR="002A21AE">
        <w:fldChar w:fldCharType="begin"/>
      </w:r>
      <w:r w:rsidR="002A21AE">
        <w:instrText xml:space="preserve"> XE </w:instrText>
      </w:r>
      <w:r w:rsidR="00FA7E65">
        <w:instrText>“</w:instrText>
      </w:r>
      <w:r w:rsidR="002A21AE">
        <w:instrText>Component Processing</w:instrText>
      </w:r>
      <w:r w:rsidR="00FA7E65">
        <w:instrText>”</w:instrText>
      </w:r>
      <w:r w:rsidR="002A21AE">
        <w:instrText xml:space="preserve"> </w:instrText>
      </w:r>
      <w:r w:rsidR="002A21AE">
        <w:fldChar w:fldCharType="end"/>
      </w:r>
    </w:p>
    <w:p w14:paraId="21A8C691" w14:textId="77777777" w:rsidR="002A21AE" w:rsidRDefault="002A21AE">
      <w:pPr>
        <w:pStyle w:val="Heading2"/>
      </w:pPr>
      <w:bookmarkStart w:id="233" w:name="_Toc63680357"/>
      <w:bookmarkStart w:id="234" w:name="_Toc163644906"/>
      <w:bookmarkStart w:id="235" w:name="_Toc63680361"/>
      <w:bookmarkEnd w:id="231"/>
      <w:r>
        <w:t>Shipments</w:t>
      </w:r>
      <w:bookmarkEnd w:id="233"/>
      <w:bookmarkEnd w:id="234"/>
      <w:r>
        <w:fldChar w:fldCharType="begin"/>
      </w:r>
      <w:r>
        <w:instrText xml:space="preserve"> XE </w:instrText>
      </w:r>
      <w:r w:rsidR="00FA7E65">
        <w:instrText>“</w:instrText>
      </w:r>
      <w:r>
        <w:instrText>Shipments</w:instrText>
      </w:r>
      <w:r w:rsidR="00FA7E65">
        <w:instrText>”</w:instrText>
      </w:r>
      <w:r>
        <w:instrText xml:space="preserve"> </w:instrText>
      </w:r>
      <w:r>
        <w:fldChar w:fldCharType="end"/>
      </w:r>
    </w:p>
    <w:p w14:paraId="62D65D80" w14:textId="77777777" w:rsidR="002A21AE" w:rsidRDefault="002A21AE">
      <w:pPr>
        <w:pStyle w:val="Heading3"/>
      </w:pPr>
      <w:bookmarkStart w:id="236" w:name="_Incoming_Shipment"/>
      <w:bookmarkStart w:id="237" w:name="_Toc163644907"/>
      <w:bookmarkStart w:id="238" w:name="_Toc63680358"/>
      <w:bookmarkEnd w:id="236"/>
      <w:r>
        <w:t>Incoming Shipment</w:t>
      </w:r>
      <w:bookmarkEnd w:id="237"/>
      <w:r w:rsidRPr="007716F7">
        <w:rPr>
          <w:vanish/>
        </w:rPr>
        <w:fldChar w:fldCharType="begin"/>
      </w:r>
      <w:r w:rsidRPr="007716F7">
        <w:rPr>
          <w:vanish/>
        </w:rPr>
        <w:instrText xml:space="preserve"> XE </w:instrText>
      </w:r>
      <w:r w:rsidR="00FA7E65" w:rsidRPr="007716F7">
        <w:rPr>
          <w:vanish/>
        </w:rPr>
        <w:instrText>“</w:instrText>
      </w:r>
      <w:r w:rsidRPr="007716F7">
        <w:rPr>
          <w:vanish/>
        </w:rPr>
        <w:instrText>Incoming Shipment</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UC_01</w:t>
      </w:r>
    </w:p>
    <w:p w14:paraId="54CDD383" w14:textId="77777777" w:rsidR="002A21AE" w:rsidRDefault="002A21AE" w:rsidP="00FA7E65">
      <w:pPr>
        <w:pStyle w:val="BodyText"/>
      </w:pPr>
      <w:r>
        <w:t xml:space="preserve">A shipment handled in this option contains one or more containers of human blood products. </w:t>
      </w:r>
    </w:p>
    <w:p w14:paraId="77382486" w14:textId="5E2DDD54" w:rsidR="002A21AE" w:rsidRDefault="002A21AE" w:rsidP="00FA7E65">
      <w:pPr>
        <w:pStyle w:val="BodyText"/>
      </w:pPr>
      <w:r>
        <w:t>The user may use a barcode scanner to read information from a unit blood bag (recommended) or enter this information. The user reviews and confirms the information before adding a unit to the database.</w:t>
      </w:r>
    </w:p>
    <w:p w14:paraId="13079940" w14:textId="30E2FEEB" w:rsidR="008A3500" w:rsidRDefault="008A3500" w:rsidP="00FA7E65">
      <w:pPr>
        <w:pStyle w:val="BodyText"/>
      </w:pPr>
      <w:r>
        <w:t>The user may enter a comment in the ‘Incoming Shipment’ comment context. The comment will be displayed</w:t>
      </w:r>
      <w:r w:rsidR="00F551B2">
        <w:t xml:space="preserve"> in the Unit History Report, Incoming Shipment section and may be edited in Edit Unit Information.</w:t>
      </w:r>
      <w:r w:rsidR="002D072F">
        <w:rPr>
          <w:vanish/>
        </w:rPr>
        <w:t xml:space="preserve"> BR_1.77</w:t>
      </w:r>
    </w:p>
    <w:p w14:paraId="3FDE2403" w14:textId="77777777" w:rsidR="002A21AE" w:rsidRDefault="002A21AE">
      <w:pPr>
        <w:pStyle w:val="Heading4"/>
      </w:pPr>
      <w:r>
        <w:t>Assumptions</w:t>
      </w:r>
    </w:p>
    <w:p w14:paraId="48186054" w14:textId="77777777" w:rsidR="002A21AE" w:rsidRDefault="002A21AE">
      <w:pPr>
        <w:pStyle w:val="ListBullet"/>
      </w:pPr>
      <w:r>
        <w:t>The division is configured.</w:t>
      </w:r>
    </w:p>
    <w:p w14:paraId="6A345D2A" w14:textId="77777777" w:rsidR="006B4DCB" w:rsidRDefault="00AF37DA" w:rsidP="006B4DCB">
      <w:pPr>
        <w:pStyle w:val="ListBullet"/>
      </w:pPr>
      <w:r>
        <w:t>The shipper is active.</w:t>
      </w:r>
    </w:p>
    <w:p w14:paraId="75E70E9D" w14:textId="77777777" w:rsidR="00AE02FE" w:rsidRDefault="00AE02FE">
      <w:pPr>
        <w:pStyle w:val="ListBullet"/>
      </w:pPr>
      <w:r>
        <w:t>Units are inspected and deemed satisfactory for receipt before they are entered in VBECS.</w:t>
      </w:r>
    </w:p>
    <w:p w14:paraId="3C288EA1" w14:textId="77777777" w:rsidR="002A21AE" w:rsidRDefault="002A21AE">
      <w:pPr>
        <w:pStyle w:val="Heading4"/>
      </w:pPr>
      <w:r>
        <w:t>Outcome</w:t>
      </w:r>
    </w:p>
    <w:p w14:paraId="7AF4780C" w14:textId="77777777" w:rsidR="002A21AE" w:rsidRDefault="002A21AE">
      <w:pPr>
        <w:pStyle w:val="ListBullet"/>
      </w:pPr>
      <w:r>
        <w:t>A shipment or partial shipment of blood units was processed and added to the blood bank inventory.</w:t>
      </w:r>
    </w:p>
    <w:p w14:paraId="0FAE6218" w14:textId="77777777" w:rsidR="002A21AE" w:rsidRDefault="002A21AE">
      <w:pPr>
        <w:pStyle w:val="ListBullet"/>
      </w:pPr>
      <w:r>
        <w:t>The initial status for each unit was set in accordance with component class.</w:t>
      </w:r>
    </w:p>
    <w:p w14:paraId="2FF5DE67" w14:textId="77777777" w:rsidR="002A21AE" w:rsidRDefault="002A21AE">
      <w:pPr>
        <w:pStyle w:val="Heading4"/>
      </w:pPr>
      <w:r>
        <w:t>Limitations and Restrictions</w:t>
      </w:r>
    </w:p>
    <w:p w14:paraId="758C2F80" w14:textId="77777777" w:rsidR="007B6D4B" w:rsidRDefault="007B6D4B" w:rsidP="007B6D4B">
      <w:pPr>
        <w:pStyle w:val="ListBullet"/>
      </w:pPr>
      <w:bookmarkStart w:id="239" w:name="OLE_LINK29"/>
      <w:bookmarkStart w:id="240" w:name="OLE_LINK30"/>
      <w:r w:rsidRPr="009212B0">
        <w:t>VBECS does not check whether blood products with the same unit ID and different product</w:t>
      </w:r>
      <w:r>
        <w:t xml:space="preserve"> codes are the same blood type.</w:t>
      </w:r>
    </w:p>
    <w:p w14:paraId="1E07357E" w14:textId="77777777" w:rsidR="00F862E5" w:rsidRDefault="00F862E5" w:rsidP="009212B0">
      <w:pPr>
        <w:pStyle w:val="ListBullet"/>
      </w:pPr>
      <w:r>
        <w:t>VBECS d</w:t>
      </w:r>
      <w:r w:rsidRPr="00F862E5">
        <w:t xml:space="preserve">oes not </w:t>
      </w:r>
      <w:r w:rsidR="008C657D">
        <w:t>compare</w:t>
      </w:r>
      <w:r w:rsidRPr="00F862E5">
        <w:t xml:space="preserve"> </w:t>
      </w:r>
      <w:r w:rsidR="008C657D">
        <w:t xml:space="preserve">the ABO/Rh </w:t>
      </w:r>
      <w:r w:rsidRPr="00F862E5">
        <w:t xml:space="preserve">of </w:t>
      </w:r>
      <w:r>
        <w:t>a</w:t>
      </w:r>
      <w:r w:rsidR="008C657D">
        <w:t>n</w:t>
      </w:r>
      <w:r w:rsidRPr="00F862E5">
        <w:t xml:space="preserve"> </w:t>
      </w:r>
      <w:r w:rsidR="008C657D">
        <w:t>a</w:t>
      </w:r>
      <w:r w:rsidRPr="00F862E5">
        <w:t xml:space="preserve">utologous unit </w:t>
      </w:r>
      <w:r w:rsidR="008C657D">
        <w:t xml:space="preserve">or display a message when the ABO/Rh </w:t>
      </w:r>
      <w:r w:rsidRPr="00F862E5">
        <w:t xml:space="preserve">is incompatible with the </w:t>
      </w:r>
      <w:r>
        <w:t>r</w:t>
      </w:r>
      <w:r w:rsidRPr="00F862E5">
        <w:t xml:space="preserve">estricted </w:t>
      </w:r>
      <w:r>
        <w:t>f</w:t>
      </w:r>
      <w:r w:rsidRPr="00F862E5">
        <w:t>or patient</w:t>
      </w:r>
      <w:r>
        <w:t>.</w:t>
      </w:r>
    </w:p>
    <w:bookmarkEnd w:id="239"/>
    <w:bookmarkEnd w:id="240"/>
    <w:p w14:paraId="159BDD25" w14:textId="03C8921A" w:rsidR="00DC5A13" w:rsidRDefault="00DC5A13" w:rsidP="004B3753">
      <w:pPr>
        <w:pStyle w:val="Caution"/>
        <w:pBdr>
          <w:top w:val="single" w:sz="4" w:space="5" w:color="auto"/>
        </w:pBdr>
      </w:pPr>
      <w:r w:rsidRPr="009A667D">
        <w:t>When a product typ</w:t>
      </w:r>
      <w:r w:rsidR="009A667D" w:rsidRPr="009A667D">
        <w:t>e, cod</w:t>
      </w:r>
      <w:r w:rsidRPr="009A667D">
        <w:t>e</w:t>
      </w:r>
      <w:r w:rsidR="009A667D" w:rsidRPr="009A667D">
        <w:t>,</w:t>
      </w:r>
      <w:r w:rsidRPr="009A667D">
        <w:t xml:space="preserve"> or</w:t>
      </w:r>
      <w:r w:rsidR="009A667D" w:rsidRPr="009A667D">
        <w:t xml:space="preserve"> local</w:t>
      </w:r>
      <w:r w:rsidRPr="009A667D">
        <w:t xml:space="preserve"> code is not in</w:t>
      </w:r>
      <w:r>
        <w:t xml:space="preserve"> VBECS or a blood supplier creates a</w:t>
      </w:r>
      <w:r w:rsidR="00C230C9">
        <w:t xml:space="preserve"> product code, contact the </w:t>
      </w:r>
      <w:r w:rsidR="005364D9">
        <w:t xml:space="preserve">Service </w:t>
      </w:r>
      <w:r>
        <w:t>Desk. See Customer Support for contact information.</w:t>
      </w:r>
      <w:r w:rsidR="00703780" w:rsidRPr="00703780">
        <w:rPr>
          <w:vanish/>
        </w:rPr>
        <w:t>(DR 2,640)</w:t>
      </w:r>
    </w:p>
    <w:p w14:paraId="177F9B07" w14:textId="77777777" w:rsidR="00E63663" w:rsidRDefault="00E63663" w:rsidP="00E63663">
      <w:pPr>
        <w:pStyle w:val="ListBullet"/>
      </w:pPr>
      <w:r w:rsidRPr="00E63663">
        <w:rPr>
          <w:vanish/>
        </w:rPr>
        <w:t xml:space="preserve">BR_1.72 </w:t>
      </w:r>
      <w:r w:rsidRPr="00E63663">
        <w:t>T</w:t>
      </w:r>
      <w:r w:rsidRPr="0030088C">
        <w:t>he user may not save the unit record until the donation type and its requirements are satisfied.</w:t>
      </w:r>
    </w:p>
    <w:p w14:paraId="156B1311" w14:textId="77777777" w:rsidR="001131F9" w:rsidRPr="009212B0" w:rsidRDefault="001131F9" w:rsidP="001131F9">
      <w:pPr>
        <w:pStyle w:val="ListBullet"/>
      </w:pPr>
      <w:r w:rsidRPr="001131F9">
        <w:t>No longer supports the entry of blood products labeled in Codabar label type to new or existing invoices.</w:t>
      </w:r>
    </w:p>
    <w:p w14:paraId="47C73D81" w14:textId="611E5535" w:rsidR="008C1BD3" w:rsidRDefault="008C1BD3" w:rsidP="00C805FB">
      <w:pPr>
        <w:pStyle w:val="ListBullet"/>
      </w:pPr>
      <w:r>
        <w:t>T</w:t>
      </w:r>
      <w:r w:rsidRPr="008C1BD3">
        <w:t xml:space="preserve">he </w:t>
      </w:r>
      <w:r w:rsidR="00F551B2">
        <w:t xml:space="preserve">default </w:t>
      </w:r>
      <w:r>
        <w:t>unit expiration [</w:t>
      </w:r>
      <w:r w:rsidRPr="008C1BD3">
        <w:t>Maximum Storage Time (MST)</w:t>
      </w:r>
      <w:r>
        <w:t>]</w:t>
      </w:r>
      <w:r w:rsidRPr="008C1BD3">
        <w:t xml:space="preserve"> is set to the longest possible storage time based on product type, core condition</w:t>
      </w:r>
      <w:r w:rsidR="00922AD8" w:rsidRPr="008C1BD3">
        <w:t>, attributes</w:t>
      </w:r>
      <w:r w:rsidRPr="008C1BD3">
        <w:t>, and available references as a guide</w:t>
      </w:r>
      <w:r w:rsidR="006E30BA">
        <w:t xml:space="preserve">, but a user with the Traditional Supervisor role or higher can override the default MST </w:t>
      </w:r>
      <w:r w:rsidR="00F551B2">
        <w:t xml:space="preserve"> (see Blood Product</w:t>
      </w:r>
      <w:r w:rsidR="00B65FD0">
        <w:t>s</w:t>
      </w:r>
      <w:r w:rsidR="00F551B2">
        <w:t xml:space="preserve"> section for more info)</w:t>
      </w:r>
      <w:r w:rsidRPr="008C1BD3">
        <w:t>. The MST is set at a higher leve</w:t>
      </w:r>
      <w:r>
        <w:t>l</w:t>
      </w:r>
      <w:r w:rsidRPr="008C1BD3">
        <w:t xml:space="preserve"> than an individual collection product code. VBECS does not know the specific collection details.  It is the </w:t>
      </w:r>
      <w:r w:rsidR="008B6D25" w:rsidRPr="008C1BD3">
        <w:t>responsibility</w:t>
      </w:r>
      <w:r w:rsidRPr="008C1BD3">
        <w:t xml:space="preserve"> of each user to accurately enter and process any one blood unit based on its expiration date/time as labeled by the collection facility.</w:t>
      </w:r>
      <w:r>
        <w:rPr>
          <w:vanish/>
        </w:rPr>
        <w:t xml:space="preserve"> Task 1280</w:t>
      </w:r>
    </w:p>
    <w:p w14:paraId="418F5EE5" w14:textId="77777777" w:rsidR="00947FF8" w:rsidRDefault="003D0CA1" w:rsidP="009212B0">
      <w:pPr>
        <w:pStyle w:val="ListBullet"/>
      </w:pPr>
      <w:r w:rsidRPr="009212B0">
        <w:t>When blood products intended for quarantine are scanned, VBECS does not automatically quarantine them: the user must do so.</w:t>
      </w:r>
    </w:p>
    <w:p w14:paraId="343859A6" w14:textId="77777777" w:rsidR="00B4679A" w:rsidRPr="009212B0" w:rsidRDefault="005D3F4F" w:rsidP="009212B0">
      <w:pPr>
        <w:pStyle w:val="ListBullet"/>
      </w:pPr>
      <w:r>
        <w:t>VBECS does not recognize scanned</w:t>
      </w:r>
      <w:r w:rsidR="00190AFA" w:rsidRPr="009212B0">
        <w:t xml:space="preserve"> labels for </w:t>
      </w:r>
      <w:r w:rsidR="00EF77F8">
        <w:t>para-Bombay or B</w:t>
      </w:r>
      <w:r w:rsidR="00B4679A" w:rsidRPr="009212B0">
        <w:t xml:space="preserve">ombay </w:t>
      </w:r>
      <w:r w:rsidR="00190AFA" w:rsidRPr="009212B0">
        <w:t xml:space="preserve">ISBT </w:t>
      </w:r>
      <w:r w:rsidR="00B4679A" w:rsidRPr="009212B0">
        <w:t>unit</w:t>
      </w:r>
      <w:r w:rsidR="00190AFA" w:rsidRPr="009212B0">
        <w:t>s</w:t>
      </w:r>
      <w:r w:rsidR="00B4679A" w:rsidRPr="009212B0">
        <w:t>.</w:t>
      </w:r>
    </w:p>
    <w:p w14:paraId="70D402B4" w14:textId="77777777" w:rsidR="0078512B" w:rsidRDefault="005D3F4F" w:rsidP="009212B0">
      <w:pPr>
        <w:pStyle w:val="ListBullet"/>
      </w:pPr>
      <w:r>
        <w:t>VBECS does not allow duplicate IDs for the same product code.</w:t>
      </w:r>
    </w:p>
    <w:p w14:paraId="1078A596" w14:textId="77FCD2F8" w:rsidR="00452BA4" w:rsidRDefault="00452BA4" w:rsidP="009212B0">
      <w:pPr>
        <w:pStyle w:val="ListBullet"/>
      </w:pPr>
      <w:r>
        <w:lastRenderedPageBreak/>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w:t>
      </w:r>
      <w:r w:rsidR="00940D48">
        <w:t>ay the entered information</w:t>
      </w:r>
      <w:r w:rsidRPr="00452BA4">
        <w:t xml:space="preserve">. </w:t>
      </w:r>
    </w:p>
    <w:p w14:paraId="39367B91" w14:textId="5267916A" w:rsidR="009B0984" w:rsidRDefault="009B0984" w:rsidP="009B0984">
      <w:pPr>
        <w:pStyle w:val="ListBullet"/>
      </w:pPr>
      <w:r w:rsidRPr="004E2550">
        <w:t>VBECS supports the scanning of ISBT 128 special testing information barcodes by detecting the appropriate hidden identifiers.</w:t>
      </w:r>
      <w:r>
        <w:t xml:space="preserve"> </w:t>
      </w:r>
      <w:r w:rsidRPr="0030088C">
        <w:rPr>
          <w:rFonts w:cs="Arial"/>
        </w:rPr>
        <w:t xml:space="preserve">Once the hidden identifier is removed, the </w:t>
      </w:r>
      <w:r>
        <w:rPr>
          <w:rFonts w:cs="Arial"/>
        </w:rPr>
        <w:t>special testing code is a varying length of digits, depending on the type of special testing barcode scanned.</w:t>
      </w:r>
    </w:p>
    <w:p w14:paraId="7F751812" w14:textId="77777777" w:rsidR="00DC22C9" w:rsidRDefault="00DC22C9" w:rsidP="007E3EE1">
      <w:pPr>
        <w:pStyle w:val="ListBullet"/>
        <w:keepLines/>
      </w:pPr>
      <w:bookmarkStart w:id="241" w:name="OLE_LINK33"/>
      <w:bookmarkStart w:id="242" w:name="OLE_LINK34"/>
      <w:r w:rsidRPr="00DC22C9">
        <w:t xml:space="preserve">When </w:t>
      </w:r>
      <w:r>
        <w:t>a user scans an ISBT</w:t>
      </w:r>
      <w:r w:rsidR="00940D48">
        <w:t xml:space="preserve"> blood</w:t>
      </w:r>
      <w:r>
        <w:t xml:space="preserve"> </w:t>
      </w:r>
      <w:r w:rsidR="00D723CF">
        <w:t xml:space="preserve">product </w:t>
      </w:r>
      <w:r w:rsidR="00940D48">
        <w:t xml:space="preserve">code </w:t>
      </w:r>
      <w:r w:rsidR="00D723CF">
        <w:t xml:space="preserve">ID </w:t>
      </w:r>
      <w:r>
        <w:t xml:space="preserve">with “0” as </w:t>
      </w:r>
      <w:r w:rsidR="004F2A80">
        <w:t xml:space="preserve">the </w:t>
      </w:r>
      <w:r w:rsidR="00D723CF">
        <w:t>donation type (</w:t>
      </w:r>
      <w:r>
        <w:t>sixth character</w:t>
      </w:r>
      <w:r w:rsidR="00D723CF">
        <w:t>)</w:t>
      </w:r>
      <w:r>
        <w:t xml:space="preserve">, VBECS indicates that the donation type is not specified. </w:t>
      </w:r>
      <w:r w:rsidR="004F2A80">
        <w:t>W</w:t>
      </w:r>
      <w:r w:rsidR="00205693">
        <w:t>h</w:t>
      </w:r>
      <w:r>
        <w:t xml:space="preserve">en the user selects </w:t>
      </w:r>
      <w:r w:rsidR="00DF2243">
        <w:t xml:space="preserve">a donation type </w:t>
      </w:r>
      <w:r>
        <w:t>from</w:t>
      </w:r>
      <w:r w:rsidRPr="00DC22C9">
        <w:t xml:space="preserve"> the </w:t>
      </w:r>
      <w:r w:rsidR="005131BC">
        <w:t>drop-down</w:t>
      </w:r>
      <w:r w:rsidRPr="00DC22C9">
        <w:t xml:space="preserve"> </w:t>
      </w:r>
      <w:r>
        <w:t xml:space="preserve">menu, VBECS </w:t>
      </w:r>
      <w:r w:rsidR="00DF2243">
        <w:t xml:space="preserve">replaces “0” with </w:t>
      </w:r>
      <w:r w:rsidR="00FD697C">
        <w:t>a</w:t>
      </w:r>
      <w:r w:rsidR="004F2A80">
        <w:t xml:space="preserve"> recognizable</w:t>
      </w:r>
      <w:r w:rsidR="00DF2243">
        <w:t xml:space="preserve"> </w:t>
      </w:r>
      <w:r w:rsidRPr="00DC22C9">
        <w:t>character in the product code text box and store</w:t>
      </w:r>
      <w:r w:rsidR="00DF2243">
        <w:t>s it as such</w:t>
      </w:r>
      <w:r w:rsidRPr="00DC22C9">
        <w:t xml:space="preserve">. </w:t>
      </w:r>
      <w:r w:rsidR="004F2A80">
        <w:t xml:space="preserve">When the user rescans the product ID, </w:t>
      </w:r>
      <w:r w:rsidR="00693E8E">
        <w:t xml:space="preserve">he </w:t>
      </w:r>
      <w:r w:rsidR="004F2A80">
        <w:t xml:space="preserve">must </w:t>
      </w:r>
      <w:r w:rsidRPr="00DC22C9">
        <w:t xml:space="preserve">manually </w:t>
      </w:r>
      <w:r w:rsidR="004F2A80">
        <w:t>replace</w:t>
      </w:r>
      <w:r w:rsidRPr="00DC22C9">
        <w:t xml:space="preserve"> </w:t>
      </w:r>
      <w:r w:rsidR="00693E8E">
        <w:t>“0”</w:t>
      </w:r>
      <w:r w:rsidR="004F2A80">
        <w:t xml:space="preserve"> or search using the unit ID alone, or the unit ID and the first five characters of the product ID</w:t>
      </w:r>
      <w:r w:rsidRPr="00DC22C9">
        <w:t xml:space="preserve">. </w:t>
      </w:r>
      <w:r w:rsidR="00940D48">
        <w:t>When scanning a blood product derivative, this does not apply.</w:t>
      </w:r>
    </w:p>
    <w:p w14:paraId="4A296DAA" w14:textId="77777777" w:rsidR="000E07BD" w:rsidRDefault="000E07BD" w:rsidP="000E07BD">
      <w:pPr>
        <w:pStyle w:val="ListBullet"/>
      </w:pPr>
      <w:bookmarkStart w:id="243" w:name="_Toc76279374"/>
      <w:bookmarkEnd w:id="241"/>
      <w:bookmarkEnd w:id="242"/>
      <w:r>
        <w:t xml:space="preserve">Blood product code entries in the blood product table include those from ICCBBA for ISBT 128. Product codes created after </w:t>
      </w:r>
      <w:r w:rsidR="00D76A13">
        <w:t>the release of VBECS</w:t>
      </w:r>
      <w:r>
        <w:t xml:space="preserve">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p w14:paraId="3260E7CD" w14:textId="77777777" w:rsidR="009C0C39" w:rsidRDefault="009C0C39" w:rsidP="009C0C39">
      <w:pPr>
        <w:pStyle w:val="ListBullet"/>
      </w:pPr>
      <w:r>
        <w:t>ISBT 128 tables include blood product codes labeled as not for manufacturing or transfusion.</w:t>
      </w:r>
      <w:r w:rsidR="00A25BC9">
        <w:t xml:space="preserve"> </w:t>
      </w:r>
      <w:r>
        <w:t>VBECS does not restrict such products from being entered, issued, or transferred</w:t>
      </w:r>
      <w:r w:rsidR="00F964B4">
        <w:t xml:space="preserve"> (</w:t>
      </w:r>
      <w:r>
        <w:t>local policy controls their use</w:t>
      </w:r>
      <w:r w:rsidR="00F964B4">
        <w:t>), but</w:t>
      </w:r>
      <w:r>
        <w:t xml:space="preserve"> does not accommodate blood modification for </w:t>
      </w:r>
      <w:r w:rsidR="00F964B4">
        <w:t>the</w:t>
      </w:r>
      <w:r w:rsidR="00976013">
        <w:t>se products</w:t>
      </w:r>
      <w:r w:rsidR="00F964B4">
        <w:t>.</w:t>
      </w:r>
    </w:p>
    <w:p w14:paraId="4AA98388" w14:textId="6E9B7D8E" w:rsidR="00DC382A" w:rsidRDefault="00DC382A" w:rsidP="009C0C39">
      <w:pPr>
        <w:pStyle w:val="ListBulle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Service Desk and file a request fo</w:t>
      </w:r>
      <w:r>
        <w:rPr>
          <w:i/>
        </w:rPr>
        <w:t>r the code to be added to VBECS</w:t>
      </w:r>
      <w:r w:rsidR="00526F70">
        <w:rPr>
          <w:i/>
        </w:rPr>
        <w:t>.</w:t>
      </w:r>
    </w:p>
    <w:p w14:paraId="6427CD00" w14:textId="77777777" w:rsidR="002A21AE" w:rsidRDefault="002A21AE">
      <w:pPr>
        <w:pStyle w:val="Heading4"/>
      </w:pPr>
      <w:r>
        <w:t>Additional Information</w:t>
      </w:r>
      <w:bookmarkEnd w:id="243"/>
    </w:p>
    <w:p w14:paraId="65F0559C" w14:textId="77777777" w:rsidR="00B743A4" w:rsidRPr="00922928" w:rsidRDefault="0004202A" w:rsidP="00B743A4">
      <w:pPr>
        <w:pStyle w:val="ListBullet"/>
      </w:pPr>
      <w:bookmarkStart w:id="244" w:name="_Toc76279375"/>
      <w:r w:rsidRPr="00B743A4">
        <w:rPr>
          <w:vanish/>
        </w:rPr>
        <w:t xml:space="preserve">BR_1.14 </w:t>
      </w:r>
      <w:r w:rsidR="00B743A4" w:rsidRPr="00922928">
        <w:t xml:space="preserve">A unique blood unit record is defined by the following data elements: </w:t>
      </w:r>
    </w:p>
    <w:p w14:paraId="50112EFE" w14:textId="77777777" w:rsidR="00B743A4" w:rsidRPr="00922928" w:rsidRDefault="00B743A4" w:rsidP="00B743A4">
      <w:pPr>
        <w:pStyle w:val="ListBullet2"/>
        <w:tabs>
          <w:tab w:val="clear" w:pos="648"/>
          <w:tab w:val="num" w:pos="576"/>
        </w:tabs>
        <w:ind w:left="1008" w:hanging="360"/>
      </w:pPr>
      <w:r w:rsidRPr="00922928">
        <w:t>VBECS Division</w:t>
      </w:r>
    </w:p>
    <w:p w14:paraId="3E44A0A3" w14:textId="77777777" w:rsidR="00B743A4" w:rsidRPr="00922928" w:rsidRDefault="00B743A4" w:rsidP="00B743A4">
      <w:pPr>
        <w:pStyle w:val="ListBullet2"/>
        <w:tabs>
          <w:tab w:val="clear" w:pos="648"/>
          <w:tab w:val="num" w:pos="576"/>
        </w:tabs>
        <w:ind w:left="1008" w:hanging="360"/>
      </w:pPr>
      <w:r w:rsidRPr="00922928">
        <w:t>Unit ID</w:t>
      </w:r>
    </w:p>
    <w:p w14:paraId="69D3694D" w14:textId="77777777" w:rsidR="00B743A4" w:rsidRPr="00922928" w:rsidRDefault="00B743A4" w:rsidP="00B743A4">
      <w:pPr>
        <w:pStyle w:val="ListBullet2"/>
        <w:tabs>
          <w:tab w:val="clear" w:pos="648"/>
          <w:tab w:val="num" w:pos="576"/>
        </w:tabs>
        <w:ind w:left="1008" w:hanging="360"/>
      </w:pPr>
      <w:r w:rsidRPr="00922928">
        <w:t>Product code</w:t>
      </w:r>
    </w:p>
    <w:p w14:paraId="6E7B91E0" w14:textId="77777777" w:rsidR="00B743A4" w:rsidRPr="0029712B" w:rsidRDefault="00B743A4" w:rsidP="00925CAD">
      <w:pPr>
        <w:pStyle w:val="TableText"/>
        <w:numPr>
          <w:ilvl w:val="2"/>
          <w:numId w:val="37"/>
        </w:numPr>
        <w:tabs>
          <w:tab w:val="clear" w:pos="2160"/>
          <w:tab w:val="num" w:pos="1528"/>
        </w:tabs>
        <w:ind w:hanging="992"/>
        <w:rPr>
          <w:rFonts w:ascii="Times New Roman" w:hAnsi="Times New Roman"/>
          <w:sz w:val="22"/>
          <w:szCs w:val="22"/>
        </w:rPr>
      </w:pPr>
      <w:r w:rsidRPr="0029712B">
        <w:rPr>
          <w:rFonts w:ascii="Times New Roman" w:hAnsi="Times New Roman"/>
          <w:sz w:val="22"/>
          <w:szCs w:val="22"/>
        </w:rPr>
        <w:t>ISBT 128 (8 alphanumeric characters).</w:t>
      </w:r>
    </w:p>
    <w:p w14:paraId="15983597" w14:textId="77777777" w:rsidR="0004202A" w:rsidRDefault="0004202A" w:rsidP="0004202A">
      <w:pPr>
        <w:pStyle w:val="ListBullet"/>
      </w:pPr>
      <w:r>
        <w:t>VBECS stores scanned ISBT 128 product codes and displays them as eight characters:</w:t>
      </w:r>
    </w:p>
    <w:p w14:paraId="0B4C9509" w14:textId="77777777" w:rsidR="0004202A" w:rsidRDefault="0004202A" w:rsidP="0004202A">
      <w:pPr>
        <w:pStyle w:val="ListBullet2"/>
      </w:pPr>
      <w:r>
        <w:t>Characters 1–5: product type</w:t>
      </w:r>
    </w:p>
    <w:p w14:paraId="13FE3012" w14:textId="77777777" w:rsidR="0004202A" w:rsidRDefault="0004202A" w:rsidP="0004202A">
      <w:pPr>
        <w:pStyle w:val="ListBullet2"/>
      </w:pPr>
      <w:r>
        <w:t>Character 6: donation type</w:t>
      </w:r>
    </w:p>
    <w:p w14:paraId="1986E60D" w14:textId="77777777" w:rsidR="0004202A" w:rsidRDefault="0004202A" w:rsidP="0004202A">
      <w:pPr>
        <w:pStyle w:val="ListBullet2"/>
      </w:pPr>
      <w:r>
        <w:t>Characters 7 and 8: division code (split)</w:t>
      </w:r>
    </w:p>
    <w:p w14:paraId="67344D72" w14:textId="77777777" w:rsidR="00467C77" w:rsidRPr="00467C77" w:rsidRDefault="0087742E" w:rsidP="00363509">
      <w:pPr>
        <w:pStyle w:val="ListBullet"/>
      </w:pPr>
      <w:r w:rsidRPr="00467C77">
        <w:t xml:space="preserve">When </w:t>
      </w:r>
      <w:r w:rsidR="0004065B" w:rsidRPr="00467C77">
        <w:t xml:space="preserve">ISBT 128 </w:t>
      </w:r>
      <w:r w:rsidRPr="00467C77">
        <w:t xml:space="preserve">units received during downtime must be issued, it is recommended that the user record the check character. </w:t>
      </w:r>
      <w:r w:rsidR="00871BF5" w:rsidRPr="00467C77">
        <w:t xml:space="preserve">When a blood unit is to be logged in after downtime and the unit is unavailable for scanning, the user must enter the </w:t>
      </w:r>
      <w:r w:rsidR="00DC36C4" w:rsidRPr="00467C77">
        <w:t xml:space="preserve">ISBT </w:t>
      </w:r>
      <w:r w:rsidR="00363509" w:rsidRPr="00467C77">
        <w:t>unit ID</w:t>
      </w:r>
      <w:r w:rsidR="00871BF5" w:rsidRPr="00467C77">
        <w:t xml:space="preserve"> and </w:t>
      </w:r>
      <w:r w:rsidR="00DC36C4" w:rsidRPr="00467C77">
        <w:t>the case-sensitive check character (</w:t>
      </w:r>
      <w:r w:rsidR="00363509" w:rsidRPr="00467C77">
        <w:t xml:space="preserve">the character in the </w:t>
      </w:r>
      <w:r w:rsidR="00DC36C4" w:rsidRPr="00467C77">
        <w:t xml:space="preserve">square following the </w:t>
      </w:r>
      <w:r w:rsidR="00363509" w:rsidRPr="00467C77">
        <w:t>unit ID</w:t>
      </w:r>
      <w:r w:rsidR="00DC36C4" w:rsidRPr="00467C77">
        <w:t>).</w:t>
      </w:r>
      <w:r w:rsidR="00871BF5" w:rsidRPr="00467C77">
        <w:t xml:space="preserve"> </w:t>
      </w:r>
      <w:bookmarkStart w:id="245" w:name="OLE_LINK9"/>
      <w:bookmarkStart w:id="246" w:name="OLE_LINK10"/>
    </w:p>
    <w:p w14:paraId="5C8C0E9D" w14:textId="77777777" w:rsidR="00467C77" w:rsidRPr="00467C77" w:rsidRDefault="00363509">
      <w:pPr>
        <w:pStyle w:val="ListBullet"/>
      </w:pPr>
      <w:r w:rsidRPr="00467C77">
        <w:t>To calculate a check character</w:t>
      </w:r>
      <w:r w:rsidRPr="00467C77">
        <w:fldChar w:fldCharType="begin"/>
      </w:r>
      <w:r w:rsidRPr="00467C77">
        <w:instrText xml:space="preserve"> XE "check character" </w:instrText>
      </w:r>
      <w:r w:rsidRPr="00467C77">
        <w:fldChar w:fldCharType="end"/>
      </w:r>
      <w:r w:rsidRPr="00467C77">
        <w:t>, see the Quick K Calculator</w:t>
      </w:r>
      <w:r w:rsidR="00985C7F" w:rsidRPr="00467C77">
        <w:fldChar w:fldCharType="begin"/>
      </w:r>
      <w:r w:rsidR="00985C7F" w:rsidRPr="00467C77">
        <w:instrText xml:space="preserve"> XE "Quick K Calculator" </w:instrText>
      </w:r>
      <w:r w:rsidR="00985C7F" w:rsidRPr="00467C77">
        <w:fldChar w:fldCharType="end"/>
      </w:r>
      <w:r w:rsidRPr="00467C77">
        <w:t xml:space="preserve"> on the ICCBBA Web page under ISBT 128, Other Tools. Follow the instructions to download the application.</w:t>
      </w:r>
      <w:bookmarkEnd w:id="245"/>
      <w:bookmarkEnd w:id="246"/>
    </w:p>
    <w:p w14:paraId="04199513" w14:textId="77777777" w:rsidR="00467C77" w:rsidRPr="00467C77" w:rsidRDefault="002A21AE" w:rsidP="00C718D7">
      <w:pPr>
        <w:pStyle w:val="ListBullet"/>
      </w:pPr>
      <w:r w:rsidRPr="00467C77">
        <w:t>Each division may have only one blood unit record of the same product type, product code, and unit ID. A unit shipped out (transferred) and subsequently shipped to (received by) a division in the same database will maintain individual records of the unit ID and product code for each division.</w:t>
      </w:r>
    </w:p>
    <w:p w14:paraId="6478ACED" w14:textId="77777777" w:rsidR="00467C77" w:rsidRPr="00467C77" w:rsidRDefault="00C718D7" w:rsidP="00C718D7">
      <w:pPr>
        <w:pStyle w:val="ListBullet"/>
      </w:pPr>
      <w:r w:rsidRPr="00467C77">
        <w:t xml:space="preserve">Several data elements, including the unit ID and product code, define a blood unit record as unique. </w:t>
      </w:r>
      <w:r w:rsidR="0078512B" w:rsidRPr="00467C77">
        <w:t xml:space="preserve">The unit record also includes </w:t>
      </w:r>
      <w:r w:rsidRPr="00467C77">
        <w:t>expiration date</w:t>
      </w:r>
      <w:r w:rsidR="0078512B" w:rsidRPr="00467C77">
        <w:t xml:space="preserve"> and </w:t>
      </w:r>
      <w:r w:rsidRPr="00467C77">
        <w:t>time, blood type</w:t>
      </w:r>
      <w:r w:rsidR="0078512B" w:rsidRPr="00467C77">
        <w:t>,</w:t>
      </w:r>
      <w:r w:rsidRPr="00467C77">
        <w:t xml:space="preserve"> and donation type. </w:t>
      </w:r>
      <w:r w:rsidR="0078512B" w:rsidRPr="00467C77">
        <w:t>These data elements are not editable.</w:t>
      </w:r>
    </w:p>
    <w:p w14:paraId="048EF4B1" w14:textId="77777777" w:rsidR="00992C7D" w:rsidRPr="00467C77" w:rsidRDefault="00992C7D" w:rsidP="00C718D7">
      <w:pPr>
        <w:pStyle w:val="ListBullet"/>
      </w:pPr>
      <w:r w:rsidRPr="00467C77">
        <w:t xml:space="preserve">Some suppliers relabel blood products and do not affix their own FDA Registration Number to </w:t>
      </w:r>
      <w:r w:rsidR="009026B6" w:rsidRPr="00467C77">
        <w:t xml:space="preserve">those </w:t>
      </w:r>
      <w:r w:rsidRPr="00467C77">
        <w:t xml:space="preserve">units. </w:t>
      </w:r>
      <w:r w:rsidR="00D86843" w:rsidRPr="00467C77">
        <w:t xml:space="preserve">It is recommended that the user obtain FDA Registration Number barcodes from their suppliers and </w:t>
      </w:r>
      <w:r w:rsidR="00DD5226" w:rsidRPr="00467C77">
        <w:t>use them for</w:t>
      </w:r>
      <w:r w:rsidR="00D86843" w:rsidRPr="00467C77">
        <w:t xml:space="preserve"> scanning </w:t>
      </w:r>
      <w:r w:rsidRPr="00467C77">
        <w:t>the shipper.</w:t>
      </w:r>
    </w:p>
    <w:p w14:paraId="7B4DCFB0" w14:textId="77777777" w:rsidR="002A21AE" w:rsidRDefault="002A21AE">
      <w:pPr>
        <w:pStyle w:val="Heading4"/>
      </w:pPr>
      <w:r>
        <w:lastRenderedPageBreak/>
        <w:t>User Roles with Access to This Option</w:t>
      </w:r>
      <w:bookmarkEnd w:id="244"/>
    </w:p>
    <w:p w14:paraId="73258546" w14:textId="77777777" w:rsidR="002A21AE" w:rsidRDefault="00873EEB">
      <w:pPr>
        <w:pStyle w:val="Roles"/>
        <w:rPr>
          <w:snapToGrid w:val="0"/>
        </w:rPr>
      </w:pPr>
      <w:r>
        <w:t>All users</w:t>
      </w:r>
    </w:p>
    <w:p w14:paraId="0176D5D4" w14:textId="77777777" w:rsidR="002A21AE" w:rsidRDefault="00057948">
      <w:pPr>
        <w:pStyle w:val="Heading4"/>
      </w:pPr>
      <w:r>
        <w:rPr>
          <w:noProof/>
        </w:rPr>
        <w:drawing>
          <wp:inline distT="0" distB="0" distL="0" distR="0" wp14:anchorId="6E7561C0" wp14:editId="586E2766">
            <wp:extent cx="156845" cy="156845"/>
            <wp:effectExtent l="0" t="0" r="0" b="0"/>
            <wp:docPr id="150" name="Picture 150" descr="Outgoing Shi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Outgoing Shipmen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Incoming Shipment </w:t>
      </w:r>
    </w:p>
    <w:p w14:paraId="46F5E22F" w14:textId="77777777" w:rsidR="002A21AE" w:rsidRDefault="00A367A9" w:rsidP="00FA7E65">
      <w:pPr>
        <w:pStyle w:val="BodyText"/>
      </w:pPr>
      <w:r>
        <w:t>I</w:t>
      </w:r>
      <w:r w:rsidR="002A21AE">
        <w:t>n a “transfusion-only” facility, units must be restricted for use by a specific patient while an incoming shipment is processed. VBECS identifies the original collection facility to determine the presence of</w:t>
      </w:r>
      <w:r w:rsidR="0029712B">
        <w:t xml:space="preserve"> an eye-readable prefix</w:t>
      </w:r>
      <w:r w:rsidR="002A21AE">
        <w:t>. A user may enter unique unit information regarding special testing and antigen phenotyping. The user confirms that all entered units from the shipment were added to the database in the blood bank.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60B0ECB" w14:textId="77777777">
        <w:trPr>
          <w:tblHeader/>
        </w:trPr>
        <w:tc>
          <w:tcPr>
            <w:tcW w:w="3240" w:type="dxa"/>
            <w:shd w:val="pct30" w:color="auto" w:fill="FFFFFF"/>
            <w:vAlign w:val="bottom"/>
          </w:tcPr>
          <w:p w14:paraId="61F2F971" w14:textId="77777777" w:rsidR="002A21AE" w:rsidRDefault="002A21AE">
            <w:pPr>
              <w:pStyle w:val="TableText"/>
              <w:rPr>
                <w:b/>
              </w:rPr>
            </w:pPr>
            <w:r>
              <w:rPr>
                <w:b/>
              </w:rPr>
              <w:t>User Action</w:t>
            </w:r>
          </w:p>
        </w:tc>
        <w:tc>
          <w:tcPr>
            <w:tcW w:w="6120" w:type="dxa"/>
            <w:shd w:val="pct30" w:color="auto" w:fill="FFFFFF"/>
            <w:vAlign w:val="bottom"/>
          </w:tcPr>
          <w:p w14:paraId="41585D96" w14:textId="77777777" w:rsidR="002A21AE" w:rsidRDefault="002A21AE">
            <w:pPr>
              <w:pStyle w:val="TableText"/>
              <w:rPr>
                <w:b/>
              </w:rPr>
            </w:pPr>
            <w:r>
              <w:rPr>
                <w:b/>
              </w:rPr>
              <w:t>VBECS</w:t>
            </w:r>
          </w:p>
        </w:tc>
      </w:tr>
      <w:tr w:rsidR="002A21AE" w14:paraId="12010085" w14:textId="77777777">
        <w:tc>
          <w:tcPr>
            <w:tcW w:w="3240" w:type="dxa"/>
          </w:tcPr>
          <w:p w14:paraId="214370A4" w14:textId="77777777" w:rsidR="002A21AE" w:rsidRDefault="002A21AE">
            <w:pPr>
              <w:pStyle w:val="TableTextNumbers"/>
            </w:pPr>
            <w:r>
              <w:t xml:space="preserve">Select </w:t>
            </w:r>
            <w:r>
              <w:rPr>
                <w:b/>
              </w:rPr>
              <w:t>Shipments</w:t>
            </w:r>
            <w:r>
              <w:t xml:space="preserve"> from the main menu.</w:t>
            </w:r>
          </w:p>
          <w:p w14:paraId="334516D3" w14:textId="77777777" w:rsidR="002A21AE" w:rsidRDefault="002A21AE">
            <w:pPr>
              <w:pStyle w:val="TableTextNumbersContinued"/>
              <w:rPr>
                <w:b/>
                <w:bCs/>
              </w:rPr>
            </w:pPr>
          </w:p>
          <w:p w14:paraId="7C896EEC" w14:textId="77777777" w:rsidR="002A21AE" w:rsidRDefault="002A21AE">
            <w:pPr>
              <w:pStyle w:val="TableTextNumbersContinued"/>
              <w:rPr>
                <w:b/>
                <w:bCs/>
              </w:rPr>
            </w:pPr>
            <w:r w:rsidRPr="00C761CD">
              <w:rPr>
                <w:bCs/>
              </w:rPr>
              <w:t>Select</w:t>
            </w:r>
            <w:r>
              <w:rPr>
                <w:b/>
                <w:bCs/>
              </w:rPr>
              <w:t xml:space="preserve"> Incoming Shipment</w:t>
            </w:r>
            <w:r w:rsidRPr="00C761CD">
              <w:rPr>
                <w:bCs/>
              </w:rPr>
              <w:t>.</w:t>
            </w:r>
          </w:p>
        </w:tc>
        <w:tc>
          <w:tcPr>
            <w:tcW w:w="6120" w:type="dxa"/>
          </w:tcPr>
          <w:p w14:paraId="3F713E82" w14:textId="77777777" w:rsidR="002A21AE" w:rsidRDefault="002A21AE">
            <w:pPr>
              <w:pStyle w:val="TableTextBullet"/>
            </w:pPr>
            <w:r>
              <w:t xml:space="preserve">Displays options for processing blood product shipments. </w:t>
            </w:r>
          </w:p>
          <w:p w14:paraId="7677D4EB" w14:textId="77777777" w:rsidR="0038298F" w:rsidRDefault="002A21AE" w:rsidP="0038298F">
            <w:pPr>
              <w:pStyle w:val="TableTextBullet"/>
            </w:pPr>
            <w:r>
              <w:t>Displays invoice information fields for entering shipment information.</w:t>
            </w:r>
          </w:p>
          <w:p w14:paraId="6E303773" w14:textId="77777777" w:rsidR="0038298F" w:rsidRDefault="0038298F" w:rsidP="0038298F">
            <w:pPr>
              <w:pStyle w:val="TableTextBullet"/>
              <w:numPr>
                <w:ilvl w:val="0"/>
                <w:numId w:val="0"/>
              </w:numPr>
              <w:ind w:left="288"/>
            </w:pPr>
          </w:p>
          <w:p w14:paraId="4ACC2F30" w14:textId="5B1F0AFF" w:rsidR="0038298F" w:rsidRDefault="0038298F" w:rsidP="0038298F">
            <w:pPr>
              <w:pStyle w:val="TableText"/>
              <w:rPr>
                <w:b/>
                <w:bCs/>
                <w:szCs w:val="18"/>
              </w:rPr>
            </w:pPr>
            <w:r>
              <w:rPr>
                <w:b/>
                <w:bCs/>
                <w:szCs w:val="18"/>
              </w:rPr>
              <w:t>NOTES</w:t>
            </w:r>
          </w:p>
          <w:p w14:paraId="163B1A62" w14:textId="77777777" w:rsidR="0038298F" w:rsidRDefault="0038298F" w:rsidP="0038298F">
            <w:pPr>
              <w:pStyle w:val="TableTextBullet"/>
              <w:numPr>
                <w:ilvl w:val="0"/>
                <w:numId w:val="0"/>
              </w:numPr>
              <w:ind w:left="288" w:hanging="288"/>
              <w:rPr>
                <w:rFonts w:cs="Arial"/>
                <w:szCs w:val="18"/>
              </w:rPr>
            </w:pPr>
          </w:p>
          <w:p w14:paraId="03453B4F" w14:textId="1F5C070F" w:rsidR="009F2A03" w:rsidRDefault="0038298F" w:rsidP="007E3EE1">
            <w:pPr>
              <w:pStyle w:val="NotesText"/>
            </w:pPr>
            <w:r w:rsidRPr="0038298F">
              <w:rPr>
                <w:vanish/>
              </w:rPr>
              <w:t xml:space="preserve">BR_1.62 </w:t>
            </w:r>
            <w:r w:rsidRPr="0038298F">
              <w:t>The system is s</w:t>
            </w:r>
            <w:r>
              <w:t xml:space="preserve">et as a default to ISBT </w:t>
            </w:r>
            <w:r w:rsidRPr="0038298F">
              <w:t>128 label type.</w:t>
            </w:r>
          </w:p>
        </w:tc>
      </w:tr>
      <w:tr w:rsidR="002A21AE" w14:paraId="2625EF2D" w14:textId="77777777" w:rsidTr="007E500E">
        <w:trPr>
          <w:cantSplit/>
        </w:trPr>
        <w:tc>
          <w:tcPr>
            <w:tcW w:w="3240" w:type="dxa"/>
          </w:tcPr>
          <w:p w14:paraId="4B7DB859" w14:textId="77777777" w:rsidR="002A21AE" w:rsidRDefault="002A21AE">
            <w:pPr>
              <w:pStyle w:val="TableTextNumbers"/>
            </w:pPr>
            <w:r>
              <w:lastRenderedPageBreak/>
              <w:t xml:space="preserve">Scan the invoice number barcode or enter the invoice number. </w:t>
            </w:r>
          </w:p>
          <w:p w14:paraId="31160A7F" w14:textId="77777777" w:rsidR="002A21AE" w:rsidRDefault="002A21AE">
            <w:pPr>
              <w:pStyle w:val="TableTextNumbersContinued"/>
            </w:pPr>
          </w:p>
          <w:p w14:paraId="359D6DA6" w14:textId="77777777" w:rsidR="002A21AE" w:rsidRDefault="002A21AE">
            <w:pPr>
              <w:pStyle w:val="TableTextNumbersContinued"/>
            </w:pPr>
            <w:r>
              <w:t xml:space="preserve">To search for an existing invoice, click the </w:t>
            </w:r>
            <w:r w:rsidR="00A6373D">
              <w:rPr>
                <w:b/>
              </w:rPr>
              <w:t>find</w:t>
            </w:r>
            <w:r w:rsidRPr="00BF2E41">
              <w:t xml:space="preserve"> button</w:t>
            </w:r>
            <w:r>
              <w:t xml:space="preserve">. Enter an invoice number and/or select a shipper from the drop-down list, then click </w:t>
            </w:r>
            <w:r>
              <w:rPr>
                <w:b/>
              </w:rPr>
              <w:t>Search</w:t>
            </w:r>
            <w:r>
              <w:t xml:space="preserve">. Click an invoice number to select it and click </w:t>
            </w:r>
            <w:r>
              <w:rPr>
                <w:b/>
              </w:rPr>
              <w:t>OK</w:t>
            </w:r>
            <w:r>
              <w:t>.</w:t>
            </w:r>
          </w:p>
        </w:tc>
        <w:tc>
          <w:tcPr>
            <w:tcW w:w="6120" w:type="dxa"/>
          </w:tcPr>
          <w:p w14:paraId="73844607" w14:textId="77777777" w:rsidR="002A21AE" w:rsidRDefault="002A21AE">
            <w:pPr>
              <w:pStyle w:val="TableTextBullet"/>
            </w:pPr>
            <w:r>
              <w:t>When an identified invoice does not exist, asks the user whether he wants to create an invoice and add units to it.</w:t>
            </w:r>
          </w:p>
          <w:p w14:paraId="347F7ABF" w14:textId="77777777" w:rsidR="002A21AE" w:rsidRDefault="002A21AE">
            <w:pPr>
              <w:pStyle w:val="TableTextBullet"/>
            </w:pPr>
            <w:r>
              <w:t>Displays the option to search for existing invoices by invoice number and/or by active shipper. When no match is found, notifies the user.</w:t>
            </w:r>
          </w:p>
          <w:p w14:paraId="1994C323" w14:textId="77777777" w:rsidR="002A21AE" w:rsidRDefault="002A21AE">
            <w:pPr>
              <w:pStyle w:val="TableText"/>
              <w:rPr>
                <w:b/>
                <w:bCs/>
                <w:szCs w:val="18"/>
              </w:rPr>
            </w:pPr>
          </w:p>
          <w:p w14:paraId="7B0ECFB5" w14:textId="50F5CA4D" w:rsidR="002A21AE" w:rsidRDefault="002A21AE">
            <w:pPr>
              <w:pStyle w:val="TableText"/>
              <w:rPr>
                <w:b/>
                <w:bCs/>
                <w:szCs w:val="18"/>
              </w:rPr>
            </w:pPr>
            <w:r>
              <w:rPr>
                <w:b/>
                <w:bCs/>
                <w:szCs w:val="18"/>
              </w:rPr>
              <w:t>NOTES</w:t>
            </w:r>
          </w:p>
          <w:p w14:paraId="0243433A" w14:textId="77777777" w:rsidR="002A21AE" w:rsidRPr="0051299B" w:rsidRDefault="002A21AE" w:rsidP="0051299B">
            <w:pPr>
              <w:pStyle w:val="NotesText"/>
            </w:pPr>
          </w:p>
          <w:p w14:paraId="6976ADE8" w14:textId="77777777" w:rsidR="002A21AE" w:rsidRDefault="002A21AE" w:rsidP="0051299B">
            <w:pPr>
              <w:pStyle w:val="NotesText"/>
            </w:pPr>
            <w:r w:rsidRPr="00A800FB">
              <w:rPr>
                <w:vanish/>
                <w:szCs w:val="18"/>
              </w:rPr>
              <w:t xml:space="preserve">BR_1.63 </w:t>
            </w:r>
            <w:r w:rsidRPr="00A800FB">
              <w:t>When a user chooses to select an existing invoice to add units, VBECS ensures that the shipper is marked as active. VBECS displays and allows the user to edit existing invoices associated with active shippers.</w:t>
            </w:r>
          </w:p>
          <w:p w14:paraId="08FA9313" w14:textId="77777777" w:rsidR="00126AF8" w:rsidRDefault="00126AF8">
            <w:pPr>
              <w:pStyle w:val="NotesText"/>
            </w:pPr>
          </w:p>
          <w:p w14:paraId="0FE8F8B4" w14:textId="7CD20F7D" w:rsidR="00126AF8" w:rsidRDefault="00126AF8">
            <w:pPr>
              <w:pStyle w:val="NotesText"/>
            </w:pPr>
            <w:r w:rsidRPr="004B0900">
              <w:t>To correct an invoice associated with an inactive shipper, the user must reactivate the shipper.</w:t>
            </w:r>
            <w:r w:rsidRPr="00126AF8">
              <w:t xml:space="preserve"> </w:t>
            </w:r>
            <w:r w:rsidR="004B0900">
              <w:t xml:space="preserve">(See </w:t>
            </w:r>
            <w:r w:rsidR="004B0900" w:rsidRPr="00423A7F">
              <w:rPr>
                <w:i/>
                <w:iCs/>
              </w:rPr>
              <w:t>FAQ CAP Comprehensive Transfusion Medicine Crossmatch Survey</w:t>
            </w:r>
            <w:r w:rsidR="004B0900">
              <w:t>)</w:t>
            </w:r>
          </w:p>
          <w:p w14:paraId="01880B9E" w14:textId="77777777" w:rsidR="00117986" w:rsidRDefault="00117986">
            <w:pPr>
              <w:pStyle w:val="NotesText"/>
            </w:pPr>
          </w:p>
          <w:p w14:paraId="5F509F45" w14:textId="77777777" w:rsidR="002A21AE" w:rsidRDefault="002A21AE" w:rsidP="00297B57">
            <w:pPr>
              <w:pStyle w:val="NotesText"/>
            </w:pPr>
            <w:r w:rsidRPr="009660C3">
              <w:rPr>
                <w:vanish/>
                <w:szCs w:val="18"/>
              </w:rPr>
              <w:t xml:space="preserve">BR_1.38 </w:t>
            </w:r>
            <w:r>
              <w:t xml:space="preserve">Multiple users may process different units from a </w:t>
            </w:r>
            <w:r>
              <w:rPr>
                <w:iCs/>
              </w:rPr>
              <w:t>shipment</w:t>
            </w:r>
            <w:r w:rsidR="00297B57">
              <w:t xml:space="preserve">. </w:t>
            </w:r>
            <w:r w:rsidR="009F2A03">
              <w:t xml:space="preserve"> </w:t>
            </w:r>
            <w:r w:rsidR="009F2A03" w:rsidRPr="0030088C">
              <w:rPr>
                <w:rFonts w:cs="Arial"/>
                <w:szCs w:val="18"/>
              </w:rPr>
              <w:t>A large shipment of blood can be physically processed by more than one tech simultaneously, however, each individual unit in the shipment can only be processed by one tech.</w:t>
            </w:r>
          </w:p>
          <w:p w14:paraId="32FB02E4" w14:textId="77777777" w:rsidR="009A7DAC" w:rsidRDefault="009A7DAC" w:rsidP="00297B57">
            <w:pPr>
              <w:pStyle w:val="NotesText"/>
            </w:pPr>
          </w:p>
          <w:p w14:paraId="62AAC316" w14:textId="77777777" w:rsidR="009A7DAC" w:rsidRDefault="009A7DAC" w:rsidP="00297B57">
            <w:pPr>
              <w:pStyle w:val="NotesText"/>
            </w:pPr>
            <w:bookmarkStart w:id="247" w:name="OLE_LINK31"/>
            <w:bookmarkStart w:id="248" w:name="OLE_LINK32"/>
            <w:r w:rsidRPr="009A7DAC">
              <w:t xml:space="preserve">When </w:t>
            </w:r>
            <w:r w:rsidR="006829C9">
              <w:t>more than one user</w:t>
            </w:r>
            <w:r w:rsidRPr="009A7DAC">
              <w:t xml:space="preserve"> intend</w:t>
            </w:r>
            <w:r w:rsidR="006829C9">
              <w:t>s</w:t>
            </w:r>
            <w:r w:rsidRPr="009A7DAC">
              <w:t xml:space="preserve"> to work on </w:t>
            </w:r>
            <w:r w:rsidR="006829C9">
              <w:t>an</w:t>
            </w:r>
            <w:r w:rsidRPr="009A7DAC">
              <w:t xml:space="preserve"> invoice, one </w:t>
            </w:r>
            <w:r>
              <w:t>user</w:t>
            </w:r>
            <w:r w:rsidRPr="009A7DAC">
              <w:t xml:space="preserve"> </w:t>
            </w:r>
            <w:r>
              <w:t>must</w:t>
            </w:r>
            <w:r w:rsidRPr="009A7DAC">
              <w:t xml:space="preserve"> create </w:t>
            </w:r>
            <w:r w:rsidR="006829C9">
              <w:t>the</w:t>
            </w:r>
            <w:r w:rsidRPr="009A7DAC">
              <w:t xml:space="preserve"> invoice</w:t>
            </w:r>
            <w:r>
              <w:t>. T</w:t>
            </w:r>
            <w:r w:rsidRPr="009A7DAC">
              <w:t xml:space="preserve">he other users </w:t>
            </w:r>
            <w:r>
              <w:t>must</w:t>
            </w:r>
            <w:r w:rsidRPr="009A7DAC">
              <w:t xml:space="preserve"> select </w:t>
            </w:r>
            <w:r w:rsidR="00551508">
              <w:t>that</w:t>
            </w:r>
            <w:r w:rsidRPr="009A7DAC">
              <w:t xml:space="preserve"> invoice and add units to it.</w:t>
            </w:r>
            <w:bookmarkEnd w:id="247"/>
            <w:bookmarkEnd w:id="248"/>
          </w:p>
          <w:p w14:paraId="4C0B102A" w14:textId="77777777" w:rsidR="005710CE" w:rsidRDefault="005710CE" w:rsidP="00297B57">
            <w:pPr>
              <w:pStyle w:val="NotesText"/>
            </w:pPr>
          </w:p>
          <w:p w14:paraId="5F77E7AF" w14:textId="77777777" w:rsidR="005710CE" w:rsidRDefault="005710CE" w:rsidP="00297B57">
            <w:pPr>
              <w:pStyle w:val="NotesText"/>
            </w:pPr>
            <w:r w:rsidRPr="005710CE">
              <w:rPr>
                <w:vanish/>
              </w:rPr>
              <w:t xml:space="preserve">BR_1.07 </w:t>
            </w:r>
            <w:r>
              <w:t>When using a scanner to read barcodes on blood product bags, the system must display the input to the user in the eye-readable form that appears on the blood bag.</w:t>
            </w:r>
          </w:p>
          <w:p w14:paraId="160008E8" w14:textId="77777777" w:rsidR="005710CE" w:rsidRDefault="005710CE" w:rsidP="00297B57">
            <w:pPr>
              <w:pStyle w:val="NotesText"/>
            </w:pPr>
          </w:p>
          <w:p w14:paraId="1A626814" w14:textId="5DE84791" w:rsidR="005710CE" w:rsidRDefault="009F2A03" w:rsidP="00297B57">
            <w:pPr>
              <w:pStyle w:val="NotesText"/>
              <w:rPr>
                <w:rFonts w:cs="Arial"/>
                <w:szCs w:val="18"/>
              </w:rPr>
            </w:pPr>
            <w:r w:rsidRPr="009F2A03">
              <w:rPr>
                <w:rFonts w:cs="Arial"/>
                <w:vanish/>
                <w:szCs w:val="18"/>
              </w:rPr>
              <w:t xml:space="preserve">BR_1.06 </w:t>
            </w:r>
            <w:r w:rsidRPr="0030088C">
              <w:rPr>
                <w:rFonts w:cs="Arial"/>
                <w:szCs w:val="18"/>
              </w:rPr>
              <w:t xml:space="preserve">When processing a shipment, the system should provide an indication to the user which specific barcode the system is expecting. Once the scan is complete, the system automatically ‘moves’ the indication to the next logical input. The user can override this progression by manually selecting a different input field. It is assumed that the scanners </w:t>
            </w:r>
            <w:r w:rsidR="004D0A70">
              <w:rPr>
                <w:rFonts w:cs="Arial"/>
                <w:szCs w:val="18"/>
              </w:rPr>
              <w:t>are</w:t>
            </w:r>
            <w:r w:rsidRPr="0030088C">
              <w:rPr>
                <w:rFonts w:cs="Arial"/>
                <w:szCs w:val="18"/>
              </w:rPr>
              <w:t xml:space="preserve"> configured to append the proper command at the completion of each scan.</w:t>
            </w:r>
          </w:p>
          <w:p w14:paraId="4C3F78CB" w14:textId="77777777" w:rsidR="009F2A03" w:rsidRDefault="009F2A03" w:rsidP="00297B57">
            <w:pPr>
              <w:pStyle w:val="NotesText"/>
              <w:rPr>
                <w:rFonts w:cs="Arial"/>
                <w:szCs w:val="18"/>
              </w:rPr>
            </w:pPr>
          </w:p>
          <w:p w14:paraId="3A09E00F" w14:textId="77777777" w:rsidR="009F2A03" w:rsidRDefault="00EC25E3" w:rsidP="00297B57">
            <w:pPr>
              <w:pStyle w:val="NotesText"/>
              <w:rPr>
                <w:rFonts w:cs="Arial"/>
                <w:szCs w:val="18"/>
              </w:rPr>
            </w:pPr>
            <w:r w:rsidRPr="00EC25E3">
              <w:rPr>
                <w:rFonts w:cs="Arial"/>
                <w:vanish/>
                <w:szCs w:val="18"/>
              </w:rPr>
              <w:t xml:space="preserve">BR_1.54 </w:t>
            </w:r>
            <w:r w:rsidRPr="0030088C">
              <w:rPr>
                <w:rFonts w:cs="Arial"/>
                <w:szCs w:val="18"/>
              </w:rPr>
              <w:t>If the user entered shipment propertie</w:t>
            </w:r>
            <w:r>
              <w:rPr>
                <w:rFonts w:cs="Arial"/>
                <w:szCs w:val="18"/>
              </w:rPr>
              <w:t xml:space="preserve">s for an existing invoice, VBECS </w:t>
            </w:r>
            <w:r w:rsidRPr="0030088C">
              <w:rPr>
                <w:rFonts w:cs="Arial"/>
                <w:szCs w:val="18"/>
              </w:rPr>
              <w:t>displays a message: Do you want to continue and add units to an existing invoice? (Select “No” to use another invoice.) If the user responds “No,” the shipment property fields are cleared, allowing the user to enter data for anothe</w:t>
            </w:r>
            <w:r>
              <w:rPr>
                <w:rFonts w:cs="Arial"/>
                <w:szCs w:val="18"/>
              </w:rPr>
              <w:t>r invoice; otherwise, VBECS</w:t>
            </w:r>
            <w:r w:rsidRPr="0030088C">
              <w:rPr>
                <w:rFonts w:cs="Arial"/>
                <w:szCs w:val="18"/>
              </w:rPr>
              <w:t xml:space="preserve"> continues to the next step.</w:t>
            </w:r>
          </w:p>
          <w:p w14:paraId="27E570E6" w14:textId="77777777" w:rsidR="00EC25E3" w:rsidRDefault="00EC25E3" w:rsidP="00297B57">
            <w:pPr>
              <w:pStyle w:val="NotesText"/>
              <w:rPr>
                <w:rFonts w:cs="Arial"/>
                <w:szCs w:val="18"/>
              </w:rPr>
            </w:pPr>
          </w:p>
          <w:p w14:paraId="2828EC0A" w14:textId="77777777" w:rsidR="00EC25E3" w:rsidRDefault="00EC25E3" w:rsidP="00297B57">
            <w:pPr>
              <w:pStyle w:val="NotesText"/>
              <w:rPr>
                <w:rFonts w:cs="Arial"/>
                <w:szCs w:val="18"/>
              </w:rPr>
            </w:pPr>
            <w:r w:rsidRPr="00EC25E3">
              <w:rPr>
                <w:rFonts w:cs="Arial"/>
                <w:vanish/>
                <w:szCs w:val="18"/>
              </w:rPr>
              <w:t xml:space="preserve">BR_1.55 </w:t>
            </w:r>
            <w:r w:rsidRPr="0030088C">
              <w:rPr>
                <w:rFonts w:cs="Arial"/>
                <w:szCs w:val="18"/>
              </w:rPr>
              <w:t>If the user entered shipment properties</w:t>
            </w:r>
            <w:r>
              <w:rPr>
                <w:rFonts w:cs="Arial"/>
                <w:szCs w:val="18"/>
              </w:rPr>
              <w:t xml:space="preserve"> for a new invoice, VBECS</w:t>
            </w:r>
            <w:r w:rsidRPr="0030088C">
              <w:rPr>
                <w:rFonts w:cs="Arial"/>
                <w:szCs w:val="18"/>
              </w:rPr>
              <w:t xml:space="preserve"> displays a message: Do you want to continue and add units to the new invoice? (Select “No” to use another invoice.) If the user responds “No,” the shipment property fields are cleared, allowing the user to enter data for another invoice; otherwise, the system continues to the next step.</w:t>
            </w:r>
          </w:p>
          <w:p w14:paraId="44F41639" w14:textId="77777777" w:rsidR="00EC25E3" w:rsidRDefault="00EC25E3" w:rsidP="00297B57">
            <w:pPr>
              <w:pStyle w:val="NotesText"/>
              <w:rPr>
                <w:rFonts w:cs="Arial"/>
                <w:szCs w:val="18"/>
              </w:rPr>
            </w:pPr>
          </w:p>
          <w:p w14:paraId="5F6E50FD" w14:textId="2D9745C3" w:rsidR="004B3753" w:rsidRPr="007E3EE1" w:rsidRDefault="004B3753" w:rsidP="007E3EE1">
            <w:pPr>
              <w:pStyle w:val="NotesText"/>
              <w:rPr>
                <w:rFonts w:cs="Arial"/>
                <w:szCs w:val="18"/>
              </w:rPr>
            </w:pPr>
            <w:r w:rsidRPr="004B3753">
              <w:rPr>
                <w:rFonts w:cs="Arial"/>
                <w:vanish/>
                <w:szCs w:val="18"/>
              </w:rPr>
              <w:t xml:space="preserve">BR_1.56 </w:t>
            </w:r>
            <w:r w:rsidRPr="0030088C">
              <w:rPr>
                <w:rFonts w:cs="Arial"/>
                <w:szCs w:val="18"/>
              </w:rPr>
              <w:t>The combination of invoice number, shipper, and date</w:t>
            </w:r>
            <w:r>
              <w:rPr>
                <w:rFonts w:cs="Arial"/>
                <w:szCs w:val="18"/>
              </w:rPr>
              <w:t>/time</w:t>
            </w:r>
            <w:r w:rsidRPr="0030088C">
              <w:rPr>
                <w:rFonts w:cs="Arial"/>
                <w:szCs w:val="18"/>
              </w:rPr>
              <w:t xml:space="preserve"> received uniquely identifies the shipment for data retrieval.</w:t>
            </w:r>
          </w:p>
        </w:tc>
      </w:tr>
      <w:tr w:rsidR="00DA1590" w14:paraId="22E50377" w14:textId="77777777" w:rsidTr="006C058D">
        <w:trPr>
          <w:cantSplit/>
        </w:trPr>
        <w:tc>
          <w:tcPr>
            <w:tcW w:w="3240" w:type="dxa"/>
          </w:tcPr>
          <w:p w14:paraId="18554F17" w14:textId="77777777" w:rsidR="00DA1590" w:rsidRDefault="00DA1590">
            <w:pPr>
              <w:pStyle w:val="TableTextNumbers"/>
            </w:pPr>
            <w:r>
              <w:lastRenderedPageBreak/>
              <w:t>Select a source</w:t>
            </w:r>
            <w:r w:rsidR="007536F3">
              <w:t xml:space="preserve"> from the Source (Shipper) drop-down list. If needed, edit the date received in the Date Received field.</w:t>
            </w:r>
          </w:p>
        </w:tc>
        <w:tc>
          <w:tcPr>
            <w:tcW w:w="6120" w:type="dxa"/>
          </w:tcPr>
          <w:p w14:paraId="1BC7F29C" w14:textId="77777777" w:rsidR="00297B57" w:rsidRDefault="00297B57" w:rsidP="00297B57">
            <w:pPr>
              <w:pStyle w:val="TableText"/>
              <w:rPr>
                <w:b/>
                <w:bCs/>
                <w:szCs w:val="18"/>
              </w:rPr>
            </w:pPr>
          </w:p>
          <w:p w14:paraId="60B30890" w14:textId="005EDADF" w:rsidR="00297B57" w:rsidRDefault="00297B57" w:rsidP="00297B57">
            <w:pPr>
              <w:pStyle w:val="TableText"/>
              <w:rPr>
                <w:b/>
                <w:bCs/>
                <w:szCs w:val="18"/>
              </w:rPr>
            </w:pPr>
            <w:r>
              <w:rPr>
                <w:b/>
                <w:bCs/>
                <w:szCs w:val="18"/>
              </w:rPr>
              <w:t>NOTES</w:t>
            </w:r>
          </w:p>
          <w:p w14:paraId="4F5C5780" w14:textId="77777777" w:rsidR="00297B57" w:rsidRDefault="00297B57" w:rsidP="00297B57">
            <w:pPr>
              <w:pStyle w:val="NotesText"/>
            </w:pPr>
          </w:p>
          <w:p w14:paraId="17CC0604" w14:textId="77777777" w:rsidR="00297B57" w:rsidRDefault="00297B57" w:rsidP="00297B57">
            <w:pPr>
              <w:pStyle w:val="NotesText"/>
            </w:pPr>
            <w:r>
              <w:t>After a user enters or selects an invoice number, the user may enter information in the shipper, date received, and processing technologist fields.</w:t>
            </w:r>
          </w:p>
          <w:p w14:paraId="090F7A2F" w14:textId="77777777" w:rsidR="00297B57" w:rsidRDefault="00297B57" w:rsidP="00297B57">
            <w:pPr>
              <w:pStyle w:val="NotesText"/>
            </w:pPr>
          </w:p>
          <w:p w14:paraId="31CF0F6D" w14:textId="77777777" w:rsidR="00DA1590" w:rsidRDefault="00297B57" w:rsidP="00297B57">
            <w:pPr>
              <w:pStyle w:val="NotesText"/>
            </w:pPr>
            <w:r>
              <w:t>During retrospective entry, the user must enter the shipment date and time before entering any other unit transaction.</w:t>
            </w:r>
          </w:p>
          <w:p w14:paraId="6F8FA4D5" w14:textId="77777777" w:rsidR="009F2A03" w:rsidRDefault="009F2A03" w:rsidP="00297B57">
            <w:pPr>
              <w:pStyle w:val="NotesText"/>
            </w:pPr>
          </w:p>
          <w:p w14:paraId="74B37038" w14:textId="2C1FEA1C" w:rsidR="009F2A03" w:rsidRDefault="009F2A03" w:rsidP="00297B57">
            <w:pPr>
              <w:pStyle w:val="NotesText"/>
            </w:pPr>
            <w:r w:rsidRPr="009F2A03">
              <w:rPr>
                <w:rFonts w:cs="Arial"/>
                <w:vanish/>
                <w:szCs w:val="18"/>
              </w:rPr>
              <w:t xml:space="preserve">BR_1.51 </w:t>
            </w:r>
            <w:r w:rsidRPr="0030088C">
              <w:rPr>
                <w:rFonts w:cs="Arial"/>
                <w:szCs w:val="18"/>
              </w:rPr>
              <w:t>Shipment received date/time cannot be a future date/time</w:t>
            </w:r>
            <w:r>
              <w:rPr>
                <w:rFonts w:cs="Arial"/>
                <w:szCs w:val="18"/>
              </w:rPr>
              <w:t>.</w:t>
            </w:r>
          </w:p>
        </w:tc>
      </w:tr>
      <w:tr w:rsidR="002A21AE" w14:paraId="4A4C0AFE" w14:textId="77777777">
        <w:tc>
          <w:tcPr>
            <w:tcW w:w="3240" w:type="dxa"/>
          </w:tcPr>
          <w:p w14:paraId="46C2AE18" w14:textId="77777777" w:rsidR="002A21AE" w:rsidRDefault="002A21AE">
            <w:pPr>
              <w:pStyle w:val="TableTextNumbers"/>
            </w:pPr>
            <w:r>
              <w:t xml:space="preserve">Click </w:t>
            </w:r>
            <w:r>
              <w:rPr>
                <w:b/>
              </w:rPr>
              <w:t>OK</w:t>
            </w:r>
            <w:r>
              <w:t xml:space="preserve"> again to continue. </w:t>
            </w:r>
          </w:p>
        </w:tc>
        <w:tc>
          <w:tcPr>
            <w:tcW w:w="6120" w:type="dxa"/>
          </w:tcPr>
          <w:p w14:paraId="7A66FDFE" w14:textId="77777777" w:rsidR="0038298F" w:rsidRDefault="0038298F" w:rsidP="0038298F">
            <w:pPr>
              <w:pStyle w:val="TableTextBullet"/>
              <w:numPr>
                <w:ilvl w:val="0"/>
                <w:numId w:val="0"/>
              </w:numPr>
              <w:ind w:left="288" w:hanging="288"/>
            </w:pPr>
          </w:p>
          <w:p w14:paraId="5C2AE911" w14:textId="51FF49E5" w:rsidR="0038298F" w:rsidRDefault="0038298F" w:rsidP="0038298F">
            <w:pPr>
              <w:pStyle w:val="TableText"/>
              <w:rPr>
                <w:b/>
                <w:bCs/>
                <w:szCs w:val="18"/>
              </w:rPr>
            </w:pPr>
            <w:r>
              <w:rPr>
                <w:b/>
                <w:bCs/>
                <w:szCs w:val="18"/>
              </w:rPr>
              <w:t>NOTES</w:t>
            </w:r>
          </w:p>
          <w:p w14:paraId="753C0B50" w14:textId="77777777" w:rsidR="0038298F" w:rsidRDefault="0038298F" w:rsidP="0038298F">
            <w:pPr>
              <w:pStyle w:val="NotesText"/>
              <w:rPr>
                <w:vanish/>
              </w:rPr>
            </w:pPr>
          </w:p>
          <w:p w14:paraId="26F2C3BE" w14:textId="0A381DEC" w:rsidR="004B3753" w:rsidRDefault="0038298F" w:rsidP="0039783A">
            <w:pPr>
              <w:pStyle w:val="NotesText"/>
            </w:pPr>
            <w:r w:rsidRPr="0038298F">
              <w:rPr>
                <w:vanish/>
              </w:rPr>
              <w:t xml:space="preserve">BR_1.71 </w:t>
            </w:r>
            <w:r>
              <w:t>Entry of Codabar labeled blood units is disabled.</w:t>
            </w:r>
          </w:p>
        </w:tc>
      </w:tr>
      <w:tr w:rsidR="002A21AE" w14:paraId="58B4A160" w14:textId="77777777">
        <w:tc>
          <w:tcPr>
            <w:tcW w:w="3240" w:type="dxa"/>
          </w:tcPr>
          <w:p w14:paraId="624E8A3D" w14:textId="77777777" w:rsidR="002A21AE" w:rsidRDefault="002A21AE">
            <w:pPr>
              <w:pStyle w:val="TableTextNumbers"/>
            </w:pPr>
            <w:r>
              <w:t xml:space="preserve">Click </w:t>
            </w:r>
            <w:r>
              <w:rPr>
                <w:b/>
              </w:rPr>
              <w:t>Yes</w:t>
            </w:r>
            <w:r>
              <w:t xml:space="preserve"> to add units to the invoice or click </w:t>
            </w:r>
            <w:r>
              <w:rPr>
                <w:b/>
              </w:rPr>
              <w:t>No</w:t>
            </w:r>
            <w:r>
              <w:t xml:space="preserve"> to select another invoice.</w:t>
            </w:r>
          </w:p>
        </w:tc>
        <w:tc>
          <w:tcPr>
            <w:tcW w:w="6120" w:type="dxa"/>
          </w:tcPr>
          <w:p w14:paraId="7A1A2970" w14:textId="77777777" w:rsidR="002A21AE" w:rsidRDefault="002A21AE">
            <w:pPr>
              <w:pStyle w:val="TableTextBullet"/>
            </w:pPr>
            <w:r>
              <w:t>When a user selects an existing invoice, displays the shipment information and blood unit details associated with the invoice.</w:t>
            </w:r>
          </w:p>
        </w:tc>
      </w:tr>
      <w:tr w:rsidR="002A21AE" w14:paraId="14D1B863" w14:textId="77777777">
        <w:tc>
          <w:tcPr>
            <w:tcW w:w="3240" w:type="dxa"/>
          </w:tcPr>
          <w:p w14:paraId="249FCB19" w14:textId="77777777" w:rsidR="00F5287E" w:rsidRDefault="00F5287E">
            <w:pPr>
              <w:pStyle w:val="TableTextNumbers"/>
            </w:pPr>
            <w:r>
              <w:t>Select a unit to add.</w:t>
            </w:r>
          </w:p>
          <w:p w14:paraId="213F5527" w14:textId="0EFB2B46" w:rsidR="002A21AE" w:rsidRDefault="002A21AE" w:rsidP="00F5287E">
            <w:pPr>
              <w:pStyle w:val="TableTextNumbers"/>
              <w:numPr>
                <w:ilvl w:val="0"/>
                <w:numId w:val="0"/>
              </w:numPr>
              <w:ind w:left="288"/>
            </w:pPr>
            <w:r>
              <w:t>For an ISBT 128-labeled unit, scan</w:t>
            </w:r>
            <w:r w:rsidR="00A83A22">
              <w:t xml:space="preserve"> the label</w:t>
            </w:r>
            <w:r>
              <w:t xml:space="preserve"> or enter the unit ID</w:t>
            </w:r>
            <w:r w:rsidR="00A83A22">
              <w:t xml:space="preserve"> and check character (in that order)</w:t>
            </w:r>
            <w:r>
              <w:t>.</w:t>
            </w:r>
          </w:p>
        </w:tc>
        <w:tc>
          <w:tcPr>
            <w:tcW w:w="6120" w:type="dxa"/>
          </w:tcPr>
          <w:p w14:paraId="15B26F32" w14:textId="77777777" w:rsidR="002A21AE" w:rsidRDefault="002A21AE">
            <w:pPr>
              <w:pStyle w:val="TableTextBullet"/>
            </w:pPr>
            <w:r>
              <w:t xml:space="preserve">Disables the FDA </w:t>
            </w:r>
            <w:r w:rsidR="00B85812">
              <w:t>Registration Number</w:t>
            </w:r>
            <w:r>
              <w:t xml:space="preserve"> field.</w:t>
            </w:r>
          </w:p>
          <w:p w14:paraId="79608337" w14:textId="5DE8375D" w:rsidR="002A21AE" w:rsidRDefault="002A21AE">
            <w:pPr>
              <w:pStyle w:val="TableTextBullet"/>
            </w:pPr>
            <w:r>
              <w:t>Displays information corresponding to the unit ID barcode</w:t>
            </w:r>
            <w:r w:rsidR="00931D60">
              <w:t xml:space="preserve"> </w:t>
            </w:r>
            <w:r>
              <w:t>scanned. When a user enters an ISBT 128-labeled unit ID, VBECS prompts the user to enter the check character from the blood bag.</w:t>
            </w:r>
          </w:p>
          <w:p w14:paraId="0696BBB6" w14:textId="77777777" w:rsidR="002A21AE" w:rsidRDefault="002A21AE">
            <w:pPr>
              <w:pStyle w:val="TableTextBullet1"/>
            </w:pPr>
            <w:r>
              <w:rPr>
                <w:vanish/>
              </w:rPr>
              <w:t xml:space="preserve">BR_1.08 </w:t>
            </w:r>
            <w:r>
              <w:t xml:space="preserve">When a user scans ISBT 128 labels units and the cursor is in an inappropriate field, VBECS </w:t>
            </w:r>
            <w:r>
              <w:rPr>
                <w:noProof/>
              </w:rPr>
              <w:t xml:space="preserve">warns that the </w:t>
            </w:r>
            <w:r w:rsidR="00346B6E">
              <w:rPr>
                <w:noProof/>
              </w:rPr>
              <w:t>incorrect</w:t>
            </w:r>
            <w:r>
              <w:t xml:space="preserve"> barcode was scanned.</w:t>
            </w:r>
          </w:p>
          <w:p w14:paraId="5FABE9CA" w14:textId="77777777" w:rsidR="002A21AE" w:rsidRDefault="002A21AE">
            <w:pPr>
              <w:pStyle w:val="TableText"/>
            </w:pPr>
          </w:p>
          <w:p w14:paraId="6134DED2" w14:textId="49C2A877" w:rsidR="002A21AE" w:rsidRDefault="002A21AE">
            <w:pPr>
              <w:pStyle w:val="TableText"/>
              <w:rPr>
                <w:b/>
                <w:bCs/>
                <w:szCs w:val="18"/>
              </w:rPr>
            </w:pPr>
            <w:r>
              <w:rPr>
                <w:b/>
                <w:bCs/>
                <w:szCs w:val="18"/>
              </w:rPr>
              <w:t>NOTES</w:t>
            </w:r>
          </w:p>
          <w:p w14:paraId="44550278" w14:textId="77777777" w:rsidR="002A21AE" w:rsidRDefault="002A21AE">
            <w:pPr>
              <w:pStyle w:val="NotesText"/>
            </w:pPr>
          </w:p>
          <w:p w14:paraId="0C4C89D1" w14:textId="77777777" w:rsidR="002A21AE" w:rsidRDefault="002A21AE">
            <w:pPr>
              <w:pStyle w:val="NotesText"/>
              <w:ind w:left="0"/>
            </w:pPr>
            <w:r>
              <w:t>For ISBT 128-labeled units:</w:t>
            </w:r>
          </w:p>
          <w:p w14:paraId="6F4FD0B1" w14:textId="77777777" w:rsidR="002A21AE" w:rsidRDefault="002A21AE">
            <w:pPr>
              <w:pStyle w:val="NotesText"/>
            </w:pPr>
            <w:r w:rsidRPr="00DC786E">
              <w:rPr>
                <w:rFonts w:cs="Arial"/>
                <w:vanish/>
                <w:szCs w:val="18"/>
              </w:rPr>
              <w:t>BR_1.19</w:t>
            </w:r>
            <w:r w:rsidRPr="009660C3">
              <w:rPr>
                <w:vanish/>
                <w:szCs w:val="18"/>
              </w:rPr>
              <w:t xml:space="preserve"> </w:t>
            </w:r>
            <w:r>
              <w:t>When the user-entered check character from the label does not match the VBECS-generated check character, VBECS warns the user.</w:t>
            </w:r>
          </w:p>
          <w:p w14:paraId="64061839" w14:textId="77777777" w:rsidR="002A21AE" w:rsidRDefault="002A21AE">
            <w:pPr>
              <w:pStyle w:val="NotesText"/>
            </w:pPr>
          </w:p>
          <w:p w14:paraId="0E6010F6" w14:textId="77777777" w:rsidR="002A21AE" w:rsidRDefault="002A21AE">
            <w:pPr>
              <w:pStyle w:val="NotesText"/>
            </w:pPr>
            <w:r w:rsidRPr="00781DAE">
              <w:rPr>
                <w:rFonts w:cs="Arial"/>
                <w:vanish/>
                <w:szCs w:val="18"/>
              </w:rPr>
              <w:t>BR_1.64</w:t>
            </w:r>
            <w:r w:rsidRPr="009660C3">
              <w:rPr>
                <w:vanish/>
                <w:szCs w:val="18"/>
              </w:rPr>
              <w:t xml:space="preserve"> </w:t>
            </w:r>
            <w:r>
              <w:t xml:space="preserve">When VBECS does not find a matching entry for the ICCBBA </w:t>
            </w:r>
            <w:r w:rsidR="00B85812">
              <w:t>Registration Number</w:t>
            </w:r>
            <w:r>
              <w:t xml:space="preserve"> on the local supplier table, the user must activate or add a local supplier before continuing.</w:t>
            </w:r>
          </w:p>
          <w:p w14:paraId="7B63C04E" w14:textId="77777777" w:rsidR="0039783A" w:rsidRDefault="0039783A">
            <w:pPr>
              <w:pStyle w:val="NotesText"/>
            </w:pPr>
          </w:p>
          <w:p w14:paraId="58DC41B6" w14:textId="07445A5C" w:rsidR="0039783A" w:rsidRPr="0039783A" w:rsidRDefault="0039783A" w:rsidP="0039783A">
            <w:pPr>
              <w:pStyle w:val="NotesText"/>
              <w:rPr>
                <w:rFonts w:cs="Arial"/>
                <w:szCs w:val="18"/>
              </w:rPr>
            </w:pPr>
            <w:r w:rsidRPr="00C92599">
              <w:rPr>
                <w:rFonts w:cs="Arial"/>
                <w:vanish/>
                <w:szCs w:val="18"/>
              </w:rPr>
              <w:t xml:space="preserve">BR_1.18 </w:t>
            </w:r>
            <w:r w:rsidR="00C51D45">
              <w:rPr>
                <w:rFonts w:cs="Arial"/>
                <w:vanish/>
                <w:szCs w:val="18"/>
              </w:rPr>
              <w:t xml:space="preserve">BR_1.79 </w:t>
            </w:r>
            <w:r w:rsidRPr="00030C52">
              <w:rPr>
                <w:rFonts w:cs="Arial"/>
                <w:szCs w:val="18"/>
              </w:rPr>
              <w:t xml:space="preserve">A scanned ISBT 128 Unit ID barcode </w:t>
            </w:r>
            <w:r w:rsidR="00C51D45" w:rsidRPr="00C51D45">
              <w:rPr>
                <w:rFonts w:cs="Arial"/>
                <w:szCs w:val="18"/>
              </w:rPr>
              <w:t>or 2-d barcode</w:t>
            </w:r>
            <w:r w:rsidR="00C51D45">
              <w:rPr>
                <w:rFonts w:cs="Arial"/>
                <w:szCs w:val="18"/>
              </w:rPr>
              <w:t xml:space="preserve"> </w:t>
            </w:r>
            <w:r w:rsidRPr="00030C52">
              <w:rPr>
                <w:rFonts w:cs="Arial"/>
                <w:szCs w:val="18"/>
              </w:rPr>
              <w:t>is identified by the presence of hidden identifier</w:t>
            </w:r>
            <w:r w:rsidR="0017525B">
              <w:rPr>
                <w:rFonts w:cs="Arial"/>
                <w:szCs w:val="18"/>
              </w:rPr>
              <w:t>s</w:t>
            </w:r>
            <w:r w:rsidRPr="00030C52">
              <w:rPr>
                <w:rFonts w:cs="Arial"/>
                <w:szCs w:val="18"/>
              </w:rPr>
              <w:t>. Once the hidden identifier is removed</w:t>
            </w:r>
            <w:r>
              <w:rPr>
                <w:rFonts w:cs="Arial"/>
                <w:szCs w:val="18"/>
              </w:rPr>
              <w:t xml:space="preserve"> or when the </w:t>
            </w:r>
            <w:r w:rsidRPr="00030C52">
              <w:rPr>
                <w:rFonts w:cs="Arial"/>
                <w:szCs w:val="18"/>
              </w:rPr>
              <w:t xml:space="preserve">Unit ID </w:t>
            </w:r>
            <w:r>
              <w:rPr>
                <w:rFonts w:cs="Arial"/>
                <w:szCs w:val="18"/>
              </w:rPr>
              <w:t>is manually entered</w:t>
            </w:r>
            <w:r w:rsidRPr="00030C52">
              <w:rPr>
                <w:rFonts w:cs="Arial"/>
                <w:szCs w:val="18"/>
              </w:rPr>
              <w:t xml:space="preserve">, the Unit ID is validated to ensure that the first five characters are alphanumeric and the remaining </w:t>
            </w:r>
            <w:r>
              <w:rPr>
                <w:rFonts w:cs="Arial"/>
                <w:szCs w:val="18"/>
              </w:rPr>
              <w:t>eight</w:t>
            </w:r>
            <w:r w:rsidRPr="00030C52">
              <w:rPr>
                <w:rFonts w:cs="Arial"/>
                <w:szCs w:val="18"/>
              </w:rPr>
              <w:t xml:space="preserve"> characters are numeric; totaling a 13-character unit ID. The Unit record is flagged as scanned during initial receipt</w:t>
            </w:r>
            <w:r>
              <w:rPr>
                <w:rFonts w:cs="Arial"/>
                <w:szCs w:val="18"/>
              </w:rPr>
              <w:t xml:space="preserve"> only if the hidden identifier was present</w:t>
            </w:r>
            <w:r w:rsidRPr="00030C52">
              <w:rPr>
                <w:rFonts w:cs="Arial"/>
                <w:szCs w:val="18"/>
              </w:rPr>
              <w:t>.</w:t>
            </w:r>
          </w:p>
        </w:tc>
      </w:tr>
      <w:tr w:rsidR="002A21AE" w14:paraId="3E57AECE" w14:textId="77777777">
        <w:tc>
          <w:tcPr>
            <w:tcW w:w="3240" w:type="dxa"/>
          </w:tcPr>
          <w:p w14:paraId="4C9B7C90" w14:textId="7370B39F" w:rsidR="002A21AE" w:rsidRDefault="002A21AE">
            <w:pPr>
              <w:pStyle w:val="TableTextNumbers"/>
            </w:pPr>
            <w:r>
              <w:t>Scan the product code barcode</w:t>
            </w:r>
            <w:r w:rsidR="00C51D45">
              <w:t xml:space="preserve"> or the </w:t>
            </w:r>
            <w:r w:rsidR="00C51D45" w:rsidRPr="00C51D45">
              <w:t>2-d barcode</w:t>
            </w:r>
            <w:r w:rsidRPr="00C51D45">
              <w:t xml:space="preserve"> or</w:t>
            </w:r>
            <w:r>
              <w:t xml:space="preserve"> enter the product code. </w:t>
            </w:r>
          </w:p>
        </w:tc>
        <w:tc>
          <w:tcPr>
            <w:tcW w:w="6120" w:type="dxa"/>
          </w:tcPr>
          <w:p w14:paraId="04068EE9" w14:textId="46303D82" w:rsidR="004641E8" w:rsidRPr="004641E8" w:rsidRDefault="004641E8">
            <w:pPr>
              <w:pStyle w:val="TableTextBullet"/>
              <w:rPr>
                <w:color w:val="000000"/>
              </w:rPr>
            </w:pPr>
            <w:r>
              <w:t xml:space="preserve">When a user scans a product code </w:t>
            </w:r>
            <w:r w:rsidR="006D09BD">
              <w:t>barcode</w:t>
            </w:r>
            <w:r w:rsidR="00931D60">
              <w:t xml:space="preserve"> </w:t>
            </w:r>
            <w:r w:rsidR="006D09BD">
              <w:t>that is not activ</w:t>
            </w:r>
            <w:r>
              <w:t>ated in the user’s division, prompts the user to activate the code.</w:t>
            </w:r>
            <w:r w:rsidR="006D09BD">
              <w:t xml:space="preserve"> (See Blood Products.)</w:t>
            </w:r>
          </w:p>
          <w:p w14:paraId="0AA53805" w14:textId="77777777" w:rsidR="002A21AE" w:rsidRDefault="002A21AE">
            <w:pPr>
              <w:pStyle w:val="TableTextBullet"/>
              <w:rPr>
                <w:color w:val="000000"/>
              </w:rPr>
            </w:pPr>
            <w:r>
              <w:t xml:space="preserve">Displays the corresponding product code, product name, and (for </w:t>
            </w:r>
            <w:r w:rsidR="00073282">
              <w:t>ISBT) donation type (see Step 10</w:t>
            </w:r>
            <w:r>
              <w:t>).</w:t>
            </w:r>
          </w:p>
          <w:p w14:paraId="7F62D434" w14:textId="77777777" w:rsidR="002A21AE" w:rsidRDefault="002A21AE">
            <w:pPr>
              <w:pStyle w:val="TableTextBullet"/>
            </w:pPr>
            <w:r>
              <w:rPr>
                <w:color w:val="000000"/>
              </w:rPr>
              <w:t>When a unit ID of the same product type and code exists in a division, t</w:t>
            </w:r>
            <w:r>
              <w:t>he expiration date is in the future, and there is no record of inactivation or transfer of that unit ID and product code in the division’s record:</w:t>
            </w:r>
          </w:p>
          <w:p w14:paraId="0D73DE88" w14:textId="77777777" w:rsidR="002A21AE" w:rsidRDefault="002A21AE">
            <w:pPr>
              <w:pStyle w:val="TableTextBullet1"/>
            </w:pPr>
            <w:r>
              <w:t>Warns that the blood unit already exists in the division.</w:t>
            </w:r>
          </w:p>
          <w:p w14:paraId="312CC2D3" w14:textId="77777777" w:rsidR="002A21AE" w:rsidRDefault="002A21AE">
            <w:pPr>
              <w:pStyle w:val="TableTextBullet1"/>
            </w:pPr>
            <w:r>
              <w:t>Clears the data entry fields. The user may enter a different unit ID and product code.</w:t>
            </w:r>
          </w:p>
          <w:p w14:paraId="1D3AF411" w14:textId="77777777" w:rsidR="002A21AE" w:rsidRDefault="002A21AE">
            <w:pPr>
              <w:pStyle w:val="TableTextBullet"/>
            </w:pPr>
            <w:r>
              <w:rPr>
                <w:color w:val="000000"/>
              </w:rPr>
              <w:lastRenderedPageBreak/>
              <w:t>When a unit ID of the same product type and code exists in a division and t</w:t>
            </w:r>
            <w:r>
              <w:t xml:space="preserve">he unit in the division has an expiration date in the past, </w:t>
            </w:r>
            <w:r>
              <w:rPr>
                <w:noProof/>
              </w:rPr>
              <w:t>warns that t</w:t>
            </w:r>
            <w:r>
              <w:t>he blood unit already exists in the division.</w:t>
            </w:r>
          </w:p>
          <w:p w14:paraId="79B1FABA" w14:textId="77777777" w:rsidR="002A21AE" w:rsidRDefault="002A21AE">
            <w:pPr>
              <w:pStyle w:val="TableTextBullet"/>
            </w:pPr>
            <w:r>
              <w:rPr>
                <w:color w:val="000000"/>
              </w:rPr>
              <w:t>When a unit ID of the same product type and code exists in a division, t</w:t>
            </w:r>
            <w:r>
              <w:t>he unit status is “Transferred,” and the ABO/Rh and unit expiration date are identical to the existing unit of record:</w:t>
            </w:r>
          </w:p>
          <w:p w14:paraId="3BECA782" w14:textId="77777777" w:rsidR="002A21AE" w:rsidRDefault="002A21AE">
            <w:pPr>
              <w:pStyle w:val="TableTextBullet1"/>
            </w:pPr>
            <w:r>
              <w:t>Makes the existing unit record available.</w:t>
            </w:r>
          </w:p>
          <w:p w14:paraId="00E2FC79" w14:textId="77777777" w:rsidR="002A21AE" w:rsidRDefault="002A21AE">
            <w:pPr>
              <w:pStyle w:val="TableTextBullet1"/>
            </w:pPr>
            <w:r>
              <w:t xml:space="preserve">Warns that the user is attempting to reenter a unit in inventory. </w:t>
            </w:r>
            <w:r>
              <w:rPr>
                <w:b/>
              </w:rPr>
              <w:t>No</w:t>
            </w:r>
            <w:r>
              <w:t xml:space="preserve"> clears the unit. </w:t>
            </w:r>
            <w:r>
              <w:rPr>
                <w:b/>
              </w:rPr>
              <w:t>Yes</w:t>
            </w:r>
            <w:r>
              <w:t xml:space="preserve"> and saves the unit.</w:t>
            </w:r>
          </w:p>
          <w:p w14:paraId="1EFC640F" w14:textId="77777777" w:rsidR="002A21AE" w:rsidRDefault="002A21AE">
            <w:pPr>
              <w:pStyle w:val="TableTextBullet1"/>
            </w:pPr>
            <w:r>
              <w:t>Updates the unit status to “Limited” or “Available</w:t>
            </w:r>
            <w:r w:rsidR="00BA7846">
              <w:t>.</w:t>
            </w:r>
            <w:r>
              <w:t xml:space="preserve">” </w:t>
            </w:r>
          </w:p>
          <w:p w14:paraId="53974C78" w14:textId="77777777" w:rsidR="002A21AE" w:rsidRDefault="002A21AE">
            <w:pPr>
              <w:pStyle w:val="TableTextBullet1"/>
            </w:pPr>
            <w:r>
              <w:t>Updates the unit record to reflect the reentry of the unit in the division’s inventory. The user may add new information about this unit through Edit Unit Information.</w:t>
            </w:r>
          </w:p>
          <w:p w14:paraId="6E5D85B3" w14:textId="77777777" w:rsidR="004B4CE8" w:rsidRDefault="004B4CE8" w:rsidP="004B4CE8">
            <w:pPr>
              <w:pStyle w:val="TableTextBullet"/>
            </w:pPr>
            <w:r>
              <w:t>System determines barcode type(s) scanned based on hidden identifiers. System interprets and displays product name and donation type, as appropriate.</w:t>
            </w:r>
          </w:p>
          <w:p w14:paraId="14DF0DFB" w14:textId="77777777" w:rsidR="004B4CE8" w:rsidRDefault="004B4CE8" w:rsidP="004B4CE8">
            <w:pPr>
              <w:pStyle w:val="TableTextBullet"/>
            </w:pPr>
            <w:r>
              <w:t>System determines if the facility it full service or transfusion only.</w:t>
            </w:r>
          </w:p>
          <w:p w14:paraId="4C2803AA" w14:textId="77777777" w:rsidR="004B4CE8" w:rsidRDefault="004B4CE8" w:rsidP="004B4CE8">
            <w:pPr>
              <w:pStyle w:val="TableTextBullet"/>
            </w:pPr>
            <w:r>
              <w:t>System assigns the donation type to the unit or requires user input, as appropriate.</w:t>
            </w:r>
          </w:p>
          <w:p w14:paraId="3621746A" w14:textId="77777777" w:rsidR="002A21AE" w:rsidRDefault="002A21AE">
            <w:pPr>
              <w:pStyle w:val="TableText"/>
            </w:pPr>
          </w:p>
          <w:p w14:paraId="3C7BD050" w14:textId="4BC5B007" w:rsidR="002A21AE" w:rsidRDefault="002A21AE">
            <w:pPr>
              <w:pStyle w:val="TableText"/>
              <w:rPr>
                <w:b/>
                <w:bCs/>
                <w:szCs w:val="18"/>
              </w:rPr>
            </w:pPr>
            <w:r>
              <w:rPr>
                <w:b/>
                <w:bCs/>
                <w:szCs w:val="18"/>
              </w:rPr>
              <w:t>NOTES</w:t>
            </w:r>
          </w:p>
          <w:p w14:paraId="74F363AD" w14:textId="77777777" w:rsidR="002A21AE" w:rsidRDefault="002A21AE">
            <w:pPr>
              <w:pStyle w:val="NotesText"/>
              <w:ind w:left="0"/>
            </w:pPr>
            <w:r>
              <w:br/>
              <w:t>Scanned Product Codes</w:t>
            </w:r>
          </w:p>
          <w:p w14:paraId="3843E327" w14:textId="2AA5AF3C" w:rsidR="002A21AE" w:rsidRPr="00DE7667" w:rsidRDefault="002A21AE" w:rsidP="00DE7667">
            <w:pPr>
              <w:pStyle w:val="NotesText"/>
            </w:pPr>
            <w:r w:rsidRPr="00781DAE">
              <w:rPr>
                <w:rFonts w:cs="Arial"/>
                <w:vanish/>
              </w:rPr>
              <w:t>BR_1.42</w:t>
            </w:r>
            <w:r w:rsidRPr="009660C3">
              <w:rPr>
                <w:vanish/>
                <w:szCs w:val="18"/>
              </w:rPr>
              <w:t xml:space="preserve"> </w:t>
            </w:r>
            <w:r>
              <w:t xml:space="preserve">When a unit is transferred between facilities in a </w:t>
            </w:r>
            <w:r w:rsidR="0064398B">
              <w:t>multidivisional</w:t>
            </w:r>
            <w:r>
              <w:t xml:space="preserve"> database or is reentered after transfer to an unrelated facility, VBECS records all unit activity.</w:t>
            </w:r>
          </w:p>
          <w:p w14:paraId="1F6E1A06" w14:textId="77777777" w:rsidR="002A21AE" w:rsidRDefault="002A21AE">
            <w:pPr>
              <w:pStyle w:val="NotesText"/>
            </w:pPr>
          </w:p>
          <w:p w14:paraId="5DE91D43" w14:textId="77777777" w:rsidR="002A21AE" w:rsidRDefault="002A21AE">
            <w:pPr>
              <w:pStyle w:val="NotesText"/>
            </w:pPr>
            <w:r>
              <w:rPr>
                <w:b/>
                <w:bCs/>
              </w:rPr>
              <w:t>OK</w:t>
            </w:r>
            <w:r>
              <w:t xml:space="preserve"> returns the user to a blank screen to enter a different product. The user may enter a different product code.</w:t>
            </w:r>
          </w:p>
          <w:p w14:paraId="53147F50" w14:textId="77777777" w:rsidR="00185119" w:rsidRDefault="00185119">
            <w:pPr>
              <w:pStyle w:val="NotesText"/>
            </w:pPr>
          </w:p>
          <w:p w14:paraId="5464F016" w14:textId="4EC48D86" w:rsidR="00185119" w:rsidRDefault="00185119" w:rsidP="00185119">
            <w:pPr>
              <w:pStyle w:val="NotesText"/>
            </w:pPr>
            <w:r>
              <w:t xml:space="preserve">VBECS requires the full 8-digit ISBT 128 product code. The user should enter the 8-digit ISBT 128 product code as it appears on the blood unit label of the actual blood unit being entered into VBECS. When a user does not enter the sixth through eighth characters, VBECS automatically completes the required information with defaults, V and 00, respectively. This may be changed by clearing the unit information and entering the complete 8-digit ISBT </w:t>
            </w:r>
            <w:r w:rsidR="002E5AC8">
              <w:t>128-unit</w:t>
            </w:r>
            <w:r>
              <w:t xml:space="preserve"> product code.</w:t>
            </w:r>
            <w:r>
              <w:rPr>
                <w:vanish/>
              </w:rPr>
              <w:t xml:space="preserve"> </w:t>
            </w:r>
            <w:r w:rsidRPr="00185119">
              <w:rPr>
                <w:vanish/>
              </w:rPr>
              <w:t>DR 4484</w:t>
            </w:r>
          </w:p>
          <w:p w14:paraId="3F5B5588" w14:textId="77777777" w:rsidR="002A21AE" w:rsidRDefault="002A21AE">
            <w:pPr>
              <w:pStyle w:val="NotesText"/>
            </w:pPr>
          </w:p>
          <w:p w14:paraId="2DED1E92" w14:textId="239CA412" w:rsidR="002A21AE" w:rsidRPr="00D676C0" w:rsidRDefault="002A21AE">
            <w:pPr>
              <w:pStyle w:val="NotesText"/>
            </w:pPr>
            <w:r w:rsidRPr="00D676C0">
              <w:rPr>
                <w:rFonts w:cs="Arial"/>
                <w:vanish/>
              </w:rPr>
              <w:t xml:space="preserve">BR_1.50 </w:t>
            </w:r>
            <w:r w:rsidR="00084027" w:rsidRPr="00D676C0">
              <w:rPr>
                <w:rFonts w:cs="Arial"/>
              </w:rPr>
              <w:t>When adding an individual blood unit to the database, the volume default is based on the volume field from the Blood Product table entry that corresponds to the blood product code of the unit. The volume may be edited by the user within the range of 1 mL to 2000 mL</w:t>
            </w:r>
          </w:p>
          <w:p w14:paraId="00C97B00" w14:textId="4C805A4F" w:rsidR="000B3F35" w:rsidRPr="00D13D9B" w:rsidRDefault="000B3F35">
            <w:pPr>
              <w:pStyle w:val="NotesText"/>
              <w:rPr>
                <w:highlight w:val="green"/>
              </w:rPr>
            </w:pPr>
          </w:p>
          <w:p w14:paraId="1B620FF4" w14:textId="77777777" w:rsidR="002A21AE" w:rsidRDefault="002A21AE" w:rsidP="003947ED">
            <w:pPr>
              <w:pStyle w:val="NotesText"/>
              <w:rPr>
                <w:rFonts w:cs="Arial"/>
                <w:szCs w:val="18"/>
              </w:rPr>
            </w:pPr>
            <w:r>
              <w:rPr>
                <w:rFonts w:cs="Arial"/>
                <w:vanish/>
              </w:rPr>
              <w:t xml:space="preserve">BR_1.02 </w:t>
            </w:r>
            <w:r>
              <w:t>For each product type in a shipment, site parameters must indicate that the product is marked as active for the division and that a cost is associated with the shipper. If not, VBECS prompts the user to</w:t>
            </w:r>
            <w:r w:rsidR="003947ED">
              <w:t xml:space="preserve"> mark the component as active.</w:t>
            </w:r>
            <w:r w:rsidR="00AA6C54">
              <w:t xml:space="preserve"> </w:t>
            </w:r>
            <w:r w:rsidR="00D53BD0" w:rsidRPr="0030088C">
              <w:rPr>
                <w:rFonts w:cs="Arial"/>
                <w:szCs w:val="18"/>
              </w:rPr>
              <w:t>Blood product data entry cannot continue until the product is marked as active and a base unit cost is associated with the shipper.</w:t>
            </w:r>
          </w:p>
          <w:p w14:paraId="78D1796D" w14:textId="77777777" w:rsidR="008E48F6" w:rsidRDefault="008E48F6" w:rsidP="008E48F6">
            <w:pPr>
              <w:pStyle w:val="NotesText"/>
            </w:pPr>
          </w:p>
          <w:p w14:paraId="172C3F30" w14:textId="77777777" w:rsidR="008E48F6" w:rsidRDefault="008E48F6" w:rsidP="008E48F6">
            <w:pPr>
              <w:pStyle w:val="NotesText"/>
              <w:ind w:left="0"/>
            </w:pPr>
            <w:r>
              <w:t>For ISBT 128-labeled units:</w:t>
            </w:r>
          </w:p>
          <w:p w14:paraId="1780E031" w14:textId="77777777" w:rsidR="008E48F6" w:rsidRDefault="008E48F6" w:rsidP="008E48F6">
            <w:pPr>
              <w:pStyle w:val="NotesText"/>
            </w:pPr>
            <w:r>
              <w:rPr>
                <w:rFonts w:cs="Arial"/>
                <w:vanish/>
              </w:rPr>
              <w:t xml:space="preserve">BR_1.14 </w:t>
            </w:r>
            <w:r>
              <w:t>VBECS stores scanned ISBT 128 product codes and displays them as eight characters:</w:t>
            </w:r>
          </w:p>
          <w:p w14:paraId="462583C7" w14:textId="77777777" w:rsidR="008E48F6" w:rsidRDefault="008E48F6" w:rsidP="008E48F6">
            <w:pPr>
              <w:pStyle w:val="NotesTextBullet"/>
            </w:pPr>
            <w:r>
              <w:lastRenderedPageBreak/>
              <w:t>Characters 1–5 are used to search the ISBT Blood Product Table to identify the product type.</w:t>
            </w:r>
          </w:p>
          <w:p w14:paraId="283D4A2D" w14:textId="77777777" w:rsidR="008E48F6" w:rsidRDefault="008E48F6" w:rsidP="008E48F6">
            <w:pPr>
              <w:pStyle w:val="NotesTextBullet"/>
            </w:pPr>
            <w:r>
              <w:t>Character 6 indicates donation type.</w:t>
            </w:r>
          </w:p>
          <w:p w14:paraId="525374DE" w14:textId="77777777" w:rsidR="008E48F6" w:rsidRDefault="008E48F6" w:rsidP="008E48F6">
            <w:pPr>
              <w:pStyle w:val="NotesTextBullet"/>
            </w:pPr>
            <w:r>
              <w:t>Character 7 indicates a division at the time of collection.</w:t>
            </w:r>
          </w:p>
          <w:p w14:paraId="66B73E4A" w14:textId="2D6EDA3A" w:rsidR="008E48F6" w:rsidRDefault="008E48F6" w:rsidP="008E48F6">
            <w:pPr>
              <w:pStyle w:val="NotesTextBullet"/>
            </w:pPr>
            <w:r>
              <w:t>Character 8 indicates an additional aliquot.</w:t>
            </w:r>
          </w:p>
          <w:p w14:paraId="2BD41828" w14:textId="77777777" w:rsidR="00A5635C" w:rsidRDefault="00A5635C" w:rsidP="00A5635C">
            <w:pPr>
              <w:pStyle w:val="NotesTextBullet"/>
              <w:numPr>
                <w:ilvl w:val="0"/>
                <w:numId w:val="0"/>
              </w:numPr>
              <w:ind w:left="1008" w:hanging="288"/>
            </w:pPr>
          </w:p>
          <w:p w14:paraId="10B6A682" w14:textId="7FE791BD" w:rsidR="00A5635C" w:rsidRDefault="00A5635C" w:rsidP="00A5635C">
            <w:pPr>
              <w:pStyle w:val="NotesTextBullet"/>
              <w:numPr>
                <w:ilvl w:val="0"/>
                <w:numId w:val="0"/>
              </w:numPr>
              <w:ind w:left="1008" w:hanging="288"/>
            </w:pPr>
            <w:r w:rsidRPr="00447DC2">
              <w:rPr>
                <w:vanish/>
              </w:rPr>
              <w:t xml:space="preserve">BR_1.79 </w:t>
            </w:r>
            <w:r>
              <w:t>VBECS supports the scanning of ISB</w:t>
            </w:r>
            <w:r w:rsidR="00447DC2">
              <w:t>T</w:t>
            </w:r>
            <w:r>
              <w:t>-128 2-d barcodes by detecting  the appropriate hidden identifier.</w:t>
            </w:r>
          </w:p>
          <w:p w14:paraId="1EDD8E54" w14:textId="77777777" w:rsidR="00FF1194" w:rsidRDefault="00FF1194" w:rsidP="00FF1194">
            <w:pPr>
              <w:pStyle w:val="NotesTextBullet"/>
              <w:numPr>
                <w:ilvl w:val="0"/>
                <w:numId w:val="0"/>
              </w:numPr>
              <w:ind w:left="1008" w:hanging="288"/>
            </w:pPr>
          </w:p>
          <w:p w14:paraId="34A9E024" w14:textId="77777777" w:rsidR="00FF1194" w:rsidRDefault="00FF1194" w:rsidP="0086447D">
            <w:pPr>
              <w:pStyle w:val="NotesText"/>
            </w:pPr>
            <w:r w:rsidRPr="0086447D">
              <w:rPr>
                <w:vanish/>
              </w:rPr>
              <w:t xml:space="preserve">BR_1.75 </w:t>
            </w:r>
            <w:r w:rsidRPr="00FF1194">
              <w:t>When the user does not enter a donation type and unit division codes when manually entering a unit, the donation type is defaulted to "V" and defaults to "00" for the division characters. These are not editable after the unit is saved to the invoice.</w:t>
            </w:r>
          </w:p>
          <w:p w14:paraId="7408A4AF" w14:textId="77777777" w:rsidR="0086447D" w:rsidRDefault="0086447D" w:rsidP="0086447D">
            <w:pPr>
              <w:pStyle w:val="NotesText"/>
            </w:pPr>
          </w:p>
          <w:p w14:paraId="0AA2C517" w14:textId="77777777" w:rsidR="0086447D" w:rsidRDefault="0086447D" w:rsidP="0086447D">
            <w:pPr>
              <w:pStyle w:val="NotesText"/>
            </w:pPr>
            <w:r w:rsidRPr="0086447D">
              <w:rPr>
                <w:vanish/>
              </w:rPr>
              <w:t xml:space="preserve">BR_1.70 </w:t>
            </w:r>
            <w:r w:rsidRPr="0086447D">
              <w:t>Allow the entry of individual products associated with the active product categories.</w:t>
            </w:r>
          </w:p>
          <w:p w14:paraId="216FAC0B" w14:textId="77777777" w:rsidR="00813AE2" w:rsidRDefault="00813AE2" w:rsidP="0086447D">
            <w:pPr>
              <w:pStyle w:val="NotesText"/>
            </w:pPr>
          </w:p>
          <w:p w14:paraId="5427EDAC" w14:textId="77777777" w:rsidR="00813AE2" w:rsidRDefault="00813AE2" w:rsidP="0086447D">
            <w:pPr>
              <w:pStyle w:val="NotesText"/>
            </w:pPr>
            <w:r>
              <w:t>When a blood product code in the RED BLOOD CELLS or WHOLE BLOOD component class is entered, VBECS enables data entry of sickle cell negative and antigen typing.</w:t>
            </w:r>
          </w:p>
          <w:p w14:paraId="1AD5CADC" w14:textId="77777777" w:rsidR="006223D2" w:rsidRDefault="006223D2" w:rsidP="0086447D">
            <w:pPr>
              <w:pStyle w:val="NotesText"/>
            </w:pPr>
          </w:p>
          <w:p w14:paraId="16D41891" w14:textId="77777777" w:rsidR="006223D2" w:rsidRDefault="006223D2" w:rsidP="0086447D">
            <w:pPr>
              <w:pStyle w:val="NotesText"/>
            </w:pPr>
            <w:r>
              <w:t>The cytomegalovirus (CMV) negative data entry option is always enabled.</w:t>
            </w:r>
          </w:p>
          <w:p w14:paraId="61BF2075" w14:textId="77777777" w:rsidR="00462CAD" w:rsidRDefault="00462CAD" w:rsidP="0086447D">
            <w:pPr>
              <w:pStyle w:val="NotesText"/>
            </w:pPr>
          </w:p>
          <w:p w14:paraId="7C4D01AA" w14:textId="77777777" w:rsidR="00462CAD" w:rsidRPr="00462CAD" w:rsidRDefault="00462CAD" w:rsidP="00462CAD">
            <w:pPr>
              <w:pStyle w:val="NotesText"/>
            </w:pPr>
            <w:r w:rsidRPr="00462CAD">
              <w:rPr>
                <w:vanish/>
              </w:rPr>
              <w:t xml:space="preserve">BR_1.73 </w:t>
            </w:r>
            <w:r w:rsidR="00645BE3">
              <w:t xml:space="preserve">The system </w:t>
            </w:r>
            <w:r w:rsidRPr="00462CAD">
              <w:t>present</w:t>
            </w:r>
            <w:r w:rsidR="00645BE3">
              <w:t>s</w:t>
            </w:r>
            <w:r w:rsidRPr="00462CAD">
              <w:t xml:space="preserve"> </w:t>
            </w:r>
            <w:r w:rsidR="00645BE3">
              <w:t xml:space="preserve">an indicator for RBC </w:t>
            </w:r>
            <w:r w:rsidRPr="00462CAD">
              <w:t>contamination of equal to or greater than (</w:t>
            </w:r>
            <w:r w:rsidR="00C233B7">
              <w:t xml:space="preserve">= </w:t>
            </w:r>
            <w:r w:rsidRPr="00462CAD">
              <w:t xml:space="preserve">&gt;) 2 mL. </w:t>
            </w:r>
            <w:r w:rsidR="00645BE3">
              <w:t>RBC, WB and plasma products are set and not editable. PLATELET and OTHER products require evaluation and entry by the user.</w:t>
            </w:r>
          </w:p>
          <w:p w14:paraId="3145DCCE" w14:textId="77777777" w:rsidR="00462CAD" w:rsidRPr="00462CAD" w:rsidRDefault="00462CAD" w:rsidP="00462CAD">
            <w:pPr>
              <w:pStyle w:val="NotesText"/>
            </w:pPr>
          </w:p>
          <w:p w14:paraId="6034A306" w14:textId="77777777" w:rsidR="00462CAD" w:rsidRDefault="00462CAD" w:rsidP="00462CAD">
            <w:pPr>
              <w:pStyle w:val="NotesText"/>
            </w:pPr>
            <w:r w:rsidRPr="00462CAD">
              <w:rPr>
                <w:vanish/>
              </w:rPr>
              <w:t xml:space="preserve">BR_1.73 </w:t>
            </w:r>
            <w:r w:rsidRPr="00462CAD">
              <w:t>The</w:t>
            </w:r>
            <w:r w:rsidR="00813AE2">
              <w:t xml:space="preserve"> RBC contamination</w:t>
            </w:r>
            <w:r w:rsidRPr="00462CAD">
              <w:t xml:space="preserve"> indicator setting as saved is recorded as part of the unit record. The indicator displays with the Incoming Shipment entry on the Unit History Report</w:t>
            </w:r>
            <w:r>
              <w:t>.</w:t>
            </w:r>
          </w:p>
          <w:p w14:paraId="5E5F155D" w14:textId="77777777" w:rsidR="008B5229" w:rsidRDefault="008B5229" w:rsidP="00462CAD">
            <w:pPr>
              <w:pStyle w:val="NotesText"/>
            </w:pPr>
          </w:p>
          <w:p w14:paraId="00C3781E" w14:textId="77777777" w:rsidR="008B5229" w:rsidRDefault="008B5229" w:rsidP="00462CAD">
            <w:pPr>
              <w:pStyle w:val="NotesText"/>
              <w:rPr>
                <w:rFonts w:cs="Arial"/>
                <w:szCs w:val="18"/>
              </w:rPr>
            </w:pPr>
            <w:r w:rsidRPr="008B5229">
              <w:rPr>
                <w:rStyle w:val="StyleTableText9ptCharChar"/>
                <w:rFonts w:cs="Arial"/>
                <w:vanish/>
                <w:szCs w:val="18"/>
              </w:rPr>
              <w:t xml:space="preserve">BR_1.30 </w:t>
            </w:r>
            <w:r w:rsidRPr="0030088C">
              <w:rPr>
                <w:rStyle w:val="StyleTableText9ptCharChar"/>
                <w:rFonts w:cs="Arial"/>
                <w:szCs w:val="18"/>
              </w:rPr>
              <w:t>When the site parameter indicates that the site is</w:t>
            </w:r>
            <w:r w:rsidRPr="0030088C">
              <w:rPr>
                <w:rFonts w:cs="Arial"/>
                <w:szCs w:val="18"/>
              </w:rPr>
              <w:t xml:space="preserve"> a ‘Transfusion Only’ facility when units are added to the database, they are given a status of Available regardless of the required need for ABO/Rh confirmation testing as it is not required in this configuration.</w:t>
            </w:r>
          </w:p>
          <w:p w14:paraId="65E3B684" w14:textId="77777777" w:rsidR="008B5229" w:rsidRDefault="008B5229" w:rsidP="00462CAD">
            <w:pPr>
              <w:pStyle w:val="NotesText"/>
            </w:pPr>
          </w:p>
          <w:p w14:paraId="6BDDD8D1" w14:textId="77777777" w:rsidR="008B5229" w:rsidRPr="008B5229" w:rsidRDefault="008B5229" w:rsidP="008B5229">
            <w:pPr>
              <w:pStyle w:val="NotesText"/>
              <w:rPr>
                <w:rStyle w:val="StyleTableText9ptCharChar"/>
                <w:szCs w:val="18"/>
              </w:rPr>
            </w:pPr>
            <w:r w:rsidRPr="008B5229">
              <w:rPr>
                <w:rStyle w:val="StyleTableText9ptCharChar"/>
                <w:vanish/>
                <w:szCs w:val="18"/>
              </w:rPr>
              <w:t xml:space="preserve">BR_1.35 </w:t>
            </w:r>
            <w:r w:rsidRPr="008B5229">
              <w:rPr>
                <w:rStyle w:val="StyleTableText9ptCharChar"/>
                <w:szCs w:val="18"/>
              </w:rPr>
              <w:t>When processing units labeled using ISBT 128, all eight (8) characters are required when either:</w:t>
            </w:r>
          </w:p>
          <w:p w14:paraId="38D3C0B0" w14:textId="77777777" w:rsidR="008B5229" w:rsidRPr="0030088C" w:rsidRDefault="008B5229" w:rsidP="00925CAD">
            <w:pPr>
              <w:pStyle w:val="StyleTableText9ptChar"/>
              <w:numPr>
                <w:ilvl w:val="0"/>
                <w:numId w:val="60"/>
              </w:numPr>
              <w:rPr>
                <w:rFonts w:cs="Arial"/>
              </w:rPr>
            </w:pPr>
            <w:r w:rsidRPr="0030088C">
              <w:rPr>
                <w:rFonts w:cs="Arial"/>
              </w:rPr>
              <w:t>The site parameter indicates the site is a ‘transfusion only’ facility</w:t>
            </w:r>
          </w:p>
          <w:p w14:paraId="2E93F608" w14:textId="77777777" w:rsidR="008B5229" w:rsidRDefault="008B5229" w:rsidP="00925CAD">
            <w:pPr>
              <w:pStyle w:val="StyleTableText9ptChar"/>
              <w:numPr>
                <w:ilvl w:val="0"/>
                <w:numId w:val="60"/>
              </w:numPr>
              <w:rPr>
                <w:rFonts w:cs="Arial"/>
              </w:rPr>
            </w:pPr>
            <w:r w:rsidRPr="0030088C">
              <w:rPr>
                <w:rFonts w:cs="Arial"/>
              </w:rPr>
              <w:t>The donation type re</w:t>
            </w:r>
            <w:r>
              <w:rPr>
                <w:rFonts w:cs="Arial"/>
              </w:rPr>
              <w:t>quires restriction</w:t>
            </w:r>
            <w:r w:rsidRPr="0030088C">
              <w:rPr>
                <w:rFonts w:cs="Arial"/>
              </w:rPr>
              <w:t>. The blood unit processed must be restricted with a specific patient.</w:t>
            </w:r>
          </w:p>
          <w:p w14:paraId="7D525F6D" w14:textId="77777777" w:rsidR="008B5229" w:rsidRDefault="008B5229" w:rsidP="008B5229">
            <w:pPr>
              <w:pStyle w:val="NotesText"/>
              <w:rPr>
                <w:rFonts w:cs="Arial"/>
              </w:rPr>
            </w:pPr>
          </w:p>
          <w:p w14:paraId="299B1A96" w14:textId="6956F088" w:rsidR="00545FFE" w:rsidRPr="0032634C" w:rsidRDefault="00545FFE" w:rsidP="0032634C">
            <w:pPr>
              <w:pStyle w:val="NotesText"/>
              <w:rPr>
                <w:rFonts w:cs="Arial"/>
                <w:szCs w:val="18"/>
              </w:rPr>
            </w:pPr>
            <w:r w:rsidRPr="00545FFE">
              <w:rPr>
                <w:rFonts w:cs="Arial"/>
                <w:vanish/>
                <w:szCs w:val="18"/>
              </w:rPr>
              <w:t xml:space="preserve">BR_1.21 </w:t>
            </w:r>
            <w:r w:rsidRPr="0030088C">
              <w:rPr>
                <w:rFonts w:cs="Arial"/>
                <w:szCs w:val="18"/>
              </w:rPr>
              <w:t>An ISBT 128 ABO/Rh barcode is identified by the presence of</w:t>
            </w:r>
            <w:r w:rsidR="00372501">
              <w:rPr>
                <w:rFonts w:cs="Arial"/>
                <w:szCs w:val="18"/>
              </w:rPr>
              <w:t xml:space="preserve"> </w:t>
            </w:r>
            <w:r w:rsidRPr="0030088C">
              <w:rPr>
                <w:rFonts w:cs="Arial"/>
                <w:szCs w:val="18"/>
              </w:rPr>
              <w:t>hidden identifier</w:t>
            </w:r>
            <w:r w:rsidR="00372501">
              <w:rPr>
                <w:rFonts w:cs="Arial"/>
                <w:szCs w:val="18"/>
              </w:rPr>
              <w:t>s</w:t>
            </w:r>
            <w:r w:rsidRPr="0030088C">
              <w:rPr>
                <w:rFonts w:cs="Arial"/>
                <w:szCs w:val="18"/>
              </w:rPr>
              <w:t>. Once the hidden identifier is removed, the ABO/Rh is a four-character code.</w:t>
            </w:r>
          </w:p>
        </w:tc>
      </w:tr>
      <w:tr w:rsidR="002A21AE" w14:paraId="1FA2ACD1" w14:textId="77777777" w:rsidTr="0032634C">
        <w:trPr>
          <w:cantSplit/>
        </w:trPr>
        <w:tc>
          <w:tcPr>
            <w:tcW w:w="3240" w:type="dxa"/>
          </w:tcPr>
          <w:p w14:paraId="44D9E529" w14:textId="77777777" w:rsidR="002A21AE" w:rsidRDefault="00073282">
            <w:pPr>
              <w:pStyle w:val="TableTextNumbers"/>
            </w:pPr>
            <w:r>
              <w:lastRenderedPageBreak/>
              <w:t xml:space="preserve">For </w:t>
            </w:r>
            <w:r w:rsidR="002A21AE">
              <w:t xml:space="preserve">ISBT 128-labeled units, scan the ABO/Rh number barcode, enter the ABO/Rh, or select the ABO/Rh from the drop-down list. </w:t>
            </w:r>
          </w:p>
        </w:tc>
        <w:tc>
          <w:tcPr>
            <w:tcW w:w="6120" w:type="dxa"/>
          </w:tcPr>
          <w:p w14:paraId="763924F1" w14:textId="77777777" w:rsidR="002A21AE" w:rsidRDefault="002A21AE">
            <w:pPr>
              <w:pStyle w:val="TableTextBullet"/>
            </w:pPr>
            <w:r>
              <w:t>Displays the corresponding ABO/Rh.</w:t>
            </w:r>
          </w:p>
          <w:p w14:paraId="094B2398" w14:textId="77777777" w:rsidR="002A21AE" w:rsidRDefault="002A21AE">
            <w:pPr>
              <w:pStyle w:val="TableTextBullet"/>
              <w:rPr>
                <w:color w:val="000000"/>
              </w:rPr>
            </w:pPr>
            <w:r>
              <w:t>Allows the selection of only ABO/Rh types acceptable for ICCBBA component classes.</w:t>
            </w:r>
          </w:p>
          <w:p w14:paraId="22A14361" w14:textId="77777777" w:rsidR="002A21AE" w:rsidRDefault="002A21AE">
            <w:pPr>
              <w:pStyle w:val="TableTextBullet"/>
            </w:pPr>
            <w:r>
              <w:rPr>
                <w:rFonts w:cs="Arial"/>
                <w:vanish/>
              </w:rPr>
              <w:t xml:space="preserve">BR_1.66 </w:t>
            </w:r>
            <w:r>
              <w:t xml:space="preserve">Enables the ABO/Rh field when a valid product code is entered. </w:t>
            </w:r>
          </w:p>
        </w:tc>
      </w:tr>
      <w:tr w:rsidR="002A21AE" w14:paraId="1906F6F9" w14:textId="77777777" w:rsidTr="0032634C">
        <w:trPr>
          <w:cantSplit/>
        </w:trPr>
        <w:tc>
          <w:tcPr>
            <w:tcW w:w="3240" w:type="dxa"/>
          </w:tcPr>
          <w:p w14:paraId="3ECC99D4" w14:textId="77777777" w:rsidR="002A21AE" w:rsidRDefault="002A21AE">
            <w:pPr>
              <w:pStyle w:val="TableTextNumbers"/>
            </w:pPr>
            <w:r>
              <w:lastRenderedPageBreak/>
              <w:t>Scan the expiration date barcode or enter the expiration date and time when an expiration time is required.</w:t>
            </w:r>
          </w:p>
        </w:tc>
        <w:tc>
          <w:tcPr>
            <w:tcW w:w="6120" w:type="dxa"/>
          </w:tcPr>
          <w:p w14:paraId="4A3633EE" w14:textId="77777777" w:rsidR="002A21AE" w:rsidRDefault="002A21AE">
            <w:pPr>
              <w:pStyle w:val="TableTextBullet"/>
            </w:pPr>
            <w:r>
              <w:t>Displays the corresponding expiration date and time.</w:t>
            </w:r>
          </w:p>
          <w:p w14:paraId="1C730A1B" w14:textId="77777777" w:rsidR="002A21AE" w:rsidRDefault="002A21AE">
            <w:pPr>
              <w:pStyle w:val="TableText"/>
              <w:ind w:left="720"/>
            </w:pPr>
          </w:p>
          <w:p w14:paraId="04575CB8" w14:textId="79FECB5D" w:rsidR="002A21AE" w:rsidRDefault="002A21AE">
            <w:pPr>
              <w:pStyle w:val="TableText"/>
              <w:rPr>
                <w:b/>
                <w:bCs/>
                <w:szCs w:val="18"/>
              </w:rPr>
            </w:pPr>
            <w:r>
              <w:rPr>
                <w:b/>
                <w:bCs/>
                <w:szCs w:val="18"/>
              </w:rPr>
              <w:t>NOTES</w:t>
            </w:r>
          </w:p>
          <w:p w14:paraId="268CA715" w14:textId="77777777" w:rsidR="002A21AE" w:rsidRDefault="002A21AE">
            <w:pPr>
              <w:pStyle w:val="NotesText"/>
            </w:pPr>
          </w:p>
          <w:p w14:paraId="7CF298DB" w14:textId="79D47526" w:rsidR="00FF1194" w:rsidRPr="00FF1194" w:rsidRDefault="002A21AE" w:rsidP="00FF1194">
            <w:pPr>
              <w:pStyle w:val="NotesText"/>
            </w:pPr>
            <w:r w:rsidRPr="00FF1194">
              <w:rPr>
                <w:vanish/>
              </w:rPr>
              <w:t xml:space="preserve">BR_1.23 </w:t>
            </w:r>
            <w:r w:rsidR="00FF1194" w:rsidRPr="00FF1194">
              <w:t>A scanned ISBT 128 expiration date barcode is identified by the presence of hidden identifier</w:t>
            </w:r>
            <w:r w:rsidR="0017525B">
              <w:t>s</w:t>
            </w:r>
            <w:r w:rsidR="00FF1194" w:rsidRPr="00FF1194">
              <w:t>. Once the hidden identifier is removed, there are two possible formats of the barcode, one involving the date only and another involving date and time. If no time in the barcode, the default expiration time is 23:59.</w:t>
            </w:r>
          </w:p>
          <w:p w14:paraId="01DF0DA9" w14:textId="103C8CF6" w:rsidR="002A21AE" w:rsidRDefault="002A21AE" w:rsidP="00FF1194">
            <w:pPr>
              <w:pStyle w:val="NotesText"/>
            </w:pPr>
          </w:p>
          <w:p w14:paraId="651BC8DC" w14:textId="77777777" w:rsidR="002A21AE" w:rsidRDefault="002A21AE">
            <w:pPr>
              <w:pStyle w:val="NotesText"/>
            </w:pPr>
            <w:r>
              <w:rPr>
                <w:rFonts w:cs="Arial"/>
                <w:vanish/>
              </w:rPr>
              <w:t xml:space="preserve">BR_1.31 </w:t>
            </w:r>
            <w:r>
              <w:t xml:space="preserve">VBECS compares the entered blood product’s expiration date to the maximum storage date and time limit for the </w:t>
            </w:r>
            <w:r w:rsidR="00B10B13">
              <w:t>blood product</w:t>
            </w:r>
            <w:r>
              <w:t xml:space="preserve">. The date and time of shipment receipt are used as the collection date and time. When the expiration date entered exceeds the defined maximum storage time, VBECS displays an error message and clears the field. The user may reenter an expiration date and time for the product. </w:t>
            </w:r>
          </w:p>
          <w:p w14:paraId="75F5902A" w14:textId="77777777" w:rsidR="002A21AE" w:rsidRDefault="002A21AE">
            <w:pPr>
              <w:pStyle w:val="NotesText"/>
            </w:pPr>
            <w:r>
              <w:t> </w:t>
            </w:r>
          </w:p>
          <w:p w14:paraId="68A88FD8" w14:textId="3D7C1BB2" w:rsidR="002A21AE" w:rsidRDefault="002A21AE">
            <w:pPr>
              <w:pStyle w:val="NotesText"/>
            </w:pPr>
            <w:r>
              <w:t xml:space="preserve">Products </w:t>
            </w:r>
            <w:r w:rsidR="00352C41">
              <w:t>with</w:t>
            </w:r>
            <w:r>
              <w:t xml:space="preserve"> a maximum expiration date and time of </w:t>
            </w:r>
            <w:r>
              <w:rPr>
                <w:u w:val="single"/>
              </w:rPr>
              <w:t>&lt;</w:t>
            </w:r>
            <w:r>
              <w:t xml:space="preserve">24 hours default to an expiration time </w:t>
            </w:r>
            <w:r w:rsidR="00352C41">
              <w:rPr>
                <w:u w:val="single"/>
              </w:rPr>
              <w:t>&lt;</w:t>
            </w:r>
            <w:r>
              <w:t xml:space="preserve">24 hours from the time of the </w:t>
            </w:r>
            <w:r w:rsidR="00B10B13">
              <w:t xml:space="preserve">incoming shipment. Blood products </w:t>
            </w:r>
            <w:r>
              <w:t xml:space="preserve">with a maximum expiration date and time of </w:t>
            </w:r>
            <w:r>
              <w:rPr>
                <w:u w:val="single"/>
              </w:rPr>
              <w:t>&gt;</w:t>
            </w:r>
            <w:r>
              <w:t xml:space="preserve"> 24 hours have a default expiration time of 23:59.</w:t>
            </w:r>
          </w:p>
          <w:p w14:paraId="5D3F3F3F" w14:textId="77777777" w:rsidR="00B51FD4" w:rsidRDefault="00B51FD4">
            <w:pPr>
              <w:pStyle w:val="NotesText"/>
            </w:pPr>
          </w:p>
          <w:p w14:paraId="404937CD" w14:textId="25149AD4" w:rsidR="00B51FD4" w:rsidRDefault="004A34A4">
            <w:pPr>
              <w:pStyle w:val="NotesText"/>
            </w:pPr>
            <w:r>
              <w:t>Expiration date entries can be c</w:t>
            </w:r>
            <w:r w:rsidR="00B51FD4" w:rsidRPr="00B51FD4">
              <w:t>orrect</w:t>
            </w:r>
            <w:r>
              <w:t>ed before saving, as th</w:t>
            </w:r>
            <w:r w:rsidR="00B51FD4" w:rsidRPr="00B51FD4">
              <w:t>e</w:t>
            </w:r>
            <w:r>
              <w:t xml:space="preserve"> date</w:t>
            </w:r>
            <w:r w:rsidR="00B51FD4" w:rsidRPr="00B51FD4">
              <w:t xml:space="preserve"> is prese</w:t>
            </w:r>
            <w:r>
              <w:t xml:space="preserve">nted for review before final acceptance. </w:t>
            </w:r>
            <w:r w:rsidR="00E66ACD">
              <w:t>To correct a saved,</w:t>
            </w:r>
            <w:r>
              <w:t xml:space="preserve"> invalid Expiration Date, i</w:t>
            </w:r>
            <w:r w:rsidRPr="004A34A4">
              <w:t>nactivate and reente</w:t>
            </w:r>
            <w:r>
              <w:t>r the unit.</w:t>
            </w:r>
          </w:p>
          <w:p w14:paraId="76C7DB3D" w14:textId="24D0FE24" w:rsidR="00B51FD4" w:rsidRDefault="00B51FD4">
            <w:pPr>
              <w:pStyle w:val="NotesText"/>
            </w:pPr>
            <w:r>
              <w:t xml:space="preserve"> </w:t>
            </w:r>
          </w:p>
          <w:p w14:paraId="25A34396" w14:textId="77777777" w:rsidR="002A21AE" w:rsidRDefault="002A21AE">
            <w:pPr>
              <w:pStyle w:val="NotesText"/>
            </w:pPr>
          </w:p>
          <w:p w14:paraId="03649D79" w14:textId="77777777" w:rsidR="002A21AE" w:rsidRDefault="002A21AE">
            <w:pPr>
              <w:pStyle w:val="NotesText"/>
            </w:pPr>
            <w:r>
              <w:rPr>
                <w:rFonts w:cs="Arial"/>
                <w:vanish/>
              </w:rPr>
              <w:t xml:space="preserve">BR_1.61 </w:t>
            </w:r>
            <w:r w:rsidR="009965B7" w:rsidRPr="00896F17">
              <w:rPr>
                <w:rStyle w:val="BullhornChar"/>
              </w:rPr>
              <w:t></w:t>
            </w:r>
            <w:r w:rsidR="009965B7" w:rsidRPr="00D62E87">
              <w:rPr>
                <w:rFonts w:ascii="Webdings" w:hAnsi="Webdings"/>
              </w:rPr>
              <w:t></w:t>
            </w:r>
            <w:r>
              <w:t xml:space="preserve">When a unit expiration date precedes the incoming shipment date and time, VBECS emits an audible alert, </w:t>
            </w:r>
            <w:r>
              <w:rPr>
                <w:noProof/>
              </w:rPr>
              <w:t>warns that the user</w:t>
            </w:r>
            <w:r>
              <w:t xml:space="preserve"> is attempting to enter an expired unit, and asks whether the user wishes to continue. </w:t>
            </w:r>
          </w:p>
          <w:p w14:paraId="45F9E57A" w14:textId="77777777" w:rsidR="002A21AE" w:rsidRDefault="002A21AE">
            <w:pPr>
              <w:pStyle w:val="NotesText"/>
              <w:rPr>
                <w:b/>
              </w:rPr>
            </w:pPr>
          </w:p>
          <w:p w14:paraId="1EE54DD7" w14:textId="77777777" w:rsidR="002A21AE" w:rsidRDefault="002A21AE">
            <w:pPr>
              <w:pStyle w:val="NotesText"/>
            </w:pPr>
            <w:r>
              <w:rPr>
                <w:b/>
              </w:rPr>
              <w:t>No</w:t>
            </w:r>
            <w:r>
              <w:t xml:space="preserve"> clears the unit expiration date field. The user must enter a new, acceptable expiration date. </w:t>
            </w:r>
            <w:r>
              <w:rPr>
                <w:b/>
              </w:rPr>
              <w:t>Yes</w:t>
            </w:r>
            <w:r>
              <w:t xml:space="preserve"> requires the user to enter a comment.</w:t>
            </w:r>
          </w:p>
          <w:p w14:paraId="5DE806BF" w14:textId="77777777" w:rsidR="002A21AE" w:rsidRDefault="002A21AE">
            <w:pPr>
              <w:pStyle w:val="NotesText"/>
              <w:rPr>
                <w:rFonts w:cs="Arial"/>
              </w:rPr>
            </w:pPr>
          </w:p>
          <w:p w14:paraId="2957BED4" w14:textId="77777777" w:rsidR="002A21AE" w:rsidRDefault="002A21AE">
            <w:pPr>
              <w:pStyle w:val="NotesText"/>
              <w:rPr>
                <w:rFonts w:cs="Arial"/>
              </w:rPr>
            </w:pPr>
            <w:r>
              <w:rPr>
                <w:rFonts w:cs="Arial"/>
              </w:rPr>
              <w:t>VBECS captures details of this override in an Exception Report.</w:t>
            </w:r>
          </w:p>
          <w:p w14:paraId="2640A502" w14:textId="77777777" w:rsidR="00D30BE6" w:rsidRDefault="00D30BE6" w:rsidP="004C6F72">
            <w:pPr>
              <w:pStyle w:val="TableText"/>
              <w:rPr>
                <w:rFonts w:cs="Arial"/>
              </w:rPr>
            </w:pPr>
          </w:p>
        </w:tc>
      </w:tr>
      <w:tr w:rsidR="002A21AE" w14:paraId="7037DE73" w14:textId="77777777" w:rsidTr="0032634C">
        <w:trPr>
          <w:cantSplit/>
        </w:trPr>
        <w:tc>
          <w:tcPr>
            <w:tcW w:w="3240" w:type="dxa"/>
          </w:tcPr>
          <w:p w14:paraId="3B3D7F9B" w14:textId="77777777" w:rsidR="002A21AE" w:rsidRDefault="00073282" w:rsidP="00073282">
            <w:pPr>
              <w:pStyle w:val="TableTextNumbers"/>
            </w:pPr>
            <w:r>
              <w:t xml:space="preserve"> </w:t>
            </w:r>
            <w:r w:rsidR="002A21AE">
              <w:t>For ISBT 128-labeled units, accept the donation type based on character 6 of the product code (cannot be edited) or, when character 6 is “0,” indicate a donation type.</w:t>
            </w:r>
          </w:p>
        </w:tc>
        <w:tc>
          <w:tcPr>
            <w:tcW w:w="6120" w:type="dxa"/>
          </w:tcPr>
          <w:p w14:paraId="41552C49" w14:textId="77777777" w:rsidR="002A21AE" w:rsidRDefault="002A21AE">
            <w:pPr>
              <w:pStyle w:val="TableTextBullet"/>
            </w:pPr>
            <w:r>
              <w:t xml:space="preserve">Assigns the donation type to the unit or requires user input, as needed. </w:t>
            </w:r>
          </w:p>
          <w:p w14:paraId="7B90B13A" w14:textId="77777777" w:rsidR="002A21AE" w:rsidRDefault="002A21AE">
            <w:pPr>
              <w:pStyle w:val="TableTextBullet"/>
            </w:pPr>
            <w:r>
              <w:t>Requires data entry of the “reserved for” patient name and/or patient ID and the disease market testing status for “autologous” and “directed” donation types.</w:t>
            </w:r>
          </w:p>
          <w:p w14:paraId="78EBED8F" w14:textId="77777777" w:rsidR="002A21AE" w:rsidRDefault="002A21AE">
            <w:pPr>
              <w:pStyle w:val="TableText"/>
              <w:ind w:left="720"/>
            </w:pPr>
          </w:p>
          <w:p w14:paraId="0E0591F2" w14:textId="3ECCB249" w:rsidR="002A21AE" w:rsidRDefault="002A21AE">
            <w:pPr>
              <w:pStyle w:val="TableText"/>
              <w:rPr>
                <w:b/>
                <w:bCs/>
                <w:szCs w:val="18"/>
              </w:rPr>
            </w:pPr>
            <w:r>
              <w:rPr>
                <w:b/>
                <w:bCs/>
                <w:szCs w:val="18"/>
              </w:rPr>
              <w:t>NOTES</w:t>
            </w:r>
          </w:p>
          <w:p w14:paraId="06BCA24C" w14:textId="77777777" w:rsidR="002A21AE" w:rsidRDefault="002A21AE">
            <w:pPr>
              <w:pStyle w:val="NotesText"/>
            </w:pPr>
          </w:p>
          <w:p w14:paraId="0DAAE5A0" w14:textId="77777777" w:rsidR="002A21AE" w:rsidRDefault="002A21AE">
            <w:pPr>
              <w:pStyle w:val="NotesText"/>
            </w:pPr>
            <w:r>
              <w:rPr>
                <w:rFonts w:cs="Arial"/>
                <w:vanish/>
              </w:rPr>
              <w:t xml:space="preserve">BR_1.26 </w:t>
            </w:r>
            <w:r>
              <w:t>When a site is a transfusion-only facility, each unit processed must be restricted to a specific patient regardless of donation type.</w:t>
            </w:r>
          </w:p>
        </w:tc>
      </w:tr>
      <w:tr w:rsidR="002A21AE" w14:paraId="6B529E43" w14:textId="77777777" w:rsidTr="0032634C">
        <w:trPr>
          <w:cantSplit/>
        </w:trPr>
        <w:tc>
          <w:tcPr>
            <w:tcW w:w="3240" w:type="dxa"/>
          </w:tcPr>
          <w:p w14:paraId="2A5DCBE1" w14:textId="77777777" w:rsidR="002A21AE" w:rsidRDefault="0017553F">
            <w:pPr>
              <w:pStyle w:val="TableTextNumbers"/>
            </w:pPr>
            <w:r>
              <w:lastRenderedPageBreak/>
              <w:t xml:space="preserve">Click the </w:t>
            </w:r>
            <w:r w:rsidR="00A6373D">
              <w:rPr>
                <w:b/>
              </w:rPr>
              <w:t>find</w:t>
            </w:r>
            <w:r w:rsidRPr="00BF2E41">
              <w:t xml:space="preserve"> button</w:t>
            </w:r>
            <w:r>
              <w:t xml:space="preserve"> next to the Restricted For Patient field to </w:t>
            </w:r>
            <w:r w:rsidR="00034390">
              <w:t>i</w:t>
            </w:r>
            <w:r w:rsidR="002A21AE">
              <w:t>ndicate the patient for whom the unit is reserved, as needed.</w:t>
            </w:r>
          </w:p>
        </w:tc>
        <w:tc>
          <w:tcPr>
            <w:tcW w:w="6120" w:type="dxa"/>
          </w:tcPr>
          <w:p w14:paraId="6B633201" w14:textId="77777777" w:rsidR="002A21AE" w:rsidRDefault="002A21AE">
            <w:pPr>
              <w:pStyle w:val="TableTextBullet"/>
            </w:pPr>
            <w:r>
              <w:t xml:space="preserve">Allows the user to search for active </w:t>
            </w:r>
            <w:r w:rsidR="00CA0045" w:rsidRPr="00CA0045">
              <w:rPr>
                <w:bCs/>
              </w:rPr>
              <w:t>VistA</w:t>
            </w:r>
            <w:r>
              <w:rPr>
                <w:bCs/>
              </w:rPr>
              <w:t xml:space="preserve"> patients to associate with the unit.</w:t>
            </w:r>
          </w:p>
          <w:p w14:paraId="57824434" w14:textId="77777777" w:rsidR="002A21AE" w:rsidRDefault="002A21AE">
            <w:pPr>
              <w:pStyle w:val="TableTextBullet"/>
            </w:pPr>
            <w:r>
              <w:t>Requires data entry of a patient name and/or patient ID to associate the unit with that patient when a unit has a “directed” or “autologous” donation type or the receiving facility is a “transfusion-only” facility.</w:t>
            </w:r>
          </w:p>
          <w:p w14:paraId="3B7F51D6" w14:textId="77777777" w:rsidR="002A21AE" w:rsidRDefault="002A21AE">
            <w:pPr>
              <w:pStyle w:val="TableTextBullet"/>
            </w:pPr>
            <w:r>
              <w:t xml:space="preserve">When no match exists, </w:t>
            </w:r>
            <w:r>
              <w:rPr>
                <w:noProof/>
              </w:rPr>
              <w:t>warns the user.</w:t>
            </w:r>
          </w:p>
          <w:p w14:paraId="1E735B81" w14:textId="77777777" w:rsidR="002A21AE" w:rsidRDefault="002A21AE">
            <w:pPr>
              <w:pStyle w:val="TableTextBullet"/>
            </w:pPr>
            <w:r>
              <w:t>When the unit is autologous, requires a user to indicate the disease marker testing status:</w:t>
            </w:r>
          </w:p>
          <w:p w14:paraId="4A8A38C2" w14:textId="77777777" w:rsidR="002A21AE" w:rsidRDefault="002A21AE">
            <w:pPr>
              <w:pStyle w:val="TableTextBullet1"/>
            </w:pPr>
            <w:r>
              <w:t>NEG: unit fully tested and negative for all disease markers</w:t>
            </w:r>
          </w:p>
          <w:p w14:paraId="33B03C99" w14:textId="77777777" w:rsidR="002A21AE" w:rsidRDefault="002A21AE">
            <w:pPr>
              <w:pStyle w:val="TableTextBullet1"/>
            </w:pPr>
            <w:r>
              <w:t>POS: unit tested and positive for one or more disease markers (biohazard)</w:t>
            </w:r>
          </w:p>
          <w:p w14:paraId="0B11966C" w14:textId="77777777" w:rsidR="002A21AE" w:rsidRDefault="002A21AE">
            <w:pPr>
              <w:pStyle w:val="TableTextBullet1"/>
            </w:pPr>
            <w:r>
              <w:t>NFT: unit not fully tested for one or more disease markers (biohazard)</w:t>
            </w:r>
          </w:p>
          <w:p w14:paraId="3CC462BC" w14:textId="77777777" w:rsidR="002A21AE" w:rsidRDefault="002A21AE">
            <w:pPr>
              <w:pStyle w:val="TableText"/>
            </w:pPr>
          </w:p>
          <w:p w14:paraId="550C944C" w14:textId="4DE06BF7" w:rsidR="002A21AE" w:rsidRDefault="002A21AE">
            <w:pPr>
              <w:pStyle w:val="TableText"/>
              <w:rPr>
                <w:b/>
                <w:bCs/>
                <w:szCs w:val="18"/>
              </w:rPr>
            </w:pPr>
            <w:r>
              <w:rPr>
                <w:b/>
                <w:bCs/>
                <w:szCs w:val="18"/>
              </w:rPr>
              <w:t>NOTES</w:t>
            </w:r>
          </w:p>
          <w:p w14:paraId="5EA204D2" w14:textId="77777777" w:rsidR="002A21AE" w:rsidRDefault="002A21AE">
            <w:pPr>
              <w:pStyle w:val="NotesText"/>
            </w:pPr>
          </w:p>
          <w:p w14:paraId="089FC4A2" w14:textId="77777777" w:rsidR="001C50C2" w:rsidRDefault="001C50C2">
            <w:pPr>
              <w:pStyle w:val="NotesText"/>
              <w:rPr>
                <w:rFonts w:cs="Arial"/>
              </w:rPr>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p w14:paraId="7447343E" w14:textId="77777777" w:rsidR="001C50C2" w:rsidRDefault="001C50C2">
            <w:pPr>
              <w:pStyle w:val="NotesText"/>
              <w:rPr>
                <w:rFonts w:cs="Arial"/>
              </w:rPr>
            </w:pPr>
          </w:p>
          <w:p w14:paraId="6AAC33F8" w14:textId="77777777" w:rsidR="002A21AE" w:rsidRDefault="00D407D0">
            <w:pPr>
              <w:pStyle w:val="NotesText"/>
            </w:pPr>
            <w:r>
              <w:rPr>
                <w:rFonts w:cs="Arial"/>
                <w:vanish/>
              </w:rPr>
              <w:t>DR 1,041</w:t>
            </w:r>
            <w:r w:rsidRPr="00D407D0">
              <w:rPr>
                <w:rFonts w:cs="Arial"/>
                <w:szCs w:val="18"/>
              </w:rPr>
              <w:t xml:space="preserve">The Patient Blood Availability Report does not include restricted units not assigned </w:t>
            </w:r>
            <w:r>
              <w:rPr>
                <w:rFonts w:cs="Arial"/>
                <w:szCs w:val="18"/>
              </w:rPr>
              <w:t xml:space="preserve">to a patient. To track such units, the user may enter restricted units’ IDs in the Special Instruction field in Special Instructions &amp; Transfusion Requirements: Enter and Remove Special </w:t>
            </w:r>
            <w:r w:rsidR="00541DC0">
              <w:rPr>
                <w:rFonts w:cs="Arial"/>
                <w:szCs w:val="18"/>
              </w:rPr>
              <w:t>Instructions. When</w:t>
            </w:r>
            <w:r w:rsidR="002A21AE">
              <w:t xml:space="preserve"> a user restricts a unit to a patient and VBECS does not find that patient in its database, VBECS searches </w:t>
            </w:r>
            <w:r w:rsidR="00CA0045" w:rsidRPr="00CA0045">
              <w:rPr>
                <w:bCs/>
              </w:rPr>
              <w:t>VistA</w:t>
            </w:r>
            <w:r w:rsidR="002A21AE">
              <w:t>. When it finds a valid patient, VBECS adds the patient to the database.</w:t>
            </w:r>
          </w:p>
        </w:tc>
      </w:tr>
      <w:tr w:rsidR="002A21AE" w14:paraId="15299BBF" w14:textId="77777777" w:rsidTr="0032634C">
        <w:trPr>
          <w:cantSplit/>
        </w:trPr>
        <w:tc>
          <w:tcPr>
            <w:tcW w:w="3240" w:type="dxa"/>
          </w:tcPr>
          <w:p w14:paraId="5B8E6321" w14:textId="77777777" w:rsidR="002A21AE" w:rsidRDefault="002A21AE">
            <w:pPr>
              <w:pStyle w:val="TableTextNumbers"/>
            </w:pPr>
            <w:r>
              <w:lastRenderedPageBreak/>
              <w:t>Do one or more:</w:t>
            </w:r>
          </w:p>
          <w:p w14:paraId="007DCD52" w14:textId="77777777" w:rsidR="002A21AE" w:rsidRDefault="002A21AE">
            <w:pPr>
              <w:pStyle w:val="TableTextNumbersContinued"/>
            </w:pPr>
          </w:p>
          <w:p w14:paraId="753A7E94" w14:textId="77777777" w:rsidR="002A21AE" w:rsidRDefault="002A21AE">
            <w:pPr>
              <w:pStyle w:val="TableTextNumbersContinued"/>
            </w:pPr>
            <w:r>
              <w:t xml:space="preserve">Accept the blank check boxes or click a check box to indicate that a unit is CMV Negative or Sickle Cell Negative. </w:t>
            </w:r>
          </w:p>
          <w:p w14:paraId="6016F205" w14:textId="77777777" w:rsidR="002A21AE" w:rsidRDefault="002A21AE">
            <w:pPr>
              <w:pStyle w:val="TableTextNumbersContinued"/>
            </w:pPr>
          </w:p>
          <w:p w14:paraId="6B4F91BD" w14:textId="77777777" w:rsidR="002A21AE" w:rsidRDefault="002A21AE">
            <w:pPr>
              <w:pStyle w:val="TableTextNumbersContinued"/>
            </w:pPr>
            <w:r>
              <w:t>Enter an additional cost.</w:t>
            </w:r>
          </w:p>
          <w:p w14:paraId="6696FD63" w14:textId="77777777" w:rsidR="002A21AE" w:rsidRDefault="002A21AE">
            <w:pPr>
              <w:pStyle w:val="TableTextNumbersContinued"/>
            </w:pPr>
          </w:p>
          <w:p w14:paraId="4983B760" w14:textId="0C1ED57A" w:rsidR="002A21AE" w:rsidRDefault="002A21AE">
            <w:pPr>
              <w:pStyle w:val="TableTextNumbersContinued"/>
            </w:pPr>
            <w:r>
              <w:t>Enter an antigen phenotype for a unit</w:t>
            </w:r>
            <w:r w:rsidR="00DC6B68">
              <w:t xml:space="preserve"> (</w:t>
            </w:r>
            <w:r w:rsidR="00EE455E">
              <w:t xml:space="preserve">Figure </w:t>
            </w:r>
            <w:r w:rsidR="00EE455E">
              <w:rPr>
                <w:noProof/>
              </w:rPr>
              <w:t>47</w:t>
            </w:r>
            <w:r w:rsidR="00DC6B68">
              <w:t>)</w:t>
            </w:r>
            <w:r>
              <w:t xml:space="preserve">. </w:t>
            </w:r>
          </w:p>
        </w:tc>
        <w:tc>
          <w:tcPr>
            <w:tcW w:w="6120" w:type="dxa"/>
          </w:tcPr>
          <w:p w14:paraId="5D1EB3BE" w14:textId="09F0DFFB" w:rsidR="002A21AE" w:rsidRDefault="002A21AE">
            <w:pPr>
              <w:pStyle w:val="TableTextBullet"/>
            </w:pPr>
            <w:r>
              <w:t>Displays an option to save or clear unit information.</w:t>
            </w:r>
          </w:p>
          <w:p w14:paraId="78CD4D4A" w14:textId="498B0EB7" w:rsidR="00CA2E17" w:rsidRDefault="00CA2E17">
            <w:pPr>
              <w:pStyle w:val="TableTextBullet"/>
            </w:pPr>
            <w:r>
              <w:t>Allows the user to enter a comment.</w:t>
            </w:r>
          </w:p>
          <w:p w14:paraId="7DE26001" w14:textId="77777777" w:rsidR="002A21AE" w:rsidRDefault="002A21AE">
            <w:pPr>
              <w:pStyle w:val="TableText"/>
            </w:pPr>
          </w:p>
          <w:p w14:paraId="7089FA5A" w14:textId="359ACD94" w:rsidR="002A21AE" w:rsidRDefault="002A21AE">
            <w:pPr>
              <w:pStyle w:val="TableText"/>
              <w:rPr>
                <w:b/>
                <w:bCs/>
                <w:szCs w:val="18"/>
              </w:rPr>
            </w:pPr>
            <w:r>
              <w:rPr>
                <w:b/>
                <w:bCs/>
                <w:szCs w:val="18"/>
              </w:rPr>
              <w:t>NOTES</w:t>
            </w:r>
          </w:p>
          <w:p w14:paraId="78562F6D" w14:textId="77777777" w:rsidR="002A21AE" w:rsidRDefault="002A21AE">
            <w:pPr>
              <w:pStyle w:val="NotesText"/>
            </w:pPr>
          </w:p>
          <w:p w14:paraId="1D66559F" w14:textId="77777777" w:rsidR="002A21AE" w:rsidRDefault="002A21AE" w:rsidP="00137C68">
            <w:pPr>
              <w:pStyle w:val="NotesText"/>
            </w:pPr>
            <w:r>
              <w:t>VBECS accommodates data entry of:</w:t>
            </w:r>
          </w:p>
          <w:p w14:paraId="79EF7353" w14:textId="18180E8B" w:rsidR="002A21AE" w:rsidRDefault="002A21AE">
            <w:pPr>
              <w:pStyle w:val="NotesTextBullet"/>
            </w:pPr>
            <w:r>
              <w:rPr>
                <w:rFonts w:cs="Arial"/>
                <w:vanish/>
              </w:rPr>
              <w:t xml:space="preserve">BR_1.46 </w:t>
            </w:r>
            <w:r>
              <w:t xml:space="preserve">A single special </w:t>
            </w:r>
            <w:r w:rsidR="001C07FE">
              <w:t>testing</w:t>
            </w:r>
            <w:r>
              <w:t xml:space="preserve"> cost (the sum of charges from $0.00 to $</w:t>
            </w:r>
            <w:r w:rsidR="001C07FE">
              <w:t>9,</w:t>
            </w:r>
            <w:r>
              <w:t>999.</w:t>
            </w:r>
            <w:r w:rsidR="001C07FE">
              <w:t>99</w:t>
            </w:r>
            <w:r>
              <w:t>, other than the base unit cost) to associate with a unit.</w:t>
            </w:r>
          </w:p>
          <w:p w14:paraId="72282AB0" w14:textId="77777777" w:rsidR="002A21AE" w:rsidRDefault="002A21AE">
            <w:pPr>
              <w:pStyle w:val="NotesText"/>
            </w:pPr>
          </w:p>
          <w:p w14:paraId="09FAA5BD" w14:textId="6D860022"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EE455E">
              <w:t xml:space="preserve">Appendix </w:t>
            </w:r>
            <w:r w:rsidR="00EE455E">
              <w:rPr>
                <w:noProof/>
              </w:rPr>
              <w:t>B</w:t>
            </w:r>
            <w:r>
              <w:t xml:space="preserve">: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t>. An antigen may not be positive and negative for the same unit.</w:t>
            </w:r>
          </w:p>
          <w:p w14:paraId="6FB50A9D" w14:textId="77777777" w:rsidR="005710CE" w:rsidRDefault="005710CE">
            <w:pPr>
              <w:pStyle w:val="NotesText"/>
            </w:pPr>
          </w:p>
          <w:p w14:paraId="4B2FA7D2" w14:textId="77777777" w:rsidR="005710CE" w:rsidRDefault="005710CE" w:rsidP="0032634C">
            <w:pPr>
              <w:pStyle w:val="NotesText"/>
              <w:rPr>
                <w:rFonts w:cs="Arial"/>
                <w:szCs w:val="18"/>
              </w:rPr>
            </w:pPr>
            <w:r w:rsidRPr="005710CE">
              <w:rPr>
                <w:rFonts w:cs="Arial"/>
                <w:vanish/>
                <w:szCs w:val="18"/>
              </w:rPr>
              <w:t xml:space="preserve">BR_1.01 </w:t>
            </w:r>
            <w:r w:rsidRPr="0030088C">
              <w:rPr>
                <w:rFonts w:cs="Arial"/>
                <w:szCs w:val="18"/>
              </w:rPr>
              <w:t>The shipper of the shipment is used to determine the actual costs of the blood products contained in the shipment. The shipper is the “ship from/ship to” shipper and may or may not be the same as the shipper that collected and/or processed the blood product as indicated on the blood component label. A user can select a shipper from previously activated shipper entries that have been marked as active shipper for a division.</w:t>
            </w:r>
          </w:p>
          <w:p w14:paraId="7286B8D1" w14:textId="77777777" w:rsidR="006E30BA" w:rsidRDefault="006E30BA" w:rsidP="006E30BA">
            <w:pPr>
              <w:pStyle w:val="NotesText"/>
            </w:pPr>
          </w:p>
          <w:p w14:paraId="1AEB2CF4" w14:textId="77777777" w:rsidR="006E30BA" w:rsidRDefault="006E30BA" w:rsidP="006E30BA">
            <w:pPr>
              <w:pStyle w:val="NotesText"/>
              <w:rPr>
                <w:rFonts w:cs="Arial"/>
                <w:szCs w:val="18"/>
              </w:rPr>
            </w:pPr>
            <w:r w:rsidRPr="005710CE">
              <w:rPr>
                <w:rFonts w:cs="Arial"/>
                <w:vanish/>
                <w:szCs w:val="18"/>
              </w:rPr>
              <w:t>BR_1.</w:t>
            </w:r>
            <w:r>
              <w:rPr>
                <w:rFonts w:cs="Arial"/>
                <w:vanish/>
                <w:szCs w:val="18"/>
              </w:rPr>
              <w:t>77</w:t>
            </w:r>
            <w:r w:rsidRPr="005710CE">
              <w:rPr>
                <w:rFonts w:cs="Arial"/>
                <w:vanish/>
                <w:szCs w:val="18"/>
              </w:rPr>
              <w:t xml:space="preserve"> </w:t>
            </w:r>
            <w:r w:rsidRPr="0030088C">
              <w:rPr>
                <w:rFonts w:cs="Arial"/>
                <w:szCs w:val="18"/>
              </w:rPr>
              <w:t xml:space="preserve">The </w:t>
            </w:r>
            <w:r>
              <w:rPr>
                <w:rFonts w:cs="Arial"/>
                <w:szCs w:val="18"/>
              </w:rPr>
              <w:t>user may enter a comment in the "Incoming Shipment" comment context and a free text comment</w:t>
            </w:r>
            <w:r w:rsidRPr="0030088C">
              <w:rPr>
                <w:rFonts w:cs="Arial"/>
                <w:szCs w:val="18"/>
              </w:rPr>
              <w:t>.</w:t>
            </w:r>
            <w:r>
              <w:rPr>
                <w:rFonts w:cs="Arial"/>
                <w:szCs w:val="18"/>
              </w:rPr>
              <w:t xml:space="preserve"> </w:t>
            </w:r>
            <w:r w:rsidRPr="006E30BA">
              <w:rPr>
                <w:rFonts w:cs="Arial"/>
                <w:szCs w:val="18"/>
              </w:rPr>
              <w:t>The comment will be displayed in the Unit History Report, Incoming Shipment section and may be edited in Edit Unit Information</w:t>
            </w:r>
            <w:r>
              <w:rPr>
                <w:rFonts w:cs="Arial"/>
                <w:szCs w:val="18"/>
              </w:rPr>
              <w:t xml:space="preserve">. </w:t>
            </w:r>
          </w:p>
          <w:p w14:paraId="6601E499" w14:textId="77777777" w:rsidR="004C7721" w:rsidRDefault="004C7721" w:rsidP="006E30BA">
            <w:pPr>
              <w:pStyle w:val="NotesText"/>
              <w:rPr>
                <w:rFonts w:cs="Arial"/>
                <w:szCs w:val="18"/>
              </w:rPr>
            </w:pPr>
          </w:p>
          <w:p w14:paraId="36FFFA14" w14:textId="427F79E3" w:rsidR="004C7721" w:rsidRPr="0032634C" w:rsidRDefault="004C7721" w:rsidP="006E30BA">
            <w:pPr>
              <w:pStyle w:val="NotesText"/>
              <w:rPr>
                <w:rFonts w:cs="Arial"/>
                <w:szCs w:val="18"/>
              </w:rPr>
            </w:pPr>
            <w:r w:rsidRPr="004C7721">
              <w:rPr>
                <w:rFonts w:cs="Arial"/>
                <w:vanish/>
                <w:szCs w:val="18"/>
              </w:rPr>
              <w:t>BR_1.78</w:t>
            </w:r>
            <w:r w:rsidR="006A7B5C">
              <w:rPr>
                <w:rFonts w:cs="Arial"/>
                <w:vanish/>
                <w:szCs w:val="18"/>
              </w:rPr>
              <w:t xml:space="preserve"> </w:t>
            </w:r>
            <w:r>
              <w:rPr>
                <w:rFonts w:cs="Arial"/>
                <w:szCs w:val="18"/>
              </w:rPr>
              <w:t>VBECS supports the scanning of ISBT 128 special testing information barcodes by detecting the appropriate hidden identifiers. The scanned special testing value may populate the CMV Negative field, the Antigen list, and/or the Comment, based on the value scanned.</w:t>
            </w:r>
          </w:p>
        </w:tc>
      </w:tr>
      <w:tr w:rsidR="002A21AE" w14:paraId="18974901" w14:textId="77777777" w:rsidTr="0032634C">
        <w:trPr>
          <w:cantSplit/>
        </w:trPr>
        <w:tc>
          <w:tcPr>
            <w:tcW w:w="3240" w:type="dxa"/>
          </w:tcPr>
          <w:p w14:paraId="7848B6FD" w14:textId="77777777" w:rsidR="002A21AE" w:rsidRDefault="002A21AE">
            <w:pPr>
              <w:pStyle w:val="TableTextNumbers"/>
            </w:pPr>
            <w:r>
              <w:lastRenderedPageBreak/>
              <w:t xml:space="preserve">Review and click </w:t>
            </w:r>
            <w:r>
              <w:rPr>
                <w:b/>
              </w:rPr>
              <w:t>Save</w:t>
            </w:r>
            <w:r>
              <w:t xml:space="preserve"> to accept the unit.</w:t>
            </w:r>
          </w:p>
        </w:tc>
        <w:tc>
          <w:tcPr>
            <w:tcW w:w="6120" w:type="dxa"/>
          </w:tcPr>
          <w:p w14:paraId="18A1087D" w14:textId="77777777" w:rsidR="002A21AE" w:rsidRDefault="00590A7C" w:rsidP="004A4FC6">
            <w:pPr>
              <w:pStyle w:val="TableTextBullet"/>
            </w:pPr>
            <w:r w:rsidRPr="004A4FC6">
              <w:rPr>
                <w:vanish/>
              </w:rPr>
              <w:t xml:space="preserve">BR_1.68 </w:t>
            </w:r>
            <w:r w:rsidR="004A4FC6" w:rsidRPr="004A4FC6">
              <w:t>The confirmation message presented when saving a unit record states: “Are you sure you want to add this unit, by clicking Yes, you acknowledge that you inspected this uni</w:t>
            </w:r>
            <w:r w:rsidR="004A4FC6">
              <w:t>t and that it is satisfactory.”</w:t>
            </w:r>
          </w:p>
          <w:p w14:paraId="327F447F" w14:textId="14DBF897" w:rsidR="0074412C" w:rsidRDefault="000E3E6B" w:rsidP="0074412C">
            <w:pPr>
              <w:pStyle w:val="TableTextBullet"/>
            </w:pPr>
            <w:r>
              <w:t xml:space="preserve">When the user clicks yes, the unit record is added to the division’s inventory.  When the user clicks no, </w:t>
            </w:r>
            <w:r w:rsidR="00EF64BD" w:rsidRPr="0030088C">
              <w:rPr>
                <w:rFonts w:cs="Arial"/>
                <w:szCs w:val="18"/>
              </w:rPr>
              <w:t>the user is allowed to edit information, clear the unit information or may attempt to save again.</w:t>
            </w:r>
            <w:r w:rsidR="0074412C">
              <w:rPr>
                <w:rFonts w:cs="Arial"/>
              </w:rPr>
              <w:t xml:space="preserve"> The visual inspection indicator will be displayed in the Unit History Report, Incoming Shipment section.</w:t>
            </w:r>
          </w:p>
          <w:p w14:paraId="74CF718F" w14:textId="38B2CE57" w:rsidR="000E3E6B" w:rsidRDefault="0074412C" w:rsidP="0074412C">
            <w:pPr>
              <w:pStyle w:val="TableTextBullet"/>
            </w:pPr>
            <w:r>
              <w:t>Adds the unit to the database.</w:t>
            </w:r>
          </w:p>
          <w:p w14:paraId="3C0D9D55" w14:textId="77777777" w:rsidR="002A21AE" w:rsidRDefault="002A21AE">
            <w:pPr>
              <w:pStyle w:val="TableTextBullet"/>
            </w:pPr>
            <w:r>
              <w:t xml:space="preserve">Lists summary information for the accepted unit. </w:t>
            </w:r>
          </w:p>
          <w:p w14:paraId="71598DF5" w14:textId="77777777" w:rsidR="002A21AE" w:rsidRDefault="002A21AE">
            <w:pPr>
              <w:pStyle w:val="TableTextBullet"/>
            </w:pPr>
            <w:r>
              <w:t xml:space="preserve">Allows the user to begin processing a new unit. </w:t>
            </w:r>
          </w:p>
          <w:p w14:paraId="13A7E62B" w14:textId="77777777" w:rsidR="002A21AE" w:rsidRDefault="002A21AE">
            <w:pPr>
              <w:pStyle w:val="TableText"/>
            </w:pPr>
          </w:p>
          <w:p w14:paraId="2B35C455" w14:textId="0ECD815B" w:rsidR="002A21AE" w:rsidRDefault="002A21AE">
            <w:pPr>
              <w:pStyle w:val="TableText"/>
              <w:rPr>
                <w:b/>
                <w:bCs/>
                <w:szCs w:val="18"/>
              </w:rPr>
            </w:pPr>
            <w:r>
              <w:rPr>
                <w:b/>
                <w:bCs/>
                <w:szCs w:val="18"/>
              </w:rPr>
              <w:t>NOTES</w:t>
            </w:r>
          </w:p>
          <w:p w14:paraId="48B9BA02" w14:textId="77777777" w:rsidR="002A21AE" w:rsidRDefault="002A21AE">
            <w:pPr>
              <w:pStyle w:val="NotesText"/>
            </w:pPr>
          </w:p>
          <w:p w14:paraId="1821C35C" w14:textId="77777777" w:rsidR="00B21CEA" w:rsidRPr="00B21CEA" w:rsidRDefault="00B21CEA" w:rsidP="00B21CEA">
            <w:pPr>
              <w:pStyle w:val="NotesText"/>
            </w:pPr>
            <w:r w:rsidRPr="00B21CEA">
              <w:t>If the unit is not satisfactory per the visual inspection, the user must click no. The unit is not entered into VBECS inventory and should be processed according to local procedure and policy.</w:t>
            </w:r>
          </w:p>
          <w:p w14:paraId="625051B9" w14:textId="77777777" w:rsidR="00B21CEA" w:rsidRDefault="00B21CEA">
            <w:pPr>
              <w:pStyle w:val="NotesText"/>
            </w:pPr>
          </w:p>
          <w:p w14:paraId="3E5C13FA" w14:textId="77777777" w:rsidR="002A21AE" w:rsidRDefault="002A21AE">
            <w:pPr>
              <w:pStyle w:val="NotesText"/>
            </w:pPr>
            <w:r>
              <w:t>VBECS assigns unit statuses based on a site’s configuration in Configure Division. For a:</w:t>
            </w:r>
          </w:p>
          <w:p w14:paraId="6D773BA1" w14:textId="77777777" w:rsidR="002A21AE" w:rsidRDefault="002A21AE">
            <w:pPr>
              <w:pStyle w:val="NotesTextBullet"/>
            </w:pPr>
            <w:r>
              <w:t>“Full-service” facility, VBECS assigns “Limited” status to blood products that contain red cells and “Available” status to all other components.</w:t>
            </w:r>
          </w:p>
          <w:p w14:paraId="12377937" w14:textId="77777777" w:rsidR="002A21AE" w:rsidRDefault="002A21AE">
            <w:pPr>
              <w:pStyle w:val="NotesTextBullet"/>
            </w:pPr>
            <w:r>
              <w:t>“Transfusion-only” facility, VBECS assigns “Available” status to the units. ABO/Rh confirmation testing is not required.</w:t>
            </w:r>
          </w:p>
          <w:p w14:paraId="7531F1D8" w14:textId="77777777" w:rsidR="002A21AE" w:rsidRDefault="002A21AE">
            <w:pPr>
              <w:pStyle w:val="NotesText"/>
            </w:pPr>
          </w:p>
          <w:p w14:paraId="1817D485" w14:textId="77777777" w:rsidR="002A21AE" w:rsidRDefault="002A21AE">
            <w:pPr>
              <w:pStyle w:val="NotesText"/>
            </w:pPr>
            <w:r>
              <w:t>Units are available only to users in the division in which the units were processed (separate inventories are maintained in a multidivisional site).</w:t>
            </w:r>
          </w:p>
          <w:p w14:paraId="6540BF44" w14:textId="77777777" w:rsidR="00260D14" w:rsidRDefault="00260D14">
            <w:pPr>
              <w:pStyle w:val="NotesText"/>
            </w:pPr>
          </w:p>
          <w:p w14:paraId="7FF68272" w14:textId="77777777" w:rsidR="00260D14" w:rsidRDefault="00260D14">
            <w:pPr>
              <w:pStyle w:val="NotesText"/>
            </w:pPr>
            <w:r>
              <w:t>To edit incorrect saved information, inactivate the unit through Edit Unit Information</w:t>
            </w:r>
            <w:r w:rsidR="00AB2CA4">
              <w:t>, then ree</w:t>
            </w:r>
            <w:r>
              <w:t xml:space="preserve">nter </w:t>
            </w:r>
            <w:r w:rsidR="00AB2CA4">
              <w:t xml:space="preserve">unit </w:t>
            </w:r>
            <w:r>
              <w:t>information in Incoming Shipment.</w:t>
            </w:r>
          </w:p>
          <w:p w14:paraId="2EF73B16" w14:textId="77777777" w:rsidR="00CE13F4" w:rsidRDefault="00CE13F4">
            <w:pPr>
              <w:pStyle w:val="NotesText"/>
            </w:pPr>
          </w:p>
          <w:p w14:paraId="5DA29594" w14:textId="21655E82" w:rsidR="00CE13F4" w:rsidRDefault="00CE13F4">
            <w:pPr>
              <w:pStyle w:val="NotesText"/>
              <w:rPr>
                <w:rFonts w:cs="Arial"/>
                <w:szCs w:val="18"/>
              </w:rPr>
            </w:pPr>
            <w:r w:rsidRPr="00CE13F4">
              <w:rPr>
                <w:rFonts w:cs="Arial"/>
                <w:vanish/>
                <w:szCs w:val="18"/>
              </w:rPr>
              <w:t xml:space="preserve">BR_1.74 </w:t>
            </w:r>
            <w:r w:rsidRPr="0030088C">
              <w:rPr>
                <w:rFonts w:cs="Arial"/>
                <w:szCs w:val="18"/>
              </w:rPr>
              <w:t xml:space="preserve">Existing invoices continue </w:t>
            </w:r>
            <w:r w:rsidR="00073282">
              <w:rPr>
                <w:rFonts w:cs="Arial"/>
                <w:szCs w:val="18"/>
              </w:rPr>
              <w:t xml:space="preserve">to display historic </w:t>
            </w:r>
            <w:r w:rsidRPr="0030088C">
              <w:rPr>
                <w:rFonts w:cs="Arial"/>
                <w:szCs w:val="18"/>
              </w:rPr>
              <w:t>ISBT 128 labeled units.</w:t>
            </w:r>
          </w:p>
          <w:p w14:paraId="41513FC2" w14:textId="77777777" w:rsidR="0040523B" w:rsidRDefault="0040523B">
            <w:pPr>
              <w:pStyle w:val="NotesText"/>
            </w:pPr>
          </w:p>
          <w:p w14:paraId="6507CC04" w14:textId="77777777" w:rsidR="0040523B" w:rsidRDefault="0040523B" w:rsidP="0040523B">
            <w:pPr>
              <w:pStyle w:val="NotesText"/>
            </w:pPr>
            <w:r w:rsidRPr="0040523B">
              <w:rPr>
                <w:vanish/>
              </w:rPr>
              <w:t xml:space="preserve">BR_1.72 </w:t>
            </w:r>
            <w:r w:rsidRPr="0040523B">
              <w:t>The user may not save the unit record until the donation type and its requirements are satisfied.</w:t>
            </w:r>
          </w:p>
          <w:p w14:paraId="772AADC9" w14:textId="77777777" w:rsidR="00674B59" w:rsidRDefault="00674B59" w:rsidP="0040523B">
            <w:pPr>
              <w:pStyle w:val="NotesText"/>
              <w:rPr>
                <w:rFonts w:cs="Arial"/>
                <w:szCs w:val="18"/>
              </w:rPr>
            </w:pPr>
          </w:p>
          <w:p w14:paraId="3B59ED48" w14:textId="77777777" w:rsidR="00674B59" w:rsidRDefault="00674B59" w:rsidP="0040523B">
            <w:pPr>
              <w:pStyle w:val="NotesText"/>
              <w:rPr>
                <w:rFonts w:cs="Arial"/>
                <w:szCs w:val="18"/>
              </w:rPr>
            </w:pPr>
            <w:r w:rsidRPr="00674B59">
              <w:rPr>
                <w:rFonts w:cs="Arial"/>
                <w:vanish/>
                <w:szCs w:val="18"/>
              </w:rPr>
              <w:t xml:space="preserve">BR_1.10 </w:t>
            </w:r>
            <w:r w:rsidRPr="0030088C">
              <w:rPr>
                <w:rFonts w:cs="Arial"/>
                <w:szCs w:val="18"/>
              </w:rPr>
              <w:t>The system determines that valid required data exist for individual units before adding to the database. The newly added unit displays in a list. This list includes Unit ID, ABO/Rh, Product Code, and Expiration date.</w:t>
            </w:r>
          </w:p>
          <w:p w14:paraId="03F0C757" w14:textId="77777777" w:rsidR="00674B59" w:rsidRDefault="00674B59" w:rsidP="0040523B">
            <w:pPr>
              <w:pStyle w:val="NotesText"/>
              <w:rPr>
                <w:rFonts w:cs="Arial"/>
                <w:szCs w:val="18"/>
              </w:rPr>
            </w:pPr>
          </w:p>
          <w:p w14:paraId="471C0276" w14:textId="77777777" w:rsidR="00674B59" w:rsidRPr="0040523B" w:rsidRDefault="00674B59" w:rsidP="0040523B">
            <w:pPr>
              <w:pStyle w:val="NotesText"/>
              <w:rPr>
                <w:rFonts w:cs="Arial"/>
                <w:szCs w:val="18"/>
              </w:rPr>
            </w:pPr>
            <w:r>
              <w:rPr>
                <w:vanish/>
              </w:rPr>
              <w:t>BR_1.47</w:t>
            </w:r>
            <w:r w:rsidRPr="00674B59">
              <w:rPr>
                <w:vanish/>
              </w:rPr>
              <w:t xml:space="preserve"> </w:t>
            </w:r>
            <w:r>
              <w:t>When units are added to the database, the records must be created in a manner that the units are retrievable for other VBECS functionality by scanning the Unit ID and Product Code barcodes.</w:t>
            </w:r>
          </w:p>
        </w:tc>
      </w:tr>
      <w:tr w:rsidR="002A21AE" w14:paraId="0978423F" w14:textId="77777777" w:rsidTr="0032634C">
        <w:trPr>
          <w:cantSplit/>
        </w:trPr>
        <w:tc>
          <w:tcPr>
            <w:tcW w:w="3240" w:type="dxa"/>
          </w:tcPr>
          <w:p w14:paraId="7ED8608F" w14:textId="77777777" w:rsidR="002A21AE" w:rsidRDefault="002A21AE">
            <w:pPr>
              <w:pStyle w:val="TableTextNumbers"/>
            </w:pPr>
            <w:r>
              <w:t>Repeat until all units are entered.</w:t>
            </w:r>
          </w:p>
        </w:tc>
        <w:tc>
          <w:tcPr>
            <w:tcW w:w="6120" w:type="dxa"/>
          </w:tcPr>
          <w:p w14:paraId="4DFD4CCD" w14:textId="77777777" w:rsidR="002A21AE" w:rsidRDefault="002A21AE">
            <w:pPr>
              <w:pStyle w:val="TableTextBullet"/>
            </w:pPr>
            <w:r>
              <w:t>Displays all unit data entries.</w:t>
            </w:r>
          </w:p>
        </w:tc>
      </w:tr>
      <w:tr w:rsidR="002A21AE" w14:paraId="42EFF919" w14:textId="77777777" w:rsidTr="0032634C">
        <w:trPr>
          <w:cantSplit/>
        </w:trPr>
        <w:tc>
          <w:tcPr>
            <w:tcW w:w="3240" w:type="dxa"/>
            <w:tcBorders>
              <w:bottom w:val="single" w:sz="4" w:space="0" w:color="auto"/>
            </w:tcBorders>
          </w:tcPr>
          <w:p w14:paraId="65922255" w14:textId="77777777" w:rsidR="002A21AE" w:rsidRDefault="002A21AE">
            <w:pPr>
              <w:pStyle w:val="TableTextNumbers"/>
            </w:pPr>
            <w:r>
              <w:t xml:space="preserve">Click </w:t>
            </w:r>
            <w:r>
              <w:rPr>
                <w:b/>
              </w:rPr>
              <w:t>Close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323C009B" w14:textId="77777777" w:rsidR="002A21AE" w:rsidRDefault="002A21AE">
            <w:pPr>
              <w:pStyle w:val="TableText"/>
            </w:pPr>
          </w:p>
        </w:tc>
      </w:tr>
    </w:tbl>
    <w:p w14:paraId="0B34162B" w14:textId="7D7D8158" w:rsidR="00DC6B68" w:rsidRDefault="00DC6B68" w:rsidP="00DC6B68">
      <w:pPr>
        <w:pStyle w:val="Caption"/>
      </w:pPr>
      <w:bookmarkStart w:id="249" w:name="_Ref126645045"/>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48</w:t>
      </w:r>
      <w:r w:rsidR="004E20BD">
        <w:rPr>
          <w:noProof/>
        </w:rPr>
        <w:fldChar w:fldCharType="end"/>
      </w:r>
      <w:bookmarkEnd w:id="249"/>
      <w:r>
        <w:t>: Process Incoming Shipment</w:t>
      </w:r>
    </w:p>
    <w:p w14:paraId="68431A2E" w14:textId="595301E0" w:rsidR="00DA7128" w:rsidRDefault="00756E5A" w:rsidP="00DA7128">
      <w:pPr>
        <w:pStyle w:val="BodyText"/>
      </w:pPr>
      <w:bookmarkStart w:id="250" w:name="_Outgoing_Shipment"/>
      <w:bookmarkStart w:id="251" w:name="_Toc63680359"/>
      <w:bookmarkEnd w:id="238"/>
      <w:bookmarkEnd w:id="250"/>
      <w:r>
        <w:rPr>
          <w:noProof/>
        </w:rPr>
        <w:drawing>
          <wp:inline distT="0" distB="0" distL="0" distR="0" wp14:anchorId="0DC9CABA" wp14:editId="2ED0BE9F">
            <wp:extent cx="5943600" cy="4079875"/>
            <wp:effectExtent l="0" t="0" r="0" b="0"/>
            <wp:docPr id="45" name="Picture 45" descr="Example of Process Incoming Ship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xample of Process Incoming Shipment screen captu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4079875"/>
                    </a:xfrm>
                    <a:prstGeom prst="rect">
                      <a:avLst/>
                    </a:prstGeom>
                    <a:noFill/>
                    <a:ln>
                      <a:noFill/>
                    </a:ln>
                  </pic:spPr>
                </pic:pic>
              </a:graphicData>
            </a:graphic>
          </wp:inline>
        </w:drawing>
      </w:r>
    </w:p>
    <w:p w14:paraId="3DB08C47" w14:textId="77777777" w:rsidR="001A459B" w:rsidRDefault="001A459B">
      <w:pPr>
        <w:rPr>
          <w:rFonts w:ascii="Arial" w:hAnsi="Arial"/>
          <w:b/>
          <w:sz w:val="22"/>
        </w:rPr>
      </w:pPr>
      <w:r>
        <w:br w:type="page"/>
      </w:r>
    </w:p>
    <w:p w14:paraId="71503724" w14:textId="44A30982" w:rsidR="002A21AE" w:rsidRPr="008A3222" w:rsidRDefault="002A21AE" w:rsidP="008A3222">
      <w:pPr>
        <w:pStyle w:val="Heading3"/>
      </w:pPr>
      <w:bookmarkStart w:id="252" w:name="_Toc163644908"/>
      <w:r>
        <w:lastRenderedPageBreak/>
        <w:t>Outgoing Shipment</w:t>
      </w:r>
      <w:bookmarkEnd w:id="251"/>
      <w:bookmarkEnd w:id="252"/>
      <w:r w:rsidRPr="008A3222">
        <w:rPr>
          <w:rFonts w:ascii="Arial Bold" w:hAnsi="Arial Bold"/>
          <w:vanish/>
        </w:rPr>
        <w:fldChar w:fldCharType="begin"/>
      </w:r>
      <w:r w:rsidRPr="008A3222">
        <w:rPr>
          <w:rFonts w:ascii="Arial Bold" w:hAnsi="Arial Bold"/>
          <w:vanish/>
        </w:rPr>
        <w:instrText xml:space="preserve"> XE </w:instrText>
      </w:r>
      <w:r w:rsidR="00FA7E65" w:rsidRPr="008A3222">
        <w:rPr>
          <w:rFonts w:ascii="Arial Bold" w:hAnsi="Arial Bold"/>
          <w:vanish/>
        </w:rPr>
        <w:instrText>“</w:instrText>
      </w:r>
      <w:r w:rsidRPr="008A3222">
        <w:rPr>
          <w:rFonts w:ascii="Arial Bold" w:hAnsi="Arial Bold"/>
          <w:vanish/>
        </w:rPr>
        <w:instrText>Outgoing Shipment</w:instrText>
      </w:r>
      <w:r w:rsidR="00FA7E65" w:rsidRPr="008A3222">
        <w:rPr>
          <w:rFonts w:ascii="Arial Bold" w:hAnsi="Arial Bold"/>
          <w:vanish/>
        </w:rPr>
        <w:instrText>”</w:instrText>
      </w:r>
      <w:r w:rsidRPr="008A3222">
        <w:rPr>
          <w:rFonts w:ascii="Arial Bold" w:hAnsi="Arial Bold"/>
          <w:vanish/>
        </w:rPr>
        <w:instrText xml:space="preserve"> </w:instrText>
      </w:r>
      <w:r w:rsidRPr="008A3222">
        <w:rPr>
          <w:rFonts w:ascii="Arial Bold" w:hAnsi="Arial Bold"/>
          <w:vanish/>
        </w:rPr>
        <w:fldChar w:fldCharType="end"/>
      </w:r>
      <w:r w:rsidRPr="008A3222">
        <w:rPr>
          <w:rFonts w:ascii="Arial Bold" w:hAnsi="Arial Bold"/>
          <w:vanish/>
        </w:rPr>
        <w:t xml:space="preserve"> UC_11</w:t>
      </w:r>
    </w:p>
    <w:p w14:paraId="2D605784" w14:textId="77777777" w:rsidR="002A21AE" w:rsidRDefault="002A21AE" w:rsidP="00FA7E65">
      <w:pPr>
        <w:pStyle w:val="BodyText"/>
      </w:pPr>
      <w:bookmarkStart w:id="253" w:name="_Toc49225137"/>
      <w:bookmarkStart w:id="254" w:name="_Toc49225235"/>
      <w:bookmarkStart w:id="255" w:name="_Toc75920287"/>
      <w:r>
        <w:t xml:space="preserve">The user processes and ships available blood units from his division to an outside facility, blood center, or hospital. </w:t>
      </w:r>
    </w:p>
    <w:p w14:paraId="640A2B1B" w14:textId="77777777" w:rsidR="002A21AE" w:rsidRDefault="002A21AE" w:rsidP="00FA7E65">
      <w:pPr>
        <w:pStyle w:val="BodyText"/>
      </w:pPr>
      <w:r>
        <w:t>The user may edit return credits (additional fees or credits may be issued from one site to another) before processing the shipment.</w:t>
      </w:r>
    </w:p>
    <w:p w14:paraId="7524A7F0" w14:textId="4D074FD4" w:rsidR="002A21AE" w:rsidRDefault="002A21AE" w:rsidP="00FA7E65">
      <w:pPr>
        <w:pStyle w:val="BodyText"/>
      </w:pPr>
      <w:r>
        <w:t>VBECS generates a shipping invoice.</w:t>
      </w:r>
    </w:p>
    <w:p w14:paraId="2C8E43EB" w14:textId="1376B1C0" w:rsidR="00991787" w:rsidRDefault="00991787" w:rsidP="00FA7E65">
      <w:pPr>
        <w:pStyle w:val="BodyText"/>
      </w:pPr>
      <w:r>
        <w:t>The user may enter a comment in the ‘Outgoing Shipment’ comment context. The comment will be displayed in the Unit History Report, Outgoing Shipmen</w:t>
      </w:r>
      <w:r w:rsidR="009F5B93">
        <w:t xml:space="preserve">t section. </w:t>
      </w:r>
      <w:r w:rsidR="009F5B93" w:rsidRPr="009F5B93">
        <w:rPr>
          <w:vanish/>
        </w:rPr>
        <w:t>BR_11.23</w:t>
      </w:r>
    </w:p>
    <w:p w14:paraId="1A4B8911" w14:textId="77777777" w:rsidR="002A21AE" w:rsidRDefault="002A21AE">
      <w:pPr>
        <w:pStyle w:val="Heading4"/>
      </w:pPr>
      <w:r>
        <w:t>Assumptions</w:t>
      </w:r>
    </w:p>
    <w:p w14:paraId="5ED613C9" w14:textId="77777777" w:rsidR="002A21AE" w:rsidRDefault="002A21AE">
      <w:pPr>
        <w:pStyle w:val="ListBullet"/>
      </w:pPr>
      <w:r>
        <w:t>Users are authorized to release units from inventory.</w:t>
      </w:r>
    </w:p>
    <w:p w14:paraId="55C1F237" w14:textId="77777777" w:rsidR="002A21AE" w:rsidRDefault="002A21AE">
      <w:pPr>
        <w:pStyle w:val="ListBullet"/>
      </w:pPr>
      <w:r>
        <w:t>Blood units being shipped:</w:t>
      </w:r>
    </w:p>
    <w:p w14:paraId="27DA13D3" w14:textId="77777777" w:rsidR="002A21AE" w:rsidRDefault="002A21AE" w:rsidP="00802EE9">
      <w:pPr>
        <w:pStyle w:val="ListBullet2"/>
        <w:tabs>
          <w:tab w:val="clear" w:pos="648"/>
        </w:tabs>
        <w:ind w:left="900" w:hanging="270"/>
      </w:pPr>
      <w:r>
        <w:t>Are available for scanning.</w:t>
      </w:r>
    </w:p>
    <w:p w14:paraId="74373C92" w14:textId="77777777" w:rsidR="002A21AE" w:rsidRDefault="002A21AE" w:rsidP="00802EE9">
      <w:pPr>
        <w:pStyle w:val="ListBullet2"/>
        <w:tabs>
          <w:tab w:val="clear" w:pos="648"/>
        </w:tabs>
        <w:ind w:left="900" w:hanging="270"/>
      </w:pPr>
      <w:r>
        <w:t>Are located in the user’s division.</w:t>
      </w:r>
    </w:p>
    <w:p w14:paraId="061BB2B7" w14:textId="77777777" w:rsidR="002A21AE" w:rsidRDefault="002A21AE">
      <w:pPr>
        <w:pStyle w:val="Heading4"/>
      </w:pPr>
      <w:r>
        <w:t>Outcome</w:t>
      </w:r>
    </w:p>
    <w:p w14:paraId="6FA3CBC0" w14:textId="213F30C0" w:rsidR="002A21AE" w:rsidRDefault="002A21AE">
      <w:pPr>
        <w:pStyle w:val="ListBullet"/>
      </w:pPr>
      <w:r>
        <w:t xml:space="preserve">An invoice for a </w:t>
      </w:r>
      <w:r w:rsidR="00F551B2">
        <w:t>confirmed</w:t>
      </w:r>
      <w:r>
        <w:t xml:space="preserve"> shipment is closed and may not be modified.</w:t>
      </w:r>
    </w:p>
    <w:p w14:paraId="79CC8A92" w14:textId="77777777" w:rsidR="002A21AE" w:rsidRDefault="002A21AE">
      <w:pPr>
        <w:pStyle w:val="ListBullet"/>
      </w:pPr>
      <w:r>
        <w:t>An invoice for a shipment that is not confirmed is open and may be edited.</w:t>
      </w:r>
    </w:p>
    <w:p w14:paraId="36ECECC4" w14:textId="77777777" w:rsidR="002A21AE" w:rsidRDefault="002A21AE">
      <w:pPr>
        <w:pStyle w:val="ListBullet"/>
      </w:pPr>
      <w:r>
        <w:t>The units are not available in the division’s inventory.</w:t>
      </w:r>
    </w:p>
    <w:p w14:paraId="3A43DA12" w14:textId="4ED6466A" w:rsidR="002A21AE" w:rsidRDefault="002A21AE">
      <w:pPr>
        <w:pStyle w:val="ListBullet"/>
      </w:pPr>
      <w:r>
        <w:t>When a unit is transferred</w:t>
      </w:r>
      <w:r w:rsidR="00F551B2">
        <w:t xml:space="preserve"> out of one division and logged in</w:t>
      </w:r>
      <w:r>
        <w:t xml:space="preserve">to another division in the database, VBECS </w:t>
      </w:r>
      <w:r w:rsidR="00A73EA2">
        <w:t xml:space="preserve">keeps </w:t>
      </w:r>
      <w:r>
        <w:t xml:space="preserve">the history of the unit </w:t>
      </w:r>
      <w:r w:rsidR="00A73EA2">
        <w:t xml:space="preserve">individually </w:t>
      </w:r>
      <w:r>
        <w:t>at both divisions.</w:t>
      </w:r>
    </w:p>
    <w:p w14:paraId="5811A739" w14:textId="77777777" w:rsidR="002A21AE" w:rsidRDefault="002A21AE">
      <w:pPr>
        <w:pStyle w:val="ListBullet"/>
      </w:pPr>
      <w:r>
        <w:t>A credit for a returned product may be assigned.</w:t>
      </w:r>
    </w:p>
    <w:p w14:paraId="384928DF" w14:textId="77777777" w:rsidR="002A21AE" w:rsidRDefault="002A21AE">
      <w:pPr>
        <w:pStyle w:val="Heading4"/>
      </w:pPr>
      <w:r>
        <w:t>Limitations and Restrictions</w:t>
      </w:r>
    </w:p>
    <w:p w14:paraId="69B1D3D1" w14:textId="77777777" w:rsidR="002A21AE" w:rsidRDefault="002A21AE">
      <w:pPr>
        <w:pStyle w:val="ListBullet"/>
      </w:pPr>
      <w:r>
        <w:t>A user may edit only unconfirmed invoices.</w:t>
      </w:r>
    </w:p>
    <w:p w14:paraId="6617ECD6" w14:textId="2F0B08E4" w:rsidR="007F1742" w:rsidRDefault="007F1742">
      <w:pPr>
        <w:pStyle w:val="ListBullet"/>
      </w:pPr>
      <w:bookmarkStart w:id="256" w:name="OLE_LINK25"/>
      <w:bookmarkStart w:id="257" w:name="OLE_LINK26"/>
      <w:r>
        <w:t xml:space="preserve">The </w:t>
      </w:r>
      <w:r w:rsidR="00313B75">
        <w:t>unit testing data</w:t>
      </w:r>
      <w:r>
        <w:t xml:space="preserve"> </w:t>
      </w:r>
      <w:r w:rsidRPr="007F1742">
        <w:t xml:space="preserve">displayed on </w:t>
      </w:r>
      <w:r>
        <w:t>an</w:t>
      </w:r>
      <w:r w:rsidRPr="007F1742">
        <w:t xml:space="preserve"> invoice is limited to 8</w:t>
      </w:r>
      <w:r>
        <w:t>,000 characters</w:t>
      </w:r>
      <w:r w:rsidR="0083592C">
        <w:t xml:space="preserve"> per unit</w:t>
      </w:r>
      <w:r>
        <w:t>.</w:t>
      </w:r>
    </w:p>
    <w:bookmarkEnd w:id="256"/>
    <w:bookmarkEnd w:id="257"/>
    <w:p w14:paraId="1117AEB8" w14:textId="77777777" w:rsidR="002A21AE" w:rsidRDefault="002A21AE">
      <w:pPr>
        <w:pStyle w:val="Heading4"/>
      </w:pPr>
      <w:r>
        <w:t>Additional Information</w:t>
      </w:r>
    </w:p>
    <w:p w14:paraId="54967FFD" w14:textId="77777777" w:rsidR="002A21AE" w:rsidRDefault="002A21AE">
      <w:pPr>
        <w:pStyle w:val="ListBullet"/>
      </w:pPr>
      <w:r>
        <w:t>None</w:t>
      </w:r>
    </w:p>
    <w:p w14:paraId="2CB90120" w14:textId="77777777" w:rsidR="002A21AE" w:rsidRDefault="002A21AE">
      <w:pPr>
        <w:pStyle w:val="Heading4"/>
      </w:pPr>
      <w:r>
        <w:t>User Roles with Access to This Option</w:t>
      </w:r>
    </w:p>
    <w:p w14:paraId="506CF7E6" w14:textId="77777777" w:rsidR="002A21AE" w:rsidRDefault="00873EEB">
      <w:pPr>
        <w:pStyle w:val="Roles"/>
        <w:rPr>
          <w:snapToGrid w:val="0"/>
        </w:rPr>
      </w:pPr>
      <w:r>
        <w:t>All users</w:t>
      </w:r>
    </w:p>
    <w:bookmarkEnd w:id="253"/>
    <w:bookmarkEnd w:id="254"/>
    <w:bookmarkEnd w:id="255"/>
    <w:p w14:paraId="7F6F1322" w14:textId="77777777" w:rsidR="002A21AE" w:rsidRDefault="00057948">
      <w:pPr>
        <w:pStyle w:val="Heading4"/>
      </w:pPr>
      <w:r>
        <w:rPr>
          <w:noProof/>
        </w:rPr>
        <w:drawing>
          <wp:inline distT="0" distB="0" distL="0" distR="0" wp14:anchorId="6187B61B" wp14:editId="644C8A50">
            <wp:extent cx="156845" cy="156845"/>
            <wp:effectExtent l="0" t="0" r="0" b="0"/>
            <wp:docPr id="152" name="Picture 152" descr="Incoming Shi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Incoming Shipment ic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Outgoing Shipment </w:t>
      </w:r>
    </w:p>
    <w:p w14:paraId="633E04B9" w14:textId="77777777" w:rsidR="002A21AE" w:rsidRDefault="002A21AE" w:rsidP="00FA7E65">
      <w:pPr>
        <w:pStyle w:val="BodyText"/>
      </w:pPr>
      <w:r>
        <w:t xml:space="preserve">A user ships blood units from his division’s inventory to a facility that is not a transfusion location of his division. These units were removed from inventory and are available for scanning and packaging. </w:t>
      </w:r>
    </w:p>
    <w:p w14:paraId="5D481355" w14:textId="088965C8" w:rsidR="002A21AE" w:rsidRDefault="002A21AE" w:rsidP="00FA7E65">
      <w:pPr>
        <w:pStyle w:val="BodyText"/>
      </w:pPr>
      <w:r>
        <w:t xml:space="preserve">The user identifies the shipment destination, scans the unit ID and product code for the first unit in the shipment, and repeats this process for each unit added to the shipment. The user completes the data entry and then reviews and accepts the shipment information. </w:t>
      </w:r>
      <w:r w:rsidR="00DA0D7E">
        <w:t xml:space="preserve">A user may edit return credits (additional fees or credits may be issued from one site to another) before confirming the shipment. </w:t>
      </w:r>
      <w:r>
        <w:t>When the shipment is confirmed, the user may print a shipping invoice.</w:t>
      </w:r>
    </w:p>
    <w:p w14:paraId="63A5C75D" w14:textId="50A22F75" w:rsidR="002A21AE" w:rsidRDefault="002A21AE" w:rsidP="00FA7E65">
      <w:pPr>
        <w:pStyle w:val="BodyText"/>
      </w:pPr>
      <w:r>
        <w:t>VBECS generates an invoice that includes information for the blood units.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E227C5" w14:textId="77777777">
        <w:trPr>
          <w:tblHeader/>
        </w:trPr>
        <w:tc>
          <w:tcPr>
            <w:tcW w:w="3240" w:type="dxa"/>
            <w:shd w:val="pct30" w:color="auto" w:fill="FFFFFF"/>
            <w:vAlign w:val="bottom"/>
          </w:tcPr>
          <w:p w14:paraId="69DE2016" w14:textId="77777777" w:rsidR="002A21AE" w:rsidRDefault="002A21AE">
            <w:pPr>
              <w:pStyle w:val="TableText"/>
              <w:rPr>
                <w:b/>
              </w:rPr>
            </w:pPr>
            <w:r>
              <w:rPr>
                <w:b/>
              </w:rPr>
              <w:lastRenderedPageBreak/>
              <w:t>User Action</w:t>
            </w:r>
          </w:p>
        </w:tc>
        <w:tc>
          <w:tcPr>
            <w:tcW w:w="6120" w:type="dxa"/>
            <w:shd w:val="pct30" w:color="auto" w:fill="FFFFFF"/>
            <w:vAlign w:val="bottom"/>
          </w:tcPr>
          <w:p w14:paraId="0981DC03" w14:textId="77777777" w:rsidR="002A21AE" w:rsidRDefault="002A21AE">
            <w:pPr>
              <w:pStyle w:val="TableText"/>
              <w:rPr>
                <w:b/>
              </w:rPr>
            </w:pPr>
            <w:r>
              <w:rPr>
                <w:b/>
              </w:rPr>
              <w:t>VBECS</w:t>
            </w:r>
          </w:p>
        </w:tc>
      </w:tr>
      <w:tr w:rsidR="002A21AE" w14:paraId="7F42141D" w14:textId="77777777">
        <w:tc>
          <w:tcPr>
            <w:tcW w:w="3240" w:type="dxa"/>
          </w:tcPr>
          <w:p w14:paraId="601C91BF" w14:textId="77777777" w:rsidR="002A21AE" w:rsidRDefault="002A21AE">
            <w:pPr>
              <w:pStyle w:val="TableTextNumbers"/>
            </w:pPr>
            <w:r>
              <w:t xml:space="preserve">Select </w:t>
            </w:r>
            <w:r>
              <w:rPr>
                <w:b/>
              </w:rPr>
              <w:t>Shipments</w:t>
            </w:r>
            <w:r>
              <w:t xml:space="preserve"> from the main menu.</w:t>
            </w:r>
          </w:p>
          <w:p w14:paraId="43103CC7" w14:textId="77777777" w:rsidR="002A21AE" w:rsidRDefault="002A21AE">
            <w:pPr>
              <w:pStyle w:val="TableTextNumbersContinued"/>
              <w:rPr>
                <w:b/>
                <w:bCs/>
              </w:rPr>
            </w:pPr>
          </w:p>
          <w:p w14:paraId="60F889D0" w14:textId="77777777" w:rsidR="002A21AE" w:rsidRDefault="002A21AE">
            <w:pPr>
              <w:pStyle w:val="TableTextNumbersContinued"/>
              <w:rPr>
                <w:b/>
                <w:bCs/>
              </w:rPr>
            </w:pPr>
            <w:r>
              <w:rPr>
                <w:b/>
                <w:bCs/>
              </w:rPr>
              <w:t>Select Outgoing Shipment.</w:t>
            </w:r>
          </w:p>
        </w:tc>
        <w:tc>
          <w:tcPr>
            <w:tcW w:w="6120" w:type="dxa"/>
          </w:tcPr>
          <w:p w14:paraId="39CBE381" w14:textId="77777777" w:rsidR="002A21AE" w:rsidRDefault="002A21AE">
            <w:pPr>
              <w:pStyle w:val="TableTextBullet"/>
            </w:pPr>
            <w:r>
              <w:t xml:space="preserve">Displays options for processing shipments. </w:t>
            </w:r>
          </w:p>
          <w:p w14:paraId="5DE397C4" w14:textId="77777777" w:rsidR="002A21AE" w:rsidRDefault="002A21AE">
            <w:pPr>
              <w:pStyle w:val="TableTextBullet"/>
            </w:pPr>
            <w:r>
              <w:t>Displays options for selecting a new invoice or an existing (recent) invoice.</w:t>
            </w:r>
          </w:p>
        </w:tc>
      </w:tr>
      <w:tr w:rsidR="002A21AE" w14:paraId="49CCD582" w14:textId="77777777">
        <w:tc>
          <w:tcPr>
            <w:tcW w:w="3240" w:type="dxa"/>
          </w:tcPr>
          <w:p w14:paraId="250A9B8A" w14:textId="77777777" w:rsidR="002A21AE" w:rsidRDefault="002A21AE">
            <w:pPr>
              <w:pStyle w:val="TableTextNumbers"/>
            </w:pPr>
            <w:r>
              <w:t xml:space="preserve">To process a new invoice, select </w:t>
            </w:r>
            <w:r>
              <w:rPr>
                <w:b/>
              </w:rPr>
              <w:t>New Invoice</w:t>
            </w:r>
            <w:r>
              <w:t xml:space="preserve">. (To process an existing invoice, </w:t>
            </w:r>
            <w:r w:rsidR="0059575A">
              <w:t>continue at</w:t>
            </w:r>
            <w:r>
              <w:t xml:space="preserve"> Step </w:t>
            </w:r>
            <w:r w:rsidR="007E11BF">
              <w:t>3</w:t>
            </w:r>
            <w:r>
              <w:t>.)</w:t>
            </w:r>
          </w:p>
          <w:p w14:paraId="22FDD27A" w14:textId="77777777" w:rsidR="002A21AE" w:rsidRDefault="002A21AE">
            <w:pPr>
              <w:pStyle w:val="TableTextNumbersContinued"/>
            </w:pPr>
          </w:p>
          <w:p w14:paraId="7E8067E3" w14:textId="77777777" w:rsidR="002A21AE" w:rsidRDefault="002A21AE">
            <w:pPr>
              <w:pStyle w:val="TableTextNumbersContinued"/>
            </w:pPr>
            <w:r>
              <w:t>Enter the invoice number provided by the outside facility or leave the Invoice Number field blank.</w:t>
            </w:r>
          </w:p>
          <w:p w14:paraId="1F1E59F1" w14:textId="77777777" w:rsidR="002A21AE" w:rsidRDefault="002A21AE">
            <w:pPr>
              <w:pStyle w:val="TableTextNumbersContinued"/>
            </w:pPr>
          </w:p>
          <w:p w14:paraId="6A6D2A5F" w14:textId="77777777" w:rsidR="002A21AE" w:rsidRDefault="002A21AE">
            <w:pPr>
              <w:pStyle w:val="TableTextNumbersContinued"/>
            </w:pPr>
            <w:r>
              <w:t>Select a shipment destination from the drop-down list.</w:t>
            </w:r>
          </w:p>
          <w:p w14:paraId="78FF64B6" w14:textId="77777777" w:rsidR="002A21AE" w:rsidRDefault="002A21AE">
            <w:pPr>
              <w:pStyle w:val="TableTextNumbersContinued"/>
            </w:pPr>
          </w:p>
          <w:p w14:paraId="78C79106" w14:textId="5CC4E433" w:rsidR="002A21AE" w:rsidRDefault="007E11BF">
            <w:pPr>
              <w:pStyle w:val="TableTextNumbersContinued"/>
            </w:pPr>
            <w:r>
              <w:t xml:space="preserve">Click the </w:t>
            </w:r>
            <w:r w:rsidRPr="007E11BF">
              <w:rPr>
                <w:b/>
              </w:rPr>
              <w:t>Return to Shipper</w:t>
            </w:r>
            <w:r>
              <w:t xml:space="preserve"> or </w:t>
            </w:r>
            <w:r w:rsidRPr="007E11BF">
              <w:rPr>
                <w:b/>
              </w:rPr>
              <w:t xml:space="preserve">Send to Unrelated Shipper </w:t>
            </w:r>
            <w:r w:rsidRPr="00BF2E41">
              <w:t>radio button</w:t>
            </w:r>
            <w:r>
              <w:t xml:space="preserve"> to select a shipment type</w:t>
            </w:r>
            <w:r w:rsidR="00D039A6">
              <w:t xml:space="preserve"> (</w:t>
            </w:r>
            <w:r w:rsidR="00EE455E">
              <w:t xml:space="preserve">Figure </w:t>
            </w:r>
            <w:r w:rsidR="00EE455E">
              <w:rPr>
                <w:noProof/>
              </w:rPr>
              <w:t>48</w:t>
            </w:r>
            <w:r w:rsidR="00D039A6">
              <w:t>)</w:t>
            </w:r>
            <w:r>
              <w:t>.</w:t>
            </w:r>
          </w:p>
          <w:p w14:paraId="1B139D93" w14:textId="77777777" w:rsidR="002A21AE" w:rsidRDefault="002A21AE">
            <w:pPr>
              <w:pStyle w:val="TableTextNumbersContinued"/>
            </w:pPr>
          </w:p>
          <w:p w14:paraId="5A90D6C2" w14:textId="77777777" w:rsidR="002A21AE" w:rsidRDefault="002A21AE">
            <w:pPr>
              <w:pStyle w:val="TableTextNumbersContinued"/>
            </w:pPr>
            <w:r>
              <w:t>Continue at Step 4.</w:t>
            </w:r>
          </w:p>
        </w:tc>
        <w:tc>
          <w:tcPr>
            <w:tcW w:w="6120" w:type="dxa"/>
          </w:tcPr>
          <w:p w14:paraId="018BBFD3" w14:textId="77777777" w:rsidR="002A21AE" w:rsidRDefault="002A21AE">
            <w:pPr>
              <w:pStyle w:val="TableTextBullet"/>
            </w:pPr>
            <w:r>
              <w:t>Displays fields for entering shipment information.</w:t>
            </w:r>
          </w:p>
          <w:p w14:paraId="694AB1FB" w14:textId="77777777" w:rsidR="002A21AE" w:rsidRDefault="002A21AE">
            <w:pPr>
              <w:pStyle w:val="TableTextBullet"/>
            </w:pPr>
            <w:r>
              <w:t>Generates an invoice number when the Invoice Number field is blank.</w:t>
            </w:r>
          </w:p>
          <w:p w14:paraId="719ACA17" w14:textId="77777777" w:rsidR="002A21AE" w:rsidRDefault="002A21AE">
            <w:pPr>
              <w:pStyle w:val="TableText"/>
            </w:pPr>
          </w:p>
          <w:p w14:paraId="5A47CCD7" w14:textId="7CE84AAF" w:rsidR="002A21AE" w:rsidRDefault="002A21AE">
            <w:pPr>
              <w:pStyle w:val="TableText"/>
              <w:rPr>
                <w:b/>
                <w:bCs/>
                <w:szCs w:val="18"/>
              </w:rPr>
            </w:pPr>
            <w:r>
              <w:rPr>
                <w:b/>
                <w:bCs/>
                <w:szCs w:val="18"/>
              </w:rPr>
              <w:t>NOTES</w:t>
            </w:r>
          </w:p>
          <w:p w14:paraId="0F8A30F2" w14:textId="77777777" w:rsidR="002A21AE" w:rsidRDefault="002A21AE">
            <w:pPr>
              <w:pStyle w:val="NotesText"/>
            </w:pPr>
          </w:p>
          <w:p w14:paraId="4384696A" w14:textId="77777777" w:rsidR="002A21AE" w:rsidRDefault="002A21AE">
            <w:pPr>
              <w:pStyle w:val="NotesText"/>
            </w:pPr>
            <w:r>
              <w:t xml:space="preserve">To select an existing invoice while in the new invoice window, click </w:t>
            </w:r>
            <w:r>
              <w:rPr>
                <w:b/>
              </w:rPr>
              <w:t>Use Existing Invoice</w:t>
            </w:r>
            <w:r>
              <w:t>.</w:t>
            </w:r>
          </w:p>
        </w:tc>
      </w:tr>
      <w:tr w:rsidR="002A21AE" w14:paraId="62FD769F" w14:textId="77777777">
        <w:tc>
          <w:tcPr>
            <w:tcW w:w="3240" w:type="dxa"/>
          </w:tcPr>
          <w:p w14:paraId="5227B970" w14:textId="77777777" w:rsidR="002A21AE" w:rsidRDefault="002A21AE">
            <w:pPr>
              <w:pStyle w:val="TableTextNumbers"/>
            </w:pPr>
            <w:r>
              <w:t xml:space="preserve">To process an existing invoice, select </w:t>
            </w:r>
            <w:r>
              <w:rPr>
                <w:b/>
              </w:rPr>
              <w:t>Recent Invoice</w:t>
            </w:r>
            <w:r>
              <w:t xml:space="preserve"> from the Outgoing Shipment menu. </w:t>
            </w:r>
          </w:p>
          <w:p w14:paraId="5901D607" w14:textId="77777777" w:rsidR="002A21AE" w:rsidRDefault="002A21AE">
            <w:pPr>
              <w:pStyle w:val="TableTextNumbersContinued"/>
            </w:pPr>
          </w:p>
          <w:p w14:paraId="367CAA4D" w14:textId="77777777" w:rsidR="002A21AE" w:rsidRDefault="002A21AE">
            <w:pPr>
              <w:pStyle w:val="TableTextNumbersContinued"/>
            </w:pPr>
            <w:r>
              <w:t>Select an invoice.</w:t>
            </w:r>
          </w:p>
        </w:tc>
        <w:tc>
          <w:tcPr>
            <w:tcW w:w="6120" w:type="dxa"/>
          </w:tcPr>
          <w:p w14:paraId="679E2B0E" w14:textId="77777777" w:rsidR="002A21AE" w:rsidRDefault="002A21AE">
            <w:pPr>
              <w:pStyle w:val="TableTextBullet"/>
            </w:pPr>
            <w:r>
              <w:t>Displays a list of open (unconfirmed) invoices.</w:t>
            </w:r>
          </w:p>
          <w:p w14:paraId="39E6A52F" w14:textId="77777777" w:rsidR="002A21AE" w:rsidRDefault="002A21AE">
            <w:pPr>
              <w:pStyle w:val="TableText"/>
            </w:pPr>
          </w:p>
          <w:p w14:paraId="605BC188" w14:textId="7686187A" w:rsidR="002A21AE" w:rsidRDefault="002A21AE">
            <w:pPr>
              <w:pStyle w:val="TableText"/>
              <w:rPr>
                <w:b/>
                <w:bCs/>
                <w:szCs w:val="18"/>
              </w:rPr>
            </w:pPr>
            <w:r>
              <w:rPr>
                <w:b/>
                <w:bCs/>
                <w:szCs w:val="18"/>
              </w:rPr>
              <w:t>NOTES</w:t>
            </w:r>
          </w:p>
          <w:p w14:paraId="3B1C66DB" w14:textId="77777777" w:rsidR="002A21AE" w:rsidRDefault="002A21AE">
            <w:pPr>
              <w:pStyle w:val="NotesText"/>
            </w:pPr>
          </w:p>
          <w:p w14:paraId="4BA2C157" w14:textId="77777777" w:rsidR="002A21AE" w:rsidRDefault="002A21AE">
            <w:pPr>
              <w:pStyle w:val="NotesText"/>
            </w:pPr>
            <w:r>
              <w:t xml:space="preserve">To select a new invoice while in the existing invoice window, click </w:t>
            </w:r>
            <w:r>
              <w:rPr>
                <w:b/>
              </w:rPr>
              <w:t>Create New Invoice</w:t>
            </w:r>
            <w:r>
              <w:t>.</w:t>
            </w:r>
          </w:p>
          <w:p w14:paraId="3DE00205" w14:textId="77777777" w:rsidR="002A21AE" w:rsidRDefault="002A21AE">
            <w:pPr>
              <w:pStyle w:val="NotesText"/>
            </w:pPr>
          </w:p>
          <w:p w14:paraId="55EF9394" w14:textId="24049D37" w:rsidR="002A21AE" w:rsidRDefault="002A21AE" w:rsidP="00A7524F">
            <w:pPr>
              <w:pStyle w:val="NotesText"/>
            </w:pPr>
            <w:r>
              <w:rPr>
                <w:rFonts w:cs="Arial"/>
                <w:vanish/>
              </w:rPr>
              <w:t xml:space="preserve">BR_11.20 </w:t>
            </w:r>
            <w:r>
              <w:t xml:space="preserve">A user may edit only saved, </w:t>
            </w:r>
            <w:r w:rsidR="00051401">
              <w:t>unconfirmed</w:t>
            </w:r>
            <w:r>
              <w:t xml:space="preserve"> invoices.</w:t>
            </w:r>
          </w:p>
        </w:tc>
      </w:tr>
      <w:tr w:rsidR="002A21AE" w14:paraId="12300254" w14:textId="77777777">
        <w:tc>
          <w:tcPr>
            <w:tcW w:w="3240" w:type="dxa"/>
          </w:tcPr>
          <w:p w14:paraId="30BC9425" w14:textId="61077144" w:rsidR="002A21AE" w:rsidRDefault="002A21AE">
            <w:pPr>
              <w:pStyle w:val="TableTextNumbers"/>
            </w:pPr>
            <w:r>
              <w:t xml:space="preserve">Click </w:t>
            </w:r>
            <w:r>
              <w:rPr>
                <w:b/>
              </w:rPr>
              <w:t>OK</w:t>
            </w:r>
            <w:r>
              <w:t xml:space="preserve"> to</w:t>
            </w:r>
            <w:r w:rsidR="00A7524F">
              <w:t xml:space="preserve"> proceed to unit selection</w:t>
            </w:r>
            <w:r w:rsidR="0023533F">
              <w:t xml:space="preserve"> (</w:t>
            </w:r>
            <w:r w:rsidR="00EE455E">
              <w:t xml:space="preserve">Figure </w:t>
            </w:r>
            <w:r w:rsidR="00EE455E">
              <w:rPr>
                <w:noProof/>
              </w:rPr>
              <w:t>48</w:t>
            </w:r>
            <w:r w:rsidR="0023533F">
              <w:t>)</w:t>
            </w:r>
            <w:r>
              <w:t>.</w:t>
            </w:r>
          </w:p>
        </w:tc>
        <w:tc>
          <w:tcPr>
            <w:tcW w:w="6120" w:type="dxa"/>
          </w:tcPr>
          <w:p w14:paraId="4D8C15E0" w14:textId="77777777" w:rsidR="002A21AE" w:rsidRDefault="002A21AE">
            <w:pPr>
              <w:pStyle w:val="TableTextBullet"/>
            </w:pPr>
            <w:r>
              <w:t>Displays fields for entering unit information.</w:t>
            </w:r>
          </w:p>
        </w:tc>
      </w:tr>
      <w:tr w:rsidR="002A21AE" w14:paraId="2BB5319A" w14:textId="77777777" w:rsidTr="001A459B">
        <w:trPr>
          <w:cantSplit/>
        </w:trPr>
        <w:tc>
          <w:tcPr>
            <w:tcW w:w="3240" w:type="dxa"/>
          </w:tcPr>
          <w:p w14:paraId="4198A91D" w14:textId="77777777" w:rsidR="00F35773" w:rsidRDefault="002A21AE" w:rsidP="00F35773">
            <w:pPr>
              <w:pStyle w:val="TableTextNumbers"/>
            </w:pPr>
            <w:r>
              <w:lastRenderedPageBreak/>
              <w:t>For each unit to be added to the shipping invoice, scan the unit ID and product barcodes or enter them in</w:t>
            </w:r>
            <w:r w:rsidR="007D28E0">
              <w:t xml:space="preserve"> the Unit ID and Product fields.</w:t>
            </w:r>
          </w:p>
          <w:p w14:paraId="4C39BA98" w14:textId="77777777" w:rsidR="00D14968" w:rsidRDefault="00D14968" w:rsidP="00D14968">
            <w:pPr>
              <w:pStyle w:val="TableTextNumbers"/>
              <w:numPr>
                <w:ilvl w:val="0"/>
                <w:numId w:val="0"/>
              </w:numPr>
              <w:ind w:left="288" w:hanging="288"/>
            </w:pPr>
          </w:p>
          <w:p w14:paraId="06DBCDDB" w14:textId="3F24914F" w:rsidR="00D14968" w:rsidRDefault="00D14968" w:rsidP="00127DFF">
            <w:pPr>
              <w:pStyle w:val="TableTextNumbersContinued"/>
            </w:pPr>
            <w:r>
              <w:t>Clic</w:t>
            </w:r>
            <w:r w:rsidRPr="00127DFF">
              <w:t xml:space="preserve">k </w:t>
            </w:r>
            <w:r w:rsidRPr="008D1739">
              <w:rPr>
                <w:b/>
                <w:bCs/>
              </w:rPr>
              <w:t>Select</w:t>
            </w:r>
            <w:r w:rsidRPr="00127DFF">
              <w:t xml:space="preserve"> to add the entered unit t</w:t>
            </w:r>
            <w:r>
              <w:t xml:space="preserve">o the shipping invoice or click </w:t>
            </w:r>
            <w:r w:rsidRPr="008D1739">
              <w:rPr>
                <w:b/>
                <w:bCs/>
              </w:rPr>
              <w:t>Clear</w:t>
            </w:r>
            <w:r>
              <w:t xml:space="preserve"> to remove the entered unit (</w:t>
            </w:r>
            <w:r w:rsidR="00EE455E">
              <w:t>Figure 49</w:t>
            </w:r>
            <w:r>
              <w:t>).</w:t>
            </w:r>
          </w:p>
          <w:p w14:paraId="561D80A3" w14:textId="77777777" w:rsidR="00D14968" w:rsidRDefault="00D14968" w:rsidP="00D14968">
            <w:pPr>
              <w:pStyle w:val="TableTextNumbers"/>
              <w:numPr>
                <w:ilvl w:val="0"/>
                <w:numId w:val="0"/>
              </w:numPr>
              <w:ind w:left="288" w:hanging="288"/>
            </w:pPr>
          </w:p>
          <w:p w14:paraId="2CA415E9" w14:textId="45173BC7" w:rsidR="00D14968" w:rsidRDefault="00D14968" w:rsidP="00127DFF">
            <w:pPr>
              <w:pStyle w:val="TableTextNumbersContinued"/>
            </w:pPr>
            <w:r>
              <w:t>Respond to warnings, when indicated.</w:t>
            </w:r>
          </w:p>
        </w:tc>
        <w:tc>
          <w:tcPr>
            <w:tcW w:w="6120" w:type="dxa"/>
          </w:tcPr>
          <w:p w14:paraId="2DE95BE5" w14:textId="3CF880B4" w:rsidR="002A21AE" w:rsidRDefault="002A21AE">
            <w:pPr>
              <w:pStyle w:val="TableTextBullet"/>
            </w:pPr>
            <w:r>
              <w:t>Displays corresponding unit data.</w:t>
            </w:r>
          </w:p>
          <w:p w14:paraId="246E418C" w14:textId="0130F726" w:rsidR="00051401" w:rsidRDefault="00051401">
            <w:pPr>
              <w:pStyle w:val="TableTextBullet"/>
            </w:pPr>
            <w:r>
              <w:t>Adds the unit to the list of selected units.</w:t>
            </w:r>
          </w:p>
          <w:p w14:paraId="6C772845" w14:textId="77777777" w:rsidR="002A21AE" w:rsidRDefault="002A21AE">
            <w:pPr>
              <w:pStyle w:val="TableText"/>
            </w:pPr>
          </w:p>
          <w:p w14:paraId="3250D53B" w14:textId="1165F8BC" w:rsidR="002A21AE" w:rsidRDefault="002A21AE">
            <w:pPr>
              <w:pStyle w:val="TableText"/>
              <w:rPr>
                <w:b/>
                <w:bCs/>
                <w:szCs w:val="18"/>
              </w:rPr>
            </w:pPr>
            <w:r>
              <w:rPr>
                <w:b/>
                <w:bCs/>
                <w:szCs w:val="18"/>
              </w:rPr>
              <w:t>NOTES</w:t>
            </w:r>
          </w:p>
          <w:p w14:paraId="6210FD24" w14:textId="77777777" w:rsidR="002A21AE" w:rsidRDefault="002A21AE">
            <w:pPr>
              <w:pStyle w:val="NotesText"/>
            </w:pPr>
          </w:p>
          <w:p w14:paraId="218953F0" w14:textId="08EC6D84" w:rsidR="002A21AE" w:rsidRDefault="002A21AE">
            <w:pPr>
              <w:pStyle w:val="NotesText"/>
            </w:pPr>
            <w:r>
              <w:rPr>
                <w:rFonts w:cs="Arial"/>
                <w:vanish/>
              </w:rPr>
              <w:t xml:space="preserve">BR_11.03 </w:t>
            </w:r>
            <w:r>
              <w:t>VBECS allows the shipment or transfer of units located only in the same division as the user and in the blood bank (for “Limited,” “Available,” “Assigned,” and “Crossmatched” unit statuses only).</w:t>
            </w:r>
          </w:p>
          <w:p w14:paraId="71320BBC" w14:textId="27F920A3" w:rsidR="00127DFF" w:rsidRDefault="00127DFF">
            <w:pPr>
              <w:pStyle w:val="NotesText"/>
            </w:pPr>
          </w:p>
          <w:p w14:paraId="1B65D214" w14:textId="20DA7B7C" w:rsidR="00127DFF" w:rsidRDefault="00127DFF" w:rsidP="00127DFF">
            <w:pPr>
              <w:pStyle w:val="NotesText"/>
            </w:pPr>
            <w:r>
              <w:rPr>
                <w:rFonts w:cs="Arial"/>
                <w:vanish/>
              </w:rPr>
              <w:t xml:space="preserve">BR_11.15 </w:t>
            </w:r>
            <w:r>
              <w:t xml:space="preserve">When a unit is quarantined, VBECS </w:t>
            </w:r>
            <w:r>
              <w:rPr>
                <w:noProof/>
              </w:rPr>
              <w:t>warns the user.</w:t>
            </w:r>
            <w:r>
              <w:t xml:space="preserve"> </w:t>
            </w:r>
          </w:p>
          <w:p w14:paraId="4C00AD06" w14:textId="50FA99EB" w:rsidR="00127DFF" w:rsidRDefault="00127DFF">
            <w:pPr>
              <w:pStyle w:val="NotesText"/>
            </w:pPr>
          </w:p>
          <w:p w14:paraId="5A4E6B3D" w14:textId="77777777" w:rsidR="002A21AE" w:rsidRDefault="002A21AE">
            <w:pPr>
              <w:pStyle w:val="NotesText"/>
            </w:pPr>
            <w:r>
              <w:rPr>
                <w:rFonts w:cs="Arial"/>
                <w:vanish/>
              </w:rPr>
              <w:t xml:space="preserve">BR_11.12 </w:t>
            </w:r>
            <w:r>
              <w:t>When a unit is expired, VBECS warns the user.</w:t>
            </w:r>
          </w:p>
          <w:p w14:paraId="0D74DE34" w14:textId="77777777" w:rsidR="002A21AE" w:rsidRDefault="002A21AE">
            <w:pPr>
              <w:pStyle w:val="NotesText"/>
            </w:pPr>
          </w:p>
          <w:p w14:paraId="577D189A" w14:textId="77777777" w:rsidR="002A21AE" w:rsidRDefault="002A21AE">
            <w:pPr>
              <w:pStyle w:val="NotesText"/>
            </w:pPr>
            <w:r>
              <w:rPr>
                <w:rFonts w:cs="Arial"/>
                <w:vanish/>
              </w:rPr>
              <w:t xml:space="preserve">BR_11.05 </w:t>
            </w:r>
            <w:r>
              <w:t xml:space="preserve">When units selected for shipment are assigned </w:t>
            </w:r>
            <w:r w:rsidR="0009383F">
              <w:t xml:space="preserve">or crossmatched </w:t>
            </w:r>
            <w:r>
              <w:t xml:space="preserve">to a patient, VBECS warns the user and asks the user whether to release the unit before shipping. </w:t>
            </w:r>
          </w:p>
          <w:p w14:paraId="7525B01F" w14:textId="77777777" w:rsidR="002A21AE" w:rsidRDefault="002A21AE">
            <w:pPr>
              <w:pStyle w:val="NotesText"/>
            </w:pPr>
          </w:p>
          <w:p w14:paraId="07E71E47" w14:textId="77777777" w:rsidR="00D31A97" w:rsidRDefault="0009383F" w:rsidP="00D31A97">
            <w:pPr>
              <w:pStyle w:val="NotesText"/>
            </w:pPr>
            <w:r>
              <w:rPr>
                <w:b/>
              </w:rPr>
              <w:t>Yes</w:t>
            </w:r>
            <w:r>
              <w:t xml:space="preserve"> releases all patient assignments from the unit </w:t>
            </w:r>
            <w:r w:rsidRPr="00203AFF">
              <w:t>prior to adding the unit to the invoic</w:t>
            </w:r>
            <w:r w:rsidR="00F35773">
              <w:t>e</w:t>
            </w:r>
            <w:r>
              <w:t>.</w:t>
            </w:r>
          </w:p>
          <w:p w14:paraId="1F85E3D9" w14:textId="77777777" w:rsidR="00127DFF" w:rsidRDefault="00127DFF" w:rsidP="00D31A97">
            <w:pPr>
              <w:pStyle w:val="NotesText"/>
            </w:pPr>
          </w:p>
          <w:p w14:paraId="73B4EE7E" w14:textId="5AB4C73C" w:rsidR="00127DFF" w:rsidRDefault="007C5E77" w:rsidP="00D31A97">
            <w:pPr>
              <w:pStyle w:val="NotesText"/>
            </w:pPr>
            <w:r>
              <w:rPr>
                <w:rFonts w:cs="Arial"/>
                <w:vanish/>
              </w:rPr>
              <w:t xml:space="preserve">BR_11.24 </w:t>
            </w:r>
            <w:r w:rsidR="00127DFF">
              <w:t>The confirmation message displays: “Are you sure you want to add this unit? By clicking Yes, you acknowledge that you have inspected this unit and it is satisfactory.”</w:t>
            </w:r>
          </w:p>
          <w:p w14:paraId="2FF4C35D" w14:textId="77777777" w:rsidR="00127DFF" w:rsidRDefault="00127DFF" w:rsidP="00D31A97">
            <w:pPr>
              <w:pStyle w:val="NotesText"/>
            </w:pPr>
          </w:p>
          <w:p w14:paraId="41E28FD8" w14:textId="002C3F16" w:rsidR="008D1739" w:rsidRDefault="00127DFF" w:rsidP="00051401">
            <w:pPr>
              <w:pStyle w:val="NotesText"/>
            </w:pPr>
            <w:r>
              <w:t>If the user clicks Yes, the unit is added to the selected units list. When the user clicks No, the unit is cleared. The visual inspection indicator will be displayed in the Unit History Report, Outgoing Shipment section.</w:t>
            </w:r>
          </w:p>
        </w:tc>
      </w:tr>
      <w:tr w:rsidR="008D1739" w14:paraId="2B29E1B3" w14:textId="77777777" w:rsidTr="001A459B">
        <w:trPr>
          <w:cantSplit/>
        </w:trPr>
        <w:tc>
          <w:tcPr>
            <w:tcW w:w="3240" w:type="dxa"/>
          </w:tcPr>
          <w:p w14:paraId="6734B50A" w14:textId="77777777" w:rsidR="008D1739" w:rsidRDefault="008D1739" w:rsidP="00F35773">
            <w:pPr>
              <w:pStyle w:val="TableTextNumbers"/>
            </w:pPr>
            <w:r>
              <w:t xml:space="preserve">To change the return credit amount for a unit in a “Return to Shipper” unconfirmed shipment, select a unit and click </w:t>
            </w:r>
            <w:r w:rsidRPr="008D1739">
              <w:rPr>
                <w:b/>
                <w:bCs/>
              </w:rPr>
              <w:t>Return Credit</w:t>
            </w:r>
            <w:r>
              <w:t>.</w:t>
            </w:r>
          </w:p>
          <w:p w14:paraId="0E6E9B8B" w14:textId="77777777" w:rsidR="00D34858" w:rsidRDefault="00D34858" w:rsidP="00D34858">
            <w:pPr>
              <w:pStyle w:val="TableTextNumbers"/>
              <w:numPr>
                <w:ilvl w:val="0"/>
                <w:numId w:val="0"/>
              </w:numPr>
              <w:ind w:left="288" w:hanging="288"/>
            </w:pPr>
          </w:p>
          <w:p w14:paraId="7CA095B6" w14:textId="77777777" w:rsidR="00D34858" w:rsidRDefault="00D34858" w:rsidP="00D34858">
            <w:pPr>
              <w:pStyle w:val="TableTextNumbersContinued"/>
            </w:pPr>
            <w:r>
              <w:t>Enter the return credit amount.</w:t>
            </w:r>
          </w:p>
          <w:p w14:paraId="07065D06" w14:textId="77777777" w:rsidR="00D34858" w:rsidRDefault="00D34858" w:rsidP="00D34858">
            <w:pPr>
              <w:pStyle w:val="TableTextNumbersContinued"/>
            </w:pPr>
          </w:p>
          <w:p w14:paraId="15D9225A" w14:textId="2A18C131" w:rsidR="00D34858" w:rsidRDefault="00D34858" w:rsidP="00D34858">
            <w:pPr>
              <w:pStyle w:val="TableTextNumbersContinued"/>
            </w:pPr>
            <w:r>
              <w:t xml:space="preserve">Click </w:t>
            </w:r>
            <w:r w:rsidRPr="00D34858">
              <w:rPr>
                <w:b/>
                <w:bCs/>
              </w:rPr>
              <w:t>OK</w:t>
            </w:r>
            <w:r>
              <w:t xml:space="preserve"> to save the amount entered or </w:t>
            </w:r>
            <w:r w:rsidRPr="00D34858">
              <w:rPr>
                <w:b/>
                <w:bCs/>
              </w:rPr>
              <w:t>Cancel</w:t>
            </w:r>
            <w:r>
              <w:t xml:space="preserve"> to return to the invoice.</w:t>
            </w:r>
          </w:p>
        </w:tc>
        <w:tc>
          <w:tcPr>
            <w:tcW w:w="6120" w:type="dxa"/>
          </w:tcPr>
          <w:p w14:paraId="1C495261" w14:textId="77777777" w:rsidR="008D1739" w:rsidRDefault="00D34858">
            <w:pPr>
              <w:pStyle w:val="TableTextBullet"/>
            </w:pPr>
            <w:r>
              <w:t>Displays the unit’s financial information and allows the user to edit the return credit amount.</w:t>
            </w:r>
          </w:p>
          <w:p w14:paraId="7B0CEFDB" w14:textId="77777777" w:rsidR="00D34858" w:rsidRDefault="00362960">
            <w:pPr>
              <w:pStyle w:val="TableTextBullet"/>
            </w:pPr>
            <w:r>
              <w:t>Prompts the user to accept the new amount.</w:t>
            </w:r>
          </w:p>
          <w:p w14:paraId="289B5BAD" w14:textId="2BFB885D" w:rsidR="00362960" w:rsidRDefault="00362960">
            <w:pPr>
              <w:pStyle w:val="TableTextBullet"/>
            </w:pPr>
            <w:r>
              <w:t>Returns to the invoice and displays the return credit amount on the invoice.</w:t>
            </w:r>
          </w:p>
          <w:p w14:paraId="6BAB129A" w14:textId="77777777" w:rsidR="00362960" w:rsidRDefault="00362960" w:rsidP="00362960">
            <w:pPr>
              <w:pStyle w:val="TableTextBullet"/>
              <w:numPr>
                <w:ilvl w:val="0"/>
                <w:numId w:val="0"/>
              </w:numPr>
            </w:pPr>
          </w:p>
          <w:p w14:paraId="6B18CB59" w14:textId="77777777" w:rsidR="00362960" w:rsidRDefault="00362960" w:rsidP="00362960">
            <w:pPr>
              <w:pStyle w:val="TableText"/>
              <w:rPr>
                <w:b/>
                <w:bCs/>
                <w:szCs w:val="18"/>
              </w:rPr>
            </w:pPr>
            <w:r>
              <w:rPr>
                <w:b/>
                <w:bCs/>
                <w:szCs w:val="18"/>
              </w:rPr>
              <w:t>NOTES</w:t>
            </w:r>
          </w:p>
          <w:p w14:paraId="313DFB76" w14:textId="77777777" w:rsidR="00362960" w:rsidRPr="00362960" w:rsidRDefault="00362960" w:rsidP="00362960">
            <w:pPr>
              <w:pStyle w:val="TableText"/>
              <w:rPr>
                <w:b/>
                <w:bCs/>
                <w:szCs w:val="18"/>
              </w:rPr>
            </w:pPr>
          </w:p>
          <w:p w14:paraId="46078FF1" w14:textId="7D4986FA" w:rsidR="00362960" w:rsidRDefault="00362960" w:rsidP="00047819">
            <w:pPr>
              <w:pStyle w:val="NotesText"/>
            </w:pPr>
            <w:r w:rsidRPr="00362960">
              <w:rPr>
                <w:vanish/>
              </w:rPr>
              <w:t>BR_11.</w:t>
            </w:r>
            <w:r w:rsidR="00047819">
              <w:rPr>
                <w:vanish/>
              </w:rPr>
              <w:t>14</w:t>
            </w:r>
            <w:r w:rsidRPr="00362960">
              <w:rPr>
                <w:vanish/>
              </w:rPr>
              <w:t xml:space="preserve"> </w:t>
            </w:r>
            <w:r w:rsidRPr="00362960">
              <w:t xml:space="preserve">VBECS </w:t>
            </w:r>
            <w:r>
              <w:t>applies a return credit (equal to the return credit percentage of the original cost of the unit) to units processed in an outgoing shipment to the original shipper. Users may edit return credits for individual units.</w:t>
            </w:r>
          </w:p>
        </w:tc>
      </w:tr>
      <w:tr w:rsidR="009C2E0C" w14:paraId="5C61E91E" w14:textId="77777777" w:rsidTr="00615FC3">
        <w:tc>
          <w:tcPr>
            <w:tcW w:w="3240" w:type="dxa"/>
            <w:tcBorders>
              <w:bottom w:val="single" w:sz="4" w:space="0" w:color="auto"/>
            </w:tcBorders>
          </w:tcPr>
          <w:p w14:paraId="76C2701D" w14:textId="623BA51C" w:rsidR="009C2E0C" w:rsidRDefault="007441D3" w:rsidP="006F799E">
            <w:pPr>
              <w:pStyle w:val="TableTextNumbers"/>
            </w:pPr>
            <w:r>
              <w:t xml:space="preserve">To </w:t>
            </w:r>
            <w:r w:rsidR="00F35773">
              <w:t xml:space="preserve">add or </w:t>
            </w:r>
            <w:r>
              <w:t>edit a comment</w:t>
            </w:r>
            <w:r w:rsidR="00331054">
              <w:t xml:space="preserve"> for a unit</w:t>
            </w:r>
            <w:r>
              <w:t>, s</w:t>
            </w:r>
            <w:r w:rsidR="009C2E0C">
              <w:t xml:space="preserve">elect a </w:t>
            </w:r>
            <w:r w:rsidR="00331054">
              <w:t>unit</w:t>
            </w:r>
            <w:r w:rsidR="009C2E0C">
              <w:t xml:space="preserve"> from the list of selected units and click </w:t>
            </w:r>
            <w:r w:rsidR="009C2E0C">
              <w:rPr>
                <w:b/>
                <w:bCs/>
              </w:rPr>
              <w:t xml:space="preserve">Comment </w:t>
            </w:r>
            <w:r w:rsidR="009C2E0C">
              <w:t>(</w:t>
            </w:r>
            <w:r w:rsidR="00EE455E">
              <w:t xml:space="preserve">Figure </w:t>
            </w:r>
            <w:r w:rsidR="00EE455E">
              <w:rPr>
                <w:noProof/>
              </w:rPr>
              <w:t>50</w:t>
            </w:r>
            <w:r w:rsidR="009C2E0C">
              <w:t>).</w:t>
            </w:r>
          </w:p>
        </w:tc>
        <w:tc>
          <w:tcPr>
            <w:tcW w:w="6120" w:type="dxa"/>
            <w:tcBorders>
              <w:bottom w:val="single" w:sz="4" w:space="0" w:color="auto"/>
            </w:tcBorders>
          </w:tcPr>
          <w:p w14:paraId="155E84BB" w14:textId="77777777" w:rsidR="009C2E0C" w:rsidRDefault="009C2E0C" w:rsidP="00615FC3">
            <w:pPr>
              <w:pStyle w:val="TableTextBullet"/>
            </w:pPr>
            <w:r>
              <w:t>Displays the current unit's outgoing shipment comment, allowing edit of the comment.</w:t>
            </w:r>
          </w:p>
          <w:p w14:paraId="6616BFFD" w14:textId="77777777" w:rsidR="009C2E0C" w:rsidRDefault="009C2E0C" w:rsidP="009C2E0C">
            <w:pPr>
              <w:pStyle w:val="TableText"/>
            </w:pPr>
          </w:p>
          <w:p w14:paraId="11D046BF" w14:textId="77777777" w:rsidR="009C2E0C" w:rsidRDefault="009C2E0C" w:rsidP="009C2E0C">
            <w:pPr>
              <w:pStyle w:val="TableText"/>
              <w:rPr>
                <w:b/>
                <w:bCs/>
                <w:szCs w:val="18"/>
              </w:rPr>
            </w:pPr>
            <w:r>
              <w:rPr>
                <w:b/>
                <w:bCs/>
                <w:szCs w:val="18"/>
              </w:rPr>
              <w:t>NOTES</w:t>
            </w:r>
          </w:p>
          <w:p w14:paraId="7E36CE32" w14:textId="77777777" w:rsidR="009C2E0C" w:rsidRDefault="009C2E0C" w:rsidP="009C2E0C">
            <w:pPr>
              <w:pStyle w:val="NotesText"/>
            </w:pPr>
          </w:p>
          <w:p w14:paraId="1C53F81B" w14:textId="46851701" w:rsidR="009C2E0C" w:rsidRPr="009C2E0C" w:rsidRDefault="009C2E0C" w:rsidP="006F799E">
            <w:pPr>
              <w:pStyle w:val="NotesText"/>
              <w:rPr>
                <w:rFonts w:cs="Arial"/>
                <w:szCs w:val="18"/>
              </w:rPr>
            </w:pPr>
            <w:r w:rsidRPr="005710CE">
              <w:rPr>
                <w:rFonts w:cs="Arial"/>
                <w:vanish/>
                <w:szCs w:val="18"/>
              </w:rPr>
              <w:t>BR_1</w:t>
            </w:r>
            <w:r>
              <w:rPr>
                <w:rFonts w:cs="Arial"/>
                <w:vanish/>
                <w:szCs w:val="18"/>
              </w:rPr>
              <w:t>1.23</w:t>
            </w:r>
            <w:r w:rsidRPr="005710CE">
              <w:rPr>
                <w:rFonts w:cs="Arial"/>
                <w:vanish/>
                <w:szCs w:val="18"/>
              </w:rPr>
              <w:t xml:space="preserve"> </w:t>
            </w:r>
            <w:r w:rsidRPr="0030088C">
              <w:rPr>
                <w:rFonts w:cs="Arial"/>
                <w:szCs w:val="18"/>
              </w:rPr>
              <w:t xml:space="preserve">The </w:t>
            </w:r>
            <w:r>
              <w:rPr>
                <w:rFonts w:cs="Arial"/>
                <w:szCs w:val="18"/>
              </w:rPr>
              <w:t xml:space="preserve">user may </w:t>
            </w:r>
            <w:r w:rsidR="00331054">
              <w:rPr>
                <w:rFonts w:cs="Arial"/>
                <w:szCs w:val="18"/>
              </w:rPr>
              <w:t>select an</w:t>
            </w:r>
            <w:r>
              <w:rPr>
                <w:rFonts w:cs="Arial"/>
                <w:szCs w:val="18"/>
              </w:rPr>
              <w:t xml:space="preserve"> "Outgoing Shipment" </w:t>
            </w:r>
            <w:r w:rsidR="00331054">
              <w:rPr>
                <w:rFonts w:cs="Arial"/>
                <w:szCs w:val="18"/>
              </w:rPr>
              <w:t xml:space="preserve">canned </w:t>
            </w:r>
            <w:r>
              <w:rPr>
                <w:rFonts w:cs="Arial"/>
                <w:szCs w:val="18"/>
              </w:rPr>
              <w:t xml:space="preserve">comment context and </w:t>
            </w:r>
            <w:r w:rsidR="00331054">
              <w:rPr>
                <w:rFonts w:cs="Arial"/>
                <w:szCs w:val="18"/>
              </w:rPr>
              <w:t>enter</w:t>
            </w:r>
            <w:r>
              <w:rPr>
                <w:rFonts w:cs="Arial"/>
                <w:szCs w:val="18"/>
              </w:rPr>
              <w:t xml:space="preserve"> free text </w:t>
            </w:r>
            <w:r w:rsidR="00331054">
              <w:rPr>
                <w:rFonts w:cs="Arial"/>
                <w:szCs w:val="18"/>
              </w:rPr>
              <w:t>details</w:t>
            </w:r>
            <w:r w:rsidRPr="0030088C">
              <w:rPr>
                <w:rFonts w:cs="Arial"/>
                <w:szCs w:val="18"/>
              </w:rPr>
              <w:t>.</w:t>
            </w:r>
            <w:r>
              <w:rPr>
                <w:rFonts w:cs="Arial"/>
                <w:szCs w:val="18"/>
              </w:rPr>
              <w:t xml:space="preserve"> </w:t>
            </w:r>
            <w:r w:rsidRPr="006E30BA">
              <w:rPr>
                <w:rFonts w:cs="Arial"/>
                <w:szCs w:val="18"/>
              </w:rPr>
              <w:t xml:space="preserve">The comment will be displayed in the Unit History Report, </w:t>
            </w:r>
            <w:r>
              <w:rPr>
                <w:rFonts w:cs="Arial"/>
                <w:szCs w:val="18"/>
              </w:rPr>
              <w:t>Outgoing</w:t>
            </w:r>
            <w:r w:rsidRPr="006E30BA">
              <w:rPr>
                <w:rFonts w:cs="Arial"/>
                <w:szCs w:val="18"/>
              </w:rPr>
              <w:t xml:space="preserve"> Shipment section</w:t>
            </w:r>
            <w:r w:rsidR="00331054">
              <w:rPr>
                <w:rFonts w:cs="Arial"/>
                <w:szCs w:val="18"/>
              </w:rPr>
              <w:t xml:space="preserve"> and printed invoice</w:t>
            </w:r>
            <w:r>
              <w:rPr>
                <w:rFonts w:cs="Arial"/>
                <w:szCs w:val="18"/>
              </w:rPr>
              <w:t>.</w:t>
            </w:r>
          </w:p>
        </w:tc>
      </w:tr>
      <w:tr w:rsidR="00351221" w14:paraId="552EE931" w14:textId="77777777" w:rsidTr="00047819">
        <w:trPr>
          <w:cantSplit/>
        </w:trPr>
        <w:tc>
          <w:tcPr>
            <w:tcW w:w="3240" w:type="dxa"/>
            <w:tcBorders>
              <w:bottom w:val="single" w:sz="4" w:space="0" w:color="auto"/>
            </w:tcBorders>
          </w:tcPr>
          <w:p w14:paraId="7A8E7FEE" w14:textId="31836CE6" w:rsidR="00CB20E3" w:rsidRPr="002742DD" w:rsidRDefault="00CB20E3" w:rsidP="00CB20E3">
            <w:pPr>
              <w:pStyle w:val="TableTextNumbers"/>
              <w:rPr>
                <w:rFonts w:cs="Arial"/>
                <w:szCs w:val="18"/>
              </w:rPr>
            </w:pPr>
            <w:r w:rsidRPr="002742DD">
              <w:rPr>
                <w:rFonts w:cs="Arial"/>
                <w:szCs w:val="18"/>
              </w:rPr>
              <w:t>Repeat Steps 5</w:t>
            </w:r>
            <w:r w:rsidR="00AB1D6F" w:rsidRPr="002742DD">
              <w:rPr>
                <w:rFonts w:cs="Arial"/>
                <w:szCs w:val="18"/>
              </w:rPr>
              <w:t>, 6</w:t>
            </w:r>
            <w:r w:rsidRPr="002742DD">
              <w:rPr>
                <w:rFonts w:cs="Arial"/>
                <w:szCs w:val="18"/>
              </w:rPr>
              <w:t xml:space="preserve"> and </w:t>
            </w:r>
            <w:r w:rsidR="00AB1D6F" w:rsidRPr="002742DD">
              <w:rPr>
                <w:rFonts w:cs="Arial"/>
                <w:szCs w:val="18"/>
              </w:rPr>
              <w:t xml:space="preserve">7 </w:t>
            </w:r>
            <w:r w:rsidRPr="002742DD">
              <w:rPr>
                <w:rFonts w:cs="Arial"/>
                <w:szCs w:val="18"/>
              </w:rPr>
              <w:t>until all units for</w:t>
            </w:r>
            <w:r w:rsidR="00331054">
              <w:rPr>
                <w:rFonts w:cs="Arial"/>
                <w:szCs w:val="18"/>
              </w:rPr>
              <w:t xml:space="preserve"> the current invoice</w:t>
            </w:r>
            <w:r w:rsidRPr="002742DD">
              <w:rPr>
                <w:rFonts w:cs="Arial"/>
                <w:szCs w:val="18"/>
              </w:rPr>
              <w:t xml:space="preserve"> are entered.</w:t>
            </w:r>
          </w:p>
          <w:p w14:paraId="47CED96D" w14:textId="77777777" w:rsidR="00CB20E3" w:rsidRPr="002742DD" w:rsidRDefault="00CB20E3" w:rsidP="00CB20E3">
            <w:pPr>
              <w:pStyle w:val="TableTextNumbersContinued"/>
              <w:rPr>
                <w:rFonts w:cs="Arial"/>
                <w:szCs w:val="18"/>
              </w:rPr>
            </w:pPr>
          </w:p>
          <w:p w14:paraId="4ECF3FC1" w14:textId="3AFDFC8F" w:rsidR="003B03EA" w:rsidRPr="00362960" w:rsidRDefault="00CB20E3" w:rsidP="00362960">
            <w:pPr>
              <w:pStyle w:val="TableTextNumbersContinued"/>
              <w:rPr>
                <w:rFonts w:cs="Arial"/>
                <w:szCs w:val="18"/>
              </w:rPr>
            </w:pPr>
            <w:r w:rsidRPr="002742DD">
              <w:rPr>
                <w:rFonts w:cs="Arial"/>
                <w:szCs w:val="18"/>
              </w:rPr>
              <w:t xml:space="preserve">Click </w:t>
            </w:r>
            <w:r w:rsidRPr="002742DD">
              <w:rPr>
                <w:rFonts w:cs="Arial"/>
                <w:b/>
                <w:bCs/>
                <w:szCs w:val="18"/>
              </w:rPr>
              <w:t>Save</w:t>
            </w:r>
            <w:r w:rsidRPr="002742DD">
              <w:rPr>
                <w:rFonts w:cs="Arial"/>
                <w:szCs w:val="18"/>
              </w:rPr>
              <w:t xml:space="preserve"> to save the information entered</w:t>
            </w:r>
            <w:r w:rsidR="00AA511E" w:rsidRPr="002742DD">
              <w:rPr>
                <w:rFonts w:cs="Arial"/>
                <w:szCs w:val="18"/>
              </w:rPr>
              <w:t xml:space="preserve"> (</w:t>
            </w:r>
            <w:r w:rsidR="00EE455E">
              <w:t xml:space="preserve">Figure </w:t>
            </w:r>
            <w:r w:rsidR="00EE455E">
              <w:rPr>
                <w:noProof/>
              </w:rPr>
              <w:t>51</w:t>
            </w:r>
            <w:r w:rsidR="00AA511E" w:rsidRPr="002742DD">
              <w:rPr>
                <w:rFonts w:cs="Arial"/>
                <w:szCs w:val="18"/>
              </w:rPr>
              <w:t xml:space="preserve">) and </w:t>
            </w:r>
            <w:r w:rsidR="00AA511E" w:rsidRPr="002742DD">
              <w:rPr>
                <w:rFonts w:cs="Arial"/>
                <w:b/>
                <w:bCs/>
                <w:szCs w:val="18"/>
              </w:rPr>
              <w:t>Yes</w:t>
            </w:r>
            <w:r w:rsidR="00AA511E" w:rsidRPr="002742DD">
              <w:rPr>
                <w:rFonts w:cs="Arial"/>
                <w:szCs w:val="18"/>
              </w:rPr>
              <w:t xml:space="preserve"> to confirm the save</w:t>
            </w:r>
            <w:r w:rsidRPr="002742DD">
              <w:rPr>
                <w:rFonts w:cs="Arial"/>
                <w:szCs w:val="18"/>
              </w:rPr>
              <w:t>.</w:t>
            </w:r>
          </w:p>
        </w:tc>
        <w:tc>
          <w:tcPr>
            <w:tcW w:w="6120" w:type="dxa"/>
            <w:tcBorders>
              <w:bottom w:val="single" w:sz="4" w:space="0" w:color="auto"/>
            </w:tcBorders>
          </w:tcPr>
          <w:p w14:paraId="791C7E87" w14:textId="09F1AFF2" w:rsidR="00351221" w:rsidRDefault="00047819" w:rsidP="00047819">
            <w:pPr>
              <w:pStyle w:val="TableTextBullet"/>
            </w:pPr>
            <w:r>
              <w:t xml:space="preserve">Confirms the user action. </w:t>
            </w:r>
            <w:r>
              <w:rPr>
                <w:b/>
                <w:bCs/>
              </w:rPr>
              <w:t>Yes</w:t>
            </w:r>
            <w:r>
              <w:t xml:space="preserve"> saves all changes to the invoice.</w:t>
            </w:r>
          </w:p>
        </w:tc>
      </w:tr>
      <w:tr w:rsidR="00047819" w14:paraId="2D4AA34A" w14:textId="77777777" w:rsidTr="001A459B">
        <w:trPr>
          <w:cantSplit/>
        </w:trPr>
        <w:tc>
          <w:tcPr>
            <w:tcW w:w="3240" w:type="dxa"/>
            <w:tcBorders>
              <w:bottom w:val="single" w:sz="4" w:space="0" w:color="auto"/>
            </w:tcBorders>
          </w:tcPr>
          <w:p w14:paraId="794D88AC" w14:textId="6EF3439D" w:rsidR="00047819" w:rsidRDefault="00047819" w:rsidP="005C043C">
            <w:pPr>
              <w:pStyle w:val="TableTextNumbers"/>
            </w:pPr>
            <w:r>
              <w:lastRenderedPageBreak/>
              <w:t xml:space="preserve">To cancel the shipment, click </w:t>
            </w:r>
            <w:r>
              <w:rPr>
                <w:b/>
                <w:bCs/>
              </w:rPr>
              <w:t>Cancel Shipment</w:t>
            </w:r>
            <w:r>
              <w:t>.</w:t>
            </w:r>
          </w:p>
        </w:tc>
        <w:tc>
          <w:tcPr>
            <w:tcW w:w="6120" w:type="dxa"/>
            <w:tcBorders>
              <w:bottom w:val="single" w:sz="4" w:space="0" w:color="auto"/>
            </w:tcBorders>
          </w:tcPr>
          <w:p w14:paraId="0D217BAA" w14:textId="77777777" w:rsidR="00047819" w:rsidRDefault="00047819" w:rsidP="0035003C">
            <w:pPr>
              <w:pStyle w:val="TableTextBullet"/>
            </w:pPr>
            <w:r>
              <w:t xml:space="preserve">Confirms the user action. </w:t>
            </w:r>
            <w:r>
              <w:rPr>
                <w:b/>
                <w:bCs/>
              </w:rPr>
              <w:t>Yes</w:t>
            </w:r>
            <w:r>
              <w:t xml:space="preserve"> deletes the invoice and all selected units are returned to their previous status.</w:t>
            </w:r>
          </w:p>
          <w:p w14:paraId="57F89504" w14:textId="77777777" w:rsidR="00047819" w:rsidRDefault="00047819" w:rsidP="00047819">
            <w:pPr>
              <w:pStyle w:val="TableText"/>
            </w:pPr>
          </w:p>
          <w:p w14:paraId="767997A9" w14:textId="77777777" w:rsidR="00047819" w:rsidRDefault="00047819" w:rsidP="00047819">
            <w:pPr>
              <w:pStyle w:val="TableText"/>
              <w:rPr>
                <w:b/>
                <w:bCs/>
                <w:szCs w:val="18"/>
              </w:rPr>
            </w:pPr>
            <w:r>
              <w:rPr>
                <w:b/>
                <w:bCs/>
                <w:szCs w:val="18"/>
              </w:rPr>
              <w:t>NOTES</w:t>
            </w:r>
          </w:p>
          <w:p w14:paraId="31BC2D19" w14:textId="77777777" w:rsidR="00047819" w:rsidRDefault="00047819" w:rsidP="00047819">
            <w:pPr>
              <w:pStyle w:val="NotesText"/>
            </w:pPr>
          </w:p>
          <w:p w14:paraId="2E81313C" w14:textId="4878A574" w:rsidR="00047819" w:rsidRDefault="00047819" w:rsidP="00047819">
            <w:pPr>
              <w:pStyle w:val="NotesText"/>
            </w:pPr>
            <w:r>
              <w:t>Canceled shipments are not visible on any report or menu option within VBECS.</w:t>
            </w:r>
          </w:p>
        </w:tc>
      </w:tr>
      <w:tr w:rsidR="002A21AE" w14:paraId="571421F9" w14:textId="77777777">
        <w:tc>
          <w:tcPr>
            <w:tcW w:w="3240" w:type="dxa"/>
            <w:tcBorders>
              <w:bottom w:val="single" w:sz="4" w:space="0" w:color="auto"/>
            </w:tcBorders>
          </w:tcPr>
          <w:p w14:paraId="4DE90953" w14:textId="6B1BDEFA" w:rsidR="002A21AE" w:rsidRDefault="002A21AE" w:rsidP="007C5E77">
            <w:pPr>
              <w:pStyle w:val="TableTextNumbers"/>
            </w:pPr>
            <w:r>
              <w:t xml:space="preserve">To confirm the shipment, </w:t>
            </w:r>
            <w:r w:rsidR="009F225E">
              <w:t xml:space="preserve">it must first be saved. Click </w:t>
            </w:r>
            <w:r w:rsidR="009F225E" w:rsidRPr="006F799E">
              <w:rPr>
                <w:b/>
                <w:bCs/>
              </w:rPr>
              <w:t>Confirm Shipment</w:t>
            </w:r>
            <w:r>
              <w:t>.</w:t>
            </w:r>
          </w:p>
        </w:tc>
        <w:tc>
          <w:tcPr>
            <w:tcW w:w="6120" w:type="dxa"/>
            <w:tcBorders>
              <w:bottom w:val="single" w:sz="4" w:space="0" w:color="auto"/>
            </w:tcBorders>
          </w:tcPr>
          <w:p w14:paraId="3BA57F5F" w14:textId="1DAF59FC" w:rsidR="0016671A" w:rsidRDefault="0016671A" w:rsidP="007C5E77">
            <w:pPr>
              <w:pStyle w:val="TableTextBullet"/>
            </w:pPr>
            <w:r>
              <w:t>Displays a</w:t>
            </w:r>
            <w:r w:rsidR="00413CD5">
              <w:t>n</w:t>
            </w:r>
            <w:r>
              <w:t xml:space="preserve"> “</w:t>
            </w:r>
            <w:r w:rsidR="00413CD5">
              <w:t>Edit</w:t>
            </w:r>
            <w:r>
              <w:t xml:space="preserve"> Shipment</w:t>
            </w:r>
            <w:r w:rsidR="00413CD5">
              <w:t xml:space="preserve"> Date</w:t>
            </w:r>
            <w:r>
              <w:t xml:space="preserve">” </w:t>
            </w:r>
            <w:r w:rsidR="00413CD5">
              <w:t>window</w:t>
            </w:r>
            <w:r>
              <w:t>.</w:t>
            </w:r>
          </w:p>
        </w:tc>
      </w:tr>
      <w:tr w:rsidR="002A21AE" w14:paraId="0BFAF546" w14:textId="77777777" w:rsidTr="001A459B">
        <w:trPr>
          <w:cantSplit/>
        </w:trPr>
        <w:tc>
          <w:tcPr>
            <w:tcW w:w="3240" w:type="dxa"/>
          </w:tcPr>
          <w:p w14:paraId="66871509" w14:textId="6326E2D2" w:rsidR="002A21AE" w:rsidRDefault="00C34657">
            <w:pPr>
              <w:pStyle w:val="TableTextNumbers"/>
            </w:pPr>
            <w:r>
              <w:t>S</w:t>
            </w:r>
            <w:r w:rsidR="002A21AE">
              <w:t>elect or edit the date and time in the Shipment Date/Time field</w:t>
            </w:r>
            <w:r w:rsidR="0016671A">
              <w:t xml:space="preserve"> (</w:t>
            </w:r>
            <w:r w:rsidR="00EE455E">
              <w:t xml:space="preserve">Figure </w:t>
            </w:r>
            <w:r w:rsidR="00EE455E">
              <w:rPr>
                <w:noProof/>
              </w:rPr>
              <w:t>52</w:t>
            </w:r>
            <w:r w:rsidR="00AB1D6F">
              <w:t>)</w:t>
            </w:r>
            <w:r w:rsidR="002A21AE">
              <w:t>.</w:t>
            </w:r>
          </w:p>
          <w:p w14:paraId="673EE7E3" w14:textId="77777777" w:rsidR="002A21AE" w:rsidRDefault="002A21AE">
            <w:pPr>
              <w:pStyle w:val="TableTextNumbersContinued"/>
            </w:pPr>
          </w:p>
          <w:p w14:paraId="7352E5B3" w14:textId="714E061B" w:rsidR="002A21AE" w:rsidRDefault="002A21AE">
            <w:pPr>
              <w:pStyle w:val="TableTextNumbersContinued"/>
            </w:pPr>
            <w:r>
              <w:t xml:space="preserve">Click </w:t>
            </w:r>
            <w:r>
              <w:rPr>
                <w:b/>
              </w:rPr>
              <w:t>OK</w:t>
            </w:r>
            <w:r>
              <w:t xml:space="preserve"> to save the information entered or </w:t>
            </w:r>
            <w:r>
              <w:rPr>
                <w:b/>
              </w:rPr>
              <w:t>Cancel</w:t>
            </w:r>
            <w:r>
              <w:t xml:space="preserve"> to return to </w:t>
            </w:r>
            <w:r w:rsidR="00C34657">
              <w:t>leave the invoice unconfirmed</w:t>
            </w:r>
            <w:r>
              <w:t>.</w:t>
            </w:r>
          </w:p>
        </w:tc>
        <w:tc>
          <w:tcPr>
            <w:tcW w:w="6120" w:type="dxa"/>
          </w:tcPr>
          <w:p w14:paraId="4E42F5FE" w14:textId="77777777" w:rsidR="002A21AE" w:rsidRDefault="002A21AE">
            <w:pPr>
              <w:pStyle w:val="TableTextBullet"/>
            </w:pPr>
            <w:r>
              <w:t>Displays shipment information, including the shipment date and time. When a user accepts the entered date and time, displays the invoice to be printed.</w:t>
            </w:r>
          </w:p>
          <w:p w14:paraId="79E3F5C0" w14:textId="77777777" w:rsidR="002A21AE" w:rsidRDefault="002A21AE">
            <w:pPr>
              <w:pStyle w:val="TableTextBullet"/>
            </w:pPr>
            <w:r>
              <w:t xml:space="preserve">Updates the status of each unit in the shipment to show that each unit was transferred to the ship-to facility and assigns the shipment date and time as the date and time of the transaction. </w:t>
            </w:r>
          </w:p>
          <w:p w14:paraId="3957B6D8" w14:textId="77777777" w:rsidR="002A21AE" w:rsidRDefault="002A21AE">
            <w:pPr>
              <w:pStyle w:val="TableText"/>
            </w:pPr>
          </w:p>
          <w:p w14:paraId="750E4C1D" w14:textId="5F569929" w:rsidR="002A21AE" w:rsidRDefault="002A21AE">
            <w:pPr>
              <w:pStyle w:val="TableText"/>
              <w:rPr>
                <w:b/>
                <w:bCs/>
                <w:szCs w:val="18"/>
              </w:rPr>
            </w:pPr>
            <w:r>
              <w:rPr>
                <w:b/>
                <w:bCs/>
                <w:szCs w:val="18"/>
              </w:rPr>
              <w:t>NOTES</w:t>
            </w:r>
          </w:p>
          <w:p w14:paraId="408AF7F6" w14:textId="77777777" w:rsidR="002A21AE" w:rsidRDefault="002A21AE">
            <w:pPr>
              <w:pStyle w:val="NotesText"/>
            </w:pPr>
          </w:p>
          <w:p w14:paraId="2E5762EC" w14:textId="77777777" w:rsidR="002A21AE" w:rsidRDefault="002A21AE">
            <w:pPr>
              <w:pStyle w:val="NotesText"/>
            </w:pPr>
            <w:r>
              <w:t>When VBECS confirms an outgoing shipment, it:</w:t>
            </w:r>
          </w:p>
          <w:p w14:paraId="697AC74E" w14:textId="508BE419" w:rsidR="002A21AE" w:rsidRDefault="002A21AE">
            <w:pPr>
              <w:pStyle w:val="NotesTextBullet"/>
            </w:pPr>
            <w:r>
              <w:rPr>
                <w:rFonts w:cs="Arial"/>
                <w:vanish/>
              </w:rPr>
              <w:t>BR_11.08</w:t>
            </w:r>
            <w:r w:rsidR="009E64CB">
              <w:t xml:space="preserve">Upon confirmation of an outgoing shipment, the system </w:t>
            </w:r>
            <w:r w:rsidR="001B1F53">
              <w:t>updates</w:t>
            </w:r>
            <w:r w:rsidR="009E64CB">
              <w:t xml:space="preserve"> the unit record with the shipment information. The system updates the status of each unit in the shipment to “transferred”.</w:t>
            </w:r>
          </w:p>
          <w:p w14:paraId="21BA638F" w14:textId="14D33F04" w:rsidR="00662C08" w:rsidRDefault="00662C08">
            <w:pPr>
              <w:pStyle w:val="NotesTextBullet"/>
            </w:pPr>
            <w:r>
              <w:rPr>
                <w:rFonts w:cs="Arial"/>
              </w:rPr>
              <w:t>(Transfusion-Only division configuration only) removes the unit restriction.</w:t>
            </w:r>
          </w:p>
          <w:p w14:paraId="263CF7CB" w14:textId="07254177" w:rsidR="002A21AE" w:rsidRDefault="002A21AE" w:rsidP="009E64CB">
            <w:pPr>
              <w:pStyle w:val="NotesTextBullet"/>
            </w:pPr>
            <w:r>
              <w:rPr>
                <w:rFonts w:cs="Arial"/>
                <w:vanish/>
              </w:rPr>
              <w:t>BR_11.09</w:t>
            </w:r>
            <w:r w:rsidR="00662C08">
              <w:t>T</w:t>
            </w:r>
            <w:r w:rsidR="009E64CB" w:rsidRPr="00374A4B">
              <w:t>he system captures the logged on user as the processed by information (Tech ID, print Tech name)</w:t>
            </w:r>
            <w:r w:rsidR="00662C08">
              <w:t xml:space="preserve">. </w:t>
            </w:r>
            <w:r w:rsidR="009E64CB">
              <w:t>The date and time</w:t>
            </w:r>
            <w:r w:rsidR="00662C08">
              <w:t xml:space="preserve"> entered are saved</w:t>
            </w:r>
            <w:r w:rsidR="009E64CB">
              <w:t xml:space="preserve"> as the actual date/time of shipment. No future date/time may be entered. A default of the current date/time is displayed for the user to accept or edit.</w:t>
            </w:r>
          </w:p>
        </w:tc>
      </w:tr>
      <w:tr w:rsidR="002A21AE" w14:paraId="3EBF274A" w14:textId="77777777">
        <w:tc>
          <w:tcPr>
            <w:tcW w:w="3240" w:type="dxa"/>
            <w:tcBorders>
              <w:top w:val="single" w:sz="4" w:space="0" w:color="auto"/>
              <w:left w:val="single" w:sz="4" w:space="0" w:color="auto"/>
              <w:bottom w:val="single" w:sz="4" w:space="0" w:color="auto"/>
              <w:right w:val="single" w:sz="4" w:space="0" w:color="auto"/>
            </w:tcBorders>
          </w:tcPr>
          <w:p w14:paraId="35A03FB1" w14:textId="53708062" w:rsidR="002A21AE" w:rsidRDefault="002A21AE">
            <w:pPr>
              <w:pStyle w:val="TableTextNumbers"/>
            </w:pPr>
            <w:r>
              <w:t xml:space="preserve">Click </w:t>
            </w:r>
            <w:r>
              <w:rPr>
                <w:b/>
              </w:rPr>
              <w:t>Print Invoice</w:t>
            </w:r>
            <w:r>
              <w:t xml:space="preserve"> to generate and view an invoice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FB84B28" w14:textId="77777777" w:rsidR="002A21AE" w:rsidRDefault="002A21AE">
            <w:pPr>
              <w:pStyle w:val="TableTextBullet"/>
            </w:pPr>
            <w:r>
              <w:t xml:space="preserve">Displays the information to be printed on the invoice. </w:t>
            </w:r>
          </w:p>
          <w:p w14:paraId="3C281FEA" w14:textId="1D4AF013" w:rsidR="002A21AE" w:rsidRDefault="00662C08">
            <w:pPr>
              <w:pStyle w:val="TableTextBullet"/>
            </w:pPr>
            <w:r>
              <w:t>Displays an option to send</w:t>
            </w:r>
            <w:r w:rsidR="002A21AE">
              <w:t xml:space="preserve"> the shipping invoice</w:t>
            </w:r>
            <w:r>
              <w:t xml:space="preserve"> to a printer</w:t>
            </w:r>
            <w:r w:rsidR="002A21AE">
              <w:t>.</w:t>
            </w:r>
          </w:p>
          <w:p w14:paraId="33798BB9" w14:textId="77777777" w:rsidR="002A21AE" w:rsidRDefault="002A21AE" w:rsidP="00753212">
            <w:pPr>
              <w:pStyle w:val="TableText"/>
            </w:pPr>
          </w:p>
          <w:p w14:paraId="4D7234B6" w14:textId="4BC3CE0E" w:rsidR="00753212" w:rsidRDefault="00753212" w:rsidP="00753212">
            <w:pPr>
              <w:pStyle w:val="TableText"/>
              <w:rPr>
                <w:b/>
                <w:bCs/>
                <w:szCs w:val="18"/>
              </w:rPr>
            </w:pPr>
            <w:r w:rsidRPr="00753212">
              <w:rPr>
                <w:b/>
                <w:bCs/>
                <w:szCs w:val="18"/>
              </w:rPr>
              <w:t>N</w:t>
            </w:r>
            <w:r>
              <w:rPr>
                <w:b/>
                <w:bCs/>
                <w:szCs w:val="18"/>
              </w:rPr>
              <w:t>OTES</w:t>
            </w:r>
          </w:p>
          <w:p w14:paraId="31C4D5D0" w14:textId="674B6786" w:rsidR="00753212" w:rsidRDefault="00753212" w:rsidP="00753212">
            <w:pPr>
              <w:pStyle w:val="TableText"/>
              <w:rPr>
                <w:b/>
                <w:bCs/>
                <w:szCs w:val="18"/>
              </w:rPr>
            </w:pPr>
          </w:p>
          <w:p w14:paraId="5C6031D3" w14:textId="77777777" w:rsidR="00753212" w:rsidRDefault="00753212" w:rsidP="00753212">
            <w:pPr>
              <w:pStyle w:val="NotesText"/>
            </w:pPr>
            <w:r w:rsidRPr="00753212">
              <w:rPr>
                <w:vanish/>
              </w:rPr>
              <w:t xml:space="preserve">BR_11.18 </w:t>
            </w:r>
            <w:r>
              <w:t>When a shipment is saved but not confirmed, VBECS displays “NOT CONFIRMED” as the shipment date.</w:t>
            </w:r>
          </w:p>
          <w:p w14:paraId="71646482" w14:textId="77777777" w:rsidR="00753212" w:rsidRDefault="00753212" w:rsidP="00753212">
            <w:pPr>
              <w:pStyle w:val="NotesText"/>
            </w:pPr>
          </w:p>
          <w:p w14:paraId="55768452" w14:textId="3B4D30DF" w:rsidR="00753212" w:rsidRDefault="00753212" w:rsidP="007C5E77">
            <w:pPr>
              <w:pStyle w:val="NotesText"/>
            </w:pPr>
            <w:r w:rsidRPr="00753212">
              <w:rPr>
                <w:vanish/>
              </w:rPr>
              <w:t xml:space="preserve">BR_17.02 </w:t>
            </w:r>
            <w:r>
              <w:t>The shipping invoice includes patient restriction, quarantine status, biohazard information, antigen typing (specificity and interpretation only), special testing information, the autologous unit testing status, and comment.</w:t>
            </w:r>
          </w:p>
        </w:tc>
      </w:tr>
    </w:tbl>
    <w:p w14:paraId="46531222" w14:textId="22BF6FDE" w:rsidR="00D039A6" w:rsidRDefault="00D039A6" w:rsidP="00D039A6">
      <w:pPr>
        <w:pStyle w:val="Caption"/>
      </w:pPr>
      <w:bookmarkStart w:id="258" w:name="_Ref12655423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49</w:t>
      </w:r>
      <w:r w:rsidR="004E20BD">
        <w:rPr>
          <w:noProof/>
        </w:rPr>
        <w:fldChar w:fldCharType="end"/>
      </w:r>
      <w:bookmarkEnd w:id="258"/>
      <w:r>
        <w:t>: Process Outgoing Shipment</w:t>
      </w:r>
    </w:p>
    <w:p w14:paraId="7BEB6A6E" w14:textId="55E1D252" w:rsidR="00D039A6" w:rsidRDefault="00535F97" w:rsidP="00D039A6">
      <w:pPr>
        <w:pStyle w:val="BodyText"/>
      </w:pPr>
      <w:r>
        <w:rPr>
          <w:noProof/>
        </w:rPr>
        <w:drawing>
          <wp:inline distT="0" distB="0" distL="0" distR="0" wp14:anchorId="64C75D8B" wp14:editId="16A6BFE1">
            <wp:extent cx="4572000" cy="2567940"/>
            <wp:effectExtent l="0" t="0" r="0" b="3810"/>
            <wp:docPr id="154" name="Picture 154" descr="Example of Process Outgoing Ship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Example of Process Outgoing Shipment screen capt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72000" cy="2567940"/>
                    </a:xfrm>
                    <a:prstGeom prst="rect">
                      <a:avLst/>
                    </a:prstGeom>
                    <a:noFill/>
                    <a:ln>
                      <a:noFill/>
                    </a:ln>
                  </pic:spPr>
                </pic:pic>
              </a:graphicData>
            </a:graphic>
          </wp:inline>
        </w:drawing>
      </w:r>
    </w:p>
    <w:p w14:paraId="5C8060BF" w14:textId="3F60F4F1" w:rsidR="0084755D" w:rsidRDefault="0084755D" w:rsidP="0084755D">
      <w:pPr>
        <w:pStyle w:val="Caption"/>
      </w:pPr>
      <w:bookmarkStart w:id="259" w:name="_Ref13788842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50</w:t>
      </w:r>
      <w:r w:rsidR="004E20BD">
        <w:rPr>
          <w:noProof/>
        </w:rPr>
        <w:fldChar w:fldCharType="end"/>
      </w:r>
      <w:bookmarkEnd w:id="259"/>
      <w:r>
        <w:t>: Select Units</w:t>
      </w:r>
    </w:p>
    <w:p w14:paraId="440C6417" w14:textId="7A677183" w:rsidR="0084755D" w:rsidRDefault="00653A4D" w:rsidP="00D039A6">
      <w:pPr>
        <w:pStyle w:val="BodyText"/>
      </w:pPr>
      <w:r>
        <w:rPr>
          <w:noProof/>
        </w:rPr>
        <w:drawing>
          <wp:inline distT="0" distB="0" distL="0" distR="0" wp14:anchorId="72605E6E" wp14:editId="2865F334">
            <wp:extent cx="5943600" cy="2567503"/>
            <wp:effectExtent l="0" t="0" r="0" b="4445"/>
            <wp:docPr id="161" name="Picture 161" descr="Example of Select Uni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Select Units screen captur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2567503"/>
                    </a:xfrm>
                    <a:prstGeom prst="rect">
                      <a:avLst/>
                    </a:prstGeom>
                    <a:noFill/>
                    <a:ln>
                      <a:noFill/>
                    </a:ln>
                  </pic:spPr>
                </pic:pic>
              </a:graphicData>
            </a:graphic>
          </wp:inline>
        </w:drawing>
      </w:r>
    </w:p>
    <w:p w14:paraId="5934488D" w14:textId="15016F0B" w:rsidR="00535F97" w:rsidRDefault="00535F97" w:rsidP="00535F97">
      <w:pPr>
        <w:pStyle w:val="Caption"/>
      </w:pPr>
      <w:bookmarkStart w:id="260" w:name="_Ref123909328"/>
      <w:bookmarkStart w:id="261" w:name="_Ref137888482"/>
      <w:r>
        <w:lastRenderedPageBreak/>
        <w:t xml:space="preserve">Figure </w:t>
      </w:r>
      <w:r>
        <w:rPr>
          <w:noProof/>
        </w:rPr>
        <w:fldChar w:fldCharType="begin"/>
      </w:r>
      <w:r>
        <w:rPr>
          <w:noProof/>
        </w:rPr>
        <w:instrText xml:space="preserve"> SEQ Figure \* ARABIC </w:instrText>
      </w:r>
      <w:r>
        <w:rPr>
          <w:noProof/>
        </w:rPr>
        <w:fldChar w:fldCharType="separate"/>
      </w:r>
      <w:r w:rsidR="00E2140B">
        <w:rPr>
          <w:noProof/>
        </w:rPr>
        <w:t>51</w:t>
      </w:r>
      <w:r>
        <w:rPr>
          <w:noProof/>
        </w:rPr>
        <w:fldChar w:fldCharType="end"/>
      </w:r>
      <w:bookmarkEnd w:id="260"/>
      <w:r>
        <w:t>: Outgoing Shipment Comment</w:t>
      </w:r>
    </w:p>
    <w:p w14:paraId="45D01D38" w14:textId="32715492" w:rsidR="00535F97" w:rsidRDefault="00653A4D" w:rsidP="00535F97">
      <w:pPr>
        <w:pStyle w:val="BodyText"/>
      </w:pPr>
      <w:r>
        <w:rPr>
          <w:noProof/>
        </w:rPr>
        <w:drawing>
          <wp:inline distT="0" distB="0" distL="0" distR="0" wp14:anchorId="25FC1901" wp14:editId="40C62A6C">
            <wp:extent cx="5295900" cy="3552825"/>
            <wp:effectExtent l="0" t="0" r="0" b="9525"/>
            <wp:docPr id="162" name="Picture 162" descr="Example of Outgoing Shipment Com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of Outgoing Shipment Comment screen capt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95900" cy="3552825"/>
                    </a:xfrm>
                    <a:prstGeom prst="rect">
                      <a:avLst/>
                    </a:prstGeom>
                    <a:noFill/>
                    <a:ln>
                      <a:noFill/>
                    </a:ln>
                  </pic:spPr>
                </pic:pic>
              </a:graphicData>
            </a:graphic>
          </wp:inline>
        </w:drawing>
      </w:r>
    </w:p>
    <w:p w14:paraId="2A68A4FE" w14:textId="26D4B1C8" w:rsidR="0084755D" w:rsidRDefault="0084755D" w:rsidP="0084755D">
      <w:pPr>
        <w:pStyle w:val="Caption"/>
      </w:pPr>
      <w:bookmarkStart w:id="262" w:name="_Ref12415914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52</w:t>
      </w:r>
      <w:r w:rsidR="004E20BD">
        <w:rPr>
          <w:noProof/>
        </w:rPr>
        <w:fldChar w:fldCharType="end"/>
      </w:r>
      <w:bookmarkEnd w:id="261"/>
      <w:bookmarkEnd w:id="262"/>
      <w:r>
        <w:t xml:space="preserve">: </w:t>
      </w:r>
      <w:r w:rsidR="00F44E08">
        <w:t>Saving Outgoing Shipment</w:t>
      </w:r>
    </w:p>
    <w:p w14:paraId="3F5806D8" w14:textId="6704ED21" w:rsidR="00B4455C" w:rsidRDefault="00B4455C" w:rsidP="00333E75">
      <w:pPr>
        <w:pStyle w:val="BodyText"/>
      </w:pPr>
      <w:r>
        <w:rPr>
          <w:noProof/>
        </w:rPr>
        <w:drawing>
          <wp:inline distT="0" distB="0" distL="0" distR="0" wp14:anchorId="0B7FE55C" wp14:editId="14594B5C">
            <wp:extent cx="6241235" cy="2543175"/>
            <wp:effectExtent l="0" t="0" r="7620" b="0"/>
            <wp:docPr id="51" name="Picture 51" descr="Example of Outgoing Shipment Sav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of Outgoing Shipment Save screen capt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43010" cy="2543898"/>
                    </a:xfrm>
                    <a:prstGeom prst="rect">
                      <a:avLst/>
                    </a:prstGeom>
                    <a:noFill/>
                    <a:ln>
                      <a:noFill/>
                    </a:ln>
                  </pic:spPr>
                </pic:pic>
              </a:graphicData>
            </a:graphic>
          </wp:inline>
        </w:drawing>
      </w:r>
    </w:p>
    <w:p w14:paraId="2369B54F" w14:textId="67365732" w:rsidR="00FC76B3" w:rsidRDefault="00FC76B3" w:rsidP="00D039A6">
      <w:pPr>
        <w:pStyle w:val="BodyText"/>
      </w:pPr>
    </w:p>
    <w:p w14:paraId="3A25959C" w14:textId="4E65DB96" w:rsidR="002041DB" w:rsidRDefault="002041DB" w:rsidP="002041DB">
      <w:pPr>
        <w:pStyle w:val="Caption"/>
      </w:pPr>
      <w:bookmarkStart w:id="263" w:name="_Ref123908175"/>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53</w:t>
      </w:r>
      <w:r w:rsidR="004E20BD">
        <w:rPr>
          <w:noProof/>
        </w:rPr>
        <w:fldChar w:fldCharType="end"/>
      </w:r>
      <w:bookmarkEnd w:id="263"/>
      <w:r>
        <w:t>: Confirm Shipment</w:t>
      </w:r>
      <w:r w:rsidR="00535F97">
        <w:t xml:space="preserve"> Date</w:t>
      </w:r>
    </w:p>
    <w:p w14:paraId="2E97CC51" w14:textId="28762CF8" w:rsidR="002041DB" w:rsidRDefault="009F327A" w:rsidP="00A815F7">
      <w:pPr>
        <w:pStyle w:val="BodyText"/>
      </w:pPr>
      <w:r w:rsidRPr="009F327A">
        <w:t xml:space="preserve"> </w:t>
      </w:r>
      <w:r w:rsidR="00653A4D">
        <w:rPr>
          <w:noProof/>
        </w:rPr>
        <w:drawing>
          <wp:inline distT="0" distB="0" distL="0" distR="0" wp14:anchorId="65F6A2D2" wp14:editId="0C3F6FC8">
            <wp:extent cx="4038600" cy="2219325"/>
            <wp:effectExtent l="0" t="0" r="0" b="9525"/>
            <wp:docPr id="163" name="Picture 163" descr="Example of Confirm Shipment Dat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ample of Confirm Shipment Date screen captur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038600" cy="2219325"/>
                    </a:xfrm>
                    <a:prstGeom prst="rect">
                      <a:avLst/>
                    </a:prstGeom>
                    <a:noFill/>
                    <a:ln>
                      <a:noFill/>
                    </a:ln>
                  </pic:spPr>
                </pic:pic>
              </a:graphicData>
            </a:graphic>
          </wp:inline>
        </w:drawing>
      </w:r>
    </w:p>
    <w:p w14:paraId="6C860F8B" w14:textId="77777777" w:rsidR="00736D67" w:rsidRDefault="00736D67">
      <w:pPr>
        <w:rPr>
          <w:rFonts w:ascii="Arial" w:hAnsi="Arial" w:cs="Arial"/>
          <w:b/>
          <w:bCs/>
          <w:sz w:val="26"/>
          <w:szCs w:val="26"/>
        </w:rPr>
      </w:pPr>
      <w:r>
        <w:br w:type="page"/>
      </w:r>
    </w:p>
    <w:p w14:paraId="2CBB7330" w14:textId="2894B8E6" w:rsidR="002A21AE" w:rsidRDefault="002A21AE" w:rsidP="00597EEA">
      <w:pPr>
        <w:pStyle w:val="Heading3"/>
      </w:pPr>
      <w:bookmarkStart w:id="264" w:name="_Toc163644909"/>
      <w:r>
        <w:lastRenderedPageBreak/>
        <w:t>Edit Invoice Text</w:t>
      </w:r>
      <w:bookmarkEnd w:id="264"/>
      <w:r w:rsidRPr="009F1B54">
        <w:rPr>
          <w:rFonts w:ascii="Arial Bold" w:hAnsi="Arial Bold"/>
          <w:vanish/>
        </w:rPr>
        <w:fldChar w:fldCharType="begin"/>
      </w:r>
      <w:r w:rsidRPr="009F1B54">
        <w:rPr>
          <w:rFonts w:ascii="Arial Bold" w:hAnsi="Arial Bold"/>
          <w:vanish/>
        </w:rPr>
        <w:instrText xml:space="preserve"> XE </w:instrText>
      </w:r>
      <w:r w:rsidR="00FA7E65" w:rsidRPr="009F1B54">
        <w:rPr>
          <w:rFonts w:ascii="Arial Bold" w:hAnsi="Arial Bold"/>
          <w:vanish/>
        </w:rPr>
        <w:instrText>“</w:instrText>
      </w:r>
      <w:r w:rsidRPr="009F1B54">
        <w:rPr>
          <w:rFonts w:ascii="Arial Bold" w:hAnsi="Arial Bold"/>
          <w:vanish/>
        </w:rPr>
        <w:instrText>Edit Invoice Text</w:instrText>
      </w:r>
      <w:r w:rsidR="00FA7E65" w:rsidRPr="009F1B54">
        <w:rPr>
          <w:rFonts w:ascii="Arial Bold" w:hAnsi="Arial Bold"/>
          <w:vanish/>
        </w:rPr>
        <w:instrText>”</w:instrText>
      </w:r>
      <w:r w:rsidRPr="009F1B54">
        <w:rPr>
          <w:rFonts w:ascii="Arial Bold" w:hAnsi="Arial Bold"/>
          <w:vanish/>
        </w:rPr>
        <w:instrText xml:space="preserve"> </w:instrText>
      </w:r>
      <w:r w:rsidRPr="009F1B54">
        <w:rPr>
          <w:rFonts w:ascii="Arial Bold" w:hAnsi="Arial Bold"/>
          <w:vanish/>
        </w:rPr>
        <w:fldChar w:fldCharType="end"/>
      </w:r>
      <w:r w:rsidRPr="009F1B54">
        <w:rPr>
          <w:rFonts w:ascii="Arial Bold" w:hAnsi="Arial Bold"/>
          <w:vanish/>
        </w:rPr>
        <w:t xml:space="preserve"> UC_17</w:t>
      </w:r>
    </w:p>
    <w:p w14:paraId="2E3ECDC8" w14:textId="77777777" w:rsidR="002A21AE" w:rsidRDefault="002A21AE" w:rsidP="00FA7E65">
      <w:pPr>
        <w:pStyle w:val="BodyText"/>
      </w:pPr>
      <w:r>
        <w:t xml:space="preserve">VBECS includes a shipping invoice. The user may edit the explanatory text above the signature on the last page of a shipping invoice. </w:t>
      </w:r>
    </w:p>
    <w:p w14:paraId="3A69473A" w14:textId="77777777" w:rsidR="002A21AE" w:rsidRDefault="002A21AE">
      <w:pPr>
        <w:pStyle w:val="Heading4"/>
        <w:rPr>
          <w:b w:val="0"/>
        </w:rPr>
      </w:pPr>
      <w:r>
        <w:t>Assumptions</w:t>
      </w:r>
      <w:r>
        <w:rPr>
          <w:b w:val="0"/>
        </w:rPr>
        <w:t xml:space="preserve"> </w:t>
      </w:r>
    </w:p>
    <w:p w14:paraId="73DE402D" w14:textId="77777777" w:rsidR="002A21AE" w:rsidRDefault="002A21AE">
      <w:pPr>
        <w:pStyle w:val="ListBullet"/>
      </w:pPr>
      <w:r>
        <w:t>Information on the outgoing shipment invoice is generated during Outgoing Shipment.</w:t>
      </w:r>
    </w:p>
    <w:p w14:paraId="305102D2" w14:textId="77777777" w:rsidR="002A21AE" w:rsidRDefault="002A21AE">
      <w:pPr>
        <w:pStyle w:val="Heading4"/>
      </w:pPr>
      <w:r>
        <w:t>Outcome</w:t>
      </w:r>
    </w:p>
    <w:p w14:paraId="2EE61186" w14:textId="77777777" w:rsidR="002A21AE" w:rsidRDefault="002A21AE">
      <w:pPr>
        <w:pStyle w:val="ListBullet"/>
      </w:pPr>
      <w:r>
        <w:t>A division customized the text displayed on an outgoing shipment invoice.</w:t>
      </w:r>
    </w:p>
    <w:p w14:paraId="4B3B1659" w14:textId="77777777" w:rsidR="002A21AE" w:rsidRDefault="002A21AE">
      <w:pPr>
        <w:pStyle w:val="Heading4"/>
        <w:rPr>
          <w:b w:val="0"/>
        </w:rPr>
      </w:pPr>
      <w:r>
        <w:t>Limitations and Restrictions</w:t>
      </w:r>
      <w:r>
        <w:rPr>
          <w:b w:val="0"/>
        </w:rPr>
        <w:t xml:space="preserve"> </w:t>
      </w:r>
    </w:p>
    <w:p w14:paraId="34D537EA" w14:textId="77777777" w:rsidR="002A21AE" w:rsidRDefault="002A21AE">
      <w:pPr>
        <w:pStyle w:val="ListBullet"/>
        <w:ind w:left="720"/>
      </w:pPr>
      <w:r>
        <w:t>None</w:t>
      </w:r>
    </w:p>
    <w:p w14:paraId="72CECED7" w14:textId="77777777" w:rsidR="002A21AE" w:rsidRDefault="002A21AE">
      <w:pPr>
        <w:pStyle w:val="Heading4"/>
      </w:pPr>
      <w:r>
        <w:t xml:space="preserve">Additional Information </w:t>
      </w:r>
    </w:p>
    <w:p w14:paraId="02E20F36" w14:textId="77777777" w:rsidR="000D6A15" w:rsidRDefault="000D6A15" w:rsidP="000D6A15">
      <w:pPr>
        <w:pStyle w:val="ListBullet"/>
      </w:pPr>
      <w:r w:rsidRPr="000D6A15">
        <w:rPr>
          <w:vanish/>
        </w:rPr>
        <w:t>BR_17.05</w:t>
      </w:r>
      <w:r w:rsidRPr="00D21BA8">
        <w:t>T</w:t>
      </w:r>
      <w:r>
        <w:t>he default explanatory text</w:t>
      </w:r>
      <w:r w:rsidR="00D21BA8">
        <w:t xml:space="preserve"> reads</w:t>
      </w:r>
      <w:r>
        <w:t>: “</w:t>
      </w:r>
      <w:r w:rsidRPr="005861CC">
        <w:t>I certify that the blood products listed were properly maintained, in accordance with the Code of Federal Regulations, while in storage at this institution. Components were inspected when packed for shipment and found to be satisfactory in color and appearance.</w:t>
      </w:r>
      <w:r>
        <w:t>”</w:t>
      </w:r>
    </w:p>
    <w:p w14:paraId="356E3CE5" w14:textId="77777777" w:rsidR="002A21AE" w:rsidRDefault="002A21AE">
      <w:pPr>
        <w:pStyle w:val="Heading4"/>
        <w:tabs>
          <w:tab w:val="left" w:pos="4140"/>
        </w:tabs>
        <w:rPr>
          <w:snapToGrid w:val="0"/>
        </w:rPr>
      </w:pPr>
      <w:r>
        <w:rPr>
          <w:snapToGrid w:val="0"/>
        </w:rPr>
        <w:t xml:space="preserve">User Roles with Access to This Option </w:t>
      </w:r>
    </w:p>
    <w:p w14:paraId="6122F276" w14:textId="77777777" w:rsidR="002A21AE" w:rsidRDefault="00B2267D">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Enhanced Supervisor</w:t>
      </w:r>
    </w:p>
    <w:p w14:paraId="14BC7E79" w14:textId="77777777" w:rsidR="002A21AE" w:rsidRDefault="002A21AE">
      <w:pPr>
        <w:pStyle w:val="Heading4"/>
        <w:rPr>
          <w:snapToGrid w:val="0"/>
        </w:rPr>
      </w:pPr>
      <w:r>
        <w:rPr>
          <w:snapToGrid w:val="0"/>
        </w:rPr>
        <w:t>Edit Invoice Text</w:t>
      </w:r>
    </w:p>
    <w:p w14:paraId="1E4CA720" w14:textId="77777777" w:rsidR="002A21AE" w:rsidRDefault="002A21AE" w:rsidP="00FA7E65">
      <w:pPr>
        <w:pStyle w:val="BodyText"/>
      </w:pPr>
      <w:r>
        <w:t>The blood bank user needs to edit the shipping invoice text box to conform to changes in regulations or division requirements. When the edit is complete, the user saves the altered text for future shipping invoices. An audit trail of changes is maintained.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A18DC7A" w14:textId="77777777">
        <w:trPr>
          <w:cantSplit/>
          <w:tblHeader/>
        </w:trPr>
        <w:tc>
          <w:tcPr>
            <w:tcW w:w="3240" w:type="dxa"/>
            <w:shd w:val="pct30" w:color="auto" w:fill="FFFFFF"/>
            <w:vAlign w:val="bottom"/>
          </w:tcPr>
          <w:p w14:paraId="7DB42ED1" w14:textId="77777777" w:rsidR="002A21AE" w:rsidRDefault="002A21AE">
            <w:pPr>
              <w:pStyle w:val="TableText"/>
              <w:rPr>
                <w:b/>
              </w:rPr>
            </w:pPr>
            <w:r>
              <w:rPr>
                <w:b/>
              </w:rPr>
              <w:t>User Action</w:t>
            </w:r>
          </w:p>
        </w:tc>
        <w:tc>
          <w:tcPr>
            <w:tcW w:w="6120" w:type="dxa"/>
            <w:shd w:val="pct30" w:color="auto" w:fill="FFFFFF"/>
            <w:vAlign w:val="bottom"/>
          </w:tcPr>
          <w:p w14:paraId="047510F9" w14:textId="77777777" w:rsidR="002A21AE" w:rsidRDefault="002A21AE">
            <w:pPr>
              <w:pStyle w:val="TableText"/>
              <w:rPr>
                <w:b/>
              </w:rPr>
            </w:pPr>
            <w:r>
              <w:rPr>
                <w:b/>
              </w:rPr>
              <w:t>VBECS</w:t>
            </w:r>
          </w:p>
        </w:tc>
      </w:tr>
      <w:tr w:rsidR="002A21AE" w14:paraId="42DA7C32" w14:textId="77777777">
        <w:trPr>
          <w:cantSplit/>
        </w:trPr>
        <w:tc>
          <w:tcPr>
            <w:tcW w:w="3240" w:type="dxa"/>
          </w:tcPr>
          <w:p w14:paraId="46CEFAC1" w14:textId="77777777" w:rsidR="002A21AE" w:rsidRDefault="002A21AE">
            <w:pPr>
              <w:pStyle w:val="TableTextNumbers"/>
            </w:pPr>
            <w:r>
              <w:t xml:space="preserve">Select </w:t>
            </w:r>
            <w:r>
              <w:rPr>
                <w:b/>
              </w:rPr>
              <w:t>Shipments</w:t>
            </w:r>
            <w:r>
              <w:t xml:space="preserve"> from the main menu. </w:t>
            </w:r>
          </w:p>
          <w:p w14:paraId="0D768E11" w14:textId="77777777" w:rsidR="002A21AE" w:rsidRDefault="002A21AE">
            <w:pPr>
              <w:pStyle w:val="TableTextNumbersContinued"/>
            </w:pPr>
          </w:p>
          <w:p w14:paraId="1834CE63" w14:textId="77777777" w:rsidR="002A21AE" w:rsidRDefault="002A21AE">
            <w:pPr>
              <w:pStyle w:val="TableTextNumbersContinued"/>
            </w:pPr>
            <w:r>
              <w:t xml:space="preserve">Select </w:t>
            </w:r>
            <w:r>
              <w:rPr>
                <w:b/>
              </w:rPr>
              <w:t>Edit Invoice Text.</w:t>
            </w:r>
          </w:p>
        </w:tc>
        <w:tc>
          <w:tcPr>
            <w:tcW w:w="6120" w:type="dxa"/>
          </w:tcPr>
          <w:p w14:paraId="3CDE65E3" w14:textId="77777777" w:rsidR="002A21AE" w:rsidRDefault="002A21AE">
            <w:pPr>
              <w:pStyle w:val="TableTextBullet"/>
            </w:pPr>
            <w:r>
              <w:t xml:space="preserve">Displays options for processing blood product shipments. </w:t>
            </w:r>
          </w:p>
          <w:p w14:paraId="3AF7789A" w14:textId="77777777" w:rsidR="002A21AE" w:rsidRDefault="002A21AE">
            <w:pPr>
              <w:pStyle w:val="TableTextBullet"/>
            </w:pPr>
            <w:r>
              <w:t>Displays the current text for outgoing shipment invoice.</w:t>
            </w:r>
          </w:p>
        </w:tc>
      </w:tr>
      <w:tr w:rsidR="002A21AE" w14:paraId="45C3B790" w14:textId="77777777">
        <w:trPr>
          <w:cantSplit/>
        </w:trPr>
        <w:tc>
          <w:tcPr>
            <w:tcW w:w="3240" w:type="dxa"/>
          </w:tcPr>
          <w:p w14:paraId="52DB523F" w14:textId="77777777" w:rsidR="002A21AE" w:rsidRDefault="002A21AE">
            <w:pPr>
              <w:pStyle w:val="TableTextNumbers"/>
            </w:pPr>
            <w:r>
              <w:t>Edit the text.</w:t>
            </w:r>
          </w:p>
        </w:tc>
        <w:tc>
          <w:tcPr>
            <w:tcW w:w="6120" w:type="dxa"/>
          </w:tcPr>
          <w:p w14:paraId="42EF0AAF" w14:textId="77777777" w:rsidR="002A21AE" w:rsidRDefault="002A21AE">
            <w:pPr>
              <w:pStyle w:val="TableTextBullet"/>
            </w:pPr>
            <w:r>
              <w:t xml:space="preserve">Displays entered data and changes for review. </w:t>
            </w:r>
          </w:p>
          <w:p w14:paraId="6779C692" w14:textId="77777777" w:rsidR="002A21AE" w:rsidRDefault="002A21AE">
            <w:pPr>
              <w:pStyle w:val="TableTextBullet"/>
            </w:pPr>
            <w:r>
              <w:t>Prompts the user to save or reject the changes.</w:t>
            </w:r>
          </w:p>
        </w:tc>
      </w:tr>
      <w:tr w:rsidR="002A21AE" w14:paraId="5ED702CC" w14:textId="77777777">
        <w:trPr>
          <w:cantSplit/>
        </w:trPr>
        <w:tc>
          <w:tcPr>
            <w:tcW w:w="3240" w:type="dxa"/>
          </w:tcPr>
          <w:p w14:paraId="0065F811" w14:textId="77777777" w:rsidR="002A21AE" w:rsidRDefault="002A21AE">
            <w:pPr>
              <w:pStyle w:val="TableTextNumbers"/>
            </w:pPr>
            <w:r>
              <w:t>Review the changes.</w:t>
            </w:r>
          </w:p>
          <w:p w14:paraId="62EA551A" w14:textId="77777777" w:rsidR="002A21AE" w:rsidRDefault="002A21AE">
            <w:pPr>
              <w:pStyle w:val="TableTextNumbersContinued"/>
            </w:pPr>
          </w:p>
          <w:p w14:paraId="52CFB7BD" w14:textId="77777777" w:rsidR="002A21AE" w:rsidRDefault="002A21AE">
            <w:pPr>
              <w:pStyle w:val="TableTextNumbersContinued"/>
            </w:pPr>
            <w:r>
              <w:t xml:space="preserve">Click </w:t>
            </w:r>
            <w:r>
              <w:rPr>
                <w:b/>
              </w:rPr>
              <w:t>OK</w:t>
            </w:r>
            <w:r>
              <w:t xml:space="preserve"> to save the text.</w:t>
            </w:r>
          </w:p>
          <w:p w14:paraId="05C8A81A" w14:textId="77777777" w:rsidR="002A21AE" w:rsidRDefault="002A21AE">
            <w:pPr>
              <w:pStyle w:val="TableTextNumbersContinued"/>
            </w:pPr>
          </w:p>
          <w:p w14:paraId="7DE5AA22" w14:textId="77777777" w:rsidR="002A21AE" w:rsidRDefault="002A21AE">
            <w:pPr>
              <w:pStyle w:val="TableTextNumbersContinued"/>
            </w:pPr>
            <w:r>
              <w:t xml:space="preserve">Click </w:t>
            </w:r>
            <w:r>
              <w:rPr>
                <w:b/>
              </w:rPr>
              <w:t>Yes</w:t>
            </w:r>
            <w:r>
              <w:t xml:space="preserve"> to confirm the save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EBCDF7F" w14:textId="77777777" w:rsidR="002A21AE" w:rsidRDefault="002A21AE">
            <w:pPr>
              <w:pStyle w:val="TableTextBullet"/>
            </w:pPr>
            <w:r>
              <w:t>Saves the new text and makes it available for outgoing shipment invoices.</w:t>
            </w:r>
          </w:p>
        </w:tc>
      </w:tr>
    </w:tbl>
    <w:p w14:paraId="79932918" w14:textId="77777777" w:rsidR="00696609" w:rsidRDefault="00D53FD3" w:rsidP="00696609">
      <w:pPr>
        <w:pStyle w:val="Heading2"/>
      </w:pPr>
      <w:bookmarkStart w:id="265" w:name="_Toc163644910"/>
      <w:r>
        <w:t>Unit Search</w:t>
      </w:r>
      <w:r w:rsidR="005259AC">
        <w:t xml:space="preserve"> </w:t>
      </w:r>
      <w:r w:rsidR="00696609">
        <w:t>Screen</w:t>
      </w:r>
      <w:bookmarkEnd w:id="265"/>
      <w:r w:rsidR="00696609">
        <w:fldChar w:fldCharType="begin"/>
      </w:r>
      <w:r w:rsidR="00696609">
        <w:instrText xml:space="preserve"> XE “</w:instrText>
      </w:r>
      <w:r>
        <w:instrText>Unit Search</w:instrText>
      </w:r>
      <w:r w:rsidR="00696609">
        <w:instrText xml:space="preserve"> Screen” </w:instrText>
      </w:r>
      <w:r w:rsidR="00696609">
        <w:fldChar w:fldCharType="end"/>
      </w:r>
    </w:p>
    <w:p w14:paraId="1D9C6785" w14:textId="1955A10F" w:rsidR="00696609" w:rsidRDefault="00696609" w:rsidP="00696609">
      <w:pPr>
        <w:pStyle w:val="BodyText"/>
      </w:pPr>
      <w:r>
        <w:t xml:space="preserve">VBECS displays the </w:t>
      </w:r>
      <w:r w:rsidR="000E2F87">
        <w:t>Unit Search</w:t>
      </w:r>
      <w:r>
        <w:t xml:space="preserve"> screen </w:t>
      </w:r>
      <w:r w:rsidR="00A86D14">
        <w:t>(</w:t>
      </w:r>
      <w:r w:rsidR="00EE455E">
        <w:t xml:space="preserve">Figure </w:t>
      </w:r>
      <w:r w:rsidR="00EE455E">
        <w:rPr>
          <w:noProof/>
        </w:rPr>
        <w:t>53</w:t>
      </w:r>
      <w:r w:rsidR="00A86D14">
        <w:t xml:space="preserve">) </w:t>
      </w:r>
      <w:r>
        <w:t xml:space="preserve">when the user </w:t>
      </w:r>
      <w:r w:rsidR="00C57F9C">
        <w:t xml:space="preserve">clicks the </w:t>
      </w:r>
      <w:r w:rsidR="00A6373D">
        <w:rPr>
          <w:b/>
        </w:rPr>
        <w:t>find</w:t>
      </w:r>
      <w:r w:rsidR="00C57F9C" w:rsidRPr="00C57F9C">
        <w:rPr>
          <w:b/>
        </w:rPr>
        <w:t xml:space="preserve"> </w:t>
      </w:r>
      <w:r w:rsidR="00C57F9C" w:rsidRPr="00BF2E41">
        <w:t>button</w:t>
      </w:r>
      <w:r w:rsidR="002A36EF" w:rsidRPr="002A36EF">
        <w:t xml:space="preserve"> </w:t>
      </w:r>
      <w:r w:rsidR="00CA2640">
        <w:t>to select a unit</w:t>
      </w:r>
      <w:r w:rsidR="00574388">
        <w:t xml:space="preserve"> through some of the Blood Units, Patients, Shipments, and Supervisor main menu items</w:t>
      </w:r>
      <w:r>
        <w:t>.</w:t>
      </w:r>
      <w:r w:rsidR="005259AC">
        <w:t xml:space="preserve"> The title of the screen may vary </w:t>
      </w:r>
      <w:r w:rsidR="00A134BA">
        <w:t xml:space="preserve">(e.g., </w:t>
      </w:r>
      <w:r w:rsidR="003B7116">
        <w:t xml:space="preserve">Select Unit for Printing, Unit ABO/Rh Confirmation, </w:t>
      </w:r>
      <w:r w:rsidR="001A7E50">
        <w:t>Unit Antigen Typing,</w:t>
      </w:r>
      <w:r w:rsidR="005627A6">
        <w:t xml:space="preserve"> </w:t>
      </w:r>
      <w:r w:rsidR="00F47488">
        <w:t>Edit Unit Information</w:t>
      </w:r>
      <w:r w:rsidR="00A86581">
        <w:t>)</w:t>
      </w:r>
      <w:r w:rsidR="009046B4" w:rsidRPr="009046B4">
        <w:t xml:space="preserve"> </w:t>
      </w:r>
      <w:r w:rsidR="009046B4">
        <w:t>depending on the option selected.</w:t>
      </w:r>
      <w:r w:rsidR="003308A2">
        <w:t xml:space="preserve"> (The user then selects criteria to continue the search.)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96609" w14:paraId="2BFE6495" w14:textId="77777777">
        <w:trPr>
          <w:cantSplit/>
          <w:tblHeader/>
        </w:trPr>
        <w:tc>
          <w:tcPr>
            <w:tcW w:w="3240" w:type="dxa"/>
            <w:shd w:val="pct30" w:color="auto" w:fill="FFFFFF"/>
            <w:vAlign w:val="bottom"/>
          </w:tcPr>
          <w:p w14:paraId="143C1F14" w14:textId="77777777" w:rsidR="00696609" w:rsidRDefault="00696609" w:rsidP="00F52014">
            <w:pPr>
              <w:pStyle w:val="TableText"/>
              <w:rPr>
                <w:b/>
              </w:rPr>
            </w:pPr>
            <w:r>
              <w:rPr>
                <w:b/>
              </w:rPr>
              <w:lastRenderedPageBreak/>
              <w:t>User Action</w:t>
            </w:r>
          </w:p>
        </w:tc>
        <w:tc>
          <w:tcPr>
            <w:tcW w:w="6120" w:type="dxa"/>
            <w:shd w:val="pct30" w:color="auto" w:fill="FFFFFF"/>
            <w:vAlign w:val="bottom"/>
          </w:tcPr>
          <w:p w14:paraId="6180F9DC" w14:textId="77777777" w:rsidR="00696609" w:rsidRDefault="00696609" w:rsidP="00F52014">
            <w:pPr>
              <w:pStyle w:val="TableText"/>
              <w:rPr>
                <w:b/>
              </w:rPr>
            </w:pPr>
            <w:r>
              <w:rPr>
                <w:b/>
              </w:rPr>
              <w:t>VBECS</w:t>
            </w:r>
          </w:p>
        </w:tc>
      </w:tr>
      <w:tr w:rsidR="00696609" w14:paraId="681C0D2A" w14:textId="77777777" w:rsidTr="006C058D">
        <w:trPr>
          <w:cantSplit/>
        </w:trPr>
        <w:tc>
          <w:tcPr>
            <w:tcW w:w="3240" w:type="dxa"/>
            <w:tcBorders>
              <w:top w:val="single" w:sz="4" w:space="0" w:color="auto"/>
              <w:left w:val="single" w:sz="4" w:space="0" w:color="auto"/>
              <w:bottom w:val="single" w:sz="4" w:space="0" w:color="auto"/>
              <w:right w:val="single" w:sz="4" w:space="0" w:color="auto"/>
            </w:tcBorders>
          </w:tcPr>
          <w:p w14:paraId="5965850A" w14:textId="77777777" w:rsidR="00696609" w:rsidRDefault="00574388" w:rsidP="00F52014">
            <w:pPr>
              <w:pStyle w:val="TableTextNumbers"/>
            </w:pPr>
            <w:r>
              <w:t>Select an item from the main menu and the desired option.</w:t>
            </w:r>
          </w:p>
          <w:p w14:paraId="26ADB377" w14:textId="77777777" w:rsidR="00574388" w:rsidRDefault="00574388" w:rsidP="00574388">
            <w:pPr>
              <w:pStyle w:val="TableTextNumbersContinued"/>
            </w:pPr>
          </w:p>
          <w:p w14:paraId="70CAA61B" w14:textId="77777777" w:rsidR="00653EEA" w:rsidRPr="00653EEA" w:rsidRDefault="00574388" w:rsidP="00574388">
            <w:pPr>
              <w:pStyle w:val="TableTextNumbersContinued"/>
            </w:pPr>
            <w:r>
              <w:t>Click additional buttons as needed.</w:t>
            </w:r>
          </w:p>
        </w:tc>
        <w:tc>
          <w:tcPr>
            <w:tcW w:w="6120" w:type="dxa"/>
            <w:tcBorders>
              <w:top w:val="single" w:sz="4" w:space="0" w:color="auto"/>
              <w:left w:val="single" w:sz="4" w:space="0" w:color="auto"/>
              <w:bottom w:val="single" w:sz="4" w:space="0" w:color="auto"/>
              <w:right w:val="single" w:sz="4" w:space="0" w:color="auto"/>
            </w:tcBorders>
          </w:tcPr>
          <w:p w14:paraId="29535DC2" w14:textId="77777777" w:rsidR="00696609" w:rsidRDefault="00696609" w:rsidP="00F52014">
            <w:pPr>
              <w:pStyle w:val="TableTextBullet"/>
            </w:pPr>
            <w:r>
              <w:t xml:space="preserve">Displays the </w:t>
            </w:r>
            <w:r w:rsidR="000E2F87">
              <w:t>Unit</w:t>
            </w:r>
            <w:r>
              <w:t xml:space="preserve"> Search screen.</w:t>
            </w:r>
          </w:p>
          <w:p w14:paraId="7E40B05E" w14:textId="77777777" w:rsidR="00EC1534" w:rsidRDefault="00EC1534" w:rsidP="00EC1534">
            <w:pPr>
              <w:pStyle w:val="TableText"/>
              <w:rPr>
                <w:b/>
                <w:bCs/>
              </w:rPr>
            </w:pPr>
          </w:p>
          <w:p w14:paraId="12BAFEA3" w14:textId="359F0EFC" w:rsidR="00EC1534" w:rsidRDefault="00EC1534" w:rsidP="00EC1534">
            <w:pPr>
              <w:pStyle w:val="TableText"/>
              <w:rPr>
                <w:b/>
                <w:bCs/>
              </w:rPr>
            </w:pPr>
            <w:r>
              <w:rPr>
                <w:b/>
                <w:bCs/>
              </w:rPr>
              <w:t xml:space="preserve">NOTES </w:t>
            </w:r>
          </w:p>
          <w:p w14:paraId="2AC769B0" w14:textId="77777777" w:rsidR="00EC1534" w:rsidRPr="0008348E" w:rsidRDefault="00EC1534" w:rsidP="00EC1534">
            <w:pPr>
              <w:pStyle w:val="NotesText"/>
            </w:pPr>
            <w:r w:rsidRPr="00EC1534">
              <w:t xml:space="preserve">Although multiple </w:t>
            </w:r>
            <w:r>
              <w:t xml:space="preserve">search </w:t>
            </w:r>
            <w:r w:rsidRPr="00EC1534">
              <w:t>criteria can be c</w:t>
            </w:r>
            <w:r>
              <w:t xml:space="preserve">hecked, the Unit Search screen </w:t>
            </w:r>
            <w:r w:rsidRPr="00EC1534">
              <w:t>perform</w:t>
            </w:r>
            <w:r>
              <w:t>s</w:t>
            </w:r>
            <w:r w:rsidRPr="00EC1534">
              <w:t xml:space="preserve"> independent searches not a summary search </w:t>
            </w:r>
            <w:r>
              <w:t>for all the selected variables.</w:t>
            </w:r>
            <w:r w:rsidR="0008348E">
              <w:rPr>
                <w:vanish/>
              </w:rPr>
              <w:t xml:space="preserve"> DR 3597</w:t>
            </w:r>
          </w:p>
          <w:p w14:paraId="3F2E60CD" w14:textId="77777777" w:rsidR="00EC1534" w:rsidRDefault="00EC1534" w:rsidP="00EC1534">
            <w:pPr>
              <w:pStyle w:val="NotesText"/>
            </w:pPr>
          </w:p>
          <w:p w14:paraId="71446678" w14:textId="77777777" w:rsidR="00EC1534" w:rsidRPr="0008348E" w:rsidRDefault="00EC1534" w:rsidP="00EC1534">
            <w:pPr>
              <w:pStyle w:val="NotesText"/>
            </w:pPr>
            <w:r>
              <w:t>Users can obtain a listing of all available unit specifics by creating a custom Blood Availability Report allowing them to make the appropriate selections without looking at each unit’s record.</w:t>
            </w:r>
            <w:r w:rsidR="0008348E">
              <w:rPr>
                <w:vanish/>
              </w:rPr>
              <w:t xml:space="preserve"> DR 3597</w:t>
            </w:r>
          </w:p>
        </w:tc>
      </w:tr>
      <w:tr w:rsidR="00696609" w14:paraId="1E355C9F" w14:textId="77777777">
        <w:tc>
          <w:tcPr>
            <w:tcW w:w="3240" w:type="dxa"/>
            <w:tcBorders>
              <w:top w:val="single" w:sz="4" w:space="0" w:color="auto"/>
              <w:left w:val="single" w:sz="4" w:space="0" w:color="auto"/>
              <w:bottom w:val="single" w:sz="4" w:space="0" w:color="auto"/>
              <w:right w:val="single" w:sz="4" w:space="0" w:color="auto"/>
            </w:tcBorders>
          </w:tcPr>
          <w:p w14:paraId="173202F7" w14:textId="5B730393" w:rsidR="000C426C" w:rsidRDefault="00696609" w:rsidP="008E012C">
            <w:pPr>
              <w:pStyle w:val="TableTextNumbers"/>
            </w:pPr>
            <w:r>
              <w:t xml:space="preserve">To search for a </w:t>
            </w:r>
            <w:r w:rsidR="000C426C">
              <w:t>unit</w:t>
            </w:r>
            <w:r w:rsidR="008E012C">
              <w:t xml:space="preserve">, </w:t>
            </w:r>
            <w:r w:rsidR="00415C5B">
              <w:t>enter the full or partial unit ID</w:t>
            </w:r>
            <w:r w:rsidR="00ED20E2">
              <w:t xml:space="preserve"> and click the </w:t>
            </w:r>
            <w:r w:rsidR="00A6373D" w:rsidRPr="00A6373D">
              <w:rPr>
                <w:b/>
              </w:rPr>
              <w:t>find</w:t>
            </w:r>
            <w:r w:rsidR="00ED20E2" w:rsidRPr="00ED20E2">
              <w:rPr>
                <w:b/>
              </w:rPr>
              <w:t xml:space="preserve"> </w:t>
            </w:r>
            <w:r w:rsidR="00ED20E2" w:rsidRPr="00D1100E">
              <w:t>button</w:t>
            </w:r>
            <w:r w:rsidR="00415C5B">
              <w:t xml:space="preserve">, or </w:t>
            </w:r>
            <w:r w:rsidR="00ED20E2">
              <w:t xml:space="preserve">just </w:t>
            </w:r>
            <w:r w:rsidR="008E012C">
              <w:t>c</w:t>
            </w:r>
            <w:r w:rsidR="000C426C">
              <w:t xml:space="preserve">lick the </w:t>
            </w:r>
            <w:r w:rsidR="00A6373D" w:rsidRPr="00A6373D">
              <w:rPr>
                <w:b/>
              </w:rPr>
              <w:t>find</w:t>
            </w:r>
            <w:r w:rsidR="000C426C" w:rsidRPr="008E012C">
              <w:rPr>
                <w:b/>
              </w:rPr>
              <w:t xml:space="preserve"> </w:t>
            </w:r>
            <w:r w:rsidR="000C426C" w:rsidRPr="00D1100E">
              <w:t>button</w:t>
            </w:r>
            <w:r w:rsidR="00A86D14">
              <w:rPr>
                <w:b/>
              </w:rPr>
              <w:t xml:space="preserve"> </w:t>
            </w:r>
            <w:r w:rsidR="00A86D14" w:rsidRPr="00A86D14">
              <w:t>(</w:t>
            </w:r>
            <w:r w:rsidR="00EE455E">
              <w:t xml:space="preserve">Figure </w:t>
            </w:r>
            <w:r w:rsidR="00EE455E">
              <w:rPr>
                <w:noProof/>
              </w:rPr>
              <w:t>53</w:t>
            </w:r>
            <w:r w:rsidR="000275FF">
              <w:t>)</w:t>
            </w:r>
            <w:r w:rsidR="000C426C">
              <w:t>.</w:t>
            </w:r>
          </w:p>
          <w:p w14:paraId="74A8771F" w14:textId="77777777" w:rsidR="008E012C" w:rsidRDefault="008E012C" w:rsidP="008E012C">
            <w:pPr>
              <w:pStyle w:val="TableTextNumbersContinued"/>
            </w:pPr>
          </w:p>
          <w:p w14:paraId="7DEEE5B5" w14:textId="77777777" w:rsidR="00696609" w:rsidRDefault="008E012C" w:rsidP="008E012C">
            <w:pPr>
              <w:pStyle w:val="TableTextNumbersContinued"/>
            </w:pPr>
            <w:r>
              <w:t>Click a check box to select a unit.</w:t>
            </w:r>
          </w:p>
          <w:p w14:paraId="50EF3DEC" w14:textId="77777777" w:rsidR="008E012C" w:rsidRDefault="008E012C" w:rsidP="008E012C">
            <w:pPr>
              <w:pStyle w:val="TableTextNumbersContinued"/>
            </w:pPr>
          </w:p>
          <w:p w14:paraId="0527799A" w14:textId="77777777" w:rsidR="00696609" w:rsidRDefault="008E012C" w:rsidP="008E012C">
            <w:pPr>
              <w:pStyle w:val="TableTextNumbersContinued"/>
            </w:pPr>
            <w:r>
              <w:t xml:space="preserve">Click </w:t>
            </w:r>
            <w:r w:rsidRPr="008E012C">
              <w:rPr>
                <w:b/>
              </w:rPr>
              <w:t>OK</w:t>
            </w:r>
            <w:r w:rsidR="00696609">
              <w:t>.</w:t>
            </w:r>
            <w:r w:rsidR="003F7207">
              <w:t xml:space="preserve"> </w:t>
            </w:r>
            <w:r w:rsidR="003F7207">
              <w:rPr>
                <w:vanish/>
                <w:color w:val="FFFFFF"/>
                <w:szCs w:val="18"/>
              </w:rPr>
              <w:fldChar w:fldCharType="begin"/>
            </w:r>
            <w:r w:rsidR="003F7207">
              <w:rPr>
                <w:vanish/>
                <w:color w:val="FFFFFF"/>
                <w:szCs w:val="18"/>
              </w:rPr>
              <w:instrText xml:space="preserve"> LISTNUM \l 1 \s 0 </w:instrText>
            </w:r>
            <w:r w:rsidR="003F7207">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670CDE1" w14:textId="77777777" w:rsidR="00050576" w:rsidRDefault="00696609" w:rsidP="00050576">
            <w:pPr>
              <w:pStyle w:val="TableTextBullet"/>
            </w:pPr>
            <w:r>
              <w:t xml:space="preserve">Lists </w:t>
            </w:r>
            <w:r w:rsidR="000C426C">
              <w:t>units</w:t>
            </w:r>
            <w:r>
              <w:t xml:space="preserve"> that meet the search criteria.</w:t>
            </w:r>
            <w:r w:rsidR="00050576">
              <w:t xml:space="preserve"> </w:t>
            </w:r>
          </w:p>
          <w:p w14:paraId="40970EC6" w14:textId="77777777" w:rsidR="00696609" w:rsidRDefault="00050576" w:rsidP="00574388">
            <w:pPr>
              <w:pStyle w:val="TableTextBullet"/>
            </w:pPr>
            <w:r>
              <w:t>Displays unit-associated data.</w:t>
            </w:r>
          </w:p>
          <w:p w14:paraId="7E1E9A31" w14:textId="77777777" w:rsidR="00415C5B" w:rsidRDefault="00415C5B" w:rsidP="00415C5B">
            <w:pPr>
              <w:pStyle w:val="TableText"/>
            </w:pPr>
          </w:p>
          <w:p w14:paraId="770E48F3" w14:textId="320EA8E6" w:rsidR="00415C5B" w:rsidRDefault="00415C5B" w:rsidP="00415C5B">
            <w:pPr>
              <w:pStyle w:val="TableText"/>
              <w:rPr>
                <w:b/>
                <w:bCs/>
              </w:rPr>
            </w:pPr>
            <w:r>
              <w:rPr>
                <w:b/>
                <w:bCs/>
              </w:rPr>
              <w:t xml:space="preserve">NOTES </w:t>
            </w:r>
          </w:p>
          <w:p w14:paraId="7A119BEB" w14:textId="77777777" w:rsidR="00415C5B" w:rsidRDefault="00415C5B" w:rsidP="00415C5B">
            <w:pPr>
              <w:pStyle w:val="NotesText"/>
            </w:pPr>
          </w:p>
          <w:p w14:paraId="10977A23" w14:textId="77777777" w:rsidR="00415C5B" w:rsidRDefault="00ED20E2" w:rsidP="00A6373D">
            <w:pPr>
              <w:pStyle w:val="NotesText"/>
            </w:pPr>
            <w:r>
              <w:t>To speed the search, e</w:t>
            </w:r>
            <w:r w:rsidR="00415C5B">
              <w:t xml:space="preserve">nter a </w:t>
            </w:r>
            <w:r>
              <w:t xml:space="preserve">full or partial </w:t>
            </w:r>
            <w:r w:rsidR="00415C5B">
              <w:t xml:space="preserve">unit ID instead </w:t>
            </w:r>
            <w:r>
              <w:t xml:space="preserve">of just clicking the </w:t>
            </w:r>
            <w:r w:rsidR="00A6373D">
              <w:rPr>
                <w:b/>
              </w:rPr>
              <w:t>find</w:t>
            </w:r>
            <w:r>
              <w:t xml:space="preserve"> button</w:t>
            </w:r>
            <w:r w:rsidR="00C54571">
              <w:t xml:space="preserve"> (which causes VBECS to search the entire database and takes longer)</w:t>
            </w:r>
            <w:r>
              <w:t>.</w:t>
            </w:r>
          </w:p>
        </w:tc>
      </w:tr>
    </w:tbl>
    <w:p w14:paraId="002EF351" w14:textId="77777777" w:rsidR="00DB3F75" w:rsidRDefault="0002560C" w:rsidP="0002560C">
      <w:pPr>
        <w:pStyle w:val="Caution"/>
      </w:pPr>
      <w:r>
        <w:t>VBECS checks unit IDs and product codes after the user enters the product code. When there is a discrepancy, VBECS displays the Input Error icon and allows the user to edit the data.</w:t>
      </w:r>
    </w:p>
    <w:p w14:paraId="24391CB4" w14:textId="3E1EFA61" w:rsidR="00156636" w:rsidRPr="00A6373D" w:rsidRDefault="00A6373D" w:rsidP="00A6373D">
      <w:pPr>
        <w:pStyle w:val="Caption"/>
      </w:pPr>
      <w:bookmarkStart w:id="266" w:name="_Ref300839358"/>
      <w:bookmarkStart w:id="267" w:name="_Ref30083935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54</w:t>
      </w:r>
      <w:r w:rsidR="004E20BD">
        <w:rPr>
          <w:noProof/>
        </w:rPr>
        <w:fldChar w:fldCharType="end"/>
      </w:r>
      <w:bookmarkEnd w:id="266"/>
      <w:r>
        <w:t xml:space="preserve">: </w:t>
      </w:r>
      <w:r w:rsidR="00156636" w:rsidRPr="00A6373D">
        <w:t>Click the Find Button</w:t>
      </w:r>
      <w:bookmarkEnd w:id="267"/>
    </w:p>
    <w:p w14:paraId="3E0EFAA9" w14:textId="77777777" w:rsidR="00A6373D" w:rsidRDefault="00057948" w:rsidP="00A6373D">
      <w:pPr>
        <w:pStyle w:val="BodyText"/>
      </w:pPr>
      <w:r>
        <w:rPr>
          <w:noProof/>
        </w:rPr>
        <w:drawing>
          <wp:inline distT="0" distB="0" distL="0" distR="0" wp14:anchorId="7E5255E7" wp14:editId="43C2F4F5">
            <wp:extent cx="4627245" cy="2733675"/>
            <wp:effectExtent l="0" t="0" r="1905" b="9525"/>
            <wp:docPr id="166" name="Picture 166" descr="Example of Click the Find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Example of Click the Find Button screen captur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27245" cy="2733675"/>
                    </a:xfrm>
                    <a:prstGeom prst="rect">
                      <a:avLst/>
                    </a:prstGeom>
                    <a:noFill/>
                    <a:ln>
                      <a:noFill/>
                    </a:ln>
                  </pic:spPr>
                </pic:pic>
              </a:graphicData>
            </a:graphic>
          </wp:inline>
        </w:drawing>
      </w:r>
    </w:p>
    <w:p w14:paraId="5FB30261" w14:textId="43B60BEC" w:rsidR="00A6373D" w:rsidRPr="00A6373D" w:rsidRDefault="00A6373D" w:rsidP="00A6373D">
      <w:pPr>
        <w:pStyle w:val="Caption"/>
      </w:pPr>
      <w:bookmarkStart w:id="268" w:name="_Ref30083938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55</w:t>
      </w:r>
      <w:r w:rsidR="004E20BD">
        <w:rPr>
          <w:noProof/>
        </w:rPr>
        <w:fldChar w:fldCharType="end"/>
      </w:r>
      <w:bookmarkEnd w:id="268"/>
      <w:r>
        <w:t xml:space="preserve">: </w:t>
      </w:r>
      <w:r w:rsidRPr="00A6373D">
        <w:t>Display Unit Search Screen</w:t>
      </w:r>
    </w:p>
    <w:p w14:paraId="716F2D09" w14:textId="77777777" w:rsidR="00156636" w:rsidRDefault="00057948" w:rsidP="00156636">
      <w:pPr>
        <w:pStyle w:val="BodyText"/>
      </w:pPr>
      <w:r>
        <w:rPr>
          <w:noProof/>
        </w:rPr>
        <w:drawing>
          <wp:inline distT="0" distB="0" distL="0" distR="0" wp14:anchorId="6C68FA56" wp14:editId="5DF70F67">
            <wp:extent cx="5939155" cy="3352800"/>
            <wp:effectExtent l="0" t="0" r="4445" b="0"/>
            <wp:docPr id="167" name="Picture 167" descr="Example of Display Unit Search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Example of Display Unit Search screen captur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9155" cy="3352800"/>
                    </a:xfrm>
                    <a:prstGeom prst="rect">
                      <a:avLst/>
                    </a:prstGeom>
                    <a:noFill/>
                    <a:ln>
                      <a:noFill/>
                    </a:ln>
                  </pic:spPr>
                </pic:pic>
              </a:graphicData>
            </a:graphic>
          </wp:inline>
        </w:drawing>
      </w:r>
    </w:p>
    <w:p w14:paraId="511F9E64" w14:textId="77777777" w:rsidR="00156636" w:rsidRDefault="00156636" w:rsidP="00156636">
      <w:pPr>
        <w:pStyle w:val="BodyText"/>
      </w:pPr>
    </w:p>
    <w:p w14:paraId="450C405D" w14:textId="77777777" w:rsidR="00156636" w:rsidRPr="00156636" w:rsidRDefault="00156636" w:rsidP="00156636">
      <w:pPr>
        <w:pStyle w:val="BodyText"/>
        <w:sectPr w:rsidR="00156636" w:rsidRPr="00156636" w:rsidSect="00EE771C">
          <w:headerReference w:type="default" r:id="rId142"/>
          <w:pgSz w:w="12240" w:h="15840" w:code="1"/>
          <w:pgMar w:top="1440" w:right="1440" w:bottom="1440" w:left="1440" w:header="720" w:footer="720" w:gutter="0"/>
          <w:cols w:space="720"/>
          <w:docGrid w:linePitch="360"/>
        </w:sectPr>
      </w:pPr>
    </w:p>
    <w:p w14:paraId="020E080E" w14:textId="77777777" w:rsidR="002A21AE" w:rsidRDefault="002A21AE" w:rsidP="00CE6B6A">
      <w:pPr>
        <w:pStyle w:val="Heading2"/>
      </w:pPr>
      <w:bookmarkStart w:id="269" w:name="_Toc163644911"/>
      <w:r>
        <w:lastRenderedPageBreak/>
        <w:t>Test Units</w:t>
      </w:r>
      <w:bookmarkEnd w:id="235"/>
      <w:bookmarkEnd w:id="269"/>
      <w:r>
        <w:fldChar w:fldCharType="begin"/>
      </w:r>
      <w:r>
        <w:instrText xml:space="preserve"> XE </w:instrText>
      </w:r>
      <w:r w:rsidR="00FA7E65">
        <w:instrText>“</w:instrText>
      </w:r>
      <w:r>
        <w:instrText>Test Units</w:instrText>
      </w:r>
      <w:r w:rsidR="00FA7E65">
        <w:instrText>”</w:instrText>
      </w:r>
      <w:r>
        <w:instrText xml:space="preserve"> </w:instrText>
      </w:r>
      <w:r>
        <w:fldChar w:fldCharType="end"/>
      </w:r>
    </w:p>
    <w:p w14:paraId="6F57B383" w14:textId="77777777" w:rsidR="002A21AE" w:rsidRDefault="002A21AE">
      <w:pPr>
        <w:pStyle w:val="Heading3"/>
      </w:pPr>
      <w:bookmarkStart w:id="270" w:name="_ABO/Rh_Confirmation"/>
      <w:bookmarkStart w:id="271" w:name="_Toc163644912"/>
      <w:bookmarkEnd w:id="270"/>
      <w:r>
        <w:t>ABO/Rh Confirmation</w:t>
      </w:r>
      <w:bookmarkEnd w:id="271"/>
      <w:r w:rsidRPr="007716F7">
        <w:rPr>
          <w:vanish/>
        </w:rPr>
        <w:fldChar w:fldCharType="begin"/>
      </w:r>
      <w:r w:rsidRPr="007716F7">
        <w:rPr>
          <w:vanish/>
        </w:rPr>
        <w:instrText xml:space="preserve"> XE </w:instrText>
      </w:r>
      <w:r w:rsidR="00FA7E65" w:rsidRPr="007716F7">
        <w:rPr>
          <w:vanish/>
        </w:rPr>
        <w:instrText>“</w:instrText>
      </w:r>
      <w:r w:rsidRPr="007716F7">
        <w:rPr>
          <w:vanish/>
        </w:rPr>
        <w:instrText>ABO/Rh Confirmation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UC_02</w:t>
      </w:r>
    </w:p>
    <w:p w14:paraId="128E8BCD" w14:textId="77777777" w:rsidR="002A21AE" w:rsidRDefault="002A21AE" w:rsidP="00FA7E65">
      <w:pPr>
        <w:pStyle w:val="BodyText"/>
      </w:pPr>
      <w:r>
        <w:t>Blood produc</w:t>
      </w:r>
      <w:r w:rsidR="006C5ACC">
        <w:t xml:space="preserve">ts </w:t>
      </w:r>
      <w:r w:rsidR="00C55227">
        <w:t xml:space="preserve">that contain </w:t>
      </w:r>
      <w:r w:rsidR="00C0155E">
        <w:t xml:space="preserve">equal to or greater than (= &gt;) of </w:t>
      </w:r>
      <w:r w:rsidR="00C55227">
        <w:t xml:space="preserve">red blood cells (Red Blood Cells, Whole Blood, Granulocytes and Leukocytes) </w:t>
      </w:r>
      <w:r>
        <w:t>require ABO/Rh confirmation</w:t>
      </w:r>
      <w:r w:rsidR="00D2652F" w:rsidRPr="00D2652F">
        <w:rPr>
          <w:vanish/>
        </w:rPr>
        <w:t>(PT_1.06 Product Types)</w:t>
      </w:r>
      <w:r>
        <w:t>. The user may process ABO/Rh confirmation results by selecting an invoice or individual units of blood received in a shipment. VBECS records the ABO/Rh test results for the list of blood units tested.</w:t>
      </w:r>
    </w:p>
    <w:p w14:paraId="0195EE8D" w14:textId="77777777" w:rsidR="002A21AE" w:rsidRDefault="002A21AE">
      <w:pPr>
        <w:pStyle w:val="Heading4"/>
      </w:pPr>
      <w:r>
        <w:t>Assumptions</w:t>
      </w:r>
    </w:p>
    <w:p w14:paraId="6FED37BD" w14:textId="77777777" w:rsidR="00852AC1" w:rsidRDefault="00852AC1" w:rsidP="00852AC1">
      <w:pPr>
        <w:pStyle w:val="ListBullet"/>
      </w:pPr>
      <w:r>
        <w:t>The division is “full service.”</w:t>
      </w:r>
    </w:p>
    <w:p w14:paraId="7A80476B" w14:textId="77777777" w:rsidR="002A21AE" w:rsidRDefault="002A21AE">
      <w:pPr>
        <w:pStyle w:val="ListBullet"/>
      </w:pPr>
      <w:r>
        <w:t xml:space="preserve">A unit’s labeled ABO/Rh was entered in the same division as the user during login of an incoming shipment. </w:t>
      </w:r>
    </w:p>
    <w:p w14:paraId="2640BFB2" w14:textId="77777777" w:rsidR="002A21AE" w:rsidRDefault="002A21AE">
      <w:pPr>
        <w:pStyle w:val="ListBullet"/>
      </w:pPr>
      <w:r>
        <w:rPr>
          <w:rFonts w:ascii="Arial" w:hAnsi="Arial" w:cs="Arial"/>
          <w:vanish/>
          <w:spacing w:val="0"/>
          <w:sz w:val="18"/>
        </w:rPr>
        <w:t xml:space="preserve">BR_2.02 </w:t>
      </w:r>
      <w:r>
        <w:t>Only invoices processed within a user’s division may be accessed to create an ABO/Rh confirmation worklist.</w:t>
      </w:r>
    </w:p>
    <w:p w14:paraId="1D06D1D4" w14:textId="77777777" w:rsidR="002A21AE" w:rsidRDefault="002A21AE">
      <w:pPr>
        <w:pStyle w:val="Heading4"/>
      </w:pPr>
      <w:r>
        <w:t>Outcome</w:t>
      </w:r>
    </w:p>
    <w:p w14:paraId="29AC7467" w14:textId="77777777" w:rsidR="002A21AE" w:rsidRDefault="002A21AE">
      <w:pPr>
        <w:pStyle w:val="ListBullet"/>
      </w:pPr>
      <w:r>
        <w:t>Unit ABO/Rh observed test results and interpretations are available for selection for patient use.</w:t>
      </w:r>
    </w:p>
    <w:p w14:paraId="57FA6AB5" w14:textId="77777777" w:rsidR="002A21AE" w:rsidRDefault="002A21AE">
      <w:pPr>
        <w:pStyle w:val="Heading4"/>
      </w:pPr>
      <w:r>
        <w:t>Limitations and Restrictions</w:t>
      </w:r>
    </w:p>
    <w:p w14:paraId="3CDC930C" w14:textId="24A2AFCC" w:rsidR="00164B44" w:rsidRPr="00164B44" w:rsidRDefault="00164B44">
      <w:pPr>
        <w:pStyle w:val="ListBullet"/>
      </w:pPr>
      <w:r w:rsidRPr="00164B44">
        <w:rPr>
          <w:vanish/>
        </w:rPr>
        <w:t>BR_</w:t>
      </w:r>
      <w:r w:rsidR="00F63A03">
        <w:rPr>
          <w:vanish/>
        </w:rPr>
        <w:t>2.43</w:t>
      </w:r>
      <w:r w:rsidRPr="00164B44">
        <w:rPr>
          <w:vanish/>
        </w:rPr>
        <w:t xml:space="preserve"> </w:t>
      </w:r>
      <w:r>
        <w:t>This option is disabled for transfusion-only facilities.</w:t>
      </w:r>
    </w:p>
    <w:p w14:paraId="7501FF69" w14:textId="77777777" w:rsidR="002A21AE" w:rsidRDefault="002A21AE">
      <w:pPr>
        <w:pStyle w:val="ListBullet"/>
      </w:pPr>
      <w:r>
        <w:rPr>
          <w:rFonts w:ascii="Arial" w:hAnsi="Arial" w:cs="Arial"/>
          <w:vanish/>
          <w:spacing w:val="0"/>
          <w:sz w:val="18"/>
        </w:rPr>
        <w:t xml:space="preserve">BR_2.04 </w:t>
      </w:r>
      <w:r w:rsidR="007D535F">
        <w:t>When building a worklist by invoice number, only invoiced units not previously tested and confirmed appear on the worklist. The user may deselect or add additional units.</w:t>
      </w:r>
    </w:p>
    <w:p w14:paraId="68B046FE" w14:textId="77777777" w:rsidR="00513A28" w:rsidRPr="008631E9" w:rsidRDefault="002A21AE" w:rsidP="008631E9">
      <w:pPr>
        <w:pStyle w:val="ListBullet"/>
      </w:pPr>
      <w:r>
        <w:rPr>
          <w:rFonts w:ascii="Arial" w:hAnsi="Arial" w:cs="Arial"/>
          <w:vanish/>
          <w:spacing w:val="0"/>
          <w:sz w:val="18"/>
        </w:rPr>
        <w:t xml:space="preserve">BR_27.09 </w:t>
      </w:r>
      <w:r w:rsidR="001E3F16">
        <w:t>For batch processing, the user can select incoming shipment invoices from his division, processed within the previous five days</w:t>
      </w:r>
      <w:r w:rsidR="001E3F16" w:rsidRPr="008631E9">
        <w:t>.</w:t>
      </w:r>
    </w:p>
    <w:p w14:paraId="4DA0752F" w14:textId="77777777" w:rsidR="00E44A83" w:rsidRDefault="008631E9" w:rsidP="008631E9">
      <w:pPr>
        <w:pStyle w:val="ListBullet"/>
      </w:pPr>
      <w:r>
        <w:t xml:space="preserve">VBECS does not display product </w:t>
      </w:r>
      <w:r w:rsidRPr="008631E9">
        <w:t>code</w:t>
      </w:r>
      <w:r>
        <w:t xml:space="preserve">s associated with unit IDs in ABO/Rh Confirmation. </w:t>
      </w:r>
      <w:r w:rsidR="0011459B">
        <w:t>Therefore, d</w:t>
      </w:r>
      <w:r>
        <w:t>o not create ABO/Rh confirmation worklists containing units with the same unit ID.</w:t>
      </w:r>
    </w:p>
    <w:p w14:paraId="1FBC7008" w14:textId="5C03DDCB" w:rsidR="00E44A83" w:rsidRPr="00D12C95" w:rsidRDefault="00E44A83" w:rsidP="00E44A83">
      <w:pPr>
        <w:pStyle w:val="ListBullet"/>
      </w:pPr>
      <w:r>
        <w:t xml:space="preserve">POOLED </w:t>
      </w:r>
      <w:r w:rsidRPr="00D12C95">
        <w:t xml:space="preserve">GRANULOCYTES </w:t>
      </w:r>
      <w:r w:rsidRPr="00C60EBB">
        <w:rPr>
          <w:vanish/>
        </w:rPr>
        <w:t xml:space="preserve">(ICCBBA Component Class E036) </w:t>
      </w:r>
      <w:r w:rsidRPr="00D12C95">
        <w:t xml:space="preserve">labeled with </w:t>
      </w:r>
      <w:r w:rsidR="00523215" w:rsidRPr="00D12C95">
        <w:t>a</w:t>
      </w:r>
      <w:r w:rsidR="00D7366E">
        <w:t>n</w:t>
      </w:r>
      <w:r w:rsidRPr="00D12C95">
        <w:t xml:space="preserve"> Rh type of “Pooled” is considered </w:t>
      </w:r>
      <w:r w:rsidR="00523215" w:rsidRPr="00D12C95">
        <w:t>a</w:t>
      </w:r>
      <w:r w:rsidR="00D7366E">
        <w:t>n</w:t>
      </w:r>
      <w:r w:rsidRPr="00D12C95">
        <w:t xml:space="preserve"> Rh Positive unit which does not require confirmation testing.</w:t>
      </w:r>
    </w:p>
    <w:p w14:paraId="1B22A239" w14:textId="3CE5C96D" w:rsidR="008631E9" w:rsidRDefault="00E44A83" w:rsidP="00E44A83">
      <w:pPr>
        <w:pStyle w:val="ListBullet"/>
      </w:pPr>
      <w:r w:rsidRPr="00E44A83">
        <w:t xml:space="preserve">POOLED GRANULOCYTES </w:t>
      </w:r>
      <w:r w:rsidRPr="00C60EBB">
        <w:rPr>
          <w:vanish/>
        </w:rPr>
        <w:t xml:space="preserve">(ICCBBA Component Class E036) </w:t>
      </w:r>
      <w:r w:rsidRPr="00E44A83">
        <w:t>labeled with an ABO group of “Pooled” cannot be confirmed. A blood component unit received as “POOLED ABO” will have to be transfused using the Supervisory option, Document ABO Incompatible Transfusion.</w:t>
      </w:r>
    </w:p>
    <w:p w14:paraId="566D2932" w14:textId="30DCE1B7" w:rsidR="00FE6750" w:rsidRPr="008631E9" w:rsidRDefault="00AA7B45" w:rsidP="00AA7B45">
      <w:pPr>
        <w:pStyle w:val="ListBullet"/>
      </w:pPr>
      <w:r w:rsidRPr="00B26970">
        <w:rPr>
          <w:rFonts w:cs="Arial"/>
          <w:szCs w:val="18"/>
        </w:rPr>
        <w:t>Patient assignment is not released 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 </w:t>
      </w:r>
      <w:r w:rsidRPr="00C11B6E">
        <w:rPr>
          <w:rFonts w:cs="Arial"/>
          <w:vanish/>
          <w:szCs w:val="18"/>
        </w:rPr>
        <w:t>Task 213499</w:t>
      </w:r>
    </w:p>
    <w:p w14:paraId="1AB62AD8" w14:textId="77777777" w:rsidR="00852AC1" w:rsidRPr="00852AC1" w:rsidRDefault="002A21AE" w:rsidP="002F55AF">
      <w:pPr>
        <w:pStyle w:val="Heading4"/>
      </w:pPr>
      <w:r>
        <w:t>Additional Information</w:t>
      </w:r>
    </w:p>
    <w:p w14:paraId="5996548B" w14:textId="77777777" w:rsidR="002A21AE" w:rsidRPr="00995EAA" w:rsidRDefault="002A21AE">
      <w:pPr>
        <w:pStyle w:val="ListBullet"/>
        <w:rPr>
          <w:rStyle w:val="CommentReference"/>
          <w:sz w:val="22"/>
          <w:szCs w:val="22"/>
        </w:rPr>
      </w:pPr>
      <w:r>
        <w:rPr>
          <w:rFonts w:ascii="Arial" w:hAnsi="Arial" w:cs="Arial"/>
          <w:vanish/>
          <w:spacing w:val="0"/>
          <w:sz w:val="18"/>
        </w:rPr>
        <w:t xml:space="preserve">BR_2.11 </w:t>
      </w:r>
      <w:r>
        <w:t>Within a multidivisional facility when ABO/Rh confirmation is repeated on units from a facility within the same database, both the originating facility ABO/Rh confirmation testing results and the current testing results are stored.</w:t>
      </w:r>
      <w:r>
        <w:rPr>
          <w:rStyle w:val="CommentReference"/>
          <w:b/>
          <w:vanish/>
        </w:rPr>
        <w:t xml:space="preserve"> </w:t>
      </w:r>
    </w:p>
    <w:p w14:paraId="77363B8C" w14:textId="77777777" w:rsidR="002A21AE" w:rsidRDefault="002A21AE">
      <w:pPr>
        <w:pStyle w:val="Heading4"/>
      </w:pPr>
      <w:r>
        <w:t>User Roles with Access to This Option</w:t>
      </w:r>
    </w:p>
    <w:p w14:paraId="76976F01" w14:textId="77777777" w:rsidR="002A21AE" w:rsidRDefault="002B1D25">
      <w:pPr>
        <w:pStyle w:val="Roles"/>
        <w:rPr>
          <w:snapToGrid w:val="0"/>
        </w:rPr>
      </w:pPr>
      <w:r>
        <w:t>All users</w:t>
      </w:r>
    </w:p>
    <w:p w14:paraId="2A8A7107" w14:textId="77777777" w:rsidR="002A21AE" w:rsidRDefault="00057948">
      <w:pPr>
        <w:pStyle w:val="Heading4"/>
      </w:pPr>
      <w:r>
        <w:rPr>
          <w:noProof/>
        </w:rPr>
        <w:lastRenderedPageBreak/>
        <w:drawing>
          <wp:inline distT="0" distB="0" distL="0" distR="0" wp14:anchorId="705B0667" wp14:editId="3A916B94">
            <wp:extent cx="156845" cy="156845"/>
            <wp:effectExtent l="0" t="0" r="0" b="0"/>
            <wp:docPr id="168" name="Picture 168" descr="ABO/Rh Confirmation Te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BO/Rh Confirmation Testing ic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ABO/Rh Confirmation Testing</w:t>
      </w:r>
    </w:p>
    <w:p w14:paraId="1C1ED02B" w14:textId="77777777" w:rsidR="002A21AE" w:rsidRDefault="002A21AE" w:rsidP="00FA7E65">
      <w:pPr>
        <w:pStyle w:val="BodyText"/>
      </w:pPr>
      <w:r>
        <w:t>To confirm ABO/Rh testing, the user creates a worklist of individual units from an invoice, or creates a custom worklist. The user records observed test reactions and interpretations. VBECS uses truth tables to verify that user-entered interpretations are consistent with observed reactions. VBECS compares ABO and/or Rh interpretations to units labeled “ABO/Rh” during login and displays warnings when there are inconsistencies.</w:t>
      </w:r>
    </w:p>
    <w:p w14:paraId="6524C50E" w14:textId="77777777" w:rsidR="006F25B6" w:rsidRPr="00D73AB9" w:rsidRDefault="00057948" w:rsidP="006F25B6">
      <w:pPr>
        <w:pStyle w:val="Caution"/>
        <w:rPr>
          <w:spacing w:val="-5"/>
        </w:rPr>
      </w:pPr>
      <w:r>
        <w:rPr>
          <w:noProof/>
        </w:rPr>
        <w:drawing>
          <wp:inline distT="0" distB="0" distL="0" distR="0" wp14:anchorId="0F7FE99E" wp14:editId="0CF8B2D7">
            <wp:extent cx="267970" cy="221615"/>
            <wp:effectExtent l="0" t="0" r="0" b="6985"/>
            <wp:docPr id="169" name="Picture 16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6F25B6" w:rsidRPr="00D73AB9">
        <w:t>When a unit</w:t>
      </w:r>
      <w:r w:rsidR="006F25B6">
        <w:t>’</w:t>
      </w:r>
      <w:r w:rsidR="006F25B6" w:rsidRPr="00D73AB9">
        <w:t>s ABO/Rh confirmation test is repea</w:t>
      </w:r>
      <w:r w:rsidR="006F25B6">
        <w:t>ted after issue to a patient</w:t>
      </w:r>
      <w:r w:rsidR="006F25B6" w:rsidRPr="00D73AB9">
        <w:t xml:space="preserve">, </w:t>
      </w:r>
      <w:r w:rsidR="006F25B6">
        <w:t xml:space="preserve">VBECS does not compare the </w:t>
      </w:r>
      <w:r w:rsidR="006F25B6" w:rsidRPr="00D73AB9">
        <w:t>test result</w:t>
      </w:r>
      <w:r w:rsidR="006F25B6">
        <w:t>s</w:t>
      </w:r>
      <w:r w:rsidR="006F25B6" w:rsidRPr="00D73AB9">
        <w:t xml:space="preserve"> </w:t>
      </w:r>
      <w:r w:rsidR="006F25B6">
        <w:t>to</w:t>
      </w:r>
      <w:r w:rsidR="006F25B6" w:rsidRPr="00D73AB9">
        <w:t xml:space="preserve"> the patient</w:t>
      </w:r>
      <w:r w:rsidR="006F25B6">
        <w:t>’</w:t>
      </w:r>
      <w:r w:rsidR="006F25B6" w:rsidRPr="00D73AB9">
        <w:t xml:space="preserve">s blood type at time of issue. </w:t>
      </w:r>
      <w:r w:rsidR="006F25B6">
        <w:t>T</w:t>
      </w:r>
      <w:r w:rsidR="006F25B6" w:rsidRPr="00D73AB9">
        <w:t xml:space="preserve">he user </w:t>
      </w:r>
      <w:r w:rsidR="006F25B6">
        <w:t>must</w:t>
      </w:r>
      <w:r w:rsidR="006F25B6" w:rsidRPr="00D73AB9">
        <w:t xml:space="preserve"> </w:t>
      </w:r>
      <w:r w:rsidR="006F25B6">
        <w:t>detect discrepancies</w:t>
      </w:r>
      <w:r w:rsidR="006F25B6" w:rsidRPr="00D73AB9">
        <w:t xml:space="preserve"> and </w:t>
      </w:r>
      <w:r w:rsidR="006F25B6">
        <w:t xml:space="preserve">notify </w:t>
      </w:r>
      <w:r w:rsidR="006F25B6" w:rsidRPr="00D73AB9">
        <w:t>clinical personnel</w:t>
      </w:r>
      <w:r w:rsidR="006F25B6">
        <w:t>, in accordance with local policy</w:t>
      </w:r>
      <w:r w:rsidR="006F25B6" w:rsidRPr="00D73AB9">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7A0847" w14:textId="77777777">
        <w:trPr>
          <w:tblHeader/>
        </w:trPr>
        <w:tc>
          <w:tcPr>
            <w:tcW w:w="3240" w:type="dxa"/>
            <w:shd w:val="pct30" w:color="auto" w:fill="FFFFFF"/>
            <w:vAlign w:val="bottom"/>
          </w:tcPr>
          <w:p w14:paraId="4EA89635" w14:textId="77777777" w:rsidR="002A21AE" w:rsidRDefault="002A21AE">
            <w:pPr>
              <w:pStyle w:val="TableText"/>
              <w:rPr>
                <w:b/>
              </w:rPr>
            </w:pPr>
            <w:bookmarkStart w:id="272" w:name="_Toc78036833"/>
            <w:r>
              <w:rPr>
                <w:b/>
              </w:rPr>
              <w:t>User Action</w:t>
            </w:r>
          </w:p>
        </w:tc>
        <w:tc>
          <w:tcPr>
            <w:tcW w:w="6120" w:type="dxa"/>
            <w:shd w:val="pct30" w:color="auto" w:fill="FFFFFF"/>
            <w:vAlign w:val="bottom"/>
          </w:tcPr>
          <w:p w14:paraId="34974D37" w14:textId="77777777" w:rsidR="002A21AE" w:rsidRDefault="002A21AE">
            <w:pPr>
              <w:pStyle w:val="TableText"/>
              <w:rPr>
                <w:b/>
              </w:rPr>
            </w:pPr>
            <w:r>
              <w:rPr>
                <w:b/>
              </w:rPr>
              <w:t>VBECS</w:t>
            </w:r>
          </w:p>
        </w:tc>
      </w:tr>
      <w:tr w:rsidR="002A21AE" w14:paraId="7112FB46" w14:textId="77777777">
        <w:tc>
          <w:tcPr>
            <w:tcW w:w="3240" w:type="dxa"/>
          </w:tcPr>
          <w:p w14:paraId="039C68B5" w14:textId="77777777" w:rsidR="002A21AE" w:rsidRDefault="002A21AE">
            <w:pPr>
              <w:pStyle w:val="TableTextNumbers"/>
            </w:pPr>
            <w:r>
              <w:t xml:space="preserve">When processing a shipment, select </w:t>
            </w:r>
            <w:r>
              <w:rPr>
                <w:b/>
              </w:rPr>
              <w:t>Shipments</w:t>
            </w:r>
            <w:r>
              <w:t xml:space="preserve"> from the main menu. </w:t>
            </w:r>
          </w:p>
          <w:p w14:paraId="2269A439" w14:textId="77777777" w:rsidR="002A21AE" w:rsidRDefault="002A21AE">
            <w:pPr>
              <w:pStyle w:val="TableTextNumbersContinued"/>
              <w:rPr>
                <w:b/>
                <w:bCs/>
              </w:rPr>
            </w:pPr>
          </w:p>
          <w:p w14:paraId="49CDE896" w14:textId="77777777" w:rsidR="002A21AE" w:rsidRDefault="002A21AE">
            <w:pPr>
              <w:pStyle w:val="TableTextNumbersContinued"/>
            </w:pPr>
            <w:r>
              <w:t xml:space="preserve">When processing selected units, select </w:t>
            </w:r>
            <w:r>
              <w:rPr>
                <w:b/>
              </w:rPr>
              <w:t>Blood Units</w:t>
            </w:r>
            <w:r>
              <w:t xml:space="preserve"> from the main menu.</w:t>
            </w:r>
          </w:p>
          <w:p w14:paraId="7B60A013" w14:textId="77777777" w:rsidR="002A21AE" w:rsidRDefault="002A21AE">
            <w:pPr>
              <w:pStyle w:val="TableTextNumbersContinued"/>
            </w:pPr>
          </w:p>
          <w:p w14:paraId="44E9F416" w14:textId="77777777" w:rsidR="002A21AE" w:rsidRDefault="002A21AE">
            <w:pPr>
              <w:pStyle w:val="TableTextNumbersContinued"/>
            </w:pPr>
            <w:r>
              <w:t xml:space="preserve">Select </w:t>
            </w:r>
            <w:r>
              <w:rPr>
                <w:b/>
              </w:rPr>
              <w:t>ABO/Rh Confirmation</w:t>
            </w:r>
            <w:r>
              <w:t>.</w:t>
            </w:r>
          </w:p>
          <w:p w14:paraId="5E45BB25" w14:textId="77777777" w:rsidR="002A21AE" w:rsidRDefault="002A21AE">
            <w:pPr>
              <w:pStyle w:val="TableTextNumbersContinued"/>
            </w:pPr>
          </w:p>
          <w:p w14:paraId="34295B66" w14:textId="77777777" w:rsidR="002A21AE" w:rsidRDefault="002A21AE">
            <w:pPr>
              <w:pStyle w:val="TableTextNumbersContinued"/>
            </w:pPr>
            <w:r>
              <w:t>Select an invoice or units.</w:t>
            </w:r>
          </w:p>
          <w:p w14:paraId="31A4338B" w14:textId="77777777" w:rsidR="002A21AE" w:rsidRDefault="002A21AE">
            <w:pPr>
              <w:pStyle w:val="TableTextNumbersContinued"/>
            </w:pPr>
            <w:r>
              <w:t xml:space="preserve"> </w:t>
            </w:r>
          </w:p>
          <w:p w14:paraId="035A2D06" w14:textId="77777777" w:rsidR="002A21AE" w:rsidRDefault="002A21AE">
            <w:pPr>
              <w:pStyle w:val="TableTextNumbersContinued"/>
            </w:pPr>
            <w:r>
              <w:t xml:space="preserve">Click </w:t>
            </w:r>
            <w:r>
              <w:rPr>
                <w:b/>
              </w:rPr>
              <w:t>OK</w:t>
            </w:r>
            <w:r>
              <w:t>.</w:t>
            </w:r>
          </w:p>
        </w:tc>
        <w:tc>
          <w:tcPr>
            <w:tcW w:w="6120" w:type="dxa"/>
          </w:tcPr>
          <w:p w14:paraId="357DE445" w14:textId="77777777" w:rsidR="002A21AE" w:rsidRDefault="002A21AE">
            <w:pPr>
              <w:pStyle w:val="TableTextBullet"/>
            </w:pPr>
            <w:r>
              <w:t xml:space="preserve">Displays options for processing blood product shipments. By default, displays units in the worklist in the order in which they were entered during Incoming Shipment. </w:t>
            </w:r>
          </w:p>
          <w:p w14:paraId="39AB0189" w14:textId="77777777" w:rsidR="002A21AE" w:rsidRDefault="002A21AE">
            <w:pPr>
              <w:pStyle w:val="TableTextBullet"/>
            </w:pPr>
            <w:r>
              <w:t>Lists invoices processed within the last five days in reverse chronological order.</w:t>
            </w:r>
          </w:p>
          <w:p w14:paraId="7066AFC5" w14:textId="77777777" w:rsidR="002A21AE" w:rsidRDefault="002A21AE">
            <w:pPr>
              <w:pStyle w:val="TableTextBullet"/>
            </w:pPr>
            <w:r>
              <w:t xml:space="preserve">Displays fields for entering rack information. </w:t>
            </w:r>
          </w:p>
          <w:p w14:paraId="2E7211F4" w14:textId="77777777" w:rsidR="002A21AE" w:rsidRDefault="002A21AE">
            <w:pPr>
              <w:pStyle w:val="TableTextBullet"/>
            </w:pPr>
            <w:r>
              <w:t>Allows units to be deleted from or added to the worklist.</w:t>
            </w:r>
          </w:p>
          <w:p w14:paraId="69277B01" w14:textId="77777777" w:rsidR="002A21AE" w:rsidRDefault="002A21AE">
            <w:pPr>
              <w:pStyle w:val="TableText"/>
            </w:pPr>
          </w:p>
          <w:p w14:paraId="2AA6CC80" w14:textId="777240BD" w:rsidR="002A21AE" w:rsidRDefault="002A21AE">
            <w:pPr>
              <w:pStyle w:val="TableText"/>
              <w:rPr>
                <w:b/>
                <w:bCs/>
              </w:rPr>
            </w:pPr>
            <w:r>
              <w:rPr>
                <w:b/>
                <w:bCs/>
              </w:rPr>
              <w:t xml:space="preserve">NOTES </w:t>
            </w:r>
          </w:p>
          <w:p w14:paraId="5C001CFF" w14:textId="77777777" w:rsidR="002A21AE" w:rsidRDefault="002A21AE">
            <w:pPr>
              <w:pStyle w:val="NotesText"/>
            </w:pPr>
          </w:p>
          <w:p w14:paraId="0B653BF4" w14:textId="77777777" w:rsidR="006C18E7" w:rsidRDefault="006C18E7" w:rsidP="006C18E7">
            <w:pPr>
              <w:pStyle w:val="NotesText"/>
            </w:pPr>
            <w:r>
              <w:rPr>
                <w:rFonts w:cs="Arial"/>
                <w:vanish/>
              </w:rPr>
              <w:t xml:space="preserve">BR_5.03 </w:t>
            </w:r>
            <w:r>
              <w:t xml:space="preserve">The user may select only active units and those not in an inactive or final status. </w:t>
            </w:r>
          </w:p>
          <w:p w14:paraId="45B9C6E6" w14:textId="77777777" w:rsidR="006C18E7" w:rsidRDefault="006C18E7">
            <w:pPr>
              <w:pStyle w:val="NotesText"/>
            </w:pPr>
          </w:p>
          <w:p w14:paraId="0310356F" w14:textId="77777777" w:rsidR="002A21AE" w:rsidRDefault="002A21AE">
            <w:pPr>
              <w:pStyle w:val="NotesText"/>
            </w:pPr>
            <w:r>
              <w:t>To create a customized list of units:</w:t>
            </w:r>
          </w:p>
          <w:p w14:paraId="1FDE8891" w14:textId="77777777" w:rsidR="002A21AE" w:rsidRDefault="002A21AE">
            <w:pPr>
              <w:pStyle w:val="NotesTextBullet"/>
            </w:pPr>
            <w:r>
              <w:t xml:space="preserve">Enter a unit ID or click the </w:t>
            </w:r>
            <w:r w:rsidR="00A6373D">
              <w:rPr>
                <w:b/>
              </w:rPr>
              <w:t>find</w:t>
            </w:r>
            <w:r>
              <w:rPr>
                <w:b/>
              </w:rPr>
              <w:t xml:space="preserve"> </w:t>
            </w:r>
            <w:r w:rsidRPr="00D1100E">
              <w:t>button</w:t>
            </w:r>
            <w:r>
              <w:t xml:space="preserve"> to search for a unit. VBECS lists</w:t>
            </w:r>
            <w:r>
              <w:rPr>
                <w:rStyle w:val="historydatafont1"/>
              </w:rPr>
              <w:t xml:space="preserve"> units with “limited” status</w:t>
            </w:r>
            <w:r>
              <w:t>.</w:t>
            </w:r>
          </w:p>
          <w:p w14:paraId="3729E0B8" w14:textId="77777777" w:rsidR="002A21AE" w:rsidRDefault="002A21AE">
            <w:pPr>
              <w:pStyle w:val="NotesTextBullet"/>
            </w:pPr>
            <w:r>
              <w:t>Select parameters from the options on the Select Units for ABO/Rh Confirmation screen.</w:t>
            </w:r>
          </w:p>
          <w:p w14:paraId="5C9ECC9B" w14:textId="77777777" w:rsidR="002A21AE" w:rsidRDefault="002A21AE">
            <w:pPr>
              <w:pStyle w:val="NotesTextBullet"/>
            </w:pPr>
            <w:r>
              <w:t xml:space="preserve">Select </w:t>
            </w:r>
            <w:r>
              <w:rPr>
                <w:b/>
              </w:rPr>
              <w:t>Units within Criteria</w:t>
            </w:r>
            <w:r>
              <w:t xml:space="preserve"> to work with.</w:t>
            </w:r>
          </w:p>
          <w:p w14:paraId="531C4760" w14:textId="77777777" w:rsidR="002A21AE" w:rsidRDefault="002A21AE">
            <w:pPr>
              <w:pStyle w:val="NotesTextBullet"/>
            </w:pPr>
            <w:r>
              <w:t xml:space="preserve">Click </w:t>
            </w:r>
            <w:r>
              <w:rPr>
                <w:b/>
              </w:rPr>
              <w:t>OK</w:t>
            </w:r>
            <w:r>
              <w:t>.</w:t>
            </w:r>
          </w:p>
          <w:p w14:paraId="7EEB0B62" w14:textId="77777777" w:rsidR="002A21AE" w:rsidRDefault="002A21AE">
            <w:pPr>
              <w:pStyle w:val="NotesTextBullet"/>
            </w:pPr>
            <w:r>
              <w:t>Repeat this step until all units are included in the Selected Units list on the Unit ABO/Rh Confirmation screen.</w:t>
            </w:r>
          </w:p>
          <w:p w14:paraId="1A20A2D1" w14:textId="77777777" w:rsidR="002A21AE" w:rsidRDefault="002A21AE">
            <w:pPr>
              <w:pStyle w:val="NotesTextBullet"/>
            </w:pPr>
            <w:r>
              <w:t xml:space="preserve">Click </w:t>
            </w:r>
            <w:r>
              <w:rPr>
                <w:b/>
              </w:rPr>
              <w:t>OK</w:t>
            </w:r>
            <w:r>
              <w:t>.</w:t>
            </w:r>
          </w:p>
        </w:tc>
      </w:tr>
      <w:tr w:rsidR="002A21AE" w14:paraId="6BD916CE" w14:textId="77777777" w:rsidTr="001A459B">
        <w:trPr>
          <w:cantSplit/>
        </w:trPr>
        <w:tc>
          <w:tcPr>
            <w:tcW w:w="3240" w:type="dxa"/>
          </w:tcPr>
          <w:p w14:paraId="003E93FC" w14:textId="77777777" w:rsidR="002A21AE" w:rsidRDefault="002A21AE" w:rsidP="009023E2">
            <w:pPr>
              <w:pStyle w:val="TableTextNumbers"/>
            </w:pPr>
            <w:r>
              <w:t>Select a rack.</w:t>
            </w:r>
          </w:p>
          <w:p w14:paraId="7BBFDF38" w14:textId="77777777" w:rsidR="002A21AE" w:rsidRDefault="002A21AE">
            <w:pPr>
              <w:pStyle w:val="TableTextNumbersContinued"/>
            </w:pPr>
          </w:p>
          <w:p w14:paraId="0AE35BCA" w14:textId="77777777" w:rsidR="002A21AE" w:rsidRDefault="002A21AE">
            <w:pPr>
              <w:pStyle w:val="TableTextNumbersContinued"/>
            </w:pPr>
            <w:r>
              <w:t>Select a date or accept the default.</w:t>
            </w:r>
          </w:p>
          <w:p w14:paraId="4F44FA39" w14:textId="77777777" w:rsidR="002A21AE" w:rsidRDefault="002A21AE">
            <w:pPr>
              <w:pStyle w:val="TableTextNumbersContinued"/>
            </w:pPr>
          </w:p>
          <w:p w14:paraId="24402C22" w14:textId="77777777" w:rsidR="002A21AE" w:rsidRDefault="002A21AE">
            <w:pPr>
              <w:pStyle w:val="TableTextNumbersContinued"/>
            </w:pPr>
            <w:r>
              <w:t>Select a Tested By name.</w:t>
            </w:r>
          </w:p>
          <w:p w14:paraId="4CE9DC82" w14:textId="77777777" w:rsidR="002A21AE" w:rsidRDefault="002A21AE">
            <w:pPr>
              <w:pStyle w:val="TableTextNumbersContinued"/>
            </w:pPr>
          </w:p>
          <w:p w14:paraId="42BD3DFE" w14:textId="77777777" w:rsidR="002A21AE" w:rsidRDefault="002A21AE">
            <w:pPr>
              <w:pStyle w:val="TableTextNumbersContinued"/>
            </w:pPr>
            <w:r>
              <w:t xml:space="preserve">Click </w:t>
            </w:r>
            <w:r>
              <w:rPr>
                <w:b/>
              </w:rPr>
              <w:t>Using Automated Instrument</w:t>
            </w:r>
            <w:r>
              <w:t xml:space="preserve">, as appropriate. </w:t>
            </w:r>
          </w:p>
          <w:p w14:paraId="71002026" w14:textId="77777777" w:rsidR="002A21AE" w:rsidRDefault="002A21AE">
            <w:pPr>
              <w:pStyle w:val="TableTextNumbersContinued"/>
            </w:pPr>
          </w:p>
          <w:p w14:paraId="2CDE3AB5" w14:textId="77777777" w:rsidR="002A21AE" w:rsidRDefault="002A21AE">
            <w:pPr>
              <w:pStyle w:val="TableTextNumbersContinued"/>
            </w:pPr>
            <w:r>
              <w:t xml:space="preserve">Click the </w:t>
            </w:r>
            <w:r>
              <w:rPr>
                <w:b/>
              </w:rPr>
              <w:t xml:space="preserve">Perform Anti-D Testing </w:t>
            </w:r>
            <w:r w:rsidRPr="00D1100E">
              <w:t>check box</w:t>
            </w:r>
            <w:r>
              <w:t>, when appropriate.</w:t>
            </w:r>
          </w:p>
          <w:p w14:paraId="647EF09E" w14:textId="77777777" w:rsidR="002A21AE" w:rsidRDefault="002A21AE">
            <w:pPr>
              <w:pStyle w:val="TableTextNumbersContinued"/>
            </w:pPr>
          </w:p>
          <w:p w14:paraId="74E1C672" w14:textId="77777777" w:rsidR="002A21AE" w:rsidRDefault="002A21AE">
            <w:pPr>
              <w:pStyle w:val="TableTextNumbersContinued"/>
            </w:pPr>
            <w:r>
              <w:t xml:space="preserve">Click </w:t>
            </w:r>
            <w:r>
              <w:rPr>
                <w:b/>
              </w:rPr>
              <w:t>OK</w:t>
            </w:r>
            <w:r>
              <w:t>.</w:t>
            </w:r>
          </w:p>
        </w:tc>
        <w:tc>
          <w:tcPr>
            <w:tcW w:w="6120" w:type="dxa"/>
          </w:tcPr>
          <w:p w14:paraId="1486F695" w14:textId="77777777" w:rsidR="002A21AE" w:rsidRDefault="002A21AE">
            <w:pPr>
              <w:pStyle w:val="TableTextBullet"/>
            </w:pPr>
            <w:r>
              <w:t xml:space="preserve">Displays the racks available using the pick list provided. </w:t>
            </w:r>
          </w:p>
          <w:p w14:paraId="18AE6CA7" w14:textId="77777777" w:rsidR="002A21AE" w:rsidRDefault="002A21AE">
            <w:pPr>
              <w:pStyle w:val="TableTextBullet"/>
            </w:pPr>
            <w:r>
              <w:t xml:space="preserve">Displays the date and time testing was performed. The default is the current date and time. The date may be edited using the pick list provided. </w:t>
            </w:r>
          </w:p>
          <w:p w14:paraId="768AF0D2" w14:textId="77777777" w:rsidR="002A21AE" w:rsidRDefault="002A21AE">
            <w:pPr>
              <w:pStyle w:val="TableTextBullet"/>
            </w:pPr>
            <w:r>
              <w:t xml:space="preserve">Displays the testing technologist’s identification. The default is the current user. Select a name from the pick list of valid division users to show a different testing technologist. </w:t>
            </w:r>
          </w:p>
          <w:p w14:paraId="4B45A44C" w14:textId="77777777" w:rsidR="002A21AE" w:rsidRDefault="002A21AE">
            <w:pPr>
              <w:pStyle w:val="TableTextBullet"/>
            </w:pPr>
            <w:r>
              <w:t>Displays warnings and the option to indicate that the user is ready to begin entering results after all warnings are addressed.</w:t>
            </w:r>
          </w:p>
          <w:p w14:paraId="49BCC2C3" w14:textId="77777777" w:rsidR="002A21AE" w:rsidRDefault="002A21AE">
            <w:pPr>
              <w:pStyle w:val="TableTextBullet"/>
            </w:pPr>
            <w:r>
              <w:t>Generates an Exception Report entry when the user inactivates or deletes the partially completed result grids and enters a comment.</w:t>
            </w:r>
          </w:p>
          <w:p w14:paraId="698893CB" w14:textId="77777777" w:rsidR="002A21AE" w:rsidRDefault="002A21AE">
            <w:pPr>
              <w:pStyle w:val="TableText"/>
            </w:pPr>
          </w:p>
          <w:p w14:paraId="379AD499" w14:textId="752A93E9" w:rsidR="002A21AE" w:rsidRDefault="002A21AE">
            <w:pPr>
              <w:pStyle w:val="TableText"/>
              <w:rPr>
                <w:b/>
                <w:bCs/>
              </w:rPr>
            </w:pPr>
            <w:r>
              <w:rPr>
                <w:b/>
                <w:bCs/>
              </w:rPr>
              <w:t xml:space="preserve">NOTES </w:t>
            </w:r>
          </w:p>
          <w:p w14:paraId="49DAC31B" w14:textId="77777777" w:rsidR="002A21AE" w:rsidRDefault="002A21AE">
            <w:pPr>
              <w:pStyle w:val="NotesText"/>
            </w:pPr>
          </w:p>
          <w:p w14:paraId="687BAE42" w14:textId="77777777" w:rsidR="002A21AE" w:rsidRDefault="002A21AE" w:rsidP="00C0155E">
            <w:pPr>
              <w:pStyle w:val="NotesText"/>
            </w:pPr>
            <w:r>
              <w:rPr>
                <w:rFonts w:cs="Arial"/>
                <w:vanish/>
              </w:rPr>
              <w:t xml:space="preserve">BR_2.47 </w:t>
            </w:r>
            <w:r>
              <w:t>A user may disable the anti-D testing grid column in the ABO/Rh unit confirmation worksheet.</w:t>
            </w:r>
            <w:r w:rsidR="00632245">
              <w:t xml:space="preserve"> When the Anti-D testing grid display is disabled, the user </w:t>
            </w:r>
            <w:r w:rsidR="00C0155E">
              <w:t>may</w:t>
            </w:r>
            <w:r w:rsidR="00632245">
              <w:t xml:space="preserve"> select only RH Positive labeled units for confirmation testing.</w:t>
            </w:r>
          </w:p>
        </w:tc>
      </w:tr>
      <w:tr w:rsidR="002A21AE" w14:paraId="4D42A5BA" w14:textId="77777777">
        <w:tc>
          <w:tcPr>
            <w:tcW w:w="3240" w:type="dxa"/>
          </w:tcPr>
          <w:p w14:paraId="024CCE35" w14:textId="77777777" w:rsidR="002A21AE" w:rsidRDefault="002A21AE">
            <w:pPr>
              <w:pStyle w:val="TableTextNumbers"/>
            </w:pPr>
            <w:r>
              <w:lastRenderedPageBreak/>
              <w:t>Select a unit for which to record test results.</w:t>
            </w:r>
          </w:p>
          <w:p w14:paraId="578F73FC" w14:textId="77777777" w:rsidR="002A21AE" w:rsidRDefault="002A21AE">
            <w:pPr>
              <w:pStyle w:val="TableTextNumbersContinued"/>
            </w:pPr>
          </w:p>
          <w:p w14:paraId="35617540" w14:textId="77777777" w:rsidR="002A21AE" w:rsidRDefault="002A21AE">
            <w:pPr>
              <w:pStyle w:val="TableTextNumbersContinued"/>
            </w:pPr>
            <w:r>
              <w:t>Select a cell and enter an observed test result from the legend at the bottom of the screen.</w:t>
            </w:r>
          </w:p>
          <w:p w14:paraId="76DBD58A" w14:textId="77777777" w:rsidR="002A21AE" w:rsidRDefault="002A21AE">
            <w:pPr>
              <w:pStyle w:val="TableTextNumbersContinued"/>
            </w:pPr>
          </w:p>
          <w:p w14:paraId="6A9BFF4C" w14:textId="77777777" w:rsidR="002A21AE" w:rsidRDefault="002A21AE">
            <w:pPr>
              <w:pStyle w:val="TableTextNumbersContinued"/>
            </w:pPr>
            <w:r>
              <w:rPr>
                <w:rFonts w:cs="Arial"/>
                <w:vanish/>
                <w:szCs w:val="18"/>
              </w:rPr>
              <w:t>BR_2.30</w:t>
            </w:r>
            <w:r w:rsidR="00CE3961">
              <w:rPr>
                <w:rFonts w:cs="Arial"/>
                <w:vanish/>
                <w:szCs w:val="18"/>
              </w:rPr>
              <w:t>,</w:t>
            </w:r>
            <w:r>
              <w:rPr>
                <w:rFonts w:cs="Arial"/>
                <w:vanish/>
                <w:szCs w:val="18"/>
              </w:rPr>
              <w:t xml:space="preserve"> </w:t>
            </w:r>
            <w:r>
              <w:rPr>
                <w:vanish/>
                <w:szCs w:val="18"/>
              </w:rPr>
              <w:t xml:space="preserve">BR_2.31 </w:t>
            </w:r>
            <w:r>
              <w:t xml:space="preserve">Enter a valid interpretation, then press </w:t>
            </w:r>
            <w:r w:rsidR="00DF74D1">
              <w:t xml:space="preserve">the </w:t>
            </w:r>
            <w:r>
              <w:rPr>
                <w:b/>
              </w:rPr>
              <w:t>Enter</w:t>
            </w:r>
            <w:r w:rsidR="00DF74D1">
              <w:rPr>
                <w:b/>
              </w:rPr>
              <w:t xml:space="preserve"> key</w:t>
            </w:r>
            <w:r>
              <w:t xml:space="preserve"> to go to the next data grid interpretation or Comment cell.</w:t>
            </w:r>
          </w:p>
          <w:p w14:paraId="7D9E03A9" w14:textId="77777777" w:rsidR="002A21AE" w:rsidRDefault="002A21AE">
            <w:pPr>
              <w:pStyle w:val="TableTextNumbersContinued"/>
            </w:pPr>
          </w:p>
          <w:p w14:paraId="31FF70AB" w14:textId="77777777" w:rsidR="002A21AE" w:rsidRDefault="002A21AE">
            <w:pPr>
              <w:pStyle w:val="TableTextNumbersContinued"/>
            </w:pPr>
            <w:r>
              <w:t>Select enter comments from the Unit Testing for the ABO and Rh interpretations, as needed.</w:t>
            </w:r>
          </w:p>
          <w:p w14:paraId="2F9216C8" w14:textId="77777777" w:rsidR="002A21AE" w:rsidRDefault="002A21AE">
            <w:pPr>
              <w:pStyle w:val="TableTextNumbersContinued"/>
            </w:pPr>
          </w:p>
          <w:p w14:paraId="1280B526" w14:textId="77777777" w:rsidR="002A21AE" w:rsidRDefault="002A21AE">
            <w:pPr>
              <w:pStyle w:val="TableTextNumbersContinued"/>
            </w:pPr>
            <w:r>
              <w:t>Repeat until all test results for the selected unit are entered.</w:t>
            </w:r>
          </w:p>
        </w:tc>
        <w:tc>
          <w:tcPr>
            <w:tcW w:w="6120" w:type="dxa"/>
          </w:tcPr>
          <w:p w14:paraId="6EB23903" w14:textId="77777777" w:rsidR="002A21AE" w:rsidRDefault="002A21AE">
            <w:pPr>
              <w:pStyle w:val="TableTextBullet"/>
            </w:pPr>
            <w:r>
              <w:t>Creates a grid for data entry of results and interpretations, displaying units in the order selected.</w:t>
            </w:r>
          </w:p>
          <w:p w14:paraId="4642097F" w14:textId="77777777" w:rsidR="002A21AE" w:rsidRDefault="002A21AE">
            <w:pPr>
              <w:pStyle w:val="TableTextBullet"/>
            </w:pPr>
            <w:r>
              <w:t>Allows the user to select a blood test type and enter a test result for the unit.</w:t>
            </w:r>
          </w:p>
          <w:p w14:paraId="6E732C11" w14:textId="77777777" w:rsidR="002A21AE" w:rsidRDefault="002A21AE">
            <w:pPr>
              <w:pStyle w:val="TableTextBullet"/>
            </w:pPr>
            <w:r>
              <w:t>Restricts data entry to valid selections for testing results. Displays testing results and interpretations entered.</w:t>
            </w:r>
          </w:p>
          <w:p w14:paraId="536E8DB2" w14:textId="77777777" w:rsidR="002A21AE" w:rsidRDefault="002A21AE">
            <w:pPr>
              <w:pStyle w:val="TableTextBullet"/>
            </w:pPr>
            <w:r>
              <w:t>An interpretation indicates that all appropriate test results were entered for the unit.</w:t>
            </w:r>
          </w:p>
          <w:p w14:paraId="533ED9E1" w14:textId="77777777" w:rsidR="002A21AE" w:rsidRDefault="002A21AE">
            <w:pPr>
              <w:pStyle w:val="TableText"/>
            </w:pPr>
          </w:p>
          <w:p w14:paraId="2D395C04" w14:textId="7D793838" w:rsidR="002A21AE" w:rsidRDefault="002A21AE">
            <w:pPr>
              <w:pStyle w:val="TableText"/>
              <w:rPr>
                <w:b/>
                <w:bCs/>
                <w:szCs w:val="18"/>
              </w:rPr>
            </w:pPr>
            <w:r>
              <w:rPr>
                <w:b/>
                <w:bCs/>
                <w:szCs w:val="18"/>
              </w:rPr>
              <w:t>NOTES</w:t>
            </w:r>
          </w:p>
          <w:p w14:paraId="0C8BBFAD" w14:textId="77777777" w:rsidR="002A21AE" w:rsidRDefault="009965B7">
            <w:pPr>
              <w:pStyle w:val="NotesText"/>
              <w:spacing w:before="240"/>
            </w:pPr>
            <w:r w:rsidRPr="00896F17">
              <w:rPr>
                <w:rStyle w:val="BullhornChar"/>
              </w:rPr>
              <w:t></w:t>
            </w:r>
            <w:r w:rsidRPr="00D62E87">
              <w:rPr>
                <w:rFonts w:ascii="Webdings" w:hAnsi="Webdings"/>
              </w:rPr>
              <w:t></w:t>
            </w:r>
            <w:r w:rsidRPr="00D62E87">
              <w:t>V</w:t>
            </w:r>
            <w:r w:rsidR="002A21AE">
              <w:t xml:space="preserve">BECS emits an audible alert and generates a warning requiring override when the ABO and/or Rh confirmation interpretation does not match the ABO and/or Rh of the unit at initial login. When the user confirms the discrepancy, inventory units whose ABO/Rh confirmation does not match the ABO/Rh at login are marked “Quarantined.” VBECS captures details for inclusion in an Exception Report (exception type: Unit ABO/Rh </w:t>
            </w:r>
            <w:r w:rsidR="00922AD8">
              <w:t>login</w:t>
            </w:r>
            <w:r w:rsidR="002A21AE">
              <w:t xml:space="preserve"> vs. confirmation do not match, unit quarantined).</w:t>
            </w:r>
          </w:p>
          <w:p w14:paraId="6845087E" w14:textId="77777777" w:rsidR="002A21AE" w:rsidRDefault="002A21AE">
            <w:pPr>
              <w:pStyle w:val="NotesText"/>
            </w:pPr>
          </w:p>
          <w:p w14:paraId="3B63AFE7" w14:textId="77777777" w:rsidR="002A21AE" w:rsidRDefault="002A21AE" w:rsidP="005F1F08">
            <w:pPr>
              <w:pStyle w:val="NotesText"/>
            </w:pPr>
            <w:r>
              <w:rPr>
                <w:rFonts w:cs="Arial"/>
                <w:vanish/>
              </w:rPr>
              <w:t xml:space="preserve">BR_2.03 </w:t>
            </w:r>
            <w:r>
              <w:t>ABO/Rh confirmation testing data grids accommodate uniform data entry for Forward ABO testing</w:t>
            </w:r>
            <w:r w:rsidR="005F1F08">
              <w:t>.</w:t>
            </w:r>
          </w:p>
          <w:p w14:paraId="7A5FFA7F" w14:textId="77777777" w:rsidR="002A21AE" w:rsidRDefault="002A21AE">
            <w:pPr>
              <w:pStyle w:val="NotesText"/>
            </w:pPr>
          </w:p>
          <w:p w14:paraId="4F19C236" w14:textId="77777777" w:rsidR="002A21AE" w:rsidRDefault="002A21AE">
            <w:pPr>
              <w:pStyle w:val="NotesText"/>
            </w:pPr>
            <w:r>
              <w:rPr>
                <w:rFonts w:cs="Arial"/>
                <w:vanish/>
              </w:rPr>
              <w:t xml:space="preserve">BR_2.27 </w:t>
            </w:r>
            <w:r w:rsidR="00EC34E1" w:rsidRPr="0094281E">
              <w:t>The cursor move</w:t>
            </w:r>
            <w:r w:rsidR="00EC34E1">
              <w:t>s</w:t>
            </w:r>
            <w:r w:rsidR="00EC34E1" w:rsidRPr="0094281E">
              <w:t xml:space="preserve"> with a single valid keystroke from the top left cell </w:t>
            </w:r>
            <w:r w:rsidR="00EC34E1">
              <w:t>across</w:t>
            </w:r>
            <w:r w:rsidR="00EC34E1" w:rsidRPr="0094281E">
              <w:t xml:space="preserve"> the row</w:t>
            </w:r>
            <w:r w:rsidR="00EC34E1">
              <w:t>,</w:t>
            </w:r>
            <w:r w:rsidR="00EC34E1" w:rsidRPr="0094281E">
              <w:t xml:space="preserve"> returning to the </w:t>
            </w:r>
            <w:r w:rsidR="00EC34E1">
              <w:t>left</w:t>
            </w:r>
            <w:r w:rsidR="00EC34E1" w:rsidRPr="0094281E">
              <w:t>most cell in the next row</w:t>
            </w:r>
            <w:r w:rsidR="00EC34E1">
              <w:t>,</w:t>
            </w:r>
            <w:r w:rsidR="00EC34E1" w:rsidRPr="0094281E">
              <w:t xml:space="preserve"> and so on down the worksheet grid.</w:t>
            </w:r>
            <w:r>
              <w:t xml:space="preserve"> The cursor stays in the reaction results cells by default (the technologist may use the mouse to click in the interpretation area) until the last entry is made in the reaction result portion of the grid. The cursor then goes to the first (top) interpretation cell.</w:t>
            </w:r>
          </w:p>
          <w:p w14:paraId="2A3C76FF" w14:textId="77777777" w:rsidR="002A21AE" w:rsidRDefault="002A21AE">
            <w:pPr>
              <w:pStyle w:val="NotesText"/>
              <w:ind w:left="0"/>
            </w:pPr>
          </w:p>
          <w:p w14:paraId="6CADE542" w14:textId="1D8E72A1" w:rsidR="002A21AE" w:rsidRDefault="002A21AE">
            <w:pPr>
              <w:pStyle w:val="NotesText"/>
            </w:pPr>
            <w:r>
              <w:t>The user may enter free-text comments or comments from the Unit Testing for the ABO and Rh interpretations</w:t>
            </w:r>
            <w:r w:rsidR="002106D5">
              <w:t xml:space="preserve"> (</w:t>
            </w:r>
            <w:r w:rsidR="00EE455E">
              <w:t xml:space="preserve">Table </w:t>
            </w:r>
            <w:r w:rsidR="00EE455E">
              <w:rPr>
                <w:noProof/>
              </w:rPr>
              <w:t>4</w:t>
            </w:r>
            <w:r w:rsidR="002106D5">
              <w:t>)</w:t>
            </w:r>
            <w:r>
              <w:t>.</w:t>
            </w:r>
          </w:p>
          <w:p w14:paraId="6640FFE6" w14:textId="2EEF6549" w:rsidR="002A21AE" w:rsidRDefault="002A21AE">
            <w:pPr>
              <w:pStyle w:val="Caption"/>
              <w:ind w:left="720"/>
            </w:pPr>
            <w:bookmarkStart w:id="273" w:name="_Ref256686527"/>
            <w:bookmarkStart w:id="274" w:name="_Toc97523616"/>
            <w:bookmarkStart w:id="275" w:name="_Toc97527586"/>
            <w:bookmarkStart w:id="276" w:name="_Ref126504333"/>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4</w:t>
            </w:r>
            <w:r w:rsidR="004E20BD">
              <w:rPr>
                <w:noProof/>
              </w:rPr>
              <w:fldChar w:fldCharType="end"/>
            </w:r>
            <w:bookmarkEnd w:id="273"/>
            <w:r>
              <w:t xml:space="preserve">: </w:t>
            </w:r>
            <w:r>
              <w:rPr>
                <w:rFonts w:ascii="Arial" w:hAnsi="Arial" w:cs="Arial"/>
                <w:b w:val="0"/>
                <w:vanish/>
                <w:sz w:val="18"/>
              </w:rPr>
              <w:t xml:space="preserve">BR_2.10 </w:t>
            </w:r>
            <w:r>
              <w:t>Valid Interpretations</w:t>
            </w:r>
            <w:bookmarkEnd w:id="274"/>
            <w:bookmarkEnd w:id="275"/>
            <w:bookmarkEnd w:id="276"/>
            <w:r>
              <w:fldChar w:fldCharType="begin"/>
            </w:r>
            <w:r>
              <w:instrText xml:space="preserve"> XE </w:instrText>
            </w:r>
            <w:r w:rsidR="00FA7E65">
              <w:instrText>“</w:instrText>
            </w:r>
            <w:r>
              <w:instrText>Tables:Valid Interpretations</w:instrText>
            </w:r>
            <w:r w:rsidR="00FA7E65">
              <w:instrText>”</w:instrText>
            </w:r>
            <w:r>
              <w:instrText xml:space="preserve"> </w:instrText>
            </w:r>
            <w:r>
              <w:fldChar w:fldCharType="end"/>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1800"/>
            </w:tblGrid>
            <w:tr w:rsidR="002A21AE" w14:paraId="108605CF" w14:textId="77777777">
              <w:trPr>
                <w:tblHeader/>
              </w:trPr>
              <w:tc>
                <w:tcPr>
                  <w:tcW w:w="1615" w:type="dxa"/>
                  <w:shd w:val="clear" w:color="auto" w:fill="B3B3B3"/>
                  <w:vAlign w:val="bottom"/>
                </w:tcPr>
                <w:p w14:paraId="66A5FC2F" w14:textId="77777777" w:rsidR="002A21AE" w:rsidRDefault="002A21AE">
                  <w:pPr>
                    <w:pStyle w:val="TableText"/>
                    <w:jc w:val="center"/>
                    <w:rPr>
                      <w:b/>
                    </w:rPr>
                  </w:pPr>
                  <w:r>
                    <w:rPr>
                      <w:b/>
                    </w:rPr>
                    <w:t>ABO</w:t>
                  </w:r>
                </w:p>
              </w:tc>
              <w:tc>
                <w:tcPr>
                  <w:tcW w:w="1800" w:type="dxa"/>
                  <w:shd w:val="clear" w:color="auto" w:fill="B3B3B3"/>
                  <w:vAlign w:val="bottom"/>
                </w:tcPr>
                <w:p w14:paraId="08C88AEB" w14:textId="77777777" w:rsidR="002A21AE" w:rsidRDefault="002A21AE">
                  <w:pPr>
                    <w:pStyle w:val="TableText"/>
                    <w:jc w:val="center"/>
                    <w:rPr>
                      <w:b/>
                    </w:rPr>
                  </w:pPr>
                  <w:r>
                    <w:rPr>
                      <w:b/>
                    </w:rPr>
                    <w:t>Rh</w:t>
                  </w:r>
                </w:p>
              </w:tc>
            </w:tr>
            <w:tr w:rsidR="002A21AE" w14:paraId="6FAA90C7" w14:textId="77777777">
              <w:tc>
                <w:tcPr>
                  <w:tcW w:w="1615" w:type="dxa"/>
                  <w:vAlign w:val="bottom"/>
                </w:tcPr>
                <w:p w14:paraId="00997EAA" w14:textId="77777777" w:rsidR="002A21AE" w:rsidRDefault="002A21AE">
                  <w:pPr>
                    <w:pStyle w:val="TableText"/>
                  </w:pPr>
                  <w:r>
                    <w:t>A</w:t>
                  </w:r>
                </w:p>
              </w:tc>
              <w:tc>
                <w:tcPr>
                  <w:tcW w:w="1800" w:type="dxa"/>
                  <w:vAlign w:val="bottom"/>
                </w:tcPr>
                <w:p w14:paraId="1B9CF688" w14:textId="77777777" w:rsidR="002A21AE" w:rsidRDefault="002A21AE">
                  <w:pPr>
                    <w:pStyle w:val="TableText"/>
                  </w:pPr>
                  <w:r>
                    <w:t>P, POS (positive)</w:t>
                  </w:r>
                </w:p>
              </w:tc>
            </w:tr>
            <w:tr w:rsidR="002A21AE" w14:paraId="39B5D904" w14:textId="77777777">
              <w:tc>
                <w:tcPr>
                  <w:tcW w:w="1615" w:type="dxa"/>
                  <w:vAlign w:val="bottom"/>
                </w:tcPr>
                <w:p w14:paraId="7D8111AC" w14:textId="77777777" w:rsidR="002A21AE" w:rsidRDefault="002A21AE">
                  <w:pPr>
                    <w:pStyle w:val="TableText"/>
                  </w:pPr>
                  <w:r>
                    <w:t>B</w:t>
                  </w:r>
                </w:p>
              </w:tc>
              <w:tc>
                <w:tcPr>
                  <w:tcW w:w="1800" w:type="dxa"/>
                  <w:vAlign w:val="bottom"/>
                </w:tcPr>
                <w:p w14:paraId="5B8FE0F4" w14:textId="77777777" w:rsidR="002A21AE" w:rsidRDefault="002A21AE">
                  <w:pPr>
                    <w:pStyle w:val="TableText"/>
                  </w:pPr>
                  <w:r>
                    <w:t>N, NEG (negative)</w:t>
                  </w:r>
                </w:p>
              </w:tc>
            </w:tr>
            <w:tr w:rsidR="002A21AE" w14:paraId="24200F57" w14:textId="77777777">
              <w:tc>
                <w:tcPr>
                  <w:tcW w:w="1615" w:type="dxa"/>
                  <w:vAlign w:val="bottom"/>
                </w:tcPr>
                <w:p w14:paraId="10534945" w14:textId="77777777" w:rsidR="002A21AE" w:rsidRDefault="002A21AE">
                  <w:pPr>
                    <w:pStyle w:val="TableText"/>
                  </w:pPr>
                  <w:r>
                    <w:t>AB</w:t>
                  </w:r>
                </w:p>
              </w:tc>
              <w:tc>
                <w:tcPr>
                  <w:tcW w:w="1800" w:type="dxa"/>
                  <w:tcBorders>
                    <w:bottom w:val="single" w:sz="4" w:space="0" w:color="auto"/>
                  </w:tcBorders>
                  <w:vAlign w:val="bottom"/>
                </w:tcPr>
                <w:p w14:paraId="662E953C" w14:textId="77777777" w:rsidR="002A21AE" w:rsidRDefault="002A21AE">
                  <w:pPr>
                    <w:pStyle w:val="TableText"/>
                  </w:pPr>
                  <w:r>
                    <w:t>I, Inconclusive</w:t>
                  </w:r>
                </w:p>
              </w:tc>
            </w:tr>
            <w:tr w:rsidR="002A21AE" w14:paraId="7EB85C38" w14:textId="77777777">
              <w:trPr>
                <w:cantSplit/>
              </w:trPr>
              <w:tc>
                <w:tcPr>
                  <w:tcW w:w="1615" w:type="dxa"/>
                  <w:vAlign w:val="bottom"/>
                </w:tcPr>
                <w:p w14:paraId="7CF94FB3" w14:textId="77777777" w:rsidR="002A21AE" w:rsidRDefault="002A21AE">
                  <w:pPr>
                    <w:pStyle w:val="TableText"/>
                  </w:pPr>
                  <w:r>
                    <w:t>O</w:t>
                  </w:r>
                </w:p>
              </w:tc>
              <w:tc>
                <w:tcPr>
                  <w:tcW w:w="1800" w:type="dxa"/>
                  <w:vMerge w:val="restart"/>
                  <w:shd w:val="clear" w:color="auto" w:fill="B3B3B3"/>
                  <w:vAlign w:val="bottom"/>
                </w:tcPr>
                <w:p w14:paraId="037370BB" w14:textId="77777777" w:rsidR="002A21AE" w:rsidRDefault="002A21AE">
                  <w:pPr>
                    <w:pStyle w:val="TableText"/>
                  </w:pPr>
                </w:p>
              </w:tc>
            </w:tr>
            <w:tr w:rsidR="002A21AE" w14:paraId="6B3AEEB5" w14:textId="77777777">
              <w:trPr>
                <w:cantSplit/>
              </w:trPr>
              <w:tc>
                <w:tcPr>
                  <w:tcW w:w="1615" w:type="dxa"/>
                  <w:vAlign w:val="bottom"/>
                </w:tcPr>
                <w:p w14:paraId="01B6C995" w14:textId="77777777" w:rsidR="002A21AE" w:rsidRDefault="002A21AE">
                  <w:pPr>
                    <w:pStyle w:val="TableText"/>
                  </w:pPr>
                  <w:r>
                    <w:t>I, Inconclusive</w:t>
                  </w:r>
                </w:p>
              </w:tc>
              <w:tc>
                <w:tcPr>
                  <w:tcW w:w="1800" w:type="dxa"/>
                  <w:vMerge/>
                  <w:vAlign w:val="bottom"/>
                </w:tcPr>
                <w:p w14:paraId="5C6008B5" w14:textId="77777777" w:rsidR="002A21AE" w:rsidRDefault="002A21AE">
                  <w:pPr>
                    <w:pStyle w:val="NotesText"/>
                  </w:pPr>
                </w:p>
              </w:tc>
            </w:tr>
          </w:tbl>
          <w:p w14:paraId="4EE47643" w14:textId="77777777" w:rsidR="002A21AE" w:rsidRDefault="002A21AE">
            <w:pPr>
              <w:pStyle w:val="NotesText"/>
              <w:ind w:left="0"/>
            </w:pPr>
          </w:p>
          <w:p w14:paraId="2D99C062" w14:textId="77777777" w:rsidR="002A21AE" w:rsidRDefault="002A21AE">
            <w:pPr>
              <w:pStyle w:val="NotesText"/>
            </w:pPr>
            <w:r>
              <w:rPr>
                <w:rFonts w:cs="Arial"/>
                <w:vanish/>
              </w:rPr>
              <w:t xml:space="preserve">BR_2.15 </w:t>
            </w:r>
            <w:r>
              <w:t>When a user saves a partially completed ABO/Rh testing worklist, VBECS clears unit entries with incomplete or no results, releases them from the worklist, and makes them available for inclusion in a future worklist.</w:t>
            </w:r>
          </w:p>
          <w:p w14:paraId="7E76337C" w14:textId="77777777" w:rsidR="002A21AE" w:rsidRDefault="002A21AE">
            <w:pPr>
              <w:pStyle w:val="NotesText"/>
            </w:pPr>
          </w:p>
          <w:p w14:paraId="17A20B9E" w14:textId="77777777" w:rsidR="002A21AE" w:rsidRDefault="002A21AE">
            <w:pPr>
              <w:pStyle w:val="NotesText"/>
            </w:pPr>
            <w:r>
              <w:rPr>
                <w:rFonts w:cs="Arial"/>
                <w:vanish/>
              </w:rPr>
              <w:t xml:space="preserve">BR_2.35 </w:t>
            </w:r>
            <w:r>
              <w:t>Row validation is established for the interpretation vs. reaction results pattern by system rules</w:t>
            </w:r>
            <w:r>
              <w:rPr>
                <w:vanish/>
                <w:szCs w:val="18"/>
              </w:rPr>
              <w:t>TT_2.01 Forward ABO Confirmation and TT_2.02 Rh Confirmation: Forward Testing Truth Tables</w:t>
            </w:r>
            <w:r>
              <w:t>.</w:t>
            </w:r>
          </w:p>
          <w:p w14:paraId="3EA471B5" w14:textId="77777777" w:rsidR="00C55908" w:rsidRPr="00200B6D" w:rsidRDefault="00C55908" w:rsidP="00200B6D">
            <w:pPr>
              <w:pStyle w:val="NotesText"/>
            </w:pPr>
          </w:p>
          <w:p w14:paraId="45AB0744" w14:textId="77777777" w:rsidR="002A21AE" w:rsidRDefault="002A21AE" w:rsidP="00200B6D">
            <w:pPr>
              <w:pStyle w:val="NotesText"/>
              <w:rPr>
                <w:noProof/>
                <w:color w:val="000000"/>
              </w:rPr>
            </w:pPr>
            <w:r w:rsidRPr="00200B6D">
              <w:rPr>
                <w:vanish/>
                <w:szCs w:val="18"/>
              </w:rPr>
              <w:t>BR_2.05</w:t>
            </w:r>
            <w:r w:rsidR="00CE3961">
              <w:rPr>
                <w:vanish/>
                <w:szCs w:val="18"/>
              </w:rPr>
              <w:t>,</w:t>
            </w:r>
            <w:r w:rsidRPr="00200B6D">
              <w:rPr>
                <w:vanish/>
                <w:szCs w:val="18"/>
              </w:rPr>
              <w:t xml:space="preserve"> BR_2.06 </w:t>
            </w:r>
            <w:r w:rsidRPr="00200B6D">
              <w:t>ABO</w:t>
            </w:r>
            <w:r w:rsidR="004A178C" w:rsidRPr="00200B6D">
              <w:t>/Rh</w:t>
            </w:r>
            <w:r w:rsidRPr="00200B6D">
              <w:t xml:space="preserve"> interpretations are consistent with observed test results based on system rules. Discrepancies are resolved before VBECS can verify ABO</w:t>
            </w:r>
            <w:r w:rsidR="004A178C" w:rsidRPr="00200B6D">
              <w:t>/Rh</w:t>
            </w:r>
            <w:r w:rsidRPr="00200B6D">
              <w:t xml:space="preserve"> confirmation results and add them to the database. The user may reenter valid results or delete entries and start over. </w:t>
            </w:r>
          </w:p>
        </w:tc>
      </w:tr>
      <w:tr w:rsidR="002A21AE" w14:paraId="20F59AF1" w14:textId="77777777">
        <w:tc>
          <w:tcPr>
            <w:tcW w:w="3240" w:type="dxa"/>
          </w:tcPr>
          <w:p w14:paraId="10DCAB3D" w14:textId="77777777" w:rsidR="002A21AE" w:rsidRDefault="002A21AE">
            <w:pPr>
              <w:pStyle w:val="TableTextNumbers"/>
            </w:pPr>
            <w:r>
              <w:lastRenderedPageBreak/>
              <w:t>Confirm that all results were reviewed and are acceptable.</w:t>
            </w:r>
          </w:p>
          <w:p w14:paraId="7CA1EE64" w14:textId="77777777" w:rsidR="002A21AE" w:rsidRDefault="002A21AE">
            <w:pPr>
              <w:pStyle w:val="TableTextNumbersContinued"/>
            </w:pPr>
          </w:p>
        </w:tc>
        <w:tc>
          <w:tcPr>
            <w:tcW w:w="6120" w:type="dxa"/>
          </w:tcPr>
          <w:p w14:paraId="6B436B1C" w14:textId="77777777" w:rsidR="002A21AE" w:rsidRDefault="002A21AE">
            <w:pPr>
              <w:pStyle w:val="TableTextBullet"/>
            </w:pPr>
            <w:r>
              <w:t>Repeats data validation and prompts the user to save.</w:t>
            </w:r>
          </w:p>
          <w:p w14:paraId="147109E2" w14:textId="77777777" w:rsidR="002A21AE" w:rsidRDefault="002A21AE">
            <w:pPr>
              <w:pStyle w:val="TableText"/>
            </w:pPr>
          </w:p>
          <w:p w14:paraId="4F94EE8E" w14:textId="7C210945" w:rsidR="002A21AE" w:rsidRDefault="002A21AE">
            <w:pPr>
              <w:pStyle w:val="TableText"/>
              <w:rPr>
                <w:b/>
                <w:bCs/>
                <w:szCs w:val="18"/>
              </w:rPr>
            </w:pPr>
            <w:r>
              <w:rPr>
                <w:b/>
                <w:bCs/>
                <w:szCs w:val="18"/>
              </w:rPr>
              <w:t>NOTES</w:t>
            </w:r>
          </w:p>
          <w:p w14:paraId="1F90940E" w14:textId="77777777" w:rsidR="002A21AE" w:rsidRDefault="002A21AE">
            <w:pPr>
              <w:pStyle w:val="NotesText"/>
            </w:pPr>
          </w:p>
          <w:p w14:paraId="088CA818" w14:textId="77777777" w:rsidR="002A21AE" w:rsidRDefault="002A21AE">
            <w:pPr>
              <w:pStyle w:val="NotesText"/>
            </w:pPr>
            <w:r>
              <w:rPr>
                <w:rFonts w:cs="Arial"/>
                <w:vanish/>
              </w:rPr>
              <w:t xml:space="preserve">BR_2.44 </w:t>
            </w:r>
            <w:r>
              <w:t xml:space="preserve">VBECS warns that it doesn’t save partially completed unit ABO/Rh confirmation worksheets. </w:t>
            </w:r>
          </w:p>
          <w:p w14:paraId="17194D61" w14:textId="77777777" w:rsidR="002A21AE" w:rsidRDefault="002A21AE">
            <w:pPr>
              <w:pStyle w:val="NotesText"/>
            </w:pPr>
          </w:p>
          <w:p w14:paraId="40BA3F9B" w14:textId="4792E62E" w:rsidR="002A21AE" w:rsidRDefault="002A21AE">
            <w:pPr>
              <w:pStyle w:val="NotesText"/>
            </w:pPr>
            <w:r>
              <w:rPr>
                <w:rFonts w:cs="Arial"/>
                <w:vanish/>
              </w:rPr>
              <w:t xml:space="preserve">BR_2.21 </w:t>
            </w:r>
            <w:r w:rsidR="009965B7">
              <w:rPr>
                <w:rFonts w:ascii="Webdings" w:hAnsi="Webdings"/>
                <w:sz w:val="40"/>
                <w:szCs w:val="40"/>
              </w:rPr>
              <w:t></w:t>
            </w:r>
            <w:r w:rsidR="009965B7" w:rsidRPr="00D62E87">
              <w:rPr>
                <w:rFonts w:ascii="Webdings" w:hAnsi="Webdings"/>
              </w:rPr>
              <w:t></w:t>
            </w:r>
            <w:r w:rsidR="009965B7">
              <w:t>W</w:t>
            </w:r>
            <w:r>
              <w:t xml:space="preserve">hen VBECS verifies that the ABO or Rh interpretation is “Inconclusive,” it assigns the unit a “Quarantine” indicator, emits an audible alert, and captures details for inclusion in an Exception Report (exception type: </w:t>
            </w:r>
            <w:r w:rsidR="00372501">
              <w:t xml:space="preserve">Unit </w:t>
            </w:r>
            <w:r>
              <w:t>ABO/Rh confirmation Inconclusiv</w:t>
            </w:r>
            <w:r w:rsidR="0038568C">
              <w:t>e, unit quarantined).</w:t>
            </w:r>
            <w:r w:rsidR="0002020B">
              <w:t xml:space="preserve"> </w:t>
            </w:r>
            <w:r w:rsidR="00C4296C">
              <w:t>An Exception Report entry is not created when a unit is r</w:t>
            </w:r>
            <w:r w:rsidR="00C4296C" w:rsidRPr="00C4296C">
              <w:t>esulted as weak D positive or weak D inconclusive and is properly quarantined.</w:t>
            </w:r>
            <w:r w:rsidR="0002020B">
              <w:t xml:space="preserve"> </w:t>
            </w:r>
            <w:r w:rsidR="0002020B" w:rsidRPr="0002020B">
              <w:rPr>
                <w:vanish/>
              </w:rPr>
              <w:t>Defect 214349</w:t>
            </w:r>
            <w:r w:rsidR="00C4296C" w:rsidRPr="0002020B">
              <w:rPr>
                <w:vanish/>
              </w:rPr>
              <w:t xml:space="preserve">  </w:t>
            </w:r>
          </w:p>
          <w:p w14:paraId="4426EE15" w14:textId="77777777" w:rsidR="002A21AE" w:rsidRDefault="002A21AE">
            <w:pPr>
              <w:pStyle w:val="NotesText"/>
            </w:pPr>
          </w:p>
          <w:p w14:paraId="24886E21" w14:textId="77777777" w:rsidR="002A21AE" w:rsidRDefault="002A21AE">
            <w:pPr>
              <w:pStyle w:val="NotesText"/>
            </w:pPr>
            <w:r>
              <w:rPr>
                <w:rFonts w:cs="Arial"/>
                <w:vanish/>
              </w:rPr>
              <w:t xml:space="preserve">BR_2.12 </w:t>
            </w:r>
            <w:r w:rsidR="00D91CEA">
              <w:t>Upon successful completion of ABO/Rh confirmation, the unit status is</w:t>
            </w:r>
            <w:r w:rsidR="001C17DF">
              <w:t xml:space="preserve"> updated</w:t>
            </w:r>
            <w:r w:rsidR="00D91CEA">
              <w:t>. Successful completion means that the ABO and Rh (if required) interpretation is consistent with recorded observed results and matches the ABO/Rh at unit login and any repeat ABO/Rh tests on the unit that are not invalidated.</w:t>
            </w:r>
          </w:p>
        </w:tc>
      </w:tr>
      <w:tr w:rsidR="00A751E4" w14:paraId="7C6D0B80" w14:textId="77777777">
        <w:tc>
          <w:tcPr>
            <w:tcW w:w="3240" w:type="dxa"/>
          </w:tcPr>
          <w:p w14:paraId="0945D6D0" w14:textId="77777777" w:rsidR="00A751E4" w:rsidRDefault="00A751E4">
            <w:pPr>
              <w:pStyle w:val="TableTextNumbers"/>
            </w:pPr>
            <w:r>
              <w:t xml:space="preserve">Click </w:t>
            </w:r>
            <w:r w:rsidRPr="008C3BED">
              <w:rPr>
                <w:b/>
              </w:rPr>
              <w:t>OK</w:t>
            </w:r>
            <w:r>
              <w:t xml:space="preserve"> to save the ABO/Rh confirmation testing.</w:t>
            </w:r>
          </w:p>
        </w:tc>
        <w:tc>
          <w:tcPr>
            <w:tcW w:w="6120" w:type="dxa"/>
          </w:tcPr>
          <w:p w14:paraId="574E9312" w14:textId="77777777" w:rsidR="00A751E4" w:rsidRDefault="00A751E4" w:rsidP="00A751E4">
            <w:pPr>
              <w:pStyle w:val="TableTextBullet"/>
              <w:rPr>
                <w:b/>
                <w:bCs/>
                <w:szCs w:val="18"/>
              </w:rPr>
            </w:pPr>
            <w:r>
              <w:t>Prompts the user to confirm that all results were reviewed and are acceptable.</w:t>
            </w:r>
          </w:p>
        </w:tc>
      </w:tr>
      <w:tr w:rsidR="002A21AE" w14:paraId="2D61A5DD" w14:textId="77777777">
        <w:tc>
          <w:tcPr>
            <w:tcW w:w="3240" w:type="dxa"/>
          </w:tcPr>
          <w:p w14:paraId="7E5F3844" w14:textId="77777777" w:rsidR="002A21AE" w:rsidRDefault="002A21AE">
            <w:pPr>
              <w:pStyle w:val="TableTextNumbers"/>
            </w:pPr>
            <w:r>
              <w:t xml:space="preserve">Click </w:t>
            </w:r>
            <w:r>
              <w:rPr>
                <w:b/>
              </w:rPr>
              <w:t>OK</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5FE71D4" w14:textId="77777777" w:rsidR="002A21AE" w:rsidRDefault="002A21AE">
            <w:pPr>
              <w:pStyle w:val="TableText"/>
              <w:keepNext/>
              <w:rPr>
                <w:b/>
                <w:bCs/>
                <w:szCs w:val="18"/>
              </w:rPr>
            </w:pPr>
          </w:p>
        </w:tc>
      </w:tr>
    </w:tbl>
    <w:p w14:paraId="1624CC94" w14:textId="77777777" w:rsidR="00C0155E" w:rsidRDefault="00C0155E">
      <w:pPr>
        <w:pStyle w:val="Heading3"/>
      </w:pPr>
      <w:bookmarkStart w:id="277" w:name="_Unit_Antigen_Typing"/>
      <w:bookmarkEnd w:id="272"/>
      <w:bookmarkEnd w:id="277"/>
    </w:p>
    <w:p w14:paraId="1CC91393" w14:textId="77777777" w:rsidR="002A21AE" w:rsidRDefault="00C0155E">
      <w:pPr>
        <w:pStyle w:val="Heading3"/>
      </w:pPr>
      <w:r>
        <w:br w:type="page"/>
      </w:r>
      <w:bookmarkStart w:id="278" w:name="_Toc163644913"/>
      <w:r w:rsidR="002A21AE">
        <w:lastRenderedPageBreak/>
        <w:t>Unit Antigen Typing</w:t>
      </w:r>
      <w:bookmarkEnd w:id="278"/>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2A21AE" w:rsidRPr="00796039">
        <w:rPr>
          <w:rFonts w:ascii="Arial Bold" w:hAnsi="Arial Bold"/>
          <w:vanish/>
        </w:rPr>
        <w:instrText>Unit Antigen Typing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UC_41 </w:t>
      </w:r>
    </w:p>
    <w:p w14:paraId="69009EA7" w14:textId="77777777" w:rsidR="002A21AE" w:rsidRDefault="002A21AE" w:rsidP="00FA7E65">
      <w:pPr>
        <w:pStyle w:val="BodyText"/>
      </w:pPr>
      <w:bookmarkStart w:id="279" w:name="_Toc78171570"/>
      <w:r>
        <w:t>The user performs antigen typing for one or more of the antigens in a blood unit and records the results in a worklist.</w:t>
      </w:r>
    </w:p>
    <w:p w14:paraId="57D36BF8" w14:textId="77777777" w:rsidR="002A21AE" w:rsidRDefault="002A21AE">
      <w:pPr>
        <w:pStyle w:val="Heading4"/>
      </w:pPr>
      <w:r>
        <w:t>Assumptions</w:t>
      </w:r>
    </w:p>
    <w:p w14:paraId="64E1FA3C" w14:textId="77777777" w:rsidR="002A21AE" w:rsidRDefault="002A21AE">
      <w:pPr>
        <w:pStyle w:val="ListBullet"/>
      </w:pPr>
      <w:r>
        <w:rPr>
          <w:rFonts w:ascii="Arial" w:hAnsi="Arial" w:cs="Arial"/>
          <w:vanish/>
          <w:spacing w:val="0"/>
          <w:sz w:val="18"/>
        </w:rPr>
        <w:t xml:space="preserve">BR_2.43 </w:t>
      </w:r>
      <w:r w:rsidR="00B540C0">
        <w:t>The division is “full service”.</w:t>
      </w:r>
    </w:p>
    <w:p w14:paraId="4C49B446" w14:textId="77777777" w:rsidR="002A21AE" w:rsidRDefault="00A8101B">
      <w:pPr>
        <w:pStyle w:val="ListBullet"/>
      </w:pPr>
      <w:r>
        <w:t>The units</w:t>
      </w:r>
      <w:r w:rsidR="002A21AE">
        <w:t xml:space="preserve"> and the user are in the same division.</w:t>
      </w:r>
    </w:p>
    <w:p w14:paraId="4295D186" w14:textId="77777777" w:rsidR="002A21AE" w:rsidRDefault="002A21AE">
      <w:pPr>
        <w:pStyle w:val="ListBullet"/>
      </w:pPr>
      <w:r>
        <w:t>Antiserum inventory is entered during Log In Reagents.</w:t>
      </w:r>
    </w:p>
    <w:p w14:paraId="0893D155" w14:textId="77777777" w:rsidR="002A21AE" w:rsidRDefault="002A21AE">
      <w:pPr>
        <w:pStyle w:val="ListBullet"/>
      </w:pPr>
      <w:r>
        <w:t>Workload codes are assigned through Workload Codes.</w:t>
      </w:r>
    </w:p>
    <w:p w14:paraId="29D26094" w14:textId="77777777" w:rsidR="002A21AE" w:rsidRDefault="002A21AE">
      <w:pPr>
        <w:pStyle w:val="Heading4"/>
      </w:pPr>
      <w:r>
        <w:t>Outcome</w:t>
      </w:r>
    </w:p>
    <w:p w14:paraId="06CFD82C" w14:textId="77777777" w:rsidR="002A21AE" w:rsidRDefault="002A21AE">
      <w:pPr>
        <w:pStyle w:val="ListBullet"/>
      </w:pPr>
      <w:r>
        <w:t>Antigen typing was applied in the unit record for informational purposes in other options.</w:t>
      </w:r>
    </w:p>
    <w:p w14:paraId="6EA4D19E"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440A9F19" w14:textId="77777777" w:rsidR="002A21AE" w:rsidRDefault="002A21AE">
      <w:pPr>
        <w:pStyle w:val="Heading4"/>
      </w:pPr>
      <w:r>
        <w:t>Limitations and Restrictions</w:t>
      </w:r>
    </w:p>
    <w:p w14:paraId="66864FEE" w14:textId="77777777" w:rsidR="002A21AE" w:rsidRDefault="002A21AE">
      <w:pPr>
        <w:pStyle w:val="ListBullet"/>
      </w:pPr>
      <w:r>
        <w:t>Antigen ty</w:t>
      </w:r>
      <w:r w:rsidR="00C0155E">
        <w:t>ping applies only to red blood cell antigens</w:t>
      </w:r>
      <w:r>
        <w:t xml:space="preserve">. This option does not address platelet, </w:t>
      </w:r>
      <w:r w:rsidR="007A6452">
        <w:t>histocompatibility locus antigens (</w:t>
      </w:r>
      <w:r>
        <w:t>HLA</w:t>
      </w:r>
      <w:r w:rsidR="00FF15AD">
        <w:t>s</w:t>
      </w:r>
      <w:r w:rsidR="007A6452">
        <w:t>)</w:t>
      </w:r>
      <w:r>
        <w:t xml:space="preserve">, or </w:t>
      </w:r>
      <w:r w:rsidR="007A6452">
        <w:t>Immunoglobulin A (</w:t>
      </w:r>
      <w:r>
        <w:t>IgA</w:t>
      </w:r>
      <w:r w:rsidR="007A6452">
        <w:t>)</w:t>
      </w:r>
      <w:r>
        <w:t xml:space="preserve"> antigenicity.</w:t>
      </w:r>
    </w:p>
    <w:p w14:paraId="49B55319" w14:textId="77777777" w:rsidR="00391084" w:rsidRDefault="00391084">
      <w:pPr>
        <w:pStyle w:val="ListBullet"/>
      </w:pPr>
      <w:r>
        <w:t>Only blood units of the “WHOLE BLOOD” and “RED BLOOD CELLS” ICCBBA component classes can be selected for inclusion in the antigen type worklist.</w:t>
      </w:r>
    </w:p>
    <w:p w14:paraId="4C41C6AA" w14:textId="6D86D09D" w:rsidR="00C0155E" w:rsidRDefault="00C0155E">
      <w:pPr>
        <w:pStyle w:val="ListBullet"/>
      </w:pPr>
      <w:r>
        <w:t>Antigen typing is not required on products with = &gt; 2 mL of RBC contamination that are not Red Blood Cells or Whole Blood.</w:t>
      </w:r>
    </w:p>
    <w:p w14:paraId="126F46C5" w14:textId="77777777" w:rsidR="002A21AE" w:rsidRDefault="002A21AE">
      <w:pPr>
        <w:pStyle w:val="ListBullet"/>
      </w:pPr>
      <w:r>
        <w:t>VBECS does not check whether the lot and vial numbers selected for the positive control cells differ from those of the negative control cells.</w:t>
      </w:r>
    </w:p>
    <w:p w14:paraId="51FAB354" w14:textId="51C2C1CC" w:rsidR="00AC52D9" w:rsidRDefault="00FF15AD" w:rsidP="00383985">
      <w:pPr>
        <w:pStyle w:val="ListBullet"/>
      </w:pPr>
      <w:r>
        <w:t>D antigen typing must not be combined in batch testing of Rh positive units.</w:t>
      </w:r>
    </w:p>
    <w:p w14:paraId="37919144" w14:textId="73A002D2" w:rsidR="00C86AB4" w:rsidRDefault="002C4355" w:rsidP="00383985">
      <w:pPr>
        <w:pStyle w:val="ListBullet"/>
      </w:pPr>
      <w:r>
        <w:t xml:space="preserve">The sort order of the selected units may not be inherited by the testing grid. Organize physical test materials according to the order of units presented on the testing grid. </w:t>
      </w:r>
      <w:r w:rsidRPr="002C4355">
        <w:rPr>
          <w:vanish/>
        </w:rPr>
        <w:t>Defect 209578</w:t>
      </w:r>
    </w:p>
    <w:p w14:paraId="19BE8D76" w14:textId="169F154D" w:rsidR="004675C2" w:rsidRDefault="004675C2" w:rsidP="00383985">
      <w:pPr>
        <w:pStyle w:val="ListBullet"/>
        <w:numPr>
          <w:ilvl w:val="0"/>
          <w:numId w:val="0"/>
        </w:numPr>
        <w:ind w:left="648"/>
      </w:pPr>
    </w:p>
    <w:p w14:paraId="3E45A994" w14:textId="77777777" w:rsidR="002A21AE" w:rsidRDefault="002A21AE" w:rsidP="005B025F">
      <w:pPr>
        <w:pStyle w:val="Heading4"/>
      </w:pPr>
      <w:r>
        <w:t>Additional Information</w:t>
      </w:r>
    </w:p>
    <w:p w14:paraId="11877812" w14:textId="26C2E00A" w:rsidR="00852AC1" w:rsidRPr="00852AC1" w:rsidRDefault="00852AC1" w:rsidP="009A6575">
      <w:pPr>
        <w:pStyle w:val="ListBullet"/>
      </w:pPr>
      <w:r w:rsidRPr="00852AC1">
        <w:rPr>
          <w:snapToGrid w:val="0"/>
          <w:vanish/>
        </w:rPr>
        <w:t>BR_</w:t>
      </w:r>
      <w:r w:rsidR="00F63A03">
        <w:rPr>
          <w:snapToGrid w:val="0"/>
          <w:vanish/>
        </w:rPr>
        <w:t>2.43</w:t>
      </w:r>
      <w:r>
        <w:rPr>
          <w:snapToGrid w:val="0"/>
        </w:rPr>
        <w:t xml:space="preserve">This option is disabled for transfusion-only facilities. </w:t>
      </w:r>
    </w:p>
    <w:p w14:paraId="15161432" w14:textId="77777777" w:rsidR="009A6575" w:rsidRDefault="009A6575" w:rsidP="009A6575">
      <w:pPr>
        <w:pStyle w:val="ListBullet"/>
      </w:pPr>
      <w:r>
        <w:t>Clinical significance and availability of typing reagents are not implied when antigens are included in the list of antigen type tests.</w:t>
      </w:r>
    </w:p>
    <w:p w14:paraId="0B118AD9" w14:textId="77777777" w:rsidR="002A21AE" w:rsidRDefault="002A21AE">
      <w:pPr>
        <w:pStyle w:val="ListBullet"/>
      </w:pPr>
      <w:r>
        <w:t xml:space="preserve">A CPRS patient order is not required to perform antigen typing of units. </w:t>
      </w:r>
    </w:p>
    <w:p w14:paraId="3B0861A7" w14:textId="77777777" w:rsidR="002A21AE" w:rsidRDefault="002A21AE">
      <w:pPr>
        <w:pStyle w:val="ListBullet"/>
      </w:pPr>
      <w:r>
        <w:t>A user may query the database for the presence of antigen-typed units and display or print the query results</w:t>
      </w:r>
      <w:r w:rsidR="006D5D06">
        <w:t xml:space="preserve"> in Blood Availability.</w:t>
      </w:r>
    </w:p>
    <w:p w14:paraId="4B970DB2" w14:textId="77777777" w:rsidR="002A21AE" w:rsidRDefault="002A21AE">
      <w:pPr>
        <w:pStyle w:val="ListBullet"/>
      </w:pPr>
      <w:r>
        <w:t>A user may retrieve evidence of antigen typing for any date or date range. Regulatory agencies require documentation of the reagent name, lot number, reagent expiration date, and positive and negative control.</w:t>
      </w:r>
    </w:p>
    <w:p w14:paraId="7CF5512F" w14:textId="7CE89508" w:rsidR="00AC52D9" w:rsidRDefault="00AC52D9">
      <w:pPr>
        <w:pStyle w:val="ListBullet"/>
      </w:pPr>
      <w:r>
        <w:t>A user is required to complete antigen typing QC in order to save test results. If an antigen testing worklist is started but not saved and a second testing worklist is started for the same antigen</w:t>
      </w:r>
      <w:r w:rsidR="00FE130E">
        <w:t>,</w:t>
      </w:r>
      <w:r>
        <w:t xml:space="preserve"> the QC grid will display and require completion because the first worklist has not been saved.</w:t>
      </w:r>
      <w:r>
        <w:rPr>
          <w:vanish/>
        </w:rPr>
        <w:t xml:space="preserve"> Task 1307</w:t>
      </w:r>
    </w:p>
    <w:p w14:paraId="01AA52C4" w14:textId="2CE7F570" w:rsidR="00261D97" w:rsidRDefault="00261D97" w:rsidP="00383985">
      <w:pPr>
        <w:pStyle w:val="ListBullet"/>
      </w:pPr>
      <w:r w:rsidRPr="00261D97">
        <w:t>When invalidating results from Unit Antigen Typing</w:t>
      </w:r>
      <w:r w:rsidR="00383985">
        <w:t>,</w:t>
      </w:r>
      <w:r w:rsidRPr="00261D97">
        <w:t xml:space="preserve"> the Exception Report does not show all invalidated values.</w:t>
      </w:r>
      <w:r w:rsidR="00383985" w:rsidRPr="00383985">
        <w:t xml:space="preserve"> View the invalidated tests on the Testing Worklist Report and the Unit History Report.</w:t>
      </w:r>
      <w:r w:rsidR="005A75E0">
        <w:t xml:space="preserve"> </w:t>
      </w:r>
      <w:r w:rsidR="005A75E0" w:rsidRPr="005A75E0">
        <w:rPr>
          <w:vanish/>
        </w:rPr>
        <w:t>Defect 210521</w:t>
      </w:r>
    </w:p>
    <w:p w14:paraId="6A386B03" w14:textId="77777777" w:rsidR="002A21AE" w:rsidRDefault="002A21AE">
      <w:pPr>
        <w:pStyle w:val="Heading4"/>
      </w:pPr>
      <w:r>
        <w:lastRenderedPageBreak/>
        <w:t>User Roles with Access to This Option</w:t>
      </w:r>
    </w:p>
    <w:p w14:paraId="116E4482" w14:textId="77777777" w:rsidR="002A21AE" w:rsidRDefault="002B1D25">
      <w:pPr>
        <w:pStyle w:val="Roles"/>
        <w:rPr>
          <w:snapToGrid w:val="0"/>
        </w:rPr>
      </w:pPr>
      <w:r>
        <w:t>All users</w:t>
      </w:r>
    </w:p>
    <w:bookmarkEnd w:id="279"/>
    <w:p w14:paraId="4E46F0B7" w14:textId="77777777" w:rsidR="002A21AE" w:rsidRDefault="002A21AE">
      <w:pPr>
        <w:pStyle w:val="Heading4"/>
      </w:pPr>
      <w:r>
        <w:t xml:space="preserve">Unit Antigen Typing </w:t>
      </w:r>
    </w:p>
    <w:p w14:paraId="128D6CE2" w14:textId="77777777" w:rsidR="002A21AE" w:rsidRDefault="002A21AE" w:rsidP="00FA7E65">
      <w:pPr>
        <w:pStyle w:val="BodyText"/>
      </w:pPr>
      <w:r>
        <w:t>The user performs antigen typing for one or more of the antigens on blood units. VBECS creates a list of available antigen specificities, including weak D, that can be tested. For each antigen tested, the user must select a reagent from available inventory. VBECS will check to see if valid positive and negative controls were tested for the selected reagent on the calendar day of testing. When controls are not tested, VBECS adds tests for the positive and negative controls to the worksheet.</w:t>
      </w:r>
    </w:p>
    <w:p w14:paraId="5696C9C1" w14:textId="77777777" w:rsidR="002A21AE" w:rsidRDefault="002A21AE" w:rsidP="00FA7E65">
      <w:pPr>
        <w:pStyle w:val="BodyText"/>
      </w:pPr>
      <w:r>
        <w:t>Red cell units prepared for patient transfusion may need to be negative for this antibody specificity based on their setting in the antibody table defined in Antibodies.</w:t>
      </w:r>
    </w:p>
    <w:p w14:paraId="71C6DF08" w14:textId="77777777" w:rsidR="00970274" w:rsidRDefault="00057948" w:rsidP="00970274">
      <w:pPr>
        <w:pStyle w:val="Caution"/>
      </w:pPr>
      <w:r>
        <w:rPr>
          <w:noProof/>
        </w:rPr>
        <w:drawing>
          <wp:inline distT="0" distB="0" distL="0" distR="0" wp14:anchorId="55CC5395" wp14:editId="3DA84AF1">
            <wp:extent cx="267970" cy="221615"/>
            <wp:effectExtent l="0" t="0" r="0" b="6985"/>
            <wp:docPr id="170" name="Picture 17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70274">
        <w:t xml:space="preserve"> Deletion of a partially completed antigen typing worklist invalidates any completed tests contained on the worklist regardless of the status of the unit, including transfused units.</w:t>
      </w:r>
    </w:p>
    <w:p w14:paraId="756721A6" w14:textId="77777777" w:rsidR="00970274" w:rsidRPr="00D73AB9" w:rsidRDefault="00970274" w:rsidP="00970274">
      <w:pPr>
        <w:pStyle w:val="Caution"/>
        <w:rPr>
          <w:spacing w:val="-5"/>
        </w:rPr>
      </w:pPr>
      <w:r>
        <w:t>It is the user’s responsibility to verify that the records are being invalidated appropriately.</w:t>
      </w:r>
    </w:p>
    <w:p w14:paraId="1082E54E" w14:textId="77777777" w:rsidR="00970274" w:rsidRDefault="00970274"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361E1E" w14:textId="77777777">
        <w:trPr>
          <w:tblHeader/>
        </w:trPr>
        <w:tc>
          <w:tcPr>
            <w:tcW w:w="3240" w:type="dxa"/>
            <w:shd w:val="pct30" w:color="auto" w:fill="FFFFFF"/>
            <w:vAlign w:val="bottom"/>
          </w:tcPr>
          <w:p w14:paraId="08A38887" w14:textId="77777777" w:rsidR="002A21AE" w:rsidRDefault="002A21AE">
            <w:pPr>
              <w:pStyle w:val="TableText"/>
              <w:rPr>
                <w:b/>
                <w:bCs/>
              </w:rPr>
            </w:pPr>
            <w:r>
              <w:rPr>
                <w:b/>
                <w:bCs/>
              </w:rPr>
              <w:t>User Action</w:t>
            </w:r>
          </w:p>
        </w:tc>
        <w:tc>
          <w:tcPr>
            <w:tcW w:w="6120" w:type="dxa"/>
            <w:shd w:val="pct30" w:color="auto" w:fill="FFFFFF"/>
            <w:vAlign w:val="bottom"/>
          </w:tcPr>
          <w:p w14:paraId="04B95673" w14:textId="77777777" w:rsidR="002A21AE" w:rsidRDefault="002A21AE">
            <w:pPr>
              <w:pStyle w:val="TableText"/>
              <w:rPr>
                <w:b/>
                <w:bCs/>
              </w:rPr>
            </w:pPr>
            <w:r>
              <w:rPr>
                <w:b/>
                <w:bCs/>
              </w:rPr>
              <w:t>VBECS</w:t>
            </w:r>
          </w:p>
        </w:tc>
      </w:tr>
      <w:tr w:rsidR="002A21AE" w14:paraId="3347A465" w14:textId="77777777">
        <w:tc>
          <w:tcPr>
            <w:tcW w:w="3240" w:type="dxa"/>
          </w:tcPr>
          <w:p w14:paraId="182E4269" w14:textId="77777777" w:rsidR="002A21AE" w:rsidRDefault="002A21AE">
            <w:pPr>
              <w:pStyle w:val="TableTextNumbers"/>
            </w:pPr>
            <w:r>
              <w:t xml:space="preserve">Select </w:t>
            </w:r>
            <w:r>
              <w:rPr>
                <w:b/>
              </w:rPr>
              <w:t>Blood Units</w:t>
            </w:r>
            <w:r>
              <w:t xml:space="preserve"> from the main menu. </w:t>
            </w:r>
          </w:p>
          <w:p w14:paraId="41B683FF" w14:textId="77777777" w:rsidR="002A21AE" w:rsidRDefault="002A21AE">
            <w:pPr>
              <w:pStyle w:val="TableTextNumbersContinued"/>
            </w:pPr>
          </w:p>
          <w:p w14:paraId="11F29CEA" w14:textId="77777777" w:rsidR="002A21AE" w:rsidRDefault="002A21AE">
            <w:pPr>
              <w:pStyle w:val="TableTextNumbersContinued"/>
            </w:pPr>
            <w:r>
              <w:t xml:space="preserve">Select </w:t>
            </w:r>
            <w:r>
              <w:rPr>
                <w:b/>
              </w:rPr>
              <w:t>Unit Antigen Typing</w:t>
            </w:r>
            <w:r>
              <w:t>.</w:t>
            </w:r>
          </w:p>
        </w:tc>
        <w:tc>
          <w:tcPr>
            <w:tcW w:w="6120" w:type="dxa"/>
          </w:tcPr>
          <w:p w14:paraId="237A773B" w14:textId="77777777" w:rsidR="002A21AE" w:rsidRDefault="002A21AE">
            <w:pPr>
              <w:pStyle w:val="TableTextBullet"/>
            </w:pPr>
            <w:r>
              <w:t>Displays options for processing blood units.</w:t>
            </w:r>
          </w:p>
          <w:p w14:paraId="2C3CCB15" w14:textId="77777777" w:rsidR="002A21AE" w:rsidRDefault="002A21AE">
            <w:pPr>
              <w:pStyle w:val="TableTextBullet"/>
            </w:pPr>
            <w:r>
              <w:t>Displays options for processing antisera.</w:t>
            </w:r>
          </w:p>
        </w:tc>
      </w:tr>
      <w:tr w:rsidR="002A21AE" w14:paraId="3A20B377" w14:textId="77777777">
        <w:tc>
          <w:tcPr>
            <w:tcW w:w="3240" w:type="dxa"/>
          </w:tcPr>
          <w:p w14:paraId="5E7A8045" w14:textId="77777777" w:rsidR="002A21AE" w:rsidRDefault="002A21AE">
            <w:pPr>
              <w:pStyle w:val="TableTextNumbers"/>
            </w:pPr>
            <w:r>
              <w:t xml:space="preserve">Click </w:t>
            </w:r>
            <w:r>
              <w:rPr>
                <w:b/>
              </w:rPr>
              <w:t>Create New Worklist</w:t>
            </w:r>
          </w:p>
          <w:p w14:paraId="1C97BF25" w14:textId="50E323DD" w:rsidR="002A21AE" w:rsidRDefault="00F465E9">
            <w:pPr>
              <w:pStyle w:val="TableTextNumbersContinued"/>
            </w:pPr>
            <w:r w:rsidRPr="00F465E9">
              <w:t>(</w:t>
            </w:r>
            <w:r w:rsidR="00EE455E">
              <w:t xml:space="preserve">Figure </w:t>
            </w:r>
            <w:r w:rsidR="00EE455E">
              <w:rPr>
                <w:noProof/>
              </w:rPr>
              <w:t>55</w:t>
            </w:r>
            <w:r>
              <w:t xml:space="preserve">, </w:t>
            </w:r>
            <w:r w:rsidR="00EE455E">
              <w:t xml:space="preserve">Figure </w:t>
            </w:r>
            <w:r w:rsidR="00EE455E">
              <w:rPr>
                <w:noProof/>
              </w:rPr>
              <w:t>56</w:t>
            </w:r>
            <w:r w:rsidRPr="00F465E9">
              <w:t>)</w:t>
            </w:r>
            <w:r>
              <w:t>.</w:t>
            </w:r>
          </w:p>
          <w:p w14:paraId="048CAD63" w14:textId="77777777" w:rsidR="00F465E9" w:rsidRDefault="00F465E9">
            <w:pPr>
              <w:pStyle w:val="TableTextNumbersContinued"/>
            </w:pPr>
          </w:p>
          <w:p w14:paraId="23E45242" w14:textId="3D549119" w:rsidR="002A21AE" w:rsidRDefault="002A21AE">
            <w:pPr>
              <w:pStyle w:val="TableTextNumbersContinued"/>
            </w:pPr>
            <w:r>
              <w:t>When partially completed worklists exist, click a check box to select an existing worklist and go to Step 5</w:t>
            </w:r>
            <w:r w:rsidR="00F465E9">
              <w:t xml:space="preserve"> (</w:t>
            </w:r>
            <w:r w:rsidR="00EE455E">
              <w:t xml:space="preserve">Figure </w:t>
            </w:r>
            <w:r w:rsidR="00EE455E">
              <w:rPr>
                <w:noProof/>
              </w:rPr>
              <w:t>57</w:t>
            </w:r>
            <w:r w:rsidR="00F465E9">
              <w:t>)</w:t>
            </w:r>
            <w:r>
              <w:t xml:space="preserve">. </w:t>
            </w:r>
          </w:p>
          <w:p w14:paraId="093476A9" w14:textId="77777777" w:rsidR="002A21AE" w:rsidRDefault="002A21AE">
            <w:pPr>
              <w:pStyle w:val="TableTextNumbersContinued"/>
            </w:pPr>
          </w:p>
          <w:p w14:paraId="3CB8EC37" w14:textId="77777777" w:rsidR="002A21AE" w:rsidRDefault="002A21AE">
            <w:pPr>
              <w:pStyle w:val="TableTextNumbersContinued"/>
            </w:pPr>
            <w:r>
              <w:t xml:space="preserve">Click </w:t>
            </w:r>
            <w:r>
              <w:rPr>
                <w:b/>
              </w:rPr>
              <w:t>Delete</w:t>
            </w:r>
            <w:r>
              <w:t xml:space="preserve"> to delete the worklist from the list or </w:t>
            </w:r>
            <w:r>
              <w:rPr>
                <w:b/>
              </w:rPr>
              <w:t>OK</w:t>
            </w:r>
            <w:r>
              <w:t xml:space="preserve"> to continue.</w:t>
            </w:r>
          </w:p>
          <w:p w14:paraId="1D4AC403" w14:textId="77777777" w:rsidR="002A21AE" w:rsidRDefault="002A21AE">
            <w:pPr>
              <w:pStyle w:val="TableTextNumbersContinued"/>
              <w:rPr>
                <w:b/>
                <w:bCs/>
              </w:rPr>
            </w:pPr>
          </w:p>
          <w:p w14:paraId="584E6C3F" w14:textId="77777777" w:rsidR="002A21AE" w:rsidRDefault="002A21AE"/>
        </w:tc>
        <w:tc>
          <w:tcPr>
            <w:tcW w:w="6120" w:type="dxa"/>
          </w:tcPr>
          <w:p w14:paraId="539B9FD3" w14:textId="77777777" w:rsidR="002A21AE" w:rsidRDefault="002A21AE">
            <w:pPr>
              <w:pStyle w:val="TableTextBullet"/>
            </w:pPr>
            <w:r>
              <w:t>Accommodates selection of a partially completed testing worklist or creation of a new testing worklist.</w:t>
            </w:r>
          </w:p>
          <w:p w14:paraId="144F53EC" w14:textId="77777777" w:rsidR="002A21AE" w:rsidRDefault="002A21AE">
            <w:pPr>
              <w:pStyle w:val="TableTextBullet"/>
            </w:pPr>
            <w:r>
              <w:t>Displays an option to select or delete a partially completed worksheet.</w:t>
            </w:r>
          </w:p>
          <w:p w14:paraId="42533849" w14:textId="77777777" w:rsidR="002A21AE" w:rsidRDefault="002A21AE">
            <w:pPr>
              <w:pStyle w:val="TableTextBullet"/>
            </w:pPr>
            <w:r>
              <w:rPr>
                <w:rFonts w:cs="Arial"/>
                <w:vanish/>
              </w:rPr>
              <w:t xml:space="preserve">BR_41.15 </w:t>
            </w:r>
            <w:r>
              <w:t>When selecting a partially completed worklist, the user verifies the lot numbers, manufacturer name, and expiration date of the antiserum and control cells previously selected. These may not be edited. When a discrepancy is found, the user must delete the worklist and start over.</w:t>
            </w:r>
          </w:p>
          <w:p w14:paraId="0DA3212A" w14:textId="77777777" w:rsidR="002A21AE" w:rsidRDefault="002A21AE">
            <w:pPr>
              <w:pStyle w:val="TableText"/>
            </w:pPr>
          </w:p>
          <w:p w14:paraId="463BF72A" w14:textId="1A6DA3FD" w:rsidR="002A21AE" w:rsidRDefault="002A21AE">
            <w:pPr>
              <w:pStyle w:val="TableText"/>
              <w:rPr>
                <w:b/>
                <w:bCs/>
                <w:szCs w:val="18"/>
              </w:rPr>
            </w:pPr>
            <w:r>
              <w:rPr>
                <w:b/>
                <w:bCs/>
                <w:szCs w:val="18"/>
              </w:rPr>
              <w:t>NOTES</w:t>
            </w:r>
          </w:p>
          <w:p w14:paraId="0585D4DD" w14:textId="77777777" w:rsidR="002A21AE" w:rsidRDefault="002A21AE">
            <w:pPr>
              <w:pStyle w:val="NotesText"/>
            </w:pPr>
          </w:p>
          <w:p w14:paraId="7A43C426" w14:textId="77777777" w:rsidR="002A21AE" w:rsidRDefault="002A21AE">
            <w:pPr>
              <w:pStyle w:val="NotesText"/>
            </w:pPr>
            <w:r>
              <w:t>VBECS displays the date and time the testing was performed (default: current date and time). These are editable to allow for retrospective entry.</w:t>
            </w:r>
          </w:p>
          <w:p w14:paraId="14C8E9E8" w14:textId="77777777" w:rsidR="002A21AE" w:rsidRDefault="002A21AE">
            <w:pPr>
              <w:pStyle w:val="NotesText"/>
            </w:pPr>
          </w:p>
          <w:p w14:paraId="7AC225BF" w14:textId="77777777" w:rsidR="002A21AE" w:rsidRDefault="002A21AE">
            <w:pPr>
              <w:pStyle w:val="NotesText"/>
            </w:pPr>
            <w:r>
              <w:t>VBECS displays the testing technologist ID (default: current user). A pick list of valid division users is available for the user’s selection.</w:t>
            </w:r>
          </w:p>
          <w:p w14:paraId="052F00A2" w14:textId="77777777" w:rsidR="002A21AE" w:rsidRDefault="002A21AE">
            <w:pPr>
              <w:pStyle w:val="NotesText"/>
              <w:ind w:left="0"/>
            </w:pPr>
          </w:p>
          <w:p w14:paraId="7737FE38" w14:textId="77777777" w:rsidR="002A21AE" w:rsidRDefault="002A21AE">
            <w:pPr>
              <w:pStyle w:val="NotesText"/>
            </w:pPr>
            <w:r>
              <w:rPr>
                <w:rFonts w:cs="Arial"/>
                <w:vanish/>
              </w:rPr>
              <w:t xml:space="preserve">BR_56.14 </w:t>
            </w:r>
            <w:r>
              <w:t>When an automated instrument was used for testing, the user enters the name of the instrument and may indicate that successful quality control testing was done for the date.</w:t>
            </w:r>
          </w:p>
        </w:tc>
      </w:tr>
      <w:tr w:rsidR="002A21AE" w14:paraId="0B9F8EF5" w14:textId="77777777" w:rsidTr="006C058D">
        <w:trPr>
          <w:cantSplit/>
        </w:trPr>
        <w:tc>
          <w:tcPr>
            <w:tcW w:w="3240" w:type="dxa"/>
          </w:tcPr>
          <w:p w14:paraId="13919F4B" w14:textId="77777777" w:rsidR="002A21AE" w:rsidRDefault="002A21AE">
            <w:pPr>
              <w:pStyle w:val="TableTextNumbers"/>
            </w:pPr>
            <w:r>
              <w:lastRenderedPageBreak/>
              <w:t>To create a new testing worklist, select a date or accept the default.</w:t>
            </w:r>
          </w:p>
          <w:p w14:paraId="5498C986" w14:textId="77777777" w:rsidR="002A21AE" w:rsidRDefault="002A21AE">
            <w:pPr>
              <w:pStyle w:val="TableTextNumbersContinued"/>
            </w:pPr>
          </w:p>
          <w:p w14:paraId="04780C40" w14:textId="77777777" w:rsidR="002A21AE" w:rsidRDefault="002A21AE">
            <w:pPr>
              <w:pStyle w:val="TableTextNumbersContinued"/>
            </w:pPr>
            <w:r>
              <w:t>Select a “Tested By” name.</w:t>
            </w:r>
          </w:p>
          <w:p w14:paraId="0C7A9C50" w14:textId="77777777" w:rsidR="002A21AE" w:rsidRDefault="002A21AE">
            <w:pPr>
              <w:pStyle w:val="TableTextNumbersContinued"/>
            </w:pPr>
          </w:p>
          <w:p w14:paraId="56CB7138" w14:textId="77777777" w:rsidR="002A21AE" w:rsidRDefault="002A21AE">
            <w:pPr>
              <w:pStyle w:val="TableTextNumbersContinued"/>
            </w:pPr>
            <w:r>
              <w:t>Click a radio button to select Tube, Gel, or Solid Phase.</w:t>
            </w:r>
          </w:p>
          <w:p w14:paraId="55C3481C" w14:textId="77777777" w:rsidR="002A21AE" w:rsidRDefault="002A21AE">
            <w:pPr>
              <w:pStyle w:val="TableTextNumbersContinued"/>
            </w:pPr>
          </w:p>
          <w:p w14:paraId="3FB2410C" w14:textId="77777777" w:rsidR="002A21AE" w:rsidRDefault="002A21AE">
            <w:pPr>
              <w:pStyle w:val="TableTextNumbersContinued"/>
            </w:pPr>
            <w:r>
              <w:t xml:space="preserve">Click </w:t>
            </w:r>
            <w:r>
              <w:rPr>
                <w:b/>
              </w:rPr>
              <w:t>Using Automated Instrument</w:t>
            </w:r>
            <w:r>
              <w:t xml:space="preserve">, as appropriate. </w:t>
            </w:r>
          </w:p>
          <w:p w14:paraId="34765243" w14:textId="77777777" w:rsidR="002A21AE" w:rsidRDefault="002A21AE">
            <w:pPr>
              <w:pStyle w:val="TableTextNumbersContinued"/>
            </w:pPr>
          </w:p>
          <w:p w14:paraId="3A3E9335" w14:textId="77777777" w:rsidR="002A21AE" w:rsidRDefault="002A21AE">
            <w:pPr>
              <w:pStyle w:val="TableTextNumbersContinued"/>
            </w:pPr>
            <w:r>
              <w:t xml:space="preserve">Click </w:t>
            </w:r>
            <w:r>
              <w:rPr>
                <w:b/>
              </w:rPr>
              <w:t>OK</w:t>
            </w:r>
            <w:r>
              <w:t>.</w:t>
            </w:r>
          </w:p>
          <w:p w14:paraId="0DA21AF2" w14:textId="77777777" w:rsidR="002A21AE" w:rsidRDefault="002A21AE">
            <w:pPr>
              <w:pStyle w:val="TableTextNumbersContinued"/>
            </w:pPr>
          </w:p>
        </w:tc>
        <w:tc>
          <w:tcPr>
            <w:tcW w:w="6120" w:type="dxa"/>
          </w:tcPr>
          <w:p w14:paraId="1EF05C5B" w14:textId="77777777" w:rsidR="002A21AE" w:rsidRDefault="002A21AE">
            <w:pPr>
              <w:pStyle w:val="TableTextBullet"/>
            </w:pPr>
            <w:r>
              <w:t xml:space="preserve">Displays an option to select antiserum types. </w:t>
            </w:r>
          </w:p>
          <w:p w14:paraId="0613C982" w14:textId="77777777" w:rsidR="002A21AE" w:rsidRDefault="002A21AE">
            <w:pPr>
              <w:pStyle w:val="TableTextBullet"/>
            </w:pPr>
            <w:r>
              <w:t xml:space="preserve">Displays an option to select a lot number for each antiserum type selected. </w:t>
            </w:r>
          </w:p>
          <w:p w14:paraId="4026276A" w14:textId="77777777" w:rsidR="002A21AE" w:rsidRDefault="002A21AE">
            <w:pPr>
              <w:pStyle w:val="TableTextBullet"/>
            </w:pPr>
            <w:r>
              <w:t>Displays the lot number information.</w:t>
            </w:r>
          </w:p>
          <w:p w14:paraId="12C2E746" w14:textId="77777777" w:rsidR="002A21AE" w:rsidRDefault="002A21AE">
            <w:pPr>
              <w:pStyle w:val="TableTextBullet"/>
            </w:pPr>
            <w:r>
              <w:t>Prompts the user to select the correct antiserum entry for the specificity selected.</w:t>
            </w:r>
          </w:p>
          <w:p w14:paraId="5A2F3322" w14:textId="77777777" w:rsidR="002A21AE" w:rsidRDefault="002A21AE">
            <w:pPr>
              <w:pStyle w:val="TableText"/>
            </w:pPr>
          </w:p>
          <w:p w14:paraId="5FC97CDC" w14:textId="7B38E790" w:rsidR="002A21AE" w:rsidRDefault="002A21AE">
            <w:pPr>
              <w:pStyle w:val="TableText"/>
              <w:rPr>
                <w:b/>
                <w:bCs/>
                <w:szCs w:val="18"/>
              </w:rPr>
            </w:pPr>
            <w:r>
              <w:rPr>
                <w:b/>
                <w:bCs/>
                <w:szCs w:val="18"/>
              </w:rPr>
              <w:t>NOTES</w:t>
            </w:r>
          </w:p>
          <w:p w14:paraId="4FC7F823" w14:textId="77777777" w:rsidR="002A21AE" w:rsidRDefault="002A21AE">
            <w:pPr>
              <w:pStyle w:val="NotesText"/>
            </w:pPr>
          </w:p>
          <w:p w14:paraId="458725FD" w14:textId="0805B980" w:rsidR="002A21AE" w:rsidRDefault="002A21AE">
            <w:pPr>
              <w:pStyle w:val="NotesText"/>
            </w:pPr>
            <w:r>
              <w:rPr>
                <w:rFonts w:cs="Arial"/>
                <w:vanish/>
              </w:rPr>
              <w:t xml:space="preserve">BR_41.01 </w:t>
            </w:r>
            <w:r>
              <w:t xml:space="preserve">VBECS lists available antigen type tests from which the user may select and allows the user to enter the specificity to expedite the search. The list of antigen type tests is derived from the Corresponding Antigens field from </w:t>
            </w:r>
            <w:r w:rsidR="00EE455E">
              <w:t xml:space="preserve">Appendix </w:t>
            </w:r>
            <w:r w:rsidR="00EE455E">
              <w:rPr>
                <w:noProof/>
              </w:rPr>
              <w:t>B</w:t>
            </w:r>
            <w:r>
              <w:t>:</w:t>
            </w:r>
            <w:r w:rsidR="0059553A">
              <w:t xml:space="preserve">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t xml:space="preserve">. </w:t>
            </w:r>
          </w:p>
          <w:p w14:paraId="6CC93B7E" w14:textId="77777777" w:rsidR="002A21AE" w:rsidRDefault="002A21AE">
            <w:pPr>
              <w:pStyle w:val="NotesText"/>
            </w:pPr>
          </w:p>
          <w:p w14:paraId="7EFC2FC7" w14:textId="77777777" w:rsidR="002A21AE" w:rsidRDefault="002A21AE">
            <w:pPr>
              <w:pStyle w:val="NotesText"/>
            </w:pPr>
            <w:r>
              <w:rPr>
                <w:rFonts w:cs="Arial"/>
                <w:vanish/>
              </w:rPr>
              <w:t xml:space="preserve">BR_41.04 </w:t>
            </w:r>
            <w:r w:rsidR="009965B7" w:rsidRPr="00896F17">
              <w:rPr>
                <w:rStyle w:val="BullhornChar"/>
              </w:rPr>
              <w:t></w:t>
            </w:r>
            <w:r w:rsidR="009965B7" w:rsidRPr="00D62E87">
              <w:rPr>
                <w:rFonts w:ascii="Webdings" w:hAnsi="Webdings"/>
              </w:rPr>
              <w:t></w:t>
            </w:r>
            <w:r w:rsidR="009965B7" w:rsidRPr="00D62E87">
              <w:t>V</w:t>
            </w:r>
            <w:r>
              <w:t>BECS displays data fields for the user to select or enter the lot number, and displays the manufacturer and expiration date of each antiserum to be used in this transaction to allow the user to choose the correct antiserum. VBECS displays in-date antisera and allows the selection of outdated antisera, if needed, emits an audible alert, and requires an override and generation of an Exception Report (exception type: expired antisera used). A comment is required.</w:t>
            </w:r>
          </w:p>
          <w:p w14:paraId="2BC1F1C9" w14:textId="77777777" w:rsidR="002A21AE" w:rsidRDefault="002A21AE">
            <w:pPr>
              <w:pStyle w:val="NotesText"/>
            </w:pPr>
          </w:p>
          <w:p w14:paraId="4A6575AC" w14:textId="77777777" w:rsidR="002A21AE" w:rsidRDefault="002A21AE">
            <w:pPr>
              <w:pStyle w:val="NotesText"/>
            </w:pPr>
            <w:r>
              <w:rPr>
                <w:rFonts w:cs="Arial"/>
                <w:vanish/>
              </w:rPr>
              <w:t xml:space="preserve">BR_41.26 </w:t>
            </w:r>
            <w:r w:rsidR="00263B24" w:rsidRPr="00896F17">
              <w:rPr>
                <w:rStyle w:val="BullhornChar"/>
              </w:rPr>
              <w:t></w:t>
            </w:r>
            <w:r w:rsidR="00263B24">
              <w:rPr>
                <w:rFonts w:ascii="Webdings" w:hAnsi="Webdings"/>
              </w:rPr>
              <w:t></w:t>
            </w:r>
            <w:r w:rsidR="00263B24">
              <w:t>W</w:t>
            </w:r>
            <w:r>
              <w:t>hen a user attempts to change the phases of reactivity, VBECS emits an audible alert, warns that the user selected phases that were not used previously for this reagent, and asks whether the user wishes to continue.</w:t>
            </w:r>
          </w:p>
          <w:p w14:paraId="31603688" w14:textId="77777777" w:rsidR="002A21AE" w:rsidRDefault="002A21AE">
            <w:pPr>
              <w:pStyle w:val="NotesText"/>
            </w:pPr>
          </w:p>
          <w:p w14:paraId="5318BA39" w14:textId="77777777" w:rsidR="002A21AE" w:rsidRDefault="002A21AE">
            <w:pPr>
              <w:pStyle w:val="NotesText"/>
            </w:pPr>
            <w:r>
              <w:rPr>
                <w:b/>
              </w:rPr>
              <w:t>No</w:t>
            </w:r>
            <w:r>
              <w:t xml:space="preserve"> returns the user to the screen to select the correct testing phases. </w:t>
            </w:r>
            <w:r>
              <w:rPr>
                <w:b/>
              </w:rPr>
              <w:t>Yes</w:t>
            </w:r>
            <w:r>
              <w:t xml:space="preserve"> requires the user to enter a comment explaining why different testing phases are selected, and captures details for inclusion in an Exception Report (exception type: antigen testing phase change).</w:t>
            </w:r>
          </w:p>
          <w:p w14:paraId="76AD0D19" w14:textId="77777777" w:rsidR="002A21AE" w:rsidRDefault="002A21AE">
            <w:pPr>
              <w:pStyle w:val="NotesText"/>
            </w:pPr>
          </w:p>
          <w:p w14:paraId="67DC639A" w14:textId="77777777" w:rsidR="00722DBF" w:rsidRDefault="00722DBF" w:rsidP="00722DBF">
            <w:pPr>
              <w:pStyle w:val="NotesText"/>
            </w:pPr>
            <w:r>
              <w:rPr>
                <w:snapToGrid w:val="0"/>
                <w:vanish/>
              </w:rPr>
              <w:t xml:space="preserve">BR_41.30 </w:t>
            </w:r>
            <w:r>
              <w:t>When a user selects a reagent rack for which quality control (QC) testing was never performed in Enter Daily QC Results, VBECS displays a warning message, clears the selection, and allows the user to select a different rack.</w:t>
            </w:r>
            <w:r w:rsidR="000371B2">
              <w:rPr>
                <w:vanish/>
              </w:rPr>
              <w:t xml:space="preserve"> DR 3945</w:t>
            </w:r>
          </w:p>
          <w:p w14:paraId="0CE5FDF7" w14:textId="77777777" w:rsidR="00722DBF" w:rsidRDefault="00722DBF">
            <w:pPr>
              <w:pStyle w:val="NotesText"/>
              <w:rPr>
                <w:rFonts w:cs="Arial"/>
                <w:vanish/>
              </w:rPr>
            </w:pPr>
          </w:p>
          <w:p w14:paraId="6E4C993C" w14:textId="77777777"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tc>
      </w:tr>
      <w:tr w:rsidR="002A21AE" w14:paraId="036D2862" w14:textId="77777777" w:rsidTr="006C058D">
        <w:trPr>
          <w:cantSplit/>
        </w:trPr>
        <w:tc>
          <w:tcPr>
            <w:tcW w:w="3240" w:type="dxa"/>
          </w:tcPr>
          <w:p w14:paraId="033BFFBC" w14:textId="77777777" w:rsidR="002A21AE" w:rsidRDefault="002A21AE">
            <w:pPr>
              <w:pStyle w:val="TableTextNumbers"/>
            </w:pPr>
            <w:r>
              <w:lastRenderedPageBreak/>
              <w:t xml:space="preserve">Define the antiserum used. </w:t>
            </w:r>
          </w:p>
          <w:p w14:paraId="2FCE81A6" w14:textId="77777777" w:rsidR="002A21AE" w:rsidRDefault="002A21AE">
            <w:pPr>
              <w:pStyle w:val="TableTextNumbersContinued"/>
            </w:pPr>
          </w:p>
          <w:p w14:paraId="2050998C" w14:textId="77777777" w:rsidR="002A21AE" w:rsidRDefault="002A21AE">
            <w:pPr>
              <w:pStyle w:val="TableTextNumbersContinued"/>
            </w:pPr>
            <w:r>
              <w:t>Enter a lot number for each antiserum specificity.</w:t>
            </w:r>
          </w:p>
          <w:p w14:paraId="4F1F4AFA" w14:textId="77777777" w:rsidR="002A21AE" w:rsidRDefault="002A21AE">
            <w:pPr>
              <w:pStyle w:val="TableTextNumbersContinued"/>
            </w:pPr>
          </w:p>
          <w:p w14:paraId="7E8C3EB8" w14:textId="77777777" w:rsidR="002A21AE" w:rsidRDefault="002A21AE">
            <w:pPr>
              <w:pStyle w:val="TableTextNumbersContinued"/>
            </w:pPr>
            <w:r>
              <w:t>Select the testing phase:</w:t>
            </w:r>
          </w:p>
          <w:p w14:paraId="654F1A3E" w14:textId="77777777" w:rsidR="002A21AE" w:rsidRDefault="002A21AE">
            <w:pPr>
              <w:pStyle w:val="TableTextNumbersBullet"/>
            </w:pPr>
            <w:r>
              <w:t>IS</w:t>
            </w:r>
          </w:p>
          <w:p w14:paraId="26AEB10A" w14:textId="77777777" w:rsidR="002A21AE" w:rsidRDefault="002A21AE">
            <w:pPr>
              <w:pStyle w:val="TableTextNumbersBullet"/>
            </w:pPr>
            <w:r>
              <w:t>IS/RT</w:t>
            </w:r>
          </w:p>
          <w:p w14:paraId="16CA916B" w14:textId="77777777" w:rsidR="002A21AE" w:rsidRDefault="002A21AE">
            <w:pPr>
              <w:pStyle w:val="TableTextNumbersBullet"/>
            </w:pPr>
            <w:r>
              <w:t>IS/37</w:t>
            </w:r>
          </w:p>
          <w:p w14:paraId="743985F7" w14:textId="77777777" w:rsidR="002A21AE" w:rsidRDefault="002A21AE">
            <w:pPr>
              <w:pStyle w:val="TableTextNumbersBullet"/>
            </w:pPr>
            <w:r>
              <w:t>AHG/CC.</w:t>
            </w:r>
            <w:r>
              <w:br/>
            </w:r>
          </w:p>
          <w:p w14:paraId="5DD55B9A" w14:textId="77777777" w:rsidR="002A21AE" w:rsidRDefault="002A21AE">
            <w:pPr>
              <w:pStyle w:val="TableTextNumbersContinued"/>
            </w:pPr>
            <w:r>
              <w:t>Select the rack, if applicable.</w:t>
            </w:r>
            <w:r>
              <w:br/>
            </w:r>
          </w:p>
          <w:p w14:paraId="5D27FAFC" w14:textId="77777777" w:rsidR="002A21AE" w:rsidRDefault="002A21AE">
            <w:pPr>
              <w:pStyle w:val="TableTextNumbersContinued"/>
            </w:pPr>
            <w:r>
              <w:t xml:space="preserve">Select </w:t>
            </w:r>
            <w:r>
              <w:rPr>
                <w:b/>
              </w:rPr>
              <w:t>Add</w:t>
            </w:r>
            <w:r>
              <w:t xml:space="preserve">. </w:t>
            </w:r>
          </w:p>
          <w:p w14:paraId="61D47FCB" w14:textId="77777777" w:rsidR="002A21AE" w:rsidRDefault="002A21AE">
            <w:pPr>
              <w:pStyle w:val="TableTextNumbersContinued"/>
            </w:pPr>
          </w:p>
          <w:p w14:paraId="30377E51" w14:textId="77777777" w:rsidR="002A21AE" w:rsidRDefault="002A21AE">
            <w:pPr>
              <w:pStyle w:val="TableTextNumbersContinued"/>
            </w:pPr>
            <w:r>
              <w:t>Select additional antisera, if desired.</w:t>
            </w:r>
          </w:p>
          <w:p w14:paraId="5BF5AEA8" w14:textId="77777777" w:rsidR="002A21AE" w:rsidRDefault="002A21AE">
            <w:pPr>
              <w:pStyle w:val="TableTextNumbersContinued"/>
            </w:pPr>
          </w:p>
          <w:p w14:paraId="7B3A5CF0" w14:textId="77777777" w:rsidR="002A21AE" w:rsidRDefault="002A21AE">
            <w:pPr>
              <w:pStyle w:val="TableTextNumbersContinued"/>
            </w:pPr>
            <w:r>
              <w:t>Respond to warnings and enter comments, when indicated.</w:t>
            </w:r>
            <w:r>
              <w:br/>
            </w:r>
          </w:p>
          <w:p w14:paraId="090C5156" w14:textId="2FD827E1" w:rsidR="002A21AE" w:rsidRDefault="002A21AE" w:rsidP="0027394C">
            <w:pPr>
              <w:pStyle w:val="TableTextNumbersContinued"/>
              <w:rPr>
                <w:b/>
                <w:bCs/>
              </w:rPr>
            </w:pPr>
            <w:r>
              <w:t xml:space="preserve">Select </w:t>
            </w:r>
            <w:r>
              <w:rPr>
                <w:b/>
              </w:rPr>
              <w:t>OK</w:t>
            </w:r>
            <w:r w:rsidR="00030E55" w:rsidRPr="00030E55">
              <w:t xml:space="preserve"> (</w:t>
            </w:r>
            <w:r w:rsidR="00EE455E">
              <w:t xml:space="preserve">Figure </w:t>
            </w:r>
            <w:r w:rsidR="00EE455E">
              <w:rPr>
                <w:noProof/>
              </w:rPr>
              <w:t>58</w:t>
            </w:r>
            <w:r w:rsidR="00030E55" w:rsidRPr="00030E55">
              <w:t>)</w:t>
            </w:r>
            <w:r>
              <w:t>.</w:t>
            </w:r>
          </w:p>
        </w:tc>
        <w:tc>
          <w:tcPr>
            <w:tcW w:w="6120" w:type="dxa"/>
          </w:tcPr>
          <w:p w14:paraId="38990451" w14:textId="77777777" w:rsidR="002A21AE" w:rsidRDefault="002A21AE">
            <w:pPr>
              <w:pStyle w:val="TableTextBullet"/>
            </w:pPr>
            <w:r>
              <w:t xml:space="preserve">Displays an option to select the testing phases for the antiserum specificity by lot number. </w:t>
            </w:r>
          </w:p>
          <w:p w14:paraId="61477A7B" w14:textId="77777777" w:rsidR="002A21AE" w:rsidRDefault="002A21AE">
            <w:pPr>
              <w:pStyle w:val="TableTextBullet"/>
            </w:pPr>
            <w:r>
              <w:t>Displays a testing grid disabling the phases not to be entered.</w:t>
            </w:r>
          </w:p>
          <w:p w14:paraId="0E329F79" w14:textId="77777777" w:rsidR="002A21AE" w:rsidRDefault="002A21AE">
            <w:pPr>
              <w:pStyle w:val="TableTextBullet"/>
            </w:pPr>
            <w:r>
              <w:t>Stores the antiserum information and checks whether the positive and negative controls need to be tested with this batch.</w:t>
            </w:r>
          </w:p>
          <w:p w14:paraId="471C8FD1" w14:textId="77777777" w:rsidR="002A21AE" w:rsidRDefault="002A21AE">
            <w:pPr>
              <w:pStyle w:val="TableTextBullet"/>
            </w:pPr>
            <w:r>
              <w:t>Prompts the user to enter the lot number and vial identifier for the positive and negative control used for each antiserum tested.</w:t>
            </w:r>
          </w:p>
          <w:p w14:paraId="2DC61ADF" w14:textId="77777777" w:rsidR="002A21AE" w:rsidRDefault="002A21AE">
            <w:pPr>
              <w:pStyle w:val="TableText"/>
            </w:pPr>
          </w:p>
          <w:p w14:paraId="24019D9A" w14:textId="51188A87" w:rsidR="002A21AE" w:rsidRDefault="002A21AE">
            <w:pPr>
              <w:pStyle w:val="TableText"/>
              <w:rPr>
                <w:b/>
                <w:bCs/>
                <w:szCs w:val="18"/>
              </w:rPr>
            </w:pPr>
            <w:r>
              <w:rPr>
                <w:b/>
                <w:bCs/>
                <w:szCs w:val="18"/>
              </w:rPr>
              <w:t>NOTES</w:t>
            </w:r>
          </w:p>
          <w:p w14:paraId="6D07E673" w14:textId="77777777" w:rsidR="002A21AE" w:rsidRDefault="002A21AE">
            <w:pPr>
              <w:pStyle w:val="NotesText"/>
            </w:pPr>
          </w:p>
          <w:p w14:paraId="6320AAE2" w14:textId="77777777" w:rsidR="002A21AE" w:rsidRDefault="002A21AE">
            <w:pPr>
              <w:pStyle w:val="NotesText"/>
            </w:pPr>
            <w:r>
              <w:rPr>
                <w:rFonts w:cs="Arial"/>
                <w:vanish/>
              </w:rPr>
              <w:t xml:space="preserve">BR_28.23 </w:t>
            </w:r>
            <w:r>
              <w:t>When VBECS displays lot numbers for selection, it checks the inventory system for the reagent name and lot numbers in a rack. The user cannot force the entry of a lot number that VBECS disallowed on the selection list. The user must choose a different reagent. The user may not select a reagent with an “unsatisfactory” value in the Inspection field or with a quantity of zero.</w:t>
            </w:r>
          </w:p>
          <w:p w14:paraId="77488986" w14:textId="77777777" w:rsidR="008C5A8F" w:rsidRDefault="008C5A8F">
            <w:pPr>
              <w:pStyle w:val="NotesText"/>
            </w:pPr>
          </w:p>
          <w:p w14:paraId="34D0C953" w14:textId="77777777" w:rsidR="008C5A8F" w:rsidRDefault="008C5A8F" w:rsidP="008C5A8F">
            <w:pPr>
              <w:pStyle w:val="NotesText"/>
            </w:pPr>
            <w:r>
              <w:rPr>
                <w:rFonts w:cs="Arial"/>
                <w:vanish/>
              </w:rPr>
              <w:t xml:space="preserve">BR_28.24 </w:t>
            </w:r>
            <w:r w:rsidRPr="00896F17">
              <w:rPr>
                <w:rStyle w:val="BullhornChar"/>
              </w:rPr>
              <w:t></w:t>
            </w:r>
            <w:r w:rsidRPr="00D62E87">
              <w:rPr>
                <w:rFonts w:ascii="Webdings" w:hAnsi="Webdings"/>
              </w:rPr>
              <w:t></w:t>
            </w:r>
            <w:r w:rsidRPr="00D62E87">
              <w:t>V</w:t>
            </w:r>
            <w:r>
              <w:t>BECS compares the expiration date of each reagent on the selected rack to the testing date, emits an audible alert, and warns when the reagent is expired.</w:t>
            </w:r>
          </w:p>
          <w:p w14:paraId="48C84181" w14:textId="77777777" w:rsidR="002A21AE" w:rsidRDefault="002A21AE">
            <w:pPr>
              <w:pStyle w:val="NotesText"/>
            </w:pPr>
          </w:p>
          <w:p w14:paraId="4585CF39" w14:textId="77777777" w:rsidR="002A21AE" w:rsidRDefault="002A21AE">
            <w:pPr>
              <w:pStyle w:val="NotesText"/>
            </w:pPr>
            <w:r>
              <w:rPr>
                <w:rFonts w:cs="Arial"/>
                <w:vanish/>
              </w:rPr>
              <w:t xml:space="preserve">BR_41.02 </w:t>
            </w:r>
            <w:r>
              <w:t xml:space="preserve">VBECS enables the rack identifier field when a user selects the weak D or AHG/CC phase and disables the field when a user selects other phases. </w:t>
            </w:r>
          </w:p>
          <w:p w14:paraId="396BA3FC" w14:textId="77777777" w:rsidR="002A21AE" w:rsidRDefault="002A21AE">
            <w:pPr>
              <w:pStyle w:val="NotesText"/>
            </w:pPr>
          </w:p>
          <w:p w14:paraId="717ED20F" w14:textId="77777777" w:rsidR="002A21AE" w:rsidRPr="00D452FC" w:rsidRDefault="002A21AE">
            <w:pPr>
              <w:pStyle w:val="NotesText"/>
              <w:rPr>
                <w:vanish/>
              </w:rPr>
            </w:pPr>
            <w:r>
              <w:rPr>
                <w:rFonts w:cs="Arial"/>
                <w:vanish/>
              </w:rPr>
              <w:t xml:space="preserve">BR_41.03 </w:t>
            </w:r>
            <w:r w:rsidR="004F2D49">
              <w:t>VBECS automatically adds the positive and negative control tests to the selected reagent type worklist if they have not been tested on that calendar date for the selected antisera lot number</w:t>
            </w:r>
            <w:r>
              <w:t>.</w:t>
            </w:r>
            <w:r w:rsidR="00D452FC">
              <w:t xml:space="preserve"> </w:t>
            </w:r>
            <w:r w:rsidR="00D452FC" w:rsidRPr="00D452FC">
              <w:rPr>
                <w:vanish/>
              </w:rPr>
              <w:t>DR 3717</w:t>
            </w:r>
          </w:p>
          <w:p w14:paraId="294D8FA6" w14:textId="77777777" w:rsidR="002A21AE" w:rsidRDefault="002A21AE">
            <w:pPr>
              <w:pStyle w:val="NotesText"/>
            </w:pPr>
          </w:p>
          <w:p w14:paraId="1F8C9312" w14:textId="77777777" w:rsidR="002A21AE" w:rsidRDefault="002A21AE">
            <w:pPr>
              <w:pStyle w:val="NotesText"/>
            </w:pPr>
            <w:r>
              <w:rPr>
                <w:rFonts w:cs="Arial"/>
                <w:vanish/>
              </w:rPr>
              <w:t xml:space="preserve">BR_41.25 </w:t>
            </w:r>
            <w:r>
              <w:t xml:space="preserve">Reagent lot numbers that are selectable for positive and negative control cells: </w:t>
            </w:r>
          </w:p>
          <w:p w14:paraId="6EF2E31E" w14:textId="77777777" w:rsidR="002A21AE" w:rsidRDefault="002A21AE">
            <w:pPr>
              <w:pStyle w:val="NotesTextBullet"/>
            </w:pPr>
            <w:r>
              <w:t>Reverse ABO Typing Cells (set)</w:t>
            </w:r>
          </w:p>
          <w:p w14:paraId="76FFDDF9" w14:textId="77777777" w:rsidR="002A21AE" w:rsidRDefault="002A21AE">
            <w:pPr>
              <w:pStyle w:val="NotesTextBullet"/>
            </w:pPr>
            <w:r>
              <w:t>A2 cell (vial)</w:t>
            </w:r>
          </w:p>
          <w:p w14:paraId="50F37ED6" w14:textId="77777777" w:rsidR="002A21AE" w:rsidRDefault="002A21AE">
            <w:pPr>
              <w:pStyle w:val="NotesTextBullet"/>
            </w:pPr>
            <w:r>
              <w:t>Screening Cells (set)</w:t>
            </w:r>
          </w:p>
          <w:p w14:paraId="2855A871" w14:textId="77777777" w:rsidR="002A21AE" w:rsidRDefault="002A21AE">
            <w:pPr>
              <w:pStyle w:val="NotesTextBullet"/>
            </w:pPr>
            <w:r>
              <w:t>Check Cells (vial)</w:t>
            </w:r>
          </w:p>
          <w:p w14:paraId="792BC293" w14:textId="77777777" w:rsidR="002A21AE" w:rsidRDefault="002A21AE">
            <w:pPr>
              <w:pStyle w:val="NotesTextBullet"/>
            </w:pPr>
            <w:r>
              <w:t>Panel (set)</w:t>
            </w:r>
          </w:p>
          <w:p w14:paraId="1ED48534" w14:textId="77777777" w:rsidR="002A21AE" w:rsidRDefault="002A21AE">
            <w:pPr>
              <w:pStyle w:val="NotesTextBullet"/>
            </w:pPr>
            <w:r>
              <w:t>Other (set)</w:t>
            </w:r>
          </w:p>
          <w:p w14:paraId="5A06E2D9" w14:textId="77777777" w:rsidR="00B062CD" w:rsidRDefault="00B062CD" w:rsidP="00B062CD">
            <w:pPr>
              <w:pStyle w:val="NotesText"/>
            </w:pPr>
          </w:p>
          <w:p w14:paraId="55397932" w14:textId="77777777" w:rsidR="00B062CD" w:rsidRDefault="00B062CD" w:rsidP="00B062CD">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18EB4F41" w14:textId="77777777" w:rsidR="00B062CD" w:rsidRDefault="00B062CD" w:rsidP="00B062CD">
            <w:pPr>
              <w:pStyle w:val="NotesText"/>
            </w:pPr>
          </w:p>
          <w:p w14:paraId="164C2D29" w14:textId="77777777" w:rsidR="00B062CD" w:rsidRDefault="00B062CD" w:rsidP="00B062CD">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5EEE1B3C" w14:textId="77777777">
        <w:tc>
          <w:tcPr>
            <w:tcW w:w="3240" w:type="dxa"/>
          </w:tcPr>
          <w:p w14:paraId="0DB2EAB5" w14:textId="77777777" w:rsidR="002A21AE" w:rsidRDefault="002A21AE">
            <w:pPr>
              <w:pStyle w:val="TableTextNumbers"/>
            </w:pPr>
            <w:r>
              <w:t xml:space="preserve">Select one or more blood units to add to the worklist. </w:t>
            </w:r>
          </w:p>
          <w:p w14:paraId="23E2D096" w14:textId="77777777" w:rsidR="002A21AE" w:rsidRDefault="002A21AE">
            <w:pPr>
              <w:pStyle w:val="TableTextNumbersContinued"/>
            </w:pPr>
          </w:p>
          <w:p w14:paraId="4F68D21F" w14:textId="77777777" w:rsidR="002A21AE" w:rsidRDefault="002A21AE">
            <w:pPr>
              <w:pStyle w:val="TableTextNumbersContinued"/>
            </w:pPr>
            <w:r>
              <w:t xml:space="preserve">Enter the unit ID and the product code from the inventory, or click the </w:t>
            </w:r>
            <w:r w:rsidR="00A6373D">
              <w:rPr>
                <w:b/>
              </w:rPr>
              <w:t>find</w:t>
            </w:r>
            <w:r>
              <w:rPr>
                <w:b/>
              </w:rPr>
              <w:t xml:space="preserve"> </w:t>
            </w:r>
            <w:r w:rsidRPr="00D1100E">
              <w:t>button</w:t>
            </w:r>
            <w:r>
              <w:t xml:space="preserve"> to search for a blood unit and select from the list of available units.</w:t>
            </w:r>
          </w:p>
          <w:p w14:paraId="0351E1FB" w14:textId="77777777" w:rsidR="002A21AE" w:rsidRDefault="002A21AE">
            <w:pPr>
              <w:pStyle w:val="TableTextNumbersContinued"/>
            </w:pPr>
          </w:p>
          <w:p w14:paraId="7757112E" w14:textId="77777777" w:rsidR="002A21AE" w:rsidRDefault="002A21AE" w:rsidP="001E4417">
            <w:pPr>
              <w:pStyle w:val="TableTextNumbersContinued"/>
            </w:pPr>
            <w:r>
              <w:t xml:space="preserve">Click </w:t>
            </w:r>
            <w:r>
              <w:rPr>
                <w:b/>
              </w:rPr>
              <w:t>OK</w:t>
            </w:r>
            <w:r>
              <w:t xml:space="preserve"> when all units are selected.</w:t>
            </w:r>
          </w:p>
        </w:tc>
        <w:tc>
          <w:tcPr>
            <w:tcW w:w="6120" w:type="dxa"/>
          </w:tcPr>
          <w:p w14:paraId="623AF7FD" w14:textId="77777777" w:rsidR="002A21AE" w:rsidRDefault="002A21AE">
            <w:pPr>
              <w:pStyle w:val="TableTextBullet"/>
            </w:pPr>
            <w:r>
              <w:t>Allows the user to scan or enter units to be included in the worklist or select them from a list.</w:t>
            </w:r>
          </w:p>
          <w:p w14:paraId="0B48936F" w14:textId="77777777" w:rsidR="001C07B3" w:rsidRPr="000B4589" w:rsidRDefault="002A21AE" w:rsidP="001C07B3">
            <w:pPr>
              <w:pStyle w:val="TableTextBullet"/>
              <w:rPr>
                <w:bCs/>
              </w:rPr>
            </w:pPr>
            <w:r>
              <w:t>Lists the selected units</w:t>
            </w:r>
            <w:r w:rsidRPr="001E4417">
              <w:rPr>
                <w:bCs/>
              </w:rPr>
              <w:t>.</w:t>
            </w:r>
          </w:p>
          <w:p w14:paraId="7A4CB9BA" w14:textId="77777777" w:rsidR="000B4589" w:rsidRDefault="000B4589">
            <w:pPr>
              <w:pStyle w:val="TableTextBullet"/>
              <w:numPr>
                <w:ilvl w:val="0"/>
                <w:numId w:val="0"/>
              </w:numPr>
              <w:rPr>
                <w:bCs/>
              </w:rPr>
            </w:pPr>
          </w:p>
          <w:p w14:paraId="38242D64" w14:textId="05F91D9E" w:rsidR="000B4589" w:rsidRPr="001C07B3" w:rsidRDefault="000B4589" w:rsidP="002B3455">
            <w:pPr>
              <w:pStyle w:val="NotesText"/>
              <w:rPr>
                <w:b/>
                <w:bCs/>
              </w:rPr>
            </w:pPr>
          </w:p>
        </w:tc>
      </w:tr>
      <w:tr w:rsidR="002A21AE" w14:paraId="27382E5E" w14:textId="77777777">
        <w:tc>
          <w:tcPr>
            <w:tcW w:w="3240" w:type="dxa"/>
          </w:tcPr>
          <w:p w14:paraId="6F97B8B1" w14:textId="77777777" w:rsidR="00B6515C" w:rsidRDefault="00B6515C" w:rsidP="00B6515C">
            <w:pPr>
              <w:pStyle w:val="TableTextNumbers"/>
            </w:pPr>
            <w:r>
              <w:lastRenderedPageBreak/>
              <w:t>Select the lot number for the reagent and the positive and negative control cells. Enter the vial identifiers, if required. Enter “0” when not using panel cells.</w:t>
            </w:r>
          </w:p>
          <w:p w14:paraId="2A954DB9" w14:textId="77777777" w:rsidR="00B6515C" w:rsidRDefault="00B6515C" w:rsidP="00B6515C">
            <w:pPr>
              <w:pStyle w:val="TableTextNumbersContinued"/>
            </w:pPr>
          </w:p>
          <w:p w14:paraId="3CD36994" w14:textId="77777777" w:rsidR="0048389A" w:rsidRDefault="00B6515C" w:rsidP="00B6515C">
            <w:pPr>
              <w:pStyle w:val="TableTextNumbersContinued"/>
            </w:pPr>
            <w:r>
              <w:t>Verify the reagent type and the positive and negative control cell lot numbers selected and vial identifiers entered, if required.</w:t>
            </w:r>
          </w:p>
        </w:tc>
        <w:tc>
          <w:tcPr>
            <w:tcW w:w="6120" w:type="dxa"/>
          </w:tcPr>
          <w:p w14:paraId="15863586" w14:textId="77777777" w:rsidR="002A21AE" w:rsidRDefault="002A21AE">
            <w:pPr>
              <w:pStyle w:val="TableTextBullet"/>
            </w:pPr>
            <w:r>
              <w:t xml:space="preserve">Displays the reagent type and lot numbers, including the vial identifier. </w:t>
            </w:r>
          </w:p>
          <w:p w14:paraId="58C01897" w14:textId="77777777" w:rsidR="002A21AE" w:rsidRDefault="002A21AE">
            <w:pPr>
              <w:pStyle w:val="TableText"/>
            </w:pPr>
          </w:p>
          <w:p w14:paraId="5C7C3A90" w14:textId="2225AD2F" w:rsidR="002A21AE" w:rsidRDefault="002A21AE">
            <w:pPr>
              <w:pStyle w:val="TableText"/>
              <w:rPr>
                <w:b/>
                <w:bCs/>
                <w:szCs w:val="18"/>
              </w:rPr>
            </w:pPr>
            <w:r>
              <w:rPr>
                <w:b/>
                <w:bCs/>
                <w:szCs w:val="18"/>
              </w:rPr>
              <w:t>NOTES</w:t>
            </w:r>
          </w:p>
          <w:p w14:paraId="24DF7AC2" w14:textId="77777777" w:rsidR="002A21AE" w:rsidRDefault="002A21AE">
            <w:pPr>
              <w:pStyle w:val="NotesText"/>
            </w:pPr>
          </w:p>
          <w:p w14:paraId="2C753327" w14:textId="77777777" w:rsidR="002A21AE" w:rsidRDefault="00B6515C">
            <w:pPr>
              <w:pStyle w:val="NotesText"/>
            </w:pPr>
            <w:r>
              <w:t>The vial identifier, comprising one or two digits, identifies the vial contained in a kit of reagent red blood cells. A vial contains antigen positive or antigen negative blood cells to be used in quality control of the antisera.</w:t>
            </w:r>
          </w:p>
        </w:tc>
      </w:tr>
      <w:tr w:rsidR="002A21AE" w14:paraId="125A891F" w14:textId="77777777">
        <w:tc>
          <w:tcPr>
            <w:tcW w:w="3240" w:type="dxa"/>
          </w:tcPr>
          <w:p w14:paraId="3157A5C4" w14:textId="77777777" w:rsidR="002A21AE" w:rsidRDefault="002A21AE">
            <w:pPr>
              <w:pStyle w:val="TableTextNumbers"/>
            </w:pPr>
            <w:r>
              <w:t xml:space="preserve">Respond to warnings and continue with antigen typing. </w:t>
            </w:r>
          </w:p>
          <w:p w14:paraId="0A7F0CF9" w14:textId="77777777" w:rsidR="002A21AE" w:rsidRDefault="002A21AE">
            <w:pPr>
              <w:pStyle w:val="TableTextNumbersContinued"/>
            </w:pPr>
          </w:p>
          <w:p w14:paraId="47216BD9" w14:textId="77777777" w:rsidR="002A21AE" w:rsidRDefault="002A21AE">
            <w:pPr>
              <w:pStyle w:val="TableTextNumbersContinued"/>
            </w:pPr>
            <w:r>
              <w:t>Review the lot number, manufacturer name, and expiration date for the antiserum and control cells. If they are not correct, start over.</w:t>
            </w:r>
          </w:p>
          <w:p w14:paraId="683330EE" w14:textId="77777777" w:rsidR="002A21AE" w:rsidRDefault="002A21AE">
            <w:pPr>
              <w:pStyle w:val="TableTextNumbersContinued"/>
            </w:pPr>
          </w:p>
          <w:p w14:paraId="0EE91725" w14:textId="77777777" w:rsidR="002A21AE" w:rsidRDefault="002A21AE">
            <w:pPr>
              <w:pStyle w:val="TableTextNumbersContinued"/>
            </w:pPr>
            <w:r>
              <w:t>Select a control cell or unit to begin entering serologic reactions and interpretations in the data entry grid.</w:t>
            </w:r>
          </w:p>
          <w:p w14:paraId="1F29A383" w14:textId="77777777" w:rsidR="002A21AE" w:rsidRDefault="002A21AE">
            <w:pPr>
              <w:pStyle w:val="TableTextNumbersContinued"/>
            </w:pPr>
          </w:p>
          <w:p w14:paraId="1B728D7E" w14:textId="77777777" w:rsidR="002A21AE" w:rsidRDefault="002A21AE">
            <w:pPr>
              <w:pStyle w:val="TableTextNumbersContinued"/>
              <w:rPr>
                <w:b/>
                <w:bCs/>
              </w:rPr>
            </w:pPr>
          </w:p>
          <w:p w14:paraId="14AAD765" w14:textId="77777777" w:rsidR="002A21AE" w:rsidRDefault="002A21AE">
            <w:pPr>
              <w:pStyle w:val="TableTextNumbersContinued"/>
            </w:pPr>
          </w:p>
        </w:tc>
        <w:tc>
          <w:tcPr>
            <w:tcW w:w="6120" w:type="dxa"/>
          </w:tcPr>
          <w:p w14:paraId="7915EF24" w14:textId="77777777" w:rsidR="002A21AE" w:rsidRDefault="002A21AE">
            <w:pPr>
              <w:pStyle w:val="TableTextBullet"/>
            </w:pPr>
            <w:r>
              <w:t>Displays each selected unit in a separate tab for each selected specificity with its own grids and quality control.</w:t>
            </w:r>
          </w:p>
          <w:p w14:paraId="598433C9" w14:textId="77777777" w:rsidR="002A21AE" w:rsidRDefault="002A21AE">
            <w:pPr>
              <w:pStyle w:val="TableTextBullet"/>
            </w:pPr>
            <w:r>
              <w:t xml:space="preserve">Displays a direct data entry </w:t>
            </w:r>
            <w:r w:rsidR="00917E9F">
              <w:t xml:space="preserve">(DDE) </w:t>
            </w:r>
            <w:r>
              <w:t>grid to enter serologic reaction results for antigen typing of units. This may already be filled with results from a previously saved partially completed worksheet.</w:t>
            </w:r>
          </w:p>
          <w:p w14:paraId="3FC37BAA" w14:textId="77777777" w:rsidR="002A21AE" w:rsidRDefault="002A21AE">
            <w:pPr>
              <w:pStyle w:val="TableTextBullet"/>
            </w:pPr>
            <w:r>
              <w:t>Allows a user to select a unit or control cell and enter a test result.</w:t>
            </w:r>
          </w:p>
          <w:p w14:paraId="496BF3D6" w14:textId="77777777" w:rsidR="002A21AE" w:rsidRDefault="002A21AE">
            <w:pPr>
              <w:pStyle w:val="TableTextBullet"/>
            </w:pPr>
            <w:r>
              <w:t>Allows only valid data entries in the grid reaction result and interpretation cells.</w:t>
            </w:r>
          </w:p>
          <w:p w14:paraId="4D7632BB" w14:textId="77777777" w:rsidR="002A21AE" w:rsidRDefault="002A21AE">
            <w:pPr>
              <w:pStyle w:val="TableTextBullet"/>
            </w:pPr>
            <w:r>
              <w:t>Restricts data entry to valid selections for testing results.</w:t>
            </w:r>
          </w:p>
          <w:p w14:paraId="4A850F8B" w14:textId="77777777" w:rsidR="002A21AE" w:rsidRDefault="002A21AE">
            <w:pPr>
              <w:pStyle w:val="TableTextBullet"/>
            </w:pPr>
            <w:r>
              <w:t>Keeps all testing results and entered interpretations on the screen until the user saves them.</w:t>
            </w:r>
          </w:p>
          <w:p w14:paraId="6DB218A4" w14:textId="77777777" w:rsidR="002A21AE" w:rsidRDefault="002A21AE">
            <w:pPr>
              <w:pStyle w:val="TableText"/>
            </w:pPr>
          </w:p>
          <w:p w14:paraId="646840EA" w14:textId="1A71BAC5" w:rsidR="002A21AE" w:rsidRDefault="002A21AE">
            <w:pPr>
              <w:pStyle w:val="TableText"/>
              <w:rPr>
                <w:b/>
                <w:bCs/>
                <w:szCs w:val="18"/>
              </w:rPr>
            </w:pPr>
            <w:r>
              <w:rPr>
                <w:b/>
                <w:bCs/>
                <w:szCs w:val="18"/>
              </w:rPr>
              <w:t>NOTES</w:t>
            </w:r>
          </w:p>
          <w:p w14:paraId="0E8F3C3C" w14:textId="77777777" w:rsidR="002A21AE" w:rsidRDefault="002A21AE">
            <w:pPr>
              <w:pStyle w:val="NotesText"/>
            </w:pPr>
          </w:p>
          <w:p w14:paraId="28067A81" w14:textId="77777777" w:rsidR="002A21AE" w:rsidRDefault="002A21AE">
            <w:pPr>
              <w:pStyle w:val="NotesText"/>
            </w:pPr>
            <w:r>
              <w:rPr>
                <w:rFonts w:cs="Arial"/>
                <w:vanish/>
              </w:rPr>
              <w:t xml:space="preserve">BR_41.07 </w:t>
            </w:r>
            <w:r>
              <w:t>VBECS displays the worklist for the grids by antiserum types.</w:t>
            </w:r>
          </w:p>
          <w:p w14:paraId="1B965CE4" w14:textId="77777777" w:rsidR="002A21AE" w:rsidRDefault="002A21AE">
            <w:pPr>
              <w:pStyle w:val="NotesText"/>
            </w:pPr>
          </w:p>
          <w:p w14:paraId="727648E1" w14:textId="77777777" w:rsidR="002A21AE" w:rsidRDefault="002A21AE">
            <w:pPr>
              <w:pStyle w:val="NotesText"/>
            </w:pPr>
            <w:r>
              <w:rPr>
                <w:rFonts w:cs="Arial"/>
                <w:vanish/>
              </w:rPr>
              <w:t xml:space="preserve">BR_41.09 </w:t>
            </w:r>
            <w:r>
              <w:t>Valid observed test results entered by a user:</w:t>
            </w:r>
          </w:p>
          <w:p w14:paraId="3ED6C677" w14:textId="77777777" w:rsidR="002A21AE" w:rsidRDefault="002A21AE">
            <w:pPr>
              <w:pStyle w:val="NotesTextBullet"/>
            </w:pPr>
            <w:r>
              <w:t>1 [1+ (positive)]</w:t>
            </w:r>
          </w:p>
          <w:p w14:paraId="50889E45" w14:textId="77777777" w:rsidR="002A21AE" w:rsidRDefault="002A21AE">
            <w:pPr>
              <w:pStyle w:val="NotesTextBullet"/>
            </w:pPr>
            <w:r>
              <w:t>2 [2+ (positive)]</w:t>
            </w:r>
          </w:p>
          <w:p w14:paraId="242C8B25" w14:textId="77777777" w:rsidR="002A21AE" w:rsidRDefault="002A21AE">
            <w:pPr>
              <w:pStyle w:val="NotesTextBullet"/>
            </w:pPr>
            <w:r>
              <w:t>3 [3+ (positive)]</w:t>
            </w:r>
          </w:p>
          <w:p w14:paraId="5BE2C842" w14:textId="77777777" w:rsidR="002A21AE" w:rsidRDefault="002A21AE">
            <w:pPr>
              <w:pStyle w:val="NotesTextBullet"/>
            </w:pPr>
            <w:r>
              <w:t>4 [4+ (positive)]</w:t>
            </w:r>
          </w:p>
          <w:p w14:paraId="26296033" w14:textId="77777777" w:rsidR="002A21AE" w:rsidRDefault="002A21AE">
            <w:pPr>
              <w:pStyle w:val="NotesTextBullet"/>
            </w:pPr>
            <w:r>
              <w:t>W [Weak (</w:t>
            </w:r>
            <w:r w:rsidR="006D384A">
              <w:t>positive</w:t>
            </w:r>
            <w:r>
              <w:t>)]</w:t>
            </w:r>
          </w:p>
          <w:p w14:paraId="1C5C3E4D" w14:textId="77777777" w:rsidR="002A21AE" w:rsidRDefault="002A21AE">
            <w:pPr>
              <w:pStyle w:val="NotesTextBullet"/>
            </w:pPr>
            <w:r>
              <w:t>F [Mixed Field (</w:t>
            </w:r>
            <w:r w:rsidR="006D384A">
              <w:t>positive</w:t>
            </w:r>
            <w:r>
              <w:t>)]</w:t>
            </w:r>
          </w:p>
          <w:p w14:paraId="19CEC52D" w14:textId="77777777" w:rsidR="002A21AE" w:rsidRDefault="002A21AE">
            <w:pPr>
              <w:pStyle w:val="NotesTextBullet"/>
            </w:pPr>
            <w:r>
              <w:t>M [Microscopic (</w:t>
            </w:r>
            <w:r w:rsidR="006D384A">
              <w:t>positive</w:t>
            </w:r>
            <w:r>
              <w:t>)]</w:t>
            </w:r>
          </w:p>
          <w:p w14:paraId="2C6F017A" w14:textId="77777777" w:rsidR="002A21AE" w:rsidRDefault="002A21AE">
            <w:pPr>
              <w:pStyle w:val="NotesTextBullet"/>
            </w:pPr>
            <w:r>
              <w:t>R [rouleaux (negative)]</w:t>
            </w:r>
          </w:p>
          <w:p w14:paraId="39986CA7" w14:textId="77777777" w:rsidR="002A21AE" w:rsidRDefault="002A21AE">
            <w:pPr>
              <w:pStyle w:val="NotesTextBullet"/>
            </w:pPr>
            <w:r>
              <w:t>0 (zero) [No Agglutination (negative)]</w:t>
            </w:r>
          </w:p>
          <w:p w14:paraId="278D1983" w14:textId="77777777" w:rsidR="002A21AE" w:rsidRDefault="002A21AE">
            <w:pPr>
              <w:pStyle w:val="NotesTextBullet"/>
            </w:pPr>
            <w:r>
              <w:t>X (Not Tested)</w:t>
            </w:r>
            <w:r w:rsidR="002F7FF1">
              <w:t xml:space="preserve"> (does not indicate a disabled cell)</w:t>
            </w:r>
          </w:p>
          <w:p w14:paraId="6B187E12" w14:textId="77777777" w:rsidR="002A21AE" w:rsidRDefault="002A21AE">
            <w:pPr>
              <w:pStyle w:val="NotesText"/>
            </w:pPr>
          </w:p>
          <w:p w14:paraId="25A95D52" w14:textId="77777777" w:rsidR="002A21AE" w:rsidRDefault="002A21AE">
            <w:pPr>
              <w:pStyle w:val="NotesText"/>
            </w:pPr>
            <w:r>
              <w:t>When the AHG phase is selected for testing, the AHG must be negative and the CC must be at least 1+ positive to consider the test negative for a unit or for the negative control cell.</w:t>
            </w:r>
          </w:p>
          <w:p w14:paraId="6D6DD21A" w14:textId="77777777" w:rsidR="002A21AE" w:rsidRDefault="002A21AE">
            <w:pPr>
              <w:pStyle w:val="NotesText"/>
            </w:pPr>
          </w:p>
          <w:p w14:paraId="29221BF1" w14:textId="77777777" w:rsidR="002A21AE" w:rsidRDefault="002A21AE">
            <w:pPr>
              <w:pStyle w:val="NotesText"/>
            </w:pPr>
            <w:r>
              <w:rPr>
                <w:rFonts w:cs="Arial"/>
                <w:vanish/>
              </w:rPr>
              <w:t xml:space="preserve">BR_41.17 </w:t>
            </w:r>
            <w:r>
              <w:t xml:space="preserve">The column heading of the data grid specifies the phases of reactivity that may be used in a test selected for the specificity. </w:t>
            </w:r>
          </w:p>
          <w:p w14:paraId="1C96C6FE" w14:textId="77777777" w:rsidR="002A21AE" w:rsidRDefault="002A21AE">
            <w:pPr>
              <w:pStyle w:val="NotesText"/>
            </w:pPr>
          </w:p>
          <w:p w14:paraId="5F5CBAF7" w14:textId="77777777" w:rsidR="002A21AE" w:rsidRDefault="002A21AE">
            <w:pPr>
              <w:pStyle w:val="NotesText"/>
            </w:pPr>
            <w:r>
              <w:rPr>
                <w:rFonts w:cs="Arial"/>
                <w:vanish/>
              </w:rPr>
              <w:t xml:space="preserve">BR_41.18 </w:t>
            </w:r>
            <w:r>
              <w:t>The row heading of the data grid specifies the unit ID being tested. These fields cannot be edited.</w:t>
            </w:r>
          </w:p>
          <w:p w14:paraId="037D7485" w14:textId="77777777" w:rsidR="002A21AE" w:rsidRDefault="002A21AE">
            <w:pPr>
              <w:pStyle w:val="NotesText"/>
            </w:pPr>
          </w:p>
          <w:p w14:paraId="7EEBBD2C" w14:textId="77777777" w:rsidR="002A21AE" w:rsidRDefault="002A21AE">
            <w:pPr>
              <w:pStyle w:val="NotesText"/>
            </w:pPr>
            <w:r>
              <w:rPr>
                <w:rFonts w:cs="Arial"/>
                <w:vanish/>
              </w:rPr>
              <w:t xml:space="preserve">BR_41.21 </w:t>
            </w:r>
            <w:r>
              <w:t>The rows for each antiserum type grid display the positive and negative control cells, then units, in the order in which a user added units to the worklist.</w:t>
            </w:r>
          </w:p>
          <w:p w14:paraId="34C53D4B" w14:textId="77777777" w:rsidR="002A21AE" w:rsidRDefault="002A21AE">
            <w:pPr>
              <w:pStyle w:val="NotesText"/>
            </w:pPr>
          </w:p>
          <w:p w14:paraId="0DCD26EA" w14:textId="77777777" w:rsidR="002A21AE" w:rsidRDefault="002A21AE">
            <w:pPr>
              <w:pStyle w:val="NotesText"/>
            </w:pPr>
            <w:r>
              <w:rPr>
                <w:rFonts w:cs="Arial"/>
                <w:vanish/>
              </w:rPr>
              <w:t xml:space="preserve">BR_41.14 </w:t>
            </w:r>
            <w:r>
              <w:t xml:space="preserve">A comment can be associated with any antigen test performed. A user may select canned comments required by an override from the drop-down list or select </w:t>
            </w:r>
            <w:r>
              <w:rPr>
                <w:b/>
              </w:rPr>
              <w:t>Other</w:t>
            </w:r>
            <w:r>
              <w:t xml:space="preserve"> to enter free-text comments.</w:t>
            </w:r>
          </w:p>
        </w:tc>
      </w:tr>
      <w:tr w:rsidR="002A21AE" w14:paraId="1571F2FC" w14:textId="77777777" w:rsidTr="001A459B">
        <w:trPr>
          <w:cantSplit/>
        </w:trPr>
        <w:tc>
          <w:tcPr>
            <w:tcW w:w="3240" w:type="dxa"/>
          </w:tcPr>
          <w:p w14:paraId="364B20E3" w14:textId="34C0BA3D" w:rsidR="002A21AE" w:rsidRDefault="002A21AE" w:rsidP="0027394C">
            <w:pPr>
              <w:pStyle w:val="TableTextNumbers"/>
            </w:pPr>
            <w:r>
              <w:lastRenderedPageBreak/>
              <w:t>Enter results for the control cells and for all selected units. Refer to the legend at the bottom of the screen</w:t>
            </w:r>
            <w:r w:rsidR="002A4159">
              <w:t xml:space="preserve"> (</w:t>
            </w:r>
            <w:r w:rsidR="00EE455E">
              <w:t xml:space="preserve">Figure </w:t>
            </w:r>
            <w:r w:rsidR="00EE455E">
              <w:rPr>
                <w:noProof/>
              </w:rPr>
              <w:t>59</w:t>
            </w:r>
            <w:r w:rsidR="002A4159">
              <w:t>)</w:t>
            </w:r>
            <w:r>
              <w:t>.</w:t>
            </w:r>
          </w:p>
        </w:tc>
        <w:tc>
          <w:tcPr>
            <w:tcW w:w="6120" w:type="dxa"/>
          </w:tcPr>
          <w:p w14:paraId="7B3967E6" w14:textId="77777777" w:rsidR="002A21AE" w:rsidRDefault="002A21AE">
            <w:pPr>
              <w:pStyle w:val="TableTextBullet"/>
            </w:pPr>
            <w:r>
              <w:t>Prompts the user to confirm that all results were reviewed and are acceptable.</w:t>
            </w:r>
          </w:p>
          <w:p w14:paraId="6453CEAD" w14:textId="77777777" w:rsidR="002A21AE" w:rsidRDefault="002A21AE">
            <w:pPr>
              <w:pStyle w:val="TableText"/>
            </w:pPr>
          </w:p>
          <w:p w14:paraId="7E2CA0E1" w14:textId="1816D11D" w:rsidR="002A21AE" w:rsidRDefault="002A21AE">
            <w:pPr>
              <w:pStyle w:val="TableText"/>
              <w:rPr>
                <w:b/>
                <w:bCs/>
                <w:szCs w:val="18"/>
              </w:rPr>
            </w:pPr>
            <w:r>
              <w:rPr>
                <w:b/>
                <w:bCs/>
                <w:szCs w:val="18"/>
              </w:rPr>
              <w:t>NOTES</w:t>
            </w:r>
          </w:p>
          <w:p w14:paraId="1124D65F" w14:textId="77777777" w:rsidR="002A21AE" w:rsidRDefault="002A21AE">
            <w:pPr>
              <w:pStyle w:val="NotesText"/>
            </w:pPr>
          </w:p>
          <w:p w14:paraId="4D40AD16" w14:textId="77777777" w:rsidR="002A21AE" w:rsidRDefault="002A21AE" w:rsidP="009256FE">
            <w:pPr>
              <w:pStyle w:val="NotesText"/>
            </w:pPr>
            <w:r>
              <w:t xml:space="preserve">The positive and/or negative control cell test results on the date of testing must be </w:t>
            </w:r>
            <w:r w:rsidR="009256FE">
              <w:t>a valid positive or negative.</w:t>
            </w:r>
          </w:p>
          <w:p w14:paraId="453D1622" w14:textId="77777777" w:rsidR="002A21AE" w:rsidRDefault="002A21AE">
            <w:pPr>
              <w:pStyle w:val="NotesText"/>
            </w:pPr>
          </w:p>
          <w:p w14:paraId="5386FAD4" w14:textId="77777777" w:rsidR="002A21AE" w:rsidRDefault="002A21AE">
            <w:pPr>
              <w:pStyle w:val="NotesText"/>
            </w:pPr>
            <w:r>
              <w:rPr>
                <w:rFonts w:cs="Arial"/>
                <w:vanish/>
              </w:rPr>
              <w:t xml:space="preserve">BR_41.22 </w:t>
            </w:r>
            <w:r>
              <w:t xml:space="preserve">When a weak D interpretation is positive </w:t>
            </w:r>
            <w:r w:rsidR="00C749CF">
              <w:t xml:space="preserve">or inconclusive </w:t>
            </w:r>
            <w:r>
              <w:t xml:space="preserve">and is verified for a tested blood unit that was labeled as (Rh) D negative, VBECS warns the user and adds the quarantine indicator to the unit. </w:t>
            </w:r>
          </w:p>
          <w:p w14:paraId="7C51871B" w14:textId="77777777" w:rsidR="002A21AE" w:rsidRDefault="002A21AE">
            <w:pPr>
              <w:pStyle w:val="NotesText"/>
            </w:pPr>
          </w:p>
          <w:p w14:paraId="5EB90CD2" w14:textId="77777777" w:rsidR="00A33DDA" w:rsidRDefault="002A21AE" w:rsidP="00A33DDA">
            <w:pPr>
              <w:pStyle w:val="NotesText"/>
              <w:rPr>
                <w:rFonts w:cs="Arial"/>
                <w:vanish/>
              </w:rPr>
            </w:pPr>
            <w:r>
              <w:rPr>
                <w:rFonts w:cs="Arial"/>
                <w:vanish/>
              </w:rPr>
              <w:t xml:space="preserve">BR_41.12 </w:t>
            </w:r>
            <w:r w:rsidR="00A33DDA">
              <w:t>VBECS compares the antigen typing interpretation a user enters to previously assigned antigen typings for the same antigen (as assigned during Incoming Shipment, Edit Unit Information, or previous testing). When the previous interpretation was not “inconclusive” and the current interpretation does not match the previously identified antigen type, VBECS warns the user and quarantines the unit.</w:t>
            </w:r>
          </w:p>
          <w:p w14:paraId="7C2DB16C" w14:textId="77777777" w:rsidR="00BC3648" w:rsidRDefault="00BC3648">
            <w:pPr>
              <w:pStyle w:val="NotesText"/>
            </w:pPr>
          </w:p>
          <w:p w14:paraId="7FFC73F7" w14:textId="77777777" w:rsidR="009230AA" w:rsidRDefault="009230AA" w:rsidP="00BC3648">
            <w:pPr>
              <w:pStyle w:val="NotesText"/>
              <w:rPr>
                <w:rFonts w:cs="Arial"/>
                <w:szCs w:val="18"/>
              </w:rPr>
            </w:pPr>
          </w:p>
          <w:p w14:paraId="12F9D520" w14:textId="77777777" w:rsidR="00BC3648" w:rsidRDefault="00BC3648" w:rsidP="00BC3648">
            <w:pPr>
              <w:pStyle w:val="NotesText"/>
            </w:pPr>
            <w:r w:rsidRPr="00BC3648">
              <w:rPr>
                <w:rFonts w:cs="Arial"/>
                <w:vanish/>
                <w:szCs w:val="18"/>
              </w:rPr>
              <w:t>BR_41.19</w:t>
            </w:r>
            <w:r>
              <w:t>System rules establish row validation for the interpretation vs. reaction results pattern [for all user-indicated phase(s) of reactivity] for blood unit and quality control tests.</w:t>
            </w:r>
          </w:p>
        </w:tc>
      </w:tr>
      <w:tr w:rsidR="002A21AE" w14:paraId="6507DF34" w14:textId="77777777">
        <w:tc>
          <w:tcPr>
            <w:tcW w:w="3240" w:type="dxa"/>
          </w:tcPr>
          <w:p w14:paraId="4F837687" w14:textId="07D43255" w:rsidR="002A21AE" w:rsidRDefault="002A21AE">
            <w:pPr>
              <w:pStyle w:val="TableTextNumbers"/>
            </w:pPr>
            <w:r>
              <w:t>Repeat Steps 4</w:t>
            </w:r>
            <w:r w:rsidR="004F5589">
              <w:t xml:space="preserve"> through </w:t>
            </w:r>
            <w:r>
              <w:t>8 for each antiserum type.</w:t>
            </w:r>
          </w:p>
        </w:tc>
        <w:tc>
          <w:tcPr>
            <w:tcW w:w="6120" w:type="dxa"/>
          </w:tcPr>
          <w:p w14:paraId="0166EFBD" w14:textId="77777777" w:rsidR="002A21AE" w:rsidRDefault="002A21AE">
            <w:pPr>
              <w:pStyle w:val="TableTextBullet"/>
            </w:pPr>
            <w:r>
              <w:t>Displays the option to save.</w:t>
            </w:r>
          </w:p>
        </w:tc>
      </w:tr>
      <w:tr w:rsidR="002A21AE" w14:paraId="541F9216" w14:textId="77777777">
        <w:tc>
          <w:tcPr>
            <w:tcW w:w="3240" w:type="dxa"/>
          </w:tcPr>
          <w:p w14:paraId="7A0ABAE9" w14:textId="77777777" w:rsidR="002A21AE" w:rsidRDefault="002A21AE">
            <w:pPr>
              <w:pStyle w:val="TableTextNumbers"/>
            </w:pPr>
            <w:r>
              <w:t>Respond to warnings and save.</w:t>
            </w:r>
          </w:p>
        </w:tc>
        <w:tc>
          <w:tcPr>
            <w:tcW w:w="6120" w:type="dxa"/>
          </w:tcPr>
          <w:p w14:paraId="08B16CF7" w14:textId="77777777" w:rsidR="002A21AE" w:rsidRDefault="00C96530">
            <w:pPr>
              <w:pStyle w:val="TableTextBullet"/>
            </w:pPr>
            <w:r>
              <w:t xml:space="preserve">Saves the completed QC results with </w:t>
            </w:r>
            <w:r w:rsidR="002A21AE">
              <w:t xml:space="preserve">partially or fully completed </w:t>
            </w:r>
            <w:r>
              <w:t xml:space="preserve">unit testing </w:t>
            </w:r>
            <w:r w:rsidR="002A21AE">
              <w:t xml:space="preserve">data. </w:t>
            </w:r>
          </w:p>
          <w:p w14:paraId="19ADFE00" w14:textId="77777777" w:rsidR="002A21AE" w:rsidRDefault="002A21AE">
            <w:pPr>
              <w:pStyle w:val="TableTextBullet"/>
            </w:pPr>
            <w:r>
              <w:t xml:space="preserve">Reconfirms that all appropriate test results were entered, repeats all data validation, and saves the information on the worksheet displayed. </w:t>
            </w:r>
          </w:p>
          <w:p w14:paraId="42F5F74E" w14:textId="77777777" w:rsidR="002A21AE" w:rsidRDefault="002A21AE">
            <w:pPr>
              <w:pStyle w:val="TableText"/>
            </w:pPr>
          </w:p>
          <w:p w14:paraId="711D32BD" w14:textId="3E610C31" w:rsidR="002A21AE" w:rsidRDefault="002A21AE">
            <w:pPr>
              <w:pStyle w:val="TableText"/>
              <w:rPr>
                <w:b/>
                <w:bCs/>
                <w:szCs w:val="18"/>
              </w:rPr>
            </w:pPr>
            <w:r>
              <w:rPr>
                <w:b/>
                <w:bCs/>
                <w:szCs w:val="18"/>
              </w:rPr>
              <w:t>NOTES</w:t>
            </w:r>
          </w:p>
          <w:p w14:paraId="083080D6" w14:textId="77777777" w:rsidR="002A21AE" w:rsidRDefault="002A21AE">
            <w:pPr>
              <w:pStyle w:val="NotesText"/>
            </w:pPr>
          </w:p>
          <w:p w14:paraId="47CB551A" w14:textId="77777777" w:rsidR="002A21AE" w:rsidRDefault="002A21AE">
            <w:pPr>
              <w:pStyle w:val="NotesText"/>
            </w:pPr>
            <w:r>
              <w:rPr>
                <w:rFonts w:cs="Arial"/>
                <w:vanish/>
              </w:rPr>
              <w:t xml:space="preserve">BR_41.16 </w:t>
            </w:r>
            <w:r>
              <w:t>VBECS saves the testing of one antiserum specificity at a time.</w:t>
            </w:r>
          </w:p>
          <w:p w14:paraId="5E8CAB99" w14:textId="77777777" w:rsidR="00C96530" w:rsidRDefault="00C96530">
            <w:pPr>
              <w:pStyle w:val="NotesText"/>
            </w:pPr>
          </w:p>
          <w:p w14:paraId="559FEEAA" w14:textId="77777777" w:rsidR="002A21AE" w:rsidRDefault="00C96530">
            <w:pPr>
              <w:pStyle w:val="NotesText"/>
            </w:pPr>
            <w:r>
              <w:rPr>
                <w:vanish/>
              </w:rPr>
              <w:t xml:space="preserve">BR_41.33 </w:t>
            </w:r>
            <w:r w:rsidRPr="00C96530">
              <w:t>T</w:t>
            </w:r>
            <w:r w:rsidRPr="00176F35">
              <w:t xml:space="preserve">he Positive and Negative control cells must be complete and valid prior to the save of a unit antigen typing result. </w:t>
            </w:r>
            <w:r>
              <w:t>VBECS will d</w:t>
            </w:r>
            <w:r w:rsidRPr="00176F35">
              <w:t xml:space="preserve">isplay a </w:t>
            </w:r>
            <w:r w:rsidR="00D51933">
              <w:t xml:space="preserve">tooltip </w:t>
            </w:r>
            <w:r w:rsidRPr="00176F35">
              <w:t xml:space="preserve">message to the user </w:t>
            </w:r>
            <w:r>
              <w:t>if an attempt to save is made and the QC is not valid.</w:t>
            </w:r>
          </w:p>
          <w:p w14:paraId="7393C0AD" w14:textId="77777777" w:rsidR="00C96530" w:rsidRDefault="00C96530">
            <w:pPr>
              <w:pStyle w:val="NotesText"/>
            </w:pPr>
          </w:p>
          <w:p w14:paraId="0653B3A6" w14:textId="77777777" w:rsidR="002A21AE" w:rsidRDefault="002A21AE">
            <w:pPr>
              <w:pStyle w:val="NotesText"/>
            </w:pPr>
            <w:r>
              <w:rPr>
                <w:rFonts w:cs="Arial"/>
                <w:vanish/>
              </w:rPr>
              <w:t xml:space="preserve">BR_41.06 </w:t>
            </w:r>
            <w:r>
              <w:t>VBECS stores the lot number, vial identifier, manufacturer, and expiration date of the positive and negative control cells with the testing record.</w:t>
            </w:r>
          </w:p>
        </w:tc>
      </w:tr>
      <w:tr w:rsidR="002A21AE" w14:paraId="1FFB29FD" w14:textId="77777777">
        <w:tc>
          <w:tcPr>
            <w:tcW w:w="3240" w:type="dxa"/>
          </w:tcPr>
          <w:p w14:paraId="5A344B54"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33AC097" w14:textId="77777777" w:rsidR="002A21AE" w:rsidRDefault="002A21AE">
            <w:pPr>
              <w:pStyle w:val="TableText"/>
            </w:pPr>
          </w:p>
        </w:tc>
      </w:tr>
    </w:tbl>
    <w:p w14:paraId="01868D2E" w14:textId="788EB827" w:rsidR="00030E55" w:rsidRDefault="00030E55" w:rsidP="00030E55">
      <w:pPr>
        <w:pStyle w:val="Caption"/>
      </w:pPr>
      <w:bookmarkStart w:id="280" w:name="_Ref126648704"/>
      <w:bookmarkStart w:id="281" w:name="_Toc6368036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56</w:t>
      </w:r>
      <w:r w:rsidR="004E20BD">
        <w:rPr>
          <w:noProof/>
        </w:rPr>
        <w:fldChar w:fldCharType="end"/>
      </w:r>
      <w:bookmarkEnd w:id="280"/>
      <w:r>
        <w:t>: Unit Antigen Typing</w:t>
      </w:r>
      <w:r w:rsidR="004E0AFB">
        <w:t xml:space="preserve"> (Initial screen)</w:t>
      </w:r>
    </w:p>
    <w:p w14:paraId="21E2CF04" w14:textId="306EE18E" w:rsidR="0004496F" w:rsidRPr="0004496F" w:rsidRDefault="002117D4" w:rsidP="0004496F">
      <w:pPr>
        <w:pStyle w:val="BodyText"/>
      </w:pPr>
      <w:r>
        <w:rPr>
          <w:noProof/>
        </w:rPr>
        <w:drawing>
          <wp:inline distT="0" distB="0" distL="0" distR="0" wp14:anchorId="596E00D7" wp14:editId="70CD6D8C">
            <wp:extent cx="5086350" cy="4733925"/>
            <wp:effectExtent l="0" t="0" r="0" b="9525"/>
            <wp:docPr id="15" name="Picture 15" descr="Example of Unit Antigen Typing (Initial scre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Unit Antigen Typing (Initial screen) screen captur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86350" cy="4733925"/>
                    </a:xfrm>
                    <a:prstGeom prst="rect">
                      <a:avLst/>
                    </a:prstGeom>
                    <a:noFill/>
                    <a:ln>
                      <a:noFill/>
                    </a:ln>
                  </pic:spPr>
                </pic:pic>
              </a:graphicData>
            </a:graphic>
          </wp:inline>
        </w:drawing>
      </w:r>
    </w:p>
    <w:p w14:paraId="152C93DD" w14:textId="225D1EC2" w:rsidR="0004496F" w:rsidRDefault="0004496F" w:rsidP="0004496F">
      <w:pPr>
        <w:pStyle w:val="Caption"/>
      </w:pPr>
      <w:bookmarkStart w:id="282" w:name="_Ref50895703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57</w:t>
      </w:r>
      <w:r w:rsidR="004E20BD">
        <w:rPr>
          <w:noProof/>
        </w:rPr>
        <w:fldChar w:fldCharType="end"/>
      </w:r>
      <w:bookmarkEnd w:id="282"/>
      <w:r>
        <w:t>: Unit Antigen Typing (New worklist)</w:t>
      </w:r>
    </w:p>
    <w:p w14:paraId="6A31483B" w14:textId="77777777" w:rsidR="0004496F" w:rsidRDefault="00057948" w:rsidP="0004496F">
      <w:pPr>
        <w:pStyle w:val="BodyText"/>
      </w:pPr>
      <w:r>
        <w:rPr>
          <w:noProof/>
        </w:rPr>
        <w:drawing>
          <wp:inline distT="0" distB="0" distL="0" distR="0" wp14:anchorId="763AC125" wp14:editId="654F389B">
            <wp:extent cx="5080000" cy="4756785"/>
            <wp:effectExtent l="0" t="0" r="6350" b="5715"/>
            <wp:docPr id="172" name="Picture 172" descr="Example of Unit Antigen Typing (New workli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Example of Unit Antigen Typing (New worklist) screen captur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80000" cy="4756785"/>
                    </a:xfrm>
                    <a:prstGeom prst="rect">
                      <a:avLst/>
                    </a:prstGeom>
                    <a:noFill/>
                    <a:ln>
                      <a:noFill/>
                    </a:ln>
                  </pic:spPr>
                </pic:pic>
              </a:graphicData>
            </a:graphic>
          </wp:inline>
        </w:drawing>
      </w:r>
    </w:p>
    <w:p w14:paraId="29AB7F71" w14:textId="427F0C82" w:rsidR="0004496F" w:rsidRDefault="0004496F" w:rsidP="0004496F">
      <w:pPr>
        <w:pStyle w:val="Caption"/>
      </w:pPr>
      <w:bookmarkStart w:id="283" w:name="_Ref50895711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58</w:t>
      </w:r>
      <w:r w:rsidR="004E20BD">
        <w:rPr>
          <w:noProof/>
        </w:rPr>
        <w:fldChar w:fldCharType="end"/>
      </w:r>
      <w:bookmarkEnd w:id="283"/>
      <w:r>
        <w:t>: Unit Antigen Typing (Partially Completed Worklist)</w:t>
      </w:r>
    </w:p>
    <w:p w14:paraId="3344D137" w14:textId="77777777" w:rsidR="0004496F" w:rsidRPr="0004496F" w:rsidRDefault="00057948" w:rsidP="0004496F">
      <w:pPr>
        <w:pStyle w:val="BodyText"/>
      </w:pPr>
      <w:r>
        <w:rPr>
          <w:noProof/>
        </w:rPr>
        <w:drawing>
          <wp:inline distT="0" distB="0" distL="0" distR="0" wp14:anchorId="6619C890" wp14:editId="04A01C45">
            <wp:extent cx="5939155" cy="4230370"/>
            <wp:effectExtent l="0" t="0" r="4445" b="0"/>
            <wp:docPr id="173" name="Picture 173" descr="Example of Unit Antigen Typing (Partially Completed Workli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Example of Unit Antigen Typing (Partially Completed Worklist) screen captur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9155" cy="4230370"/>
                    </a:xfrm>
                    <a:prstGeom prst="rect">
                      <a:avLst/>
                    </a:prstGeom>
                    <a:noFill/>
                    <a:ln>
                      <a:noFill/>
                    </a:ln>
                  </pic:spPr>
                </pic:pic>
              </a:graphicData>
            </a:graphic>
          </wp:inline>
        </w:drawing>
      </w:r>
    </w:p>
    <w:p w14:paraId="721B098A" w14:textId="21813B68" w:rsidR="0004496F" w:rsidRPr="0004496F" w:rsidRDefault="0004496F" w:rsidP="004E0AFB">
      <w:pPr>
        <w:pStyle w:val="Caption"/>
        <w:widowControl w:val="0"/>
      </w:pPr>
      <w:bookmarkStart w:id="284" w:name="_Ref50895307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59</w:t>
      </w:r>
      <w:r w:rsidR="004E20BD">
        <w:rPr>
          <w:noProof/>
        </w:rPr>
        <w:fldChar w:fldCharType="end"/>
      </w:r>
      <w:bookmarkEnd w:id="284"/>
      <w:r>
        <w:t>: Unit Antigen Typing</w:t>
      </w:r>
    </w:p>
    <w:p w14:paraId="1249D5D1" w14:textId="77777777" w:rsidR="002A4159" w:rsidRDefault="00057948" w:rsidP="0032634C">
      <w:pPr>
        <w:pStyle w:val="BodyText"/>
        <w:widowControl w:val="0"/>
      </w:pPr>
      <w:r>
        <w:rPr>
          <w:noProof/>
        </w:rPr>
        <w:drawing>
          <wp:inline distT="0" distB="0" distL="0" distR="0" wp14:anchorId="0329CA28" wp14:editId="132C2778">
            <wp:extent cx="5939155" cy="4073525"/>
            <wp:effectExtent l="0" t="0" r="4445" b="3175"/>
            <wp:docPr id="174" name="Picture 174" descr="Example of Unit Antigen Typ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Example of Unit Antigen Typing screen captur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9155" cy="4073525"/>
                    </a:xfrm>
                    <a:prstGeom prst="rect">
                      <a:avLst/>
                    </a:prstGeom>
                    <a:noFill/>
                    <a:ln>
                      <a:noFill/>
                    </a:ln>
                  </pic:spPr>
                </pic:pic>
              </a:graphicData>
            </a:graphic>
          </wp:inline>
        </w:drawing>
      </w:r>
      <w:r w:rsidR="00030E55">
        <w:t xml:space="preserve"> </w:t>
      </w:r>
    </w:p>
    <w:p w14:paraId="359C6EF2" w14:textId="5E6527E0" w:rsidR="002A4159" w:rsidRDefault="002A4159" w:rsidP="002A4159">
      <w:pPr>
        <w:pStyle w:val="Caption"/>
      </w:pPr>
      <w:bookmarkStart w:id="285" w:name="_Ref12664909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60</w:t>
      </w:r>
      <w:r w:rsidR="004E20BD">
        <w:rPr>
          <w:noProof/>
        </w:rPr>
        <w:fldChar w:fldCharType="end"/>
      </w:r>
      <w:bookmarkEnd w:id="285"/>
      <w:r>
        <w:t>: Unit Antigen Typing Serologic Results</w:t>
      </w:r>
    </w:p>
    <w:p w14:paraId="4D590059" w14:textId="125171E5" w:rsidR="001B4885" w:rsidRDefault="00653A4D" w:rsidP="00030E55">
      <w:pPr>
        <w:pStyle w:val="BodyText"/>
      </w:pPr>
      <w:r>
        <w:rPr>
          <w:noProof/>
        </w:rPr>
        <w:drawing>
          <wp:inline distT="0" distB="0" distL="0" distR="0" wp14:anchorId="0C9E37DB" wp14:editId="78B00BCB">
            <wp:extent cx="5943600" cy="4333240"/>
            <wp:effectExtent l="0" t="0" r="0" b="0"/>
            <wp:docPr id="165" name="Picture 165" descr="Example of Unit Antigen Typing Serologic Resul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Example of Unit Antigen Typing Serologic Results screen captur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4333240"/>
                    </a:xfrm>
                    <a:prstGeom prst="rect">
                      <a:avLst/>
                    </a:prstGeom>
                    <a:noFill/>
                    <a:ln>
                      <a:noFill/>
                    </a:ln>
                  </pic:spPr>
                </pic:pic>
              </a:graphicData>
            </a:graphic>
          </wp:inline>
        </w:drawing>
      </w:r>
    </w:p>
    <w:p w14:paraId="6A6F2647" w14:textId="77777777" w:rsidR="002A21AE" w:rsidRDefault="002A21AE" w:rsidP="00E3402B">
      <w:pPr>
        <w:pStyle w:val="Heading2"/>
      </w:pPr>
      <w:r>
        <w:br w:type="page"/>
      </w:r>
      <w:bookmarkStart w:id="286" w:name="_Toc163644914"/>
      <w:bookmarkStart w:id="287" w:name="_Toc92426453"/>
      <w:bookmarkStart w:id="288" w:name="_Toc94349314"/>
      <w:bookmarkEnd w:id="281"/>
      <w:r>
        <w:lastRenderedPageBreak/>
        <w:t>Modify Components</w:t>
      </w:r>
      <w:bookmarkEnd w:id="286"/>
      <w:r>
        <w:fldChar w:fldCharType="begin"/>
      </w:r>
      <w:r>
        <w:instrText xml:space="preserve"> XE </w:instrText>
      </w:r>
      <w:r w:rsidR="00FA7E65">
        <w:instrText>“</w:instrText>
      </w:r>
      <w:r>
        <w:instrText>Modify Component</w:instrText>
      </w:r>
      <w:r w:rsidR="00FA7E65">
        <w:instrText>”</w:instrText>
      </w:r>
      <w:r>
        <w:instrText xml:space="preserve"> </w:instrText>
      </w:r>
      <w:r>
        <w:fldChar w:fldCharType="end"/>
      </w:r>
      <w:bookmarkEnd w:id="287"/>
      <w:bookmarkEnd w:id="288"/>
    </w:p>
    <w:p w14:paraId="451C6ABA" w14:textId="77777777" w:rsidR="002A21AE" w:rsidRDefault="002A21AE">
      <w:pPr>
        <w:pStyle w:val="Heading3"/>
      </w:pPr>
      <w:bookmarkStart w:id="289" w:name="_Modify_Units"/>
      <w:bookmarkStart w:id="290" w:name="_Toc163644915"/>
      <w:bookmarkStart w:id="291" w:name="_Toc94349315"/>
      <w:bookmarkEnd w:id="289"/>
      <w:r>
        <w:t>Modify Units</w:t>
      </w:r>
      <w:bookmarkEnd w:id="290"/>
      <w:r w:rsidRPr="00796039">
        <w:rPr>
          <w:rFonts w:ascii="Arial Bold" w:hAnsi="Arial Bold"/>
          <w:vanish/>
        </w:rPr>
        <w:fldChar w:fldCharType="begin"/>
      </w:r>
      <w:r w:rsidRPr="00796039">
        <w:rPr>
          <w:rFonts w:ascii="Arial Bold" w:hAnsi="Arial Bold"/>
          <w:vanish/>
        </w:rPr>
        <w:instrText xml:space="preserve"> XE </w:instrText>
      </w:r>
      <w:r w:rsidR="00FA7E65" w:rsidRPr="00796039">
        <w:rPr>
          <w:rFonts w:ascii="Arial Bold" w:hAnsi="Arial Bold"/>
          <w:vanish/>
        </w:rPr>
        <w:instrText>“</w:instrText>
      </w:r>
      <w:r w:rsidRPr="00796039">
        <w:rPr>
          <w:rFonts w:ascii="Arial Bold" w:hAnsi="Arial Bold"/>
          <w:vanish/>
        </w:rPr>
        <w:instrText>Modify Units</w:instrText>
      </w:r>
      <w:r w:rsidR="00FA7E65" w:rsidRPr="00796039">
        <w:rPr>
          <w:rFonts w:ascii="Arial Bold" w:hAnsi="Arial Bold"/>
          <w:vanish/>
        </w:rPr>
        <w:instrText>”</w:instrText>
      </w:r>
      <w:r w:rsidRPr="00796039">
        <w:rPr>
          <w:rFonts w:ascii="Arial Bold" w:hAnsi="Arial Bold"/>
          <w:vanish/>
        </w:rPr>
        <w:instrText xml:space="preserve"> </w:instrText>
      </w:r>
      <w:r w:rsidRPr="00796039">
        <w:rPr>
          <w:rFonts w:ascii="Arial Bold" w:hAnsi="Arial Bold"/>
          <w:vanish/>
        </w:rPr>
        <w:fldChar w:fldCharType="end"/>
      </w:r>
      <w:r w:rsidRPr="00796039">
        <w:rPr>
          <w:rFonts w:ascii="Arial Bold" w:hAnsi="Arial Bold"/>
          <w:vanish/>
        </w:rPr>
        <w:t xml:space="preserve"> UC_26</w:t>
      </w:r>
      <w:bookmarkEnd w:id="291"/>
    </w:p>
    <w:p w14:paraId="6E3741DA" w14:textId="529F5102" w:rsidR="002A21AE" w:rsidRDefault="002A21AE" w:rsidP="00FA7E65">
      <w:pPr>
        <w:pStyle w:val="BodyText"/>
      </w:pPr>
      <w:bookmarkStart w:id="292" w:name="_Toc77662608"/>
      <w:r>
        <w:t xml:space="preserve">The user modifies a unit, which results in a different blood product (target product) with </w:t>
      </w:r>
      <w:r w:rsidR="00AC457B">
        <w:t>its own</w:t>
      </w:r>
      <w:r>
        <w:t xml:space="preserve"> properties. A division’s configuration determines the available modification types</w:t>
      </w:r>
      <w:r w:rsidR="003B6DCF">
        <w:t>.</w:t>
      </w:r>
    </w:p>
    <w:p w14:paraId="58E631B1" w14:textId="77777777" w:rsidR="002A21AE" w:rsidRDefault="002A21AE">
      <w:pPr>
        <w:pStyle w:val="Heading4"/>
      </w:pPr>
      <w:bookmarkStart w:id="293" w:name="_Toc94349316"/>
      <w:r>
        <w:t>Assumptions</w:t>
      </w:r>
      <w:bookmarkEnd w:id="293"/>
      <w:r w:rsidR="00AC457B">
        <w:fldChar w:fldCharType="begin"/>
      </w:r>
      <w:r w:rsidR="00AC457B">
        <w:instrText xml:space="preserve"> XE "</w:instrText>
      </w:r>
      <w:r w:rsidR="00AC457B" w:rsidRPr="00A60D38">
        <w:instrText>Assumptions</w:instrText>
      </w:r>
      <w:r w:rsidR="00AC457B">
        <w:instrText xml:space="preserve">" </w:instrText>
      </w:r>
      <w:r w:rsidR="00AC457B">
        <w:fldChar w:fldCharType="end"/>
      </w:r>
    </w:p>
    <w:p w14:paraId="120D49EA" w14:textId="77777777" w:rsidR="002A21AE" w:rsidRDefault="00046402">
      <w:pPr>
        <w:pStyle w:val="ListBullet"/>
      </w:pPr>
      <w:r>
        <w:t>Product Modifications</w:t>
      </w:r>
      <w:r w:rsidR="002A21AE">
        <w:t xml:space="preserve"> was executed.</w:t>
      </w:r>
    </w:p>
    <w:p w14:paraId="22D95E17" w14:textId="77777777" w:rsidR="002A21AE" w:rsidRDefault="00CB7D9B">
      <w:pPr>
        <w:pStyle w:val="ListBullet"/>
      </w:pPr>
      <w:r>
        <w:t>The division is the active shipper for target blood products.</w:t>
      </w:r>
    </w:p>
    <w:p w14:paraId="07FB6828" w14:textId="77777777" w:rsidR="002A21AE" w:rsidRDefault="002A21AE">
      <w:pPr>
        <w:pStyle w:val="ListBullet"/>
      </w:pPr>
      <w:r>
        <w:t>A unit may be modified with or without patient assignment or restriction.</w:t>
      </w:r>
    </w:p>
    <w:p w14:paraId="52D78B2A" w14:textId="77777777" w:rsidR="002A21AE" w:rsidRDefault="002A21AE">
      <w:pPr>
        <w:pStyle w:val="ListBullet"/>
      </w:pPr>
      <w:r>
        <w:t>A unit may be modified with or without a patient order.</w:t>
      </w:r>
    </w:p>
    <w:p w14:paraId="3202B2C9" w14:textId="77777777" w:rsidR="002A21AE" w:rsidRDefault="002A21AE">
      <w:pPr>
        <w:pStyle w:val="ListBullet"/>
      </w:pPr>
      <w:r>
        <w:t>Units selected for modification must be in the same division as the user.</w:t>
      </w:r>
    </w:p>
    <w:p w14:paraId="2C918B68" w14:textId="77777777" w:rsidR="00F81D5E" w:rsidRDefault="00F81D5E">
      <w:pPr>
        <w:pStyle w:val="ListBullet"/>
      </w:pPr>
      <w:r>
        <w:t>Product labels and unit numbers for modified products</w:t>
      </w:r>
      <w:r w:rsidRPr="00F81D5E">
        <w:t xml:space="preserve"> </w:t>
      </w:r>
      <w:r>
        <w:t>are on hand.</w:t>
      </w:r>
    </w:p>
    <w:p w14:paraId="669DEC12" w14:textId="77777777" w:rsidR="0014066B" w:rsidRDefault="0014066B">
      <w:pPr>
        <w:pStyle w:val="ListBullet"/>
      </w:pPr>
      <w:r>
        <w:t>Supplies needed for the unit modification were entered in VBECS.</w:t>
      </w:r>
    </w:p>
    <w:p w14:paraId="53765FD4" w14:textId="77777777" w:rsidR="002A21AE" w:rsidRDefault="002A21AE">
      <w:pPr>
        <w:pStyle w:val="Heading4"/>
      </w:pPr>
      <w:bookmarkStart w:id="294" w:name="_Toc94349317"/>
      <w:r>
        <w:t>Outcome</w:t>
      </w:r>
      <w:bookmarkEnd w:id="294"/>
    </w:p>
    <w:p w14:paraId="7F473A6D" w14:textId="77777777" w:rsidR="002A21AE" w:rsidRDefault="002A21AE">
      <w:pPr>
        <w:pStyle w:val="ListBullet"/>
      </w:pPr>
      <w:r>
        <w:t>Data generated for an Exception Report are stored for inclusion in the next Exception Report.</w:t>
      </w:r>
    </w:p>
    <w:p w14:paraId="6A9975CF" w14:textId="77777777" w:rsidR="002A21AE" w:rsidRDefault="002A21AE">
      <w:pPr>
        <w:pStyle w:val="ListBullet"/>
      </w:pPr>
      <w:r>
        <w:t>Workload-related data collected as the result of unit modification are stored for inclusion in Workload Reports.</w:t>
      </w:r>
    </w:p>
    <w:p w14:paraId="1C497D1D" w14:textId="77777777" w:rsidR="002A21AE" w:rsidRDefault="002A21AE">
      <w:pPr>
        <w:pStyle w:val="ListBullet"/>
      </w:pPr>
      <w:r>
        <w:t>At the completion of a unit modification, VBECS assigns the original unit a final status of “modified.”</w:t>
      </w:r>
    </w:p>
    <w:p w14:paraId="4A517F20" w14:textId="77777777" w:rsidR="002A21AE" w:rsidRDefault="002A21AE">
      <w:pPr>
        <w:pStyle w:val="ListBullet"/>
      </w:pPr>
      <w:r>
        <w:t>A permanent virtual link exists between the original unit and target units created.</w:t>
      </w:r>
    </w:p>
    <w:p w14:paraId="3386D44E" w14:textId="77777777" w:rsidR="002A21AE" w:rsidRDefault="002A21AE">
      <w:pPr>
        <w:pStyle w:val="ListBullet"/>
      </w:pPr>
      <w:r>
        <w:t>The shipper of the target unit created is the division in which the modification was performed. The cost assigned to the target unit is based on what was defined in Blood Products.</w:t>
      </w:r>
    </w:p>
    <w:p w14:paraId="568B7A78" w14:textId="77777777" w:rsidR="002A21AE" w:rsidRDefault="002A21AE">
      <w:pPr>
        <w:pStyle w:val="Heading4"/>
      </w:pPr>
      <w:bookmarkStart w:id="295" w:name="_Toc94349318"/>
      <w:r>
        <w:t>Limitations and Restrictions</w:t>
      </w:r>
      <w:bookmarkEnd w:id="295"/>
    </w:p>
    <w:p w14:paraId="3FE62808" w14:textId="77777777" w:rsidR="002A21AE" w:rsidRDefault="00CC5F64">
      <w:pPr>
        <w:pStyle w:val="ListBullet"/>
      </w:pPr>
      <w:r>
        <w:t>VBECS allows modification of units only in limited, assigned, crossmatched, and available statuses.</w:t>
      </w:r>
    </w:p>
    <w:p w14:paraId="7B9A9DF5" w14:textId="77777777" w:rsidR="002D6306" w:rsidRPr="004E1DF1" w:rsidRDefault="002D6306" w:rsidP="002D6306">
      <w:pPr>
        <w:pStyle w:val="ListBullet"/>
      </w:pPr>
      <w:r>
        <w:t>VBECS presents the conservative expiration date for target units. VBECS does not know th</w:t>
      </w:r>
      <w:r w:rsidR="008B6D25">
        <w:t xml:space="preserve">e specific collection details. </w:t>
      </w:r>
      <w:r>
        <w:t>It is the responsib</w:t>
      </w:r>
      <w:r w:rsidR="008B6D25">
        <w:t>i</w:t>
      </w:r>
      <w:r>
        <w:t>lity of each user to accurately enter and process any one blood unit based on its expiration date/time as labeled by the collection facility.</w:t>
      </w:r>
      <w:r>
        <w:rPr>
          <w:vanish/>
        </w:rPr>
        <w:t xml:space="preserve"> Task 1324</w:t>
      </w:r>
    </w:p>
    <w:p w14:paraId="75AAC526" w14:textId="2D2C2501" w:rsidR="004E1DF1" w:rsidRPr="0050055B" w:rsidRDefault="004E1DF1" w:rsidP="002D6306">
      <w:pPr>
        <w:pStyle w:val="ListBullet"/>
      </w:pPr>
      <w:r>
        <w:t xml:space="preserve">Pooling of units that have the attribute form </w:t>
      </w:r>
      <w:r>
        <w:rPr>
          <w:rFonts w:cs="Arial"/>
          <w:szCs w:val="18"/>
        </w:rPr>
        <w:t xml:space="preserve">V0013 (irradiated) and attribute </w:t>
      </w:r>
      <w:r w:rsidRPr="00DC60F9">
        <w:rPr>
          <w:rFonts w:cs="Arial"/>
          <w:szCs w:val="18"/>
        </w:rPr>
        <w:t>V0021005</w:t>
      </w:r>
      <w:r>
        <w:rPr>
          <w:rFonts w:cs="Arial"/>
          <w:szCs w:val="18"/>
        </w:rPr>
        <w:t xml:space="preserve"> (psoralen treatment) does not produce a target.</w:t>
      </w:r>
    </w:p>
    <w:p w14:paraId="335A3A77" w14:textId="77777777" w:rsidR="002A21AE" w:rsidRDefault="002A21AE">
      <w:pPr>
        <w:pStyle w:val="Heading4"/>
      </w:pPr>
      <w:bookmarkStart w:id="296" w:name="_Toc94349319"/>
      <w:r>
        <w:t>Additional Information</w:t>
      </w:r>
      <w:bookmarkEnd w:id="296"/>
    </w:p>
    <w:p w14:paraId="2781C438" w14:textId="77777777" w:rsidR="002A21AE" w:rsidRDefault="002A21AE">
      <w:pPr>
        <w:pStyle w:val="ListBullet"/>
      </w:pPr>
      <w:r>
        <w:t>VBECS requires the identification of the transferred-to container when using an open method</w:t>
      </w:r>
      <w:r w:rsidR="00C249B1">
        <w:t xml:space="preserve"> or </w:t>
      </w:r>
      <w:r w:rsidR="00922AD8">
        <w:t>a</w:t>
      </w:r>
      <w:r w:rsidR="00C249B1">
        <w:t xml:space="preserve"> </w:t>
      </w:r>
      <w:r w:rsidR="00AD29E0">
        <w:t>sterile connection</w:t>
      </w:r>
      <w:r w:rsidR="00F17F64">
        <w:t xml:space="preserve"> device (SCD)</w:t>
      </w:r>
      <w:r w:rsidR="00C249B1">
        <w:t>.</w:t>
      </w:r>
    </w:p>
    <w:p w14:paraId="38515BC8" w14:textId="77777777" w:rsidR="002A21AE" w:rsidRDefault="002A21AE">
      <w:pPr>
        <w:pStyle w:val="ListBullet"/>
      </w:pPr>
      <w:r>
        <w:t xml:space="preserve">VBECS requires the identification of the SCD wafer data when using an SCD. </w:t>
      </w:r>
    </w:p>
    <w:p w14:paraId="243ACD6B" w14:textId="77777777" w:rsidR="00B57CCA" w:rsidRDefault="00B57CCA">
      <w:pPr>
        <w:pStyle w:val="ListBullet"/>
      </w:pPr>
      <w:r w:rsidRPr="00B57CCA">
        <w:t xml:space="preserve">When </w:t>
      </w:r>
      <w:r>
        <w:t>a user extends an</w:t>
      </w:r>
      <w:r w:rsidRPr="00B57CCA">
        <w:t xml:space="preserve"> expiration date</w:t>
      </w:r>
      <w:r>
        <w:t xml:space="preserve"> beyond the default expiration date</w:t>
      </w:r>
      <w:r w:rsidRPr="00B57CCA">
        <w:t xml:space="preserve">, </w:t>
      </w:r>
      <w:r>
        <w:t xml:space="preserve">the override message </w:t>
      </w:r>
      <w:r w:rsidRPr="00B57CCA">
        <w:t xml:space="preserve">displays the </w:t>
      </w:r>
      <w:r>
        <w:t xml:space="preserve">original </w:t>
      </w:r>
      <w:r w:rsidRPr="00B57CCA">
        <w:t>expiration date.</w:t>
      </w:r>
    </w:p>
    <w:p w14:paraId="7EE73977" w14:textId="77777777" w:rsidR="002A21AE" w:rsidRDefault="002A21AE">
      <w:pPr>
        <w:pStyle w:val="ListBullet"/>
      </w:pPr>
      <w:r>
        <w:t xml:space="preserve">Due to the variations in supplies </w:t>
      </w:r>
      <w:r w:rsidR="00C249B1">
        <w:t xml:space="preserve">and equipment </w:t>
      </w:r>
      <w:r>
        <w:t>used for other modification types, VBECS does not require supply</w:t>
      </w:r>
      <w:r w:rsidR="00C249B1">
        <w:t xml:space="preserve"> or equipment</w:t>
      </w:r>
      <w:r>
        <w:t xml:space="preserve"> entry</w:t>
      </w:r>
      <w:r w:rsidR="00C249B1">
        <w:t>,</w:t>
      </w:r>
      <w:r>
        <w:t xml:space="preserve"> but allows entry of those data as part of the modification record.</w:t>
      </w:r>
    </w:p>
    <w:p w14:paraId="079481E5" w14:textId="77777777" w:rsidR="002A21AE" w:rsidRDefault="002A21AE">
      <w:pPr>
        <w:pStyle w:val="ListBullet"/>
      </w:pPr>
      <w:r>
        <w:t>During the modification options (Modify Units: Pool Units; Modify Units: Split a Unit; Modify Units), a user may select an assigned blood unit for modification and transfer one patient assignment to the target units created.</w:t>
      </w:r>
    </w:p>
    <w:p w14:paraId="6747E4D0" w14:textId="77777777" w:rsidR="000145FB" w:rsidRDefault="000145FB" w:rsidP="000145FB">
      <w:pPr>
        <w:pStyle w:val="ListBullet"/>
      </w:pPr>
      <w:r>
        <w:t xml:space="preserve">To reverse other modifications, remove the “modified” status from each unit through </w:t>
      </w:r>
      <w:r w:rsidR="00F078F4">
        <w:t xml:space="preserve">Supervisor Menu, </w:t>
      </w:r>
      <w:r>
        <w:t>Remove Final Status.</w:t>
      </w:r>
    </w:p>
    <w:p w14:paraId="4C21E95C" w14:textId="77777777" w:rsidR="003221B7" w:rsidRDefault="003221B7" w:rsidP="000145FB">
      <w:pPr>
        <w:pStyle w:val="ListBullet"/>
      </w:pPr>
      <w:r>
        <w:lastRenderedPageBreak/>
        <w:t>To edit the number of units in a</w:t>
      </w:r>
      <w:r w:rsidR="00892AB1">
        <w:t>n existing pool, use Add/Remove Units from a Pool.</w:t>
      </w:r>
    </w:p>
    <w:p w14:paraId="4C025A8B" w14:textId="165E6A67" w:rsidR="003F0E80" w:rsidRDefault="003F0E80" w:rsidP="000145FB">
      <w:pPr>
        <w:pStyle w:val="ListBullet"/>
      </w:pPr>
      <w:r>
        <w:t>The user can scan to select the target</w:t>
      </w:r>
      <w:r w:rsidR="00A032AC">
        <w:t>,</w:t>
      </w:r>
      <w:r w:rsidR="00110B97">
        <w:t xml:space="preserve"> </w:t>
      </w:r>
      <w:r>
        <w:t>but it will only present the product codes available as a target by VBECS</w:t>
      </w:r>
      <w:r w:rsidR="002F7E19">
        <w:t xml:space="preserve"> (See </w:t>
      </w:r>
      <w:r w:rsidR="00311F17" w:rsidRPr="00423A7F">
        <w:rPr>
          <w:i/>
          <w:iCs/>
        </w:rPr>
        <w:t xml:space="preserve">FAQ </w:t>
      </w:r>
      <w:r w:rsidR="002F7E19" w:rsidRPr="00423A7F">
        <w:rPr>
          <w:i/>
          <w:iCs/>
        </w:rPr>
        <w:t>Modification Target Not Available</w:t>
      </w:r>
      <w:r w:rsidR="002F7E19">
        <w:t>)</w:t>
      </w:r>
      <w:r>
        <w:t>.</w:t>
      </w:r>
    </w:p>
    <w:p w14:paraId="11586476" w14:textId="77777777" w:rsidR="00C61ED6" w:rsidRDefault="00C61ED6" w:rsidP="00C61ED6">
      <w:pPr>
        <w:pStyle w:val="ListBullet"/>
      </w:pPr>
      <w:r>
        <w:t>The user can change the expiration date and time prior to completing bl</w:t>
      </w:r>
      <w:r w:rsidR="00071143">
        <w:t>ood unit’s modification</w:t>
      </w:r>
      <w:r w:rsidR="003502C9">
        <w:t xml:space="preserve">. </w:t>
      </w:r>
      <w:r w:rsidR="003502C9" w:rsidRPr="003502C9">
        <w:rPr>
          <w:vanish/>
        </w:rPr>
        <w:t>Task 618684</w:t>
      </w:r>
    </w:p>
    <w:p w14:paraId="0712ADCE" w14:textId="77777777" w:rsidR="002A21AE" w:rsidRDefault="002A21AE">
      <w:pPr>
        <w:pStyle w:val="Heading4"/>
      </w:pPr>
      <w:bookmarkStart w:id="297" w:name="_Toc94349320"/>
      <w:r>
        <w:t>User Roles with Access to This Option</w:t>
      </w:r>
      <w:bookmarkEnd w:id="297"/>
    </w:p>
    <w:bookmarkEnd w:id="292"/>
    <w:p w14:paraId="72A26E62" w14:textId="77777777" w:rsidR="000D69CE" w:rsidRDefault="000D69CE" w:rsidP="000D69CE">
      <w:pPr>
        <w:pStyle w:val="Roles"/>
        <w:rPr>
          <w:snapToGrid w:val="0"/>
        </w:rPr>
      </w:pPr>
      <w:r>
        <w:t>All users</w:t>
      </w:r>
    </w:p>
    <w:p w14:paraId="5C71886E" w14:textId="77777777" w:rsidR="002A21AE" w:rsidRDefault="002A21AE">
      <w:pPr>
        <w:pStyle w:val="Heading4"/>
      </w:pPr>
      <w:bookmarkStart w:id="298" w:name="OLE_LINK27"/>
      <w:bookmarkStart w:id="299" w:name="OLE_LINK28"/>
      <w:r>
        <w:t>Modify Units</w:t>
      </w:r>
      <w:bookmarkEnd w:id="298"/>
      <w:bookmarkEnd w:id="299"/>
    </w:p>
    <w:p w14:paraId="0A8BD448" w14:textId="77777777" w:rsidR="002A21AE" w:rsidRDefault="002A21AE" w:rsidP="00FA7E65">
      <w:pPr>
        <w:pStyle w:val="BodyText"/>
      </w:pPr>
      <w:r>
        <w:t xml:space="preserve">The user selects the units to be modified. The user indicates the type of modification to be performed, then enters (preferably by scanning) the unit ID and product code. </w:t>
      </w:r>
    </w:p>
    <w:p w14:paraId="315B8C59" w14:textId="77777777" w:rsidR="002A21AE" w:rsidRDefault="002A21AE" w:rsidP="00FA7E65">
      <w:pPr>
        <w:pStyle w:val="BodyText"/>
      </w:pPr>
      <w:r>
        <w:t>VBECS displays a creation date and time (default: current date and time) for the target units, which the user may change to a date and time in the past and not before the login date and time of the original unit. VBECS calculates a new expiration date for the target unit (based on the creation date and time</w:t>
      </w:r>
      <w:r w:rsidR="00C5700C">
        <w:t>, modification type, method, and original unit product type</w:t>
      </w:r>
      <w:r w:rsidR="00B14F35">
        <w:t>)</w:t>
      </w:r>
      <w:r>
        <w:t xml:space="preserve"> and records the date and time the original unit was modified. Some modification procedures require materials in addition to the new container. VBECS requires the entry of a new container lot number and SCD wafer, if indicated. </w:t>
      </w:r>
    </w:p>
    <w:p w14:paraId="20240308" w14:textId="77777777" w:rsidR="002A21AE" w:rsidRDefault="00AA7C63" w:rsidP="00FA7E65">
      <w:pPr>
        <w:pStyle w:val="BodyText"/>
      </w:pPr>
      <w:r>
        <w:t>The modified target unit is now available for use.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6499FB9" w14:textId="77777777">
        <w:trPr>
          <w:tblHeader/>
        </w:trPr>
        <w:tc>
          <w:tcPr>
            <w:tcW w:w="3240" w:type="dxa"/>
            <w:shd w:val="pct30" w:color="auto" w:fill="FFFFFF"/>
            <w:vAlign w:val="bottom"/>
          </w:tcPr>
          <w:p w14:paraId="20951570" w14:textId="77777777" w:rsidR="002A21AE" w:rsidRDefault="002A21AE">
            <w:pPr>
              <w:pStyle w:val="TableText"/>
              <w:rPr>
                <w:b/>
              </w:rPr>
            </w:pPr>
            <w:bookmarkStart w:id="300" w:name="_Toc79478694"/>
            <w:bookmarkStart w:id="301" w:name="_Toc63680363"/>
            <w:r>
              <w:rPr>
                <w:b/>
              </w:rPr>
              <w:t>User Action</w:t>
            </w:r>
          </w:p>
        </w:tc>
        <w:tc>
          <w:tcPr>
            <w:tcW w:w="6120" w:type="dxa"/>
            <w:shd w:val="pct30" w:color="auto" w:fill="FFFFFF"/>
            <w:vAlign w:val="bottom"/>
          </w:tcPr>
          <w:p w14:paraId="126420C3" w14:textId="77777777" w:rsidR="002A21AE" w:rsidRDefault="002A21AE">
            <w:pPr>
              <w:pStyle w:val="TableText"/>
              <w:rPr>
                <w:b/>
              </w:rPr>
            </w:pPr>
            <w:r>
              <w:rPr>
                <w:b/>
              </w:rPr>
              <w:t>VBECS</w:t>
            </w:r>
          </w:p>
        </w:tc>
      </w:tr>
      <w:tr w:rsidR="002A21AE" w14:paraId="2316F43D" w14:textId="77777777">
        <w:tc>
          <w:tcPr>
            <w:tcW w:w="3240" w:type="dxa"/>
          </w:tcPr>
          <w:p w14:paraId="71814F99" w14:textId="77777777" w:rsidR="002A21AE" w:rsidRDefault="002A21AE" w:rsidP="002C6BD1">
            <w:pPr>
              <w:pStyle w:val="TableTextNumbers"/>
            </w:pPr>
            <w:r>
              <w:t xml:space="preserve">Select </w:t>
            </w:r>
            <w:r>
              <w:rPr>
                <w:b/>
              </w:rPr>
              <w:t>Blood Units</w:t>
            </w:r>
            <w:r>
              <w:t xml:space="preserve"> from the main menu. </w:t>
            </w:r>
          </w:p>
          <w:p w14:paraId="08D7A728" w14:textId="77777777" w:rsidR="002A21AE" w:rsidRDefault="002A21AE">
            <w:pPr>
              <w:pStyle w:val="TableTextNumbersContinued"/>
            </w:pPr>
          </w:p>
          <w:p w14:paraId="543465B3" w14:textId="77777777" w:rsidR="002A21AE" w:rsidRDefault="002A21AE">
            <w:pPr>
              <w:pStyle w:val="TableTextNumbersContinued"/>
            </w:pPr>
            <w:r>
              <w:t xml:space="preserve">Select </w:t>
            </w:r>
            <w:r>
              <w:rPr>
                <w:b/>
              </w:rPr>
              <w:t>Modify Units</w:t>
            </w:r>
            <w:r>
              <w:t>.</w:t>
            </w:r>
          </w:p>
        </w:tc>
        <w:tc>
          <w:tcPr>
            <w:tcW w:w="6120" w:type="dxa"/>
          </w:tcPr>
          <w:p w14:paraId="792E5865" w14:textId="77777777" w:rsidR="002A21AE" w:rsidRDefault="002A21AE">
            <w:pPr>
              <w:pStyle w:val="TableTextBullet"/>
            </w:pPr>
            <w:r>
              <w:t>Displays options for processing blood units.</w:t>
            </w:r>
          </w:p>
          <w:p w14:paraId="020208C4" w14:textId="77777777" w:rsidR="002A21AE" w:rsidRDefault="00792C64">
            <w:pPr>
              <w:pStyle w:val="TableTextBullet"/>
            </w:pPr>
            <w:r w:rsidRPr="00792C64">
              <w:rPr>
                <w:vanish/>
                <w:szCs w:val="18"/>
              </w:rPr>
              <w:t>BR_26.32</w:t>
            </w:r>
            <w:r w:rsidR="002B1949">
              <w:rPr>
                <w:vanish/>
                <w:szCs w:val="18"/>
              </w:rPr>
              <w:t xml:space="preserve"> </w:t>
            </w:r>
            <w:r w:rsidR="002A21AE">
              <w:t xml:space="preserve">Displays valid modification options </w:t>
            </w:r>
            <w:r w:rsidR="00794BA2">
              <w:t xml:space="preserve">configured </w:t>
            </w:r>
            <w:r w:rsidR="002A21AE">
              <w:t xml:space="preserve">for the division and allows the user to select an option. </w:t>
            </w:r>
          </w:p>
        </w:tc>
      </w:tr>
      <w:tr w:rsidR="00504CD6" w14:paraId="6AE2BFD7" w14:textId="77777777">
        <w:tc>
          <w:tcPr>
            <w:tcW w:w="3240" w:type="dxa"/>
          </w:tcPr>
          <w:p w14:paraId="42A48202" w14:textId="77777777" w:rsidR="00504CD6" w:rsidRDefault="00504CD6" w:rsidP="00C92722">
            <w:pPr>
              <w:pStyle w:val="TableTextNumbers"/>
            </w:pPr>
            <w:r>
              <w:t>Enter the date and time of the unit modification.</w:t>
            </w:r>
          </w:p>
          <w:p w14:paraId="3C1C59E6" w14:textId="77777777" w:rsidR="00504CD6" w:rsidRDefault="00504CD6" w:rsidP="007C035C">
            <w:pPr>
              <w:pStyle w:val="TableTextNumbersContinued"/>
            </w:pPr>
          </w:p>
          <w:p w14:paraId="26B197DC" w14:textId="77777777" w:rsidR="00504CD6" w:rsidRDefault="00504CD6" w:rsidP="007C035C">
            <w:pPr>
              <w:pStyle w:val="TableTextNumbersContinued"/>
            </w:pPr>
            <w:r>
              <w:t xml:space="preserve">Enter the </w:t>
            </w:r>
            <w:r w:rsidR="007C035C">
              <w:t>name of the user who modifies the unit.</w:t>
            </w:r>
          </w:p>
        </w:tc>
        <w:tc>
          <w:tcPr>
            <w:tcW w:w="6120" w:type="dxa"/>
          </w:tcPr>
          <w:p w14:paraId="061B9B75" w14:textId="77777777" w:rsidR="00504CD6" w:rsidRDefault="00504CD6" w:rsidP="00C92722">
            <w:pPr>
              <w:pStyle w:val="TableTextBullet"/>
            </w:pPr>
            <w:r>
              <w:t xml:space="preserve">Displays the default (current) date and time as the modification date and time. </w:t>
            </w:r>
          </w:p>
          <w:p w14:paraId="6C278462" w14:textId="77777777" w:rsidR="00504CD6" w:rsidRDefault="00504CD6" w:rsidP="00C92722">
            <w:pPr>
              <w:pStyle w:val="TableTextBullet"/>
            </w:pPr>
            <w:r>
              <w:t>Allows the user to change the date and time to a past date and time.</w:t>
            </w:r>
          </w:p>
          <w:p w14:paraId="430E9C3C" w14:textId="77777777" w:rsidR="00504CD6" w:rsidRDefault="00504CD6" w:rsidP="00C92722">
            <w:pPr>
              <w:pStyle w:val="TableText"/>
            </w:pPr>
          </w:p>
          <w:p w14:paraId="228C94B9" w14:textId="2C1D98A8" w:rsidR="00504CD6" w:rsidRDefault="00504CD6" w:rsidP="00C92722">
            <w:pPr>
              <w:pStyle w:val="TableText"/>
              <w:rPr>
                <w:b/>
                <w:bCs/>
                <w:szCs w:val="18"/>
              </w:rPr>
            </w:pPr>
            <w:r>
              <w:rPr>
                <w:b/>
                <w:bCs/>
                <w:szCs w:val="18"/>
              </w:rPr>
              <w:t>NOTES</w:t>
            </w:r>
          </w:p>
          <w:p w14:paraId="06323867" w14:textId="77777777" w:rsidR="00504CD6" w:rsidRDefault="00504CD6" w:rsidP="00C92722">
            <w:pPr>
              <w:pStyle w:val="NotesText"/>
            </w:pPr>
          </w:p>
          <w:p w14:paraId="4FAA8DED" w14:textId="77777777" w:rsidR="00504CD6" w:rsidRDefault="00504CD6" w:rsidP="00C92722">
            <w:pPr>
              <w:pStyle w:val="NotesText"/>
            </w:pPr>
            <w:r>
              <w:rPr>
                <w:rFonts w:cs="Arial"/>
                <w:vanish/>
              </w:rPr>
              <w:t xml:space="preserve">BR_26.01 </w:t>
            </w:r>
            <w:r>
              <w:t>The user may not enter a future date and time.</w:t>
            </w:r>
          </w:p>
          <w:p w14:paraId="5D139403" w14:textId="77777777" w:rsidR="000430E8" w:rsidRDefault="000430E8" w:rsidP="00C92722">
            <w:pPr>
              <w:pStyle w:val="NotesText"/>
            </w:pPr>
          </w:p>
          <w:p w14:paraId="53222BE7" w14:textId="77777777" w:rsidR="000430E8" w:rsidRDefault="000430E8" w:rsidP="000430E8">
            <w:pPr>
              <w:pStyle w:val="NotesText"/>
            </w:pPr>
            <w:r w:rsidRPr="004E2963">
              <w:rPr>
                <w:vanish/>
              </w:rPr>
              <w:t xml:space="preserve">BR_25.57 </w:t>
            </w:r>
            <w:r>
              <w:t>When a unit is modified, the processing fee is added to the cost of a modified unit target.</w:t>
            </w:r>
          </w:p>
          <w:p w14:paraId="60FB1D93" w14:textId="77777777" w:rsidR="000430E8" w:rsidRDefault="000430E8" w:rsidP="000430E8">
            <w:pPr>
              <w:pStyle w:val="NotesText"/>
            </w:pPr>
            <w:r>
              <w:t>A single unit modification has the processing fee added to the target unit.</w:t>
            </w:r>
          </w:p>
          <w:p w14:paraId="1CAA7662" w14:textId="77777777" w:rsidR="000430E8" w:rsidRDefault="000430E8" w:rsidP="000430E8">
            <w:pPr>
              <w:pStyle w:val="NotesText"/>
            </w:pPr>
            <w:r>
              <w:t>When split, the processing fee is divided and a portion is added to each target unit.</w:t>
            </w:r>
          </w:p>
          <w:p w14:paraId="528C493E" w14:textId="77777777" w:rsidR="000430E8" w:rsidRDefault="000430E8" w:rsidP="000430E8">
            <w:pPr>
              <w:pStyle w:val="NotesText"/>
            </w:pPr>
            <w:r>
              <w:t>When pooling, the processing fee is multiplied for each original unit included in the pool.</w:t>
            </w:r>
          </w:p>
        </w:tc>
      </w:tr>
      <w:tr w:rsidR="00504CD6" w14:paraId="4A4AA0B2" w14:textId="77777777" w:rsidTr="001A459B">
        <w:trPr>
          <w:cantSplit/>
          <w:hidden/>
        </w:trPr>
        <w:tc>
          <w:tcPr>
            <w:tcW w:w="3240" w:type="dxa"/>
          </w:tcPr>
          <w:p w14:paraId="17E67FA9" w14:textId="77777777" w:rsidR="00504CD6" w:rsidRDefault="00504CD6" w:rsidP="00C92722">
            <w:pPr>
              <w:pStyle w:val="TableTextNumbers"/>
              <w:rPr>
                <w:b/>
              </w:rPr>
            </w:pPr>
            <w:r>
              <w:rPr>
                <w:rFonts w:cs="Arial"/>
                <w:vanish/>
              </w:rPr>
              <w:lastRenderedPageBreak/>
              <w:t xml:space="preserve">BR_26.10 </w:t>
            </w:r>
            <w:r>
              <w:t>Click a radio button to select a modification type:</w:t>
            </w:r>
            <w:r>
              <w:rPr>
                <w:b/>
              </w:rPr>
              <w:t xml:space="preserve"> </w:t>
            </w:r>
          </w:p>
          <w:p w14:paraId="00BC473F" w14:textId="77777777" w:rsidR="00504CD6" w:rsidRDefault="00504CD6" w:rsidP="004A7B44">
            <w:pPr>
              <w:pStyle w:val="TableTextNumbersBullet"/>
              <w:ind w:left="576" w:hanging="288"/>
            </w:pPr>
            <w:r>
              <w:t xml:space="preserve">Thaw </w:t>
            </w:r>
          </w:p>
          <w:p w14:paraId="5205EEFD" w14:textId="77777777" w:rsidR="00504CD6" w:rsidRDefault="00504CD6" w:rsidP="004A7B44">
            <w:pPr>
              <w:pStyle w:val="TableTextNumbersBullet"/>
              <w:ind w:left="576" w:hanging="288"/>
            </w:pPr>
            <w:r>
              <w:t>Pool (See Modify Units: Pool Units.)</w:t>
            </w:r>
          </w:p>
          <w:p w14:paraId="48AE351B" w14:textId="77777777" w:rsidR="00504CD6" w:rsidRDefault="00504CD6" w:rsidP="004A7B44">
            <w:pPr>
              <w:pStyle w:val="TableTextNumbersBullet"/>
              <w:ind w:left="576" w:hanging="288"/>
            </w:pPr>
            <w:r>
              <w:t>Thaw/Pool Cryo (See Modify Units: Pool Units.)</w:t>
            </w:r>
          </w:p>
          <w:p w14:paraId="5E381FE7" w14:textId="77777777" w:rsidR="00504CD6" w:rsidRDefault="00504CD6" w:rsidP="004A7B44">
            <w:pPr>
              <w:pStyle w:val="TableTextNumbersBullet"/>
              <w:ind w:left="576" w:hanging="288"/>
            </w:pPr>
            <w:r>
              <w:t>Split/Divide (See Modify Units: Split a Unit.)</w:t>
            </w:r>
          </w:p>
          <w:p w14:paraId="2A2CCB9E" w14:textId="77777777" w:rsidR="00504CD6" w:rsidRDefault="00504CD6" w:rsidP="004A7B44">
            <w:pPr>
              <w:pStyle w:val="TableTextNumbersBullet"/>
              <w:ind w:left="576" w:hanging="288"/>
            </w:pPr>
            <w:r>
              <w:t>Irradiate</w:t>
            </w:r>
          </w:p>
          <w:p w14:paraId="138C390E" w14:textId="77777777" w:rsidR="00504CD6" w:rsidRDefault="00504CD6" w:rsidP="004A7B44">
            <w:pPr>
              <w:pStyle w:val="TableTextNumbersBullet"/>
              <w:ind w:left="576" w:hanging="288"/>
            </w:pPr>
            <w:r>
              <w:t>Leukoreduce</w:t>
            </w:r>
          </w:p>
          <w:p w14:paraId="05757A99" w14:textId="77777777" w:rsidR="00504CD6" w:rsidRDefault="00504CD6" w:rsidP="004A7B44">
            <w:pPr>
              <w:pStyle w:val="TableTextNumbersBullet"/>
              <w:ind w:left="576" w:hanging="288"/>
            </w:pPr>
            <w:r>
              <w:t>Volume Reduce</w:t>
            </w:r>
          </w:p>
          <w:p w14:paraId="06ECEF04" w14:textId="77777777" w:rsidR="00504CD6" w:rsidRDefault="00504CD6" w:rsidP="004A7B44">
            <w:pPr>
              <w:pStyle w:val="TableTextNumbersBullet"/>
              <w:ind w:left="576" w:hanging="288"/>
            </w:pPr>
            <w:r>
              <w:t>Wash</w:t>
            </w:r>
          </w:p>
          <w:p w14:paraId="4A9A1F1B" w14:textId="77777777" w:rsidR="00504CD6" w:rsidRDefault="00504CD6" w:rsidP="004A7B44">
            <w:pPr>
              <w:pStyle w:val="TableTextNumbersBullet"/>
              <w:ind w:left="576" w:hanging="288"/>
            </w:pPr>
            <w:r>
              <w:t xml:space="preserve">Rejuvenate </w:t>
            </w:r>
          </w:p>
          <w:p w14:paraId="15A8208F" w14:textId="77777777" w:rsidR="00504CD6" w:rsidRDefault="00504CD6" w:rsidP="004A7B44">
            <w:pPr>
              <w:pStyle w:val="TableTextNumbersBullet"/>
              <w:ind w:left="576" w:hanging="288"/>
            </w:pPr>
            <w:r>
              <w:t xml:space="preserve">Freeze </w:t>
            </w:r>
          </w:p>
          <w:p w14:paraId="6DF5C7F1" w14:textId="77777777" w:rsidR="00504CD6" w:rsidRDefault="00504CD6" w:rsidP="004A7B44">
            <w:pPr>
              <w:pStyle w:val="TableTextNumbersBullet"/>
              <w:ind w:left="576" w:hanging="288"/>
            </w:pPr>
            <w:r>
              <w:t>Deglycerolize</w:t>
            </w:r>
          </w:p>
          <w:p w14:paraId="09045906" w14:textId="77777777" w:rsidR="00504CD6" w:rsidRDefault="00504CD6" w:rsidP="004A7B44">
            <w:pPr>
              <w:pStyle w:val="TableTextNumbersBullet"/>
              <w:ind w:left="576" w:hanging="288"/>
            </w:pPr>
            <w:r>
              <w:t>Add/Remove Units from Pool (See Add/Remove Units from a Pool.)</w:t>
            </w:r>
          </w:p>
        </w:tc>
        <w:tc>
          <w:tcPr>
            <w:tcW w:w="6120" w:type="dxa"/>
          </w:tcPr>
          <w:p w14:paraId="06D7E106" w14:textId="77777777" w:rsidR="00504CD6" w:rsidRDefault="00504CD6" w:rsidP="00C92722">
            <w:pPr>
              <w:pStyle w:val="TableTextBullet"/>
            </w:pPr>
            <w:r>
              <w:t>Allows the user to enter data based on the modification type selected.</w:t>
            </w:r>
          </w:p>
          <w:p w14:paraId="22E04C3E" w14:textId="77777777" w:rsidR="00504CD6" w:rsidRDefault="00504CD6" w:rsidP="00C92722">
            <w:pPr>
              <w:pStyle w:val="TableTextBullet"/>
            </w:pPr>
            <w:r>
              <w:t>Allows the user to select a different processing technologist.</w:t>
            </w:r>
          </w:p>
          <w:p w14:paraId="11D9AEAF" w14:textId="77777777" w:rsidR="00504CD6" w:rsidRDefault="00504CD6" w:rsidP="00C92722">
            <w:pPr>
              <w:pStyle w:val="TableTextBullet"/>
            </w:pPr>
            <w:r>
              <w:t>Displays only modifications enabled for the division.</w:t>
            </w:r>
          </w:p>
          <w:p w14:paraId="670F1FFA" w14:textId="77777777" w:rsidR="00504CD6" w:rsidRDefault="00504CD6" w:rsidP="00C92722">
            <w:pPr>
              <w:pStyle w:val="NotesText"/>
            </w:pPr>
          </w:p>
        </w:tc>
      </w:tr>
      <w:tr w:rsidR="002A21AE" w14:paraId="5C882EB7" w14:textId="77777777">
        <w:tc>
          <w:tcPr>
            <w:tcW w:w="3240" w:type="dxa"/>
          </w:tcPr>
          <w:p w14:paraId="753BC02A" w14:textId="22158006" w:rsidR="0039783A" w:rsidRDefault="0039783A" w:rsidP="0007120F">
            <w:pPr>
              <w:pStyle w:val="TableTextNumbers"/>
            </w:pPr>
            <w:r>
              <w:t>Click a radio button to select a modification method, if required:</w:t>
            </w:r>
          </w:p>
          <w:p w14:paraId="2DDD3C93" w14:textId="0EA22877" w:rsidR="00B87C33" w:rsidRDefault="00B87C33" w:rsidP="00B87C33">
            <w:pPr>
              <w:pStyle w:val="TableTextNumbersBullet"/>
              <w:ind w:left="576" w:hanging="288"/>
            </w:pPr>
            <w:r>
              <w:t>Open</w:t>
            </w:r>
          </w:p>
          <w:p w14:paraId="7DF7210A" w14:textId="3035A87E" w:rsidR="00B87C33" w:rsidRDefault="00B87C33" w:rsidP="00B87C33">
            <w:pPr>
              <w:pStyle w:val="TableTextNumbersBullet"/>
              <w:ind w:left="576" w:hanging="288"/>
            </w:pPr>
            <w:r>
              <w:t>Closed</w:t>
            </w:r>
          </w:p>
          <w:p w14:paraId="158DAE56" w14:textId="016AEBDA" w:rsidR="00B87C33" w:rsidRDefault="00B87C33" w:rsidP="00B87C33">
            <w:pPr>
              <w:pStyle w:val="TableTextNumbersBullet"/>
              <w:ind w:left="576" w:hanging="288"/>
            </w:pPr>
            <w:r>
              <w:t>Sterile Connection Device</w:t>
            </w:r>
          </w:p>
          <w:p w14:paraId="7DE6BAAC" w14:textId="171DBFEB" w:rsidR="00B87C33" w:rsidRDefault="00B87C33" w:rsidP="00B87C33">
            <w:pPr>
              <w:pStyle w:val="TableTextNumbersBullet"/>
              <w:numPr>
                <w:ilvl w:val="0"/>
                <w:numId w:val="0"/>
              </w:numPr>
              <w:ind w:left="288"/>
            </w:pPr>
            <w:r>
              <w:t>(</w:t>
            </w:r>
            <w:r w:rsidR="00EE455E">
              <w:t xml:space="preserve">Figure </w:t>
            </w:r>
            <w:r w:rsidR="00EE455E">
              <w:rPr>
                <w:noProof/>
              </w:rPr>
              <w:t>60</w:t>
            </w:r>
            <w:r>
              <w:t>)</w:t>
            </w:r>
          </w:p>
          <w:p w14:paraId="339F65A3" w14:textId="77777777" w:rsidR="0039783A" w:rsidRDefault="0039783A" w:rsidP="0039783A">
            <w:pPr>
              <w:pStyle w:val="TableTextNumbers"/>
              <w:numPr>
                <w:ilvl w:val="0"/>
                <w:numId w:val="0"/>
              </w:numPr>
            </w:pPr>
          </w:p>
          <w:p w14:paraId="6B923CE0" w14:textId="38BF6886" w:rsidR="00AA3DF4" w:rsidRDefault="0007120F" w:rsidP="00B87C33">
            <w:pPr>
              <w:pStyle w:val="TableTextNumbers"/>
              <w:numPr>
                <w:ilvl w:val="0"/>
                <w:numId w:val="0"/>
              </w:numPr>
              <w:ind w:left="288"/>
            </w:pPr>
            <w:r>
              <w:t xml:space="preserve">Click the </w:t>
            </w:r>
            <w:r w:rsidRPr="00764A64">
              <w:rPr>
                <w:b/>
              </w:rPr>
              <w:t>Weld Complete</w:t>
            </w:r>
            <w:r>
              <w:t xml:space="preserve"> or </w:t>
            </w:r>
            <w:r w:rsidRPr="00764A64">
              <w:rPr>
                <w:b/>
              </w:rPr>
              <w:t xml:space="preserve">Weld Incomplete </w:t>
            </w:r>
            <w:r w:rsidRPr="00BF2E41">
              <w:t>radio button</w:t>
            </w:r>
            <w:r>
              <w:t xml:space="preserve"> to indicate the integrity of the SCD weld, when indicated.</w:t>
            </w:r>
          </w:p>
        </w:tc>
        <w:tc>
          <w:tcPr>
            <w:tcW w:w="6120" w:type="dxa"/>
          </w:tcPr>
          <w:p w14:paraId="64363E41" w14:textId="77777777" w:rsidR="002A21AE" w:rsidRDefault="002A21AE">
            <w:pPr>
              <w:pStyle w:val="TableTextBullet"/>
            </w:pPr>
            <w:r>
              <w:t>Displays the selected method.</w:t>
            </w:r>
          </w:p>
          <w:p w14:paraId="0FFF3E93" w14:textId="77777777" w:rsidR="002A21AE" w:rsidRDefault="002A21AE" w:rsidP="0009404D">
            <w:pPr>
              <w:pStyle w:val="TableText"/>
            </w:pPr>
          </w:p>
          <w:p w14:paraId="4E1043A6" w14:textId="06762B3E" w:rsidR="002A21AE" w:rsidRDefault="002A21AE">
            <w:pPr>
              <w:pStyle w:val="TableText"/>
              <w:rPr>
                <w:b/>
                <w:bCs/>
                <w:szCs w:val="18"/>
              </w:rPr>
            </w:pPr>
            <w:r>
              <w:rPr>
                <w:b/>
                <w:bCs/>
                <w:szCs w:val="18"/>
              </w:rPr>
              <w:t>NOTES</w:t>
            </w:r>
          </w:p>
          <w:p w14:paraId="610024A0" w14:textId="77777777" w:rsidR="002A21AE" w:rsidRDefault="002A21AE">
            <w:pPr>
              <w:pStyle w:val="NotesText"/>
            </w:pPr>
          </w:p>
          <w:p w14:paraId="5D89E87D" w14:textId="77777777" w:rsidR="002A21AE" w:rsidRDefault="002A21AE">
            <w:pPr>
              <w:pStyle w:val="NotesText"/>
            </w:pPr>
            <w:r>
              <w:rPr>
                <w:rFonts w:cs="Arial"/>
                <w:vanish/>
              </w:rPr>
              <w:t xml:space="preserve">BR_26.22 </w:t>
            </w:r>
            <w:r>
              <w:t xml:space="preserve">VBECS stores the date and time for the original unit when it is modified. The </w:t>
            </w:r>
            <w:r w:rsidR="00600F6F">
              <w:t xml:space="preserve">modification </w:t>
            </w:r>
            <w:r>
              <w:t>date and time are also stored as the creation time for the target unit</w:t>
            </w:r>
            <w:r w:rsidR="00071143">
              <w:t xml:space="preserve"> for splits and pools only</w:t>
            </w:r>
            <w:r>
              <w:t>.</w:t>
            </w:r>
          </w:p>
          <w:p w14:paraId="0EA8DF80" w14:textId="77777777" w:rsidR="002A21AE" w:rsidRDefault="002A21AE">
            <w:pPr>
              <w:pStyle w:val="NotesText"/>
            </w:pPr>
          </w:p>
          <w:p w14:paraId="7F92EE0A" w14:textId="77777777" w:rsidR="002A21AE" w:rsidRDefault="002A21AE">
            <w:pPr>
              <w:pStyle w:val="NotesText"/>
            </w:pPr>
            <w:r>
              <w:rPr>
                <w:rFonts w:cs="Arial"/>
                <w:vanish/>
              </w:rPr>
              <w:t xml:space="preserve">BR_26.37 </w:t>
            </w:r>
            <w:r>
              <w:t>When the modification method is “Open” or “Sterile Connection Device (SCD),” the user must select a container supply type. When the modification method is “Closed,” VBECS does not allow the user to select a container supply type.</w:t>
            </w:r>
          </w:p>
          <w:p w14:paraId="42C2ECD8" w14:textId="77777777" w:rsidR="002A21AE" w:rsidRDefault="002A21AE">
            <w:pPr>
              <w:pStyle w:val="NotesText"/>
            </w:pPr>
          </w:p>
          <w:p w14:paraId="4B04F402" w14:textId="77777777" w:rsidR="002A21AE" w:rsidRDefault="002A21AE">
            <w:pPr>
              <w:pStyle w:val="NotesText"/>
            </w:pPr>
            <w:r>
              <w:rPr>
                <w:rFonts w:cs="Arial"/>
                <w:vanish/>
              </w:rPr>
              <w:t xml:space="preserve">BR_26.30 </w:t>
            </w:r>
            <w:r>
              <w:t>For an SCD modification method, the user must indicate the completeness of the weld</w:t>
            </w:r>
            <w:r w:rsidR="00725E6E">
              <w:t>, in accordance with local policy and procedures. VBECS defines weld status</w:t>
            </w:r>
            <w:r w:rsidR="007E2543">
              <w:t xml:space="preserve"> as</w:t>
            </w:r>
            <w:r>
              <w:t xml:space="preserve">: </w:t>
            </w:r>
          </w:p>
          <w:p w14:paraId="1811CCE4" w14:textId="77777777" w:rsidR="00396A5D" w:rsidRDefault="002A21AE" w:rsidP="00396A5D">
            <w:pPr>
              <w:pStyle w:val="NotesTextBullet"/>
            </w:pPr>
            <w:r>
              <w:t>Complete: the weld is complete and has no leakage or air bubbles.</w:t>
            </w:r>
          </w:p>
          <w:p w14:paraId="7DEE0A56" w14:textId="77777777" w:rsidR="002A21AE" w:rsidRDefault="002A21AE" w:rsidP="00396A5D">
            <w:pPr>
              <w:pStyle w:val="NotesTextBullet"/>
            </w:pPr>
            <w:r>
              <w:t>Incomplete: the weld has a leak or air bubbles are present.</w:t>
            </w:r>
            <w:r w:rsidR="00396A5D">
              <w:t xml:space="preserve"> </w:t>
            </w:r>
            <w:r>
              <w:t xml:space="preserve">VBECS changes the expiration date and time of the unit to those of an open system for that product type. VBECS stores this weld check with the </w:t>
            </w:r>
            <w:r w:rsidR="0051757B">
              <w:t>historic</w:t>
            </w:r>
            <w:r>
              <w:t xml:space="preserve"> record of the target unit created in the modification.</w:t>
            </w:r>
          </w:p>
          <w:p w14:paraId="300F7855" w14:textId="77777777" w:rsidR="0039034C" w:rsidRDefault="0039034C" w:rsidP="004E2963">
            <w:pPr>
              <w:pStyle w:val="NotesText"/>
            </w:pPr>
            <w:r>
              <w:t>The system store</w:t>
            </w:r>
            <w:r w:rsidR="004E2963">
              <w:t>s</w:t>
            </w:r>
            <w:r>
              <w:t xml:space="preserve"> this weld check with the longitudinal record of the target unit </w:t>
            </w:r>
            <w:r w:rsidR="004E2963">
              <w:t>created</w:t>
            </w:r>
            <w:r>
              <w:t>.</w:t>
            </w:r>
          </w:p>
        </w:tc>
      </w:tr>
      <w:tr w:rsidR="002A21AE" w14:paraId="2AFDE545" w14:textId="77777777">
        <w:tc>
          <w:tcPr>
            <w:tcW w:w="3240" w:type="dxa"/>
          </w:tcPr>
          <w:p w14:paraId="6F751A83" w14:textId="77777777" w:rsidR="002A21AE" w:rsidRDefault="00764A64">
            <w:pPr>
              <w:pStyle w:val="TableTextNumbers"/>
            </w:pPr>
            <w:r>
              <w:t xml:space="preserve">Click </w:t>
            </w:r>
            <w:r w:rsidRPr="00764A64">
              <w:rPr>
                <w:b/>
              </w:rPr>
              <w:t>OK</w:t>
            </w:r>
            <w:r>
              <w:t xml:space="preserve"> to a</w:t>
            </w:r>
            <w:r w:rsidR="002A21AE">
              <w:t xml:space="preserve">ccept </w:t>
            </w:r>
            <w:r w:rsidR="00403743">
              <w:t>the selected method</w:t>
            </w:r>
            <w:r>
              <w:t xml:space="preserve">, </w:t>
            </w:r>
            <w:r w:rsidR="002A21AE">
              <w:t xml:space="preserve">or edit </w:t>
            </w:r>
            <w:r>
              <w:t>it</w:t>
            </w:r>
            <w:r w:rsidR="002A21AE">
              <w:t>.</w:t>
            </w:r>
          </w:p>
        </w:tc>
        <w:tc>
          <w:tcPr>
            <w:tcW w:w="6120" w:type="dxa"/>
          </w:tcPr>
          <w:p w14:paraId="7A871357" w14:textId="77777777" w:rsidR="002A21AE" w:rsidRDefault="002A21AE">
            <w:pPr>
              <w:pStyle w:val="TableTextBullet"/>
            </w:pPr>
            <w:r>
              <w:t>Allows the user to scan, enter, or select units to modify.</w:t>
            </w:r>
          </w:p>
        </w:tc>
      </w:tr>
      <w:tr w:rsidR="002A21AE" w14:paraId="51C12A53" w14:textId="77777777" w:rsidTr="006C058D">
        <w:trPr>
          <w:cantSplit/>
        </w:trPr>
        <w:tc>
          <w:tcPr>
            <w:tcW w:w="3240" w:type="dxa"/>
          </w:tcPr>
          <w:p w14:paraId="69515ADC" w14:textId="77777777" w:rsidR="002A21AE" w:rsidRDefault="002A21AE">
            <w:pPr>
              <w:pStyle w:val="TableTextNumbers"/>
            </w:pPr>
            <w:r>
              <w:lastRenderedPageBreak/>
              <w:t>Scan, enter, or select the ID and product code of the unit to be modified.</w:t>
            </w:r>
          </w:p>
        </w:tc>
        <w:tc>
          <w:tcPr>
            <w:tcW w:w="6120" w:type="dxa"/>
          </w:tcPr>
          <w:p w14:paraId="71179F1B" w14:textId="77777777" w:rsidR="002A21AE" w:rsidRDefault="002A21AE">
            <w:pPr>
              <w:pStyle w:val="TableTextBullet"/>
            </w:pPr>
            <w:r>
              <w:t>Displays current data for the selected unit.</w:t>
            </w:r>
          </w:p>
          <w:p w14:paraId="323FD24F" w14:textId="77777777" w:rsidR="002A21AE" w:rsidRDefault="002A21AE">
            <w:pPr>
              <w:pStyle w:val="TableTextBullet"/>
            </w:pPr>
            <w:r>
              <w:t>Verifies the appropriateness of the selected unit based on system rules and truth tables and displays error and warning messages based on the modification type selected and the user’s security level.</w:t>
            </w:r>
          </w:p>
          <w:p w14:paraId="5573F225" w14:textId="77777777" w:rsidR="002A21AE" w:rsidRDefault="002A21AE">
            <w:pPr>
              <w:pStyle w:val="TableTextBullet"/>
            </w:pPr>
            <w:r>
              <w:t>Prompts the user to continue with the selected unit or select a new unit based on the data in the review window.</w:t>
            </w:r>
          </w:p>
          <w:p w14:paraId="5C1D604A" w14:textId="77777777" w:rsidR="002A21AE" w:rsidRDefault="002A21AE">
            <w:pPr>
              <w:pStyle w:val="TableText"/>
            </w:pPr>
          </w:p>
          <w:p w14:paraId="6E03D178" w14:textId="7E65A490" w:rsidR="002A21AE" w:rsidRDefault="002A21AE">
            <w:pPr>
              <w:pStyle w:val="TableText"/>
              <w:rPr>
                <w:b/>
                <w:bCs/>
                <w:szCs w:val="18"/>
              </w:rPr>
            </w:pPr>
            <w:r>
              <w:rPr>
                <w:b/>
                <w:bCs/>
                <w:szCs w:val="18"/>
              </w:rPr>
              <w:t>NOTES</w:t>
            </w:r>
          </w:p>
          <w:p w14:paraId="2387D996" w14:textId="77777777" w:rsidR="002A21AE" w:rsidRDefault="002A21AE">
            <w:pPr>
              <w:pStyle w:val="NotesText"/>
            </w:pPr>
          </w:p>
          <w:p w14:paraId="2DB32609" w14:textId="31E3E320" w:rsidR="002A21AE" w:rsidRDefault="002A21AE">
            <w:pPr>
              <w:pStyle w:val="NotesText"/>
              <w:rPr>
                <w:rFonts w:cs="Arial"/>
              </w:rPr>
            </w:pPr>
            <w:r>
              <w:rPr>
                <w:rFonts w:cs="Arial"/>
                <w:vanish/>
              </w:rPr>
              <w:t xml:space="preserve">BR_26.43 </w:t>
            </w:r>
            <w:r w:rsidR="0039034C" w:rsidRPr="00CF3A1F">
              <w:rPr>
                <w:rFonts w:cs="Arial"/>
              </w:rPr>
              <w:t>The modification</w:t>
            </w:r>
            <w:r w:rsidR="0039034C">
              <w:rPr>
                <w:rFonts w:cs="Arial"/>
              </w:rPr>
              <w:t xml:space="preserve"> types</w:t>
            </w:r>
            <w:r w:rsidR="0039034C" w:rsidRPr="00CF3A1F">
              <w:rPr>
                <w:rFonts w:cs="Arial"/>
              </w:rPr>
              <w:t xml:space="preserve"> are </w:t>
            </w:r>
            <w:r w:rsidR="0039034C">
              <w:rPr>
                <w:rFonts w:cs="Arial"/>
              </w:rPr>
              <w:t>presented in the</w:t>
            </w:r>
            <w:r w:rsidR="00F14DF3">
              <w:rPr>
                <w:rFonts w:cs="Arial"/>
              </w:rPr>
              <w:t xml:space="preserve"> sort order displayed</w:t>
            </w:r>
            <w:r w:rsidR="0039034C">
              <w:rPr>
                <w:rFonts w:cs="Arial"/>
              </w:rPr>
              <w:t xml:space="preserve"> followed by </w:t>
            </w:r>
            <w:r w:rsidR="0039034C" w:rsidRPr="009E0726">
              <w:rPr>
                <w:rFonts w:cs="Arial"/>
              </w:rPr>
              <w:t>Add/Remove Units from Pool</w:t>
            </w:r>
            <w:r w:rsidR="0039034C">
              <w:rPr>
                <w:rFonts w:cs="Arial"/>
              </w:rPr>
              <w:t>.</w:t>
            </w:r>
          </w:p>
          <w:p w14:paraId="0E8D0C82" w14:textId="77777777" w:rsidR="006F799E" w:rsidRDefault="006F799E">
            <w:pPr>
              <w:pStyle w:val="NotesText"/>
            </w:pPr>
          </w:p>
          <w:p w14:paraId="2EB53BDC" w14:textId="77777777" w:rsidR="00B00DEF" w:rsidRDefault="00B00DEF" w:rsidP="00B00DEF">
            <w:pPr>
              <w:pStyle w:val="NotesText"/>
            </w:pPr>
            <w:r>
              <w:rPr>
                <w:rFonts w:cs="Arial"/>
                <w:vanish/>
              </w:rPr>
              <w:t xml:space="preserve">BR_5.03 </w:t>
            </w:r>
            <w:r>
              <w:t xml:space="preserve">The user may select only active units and those not in an inactive or final status. </w:t>
            </w:r>
          </w:p>
          <w:p w14:paraId="79C624CF" w14:textId="77777777" w:rsidR="002A21AE" w:rsidRDefault="002A21AE">
            <w:pPr>
              <w:pStyle w:val="NotesText"/>
            </w:pPr>
          </w:p>
          <w:p w14:paraId="417F1AC0" w14:textId="77777777" w:rsidR="002A21AE" w:rsidRDefault="002A21AE">
            <w:pPr>
              <w:pStyle w:val="NotesText"/>
            </w:pPr>
            <w:r w:rsidRPr="00636659">
              <w:rPr>
                <w:rFonts w:cs="Arial"/>
                <w:vanish/>
                <w:color w:val="0000FF"/>
              </w:rPr>
              <w:t>BR_26.33</w:t>
            </w:r>
            <w:r>
              <w:rPr>
                <w:rFonts w:cs="Arial"/>
                <w:vanish/>
              </w:rPr>
              <w:t xml:space="preserve"> </w:t>
            </w:r>
            <w:r>
              <w:t>When the user selects a status other than “limited,” “available,” “assigned,” or “crossmatched” for an original unit, VBECS warns the user. There is no override.</w:t>
            </w:r>
          </w:p>
          <w:p w14:paraId="443213D6" w14:textId="77777777" w:rsidR="002A21AE" w:rsidRDefault="002A21AE">
            <w:pPr>
              <w:pStyle w:val="NotesText"/>
            </w:pPr>
          </w:p>
          <w:p w14:paraId="502FDBA6" w14:textId="0DBDBAB0" w:rsidR="002A21AE" w:rsidRDefault="002A21AE">
            <w:pPr>
              <w:pStyle w:val="NotesText"/>
            </w:pPr>
            <w:r w:rsidRPr="00FD2A6F">
              <w:rPr>
                <w:rFonts w:cs="Arial"/>
                <w:vanish/>
                <w:color w:val="0000FF"/>
              </w:rPr>
              <w:t>BR_26.36</w:t>
            </w:r>
            <w:r>
              <w:rPr>
                <w:rFonts w:cs="Arial"/>
                <w:vanish/>
              </w:rPr>
              <w:t xml:space="preserve"> </w:t>
            </w:r>
            <w:r>
              <w:t>When the selected unit is not appropriate for the modification type selected, VBECS warns the user and instructs him to verify the selected unit and modification type. There is no override. When the unit is expired or quarantined, VBECS displays an error message.</w:t>
            </w:r>
            <w:r w:rsidR="00643699">
              <w:t xml:space="preserve"> </w:t>
            </w:r>
            <w:r w:rsidR="00643699">
              <w:rPr>
                <w:rFonts w:cs="Arial"/>
                <w:szCs w:val="18"/>
              </w:rPr>
              <w:t>When multiple selected units that individually may be pooled or thaw/pooled, but together do not have a target product, the system does not display this warning message.</w:t>
            </w:r>
            <w:r w:rsidR="001B5B84">
              <w:rPr>
                <w:rFonts w:cs="Arial"/>
                <w:szCs w:val="18"/>
              </w:rPr>
              <w:t xml:space="preserve"> </w:t>
            </w:r>
            <w:r w:rsidR="00DE7D81" w:rsidRPr="00DE7D81">
              <w:rPr>
                <w:rFonts w:cs="Arial"/>
                <w:vanish/>
                <w:szCs w:val="18"/>
              </w:rPr>
              <w:t>Task 733924</w:t>
            </w:r>
          </w:p>
          <w:p w14:paraId="570A4027" w14:textId="77777777" w:rsidR="002A21AE" w:rsidRDefault="002A21AE">
            <w:pPr>
              <w:pStyle w:val="NotesText"/>
            </w:pPr>
          </w:p>
          <w:p w14:paraId="3F4BF1A2" w14:textId="77777777" w:rsidR="002A21AE" w:rsidRDefault="002A21AE">
            <w:pPr>
              <w:pStyle w:val="NotesText"/>
            </w:pPr>
            <w:r>
              <w:rPr>
                <w:rFonts w:cs="Arial"/>
                <w:vanish/>
              </w:rPr>
              <w:t xml:space="preserve">BR_26.09 </w:t>
            </w:r>
            <w:r>
              <w:t>The user may select units containing red blood cells chosen for rejuvenation within three full days past their labeled expiration date. (For example, when a unit’s expiration date is the current day, VBECS counts this day as “day 0,” the next day as “day 1,” etc. The last acceptable date and time for selection is day 3 at 23:59). After this three-day period, VBECS considers the unit to be expired.</w:t>
            </w:r>
          </w:p>
          <w:p w14:paraId="5F81A90B" w14:textId="77777777" w:rsidR="002A21AE" w:rsidRDefault="002A21AE">
            <w:pPr>
              <w:pStyle w:val="NotesText"/>
            </w:pPr>
          </w:p>
          <w:p w14:paraId="0C3EF8FF" w14:textId="77777777" w:rsidR="002A21AE" w:rsidRDefault="002A21AE">
            <w:pPr>
              <w:pStyle w:val="NotesText"/>
            </w:pPr>
            <w:r>
              <w:rPr>
                <w:rFonts w:cs="Arial"/>
                <w:vanish/>
              </w:rPr>
              <w:t xml:space="preserve">BR_26.41 </w:t>
            </w:r>
            <w:r>
              <w:t>When the modification type is “volume reduce,” VBECS records the discarded plasma volume on the unit record. Otherwise, the user may not edit the Discarded Plasma Volume field. The discarded plasma volume may not be “0” (zero).</w:t>
            </w:r>
          </w:p>
          <w:p w14:paraId="66E2F4A0" w14:textId="77777777" w:rsidR="008847B8" w:rsidRDefault="008847B8">
            <w:pPr>
              <w:pStyle w:val="NotesText"/>
            </w:pPr>
          </w:p>
          <w:p w14:paraId="2BCF7B7D" w14:textId="27AA20FB" w:rsidR="002A21AE" w:rsidRDefault="002A21AE" w:rsidP="006A576D">
            <w:pPr>
              <w:pStyle w:val="NotesText"/>
            </w:pPr>
            <w:r w:rsidRPr="00896F17">
              <w:rPr>
                <w:rStyle w:val="BullhornChar"/>
              </w:rPr>
              <w:t></w:t>
            </w:r>
            <w:r w:rsidR="00C51C45" w:rsidRPr="00C51C45">
              <w:t xml:space="preserve"> </w:t>
            </w:r>
            <w:r>
              <w:t xml:space="preserve">See </w:t>
            </w:r>
            <w:r w:rsidR="00EE455E">
              <w:t xml:space="preserve">Table </w:t>
            </w:r>
            <w:r w:rsidR="00EE455E">
              <w:rPr>
                <w:noProof/>
              </w:rPr>
              <w:t>5</w:t>
            </w:r>
            <w:r w:rsidR="006A576D">
              <w:t xml:space="preserve"> </w:t>
            </w:r>
            <w:r>
              <w:t>for alerts that may occur during this option.</w:t>
            </w:r>
          </w:p>
        </w:tc>
      </w:tr>
      <w:tr w:rsidR="002A21AE" w14:paraId="3CC50B97" w14:textId="77777777">
        <w:tc>
          <w:tcPr>
            <w:tcW w:w="3240" w:type="dxa"/>
          </w:tcPr>
          <w:p w14:paraId="7A8189AA" w14:textId="77777777" w:rsidR="002A21AE" w:rsidRDefault="00764A64">
            <w:pPr>
              <w:pStyle w:val="TableTextNumbers"/>
            </w:pPr>
            <w:r>
              <w:t xml:space="preserve">Click </w:t>
            </w:r>
            <w:r w:rsidRPr="00764A64">
              <w:rPr>
                <w:b/>
              </w:rPr>
              <w:t>OK</w:t>
            </w:r>
            <w:r>
              <w:t xml:space="preserve"> to accept </w:t>
            </w:r>
            <w:r w:rsidR="002A21AE">
              <w:t xml:space="preserve">the unit for modification. </w:t>
            </w:r>
          </w:p>
        </w:tc>
        <w:tc>
          <w:tcPr>
            <w:tcW w:w="6120" w:type="dxa"/>
          </w:tcPr>
          <w:p w14:paraId="568B44F4" w14:textId="77777777" w:rsidR="002A21AE" w:rsidRDefault="002A21AE">
            <w:pPr>
              <w:pStyle w:val="TableTextBullet"/>
            </w:pPr>
            <w:r>
              <w:t xml:space="preserve">When the modification type is “thaw” or “irradiate,” </w:t>
            </w:r>
            <w:r w:rsidR="00971715">
              <w:t>allows</w:t>
            </w:r>
            <w:r>
              <w:t xml:space="preserve"> the user to select additional units to process or to continue processing the selected units. Otherwise, go to Step 8.</w:t>
            </w:r>
          </w:p>
          <w:p w14:paraId="37E12AC5" w14:textId="77777777" w:rsidR="002A21AE" w:rsidRDefault="002A21AE">
            <w:pPr>
              <w:pStyle w:val="TableText"/>
            </w:pPr>
          </w:p>
          <w:p w14:paraId="54329125" w14:textId="1C672D9D" w:rsidR="002A21AE" w:rsidRDefault="002A21AE">
            <w:pPr>
              <w:pStyle w:val="TableText"/>
              <w:rPr>
                <w:b/>
                <w:bCs/>
                <w:szCs w:val="18"/>
              </w:rPr>
            </w:pPr>
            <w:r>
              <w:rPr>
                <w:b/>
                <w:bCs/>
                <w:szCs w:val="18"/>
              </w:rPr>
              <w:t>NOTES</w:t>
            </w:r>
          </w:p>
          <w:p w14:paraId="32F72085" w14:textId="77777777" w:rsidR="002A21AE" w:rsidRDefault="002A21AE">
            <w:pPr>
              <w:pStyle w:val="NotesText"/>
            </w:pPr>
          </w:p>
          <w:p w14:paraId="4DA74D41" w14:textId="77777777" w:rsidR="002A21AE" w:rsidRDefault="002A21AE">
            <w:pPr>
              <w:pStyle w:val="NotesText"/>
            </w:pPr>
            <w:r>
              <w:rPr>
                <w:rFonts w:cs="Arial"/>
                <w:vanish/>
              </w:rPr>
              <w:t xml:space="preserve">BR_26.02 </w:t>
            </w:r>
            <w:r>
              <w:t>The user may process multiple products in a batch when the units are thawed or irradiated. The creation date and time apply to all units in the batch.</w:t>
            </w:r>
          </w:p>
          <w:p w14:paraId="264BA6A2" w14:textId="77777777" w:rsidR="003C1A05" w:rsidRDefault="003C1A05">
            <w:pPr>
              <w:pStyle w:val="NotesText"/>
            </w:pPr>
          </w:p>
          <w:p w14:paraId="3F445D88" w14:textId="77777777" w:rsidR="003C1A05" w:rsidRDefault="003C1A05" w:rsidP="003C1A05">
            <w:pPr>
              <w:pStyle w:val="NotesText"/>
            </w:pPr>
            <w:r w:rsidRPr="003C1A05">
              <w:rPr>
                <w:vanish/>
              </w:rPr>
              <w:t xml:space="preserve">BR_29.04 </w:t>
            </w:r>
            <w:r w:rsidR="000A126F">
              <w:t>VBECS</w:t>
            </w:r>
            <w:r>
              <w:t xml:space="preserve"> record</w:t>
            </w:r>
            <w:r w:rsidR="000A126F">
              <w:t xml:space="preserve">s the </w:t>
            </w:r>
            <w:r>
              <w:t>codes/costs assigned or unassigned with a date/time stam</w:t>
            </w:r>
            <w:r w:rsidR="000A126F">
              <w:t xml:space="preserve">p and the user ID and </w:t>
            </w:r>
            <w:r>
              <w:t>user name on any reports of the person creating the update.</w:t>
            </w:r>
          </w:p>
        </w:tc>
      </w:tr>
      <w:tr w:rsidR="002A21AE" w14:paraId="4A948136" w14:textId="77777777" w:rsidTr="006C058D">
        <w:trPr>
          <w:cantSplit/>
        </w:trPr>
        <w:tc>
          <w:tcPr>
            <w:tcW w:w="3240" w:type="dxa"/>
          </w:tcPr>
          <w:p w14:paraId="287B3CC7" w14:textId="78E5D9D5" w:rsidR="002A21AE" w:rsidRDefault="00F437F8" w:rsidP="00751755">
            <w:pPr>
              <w:pStyle w:val="TableTextNumbers"/>
            </w:pPr>
            <w:r>
              <w:lastRenderedPageBreak/>
              <w:t xml:space="preserve">Click the </w:t>
            </w:r>
            <w:r w:rsidRPr="00751755">
              <w:rPr>
                <w:b/>
              </w:rPr>
              <w:t>Container</w:t>
            </w:r>
            <w:r>
              <w:t xml:space="preserve">, </w:t>
            </w:r>
            <w:r w:rsidRPr="00751755">
              <w:rPr>
                <w:b/>
              </w:rPr>
              <w:t>Supplies</w:t>
            </w:r>
            <w:r w:rsidRPr="007B7DEC">
              <w:t>,</w:t>
            </w:r>
            <w:r w:rsidR="0023261D">
              <w:t xml:space="preserve"> </w:t>
            </w:r>
            <w:r w:rsidRPr="00751755">
              <w:rPr>
                <w:b/>
              </w:rPr>
              <w:t>Equipment</w:t>
            </w:r>
            <w:r w:rsidRPr="007B7DEC">
              <w:t>, or</w:t>
            </w:r>
            <w:r w:rsidRPr="00751755">
              <w:rPr>
                <w:b/>
              </w:rPr>
              <w:t xml:space="preserve"> SCD Wafer </w:t>
            </w:r>
            <w:r w:rsidRPr="00CC3C89">
              <w:t>tab</w:t>
            </w:r>
            <w:r w:rsidR="00764A64" w:rsidRPr="00CC3C89">
              <w:t xml:space="preserve"> </w:t>
            </w:r>
            <w:r w:rsidR="00764A64">
              <w:t>and enter</w:t>
            </w:r>
            <w:r w:rsidR="002A21AE">
              <w:t xml:space="preserve"> </w:t>
            </w:r>
            <w:r w:rsidR="00764A64">
              <w:t>an</w:t>
            </w:r>
            <w:r w:rsidR="002A21AE">
              <w:t>other supply and</w:t>
            </w:r>
            <w:r w:rsidR="00764A64">
              <w:t>/</w:t>
            </w:r>
            <w:r w:rsidR="002A21AE">
              <w:t>or equipment lot or ID number</w:t>
            </w:r>
            <w:r w:rsidR="00443BD5">
              <w:t xml:space="preserve"> (</w:t>
            </w:r>
            <w:r w:rsidR="00EE455E">
              <w:t xml:space="preserve">Figure </w:t>
            </w:r>
            <w:r w:rsidR="00EE455E">
              <w:rPr>
                <w:noProof/>
              </w:rPr>
              <w:t>61</w:t>
            </w:r>
            <w:r w:rsidR="00443BD5">
              <w:t>)</w:t>
            </w:r>
            <w:r w:rsidR="002A21AE">
              <w:t xml:space="preserve">. </w:t>
            </w:r>
          </w:p>
          <w:p w14:paraId="1AD7712B" w14:textId="77777777" w:rsidR="002A21AE" w:rsidRDefault="002A21AE">
            <w:pPr>
              <w:pStyle w:val="TableTextNumbers"/>
              <w:numPr>
                <w:ilvl w:val="0"/>
                <w:numId w:val="0"/>
              </w:numPr>
            </w:pPr>
          </w:p>
        </w:tc>
        <w:tc>
          <w:tcPr>
            <w:tcW w:w="6120" w:type="dxa"/>
          </w:tcPr>
          <w:p w14:paraId="561D2E0D" w14:textId="77777777" w:rsidR="002A21AE" w:rsidRDefault="002A21AE">
            <w:pPr>
              <w:pStyle w:val="TableTextBullet"/>
            </w:pPr>
            <w:r>
              <w:t>Calculates and displays a default expiration date and time of the target unit based on rules specific to the original blood product, the modification type, and processing conditions (open, closed); prompts the user to accept the date and time; and allows the user to edit them.</w:t>
            </w:r>
          </w:p>
          <w:p w14:paraId="387C81BD" w14:textId="77777777" w:rsidR="002A21AE" w:rsidRDefault="002A21AE">
            <w:pPr>
              <w:pStyle w:val="TableText"/>
            </w:pPr>
          </w:p>
          <w:p w14:paraId="1B8A0169" w14:textId="3D4D98E8" w:rsidR="002A21AE" w:rsidRDefault="002A21AE">
            <w:pPr>
              <w:pStyle w:val="TableText"/>
              <w:rPr>
                <w:b/>
                <w:bCs/>
                <w:szCs w:val="18"/>
              </w:rPr>
            </w:pPr>
            <w:r>
              <w:rPr>
                <w:b/>
                <w:bCs/>
                <w:szCs w:val="18"/>
              </w:rPr>
              <w:t>NOTES</w:t>
            </w:r>
          </w:p>
          <w:p w14:paraId="1864D324" w14:textId="77777777" w:rsidR="002A21AE" w:rsidRDefault="002A21AE">
            <w:pPr>
              <w:pStyle w:val="NotesText"/>
            </w:pPr>
          </w:p>
          <w:p w14:paraId="6F04D62E" w14:textId="77777777" w:rsidR="002A21AE" w:rsidRDefault="002A21AE">
            <w:pPr>
              <w:pStyle w:val="NotesText"/>
            </w:pPr>
            <w:r>
              <w:rPr>
                <w:rFonts w:cs="Arial"/>
                <w:vanish/>
              </w:rPr>
              <w:t xml:space="preserve">BR_26.31 </w:t>
            </w:r>
            <w:r>
              <w:t xml:space="preserve">VBECS maintains lot and ID numbers entered, the new container lot number in the unit modification record, and the </w:t>
            </w:r>
            <w:r w:rsidR="0051757B">
              <w:t>historic</w:t>
            </w:r>
            <w:r>
              <w:t xml:space="preserve"> record of the target unit.</w:t>
            </w:r>
          </w:p>
          <w:p w14:paraId="27999534" w14:textId="77777777" w:rsidR="002A21AE" w:rsidRDefault="002A21AE">
            <w:pPr>
              <w:pStyle w:val="NotesText"/>
            </w:pPr>
          </w:p>
          <w:p w14:paraId="49FDB459" w14:textId="77777777" w:rsidR="002A21AE" w:rsidRDefault="002A21AE">
            <w:pPr>
              <w:pStyle w:val="NotesText"/>
            </w:pPr>
            <w:r w:rsidRPr="009174D5">
              <w:rPr>
                <w:rFonts w:cs="Arial"/>
                <w:vanish/>
              </w:rPr>
              <w:t>BR_26.45</w:t>
            </w:r>
            <w:r>
              <w:rPr>
                <w:rFonts w:cs="Arial"/>
                <w:vanish/>
              </w:rPr>
              <w:t xml:space="preserve"> </w:t>
            </w:r>
            <w:r>
              <w:t>VBECS checks the inventory system for the supply name, lot numbers, expiration date, and a quantity greater than “0” (zero). VBECS does not allow the user to select supplies with an “unsatisfactory” value in the Inspection field. When the user enters an unsatisfactory supply lot number, VBECS warns the user. The user must select a different supply item.</w:t>
            </w:r>
          </w:p>
          <w:p w14:paraId="24FC869C" w14:textId="77777777" w:rsidR="002A21AE" w:rsidRDefault="002A21AE">
            <w:pPr>
              <w:pStyle w:val="NotesText"/>
            </w:pPr>
          </w:p>
          <w:p w14:paraId="06C4E511" w14:textId="6C1C5154" w:rsidR="002A21AE" w:rsidRDefault="00C51C45" w:rsidP="006A576D">
            <w:pPr>
              <w:pStyle w:val="NotesText"/>
            </w:pPr>
            <w:r w:rsidRPr="00896F17">
              <w:rPr>
                <w:rStyle w:val="BullhornChar"/>
              </w:rPr>
              <w:t></w:t>
            </w:r>
            <w:r w:rsidRPr="00C51C45">
              <w:t xml:space="preserve"> </w:t>
            </w:r>
            <w:r>
              <w:t>See</w:t>
            </w:r>
            <w:r w:rsidR="002A21AE">
              <w:t xml:space="preserve"> </w:t>
            </w:r>
            <w:r w:rsidR="00EE455E">
              <w:t xml:space="preserve">Table </w:t>
            </w:r>
            <w:r w:rsidR="00EE455E">
              <w:rPr>
                <w:noProof/>
              </w:rPr>
              <w:t>5</w:t>
            </w:r>
            <w:r w:rsidR="006A576D">
              <w:t xml:space="preserve"> </w:t>
            </w:r>
            <w:r w:rsidR="002A21AE">
              <w:t>for alerts that may occur during this option.</w:t>
            </w:r>
          </w:p>
        </w:tc>
      </w:tr>
      <w:tr w:rsidR="002A21AE" w14:paraId="70C6A68C" w14:textId="77777777">
        <w:tc>
          <w:tcPr>
            <w:tcW w:w="3240" w:type="dxa"/>
          </w:tcPr>
          <w:p w14:paraId="3E2DCBC2" w14:textId="77777777" w:rsidR="002A21AE" w:rsidRDefault="002A21AE">
            <w:pPr>
              <w:pStyle w:val="TableTextNumbers"/>
            </w:pPr>
            <w:r>
              <w:t>Select</w:t>
            </w:r>
            <w:r w:rsidR="00764A64">
              <w:t xml:space="preserve"> a target product type from the drop-down list in the Product field.</w:t>
            </w:r>
          </w:p>
        </w:tc>
        <w:tc>
          <w:tcPr>
            <w:tcW w:w="6120" w:type="dxa"/>
          </w:tcPr>
          <w:p w14:paraId="7DEEB4D4" w14:textId="77777777" w:rsidR="002A21AE" w:rsidRDefault="002A21AE">
            <w:pPr>
              <w:pStyle w:val="TableTextBullet"/>
            </w:pPr>
            <w:r>
              <w:t xml:space="preserve">Displays target component types for the modification, conditions selected, and the original unit product type, and allows the user to select a single </w:t>
            </w:r>
            <w:r w:rsidR="00AF09D3">
              <w:t xml:space="preserve">product </w:t>
            </w:r>
            <w:r>
              <w:t>type.</w:t>
            </w:r>
          </w:p>
          <w:p w14:paraId="499C23AC" w14:textId="77777777" w:rsidR="002A21AE" w:rsidRDefault="002A21AE">
            <w:pPr>
              <w:pStyle w:val="TableTextBullet"/>
            </w:pPr>
            <w:r>
              <w:t>Verifies that an active target component was selected and warns the user.</w:t>
            </w:r>
          </w:p>
          <w:p w14:paraId="061164AA" w14:textId="77777777" w:rsidR="002A21AE" w:rsidRDefault="002A21AE">
            <w:pPr>
              <w:pStyle w:val="TableTextBullet"/>
            </w:pPr>
            <w:r>
              <w:t>Allows the user to enter lot and ID numbers (with auto-completion) or select multiple items from the supply and equipment lists.</w:t>
            </w:r>
          </w:p>
          <w:p w14:paraId="644F85CD" w14:textId="77777777" w:rsidR="002A21AE" w:rsidRDefault="002A21AE">
            <w:pPr>
              <w:pStyle w:val="TableTextBullet"/>
            </w:pPr>
            <w:r>
              <w:t>Warns that the target unit is not active and allows the user to activate the target component.</w:t>
            </w:r>
          </w:p>
          <w:p w14:paraId="59CD0494" w14:textId="77777777" w:rsidR="002A21AE" w:rsidRDefault="002A21AE">
            <w:pPr>
              <w:pStyle w:val="TableText"/>
            </w:pPr>
          </w:p>
          <w:p w14:paraId="29358C51" w14:textId="64EFD0F3" w:rsidR="002A21AE" w:rsidRDefault="002A21AE">
            <w:pPr>
              <w:pStyle w:val="TableText"/>
              <w:rPr>
                <w:b/>
                <w:bCs/>
                <w:szCs w:val="18"/>
              </w:rPr>
            </w:pPr>
            <w:r>
              <w:rPr>
                <w:b/>
                <w:bCs/>
                <w:szCs w:val="18"/>
              </w:rPr>
              <w:t>NOTES</w:t>
            </w:r>
          </w:p>
          <w:p w14:paraId="0654BE25" w14:textId="77777777" w:rsidR="002A21AE" w:rsidRDefault="002A21AE">
            <w:pPr>
              <w:pStyle w:val="NotesText"/>
            </w:pPr>
          </w:p>
          <w:p w14:paraId="7C0F4630" w14:textId="36893B41" w:rsidR="002A21AE" w:rsidRDefault="002A21AE">
            <w:pPr>
              <w:pStyle w:val="NotesText"/>
            </w:pPr>
            <w:r>
              <w:rPr>
                <w:rFonts w:cs="Arial"/>
                <w:vanish/>
              </w:rPr>
              <w:t xml:space="preserve">BR_26.13 </w:t>
            </w:r>
            <w:r>
              <w:t>The user must select a modification method (open, closed, Sterile Connection Device) for modification types.</w:t>
            </w:r>
          </w:p>
          <w:p w14:paraId="71049AD7" w14:textId="77777777" w:rsidR="002A21AE" w:rsidRDefault="002A21AE">
            <w:pPr>
              <w:pStyle w:val="NotesText"/>
            </w:pPr>
          </w:p>
          <w:p w14:paraId="58B5309A" w14:textId="77777777" w:rsidR="002A21AE" w:rsidRDefault="002A21AE">
            <w:pPr>
              <w:pStyle w:val="NotesText"/>
            </w:pPr>
            <w:r>
              <w:rPr>
                <w:rFonts w:cs="Arial"/>
                <w:vanish/>
              </w:rPr>
              <w:t xml:space="preserve">BR_26.12 </w:t>
            </w:r>
            <w:r>
              <w:t>VBECS displays available target component types based on ISBT 128 modification rules and site parameters for the division.</w:t>
            </w:r>
            <w:r w:rsidR="00B15FBF">
              <w:t xml:space="preserve"> </w:t>
            </w:r>
            <w:r w:rsidR="00B15FBF" w:rsidRPr="00E14216">
              <w:t>When no target is found, VBECS indicates this to the user and prevents the modification from being saved.</w:t>
            </w:r>
          </w:p>
          <w:p w14:paraId="3A165F95" w14:textId="77777777" w:rsidR="002A21AE" w:rsidRDefault="002A21AE">
            <w:pPr>
              <w:pStyle w:val="NotesText"/>
            </w:pPr>
          </w:p>
          <w:p w14:paraId="075DB697" w14:textId="77777777" w:rsidR="002A21AE" w:rsidRDefault="002A21AE">
            <w:pPr>
              <w:pStyle w:val="NotesText"/>
            </w:pPr>
            <w:r>
              <w:rPr>
                <w:rFonts w:cs="Arial"/>
                <w:vanish/>
              </w:rPr>
              <w:t xml:space="preserve">BR_26.11 </w:t>
            </w:r>
            <w:r>
              <w:t>When the user selects a target component type not marked as active, VBECS warns the user, allows him to mark the target component as active, and returns him to this step in the modification process. Otherwise, VBECS returns the user to this step and allows him to select another target component type.</w:t>
            </w:r>
          </w:p>
          <w:p w14:paraId="31328211" w14:textId="77777777" w:rsidR="002A21AE" w:rsidRDefault="002A21AE">
            <w:pPr>
              <w:pStyle w:val="NotesText"/>
            </w:pPr>
          </w:p>
          <w:p w14:paraId="79B49D64" w14:textId="77777777" w:rsidR="002A21AE" w:rsidRDefault="002A21AE">
            <w:pPr>
              <w:pStyle w:val="NotesText"/>
            </w:pPr>
            <w:r>
              <w:rPr>
                <w:rFonts w:cs="Arial"/>
                <w:vanish/>
              </w:rPr>
              <w:t xml:space="preserve">BR_26.16 </w:t>
            </w:r>
            <w:r>
              <w:t>When the original unit type did not require ABO/Rh confirmation, the target unit</w:t>
            </w:r>
            <w:r w:rsidR="00004786">
              <w:t>, when created,</w:t>
            </w:r>
            <w:r>
              <w:t xml:space="preserve"> does not either. The target unit is immediately available for assignment, crossmatch, issue, or transfusion on completion of the modification. </w:t>
            </w:r>
          </w:p>
          <w:p w14:paraId="2106EFA7" w14:textId="77777777" w:rsidR="002A21AE" w:rsidRDefault="002A21AE">
            <w:pPr>
              <w:pStyle w:val="NotesText"/>
            </w:pPr>
          </w:p>
          <w:p w14:paraId="2224A9EB" w14:textId="77777777" w:rsidR="00B15FBF" w:rsidRPr="00B15FBF" w:rsidRDefault="00B15FBF" w:rsidP="00B15FBF">
            <w:pPr>
              <w:pStyle w:val="NotesText"/>
            </w:pPr>
            <w:r w:rsidRPr="00B15FBF">
              <w:rPr>
                <w:vanish/>
              </w:rPr>
              <w:t xml:space="preserve">BR_26.23 </w:t>
            </w:r>
            <w:r w:rsidRPr="00B15FBF">
              <w:t>When the original (parent) unit type required A</w:t>
            </w:r>
            <w:r>
              <w:t>BO/Rh confirmation</w:t>
            </w:r>
            <w:r w:rsidRPr="00B15FBF">
              <w:t xml:space="preserve">, the target (child) unit, when created, does too. </w:t>
            </w:r>
          </w:p>
          <w:p w14:paraId="73976473" w14:textId="77777777" w:rsidR="00B15FBF" w:rsidRPr="00A301B0" w:rsidRDefault="00B15FBF" w:rsidP="00B15FBF">
            <w:pPr>
              <w:pStyle w:val="TableText"/>
              <w:tabs>
                <w:tab w:val="left" w:pos="1526"/>
              </w:tabs>
              <w:ind w:left="36"/>
              <w:rPr>
                <w:rFonts w:cs="Arial"/>
                <w:szCs w:val="18"/>
              </w:rPr>
            </w:pPr>
          </w:p>
          <w:p w14:paraId="11F585F1" w14:textId="77777777" w:rsidR="00B15FBF" w:rsidRPr="00A301B0" w:rsidRDefault="00B15FBF" w:rsidP="00925CAD">
            <w:pPr>
              <w:pStyle w:val="TableText"/>
              <w:numPr>
                <w:ilvl w:val="1"/>
                <w:numId w:val="66"/>
              </w:numPr>
              <w:tabs>
                <w:tab w:val="left" w:pos="252"/>
              </w:tabs>
              <w:ind w:left="1116" w:hanging="198"/>
              <w:rPr>
                <w:rFonts w:cs="Arial"/>
                <w:szCs w:val="18"/>
              </w:rPr>
            </w:pPr>
            <w:r w:rsidRPr="00A301B0">
              <w:rPr>
                <w:rFonts w:cs="Arial"/>
                <w:szCs w:val="18"/>
              </w:rPr>
              <w:t>If the target is not inheriting ABORh con</w:t>
            </w:r>
            <w:r>
              <w:rPr>
                <w:rFonts w:cs="Arial"/>
                <w:szCs w:val="18"/>
              </w:rPr>
              <w:t>firmation testing</w:t>
            </w:r>
            <w:r w:rsidRPr="00A301B0">
              <w:rPr>
                <w:rFonts w:cs="Arial"/>
                <w:szCs w:val="18"/>
              </w:rPr>
              <w:t>, then the target unit’s status is Limited.</w:t>
            </w:r>
          </w:p>
          <w:p w14:paraId="13203343" w14:textId="77777777" w:rsidR="00B15FBF" w:rsidRPr="00A301B0" w:rsidRDefault="00B15FBF" w:rsidP="00B15FBF">
            <w:pPr>
              <w:pStyle w:val="TableText"/>
              <w:tabs>
                <w:tab w:val="left" w:pos="1526"/>
              </w:tabs>
              <w:ind w:left="1116" w:hanging="198"/>
              <w:rPr>
                <w:rFonts w:cs="Arial"/>
                <w:szCs w:val="18"/>
              </w:rPr>
            </w:pPr>
          </w:p>
          <w:p w14:paraId="555B5A78" w14:textId="77777777" w:rsidR="00B15FBF" w:rsidRDefault="00B15FBF" w:rsidP="00925CAD">
            <w:pPr>
              <w:pStyle w:val="TableText"/>
              <w:numPr>
                <w:ilvl w:val="1"/>
                <w:numId w:val="66"/>
              </w:numPr>
              <w:tabs>
                <w:tab w:val="left" w:pos="252"/>
              </w:tabs>
              <w:ind w:left="1116" w:hanging="198"/>
            </w:pPr>
            <w:r w:rsidRPr="00A301B0">
              <w:rPr>
                <w:rFonts w:cs="Arial"/>
                <w:szCs w:val="18"/>
              </w:rPr>
              <w:lastRenderedPageBreak/>
              <w:t>If the target is inheriting ABORh con</w:t>
            </w:r>
            <w:r>
              <w:rPr>
                <w:rFonts w:cs="Arial"/>
                <w:szCs w:val="18"/>
              </w:rPr>
              <w:t>firmation testing</w:t>
            </w:r>
            <w:r w:rsidRPr="00A301B0">
              <w:rPr>
                <w:rFonts w:cs="Arial"/>
                <w:szCs w:val="18"/>
              </w:rPr>
              <w:t>, then the target unit is immediately available for assignment, crossmatch, issuance, or transfusion upon completion of modification.</w:t>
            </w:r>
          </w:p>
          <w:p w14:paraId="2CAA9239" w14:textId="77777777" w:rsidR="002A21AE" w:rsidRDefault="002A21AE">
            <w:pPr>
              <w:pStyle w:val="NotesText"/>
            </w:pPr>
            <w:r>
              <w:tab/>
            </w:r>
          </w:p>
          <w:p w14:paraId="26B86C60" w14:textId="77777777" w:rsidR="002A21AE" w:rsidRDefault="002A21AE">
            <w:pPr>
              <w:pStyle w:val="NotesText"/>
            </w:pPr>
            <w:r w:rsidRPr="003F0C14">
              <w:rPr>
                <w:rFonts w:cs="Arial"/>
                <w:vanish/>
                <w:color w:val="0000FF"/>
              </w:rPr>
              <w:t>BR_26.25</w:t>
            </w:r>
            <w:r>
              <w:rPr>
                <w:rFonts w:cs="Arial"/>
                <w:vanish/>
              </w:rPr>
              <w:t xml:space="preserve"> </w:t>
            </w:r>
            <w:r>
              <w:t xml:space="preserve">When the original unit is assigned or crossmatched to a patient at the time of modification, VBECS notifies the user and asks whether he wishes to automatically assign the modified units to the patient. </w:t>
            </w:r>
            <w:r>
              <w:rPr>
                <w:b/>
              </w:rPr>
              <w:t>Yes</w:t>
            </w:r>
            <w:r>
              <w:t xml:space="preserve"> (default) applies the unit’s assignment or crossmatch data to the target component. </w:t>
            </w:r>
            <w:r>
              <w:rPr>
                <w:b/>
              </w:rPr>
              <w:t>No</w:t>
            </w:r>
            <w:r>
              <w:t xml:space="preserve"> does not apply the assignment to the target, and changes the target unit status to “available.” The original unit </w:t>
            </w:r>
            <w:r w:rsidR="006212E6">
              <w:t>retains patient assignment</w:t>
            </w:r>
            <w:r w:rsidR="00AA6C54">
              <w:t xml:space="preserve"> </w:t>
            </w:r>
            <w:r>
              <w:t>in both cases.</w:t>
            </w:r>
          </w:p>
          <w:p w14:paraId="0C226649" w14:textId="77777777" w:rsidR="00C26FA7" w:rsidRDefault="00C26FA7">
            <w:pPr>
              <w:pStyle w:val="NotesText"/>
            </w:pPr>
          </w:p>
          <w:p w14:paraId="1EBAB5F8" w14:textId="77777777" w:rsidR="00C26FA7" w:rsidRDefault="00C26FA7">
            <w:pPr>
              <w:pStyle w:val="NotesText"/>
              <w:rPr>
                <w:rFonts w:cs="Arial"/>
                <w:szCs w:val="18"/>
              </w:rPr>
            </w:pPr>
            <w:r>
              <w:rPr>
                <w:rFonts w:cs="Arial"/>
                <w:vanish/>
                <w:szCs w:val="18"/>
              </w:rPr>
              <w:t>BR_26.58</w:t>
            </w:r>
            <w:r w:rsidRPr="00C26FA7">
              <w:rPr>
                <w:rFonts w:cs="Arial"/>
                <w:vanish/>
                <w:szCs w:val="18"/>
              </w:rPr>
              <w:t xml:space="preserve"> </w:t>
            </w:r>
            <w:r>
              <w:rPr>
                <w:rFonts w:cs="Arial"/>
                <w:szCs w:val="18"/>
              </w:rPr>
              <w:t>The user may select the target product code from available targets by scanning.</w:t>
            </w:r>
          </w:p>
          <w:p w14:paraId="0C0D02BE" w14:textId="5FC1FA58" w:rsidR="002A21AE" w:rsidRDefault="002A21AE" w:rsidP="000C5084">
            <w:pPr>
              <w:pStyle w:val="NotesText"/>
              <w:ind w:left="0"/>
            </w:pPr>
          </w:p>
          <w:p w14:paraId="6A2EF3FC" w14:textId="77777777" w:rsidR="00B448CE" w:rsidRDefault="00562516" w:rsidP="00032278">
            <w:pPr>
              <w:pStyle w:val="NotesText"/>
            </w:pPr>
            <w:r w:rsidRPr="00562516">
              <w:rPr>
                <w:vanish/>
              </w:rPr>
              <w:t xml:space="preserve">BR_26.49 </w:t>
            </w:r>
            <w:r w:rsidRPr="00F02C5D">
              <w:t xml:space="preserve">When the Blood Group (V0076) attribute </w:t>
            </w:r>
            <w:r>
              <w:t>group</w:t>
            </w:r>
            <w:r w:rsidRPr="00F02C5D">
              <w:t>, is present in the original it is required in the target</w:t>
            </w:r>
            <w:r w:rsidR="000A126F">
              <w:t xml:space="preserve"> but is not used by VBECS</w:t>
            </w:r>
            <w:r w:rsidRPr="00F02C5D">
              <w:t>.</w:t>
            </w:r>
          </w:p>
          <w:p w14:paraId="2652F6E5" w14:textId="77777777" w:rsidR="00B448CE" w:rsidRDefault="00B448CE" w:rsidP="00032278">
            <w:pPr>
              <w:pStyle w:val="NotesText"/>
            </w:pPr>
          </w:p>
          <w:p w14:paraId="57D67BB1" w14:textId="77777777" w:rsidR="00B448CE" w:rsidRDefault="00B448CE" w:rsidP="00B448CE">
            <w:pPr>
              <w:pStyle w:val="NotesText"/>
            </w:pPr>
            <w:r w:rsidRPr="00B448CE">
              <w:rPr>
                <w:vanish/>
              </w:rPr>
              <w:t xml:space="preserve">BR_26.57 </w:t>
            </w:r>
            <w:r>
              <w:t xml:space="preserve">When a unit is modified, the processing fee as set in </w:t>
            </w:r>
            <w:r w:rsidR="000A126F">
              <w:t>Configure Division</w:t>
            </w:r>
            <w:r>
              <w:t xml:space="preserve"> is added to the cost of a modified unit target.</w:t>
            </w:r>
          </w:p>
          <w:p w14:paraId="5A542099" w14:textId="77777777" w:rsidR="00B448CE" w:rsidRDefault="00B448CE" w:rsidP="00B448CE">
            <w:pPr>
              <w:pStyle w:val="NotesText"/>
            </w:pPr>
            <w:r>
              <w:t>When split, the processing fee is divided and a portion is added to each target unit.</w:t>
            </w:r>
          </w:p>
          <w:p w14:paraId="68736B9D" w14:textId="77777777" w:rsidR="00E1658C" w:rsidRDefault="00E1658C" w:rsidP="00B448CE">
            <w:pPr>
              <w:pStyle w:val="NotesText"/>
            </w:pPr>
          </w:p>
          <w:p w14:paraId="2EF464AA" w14:textId="76149BF5" w:rsidR="002A21AE" w:rsidRDefault="00C51C45" w:rsidP="006A576D">
            <w:pPr>
              <w:pStyle w:val="NotesText"/>
            </w:pPr>
            <w:r w:rsidRPr="00896F17">
              <w:rPr>
                <w:rStyle w:val="BullhornChar"/>
              </w:rPr>
              <w:t></w:t>
            </w:r>
            <w:r w:rsidRPr="00C51C45">
              <w:t xml:space="preserve"> </w:t>
            </w:r>
            <w:r>
              <w:t>See</w:t>
            </w:r>
            <w:r w:rsidR="002A21AE">
              <w:t xml:space="preserve"> </w:t>
            </w:r>
            <w:r w:rsidR="00EE455E">
              <w:t xml:space="preserve">Table </w:t>
            </w:r>
            <w:r w:rsidR="00EE455E">
              <w:rPr>
                <w:noProof/>
              </w:rPr>
              <w:t>5</w:t>
            </w:r>
            <w:r w:rsidR="006A576D">
              <w:t xml:space="preserve"> </w:t>
            </w:r>
            <w:r w:rsidR="002A21AE">
              <w:t>for alerts that may occur during this option.</w:t>
            </w:r>
          </w:p>
        </w:tc>
      </w:tr>
      <w:tr w:rsidR="002A21AE" w14:paraId="7146408D" w14:textId="77777777">
        <w:tc>
          <w:tcPr>
            <w:tcW w:w="3240" w:type="dxa"/>
          </w:tcPr>
          <w:p w14:paraId="0FF02C11" w14:textId="77777777" w:rsidR="002A21AE" w:rsidRDefault="00C239D1" w:rsidP="00C239D1">
            <w:pPr>
              <w:pStyle w:val="TableTextNumbers"/>
            </w:pPr>
            <w:r>
              <w:lastRenderedPageBreak/>
              <w:t>Accept or edit</w:t>
            </w:r>
            <w:r w:rsidR="00A77D1F">
              <w:t xml:space="preserve"> the</w:t>
            </w:r>
            <w:r w:rsidR="002A21AE">
              <w:t xml:space="preserve"> expiration date.</w:t>
            </w:r>
          </w:p>
        </w:tc>
        <w:tc>
          <w:tcPr>
            <w:tcW w:w="6120" w:type="dxa"/>
          </w:tcPr>
          <w:p w14:paraId="0BD74E89" w14:textId="77777777" w:rsidR="002A21AE" w:rsidRDefault="002A21AE">
            <w:pPr>
              <w:pStyle w:val="TableTextBullet"/>
            </w:pPr>
            <w:r>
              <w:t>Verifies the validity of the expiration date and warns the user, if indicated.</w:t>
            </w:r>
          </w:p>
          <w:p w14:paraId="5DECA6C0" w14:textId="77777777" w:rsidR="002A21AE" w:rsidRDefault="002A21AE">
            <w:pPr>
              <w:pStyle w:val="TableText"/>
            </w:pPr>
          </w:p>
          <w:p w14:paraId="5AC5EA71" w14:textId="5F2FDDDB" w:rsidR="002A21AE" w:rsidRDefault="002A21AE">
            <w:pPr>
              <w:pStyle w:val="TableText"/>
              <w:rPr>
                <w:b/>
                <w:bCs/>
                <w:szCs w:val="18"/>
              </w:rPr>
            </w:pPr>
            <w:r>
              <w:rPr>
                <w:b/>
                <w:bCs/>
                <w:szCs w:val="18"/>
              </w:rPr>
              <w:t>NOTES</w:t>
            </w:r>
          </w:p>
          <w:p w14:paraId="1A98AF1C" w14:textId="71007535" w:rsidR="002A21AE" w:rsidRDefault="002A21AE" w:rsidP="003D61DB">
            <w:pPr>
              <w:pStyle w:val="NotesText"/>
              <w:ind w:left="0"/>
            </w:pPr>
          </w:p>
          <w:p w14:paraId="6E829258" w14:textId="77777777" w:rsidR="00B448CE" w:rsidRPr="00B448CE" w:rsidRDefault="00B448CE" w:rsidP="00B448CE">
            <w:pPr>
              <w:pStyle w:val="NotesText"/>
            </w:pPr>
            <w:r w:rsidRPr="00B448CE">
              <w:rPr>
                <w:vanish/>
              </w:rPr>
              <w:t xml:space="preserve">BR_26.20 </w:t>
            </w:r>
            <w:r>
              <w:t>VBECS</w:t>
            </w:r>
            <w:r w:rsidRPr="00B448CE">
              <w:t xml:space="preserve"> calculate</w:t>
            </w:r>
            <w:r>
              <w:t>s</w:t>
            </w:r>
            <w:r w:rsidRPr="00B448CE">
              <w:t xml:space="preserve"> an expiration date for the target component type and the system integrity (Open or Closed).</w:t>
            </w:r>
          </w:p>
          <w:p w14:paraId="22353D9F" w14:textId="77777777" w:rsidR="00B448CE" w:rsidRPr="00B448CE" w:rsidRDefault="00B448CE" w:rsidP="00B448CE">
            <w:pPr>
              <w:pStyle w:val="NotesText"/>
            </w:pPr>
            <w:r w:rsidRPr="00B448CE">
              <w:t>The system will calculate an expiration date for the target component based</w:t>
            </w:r>
            <w:r>
              <w:t xml:space="preserve"> on the following. (Due to the nature of the process, the calculated expiration date will greatly exceed the original expiration date of the original unit for Rejuvenate and Freeze, and will supersede the unit’s original expiration date.)</w:t>
            </w:r>
          </w:p>
          <w:p w14:paraId="6F89B5C8" w14:textId="77777777" w:rsidR="00B448CE" w:rsidRPr="007B53AE" w:rsidRDefault="00B448CE" w:rsidP="00B448CE">
            <w:pPr>
              <w:pStyle w:val="StyleTableText9ptChar"/>
              <w:rPr>
                <w:rFonts w:cs="Arial"/>
              </w:rPr>
            </w:pPr>
          </w:p>
          <w:p w14:paraId="110F9C44" w14:textId="77777777" w:rsidR="00B448CE" w:rsidRPr="007B53AE" w:rsidRDefault="00B448CE" w:rsidP="00B448CE">
            <w:pPr>
              <w:pStyle w:val="CommentText"/>
              <w:rPr>
                <w:rFonts w:ascii="Arial" w:hAnsi="Arial" w:cs="Arial"/>
                <w:sz w:val="18"/>
                <w:szCs w:val="18"/>
              </w:rPr>
            </w:pPr>
            <w:r w:rsidRPr="007B53AE">
              <w:rPr>
                <w:rFonts w:ascii="Arial" w:hAnsi="Arial" w:cs="Arial"/>
                <w:sz w:val="18"/>
                <w:szCs w:val="18"/>
              </w:rPr>
              <w:t>Expiration Date is the shortest of:</w:t>
            </w:r>
          </w:p>
          <w:p w14:paraId="1EEA91AE" w14:textId="4DF6F712" w:rsidR="00B448CE" w:rsidRDefault="00B448CE" w:rsidP="00925CAD">
            <w:pPr>
              <w:pStyle w:val="CommentText"/>
              <w:numPr>
                <w:ilvl w:val="0"/>
                <w:numId w:val="68"/>
              </w:numPr>
              <w:ind w:left="1080"/>
              <w:rPr>
                <w:rFonts w:ascii="Arial" w:hAnsi="Arial" w:cs="Arial"/>
                <w:sz w:val="18"/>
                <w:szCs w:val="18"/>
              </w:rPr>
            </w:pPr>
            <w:r w:rsidRPr="007B53AE">
              <w:rPr>
                <w:rFonts w:ascii="Arial" w:hAnsi="Arial" w:cs="Arial"/>
                <w:sz w:val="18"/>
                <w:szCs w:val="18"/>
              </w:rPr>
              <w:t>Original unit’s expiration date/time (For Rejuv</w:t>
            </w:r>
            <w:r>
              <w:rPr>
                <w:rFonts w:ascii="Arial" w:hAnsi="Arial" w:cs="Arial"/>
                <w:sz w:val="18"/>
                <w:szCs w:val="18"/>
              </w:rPr>
              <w:t>enate and Freeze</w:t>
            </w:r>
            <w:r w:rsidRPr="007B53AE">
              <w:rPr>
                <w:rFonts w:ascii="Arial" w:hAnsi="Arial" w:cs="Arial"/>
                <w:sz w:val="18"/>
                <w:szCs w:val="18"/>
              </w:rPr>
              <w:t>, the Original unit’s expiration is not factored in the calculation)</w:t>
            </w:r>
          </w:p>
          <w:p w14:paraId="16715727" w14:textId="0BF28041" w:rsidR="008E2CB0" w:rsidRDefault="008E2CB0" w:rsidP="00925CAD">
            <w:pPr>
              <w:pStyle w:val="CommentText"/>
              <w:numPr>
                <w:ilvl w:val="0"/>
                <w:numId w:val="68"/>
              </w:numPr>
              <w:ind w:left="1080"/>
              <w:rPr>
                <w:rFonts w:ascii="Arial" w:hAnsi="Arial" w:cs="Arial"/>
                <w:sz w:val="18"/>
                <w:szCs w:val="18"/>
              </w:rPr>
            </w:pPr>
            <w:r>
              <w:rPr>
                <w:rFonts w:ascii="Arial" w:hAnsi="Arial" w:cs="Arial"/>
                <w:sz w:val="18"/>
                <w:szCs w:val="18"/>
              </w:rPr>
              <w:t>If Expiration hours is &gt; 0, the Modification date/time + Expiration hours**</w:t>
            </w:r>
          </w:p>
          <w:p w14:paraId="472E6289" w14:textId="77777777" w:rsidR="00B448CE" w:rsidRDefault="008E2CB0" w:rsidP="00925CAD">
            <w:pPr>
              <w:pStyle w:val="CommentText"/>
              <w:numPr>
                <w:ilvl w:val="0"/>
                <w:numId w:val="68"/>
              </w:numPr>
              <w:ind w:left="1080"/>
              <w:rPr>
                <w:rFonts w:ascii="Arial" w:hAnsi="Arial" w:cs="Arial"/>
                <w:sz w:val="18"/>
                <w:szCs w:val="18"/>
              </w:rPr>
            </w:pPr>
            <w:r>
              <w:rPr>
                <w:rFonts w:ascii="Arial" w:hAnsi="Arial" w:cs="Arial"/>
                <w:sz w:val="18"/>
                <w:szCs w:val="18"/>
              </w:rPr>
              <w:t>Modification date/time + Target blood product’s maximum storage time (MST)**</w:t>
            </w:r>
          </w:p>
          <w:p w14:paraId="04A1B8AC" w14:textId="77777777" w:rsidR="008E2CB0" w:rsidRDefault="008E2CB0" w:rsidP="008E2CB0">
            <w:pPr>
              <w:pStyle w:val="CommentText"/>
              <w:tabs>
                <w:tab w:val="clear" w:pos="1080"/>
              </w:tabs>
              <w:rPr>
                <w:rFonts w:ascii="Arial" w:hAnsi="Arial" w:cs="Arial"/>
                <w:sz w:val="18"/>
                <w:szCs w:val="18"/>
              </w:rPr>
            </w:pPr>
          </w:p>
          <w:p w14:paraId="5E43FCCE" w14:textId="2958DA5B" w:rsidR="008E2CB0" w:rsidRPr="008E2CB0" w:rsidRDefault="008E2CB0" w:rsidP="008E2CB0">
            <w:pPr>
              <w:pStyle w:val="CommentText"/>
              <w:tabs>
                <w:tab w:val="clear" w:pos="1080"/>
              </w:tabs>
              <w:rPr>
                <w:rFonts w:ascii="Arial" w:hAnsi="Arial" w:cs="Arial"/>
                <w:sz w:val="18"/>
                <w:szCs w:val="18"/>
              </w:rPr>
            </w:pPr>
            <w:r>
              <w:rPr>
                <w:rFonts w:ascii="Arial" w:hAnsi="Arial"/>
                <w:sz w:val="18"/>
                <w:szCs w:val="24"/>
              </w:rPr>
              <w:t xml:space="preserve">    </w:t>
            </w:r>
            <w:r w:rsidRPr="008E2CB0">
              <w:rPr>
                <w:rFonts w:ascii="Arial" w:hAnsi="Arial"/>
                <w:sz w:val="18"/>
                <w:szCs w:val="24"/>
              </w:rPr>
              <w:t>**If Expiration hours or Target blood product’s MST is greater than (&gt;) 24 hours: divide the hours by 24 to get the number of days (no rounding); add the number of days to the Modification date/time and the time will be 23:59.</w:t>
            </w:r>
          </w:p>
        </w:tc>
      </w:tr>
      <w:tr w:rsidR="002A21AE" w14:paraId="0ABE9EC8" w14:textId="77777777" w:rsidTr="006C058D">
        <w:trPr>
          <w:cantSplit/>
        </w:trPr>
        <w:tc>
          <w:tcPr>
            <w:tcW w:w="3240" w:type="dxa"/>
          </w:tcPr>
          <w:p w14:paraId="2F2759A2" w14:textId="77777777" w:rsidR="002A21AE" w:rsidRDefault="002A21AE">
            <w:pPr>
              <w:pStyle w:val="TableTextNumbers"/>
            </w:pPr>
            <w:r>
              <w:lastRenderedPageBreak/>
              <w:t xml:space="preserve">Review the displayed unit data and </w:t>
            </w:r>
            <w:r w:rsidR="00A77D1F">
              <w:t xml:space="preserve">click </w:t>
            </w:r>
            <w:r w:rsidR="00A77D1F" w:rsidRPr="00A77D1F">
              <w:rPr>
                <w:b/>
              </w:rPr>
              <w:t>OK</w:t>
            </w:r>
            <w:r w:rsidR="00A77D1F">
              <w:t xml:space="preserve"> to </w:t>
            </w:r>
            <w:r>
              <w:t>confirm the modification.</w:t>
            </w:r>
          </w:p>
          <w:p w14:paraId="13A671CC" w14:textId="77777777" w:rsidR="00A77D1F" w:rsidRDefault="00A77D1F" w:rsidP="00A77D1F">
            <w:pPr>
              <w:pStyle w:val="TableTextNumbersContinued"/>
            </w:pPr>
          </w:p>
          <w:p w14:paraId="73685FB2" w14:textId="6179EA85" w:rsidR="00A77D1F" w:rsidRDefault="00C239D1" w:rsidP="00A77D1F">
            <w:pPr>
              <w:pStyle w:val="TableTextNumbersContinued"/>
            </w:pPr>
            <w:r>
              <w:t>If the unit has been relabeled, c</w:t>
            </w:r>
            <w:r w:rsidR="00A77D1F">
              <w:t xml:space="preserve">lick </w:t>
            </w:r>
            <w:r w:rsidR="00A77D1F" w:rsidRPr="00A77D1F">
              <w:rPr>
                <w:b/>
              </w:rPr>
              <w:t>Yes</w:t>
            </w:r>
            <w:r w:rsidR="00A77D1F">
              <w:t xml:space="preserve"> to verify the label</w:t>
            </w:r>
            <w:r>
              <w:t xml:space="preserve"> </w:t>
            </w:r>
            <w:r w:rsidR="00F331EC">
              <w:t>(</w:t>
            </w:r>
            <w:r w:rsidR="00EE455E">
              <w:t xml:space="preserve">Figure </w:t>
            </w:r>
            <w:r w:rsidR="00EE455E">
              <w:rPr>
                <w:noProof/>
              </w:rPr>
              <w:t>62</w:t>
            </w:r>
            <w:r w:rsidR="00F331EC">
              <w:t>)</w:t>
            </w:r>
            <w:r w:rsidR="00A77D1F">
              <w:t>.</w:t>
            </w:r>
          </w:p>
          <w:p w14:paraId="062C1F89" w14:textId="77777777" w:rsidR="0014066B" w:rsidRDefault="0014066B" w:rsidP="00A77D1F">
            <w:pPr>
              <w:pStyle w:val="TableTextNumbersContinued"/>
            </w:pPr>
          </w:p>
          <w:p w14:paraId="65C28596" w14:textId="77777777" w:rsidR="0014066B" w:rsidRDefault="0014066B" w:rsidP="00A77D1F">
            <w:pPr>
              <w:pStyle w:val="TableTextNumbersContinued"/>
            </w:pPr>
            <w:r>
              <w:t xml:space="preserve">Click </w:t>
            </w:r>
            <w:r w:rsidRPr="0014066B">
              <w:rPr>
                <w:b/>
              </w:rPr>
              <w:t>No</w:t>
            </w:r>
            <w:r>
              <w:t xml:space="preserve"> to cancel and continue at Step 14.</w:t>
            </w:r>
          </w:p>
        </w:tc>
        <w:tc>
          <w:tcPr>
            <w:tcW w:w="6120" w:type="dxa"/>
          </w:tcPr>
          <w:p w14:paraId="728BBBE2" w14:textId="77777777" w:rsidR="005D32B0" w:rsidRDefault="005D32B0" w:rsidP="005D32B0">
            <w:pPr>
              <w:pStyle w:val="TableTextBullet"/>
            </w:pPr>
            <w:r>
              <w:t>When the original unit is currently assigned to a patient, notifies the user and asks whether he wishes to transfer the status to the target un</w:t>
            </w:r>
            <w:r w:rsidR="00E1658C">
              <w:t>it.</w:t>
            </w:r>
          </w:p>
          <w:p w14:paraId="75B3B89F" w14:textId="77777777" w:rsidR="002A21AE" w:rsidRDefault="002A21AE">
            <w:pPr>
              <w:pStyle w:val="NotesText"/>
            </w:pPr>
          </w:p>
        </w:tc>
      </w:tr>
      <w:tr w:rsidR="002A21AE" w14:paraId="649CEFE7" w14:textId="77777777">
        <w:tc>
          <w:tcPr>
            <w:tcW w:w="3240" w:type="dxa"/>
          </w:tcPr>
          <w:p w14:paraId="4DDE0B3D" w14:textId="77777777" w:rsidR="002A21AE" w:rsidRDefault="00A77D1F">
            <w:pPr>
              <w:pStyle w:val="TableTextNumbers"/>
            </w:pPr>
            <w:r>
              <w:t>Scan the label barcodes to v</w:t>
            </w:r>
            <w:r w:rsidR="002A21AE">
              <w:t>erify the target labels, based on local practice and labeling type of the modified unit.</w:t>
            </w:r>
          </w:p>
          <w:p w14:paraId="5A61FFEC" w14:textId="77777777" w:rsidR="00A77D1F" w:rsidRDefault="00A77D1F" w:rsidP="00A77D1F">
            <w:pPr>
              <w:pStyle w:val="TableTextNumbersContinued"/>
            </w:pPr>
          </w:p>
          <w:p w14:paraId="7CA3D5A0" w14:textId="77777777" w:rsidR="00A77D1F" w:rsidRDefault="00A77D1F" w:rsidP="00A77D1F">
            <w:pPr>
              <w:pStyle w:val="TableTextNumbersContinued"/>
            </w:pPr>
            <w:r>
              <w:t>Enter a comment to complete the verification.</w:t>
            </w:r>
            <w:r w:rsidR="00403743">
              <w:t xml:space="preserve"> (This step is optional.)</w:t>
            </w:r>
          </w:p>
        </w:tc>
        <w:tc>
          <w:tcPr>
            <w:tcW w:w="6120" w:type="dxa"/>
          </w:tcPr>
          <w:p w14:paraId="3447539C" w14:textId="77777777" w:rsidR="002A21AE" w:rsidRDefault="002A21AE">
            <w:pPr>
              <w:pStyle w:val="TableTextBullet"/>
            </w:pPr>
            <w:r>
              <w:t>Displays the label verification window.</w:t>
            </w:r>
          </w:p>
          <w:p w14:paraId="2F5F6482" w14:textId="77777777" w:rsidR="00A77D1F" w:rsidRDefault="00A77D1F">
            <w:pPr>
              <w:pStyle w:val="TableTextBullet"/>
            </w:pPr>
            <w:r>
              <w:t>Indicates whether the scanned barcodes match those in the label.</w:t>
            </w:r>
          </w:p>
          <w:p w14:paraId="799FAB16" w14:textId="77777777" w:rsidR="00403743" w:rsidRDefault="00403743" w:rsidP="00403743">
            <w:pPr>
              <w:pStyle w:val="TableTextBullet"/>
              <w:tabs>
                <w:tab w:val="num" w:pos="360"/>
              </w:tabs>
            </w:pPr>
            <w:r>
              <w:t xml:space="preserve">For each target created, system prompts user to indicate readiness to verify the labeling of the modified product. </w:t>
            </w:r>
          </w:p>
          <w:p w14:paraId="7D735F5A" w14:textId="77777777" w:rsidR="00403743" w:rsidRDefault="00403743" w:rsidP="00403743">
            <w:pPr>
              <w:pStyle w:val="TableTextBullet"/>
              <w:tabs>
                <w:tab w:val="num" w:pos="360"/>
              </w:tabs>
            </w:pPr>
            <w:r>
              <w:t>No new labels applied to modified product. Proceed to save the unit.</w:t>
            </w:r>
          </w:p>
          <w:p w14:paraId="4E1E0358" w14:textId="77777777" w:rsidR="00403743" w:rsidRDefault="00403743" w:rsidP="00403743">
            <w:pPr>
              <w:pStyle w:val="TableTextBullet"/>
              <w:tabs>
                <w:tab w:val="num" w:pos="360"/>
              </w:tabs>
            </w:pPr>
            <w:r>
              <w:t>Displays a screen to accommodate data entry of the modified unit’s:</w:t>
            </w:r>
          </w:p>
          <w:p w14:paraId="7073265A" w14:textId="77777777" w:rsidR="00403743" w:rsidRDefault="00403743" w:rsidP="00403743">
            <w:pPr>
              <w:pStyle w:val="TableTextBullet1"/>
              <w:tabs>
                <w:tab w:val="clear" w:pos="576"/>
                <w:tab w:val="num" w:pos="288"/>
              </w:tabs>
            </w:pPr>
            <w:r>
              <w:t>ABO/Rh</w:t>
            </w:r>
          </w:p>
          <w:p w14:paraId="0C932D4E" w14:textId="77777777" w:rsidR="00403743" w:rsidRDefault="00403743" w:rsidP="00403743">
            <w:pPr>
              <w:pStyle w:val="TableTextBullet1"/>
              <w:tabs>
                <w:tab w:val="clear" w:pos="576"/>
                <w:tab w:val="num" w:pos="288"/>
              </w:tabs>
            </w:pPr>
            <w:r>
              <w:t>Product Code</w:t>
            </w:r>
          </w:p>
          <w:p w14:paraId="053DBE50" w14:textId="77777777" w:rsidR="00403743" w:rsidRDefault="00403743" w:rsidP="00403743">
            <w:pPr>
              <w:pStyle w:val="TableTextBullet1"/>
              <w:tabs>
                <w:tab w:val="clear" w:pos="576"/>
                <w:tab w:val="num" w:pos="288"/>
              </w:tabs>
            </w:pPr>
            <w:r>
              <w:t>Expiration Date</w:t>
            </w:r>
          </w:p>
          <w:p w14:paraId="2CBAC6A6" w14:textId="77777777" w:rsidR="00403743" w:rsidRDefault="00403743" w:rsidP="00403743">
            <w:pPr>
              <w:pStyle w:val="TableTextBullet"/>
              <w:tabs>
                <w:tab w:val="num" w:pos="360"/>
              </w:tabs>
            </w:pPr>
            <w:r>
              <w:t>This step repeats until all targets have been labeled and/or are ready for continued processing.</w:t>
            </w:r>
          </w:p>
          <w:p w14:paraId="1463A201" w14:textId="77777777" w:rsidR="00403743" w:rsidRDefault="00403743" w:rsidP="00403743">
            <w:pPr>
              <w:pStyle w:val="TableText"/>
            </w:pPr>
          </w:p>
          <w:p w14:paraId="4D4AAFB8" w14:textId="4A5F03C2" w:rsidR="00403743" w:rsidRDefault="00403743" w:rsidP="00403743">
            <w:pPr>
              <w:pStyle w:val="TableText"/>
              <w:rPr>
                <w:b/>
                <w:bCs/>
                <w:szCs w:val="18"/>
              </w:rPr>
            </w:pPr>
            <w:r>
              <w:rPr>
                <w:b/>
                <w:bCs/>
                <w:szCs w:val="18"/>
              </w:rPr>
              <w:t>NOTES</w:t>
            </w:r>
          </w:p>
          <w:p w14:paraId="4543F7E4" w14:textId="77777777" w:rsidR="00403743" w:rsidRDefault="00403743" w:rsidP="00403743">
            <w:pPr>
              <w:pStyle w:val="NotesText"/>
            </w:pPr>
          </w:p>
          <w:p w14:paraId="5B89BBB2" w14:textId="77777777" w:rsidR="00403743" w:rsidRDefault="00403743" w:rsidP="00403743">
            <w:pPr>
              <w:pStyle w:val="NotesText"/>
            </w:pPr>
            <w:r>
              <w:t>The user may select “Verify modified unit label” to verify the modified unit label</w:t>
            </w:r>
            <w:r w:rsidR="00380967">
              <w:t>.</w:t>
            </w:r>
            <w:r>
              <w:t xml:space="preserve"> </w:t>
            </w:r>
            <w:r w:rsidR="00542972">
              <w:t xml:space="preserve">When the user does not verify the label, he </w:t>
            </w:r>
            <w:r w:rsidR="006832A2">
              <w:t xml:space="preserve">must enter a comment and </w:t>
            </w:r>
            <w:r w:rsidR="00BD738E">
              <w:t xml:space="preserve">then </w:t>
            </w:r>
            <w:r w:rsidR="006832A2">
              <w:t>click</w:t>
            </w:r>
            <w:r w:rsidR="00542972">
              <w:t xml:space="preserve"> </w:t>
            </w:r>
            <w:r w:rsidR="00542972" w:rsidRPr="00542972">
              <w:rPr>
                <w:b/>
              </w:rPr>
              <w:t>Cancel</w:t>
            </w:r>
            <w:r w:rsidR="006832A2">
              <w:t xml:space="preserve"> </w:t>
            </w:r>
            <w:r>
              <w:t>to exit.</w:t>
            </w:r>
          </w:p>
          <w:p w14:paraId="4DF27BA6" w14:textId="77777777" w:rsidR="00403743" w:rsidRDefault="00403743" w:rsidP="00403743">
            <w:pPr>
              <w:pStyle w:val="NotesText"/>
            </w:pPr>
          </w:p>
          <w:p w14:paraId="6A7E5CEE" w14:textId="77777777" w:rsidR="00403743" w:rsidRDefault="00403743" w:rsidP="00403743">
            <w:pPr>
              <w:pStyle w:val="NotesText"/>
            </w:pPr>
            <w:r>
              <w:t>When the user does not select “Verify modified unit label,” he may continue at Step 1</w:t>
            </w:r>
            <w:r w:rsidR="00027FF5">
              <w:t>4</w:t>
            </w:r>
            <w:r>
              <w:t xml:space="preserve">. VBECS bypasses the label verification and does not create an Exception Report. </w:t>
            </w:r>
          </w:p>
          <w:p w14:paraId="0CBFF732" w14:textId="77777777" w:rsidR="00403743" w:rsidRDefault="00403743" w:rsidP="00403743">
            <w:pPr>
              <w:pStyle w:val="NotesText"/>
            </w:pPr>
          </w:p>
          <w:p w14:paraId="3B7AFFBF" w14:textId="77777777" w:rsidR="00403743" w:rsidRDefault="00403743" w:rsidP="00403743">
            <w:pPr>
              <w:pStyle w:val="NotesText"/>
              <w:rPr>
                <w:b/>
              </w:rPr>
            </w:pPr>
            <w:r>
              <w:t xml:space="preserve">When a component is modified and a new label is applied, </w:t>
            </w:r>
            <w:r w:rsidR="002A6CE1">
              <w:t>American Association of Blood Banks (</w:t>
            </w:r>
            <w:r>
              <w:t>AABB</w:t>
            </w:r>
            <w:r w:rsidR="002A6CE1">
              <w:t>)</w:t>
            </w:r>
            <w:r>
              <w:t xml:space="preserve"> standards require the labeling process to include a method to ensure the correctness of the unit number, ABO/Rh, expiration date, and component label.</w:t>
            </w:r>
          </w:p>
          <w:p w14:paraId="78B22045" w14:textId="77777777" w:rsidR="00403743" w:rsidRDefault="00403743" w:rsidP="00403743">
            <w:pPr>
              <w:pStyle w:val="NotesText"/>
              <w:rPr>
                <w:b/>
              </w:rPr>
            </w:pPr>
          </w:p>
          <w:p w14:paraId="648CE7C2" w14:textId="77777777" w:rsidR="00403743" w:rsidRDefault="00403743" w:rsidP="00403743">
            <w:pPr>
              <w:pStyle w:val="NotesText"/>
            </w:pPr>
            <w:r w:rsidRPr="00DE10EE">
              <w:rPr>
                <w:rFonts w:cs="Arial"/>
                <w:vanish/>
                <w:color w:val="0000FF"/>
              </w:rPr>
              <w:t>BR_26.29</w:t>
            </w:r>
            <w:r>
              <w:rPr>
                <w:rFonts w:cs="Arial"/>
                <w:vanish/>
              </w:rPr>
              <w:t xml:space="preserve"> </w:t>
            </w:r>
            <w:r>
              <w:t>To verify the label, VBECS compares the entered data with the data of the target unit from the database. The user may scan or enter:</w:t>
            </w:r>
          </w:p>
          <w:p w14:paraId="0CA3DE83" w14:textId="77777777" w:rsidR="00403743" w:rsidRDefault="00403743" w:rsidP="00403743">
            <w:pPr>
              <w:pStyle w:val="NotesTextBullet"/>
            </w:pPr>
            <w:r>
              <w:t>Unit ABO/Rh Label</w:t>
            </w:r>
            <w:r w:rsidR="00682656">
              <w:t xml:space="preserve"> (scan or manual entry)</w:t>
            </w:r>
          </w:p>
          <w:p w14:paraId="059C03B0" w14:textId="77777777" w:rsidR="00403743" w:rsidRDefault="00403743" w:rsidP="00403743">
            <w:pPr>
              <w:pStyle w:val="NotesTextBullet"/>
            </w:pPr>
            <w:r>
              <w:t>Unit Product Code</w:t>
            </w:r>
            <w:r w:rsidR="00682656">
              <w:t xml:space="preserve"> (scan or manual entry)</w:t>
            </w:r>
          </w:p>
          <w:p w14:paraId="4D461DFA" w14:textId="77777777" w:rsidR="00403743" w:rsidRDefault="00403743" w:rsidP="00027FF5">
            <w:pPr>
              <w:pStyle w:val="NotesTextBullet"/>
            </w:pPr>
            <w:r>
              <w:t>Unit Expiration Date</w:t>
            </w:r>
            <w:r w:rsidR="00682656">
              <w:t xml:space="preserve"> (scan or manual entry)</w:t>
            </w:r>
          </w:p>
          <w:p w14:paraId="15F8CBA7" w14:textId="77777777" w:rsidR="00682656" w:rsidRDefault="00682656" w:rsidP="00682656">
            <w:pPr>
              <w:rPr>
                <w:rFonts w:ascii="Arial" w:hAnsi="Arial"/>
                <w:sz w:val="18"/>
              </w:rPr>
            </w:pPr>
          </w:p>
          <w:p w14:paraId="04A97241" w14:textId="77777777" w:rsidR="00682656" w:rsidRDefault="00682656" w:rsidP="00682656">
            <w:pPr>
              <w:pStyle w:val="NotesText"/>
            </w:pPr>
            <w:r>
              <w:t>If all comparisons are okay, VBECS displays a message stating that label verification is complete and asks whether the user wishes to continue.</w:t>
            </w:r>
          </w:p>
          <w:p w14:paraId="7390DE02" w14:textId="77777777" w:rsidR="00682656" w:rsidRDefault="00682656" w:rsidP="00682656">
            <w:pPr>
              <w:pStyle w:val="NotesText"/>
            </w:pPr>
          </w:p>
          <w:p w14:paraId="17A1EDFD" w14:textId="77777777" w:rsidR="00682656" w:rsidRDefault="00682656" w:rsidP="00682656">
            <w:pPr>
              <w:pStyle w:val="NotesText"/>
            </w:pPr>
            <w:r>
              <w:t>If there is not a match, VBECS</w:t>
            </w:r>
            <w:r w:rsidRPr="00682656">
              <w:t xml:space="preserve"> provides an audible alert and displays</w:t>
            </w:r>
            <w:r>
              <w:t xml:space="preserve"> an error message stating that &lt;data element&gt; does NOT match &lt;data element&gt; of record and asks the user to verify labeling and reenter, or select </w:t>
            </w:r>
            <w:r w:rsidRPr="00682656">
              <w:rPr>
                <w:b/>
              </w:rPr>
              <w:t>Continue</w:t>
            </w:r>
            <w:r>
              <w:t>.</w:t>
            </w:r>
          </w:p>
          <w:p w14:paraId="3A33AEBE" w14:textId="77777777" w:rsidR="00682656" w:rsidRDefault="00682656" w:rsidP="00682656">
            <w:pPr>
              <w:pStyle w:val="NotesText"/>
            </w:pPr>
          </w:p>
          <w:p w14:paraId="6BC392D3" w14:textId="77777777" w:rsidR="00682656" w:rsidRDefault="00682656" w:rsidP="00682656">
            <w:pPr>
              <w:pStyle w:val="NotesText"/>
            </w:pPr>
            <w:r>
              <w:lastRenderedPageBreak/>
              <w:t xml:space="preserve">If there is a null or no user entry for one of the fields, VBECS displays an error message stating that &lt;data element&gt; was not entered and asks the user to enter a value or select </w:t>
            </w:r>
            <w:r w:rsidRPr="00682656">
              <w:rPr>
                <w:b/>
              </w:rPr>
              <w:t>Continue</w:t>
            </w:r>
            <w:r>
              <w:t>.</w:t>
            </w:r>
          </w:p>
          <w:p w14:paraId="48E4A6C2" w14:textId="77777777" w:rsidR="00682656" w:rsidRDefault="00682656" w:rsidP="00682656">
            <w:pPr>
              <w:pStyle w:val="NotesText"/>
            </w:pPr>
          </w:p>
          <w:p w14:paraId="06DE2EEE" w14:textId="77777777" w:rsidR="00682656" w:rsidRDefault="00682656" w:rsidP="00682656">
            <w:pPr>
              <w:pStyle w:val="NotesText"/>
            </w:pPr>
            <w:r>
              <w:t>If checks were either invalid or incomplete, VBECS</w:t>
            </w:r>
            <w:r w:rsidRPr="00682656">
              <w:t xml:space="preserve"> will not allow unit issue to this </w:t>
            </w:r>
            <w:r>
              <w:t>or any other patient. VBECS</w:t>
            </w:r>
            <w:r w:rsidRPr="00682656">
              <w:t xml:space="preserve"> displays a warning message: “Unit is unacceptable for transfusion. Releasing all patient assignments and qu</w:t>
            </w:r>
            <w:r>
              <w:t>arantining the unit.” VBECS</w:t>
            </w:r>
            <w:r w:rsidRPr="00682656">
              <w:t xml:space="preserve"> clears the unit data and allows for entry of a different unit number. </w:t>
            </w:r>
            <w:r>
              <w:t xml:space="preserve">When the user selects </w:t>
            </w:r>
            <w:r w:rsidRPr="00682656">
              <w:rPr>
                <w:b/>
              </w:rPr>
              <w:t>Continue</w:t>
            </w:r>
            <w:r>
              <w:t>, a comment is required and details are captured in an exception report. Details in the exception report include:</w:t>
            </w:r>
          </w:p>
          <w:p w14:paraId="14BB1AC2" w14:textId="2E611D9B" w:rsidR="00682656" w:rsidRDefault="00372501" w:rsidP="00925CAD">
            <w:pPr>
              <w:pStyle w:val="StyleTableText9ptChar"/>
              <w:numPr>
                <w:ilvl w:val="0"/>
                <w:numId w:val="65"/>
              </w:numPr>
            </w:pPr>
            <w:r>
              <w:t>Exception</w:t>
            </w:r>
            <w:r w:rsidR="00682656">
              <w:t xml:space="preserve"> type: Target Product Label Failed checks </w:t>
            </w:r>
          </w:p>
          <w:p w14:paraId="68FE4417" w14:textId="77777777" w:rsidR="00682656" w:rsidRDefault="00682656" w:rsidP="00925CAD">
            <w:pPr>
              <w:pStyle w:val="StyleTableText9ptChar"/>
              <w:numPr>
                <w:ilvl w:val="0"/>
                <w:numId w:val="65"/>
              </w:numPr>
            </w:pPr>
            <w:r>
              <w:t>Type of modification: &lt;insert type defined by the transaction&gt;</w:t>
            </w:r>
          </w:p>
          <w:p w14:paraId="7D87085C" w14:textId="77777777" w:rsidR="00682656" w:rsidRDefault="00682656" w:rsidP="00925CAD">
            <w:pPr>
              <w:pStyle w:val="StyleTableText9ptChar"/>
              <w:numPr>
                <w:ilvl w:val="0"/>
                <w:numId w:val="65"/>
              </w:numPr>
            </w:pPr>
            <w:r>
              <w:t>Target Unit ID</w:t>
            </w:r>
          </w:p>
          <w:p w14:paraId="4058A1BD" w14:textId="77777777" w:rsidR="00682656" w:rsidRDefault="00682656" w:rsidP="00925CAD">
            <w:pPr>
              <w:pStyle w:val="StyleTableText9ptChar"/>
              <w:numPr>
                <w:ilvl w:val="0"/>
                <w:numId w:val="65"/>
              </w:numPr>
            </w:pPr>
            <w:r>
              <w:t>Target Unit ABO/Rh</w:t>
            </w:r>
          </w:p>
          <w:p w14:paraId="2341B44A" w14:textId="77777777" w:rsidR="00682656" w:rsidRDefault="00682656" w:rsidP="00925CAD">
            <w:pPr>
              <w:pStyle w:val="StyleTableText9ptChar"/>
              <w:numPr>
                <w:ilvl w:val="0"/>
                <w:numId w:val="65"/>
              </w:numPr>
            </w:pPr>
            <w:r>
              <w:t>Target Unit Product Code</w:t>
            </w:r>
          </w:p>
          <w:p w14:paraId="2AAE528D" w14:textId="77777777" w:rsidR="00682656" w:rsidRDefault="00682656" w:rsidP="00925CAD">
            <w:pPr>
              <w:pStyle w:val="StyleTableText9ptChar"/>
              <w:numPr>
                <w:ilvl w:val="0"/>
                <w:numId w:val="65"/>
              </w:numPr>
            </w:pPr>
            <w:r>
              <w:t>Target Unit Product (Short) Name</w:t>
            </w:r>
          </w:p>
          <w:p w14:paraId="7CA1B2A0" w14:textId="77777777" w:rsidR="00682656" w:rsidRDefault="00682656" w:rsidP="00925CAD">
            <w:pPr>
              <w:pStyle w:val="StyleTableText9ptChar"/>
              <w:numPr>
                <w:ilvl w:val="0"/>
                <w:numId w:val="65"/>
              </w:numPr>
            </w:pPr>
            <w:r>
              <w:t>Target Expiration Date</w:t>
            </w:r>
          </w:p>
          <w:p w14:paraId="624EA84C" w14:textId="77777777" w:rsidR="00682656" w:rsidRDefault="00682656" w:rsidP="00925CAD">
            <w:pPr>
              <w:pStyle w:val="StyleTableText9ptChar"/>
              <w:numPr>
                <w:ilvl w:val="0"/>
                <w:numId w:val="65"/>
              </w:numPr>
            </w:pPr>
            <w:r>
              <w:t>Date/Time of Modification (transaction)</w:t>
            </w:r>
          </w:p>
          <w:p w14:paraId="7E9B5554" w14:textId="77777777" w:rsidR="00682656" w:rsidRDefault="00682656" w:rsidP="00925CAD">
            <w:pPr>
              <w:pStyle w:val="StyleTableText9ptChar"/>
              <w:numPr>
                <w:ilvl w:val="0"/>
                <w:numId w:val="65"/>
              </w:numPr>
            </w:pPr>
            <w:r>
              <w:t>Data Field User Entered Value or “no entry” if null</w:t>
            </w:r>
          </w:p>
          <w:p w14:paraId="28258309" w14:textId="77777777" w:rsidR="00682656" w:rsidRDefault="00682656" w:rsidP="00925CAD">
            <w:pPr>
              <w:pStyle w:val="StyleTableText9ptChar"/>
              <w:numPr>
                <w:ilvl w:val="0"/>
                <w:numId w:val="65"/>
              </w:numPr>
            </w:pPr>
            <w:r>
              <w:t>Data Field Correct or Expected Value</w:t>
            </w:r>
          </w:p>
          <w:p w14:paraId="4220AC23" w14:textId="77777777" w:rsidR="00682656" w:rsidRDefault="00682656" w:rsidP="00925CAD">
            <w:pPr>
              <w:pStyle w:val="StyleTableText9ptChar"/>
              <w:numPr>
                <w:ilvl w:val="0"/>
                <w:numId w:val="65"/>
              </w:numPr>
            </w:pPr>
            <w:r>
              <w:t>Required Comment (“unit modification” context)</w:t>
            </w:r>
          </w:p>
          <w:p w14:paraId="7A789992" w14:textId="77777777" w:rsidR="00682656" w:rsidRDefault="00682656" w:rsidP="00925CAD">
            <w:pPr>
              <w:pStyle w:val="StyleTableText9ptChar"/>
              <w:numPr>
                <w:ilvl w:val="0"/>
                <w:numId w:val="65"/>
              </w:numPr>
            </w:pPr>
            <w:r>
              <w:t>Modifying Tech ID, print Tech name on report</w:t>
            </w:r>
          </w:p>
          <w:p w14:paraId="7FA87497" w14:textId="77777777" w:rsidR="00682656" w:rsidRDefault="00682656" w:rsidP="00925CAD">
            <w:pPr>
              <w:pStyle w:val="StyleTableText9ptChar"/>
              <w:numPr>
                <w:ilvl w:val="0"/>
                <w:numId w:val="65"/>
              </w:numPr>
            </w:pPr>
            <w:r>
              <w:t>Login Tech ID, print Tech name on report</w:t>
            </w:r>
          </w:p>
          <w:p w14:paraId="7C8DBD1D" w14:textId="77777777" w:rsidR="00682656" w:rsidRDefault="00682656" w:rsidP="00925CAD">
            <w:pPr>
              <w:pStyle w:val="StyleTableText9ptChar"/>
              <w:numPr>
                <w:ilvl w:val="0"/>
                <w:numId w:val="65"/>
              </w:numPr>
            </w:pPr>
            <w:r>
              <w:t>Division</w:t>
            </w:r>
          </w:p>
        </w:tc>
      </w:tr>
      <w:tr w:rsidR="002A21AE" w14:paraId="7A454AAF" w14:textId="77777777">
        <w:tc>
          <w:tcPr>
            <w:tcW w:w="3240" w:type="dxa"/>
          </w:tcPr>
          <w:p w14:paraId="73AC602F" w14:textId="77777777" w:rsidR="002A21AE" w:rsidRDefault="002A21AE">
            <w:pPr>
              <w:pStyle w:val="TableTextNumbers"/>
            </w:pPr>
            <w:r>
              <w:lastRenderedPageBreak/>
              <w:t>Scan or enter each label on the target unit.</w:t>
            </w:r>
          </w:p>
        </w:tc>
        <w:tc>
          <w:tcPr>
            <w:tcW w:w="6120" w:type="dxa"/>
          </w:tcPr>
          <w:p w14:paraId="36F2E129" w14:textId="77777777" w:rsidR="002A21AE" w:rsidRDefault="002A21AE">
            <w:pPr>
              <w:pStyle w:val="TableTextBullet"/>
            </w:pPr>
            <w:r>
              <w:t xml:space="preserve">Compares the data entered in each field to the database. </w:t>
            </w:r>
          </w:p>
          <w:p w14:paraId="1EB4C5ED" w14:textId="77777777" w:rsidR="002A21AE" w:rsidRDefault="002A21AE">
            <w:pPr>
              <w:pStyle w:val="TableTextBullet"/>
            </w:pPr>
            <w:r>
              <w:t>Asks whether the user wishes to save the data. When the user confirms that the data are correct, notifies him that the label verification is complete.</w:t>
            </w:r>
          </w:p>
          <w:p w14:paraId="1819DB62" w14:textId="77777777" w:rsidR="002A21AE" w:rsidRDefault="002A21AE">
            <w:pPr>
              <w:pStyle w:val="TableTextBullet"/>
            </w:pPr>
            <w:r>
              <w:rPr>
                <w:rFonts w:cs="Arial"/>
                <w:vanish/>
              </w:rPr>
              <w:t xml:space="preserve">BR_26.27 </w:t>
            </w:r>
            <w:r>
              <w:t xml:space="preserve">Records the modified or restriction-released unit relabeling data as part of the unit record and stores the data for inclusion in the unit </w:t>
            </w:r>
            <w:r w:rsidR="0051757B">
              <w:t>history</w:t>
            </w:r>
            <w:r>
              <w:t xml:space="preserve"> report.</w:t>
            </w:r>
          </w:p>
          <w:p w14:paraId="3302009D" w14:textId="77777777" w:rsidR="002A21AE" w:rsidRDefault="002A21AE">
            <w:pPr>
              <w:pStyle w:val="TableTextBullet"/>
              <w:tabs>
                <w:tab w:val="clear" w:pos="288"/>
              </w:tabs>
            </w:pPr>
            <w:r>
              <w:t>When the user confirms that the comparisons are correct, notifies him and asks whether he wishes to continue.</w:t>
            </w:r>
          </w:p>
          <w:p w14:paraId="6EDE61D9" w14:textId="77777777" w:rsidR="002A21AE" w:rsidRDefault="002A21AE">
            <w:pPr>
              <w:pStyle w:val="TableText"/>
            </w:pPr>
          </w:p>
          <w:p w14:paraId="645CA15D" w14:textId="3A200437" w:rsidR="002A21AE" w:rsidRDefault="002A21AE">
            <w:pPr>
              <w:pStyle w:val="TableText"/>
              <w:rPr>
                <w:b/>
                <w:bCs/>
                <w:szCs w:val="18"/>
              </w:rPr>
            </w:pPr>
            <w:r>
              <w:rPr>
                <w:b/>
                <w:bCs/>
                <w:szCs w:val="18"/>
              </w:rPr>
              <w:t>NOTES</w:t>
            </w:r>
          </w:p>
          <w:p w14:paraId="50A75D67" w14:textId="77777777" w:rsidR="002A21AE" w:rsidRDefault="002A21AE">
            <w:pPr>
              <w:pStyle w:val="NotesText"/>
            </w:pPr>
          </w:p>
          <w:p w14:paraId="3FB7127B" w14:textId="77777777" w:rsidR="002A21AE" w:rsidRDefault="00E979DB">
            <w:pPr>
              <w:pStyle w:val="NotesText"/>
            </w:pPr>
            <w:r>
              <w:t xml:space="preserve"> </w:t>
            </w:r>
          </w:p>
          <w:p w14:paraId="6D4CDF42" w14:textId="77777777" w:rsidR="002A21AE" w:rsidRDefault="002A21AE">
            <w:pPr>
              <w:pStyle w:val="NotesText"/>
            </w:pPr>
            <w:r>
              <w:t xml:space="preserve">When there is no previous entry for a field, VBECS notifies the user and instructs him to enter a value or select </w:t>
            </w:r>
            <w:r w:rsidR="0082101B">
              <w:rPr>
                <w:b/>
              </w:rPr>
              <w:t>Cancel</w:t>
            </w:r>
            <w:r>
              <w:t>.</w:t>
            </w:r>
          </w:p>
          <w:p w14:paraId="391DDA5E" w14:textId="77777777" w:rsidR="002A21AE" w:rsidRDefault="002A21AE">
            <w:pPr>
              <w:pStyle w:val="NotesText"/>
            </w:pPr>
          </w:p>
          <w:p w14:paraId="494F177F" w14:textId="77777777" w:rsidR="002A21AE" w:rsidRDefault="00892350">
            <w:pPr>
              <w:pStyle w:val="NotesText"/>
            </w:pPr>
            <w:r>
              <w:t>VBECS requires a comment w</w:t>
            </w:r>
            <w:r w:rsidR="002A21AE">
              <w:t xml:space="preserve">hen the user selects </w:t>
            </w:r>
            <w:r w:rsidR="0082101B">
              <w:rPr>
                <w:b/>
              </w:rPr>
              <w:t>Cancel</w:t>
            </w:r>
            <w:r w:rsidR="002A21AE">
              <w:t>, and captures details for inclusion in an Exception Report (exception type: target product label failed checks).</w:t>
            </w:r>
          </w:p>
        </w:tc>
      </w:tr>
      <w:tr w:rsidR="002A21AE" w14:paraId="3EBDA77C" w14:textId="77777777">
        <w:tc>
          <w:tcPr>
            <w:tcW w:w="3240" w:type="dxa"/>
          </w:tcPr>
          <w:p w14:paraId="4F4F1CD3" w14:textId="77777777" w:rsidR="002A21AE" w:rsidRDefault="002A21AE">
            <w:pPr>
              <w:pStyle w:val="TableTextNumbers"/>
            </w:pPr>
            <w:r>
              <w:t xml:space="preserve">Click </w:t>
            </w:r>
            <w:r>
              <w:rPr>
                <w:b/>
              </w:rPr>
              <w:t>OK</w:t>
            </w:r>
            <w:r>
              <w:t xml:space="preserve"> to confirm the save.</w:t>
            </w:r>
          </w:p>
        </w:tc>
        <w:tc>
          <w:tcPr>
            <w:tcW w:w="6120" w:type="dxa"/>
          </w:tcPr>
          <w:p w14:paraId="2911B13B" w14:textId="77777777" w:rsidR="002A21AE" w:rsidRDefault="002A21AE">
            <w:pPr>
              <w:pStyle w:val="TableTextBullet"/>
              <w:tabs>
                <w:tab w:val="clear" w:pos="288"/>
              </w:tabs>
            </w:pPr>
            <w:r>
              <w:t>Saves the new modified unit data.</w:t>
            </w:r>
          </w:p>
          <w:p w14:paraId="26C8F176" w14:textId="77777777" w:rsidR="002A21AE" w:rsidRDefault="002A21AE">
            <w:pPr>
              <w:pStyle w:val="TableTextBullet"/>
              <w:tabs>
                <w:tab w:val="clear" w:pos="288"/>
              </w:tabs>
            </w:pPr>
            <w:r>
              <w:t>Updates the status of the original unit to “modified.”</w:t>
            </w:r>
          </w:p>
          <w:p w14:paraId="05E40B38" w14:textId="77777777" w:rsidR="00EE2911" w:rsidRDefault="00EE2911">
            <w:pPr>
              <w:pStyle w:val="TableTextBullet"/>
              <w:tabs>
                <w:tab w:val="clear" w:pos="288"/>
              </w:tabs>
            </w:pPr>
            <w:r>
              <w:t>Records the unit ID of the target unit on the record of the original unit.</w:t>
            </w:r>
          </w:p>
          <w:p w14:paraId="188F2489" w14:textId="77777777" w:rsidR="002A21AE" w:rsidRDefault="002A21AE">
            <w:pPr>
              <w:pStyle w:val="TableTextBullet"/>
              <w:tabs>
                <w:tab w:val="clear" w:pos="288"/>
              </w:tabs>
            </w:pPr>
            <w:r>
              <w:t>Prompts the user to modify another unit.</w:t>
            </w:r>
          </w:p>
          <w:p w14:paraId="4679504B" w14:textId="77777777" w:rsidR="002A21AE" w:rsidRDefault="002A21AE">
            <w:pPr>
              <w:pStyle w:val="TableText"/>
            </w:pPr>
          </w:p>
          <w:p w14:paraId="370A33C0" w14:textId="794E8A8B" w:rsidR="002A21AE" w:rsidRDefault="002A21AE">
            <w:pPr>
              <w:pStyle w:val="TableText"/>
              <w:rPr>
                <w:b/>
                <w:bCs/>
                <w:szCs w:val="18"/>
              </w:rPr>
            </w:pPr>
            <w:r>
              <w:rPr>
                <w:b/>
                <w:bCs/>
                <w:szCs w:val="18"/>
              </w:rPr>
              <w:t>NOTES</w:t>
            </w:r>
          </w:p>
          <w:p w14:paraId="1D7012CF" w14:textId="77777777" w:rsidR="002A21AE" w:rsidRDefault="002A21AE">
            <w:pPr>
              <w:pStyle w:val="NotesText"/>
            </w:pPr>
          </w:p>
          <w:p w14:paraId="6F8E62AB" w14:textId="77777777" w:rsidR="002A21AE" w:rsidRDefault="002A21AE">
            <w:pPr>
              <w:pStyle w:val="NotesText"/>
              <w:rPr>
                <w:i/>
              </w:rPr>
            </w:pPr>
            <w:r>
              <w:rPr>
                <w:rFonts w:cs="Arial"/>
                <w:vanish/>
              </w:rPr>
              <w:t xml:space="preserve">BR_26.15 </w:t>
            </w:r>
            <w:r>
              <w:t>The target unit automatically inh</w:t>
            </w:r>
            <w:r w:rsidR="00131240">
              <w:t>erits original unit data</w:t>
            </w:r>
            <w:r>
              <w:t>:</w:t>
            </w:r>
            <w:r>
              <w:rPr>
                <w:i/>
              </w:rPr>
              <w:t xml:space="preserve"> </w:t>
            </w:r>
          </w:p>
          <w:p w14:paraId="446C214C" w14:textId="77777777" w:rsidR="00391084" w:rsidRDefault="00391084">
            <w:pPr>
              <w:pStyle w:val="NotesTextBullet"/>
            </w:pPr>
            <w:r>
              <w:t>Additional unit testing (CMV, Sickle Cell, antigen typings, = &gt; 2 mL RBC contamination)</w:t>
            </w:r>
          </w:p>
          <w:p w14:paraId="03463F19" w14:textId="77777777" w:rsidR="002A21AE" w:rsidRDefault="002A21AE">
            <w:pPr>
              <w:pStyle w:val="NotesTextBullet"/>
            </w:pPr>
            <w:r>
              <w:lastRenderedPageBreak/>
              <w:t>Unit ABO/Rh (from login)</w:t>
            </w:r>
          </w:p>
          <w:p w14:paraId="38EF576F" w14:textId="77777777" w:rsidR="002A21AE" w:rsidRDefault="002A21AE">
            <w:pPr>
              <w:pStyle w:val="NotesTextBullet"/>
            </w:pPr>
            <w:r>
              <w:t>ABO/Rh confirmation testing information (when performed)</w:t>
            </w:r>
          </w:p>
          <w:p w14:paraId="50F9FD64" w14:textId="77777777" w:rsidR="002A21AE" w:rsidRDefault="002A21AE">
            <w:pPr>
              <w:pStyle w:val="NotesTextBullet"/>
            </w:pPr>
            <w:r>
              <w:t>Unit ID</w:t>
            </w:r>
          </w:p>
          <w:p w14:paraId="217ABB6C" w14:textId="77777777" w:rsidR="002A21AE" w:rsidRDefault="002A21AE">
            <w:pPr>
              <w:pStyle w:val="NotesTextBullet"/>
            </w:pPr>
            <w:r>
              <w:t xml:space="preserve">Unit Volume </w:t>
            </w:r>
            <w:r w:rsidR="0039034C">
              <w:t>(exceptions – target unit created as a result of Split or Volume Reduce does not inherit original unit volume. Target unit volume must be manually entered for volume reduced units)</w:t>
            </w:r>
          </w:p>
          <w:p w14:paraId="7C74ECC2" w14:textId="77777777" w:rsidR="002A21AE" w:rsidRDefault="002A21AE">
            <w:pPr>
              <w:pStyle w:val="NotesTextBullet"/>
            </w:pPr>
            <w:r>
              <w:t>Donation type</w:t>
            </w:r>
          </w:p>
          <w:p w14:paraId="2CABB61B" w14:textId="77777777" w:rsidR="002A21AE" w:rsidRDefault="002A21AE">
            <w:pPr>
              <w:pStyle w:val="NotesTextBullet"/>
            </w:pPr>
            <w:r>
              <w:t>Disease marker testing information, when autologous.</w:t>
            </w:r>
          </w:p>
          <w:p w14:paraId="5275E560" w14:textId="77777777" w:rsidR="002A21AE" w:rsidRDefault="002A21AE">
            <w:pPr>
              <w:pStyle w:val="NotesTextBullet"/>
            </w:pPr>
            <w:r>
              <w:t>Restricted for patient name, ID.</w:t>
            </w:r>
          </w:p>
          <w:p w14:paraId="0FED7D3A" w14:textId="77777777" w:rsidR="002A21AE" w:rsidRDefault="002A21AE">
            <w:pPr>
              <w:pStyle w:val="NotesTextBullet"/>
            </w:pPr>
            <w:r>
              <w:t>Current status</w:t>
            </w:r>
          </w:p>
          <w:p w14:paraId="24E9DC62" w14:textId="77777777" w:rsidR="002A21AE" w:rsidRDefault="002A21AE">
            <w:pPr>
              <w:pStyle w:val="NotesTextBullet"/>
            </w:pPr>
            <w:r>
              <w:t>Biohazard Indicator</w:t>
            </w:r>
          </w:p>
          <w:p w14:paraId="3AB86BED" w14:textId="77777777" w:rsidR="002A21AE" w:rsidRDefault="002A21AE">
            <w:pPr>
              <w:pStyle w:val="NotesTextBullet"/>
            </w:pPr>
            <w:r>
              <w:t>Quarantine Indicator</w:t>
            </w:r>
          </w:p>
          <w:p w14:paraId="50113225" w14:textId="77777777" w:rsidR="002A21AE" w:rsidRDefault="002A21AE" w:rsidP="00391084">
            <w:pPr>
              <w:pStyle w:val="NotesTextBullet"/>
            </w:pPr>
            <w:r>
              <w:t>Division</w:t>
            </w:r>
          </w:p>
        </w:tc>
      </w:tr>
      <w:tr w:rsidR="002A21AE" w14:paraId="49727980" w14:textId="77777777">
        <w:tc>
          <w:tcPr>
            <w:tcW w:w="3240" w:type="dxa"/>
          </w:tcPr>
          <w:p w14:paraId="0CCF050F" w14:textId="2A0490B2" w:rsidR="002A21AE" w:rsidRDefault="002A21AE">
            <w:pPr>
              <w:pStyle w:val="TableTextNumbers"/>
            </w:pPr>
            <w:r>
              <w:lastRenderedPageBreak/>
              <w:t>Repeat Steps 3</w:t>
            </w:r>
            <w:r w:rsidR="004F5589">
              <w:t xml:space="preserve"> through </w:t>
            </w:r>
            <w:r>
              <w:t xml:space="preserve">14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D01CF16" w14:textId="77777777" w:rsidR="002A21AE" w:rsidRDefault="002A21AE">
            <w:pPr>
              <w:pStyle w:val="TableText"/>
            </w:pPr>
          </w:p>
        </w:tc>
      </w:tr>
    </w:tbl>
    <w:p w14:paraId="47ABFCBD" w14:textId="61B2FD67" w:rsidR="001B4885" w:rsidRDefault="001B4885" w:rsidP="001B4885">
      <w:pPr>
        <w:pStyle w:val="Caption"/>
      </w:pPr>
      <w:bookmarkStart w:id="302" w:name="_Ref126649536"/>
      <w:bookmarkStart w:id="303" w:name="_Ref23852327"/>
      <w:bookmarkStart w:id="304" w:name="_Toc9434932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61</w:t>
      </w:r>
      <w:r w:rsidR="004E20BD">
        <w:rPr>
          <w:noProof/>
        </w:rPr>
        <w:fldChar w:fldCharType="end"/>
      </w:r>
      <w:bookmarkEnd w:id="302"/>
      <w:r>
        <w:t>: Modify Unit(s)</w:t>
      </w:r>
      <w:bookmarkEnd w:id="303"/>
    </w:p>
    <w:p w14:paraId="2C0BC550" w14:textId="734E5C47" w:rsidR="001B4885" w:rsidRDefault="00570C93" w:rsidP="00AB1E83">
      <w:pPr>
        <w:pStyle w:val="BodyText"/>
      </w:pPr>
      <w:r>
        <w:rPr>
          <w:noProof/>
        </w:rPr>
        <w:drawing>
          <wp:inline distT="0" distB="0" distL="0" distR="0" wp14:anchorId="0777C66E" wp14:editId="00E015E6">
            <wp:extent cx="3752850" cy="4965700"/>
            <wp:effectExtent l="0" t="0" r="0" b="6350"/>
            <wp:docPr id="64" name="Picture 64" descr="Example of Modify Uni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Example of Modify Unit(s) screen captur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52850" cy="4965700"/>
                    </a:xfrm>
                    <a:prstGeom prst="rect">
                      <a:avLst/>
                    </a:prstGeom>
                    <a:noFill/>
                    <a:ln>
                      <a:noFill/>
                    </a:ln>
                  </pic:spPr>
                </pic:pic>
              </a:graphicData>
            </a:graphic>
          </wp:inline>
        </w:drawing>
      </w:r>
    </w:p>
    <w:p w14:paraId="5A9D620E" w14:textId="7842E8EA" w:rsidR="00443BD5" w:rsidRDefault="00443BD5" w:rsidP="00443BD5">
      <w:pPr>
        <w:pStyle w:val="Caption"/>
      </w:pPr>
      <w:bookmarkStart w:id="305" w:name="_Ref12665040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62</w:t>
      </w:r>
      <w:r w:rsidR="004E20BD">
        <w:rPr>
          <w:noProof/>
        </w:rPr>
        <w:fldChar w:fldCharType="end"/>
      </w:r>
      <w:bookmarkEnd w:id="305"/>
      <w:r>
        <w:t>: Split/Divide Unit</w:t>
      </w:r>
    </w:p>
    <w:p w14:paraId="62C7A4AD" w14:textId="56AE3E47" w:rsidR="00443BD5" w:rsidRDefault="00570C93" w:rsidP="00443BD5">
      <w:pPr>
        <w:pStyle w:val="BodyText"/>
      </w:pPr>
      <w:r>
        <w:rPr>
          <w:noProof/>
        </w:rPr>
        <w:drawing>
          <wp:inline distT="0" distB="0" distL="0" distR="0" wp14:anchorId="5653F3A0" wp14:editId="72CE6C76">
            <wp:extent cx="5943600" cy="4898390"/>
            <wp:effectExtent l="0" t="0" r="0" b="0"/>
            <wp:docPr id="55" name="Picture 55" descr="Example of Split/Divide Uni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ample of Split/Divide Unit screen capt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4898390"/>
                    </a:xfrm>
                    <a:prstGeom prst="rect">
                      <a:avLst/>
                    </a:prstGeom>
                    <a:noFill/>
                    <a:ln>
                      <a:noFill/>
                    </a:ln>
                  </pic:spPr>
                </pic:pic>
              </a:graphicData>
            </a:graphic>
          </wp:inline>
        </w:drawing>
      </w:r>
    </w:p>
    <w:p w14:paraId="200568C7" w14:textId="49C9D5F1" w:rsidR="00051E30" w:rsidRDefault="00051E30" w:rsidP="00051E30">
      <w:pPr>
        <w:pStyle w:val="Caption"/>
      </w:pPr>
      <w:bookmarkStart w:id="306" w:name="_Ref12665085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63</w:t>
      </w:r>
      <w:r w:rsidR="004E20BD">
        <w:rPr>
          <w:noProof/>
        </w:rPr>
        <w:fldChar w:fldCharType="end"/>
      </w:r>
      <w:bookmarkEnd w:id="306"/>
      <w:r>
        <w:t>: Verify Printed Label</w:t>
      </w:r>
    </w:p>
    <w:p w14:paraId="0A914B4D" w14:textId="2923D8AD" w:rsidR="00051E30" w:rsidRDefault="008C4FF4" w:rsidP="00443BD5">
      <w:pPr>
        <w:pStyle w:val="BodyText"/>
      </w:pPr>
      <w:r w:rsidRPr="008C4FF4">
        <w:t xml:space="preserve"> </w:t>
      </w:r>
      <w:r w:rsidR="00653A4D">
        <w:rPr>
          <w:noProof/>
        </w:rPr>
        <w:drawing>
          <wp:inline distT="0" distB="0" distL="0" distR="0" wp14:anchorId="4BD7D278" wp14:editId="14C1572C">
            <wp:extent cx="5905500" cy="3695700"/>
            <wp:effectExtent l="0" t="0" r="0" b="0"/>
            <wp:docPr id="171" name="Picture 171" descr="Example of Verify Printed Label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Example of Verify Printed Label screen capt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p>
    <w:p w14:paraId="03027483" w14:textId="77777777" w:rsidR="002A21AE" w:rsidRDefault="00263B24">
      <w:pPr>
        <w:pStyle w:val="Heading4"/>
      </w:pPr>
      <w:r w:rsidRPr="00896F17">
        <w:rPr>
          <w:rStyle w:val="BullhornChar"/>
        </w:rPr>
        <w:t></w:t>
      </w:r>
      <w:r>
        <w:rPr>
          <w:rFonts w:ascii="Webdings" w:hAnsi="Webdings"/>
        </w:rPr>
        <w:t></w:t>
      </w:r>
      <w:r>
        <w:t>A</w:t>
      </w:r>
      <w:r w:rsidR="002A21AE">
        <w:t>lerts</w:t>
      </w:r>
      <w:bookmarkEnd w:id="304"/>
    </w:p>
    <w:p w14:paraId="103C6729" w14:textId="539A46A6" w:rsidR="002A21AE" w:rsidRDefault="00B94CA8" w:rsidP="00B94CA8">
      <w:pPr>
        <w:pStyle w:val="Caption"/>
      </w:pPr>
      <w:bookmarkStart w:id="307" w:name="_Ref50989899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5</w:t>
      </w:r>
      <w:r w:rsidR="004E20BD">
        <w:rPr>
          <w:noProof/>
        </w:rPr>
        <w:fldChar w:fldCharType="end"/>
      </w:r>
      <w:bookmarkEnd w:id="307"/>
      <w:r>
        <w:t>: Alerts That May Occur in Modify Units</w:t>
      </w:r>
      <w:r w:rsidR="00812371">
        <w:fldChar w:fldCharType="begin"/>
      </w:r>
      <w:r w:rsidR="00812371">
        <w:instrText xml:space="preserve"> XE "Tables:Alerts That May Occur in Modify Units" </w:instrText>
      </w:r>
      <w:r w:rsidR="00812371">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6A2778D7" w14:textId="77777777" w:rsidTr="004A7B44">
        <w:trPr>
          <w:cantSplit/>
          <w:tblHeader/>
        </w:trPr>
        <w:tc>
          <w:tcPr>
            <w:tcW w:w="780" w:type="dxa"/>
            <w:shd w:val="clear" w:color="auto" w:fill="B3B3B3"/>
          </w:tcPr>
          <w:p w14:paraId="784E51C1" w14:textId="77777777" w:rsidR="002A21AE" w:rsidRDefault="002A21AE">
            <w:pPr>
              <w:pStyle w:val="TableText"/>
              <w:rPr>
                <w:b/>
              </w:rPr>
            </w:pPr>
            <w:r>
              <w:rPr>
                <w:b/>
              </w:rPr>
              <w:t>Step</w:t>
            </w:r>
          </w:p>
        </w:tc>
        <w:tc>
          <w:tcPr>
            <w:tcW w:w="8580" w:type="dxa"/>
            <w:shd w:val="clear" w:color="auto" w:fill="B3B3B3"/>
          </w:tcPr>
          <w:p w14:paraId="6FA3635A" w14:textId="77777777" w:rsidR="002A21AE" w:rsidRDefault="002A21AE">
            <w:pPr>
              <w:pStyle w:val="TableText"/>
              <w:rPr>
                <w:b/>
              </w:rPr>
            </w:pPr>
            <w:r>
              <w:rPr>
                <w:b/>
              </w:rPr>
              <w:t>Alerts</w:t>
            </w:r>
          </w:p>
        </w:tc>
      </w:tr>
      <w:tr w:rsidR="002A21AE" w14:paraId="7A514020" w14:textId="77777777" w:rsidTr="004A7B44">
        <w:trPr>
          <w:cantSplit/>
        </w:trPr>
        <w:tc>
          <w:tcPr>
            <w:tcW w:w="780" w:type="dxa"/>
          </w:tcPr>
          <w:p w14:paraId="0753C7C5" w14:textId="77777777" w:rsidR="002A21AE" w:rsidRDefault="002A21AE">
            <w:pPr>
              <w:pStyle w:val="TableText"/>
            </w:pPr>
            <w:r>
              <w:t>6</w:t>
            </w:r>
          </w:p>
        </w:tc>
        <w:tc>
          <w:tcPr>
            <w:tcW w:w="8580" w:type="dxa"/>
          </w:tcPr>
          <w:p w14:paraId="3423871E" w14:textId="77777777" w:rsidR="002A21AE" w:rsidRDefault="002A21AE">
            <w:pPr>
              <w:pStyle w:val="TableText"/>
            </w:pPr>
            <w:r w:rsidRPr="002D7202">
              <w:rPr>
                <w:rFonts w:cs="Arial"/>
                <w:vanish/>
                <w:color w:val="0000FF"/>
                <w:szCs w:val="18"/>
              </w:rPr>
              <w:t>BR_26.03</w:t>
            </w:r>
            <w:r w:rsidR="00CE3961" w:rsidRPr="00CE3961">
              <w:rPr>
                <w:vanish/>
                <w:szCs w:val="18"/>
              </w:rPr>
              <w:t>,</w:t>
            </w:r>
            <w:r w:rsidRPr="00CE3961">
              <w:rPr>
                <w:vanish/>
                <w:szCs w:val="18"/>
              </w:rPr>
              <w:t xml:space="preserve"> </w:t>
            </w:r>
            <w:r>
              <w:rPr>
                <w:vanish/>
                <w:szCs w:val="18"/>
              </w:rPr>
              <w:t xml:space="preserve">BR_26.44 </w:t>
            </w:r>
            <w:r>
              <w:t xml:space="preserve">VBECS compares the original unit’s expiration date and time to those of the modification to determine whether the selected unit was expired at the time of modification. When the user is a Blood Bank Technologist and the unit selected for modification expired, VBECS </w:t>
            </w:r>
            <w:r w:rsidR="007313EB">
              <w:t xml:space="preserve">emits an audible alert, </w:t>
            </w:r>
            <w:r>
              <w:t>displays an error message, clears the selected unit, and allows the user to select another unit for modification.</w:t>
            </w:r>
          </w:p>
          <w:p w14:paraId="5203465D" w14:textId="77777777" w:rsidR="002A21AE" w:rsidRDefault="002A21AE">
            <w:pPr>
              <w:pStyle w:val="TableText"/>
            </w:pPr>
          </w:p>
          <w:p w14:paraId="62AF4E07" w14:textId="77777777" w:rsidR="002A21AE" w:rsidRDefault="002A21AE">
            <w:pPr>
              <w:pStyle w:val="TableTextBullet1"/>
              <w:numPr>
                <w:ilvl w:val="0"/>
                <w:numId w:val="0"/>
              </w:numPr>
            </w:pPr>
            <w:r w:rsidRPr="00EC7489">
              <w:rPr>
                <w:rFonts w:ascii="Wingdings 3" w:hAnsi="Wingdings 3" w:cs="Wingdings"/>
              </w:rPr>
              <w:t></w:t>
            </w:r>
            <w:r w:rsidRPr="00EC7489">
              <w:rPr>
                <w:rFonts w:ascii="Wingdings 3" w:hAnsi="Wingdings 3" w:cs="Wingdings"/>
              </w:rPr>
              <w:t></w:t>
            </w:r>
            <w:r>
              <w:t xml:space="preserve"> When the user is an Enhanced Technologist and the unit selected for modification is expired, VBECS emits an audible alert, notifies the user, and asks him to verify to continue, or cancel to correct the entry data. </w:t>
            </w:r>
            <w:r w:rsidR="00692DD1">
              <w:rPr>
                <w:b/>
              </w:rPr>
              <w:t>Override</w:t>
            </w:r>
            <w:r w:rsidR="00692DD1">
              <w:t xml:space="preserve"> </w:t>
            </w:r>
            <w:r>
              <w:t xml:space="preserve">requires a comment and VBECS captures details for inclusion in an Exception Report (exception type: expires unit modified). </w:t>
            </w:r>
            <w:r>
              <w:rPr>
                <w:b/>
              </w:rPr>
              <w:t>Cancel</w:t>
            </w:r>
            <w:r>
              <w:t xml:space="preserve"> clears the selected unit and allows the user to select another unit for modification.</w:t>
            </w:r>
          </w:p>
        </w:tc>
      </w:tr>
      <w:tr w:rsidR="002A21AE" w14:paraId="329DA3A7" w14:textId="77777777" w:rsidTr="004A7B44">
        <w:trPr>
          <w:cantSplit/>
        </w:trPr>
        <w:tc>
          <w:tcPr>
            <w:tcW w:w="780" w:type="dxa"/>
          </w:tcPr>
          <w:p w14:paraId="1A1606CF" w14:textId="77777777" w:rsidR="002A21AE" w:rsidRDefault="002A21AE">
            <w:pPr>
              <w:pStyle w:val="TableText"/>
            </w:pPr>
            <w:r>
              <w:t>6</w:t>
            </w:r>
          </w:p>
        </w:tc>
        <w:tc>
          <w:tcPr>
            <w:tcW w:w="8580" w:type="dxa"/>
          </w:tcPr>
          <w:p w14:paraId="5A0FFE5A" w14:textId="77777777" w:rsidR="002A21AE" w:rsidRDefault="002A21AE">
            <w:pPr>
              <w:pStyle w:val="TableText"/>
            </w:pPr>
            <w:r w:rsidRPr="00317A8A">
              <w:rPr>
                <w:rFonts w:cs="Arial"/>
                <w:vanish/>
                <w:color w:val="0000FF"/>
              </w:rPr>
              <w:t>BR_26.07</w:t>
            </w:r>
            <w:r>
              <w:rPr>
                <w:rFonts w:cs="Arial"/>
                <w:vanish/>
              </w:rPr>
              <w:t xml:space="preserve"> </w:t>
            </w:r>
            <w:r>
              <w:t>When ABO/Rh confirmation testing is required but not performed, VBECS notifies the user that testing must be completed before issuing a target unit. The user may continue with the modification.</w:t>
            </w:r>
          </w:p>
        </w:tc>
      </w:tr>
      <w:tr w:rsidR="002A21AE" w14:paraId="044B4FF4" w14:textId="77777777" w:rsidTr="004A7B44">
        <w:trPr>
          <w:cantSplit/>
        </w:trPr>
        <w:tc>
          <w:tcPr>
            <w:tcW w:w="780" w:type="dxa"/>
          </w:tcPr>
          <w:p w14:paraId="649C1927" w14:textId="77777777" w:rsidR="002A21AE" w:rsidRDefault="002A21AE">
            <w:pPr>
              <w:pStyle w:val="TableText"/>
            </w:pPr>
            <w:r>
              <w:t>6</w:t>
            </w:r>
          </w:p>
        </w:tc>
        <w:tc>
          <w:tcPr>
            <w:tcW w:w="8580" w:type="dxa"/>
          </w:tcPr>
          <w:p w14:paraId="537DE50D" w14:textId="77777777" w:rsidR="00A36571" w:rsidRDefault="00A36571" w:rsidP="00A36571">
            <w:pPr>
              <w:pStyle w:val="TableText"/>
            </w:pPr>
            <w:r w:rsidRPr="004A4EC2">
              <w:rPr>
                <w:rFonts w:cs="Arial"/>
                <w:vanish/>
                <w:color w:val="0000FF"/>
              </w:rPr>
              <w:t>BR_26.05</w:t>
            </w:r>
            <w:r>
              <w:rPr>
                <w:rFonts w:cs="Arial"/>
                <w:vanish/>
              </w:rPr>
              <w:t xml:space="preserve"> </w:t>
            </w:r>
            <w:r>
              <w:t>When a unit has an indicator of “quarantined,” VBECS notifies the user that it must be released before processing may continue, clears the selected unit, and allows the user to select another unit.</w:t>
            </w:r>
          </w:p>
          <w:p w14:paraId="1FC9158B" w14:textId="77777777" w:rsidR="00A36571" w:rsidRDefault="00A36571" w:rsidP="00A36571">
            <w:pPr>
              <w:pStyle w:val="TableText"/>
            </w:pPr>
          </w:p>
          <w:p w14:paraId="004C259B" w14:textId="77777777" w:rsidR="002A21AE" w:rsidRDefault="00A36571" w:rsidP="00A36571">
            <w:pPr>
              <w:pStyle w:val="TableText"/>
            </w:pPr>
            <w:r w:rsidRPr="004A4EC2">
              <w:rPr>
                <w:rFonts w:cs="Arial"/>
                <w:vanish/>
                <w:color w:val="0000FF"/>
              </w:rPr>
              <w:t>BR_26.06</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the user is an Enhanced Technologist and a unit has an indicator of “quarantined,” VBECS notifies the user that it must be released before processing may continue and asks whether the user wishes to release the unit. </w:t>
            </w:r>
            <w:r>
              <w:rPr>
                <w:b/>
              </w:rPr>
              <w:t>Cancel</w:t>
            </w:r>
            <w:r>
              <w:t xml:space="preserve"> clears the selected unit and allows the user to select another unit. </w:t>
            </w:r>
            <w:r>
              <w:rPr>
                <w:b/>
              </w:rPr>
              <w:t>Override</w:t>
            </w:r>
            <w:r>
              <w:t xml:space="preserve"> releases the unit through Discard or Quarantine.</w:t>
            </w:r>
          </w:p>
        </w:tc>
      </w:tr>
      <w:tr w:rsidR="002A21AE" w14:paraId="0A5C75D6" w14:textId="77777777" w:rsidTr="004A7B44">
        <w:trPr>
          <w:cantSplit/>
        </w:trPr>
        <w:tc>
          <w:tcPr>
            <w:tcW w:w="780" w:type="dxa"/>
          </w:tcPr>
          <w:p w14:paraId="5846F04C" w14:textId="77777777" w:rsidR="002A21AE" w:rsidRDefault="002A21AE">
            <w:pPr>
              <w:pStyle w:val="TableText"/>
            </w:pPr>
            <w:r>
              <w:lastRenderedPageBreak/>
              <w:t>6</w:t>
            </w:r>
          </w:p>
        </w:tc>
        <w:tc>
          <w:tcPr>
            <w:tcW w:w="8580" w:type="dxa"/>
          </w:tcPr>
          <w:p w14:paraId="347D85B6" w14:textId="77777777" w:rsidR="002A21AE" w:rsidRDefault="002A21AE">
            <w:pPr>
              <w:pStyle w:val="TableText"/>
            </w:pPr>
            <w:r w:rsidRPr="00150E0F">
              <w:rPr>
                <w:rFonts w:cs="Arial"/>
                <w:vanish/>
                <w:color w:val="0000FF"/>
              </w:rPr>
              <w:t>BR_26.42</w:t>
            </w:r>
            <w:r>
              <w:rPr>
                <w:rFonts w:cs="Arial"/>
                <w:vanish/>
              </w:rPr>
              <w:t xml:space="preserve"> </w:t>
            </w:r>
            <w:r>
              <w:t xml:space="preserve">When the selected unit has a positive biohazard Indicator, </w:t>
            </w:r>
            <w:r w:rsidR="00796883">
              <w:t>VBECS will not allow modification unless the user role is Enhanced Technologist, VBECS security levels 2 and above. When the user role is Technologist, VBECS security level 1, the system emits an audible alert and displays a warning message stating that the user does not have the proper security to perform this function. The system does not allow an override.</w:t>
            </w:r>
          </w:p>
          <w:p w14:paraId="4E7F729B" w14:textId="77777777" w:rsidR="00796883" w:rsidRDefault="00796883">
            <w:pPr>
              <w:pStyle w:val="TableText"/>
            </w:pPr>
            <w:r>
              <w:t>When the user role is Enhanced Technologist, VBECS security levels 2 and above, VBECS provides an audible alert and displays a warning message: "&lt;Unit ID, Product Name&gt; is Biohazardous. Do you wish to continue with the modification?" If the user responds “No,” the unit is cleared from the screen and a new unit can be selected. If the user responds “Yes,” a comment (context: Unit modification) is required. Details of this override are captured for inclusion in an exception report.</w:t>
            </w:r>
          </w:p>
        </w:tc>
      </w:tr>
      <w:tr w:rsidR="002A21AE" w14:paraId="1FC49BD6" w14:textId="77777777" w:rsidTr="004A7B44">
        <w:trPr>
          <w:cantSplit/>
        </w:trPr>
        <w:tc>
          <w:tcPr>
            <w:tcW w:w="780" w:type="dxa"/>
          </w:tcPr>
          <w:p w14:paraId="182137D6" w14:textId="77777777" w:rsidR="002A21AE" w:rsidRDefault="007B681E">
            <w:pPr>
              <w:pStyle w:val="TableText"/>
            </w:pPr>
            <w:r>
              <w:t>8</w:t>
            </w:r>
          </w:p>
        </w:tc>
        <w:tc>
          <w:tcPr>
            <w:tcW w:w="8580" w:type="dxa"/>
          </w:tcPr>
          <w:p w14:paraId="4D67BCD8" w14:textId="77777777" w:rsidR="002A21AE" w:rsidRDefault="002A21AE">
            <w:pPr>
              <w:pStyle w:val="TableText"/>
            </w:pPr>
            <w:r>
              <w:rPr>
                <w:rFonts w:cs="Arial"/>
                <w:vanish/>
              </w:rPr>
              <w:t xml:space="preserve">BR_26.46 </w:t>
            </w:r>
            <w:r>
              <w:t xml:space="preserve">When a supply item is expired, VBECS emits an audible alert, warns the user, and asks whether the user still wishes to use the item. </w:t>
            </w:r>
            <w:r>
              <w:rPr>
                <w:b/>
              </w:rPr>
              <w:t>Yes</w:t>
            </w:r>
            <w:r>
              <w:t xml:space="preserve"> requires a comment and VBECS captures details for inclusion in an Exception Report (exception type: expires supply used in unit modification). </w:t>
            </w:r>
            <w:r>
              <w:rPr>
                <w:b/>
              </w:rPr>
              <w:t>No</w:t>
            </w:r>
            <w:r>
              <w:t xml:space="preserve"> requires the user to select another supply lot number.</w:t>
            </w:r>
          </w:p>
        </w:tc>
      </w:tr>
      <w:tr w:rsidR="002A21AE" w14:paraId="619486C3" w14:textId="77777777" w:rsidTr="004A7B44">
        <w:trPr>
          <w:cantSplit/>
        </w:trPr>
        <w:tc>
          <w:tcPr>
            <w:tcW w:w="780" w:type="dxa"/>
          </w:tcPr>
          <w:p w14:paraId="549B33C3" w14:textId="77777777" w:rsidR="002A21AE" w:rsidRDefault="002A21AE">
            <w:pPr>
              <w:pStyle w:val="TableText"/>
            </w:pPr>
            <w:r>
              <w:t>10</w:t>
            </w:r>
          </w:p>
        </w:tc>
        <w:tc>
          <w:tcPr>
            <w:tcW w:w="8580" w:type="dxa"/>
          </w:tcPr>
          <w:p w14:paraId="611DA391" w14:textId="77777777" w:rsidR="002A21AE" w:rsidRDefault="002A21AE">
            <w:pPr>
              <w:pStyle w:val="TableText"/>
            </w:pPr>
            <w:r w:rsidRPr="003354C6">
              <w:rPr>
                <w:rFonts w:cs="Arial"/>
                <w:vanish/>
                <w:color w:val="0000FF"/>
              </w:rPr>
              <w:t>BR_26.28</w:t>
            </w:r>
            <w:r>
              <w:rPr>
                <w:rFonts w:cs="Arial"/>
                <w:vanish/>
              </w:rPr>
              <w:t xml:space="preserve"> </w:t>
            </w:r>
            <w:r>
              <w:t xml:space="preserve">When the user </w:t>
            </w:r>
            <w:r w:rsidR="005C01E3">
              <w:t>extends</w:t>
            </w:r>
            <w:r>
              <w:t xml:space="preserve"> the </w:t>
            </w:r>
            <w:r w:rsidR="0003608A">
              <w:t>system-recommended</w:t>
            </w:r>
            <w:r>
              <w:t xml:space="preserve"> expiration date and time, VBECS warns the user, asks him to reenter the unit expiration date, and </w:t>
            </w:r>
            <w:r w:rsidR="00C877D1">
              <w:t>redisplays</w:t>
            </w:r>
            <w:r w:rsidR="00811354">
              <w:t xml:space="preserve"> </w:t>
            </w:r>
            <w:r>
              <w:t xml:space="preserve">the </w:t>
            </w:r>
            <w:r w:rsidR="00C877D1">
              <w:t xml:space="preserve">original </w:t>
            </w:r>
            <w:r>
              <w:t>entry. The user may enter another expiration date and time for the target unit.</w:t>
            </w:r>
          </w:p>
          <w:p w14:paraId="4918E8D0" w14:textId="77777777" w:rsidR="002A21AE" w:rsidRDefault="002A21AE">
            <w:pPr>
              <w:pStyle w:val="TableText"/>
            </w:pPr>
          </w:p>
          <w:p w14:paraId="5BA8460F" w14:textId="77777777" w:rsidR="002A21AE" w:rsidRDefault="002A21AE">
            <w:pPr>
              <w:pStyle w:val="TableText"/>
            </w:pPr>
            <w:r w:rsidRPr="003354C6">
              <w:rPr>
                <w:rFonts w:cs="Arial"/>
                <w:vanish/>
                <w:color w:val="0000FF"/>
              </w:rPr>
              <w:t>BR_26.21</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an Enhanced Technologist extends the target unit expiration date and time past the system-recommended expiration date and time, VBECS emits an audible alert, warns the user, and asks whether he wishes to continue.</w:t>
            </w:r>
            <w:r w:rsidR="00323872">
              <w:t xml:space="preserve"> </w:t>
            </w:r>
            <w:r w:rsidR="00323872" w:rsidRPr="00323872">
              <w:rPr>
                <w:b/>
              </w:rPr>
              <w:t>Cancel</w:t>
            </w:r>
            <w:r w:rsidR="00323872">
              <w:t xml:space="preserve"> restores the expiration</w:t>
            </w:r>
            <w:r w:rsidR="00E00D0E">
              <w:t xml:space="preserve"> date</w:t>
            </w:r>
            <w:r w:rsidR="00323872">
              <w:t xml:space="preserve">. </w:t>
            </w:r>
            <w:r w:rsidR="00323872" w:rsidRPr="00323872">
              <w:rPr>
                <w:b/>
              </w:rPr>
              <w:t>Override</w:t>
            </w:r>
            <w:r w:rsidR="00323872">
              <w:t xml:space="preserve"> allows the user to</w:t>
            </w:r>
            <w:r w:rsidR="00AA6C54">
              <w:t xml:space="preserve"> </w:t>
            </w:r>
            <w:r w:rsidR="00323872">
              <w:t>continue</w:t>
            </w:r>
            <w:r>
              <w:t xml:space="preserve"> with this date</w:t>
            </w:r>
            <w:r w:rsidR="00323872">
              <w:t>,</w:t>
            </w:r>
            <w:r>
              <w:t xml:space="preserve"> requires a comment</w:t>
            </w:r>
            <w:r w:rsidR="00323872">
              <w:t>,</w:t>
            </w:r>
            <w:r>
              <w:t xml:space="preserve"> and captures details for inclusion in an Exception Report (exception type: target product outdate extended).</w:t>
            </w:r>
            <w:r w:rsidR="00D76D67">
              <w:t xml:space="preserve"> </w:t>
            </w:r>
            <w:r w:rsidR="00D76D67">
              <w:rPr>
                <w:rStyle w:val="StyleTableText9ptCharChar"/>
              </w:rPr>
              <w:t>Information about this transaction and the comment are queued for an exception report.</w:t>
            </w:r>
          </w:p>
        </w:tc>
      </w:tr>
      <w:tr w:rsidR="00E979DB" w14:paraId="5CDFA49A" w14:textId="77777777" w:rsidTr="004A7B44">
        <w:trPr>
          <w:cantSplit/>
        </w:trPr>
        <w:tc>
          <w:tcPr>
            <w:tcW w:w="780" w:type="dxa"/>
          </w:tcPr>
          <w:p w14:paraId="1A02D476" w14:textId="77777777" w:rsidR="00E979DB" w:rsidRDefault="00E979DB">
            <w:pPr>
              <w:pStyle w:val="TableText"/>
            </w:pPr>
            <w:r>
              <w:t>13</w:t>
            </w:r>
          </w:p>
        </w:tc>
        <w:tc>
          <w:tcPr>
            <w:tcW w:w="8580" w:type="dxa"/>
          </w:tcPr>
          <w:p w14:paraId="799D82BD" w14:textId="77777777" w:rsidR="00E979DB" w:rsidRDefault="00E979DB" w:rsidP="00E979DB">
            <w:pPr>
              <w:pStyle w:val="NotesText"/>
              <w:ind w:left="0"/>
            </w:pPr>
            <w:r>
              <w:t>When there is no match,</w:t>
            </w:r>
            <w:r>
              <w:rPr>
                <w:noProof/>
                <w:color w:val="000000"/>
              </w:rPr>
              <w:t xml:space="preserve"> VBECS emits an audible alert, notifies the user, </w:t>
            </w:r>
            <w:r>
              <w:t xml:space="preserve">and instructs him to verify the labeling and reenter label data or select </w:t>
            </w:r>
            <w:r>
              <w:rPr>
                <w:b/>
              </w:rPr>
              <w:t>Cancel</w:t>
            </w:r>
            <w:r>
              <w:t xml:space="preserve">. </w:t>
            </w:r>
          </w:p>
          <w:p w14:paraId="2AAD7EA1" w14:textId="77777777" w:rsidR="00E979DB" w:rsidRPr="003354C6" w:rsidRDefault="00E979DB">
            <w:pPr>
              <w:pStyle w:val="TableText"/>
              <w:rPr>
                <w:rFonts w:cs="Arial"/>
                <w:vanish/>
                <w:color w:val="0000FF"/>
              </w:rPr>
            </w:pPr>
          </w:p>
        </w:tc>
      </w:tr>
    </w:tbl>
    <w:p w14:paraId="33678748" w14:textId="77777777" w:rsidR="002A21AE" w:rsidRDefault="000A126F">
      <w:pPr>
        <w:pStyle w:val="Heading3"/>
      </w:pPr>
      <w:bookmarkStart w:id="308" w:name="_Toc94349323"/>
      <w:bookmarkEnd w:id="300"/>
      <w:r>
        <w:br w:type="page"/>
      </w:r>
      <w:bookmarkStart w:id="309" w:name="_Toc163644916"/>
      <w:r w:rsidR="002A21AE">
        <w:lastRenderedPageBreak/>
        <w:t>Modify Units: Split a Unit</w:t>
      </w:r>
      <w:bookmarkEnd w:id="309"/>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Split a Unit</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08"/>
      <w:r w:rsidR="00B30CE5">
        <w:rPr>
          <w:vanish/>
        </w:rPr>
        <w:t>6</w:t>
      </w:r>
    </w:p>
    <w:p w14:paraId="25BDB238" w14:textId="77777777" w:rsidR="002A21AE" w:rsidRDefault="002A21AE" w:rsidP="00FA7E65">
      <w:pPr>
        <w:pStyle w:val="BodyText"/>
      </w:pPr>
      <w:bookmarkStart w:id="310" w:name="_Toc77662537"/>
      <w:r>
        <w:t xml:space="preserve">The user selects the unit to be split (divided) for transfusion. </w:t>
      </w:r>
    </w:p>
    <w:p w14:paraId="796AD8BF" w14:textId="77777777" w:rsidR="002A21AE" w:rsidRDefault="002A21AE">
      <w:pPr>
        <w:pStyle w:val="Heading4"/>
      </w:pPr>
      <w:bookmarkStart w:id="311" w:name="_Toc94349324"/>
      <w:r>
        <w:t>Assumptions</w:t>
      </w:r>
      <w:bookmarkEnd w:id="311"/>
    </w:p>
    <w:p w14:paraId="1309FF64" w14:textId="77777777" w:rsidR="002A21AE" w:rsidRDefault="002A21AE">
      <w:pPr>
        <w:pStyle w:val="ListBullet"/>
      </w:pPr>
      <w:r>
        <w:t>See Modify Units.</w:t>
      </w:r>
    </w:p>
    <w:p w14:paraId="0197574E" w14:textId="77777777" w:rsidR="002A21AE" w:rsidRDefault="002A21AE">
      <w:pPr>
        <w:pStyle w:val="Heading4"/>
      </w:pPr>
      <w:bookmarkStart w:id="312" w:name="_Toc94349325"/>
      <w:r>
        <w:t>Outcome</w:t>
      </w:r>
      <w:bookmarkEnd w:id="312"/>
    </w:p>
    <w:p w14:paraId="25FCF2C0" w14:textId="77777777" w:rsidR="002A21AE" w:rsidRDefault="002A21AE">
      <w:pPr>
        <w:pStyle w:val="ListBullet"/>
      </w:pPr>
      <w:r>
        <w:t>See Modify Units.</w:t>
      </w:r>
    </w:p>
    <w:p w14:paraId="73F9780E" w14:textId="77777777" w:rsidR="002A21AE" w:rsidRDefault="002A21AE">
      <w:pPr>
        <w:pStyle w:val="Heading4"/>
      </w:pPr>
      <w:bookmarkStart w:id="313" w:name="_Toc94349326"/>
      <w:r>
        <w:t>Limitations and Restrictions</w:t>
      </w:r>
      <w:bookmarkEnd w:id="313"/>
    </w:p>
    <w:p w14:paraId="447FA14B" w14:textId="77777777" w:rsidR="00516343" w:rsidRDefault="002A21AE">
      <w:pPr>
        <w:pStyle w:val="ListBullet"/>
      </w:pPr>
      <w:r>
        <w:rPr>
          <w:rFonts w:ascii="Arial" w:hAnsi="Arial" w:cs="Arial"/>
          <w:vanish/>
          <w:spacing w:val="0"/>
          <w:sz w:val="18"/>
        </w:rPr>
        <w:t xml:space="preserve">BR_25.21 </w:t>
      </w:r>
      <w:r>
        <w:t xml:space="preserve">A </w:t>
      </w:r>
      <w:r w:rsidR="004248F5">
        <w:t xml:space="preserve">unit </w:t>
      </w:r>
      <w:r>
        <w:t xml:space="preserve">previously split </w:t>
      </w:r>
      <w:r w:rsidR="004248F5">
        <w:t xml:space="preserve">in VBECS </w:t>
      </w:r>
      <w:r>
        <w:t xml:space="preserve">cannot be split again. </w:t>
      </w:r>
      <w:r w:rsidR="00516343">
        <w:t>Only an ISBT unit that was split outside of VBECS can be split again.</w:t>
      </w:r>
    </w:p>
    <w:p w14:paraId="6F5B8133" w14:textId="6F313010" w:rsidR="00516343" w:rsidRDefault="00516343">
      <w:pPr>
        <w:pStyle w:val="ListBullet"/>
      </w:pPr>
      <w:r w:rsidRPr="00516343">
        <w:rPr>
          <w:vanish/>
        </w:rPr>
        <w:t xml:space="preserve">BR_25.21 </w:t>
      </w:r>
      <w:r w:rsidR="00CD635A">
        <w:t>A unit pooled in VBECS may no</w:t>
      </w:r>
      <w:r w:rsidR="00F744C5">
        <w:t>t be split</w:t>
      </w:r>
      <w:r>
        <w:t>.</w:t>
      </w:r>
    </w:p>
    <w:p w14:paraId="3E29D3DA" w14:textId="24DC1859" w:rsidR="002A21AE" w:rsidRDefault="00516343" w:rsidP="00F744C5">
      <w:pPr>
        <w:pStyle w:val="ListBullet"/>
      </w:pPr>
      <w:r w:rsidRPr="00516343">
        <w:rPr>
          <w:vanish/>
        </w:rPr>
        <w:t xml:space="preserve">BR_25.21 </w:t>
      </w:r>
      <w:r w:rsidR="00CD635A">
        <w:t>A unit that has a division code present upon receipt in incoming shipment may be split in VBECS.</w:t>
      </w:r>
    </w:p>
    <w:p w14:paraId="65B11CAC" w14:textId="77777777" w:rsidR="002A21AE" w:rsidRDefault="002A21AE">
      <w:pPr>
        <w:pStyle w:val="Heading4"/>
      </w:pPr>
      <w:bookmarkStart w:id="314" w:name="_Toc94349327"/>
      <w:r>
        <w:t>Additional Information</w:t>
      </w:r>
      <w:bookmarkEnd w:id="314"/>
    </w:p>
    <w:p w14:paraId="56A5E174" w14:textId="77777777" w:rsidR="00A03B5F" w:rsidRDefault="00A03B5F" w:rsidP="00A03B5F">
      <w:pPr>
        <w:pStyle w:val="ListBullet"/>
      </w:pPr>
      <w:r>
        <w:t xml:space="preserve">To reverse other modifications, remove the “modified” status from each unit through </w:t>
      </w:r>
      <w:r w:rsidR="00131240">
        <w:t xml:space="preserve">Supervisor Menu, </w:t>
      </w:r>
      <w:r>
        <w:t>Remove Final Status.</w:t>
      </w:r>
    </w:p>
    <w:p w14:paraId="34C6F95B" w14:textId="77777777" w:rsidR="002A21AE" w:rsidRDefault="002A21AE">
      <w:pPr>
        <w:pStyle w:val="Heading4"/>
      </w:pPr>
      <w:bookmarkStart w:id="315" w:name="_Toc94349328"/>
      <w:r>
        <w:t>User Roles with Access to This Option</w:t>
      </w:r>
      <w:bookmarkEnd w:id="315"/>
    </w:p>
    <w:p w14:paraId="5058E635" w14:textId="77777777" w:rsidR="00700CAA" w:rsidRDefault="00700CAA" w:rsidP="00700CAA">
      <w:pPr>
        <w:pStyle w:val="Roles"/>
        <w:rPr>
          <w:snapToGrid w:val="0"/>
        </w:rPr>
      </w:pPr>
      <w:r>
        <w:t>All users</w:t>
      </w:r>
    </w:p>
    <w:bookmarkEnd w:id="310"/>
    <w:p w14:paraId="7D846A66" w14:textId="77777777" w:rsidR="002A21AE" w:rsidRDefault="002A21AE">
      <w:pPr>
        <w:pStyle w:val="Heading4"/>
      </w:pPr>
      <w:r w:rsidRPr="00FA2D4C">
        <w:t>Modify Units: Split a Unit</w:t>
      </w:r>
    </w:p>
    <w:p w14:paraId="5BF2C184" w14:textId="77777777" w:rsidR="002A21AE" w:rsidRDefault="002A21AE" w:rsidP="00FA7E65">
      <w:pPr>
        <w:pStyle w:val="BodyText"/>
      </w:pPr>
      <w:r>
        <w:t>The user selects the unit to be split for transfusion. VBECS automatically applies directed and autologous restrictions to aliquots created. The user may or may not maintain patient assignments (usually, these units are crossmatched and available for the patient before the split is made). This section lists only rules unique to the division of a blood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A2736C" w14:textId="77777777" w:rsidTr="004A7B44">
        <w:trPr>
          <w:cantSplit/>
          <w:tblHeader/>
        </w:trPr>
        <w:tc>
          <w:tcPr>
            <w:tcW w:w="3240" w:type="dxa"/>
            <w:shd w:val="pct30" w:color="auto" w:fill="FFFFFF"/>
            <w:vAlign w:val="bottom"/>
          </w:tcPr>
          <w:p w14:paraId="0AF6C58A" w14:textId="77777777" w:rsidR="002A21AE" w:rsidRDefault="002A21AE">
            <w:pPr>
              <w:pStyle w:val="TableText"/>
              <w:rPr>
                <w:b/>
              </w:rPr>
            </w:pPr>
            <w:r>
              <w:rPr>
                <w:b/>
              </w:rPr>
              <w:t>User Action</w:t>
            </w:r>
          </w:p>
        </w:tc>
        <w:tc>
          <w:tcPr>
            <w:tcW w:w="6120" w:type="dxa"/>
            <w:shd w:val="pct30" w:color="auto" w:fill="FFFFFF"/>
            <w:vAlign w:val="bottom"/>
          </w:tcPr>
          <w:p w14:paraId="3804F7C8" w14:textId="77777777" w:rsidR="002A21AE" w:rsidRDefault="002A21AE">
            <w:pPr>
              <w:pStyle w:val="TableText"/>
              <w:rPr>
                <w:b/>
              </w:rPr>
            </w:pPr>
            <w:r>
              <w:rPr>
                <w:b/>
              </w:rPr>
              <w:t>VBECS</w:t>
            </w:r>
          </w:p>
        </w:tc>
      </w:tr>
      <w:tr w:rsidR="002A21AE" w14:paraId="7E6FD3E5" w14:textId="77777777" w:rsidTr="004A7B44">
        <w:trPr>
          <w:cantSplit/>
        </w:trPr>
        <w:tc>
          <w:tcPr>
            <w:tcW w:w="3240" w:type="dxa"/>
          </w:tcPr>
          <w:p w14:paraId="4032BFD0" w14:textId="77777777" w:rsidR="002A21AE" w:rsidRDefault="002A21AE">
            <w:pPr>
              <w:pStyle w:val="TableTextNumbers"/>
            </w:pPr>
            <w:r>
              <w:t xml:space="preserve">Select </w:t>
            </w:r>
            <w:r>
              <w:rPr>
                <w:b/>
              </w:rPr>
              <w:t>Blood Units</w:t>
            </w:r>
            <w:r>
              <w:t xml:space="preserve"> from the main menu. </w:t>
            </w:r>
          </w:p>
          <w:p w14:paraId="75F576A3" w14:textId="77777777" w:rsidR="002A21AE" w:rsidRDefault="002A21AE">
            <w:pPr>
              <w:pStyle w:val="TableTextNumbersContinued"/>
            </w:pPr>
          </w:p>
          <w:p w14:paraId="64D53084" w14:textId="77777777" w:rsidR="002A21AE" w:rsidRDefault="002A21AE">
            <w:pPr>
              <w:pStyle w:val="TableTextNumbersContinued"/>
            </w:pPr>
            <w:r>
              <w:t xml:space="preserve">Select </w:t>
            </w:r>
            <w:r>
              <w:rPr>
                <w:b/>
              </w:rPr>
              <w:t>Modify Units</w:t>
            </w:r>
            <w:r>
              <w:t>.</w:t>
            </w:r>
          </w:p>
        </w:tc>
        <w:tc>
          <w:tcPr>
            <w:tcW w:w="6120" w:type="dxa"/>
          </w:tcPr>
          <w:p w14:paraId="61B327F8" w14:textId="77777777" w:rsidR="002A21AE" w:rsidRDefault="002A21AE">
            <w:pPr>
              <w:pStyle w:val="TableTextBullet"/>
            </w:pPr>
            <w:r>
              <w:t>Displays options for processing blood units.</w:t>
            </w:r>
          </w:p>
          <w:p w14:paraId="31114424" w14:textId="77777777" w:rsidR="002A21AE" w:rsidRDefault="002A21AE">
            <w:pPr>
              <w:pStyle w:val="TableTextBullet"/>
            </w:pPr>
            <w:r>
              <w:t>Displays valid modification types for selection.</w:t>
            </w:r>
          </w:p>
        </w:tc>
      </w:tr>
      <w:tr w:rsidR="002A21AE" w14:paraId="52BE394C" w14:textId="77777777" w:rsidTr="004A7B44">
        <w:trPr>
          <w:cantSplit/>
        </w:trPr>
        <w:tc>
          <w:tcPr>
            <w:tcW w:w="3240" w:type="dxa"/>
          </w:tcPr>
          <w:p w14:paraId="2320E896" w14:textId="2312B04F" w:rsidR="002A21AE" w:rsidRDefault="002A21AE">
            <w:pPr>
              <w:pStyle w:val="TableTextNumbers"/>
            </w:pPr>
            <w:r>
              <w:t xml:space="preserve">Click the </w:t>
            </w:r>
            <w:r>
              <w:rPr>
                <w:b/>
              </w:rPr>
              <w:t xml:space="preserve">Split/Divide </w:t>
            </w:r>
            <w:r w:rsidRPr="00BF2E41">
              <w:t>radio button</w:t>
            </w:r>
            <w:r>
              <w:t>.</w:t>
            </w:r>
          </w:p>
          <w:p w14:paraId="1F029574" w14:textId="412C32F2" w:rsidR="00B87C33" w:rsidRDefault="00B87C33" w:rsidP="00B87C33">
            <w:pPr>
              <w:pStyle w:val="TableTextNumbers"/>
              <w:numPr>
                <w:ilvl w:val="0"/>
                <w:numId w:val="0"/>
              </w:numPr>
              <w:ind w:left="288" w:hanging="288"/>
            </w:pPr>
          </w:p>
          <w:p w14:paraId="2EA7B5D9" w14:textId="77777777" w:rsidR="00B87C33" w:rsidRPr="00D431F7" w:rsidRDefault="00B87C33" w:rsidP="00D431F7">
            <w:pPr>
              <w:pStyle w:val="TableText"/>
              <w:ind w:left="288"/>
              <w:rPr>
                <w:rFonts w:cs="Arial"/>
                <w:szCs w:val="18"/>
              </w:rPr>
            </w:pPr>
            <w:r w:rsidRPr="00D431F7">
              <w:rPr>
                <w:rFonts w:cs="Arial"/>
                <w:szCs w:val="18"/>
              </w:rPr>
              <w:t>Click a radio button to select a modification method, if required:</w:t>
            </w:r>
          </w:p>
          <w:p w14:paraId="72F824EA" w14:textId="77777777" w:rsidR="00B87C33" w:rsidRPr="00D431F7" w:rsidRDefault="00B87C33" w:rsidP="00925CAD">
            <w:pPr>
              <w:pStyle w:val="TableText"/>
              <w:numPr>
                <w:ilvl w:val="0"/>
                <w:numId w:val="76"/>
              </w:numPr>
              <w:ind w:left="604"/>
              <w:rPr>
                <w:rFonts w:cs="Arial"/>
                <w:szCs w:val="18"/>
              </w:rPr>
            </w:pPr>
            <w:r w:rsidRPr="00D431F7">
              <w:rPr>
                <w:rFonts w:cs="Arial"/>
                <w:szCs w:val="18"/>
              </w:rPr>
              <w:t>Open</w:t>
            </w:r>
          </w:p>
          <w:p w14:paraId="34AD121B" w14:textId="40DE6DB5" w:rsidR="00B87C33" w:rsidRPr="00D431F7" w:rsidRDefault="00B87C33" w:rsidP="00925CAD">
            <w:pPr>
              <w:pStyle w:val="TableText"/>
              <w:numPr>
                <w:ilvl w:val="0"/>
                <w:numId w:val="76"/>
              </w:numPr>
              <w:ind w:left="604"/>
              <w:rPr>
                <w:rFonts w:cs="Arial"/>
                <w:szCs w:val="18"/>
              </w:rPr>
            </w:pPr>
            <w:r w:rsidRPr="00D431F7">
              <w:rPr>
                <w:rFonts w:cs="Arial"/>
                <w:szCs w:val="18"/>
              </w:rPr>
              <w:t>Closed</w:t>
            </w:r>
          </w:p>
          <w:p w14:paraId="57AB4368" w14:textId="5D66239B" w:rsidR="00B87C33" w:rsidRPr="00D431F7" w:rsidRDefault="00B87C33" w:rsidP="00925CAD">
            <w:pPr>
              <w:pStyle w:val="TableText"/>
              <w:numPr>
                <w:ilvl w:val="0"/>
                <w:numId w:val="76"/>
              </w:numPr>
              <w:ind w:left="604"/>
              <w:rPr>
                <w:rFonts w:cs="Arial"/>
                <w:szCs w:val="18"/>
              </w:rPr>
            </w:pPr>
            <w:r w:rsidRPr="00D431F7">
              <w:rPr>
                <w:rFonts w:cs="Arial"/>
                <w:szCs w:val="18"/>
              </w:rPr>
              <w:t xml:space="preserve">Sterile </w:t>
            </w:r>
            <w:r w:rsidR="00D431F7" w:rsidRPr="00D431F7">
              <w:rPr>
                <w:rFonts w:cs="Arial"/>
                <w:szCs w:val="18"/>
              </w:rPr>
              <w:t>Connection Device</w:t>
            </w:r>
          </w:p>
          <w:p w14:paraId="171C08E3" w14:textId="77777777" w:rsidR="00C96CC3" w:rsidRDefault="00C96CC3" w:rsidP="00C96CC3">
            <w:pPr>
              <w:pStyle w:val="TableTextNumbers"/>
              <w:numPr>
                <w:ilvl w:val="0"/>
                <w:numId w:val="0"/>
              </w:numPr>
              <w:ind w:left="288"/>
            </w:pPr>
          </w:p>
          <w:p w14:paraId="488F5BC5" w14:textId="76C0044E" w:rsidR="00C96CC3" w:rsidRDefault="00C96CC3" w:rsidP="00C96CC3">
            <w:pPr>
              <w:pStyle w:val="TableTextNumbersContinued"/>
            </w:pPr>
            <w:r>
              <w:t xml:space="preserve">For a Sterile Connection Device modification method, click the </w:t>
            </w:r>
            <w:r>
              <w:rPr>
                <w:b/>
              </w:rPr>
              <w:t>Weld Complete</w:t>
            </w:r>
            <w:r>
              <w:t xml:space="preserve"> or</w:t>
            </w:r>
            <w:r>
              <w:rPr>
                <w:b/>
              </w:rPr>
              <w:t xml:space="preserve"> Weld Incomplete </w:t>
            </w:r>
            <w:r w:rsidRPr="00BF2E41">
              <w:t>radio button</w:t>
            </w:r>
            <w:r>
              <w:rPr>
                <w:b/>
              </w:rPr>
              <w:t xml:space="preserve"> </w:t>
            </w:r>
            <w:r>
              <w:t>to indicate the condition of the weld.</w:t>
            </w:r>
          </w:p>
          <w:p w14:paraId="408787A7" w14:textId="77777777" w:rsidR="002A21AE" w:rsidRDefault="002A21AE">
            <w:pPr>
              <w:pStyle w:val="TableTextNumbersContinued"/>
            </w:pPr>
          </w:p>
          <w:p w14:paraId="2A6BDE3F" w14:textId="77777777" w:rsidR="002A21AE" w:rsidRDefault="002A21AE">
            <w:pPr>
              <w:pStyle w:val="TableTextNumbersContinued"/>
            </w:pPr>
            <w:r>
              <w:t xml:space="preserve">Click </w:t>
            </w:r>
            <w:r>
              <w:rPr>
                <w:b/>
              </w:rPr>
              <w:t>OK</w:t>
            </w:r>
            <w:r>
              <w:t>.</w:t>
            </w:r>
          </w:p>
        </w:tc>
        <w:tc>
          <w:tcPr>
            <w:tcW w:w="6120" w:type="dxa"/>
          </w:tcPr>
          <w:p w14:paraId="0739E2CB" w14:textId="77777777" w:rsidR="002A21AE" w:rsidRDefault="002A21AE">
            <w:pPr>
              <w:pStyle w:val="TableTextBullet"/>
              <w:tabs>
                <w:tab w:val="num" w:pos="360"/>
              </w:tabs>
            </w:pPr>
            <w:r>
              <w:t>Allows the user to search for a unit.</w:t>
            </w:r>
          </w:p>
        </w:tc>
      </w:tr>
      <w:tr w:rsidR="002A21AE" w14:paraId="4FA3ED8D" w14:textId="77777777" w:rsidTr="004A7B44">
        <w:trPr>
          <w:cantSplit/>
        </w:trPr>
        <w:tc>
          <w:tcPr>
            <w:tcW w:w="3240" w:type="dxa"/>
          </w:tcPr>
          <w:p w14:paraId="66A8F13F" w14:textId="77777777" w:rsidR="002A21AE" w:rsidRDefault="002A21AE">
            <w:pPr>
              <w:pStyle w:val="TableTextNumbers"/>
            </w:pPr>
            <w:r>
              <w:lastRenderedPageBreak/>
              <w:t xml:space="preserve">Select a unit and click </w:t>
            </w:r>
            <w:r>
              <w:rPr>
                <w:b/>
              </w:rPr>
              <w:t>OK</w:t>
            </w:r>
            <w:r>
              <w:t>.</w:t>
            </w:r>
          </w:p>
          <w:p w14:paraId="7A3BF984" w14:textId="77777777" w:rsidR="002A21AE" w:rsidRDefault="002A21AE">
            <w:pPr>
              <w:pStyle w:val="TableTextNumbersContinued"/>
            </w:pPr>
          </w:p>
          <w:p w14:paraId="69E031EA" w14:textId="77777777" w:rsidR="002A21AE" w:rsidRDefault="002A21AE">
            <w:pPr>
              <w:pStyle w:val="TableTextNumbersContinued"/>
            </w:pPr>
            <w:r>
              <w:t xml:space="preserve">Click </w:t>
            </w:r>
            <w:r>
              <w:rPr>
                <w:b/>
              </w:rPr>
              <w:t>Select</w:t>
            </w:r>
            <w:r w:rsidR="00462E2C" w:rsidRPr="00462E2C">
              <w:t xml:space="preserve"> to confirm the unit selected.</w:t>
            </w:r>
          </w:p>
        </w:tc>
        <w:tc>
          <w:tcPr>
            <w:tcW w:w="6120" w:type="dxa"/>
          </w:tcPr>
          <w:p w14:paraId="58E7CCAD" w14:textId="77777777" w:rsidR="002A21AE" w:rsidRDefault="002A21AE">
            <w:pPr>
              <w:pStyle w:val="TableTextBullet"/>
              <w:tabs>
                <w:tab w:val="num" w:pos="360"/>
              </w:tabs>
            </w:pPr>
            <w:r>
              <w:t>Displays data for the original and target units.</w:t>
            </w:r>
          </w:p>
        </w:tc>
      </w:tr>
      <w:tr w:rsidR="002A21AE" w14:paraId="4305180F" w14:textId="77777777" w:rsidTr="004A7B44">
        <w:trPr>
          <w:cantSplit/>
        </w:trPr>
        <w:tc>
          <w:tcPr>
            <w:tcW w:w="3240" w:type="dxa"/>
          </w:tcPr>
          <w:p w14:paraId="5EDD18DB" w14:textId="60691104" w:rsidR="002A21AE" w:rsidRDefault="002A21AE">
            <w:pPr>
              <w:pStyle w:val="TableTextNumbers"/>
            </w:pPr>
            <w:r>
              <w:t>Edit the number of adult splits to be created, if required</w:t>
            </w:r>
            <w:r w:rsidR="004C6777">
              <w:t xml:space="preserve"> (</w:t>
            </w:r>
            <w:r w:rsidR="00EE455E">
              <w:t xml:space="preserve">Figure </w:t>
            </w:r>
            <w:r w:rsidR="00EE455E">
              <w:rPr>
                <w:noProof/>
              </w:rPr>
              <w:t>61</w:t>
            </w:r>
            <w:r w:rsidR="004C6777">
              <w:t>)</w:t>
            </w:r>
            <w:r>
              <w:t>.</w:t>
            </w:r>
          </w:p>
          <w:p w14:paraId="630F7335" w14:textId="77777777" w:rsidR="002A21AE" w:rsidRDefault="002A21AE">
            <w:pPr>
              <w:pStyle w:val="TableTextNumbersContinued"/>
            </w:pPr>
          </w:p>
          <w:p w14:paraId="62C39670" w14:textId="77777777" w:rsidR="002A21AE" w:rsidRDefault="002A21AE">
            <w:pPr>
              <w:pStyle w:val="TableTextNumbersContinued"/>
            </w:pPr>
            <w:r>
              <w:t xml:space="preserve">Click </w:t>
            </w:r>
            <w:r>
              <w:rPr>
                <w:b/>
              </w:rPr>
              <w:t>Split*</w:t>
            </w:r>
            <w:r>
              <w:t xml:space="preserve"> to verify the number of splits to be created and add the appropriate number of target unit tabs.</w:t>
            </w:r>
          </w:p>
          <w:p w14:paraId="046F2CE5" w14:textId="77777777" w:rsidR="002A21AE" w:rsidRDefault="002A21AE">
            <w:pPr>
              <w:pStyle w:val="TableTextNumbers"/>
              <w:numPr>
                <w:ilvl w:val="0"/>
                <w:numId w:val="0"/>
              </w:numPr>
            </w:pPr>
          </w:p>
        </w:tc>
        <w:tc>
          <w:tcPr>
            <w:tcW w:w="6120" w:type="dxa"/>
          </w:tcPr>
          <w:p w14:paraId="3819F760" w14:textId="77777777" w:rsidR="002A21AE" w:rsidRDefault="002A21AE">
            <w:pPr>
              <w:pStyle w:val="TableTextBullet"/>
              <w:tabs>
                <w:tab w:val="num" w:pos="360"/>
              </w:tabs>
            </w:pPr>
            <w:r>
              <w:t xml:space="preserve">Displays the number of splits to be created (default: 2) for verification. </w:t>
            </w:r>
          </w:p>
          <w:p w14:paraId="573401D4" w14:textId="77777777" w:rsidR="002A21AE" w:rsidRDefault="002A21AE">
            <w:pPr>
              <w:pStyle w:val="TableTextBullet"/>
              <w:tabs>
                <w:tab w:val="num" w:pos="360"/>
              </w:tabs>
            </w:pPr>
            <w:r>
              <w:t>Requires entry of the number of splits to be created.</w:t>
            </w:r>
          </w:p>
          <w:p w14:paraId="013707B3" w14:textId="77777777" w:rsidR="002A21AE" w:rsidRDefault="002A21AE">
            <w:pPr>
              <w:pStyle w:val="TableText"/>
            </w:pPr>
          </w:p>
          <w:p w14:paraId="372EFDCC" w14:textId="5525EB29" w:rsidR="002A21AE" w:rsidRDefault="002A21AE">
            <w:pPr>
              <w:pStyle w:val="TableText"/>
              <w:rPr>
                <w:b/>
                <w:bCs/>
                <w:szCs w:val="18"/>
              </w:rPr>
            </w:pPr>
            <w:r>
              <w:rPr>
                <w:b/>
                <w:bCs/>
                <w:szCs w:val="18"/>
              </w:rPr>
              <w:t>NOTES</w:t>
            </w:r>
          </w:p>
          <w:p w14:paraId="20CB558D" w14:textId="77777777" w:rsidR="002A21AE" w:rsidRDefault="002A21AE">
            <w:pPr>
              <w:pStyle w:val="NotesText"/>
            </w:pPr>
          </w:p>
          <w:p w14:paraId="339DCA61" w14:textId="77777777" w:rsidR="00A93FEA" w:rsidRDefault="00A93FEA" w:rsidP="001132DE">
            <w:pPr>
              <w:pStyle w:val="NotesText"/>
              <w:rPr>
                <w:rFonts w:cs="Arial"/>
                <w:szCs w:val="18"/>
              </w:rPr>
            </w:pPr>
            <w:r w:rsidRPr="00A93FEA">
              <w:rPr>
                <w:rFonts w:cs="Arial"/>
                <w:vanish/>
                <w:szCs w:val="18"/>
              </w:rPr>
              <w:t xml:space="preserve">BR_25.01 </w:t>
            </w:r>
            <w:r w:rsidRPr="00D06747">
              <w:rPr>
                <w:rFonts w:cs="Arial"/>
                <w:szCs w:val="18"/>
              </w:rPr>
              <w:t>The user may split a unit into 2 to 26 subunits (or however many available alphabetic characters remain) until the volume of the original container is consumed. The system will calculate the patient charge of each split (fraction) as its portion of the original unit cost in U.S. dollars ($0,000.00).</w:t>
            </w:r>
          </w:p>
          <w:p w14:paraId="4769C201" w14:textId="77777777" w:rsidR="00A93FEA" w:rsidRDefault="00A93FEA" w:rsidP="001132DE">
            <w:pPr>
              <w:pStyle w:val="NotesText"/>
              <w:rPr>
                <w:rFonts w:cs="Arial"/>
                <w:szCs w:val="18"/>
              </w:rPr>
            </w:pPr>
          </w:p>
          <w:p w14:paraId="3F44873D" w14:textId="77777777" w:rsidR="00A93FEA" w:rsidRDefault="00A93FEA" w:rsidP="00A93FEA">
            <w:pPr>
              <w:pStyle w:val="NotesText"/>
            </w:pPr>
            <w:r w:rsidRPr="00A93FEA">
              <w:rPr>
                <w:vanish/>
              </w:rPr>
              <w:t xml:space="preserve">BR_25.16 </w:t>
            </w:r>
            <w:r w:rsidRPr="00D06747">
              <w:t>When split is selected, users must indicate the number of split units to be created if other than the default number of 2.</w:t>
            </w:r>
          </w:p>
        </w:tc>
      </w:tr>
      <w:tr w:rsidR="002A21AE" w14:paraId="4A8DCA5A" w14:textId="77777777" w:rsidTr="004A7B44">
        <w:trPr>
          <w:cantSplit/>
        </w:trPr>
        <w:tc>
          <w:tcPr>
            <w:tcW w:w="3240" w:type="dxa"/>
          </w:tcPr>
          <w:p w14:paraId="3578DCAE" w14:textId="77777777" w:rsidR="002A21AE" w:rsidRDefault="002A21AE">
            <w:pPr>
              <w:pStyle w:val="TableTextNumbers"/>
            </w:pPr>
            <w:r>
              <w:t>Select or confirm the desired target component type.</w:t>
            </w:r>
          </w:p>
          <w:p w14:paraId="78B6C1E5" w14:textId="77777777" w:rsidR="002A21AE" w:rsidRDefault="002A21AE">
            <w:pPr>
              <w:pStyle w:val="TableTextNumbersContinued"/>
            </w:pPr>
          </w:p>
          <w:p w14:paraId="11EEB213" w14:textId="77777777" w:rsidR="000E6E10" w:rsidRDefault="00F437F8">
            <w:pPr>
              <w:pStyle w:val="TableTextNumbersContinued"/>
            </w:pPr>
            <w:r>
              <w:t xml:space="preserve">Click the </w:t>
            </w:r>
            <w:r w:rsidRPr="007B7DEC">
              <w:rPr>
                <w:b/>
              </w:rPr>
              <w:t>Container</w:t>
            </w:r>
            <w:r>
              <w:t xml:space="preserve">, </w:t>
            </w:r>
            <w:r w:rsidRPr="00764A64">
              <w:rPr>
                <w:b/>
              </w:rPr>
              <w:t>Supplies</w:t>
            </w:r>
            <w:r w:rsidRPr="007B7DEC">
              <w:t>,</w:t>
            </w:r>
            <w:r w:rsidR="0023261D">
              <w:t xml:space="preserve"> </w:t>
            </w:r>
            <w:r w:rsidRPr="00764A64">
              <w:rPr>
                <w:b/>
              </w:rPr>
              <w:t>Equipment</w:t>
            </w:r>
            <w:r w:rsidRPr="007B7DEC">
              <w:t>, or</w:t>
            </w:r>
            <w:r>
              <w:rPr>
                <w:b/>
              </w:rPr>
              <w:t xml:space="preserve"> SCD Wafer</w:t>
            </w:r>
            <w:r w:rsidRPr="00764A64">
              <w:rPr>
                <w:b/>
              </w:rPr>
              <w:t xml:space="preserve"> </w:t>
            </w:r>
            <w:r w:rsidRPr="00CC3C89">
              <w:t>tab</w:t>
            </w:r>
            <w:r w:rsidR="000E6E10" w:rsidRPr="00CC3C89">
              <w:t xml:space="preserve"> </w:t>
            </w:r>
            <w:r w:rsidR="000E6E10">
              <w:t>and enter another supply and/or equipment lot or ID number.</w:t>
            </w:r>
          </w:p>
          <w:p w14:paraId="0D32322F" w14:textId="77777777" w:rsidR="002A21AE" w:rsidRDefault="002A21AE">
            <w:pPr>
              <w:pStyle w:val="TableTextNumbers"/>
              <w:numPr>
                <w:ilvl w:val="0"/>
                <w:numId w:val="0"/>
              </w:numPr>
            </w:pPr>
          </w:p>
        </w:tc>
        <w:tc>
          <w:tcPr>
            <w:tcW w:w="6120" w:type="dxa"/>
          </w:tcPr>
          <w:p w14:paraId="59BC0027" w14:textId="77777777" w:rsidR="002A21AE" w:rsidRDefault="002A21AE">
            <w:pPr>
              <w:pStyle w:val="TableTextBullet"/>
              <w:tabs>
                <w:tab w:val="num" w:pos="360"/>
              </w:tabs>
            </w:pPr>
            <w:r>
              <w:t>Allows the user to enter lot and ID numbers or select multiple items from the supply and equipment lists.</w:t>
            </w:r>
          </w:p>
          <w:p w14:paraId="1C5EB229" w14:textId="77777777" w:rsidR="002A21AE" w:rsidRDefault="002A21AE">
            <w:pPr>
              <w:pStyle w:val="TableText"/>
            </w:pPr>
          </w:p>
          <w:p w14:paraId="77E58823" w14:textId="2ABB56B1" w:rsidR="002A21AE" w:rsidRDefault="002A21AE">
            <w:pPr>
              <w:pStyle w:val="TableText"/>
              <w:rPr>
                <w:b/>
                <w:bCs/>
                <w:szCs w:val="18"/>
              </w:rPr>
            </w:pPr>
            <w:r>
              <w:rPr>
                <w:b/>
                <w:bCs/>
                <w:szCs w:val="18"/>
              </w:rPr>
              <w:t>NOTES</w:t>
            </w:r>
          </w:p>
          <w:p w14:paraId="3BA49E3A" w14:textId="77777777" w:rsidR="002A21AE" w:rsidRDefault="002A21AE">
            <w:pPr>
              <w:pStyle w:val="NotesText"/>
            </w:pPr>
          </w:p>
          <w:p w14:paraId="3556E61F" w14:textId="77777777" w:rsidR="002A21AE" w:rsidRDefault="002A21AE">
            <w:pPr>
              <w:pStyle w:val="NotesText"/>
              <w:rPr>
                <w:color w:val="000000"/>
              </w:rPr>
            </w:pPr>
            <w:r>
              <w:rPr>
                <w:rFonts w:cs="Arial"/>
                <w:vanish/>
              </w:rPr>
              <w:t xml:space="preserve">BR_25.04 </w:t>
            </w:r>
            <w:r>
              <w:rPr>
                <w:color w:val="000000"/>
              </w:rPr>
              <w:t xml:space="preserve">When multiple </w:t>
            </w:r>
            <w:r w:rsidR="003133AE">
              <w:rPr>
                <w:color w:val="000000"/>
              </w:rPr>
              <w:t>aliquot/split</w:t>
            </w:r>
            <w:r>
              <w:rPr>
                <w:color w:val="000000"/>
              </w:rPr>
              <w:t xml:space="preserve"> units are created, the user must associate a container lot number with each unit created. “Original container” may serve as the lot number for one of the aliquots created.</w:t>
            </w:r>
          </w:p>
          <w:p w14:paraId="61C6FEF0" w14:textId="77777777" w:rsidR="002A21AE" w:rsidRDefault="002A21AE">
            <w:pPr>
              <w:pStyle w:val="NotesText"/>
            </w:pPr>
          </w:p>
          <w:p w14:paraId="2A2F2890" w14:textId="77777777" w:rsidR="002A21AE" w:rsidRDefault="002A21AE">
            <w:pPr>
              <w:pStyle w:val="NotesText"/>
            </w:pPr>
            <w:r>
              <w:t xml:space="preserve">The original blood collection facility must keep a record of the original container lot numbers so that, when a lot number is recalled, it is known which patient was exposed to it. </w:t>
            </w:r>
          </w:p>
          <w:p w14:paraId="459C7642" w14:textId="52C1E474" w:rsidR="00025409" w:rsidRDefault="00025409" w:rsidP="003D61DB">
            <w:pPr>
              <w:pStyle w:val="NotesText"/>
              <w:ind w:left="0"/>
            </w:pPr>
          </w:p>
          <w:p w14:paraId="1E71A8A1" w14:textId="77777777" w:rsidR="00025409" w:rsidRDefault="00025409">
            <w:pPr>
              <w:pStyle w:val="NotesText"/>
              <w:rPr>
                <w:rFonts w:cs="Arial"/>
                <w:szCs w:val="18"/>
              </w:rPr>
            </w:pPr>
            <w:r w:rsidRPr="00025409">
              <w:rPr>
                <w:rFonts w:cs="Arial"/>
                <w:vanish/>
                <w:szCs w:val="18"/>
              </w:rPr>
              <w:t xml:space="preserve">BR_26.58 </w:t>
            </w:r>
            <w:r>
              <w:rPr>
                <w:rFonts w:cs="Arial"/>
                <w:szCs w:val="18"/>
              </w:rPr>
              <w:t>The user may select the target product code from available targets by scanning.</w:t>
            </w:r>
          </w:p>
          <w:p w14:paraId="095EFC7D" w14:textId="77777777" w:rsidR="00025409" w:rsidRDefault="00025409">
            <w:pPr>
              <w:pStyle w:val="NotesText"/>
            </w:pPr>
          </w:p>
          <w:p w14:paraId="1C08EC47" w14:textId="77777777" w:rsidR="00025409" w:rsidRPr="00025409" w:rsidRDefault="00025409" w:rsidP="00025409">
            <w:pPr>
              <w:pStyle w:val="NotesText"/>
              <w:rPr>
                <w:rFonts w:cs="Arial"/>
                <w:szCs w:val="18"/>
              </w:rPr>
            </w:pPr>
            <w:r w:rsidRPr="00025409">
              <w:rPr>
                <w:rFonts w:cs="Arial"/>
                <w:vanish/>
                <w:szCs w:val="18"/>
              </w:rPr>
              <w:t xml:space="preserve">BR_26.59 </w:t>
            </w:r>
            <w:r w:rsidRPr="00025409">
              <w:rPr>
                <w:rFonts w:cs="Arial"/>
                <w:szCs w:val="18"/>
              </w:rPr>
              <w:t>For THAW modification type:</w:t>
            </w:r>
          </w:p>
          <w:p w14:paraId="1D5D215C" w14:textId="77777777" w:rsidR="00025409" w:rsidRPr="00C05AF1" w:rsidRDefault="00025409" w:rsidP="00025409">
            <w:pPr>
              <w:pStyle w:val="NotesTextBullet"/>
              <w:rPr>
                <w:rFonts w:cs="Arial"/>
                <w:szCs w:val="18"/>
              </w:rPr>
            </w:pPr>
            <w:r w:rsidRPr="00C05AF1">
              <w:rPr>
                <w:rFonts w:cs="Arial"/>
                <w:szCs w:val="18"/>
              </w:rPr>
              <w:t xml:space="preserve">There is no attribute assigned for thaw. </w:t>
            </w:r>
          </w:p>
          <w:p w14:paraId="18D5776D" w14:textId="77777777" w:rsidR="00025409" w:rsidRPr="00C05AF1" w:rsidRDefault="00025409" w:rsidP="00025409">
            <w:pPr>
              <w:pStyle w:val="NotesTextBullet"/>
              <w:rPr>
                <w:rFonts w:cs="Arial"/>
                <w:szCs w:val="18"/>
              </w:rPr>
            </w:pPr>
            <w:r w:rsidRPr="00C05AF1">
              <w:rPr>
                <w:rFonts w:cs="Arial"/>
                <w:szCs w:val="18"/>
              </w:rPr>
              <w:t>The product class, modifier and Blood Core (V001) change.</w:t>
            </w:r>
          </w:p>
          <w:p w14:paraId="5053627E" w14:textId="77777777" w:rsidR="00025409" w:rsidRPr="00C05AF1" w:rsidRDefault="00025409" w:rsidP="00025409">
            <w:pPr>
              <w:pStyle w:val="NotesTextBullet"/>
              <w:rPr>
                <w:rFonts w:cs="Arial"/>
                <w:szCs w:val="18"/>
              </w:rPr>
            </w:pPr>
            <w:r w:rsidRPr="00C05AF1">
              <w:rPr>
                <w:rFonts w:cs="Arial"/>
                <w:szCs w:val="18"/>
              </w:rPr>
              <w:t>The system integrity should not change (V0012)</w:t>
            </w:r>
          </w:p>
          <w:p w14:paraId="29F66A12" w14:textId="77777777" w:rsidR="00025409" w:rsidRPr="00C05AF1" w:rsidRDefault="00025409" w:rsidP="00025409">
            <w:pPr>
              <w:pStyle w:val="NotesTextBullet"/>
              <w:rPr>
                <w:rFonts w:cs="Arial"/>
                <w:szCs w:val="18"/>
              </w:rPr>
            </w:pPr>
            <w:r w:rsidRPr="00C05AF1">
              <w:rPr>
                <w:rFonts w:cs="Arial"/>
                <w:szCs w:val="18"/>
              </w:rPr>
              <w:t>Maintain original attribute groups to the target; do not add any attribute values.</w:t>
            </w:r>
          </w:p>
          <w:p w14:paraId="6D4FF666" w14:textId="77777777" w:rsidR="00025409" w:rsidRPr="00C05AF1" w:rsidRDefault="00025409" w:rsidP="00025409">
            <w:pPr>
              <w:pStyle w:val="NotesTextBullet"/>
              <w:rPr>
                <w:rFonts w:cs="Arial"/>
                <w:szCs w:val="18"/>
              </w:rPr>
            </w:pPr>
            <w:r w:rsidRPr="00C05AF1">
              <w:rPr>
                <w:rFonts w:cs="Arial"/>
                <w:szCs w:val="18"/>
              </w:rPr>
              <w:t>Maintain the original anticoagulant or NS.</w:t>
            </w:r>
          </w:p>
          <w:p w14:paraId="2FAC9A4C" w14:textId="7510C461" w:rsidR="00025409" w:rsidRDefault="00025409" w:rsidP="00025409">
            <w:pPr>
              <w:pStyle w:val="NotesTextBullet"/>
              <w:rPr>
                <w:rFonts w:cs="Arial"/>
                <w:szCs w:val="18"/>
              </w:rPr>
            </w:pPr>
            <w:r w:rsidRPr="00C05AF1">
              <w:rPr>
                <w:rFonts w:cs="Arial"/>
                <w:szCs w:val="18"/>
              </w:rPr>
              <w:t>Temperature must change to a non-frozen temperature</w:t>
            </w:r>
          </w:p>
          <w:p w14:paraId="1F4ABC2B" w14:textId="623DC10B" w:rsidR="00491E6F" w:rsidRPr="00025409" w:rsidRDefault="00491E6F" w:rsidP="00025409">
            <w:pPr>
              <w:pStyle w:val="NotesTextBullet"/>
              <w:rPr>
                <w:rFonts w:cs="Arial"/>
                <w:szCs w:val="18"/>
              </w:rPr>
            </w:pPr>
            <w:r>
              <w:rPr>
                <w:rFonts w:cs="Arial"/>
                <w:szCs w:val="18"/>
              </w:rPr>
              <w:t>Target volume may be XX, or match the volume of the parent</w:t>
            </w:r>
          </w:p>
          <w:p w14:paraId="0BA8172D" w14:textId="77777777" w:rsidR="00025409" w:rsidRDefault="00025409" w:rsidP="00025409">
            <w:pPr>
              <w:pStyle w:val="TableText"/>
              <w:ind w:left="252"/>
            </w:pPr>
          </w:p>
        </w:tc>
      </w:tr>
      <w:tr w:rsidR="002A21AE" w14:paraId="442B49D3" w14:textId="77777777" w:rsidTr="004A7B44">
        <w:trPr>
          <w:cantSplit/>
        </w:trPr>
        <w:tc>
          <w:tcPr>
            <w:tcW w:w="3240" w:type="dxa"/>
          </w:tcPr>
          <w:p w14:paraId="3C98B098" w14:textId="77777777" w:rsidR="002A21AE" w:rsidRDefault="002A21AE">
            <w:pPr>
              <w:pStyle w:val="TableTextNumbers"/>
            </w:pPr>
            <w:r>
              <w:lastRenderedPageBreak/>
              <w:t>Accept or edit the displayed expiration date.</w:t>
            </w:r>
          </w:p>
        </w:tc>
        <w:tc>
          <w:tcPr>
            <w:tcW w:w="6120" w:type="dxa"/>
          </w:tcPr>
          <w:p w14:paraId="48BB7F26" w14:textId="77777777" w:rsidR="002A21AE" w:rsidRDefault="002A21AE">
            <w:pPr>
              <w:pStyle w:val="TableTextBullet"/>
              <w:tabs>
                <w:tab w:val="num" w:pos="360"/>
              </w:tabs>
            </w:pPr>
            <w:r>
              <w:t>Displays the expiration date.</w:t>
            </w:r>
          </w:p>
          <w:p w14:paraId="5C09BD07" w14:textId="77777777" w:rsidR="002A21AE" w:rsidRDefault="002A21AE">
            <w:pPr>
              <w:pStyle w:val="TableTextBullet"/>
              <w:tabs>
                <w:tab w:val="num" w:pos="360"/>
              </w:tabs>
            </w:pPr>
            <w:r>
              <w:t xml:space="preserve">Calculates and displays the volume of each split unit. </w:t>
            </w:r>
          </w:p>
          <w:p w14:paraId="7CA5A8C8" w14:textId="77777777" w:rsidR="002A21AE" w:rsidRDefault="002A21AE">
            <w:pPr>
              <w:pStyle w:val="TableText"/>
            </w:pPr>
          </w:p>
          <w:p w14:paraId="7A48E86E" w14:textId="6FF9931F" w:rsidR="002A21AE" w:rsidRDefault="002A21AE">
            <w:pPr>
              <w:pStyle w:val="TableText"/>
              <w:rPr>
                <w:b/>
                <w:bCs/>
                <w:szCs w:val="18"/>
              </w:rPr>
            </w:pPr>
            <w:r>
              <w:rPr>
                <w:b/>
                <w:bCs/>
                <w:szCs w:val="18"/>
              </w:rPr>
              <w:t>NOTES</w:t>
            </w:r>
          </w:p>
          <w:p w14:paraId="02B54790" w14:textId="6B0C7D4D" w:rsidR="002A21AE" w:rsidRDefault="002A21AE">
            <w:pPr>
              <w:pStyle w:val="TableText"/>
              <w:rPr>
                <w:b/>
                <w:bCs/>
                <w:szCs w:val="18"/>
              </w:rPr>
            </w:pPr>
          </w:p>
          <w:p w14:paraId="7F86FE1B" w14:textId="51FF0F32" w:rsidR="00E93AC0" w:rsidRPr="00E93AC0" w:rsidRDefault="002A21AE" w:rsidP="00E93AC0">
            <w:pPr>
              <w:pStyle w:val="NotesText"/>
            </w:pPr>
            <w:r w:rsidRPr="00E93AC0">
              <w:rPr>
                <w:vanish/>
              </w:rPr>
              <w:t xml:space="preserve">BR_25.05 </w:t>
            </w:r>
            <w:r w:rsidR="00E93AC0" w:rsidRPr="00E93AC0">
              <w:t xml:space="preserve">VBECS calculates and displays default volumes for each target split (does not include pediatric aliquots) based on the volume of the original unit and the number of splits being created, consuming the total volume of the original unit. The system will restrict the user </w:t>
            </w:r>
            <w:r w:rsidR="00D676C0">
              <w:t>to enter a value between 1 and 2000</w:t>
            </w:r>
            <w:r w:rsidR="00E93AC0" w:rsidRPr="00E93AC0">
              <w:t>.</w:t>
            </w:r>
          </w:p>
          <w:p w14:paraId="78CF44BF" w14:textId="77777777" w:rsidR="00E93AC0" w:rsidRPr="00D06747" w:rsidRDefault="00E93AC0" w:rsidP="00E93AC0">
            <w:pPr>
              <w:pStyle w:val="TableText"/>
              <w:rPr>
                <w:rFonts w:cs="Arial"/>
                <w:szCs w:val="18"/>
              </w:rPr>
            </w:pPr>
          </w:p>
          <w:p w14:paraId="428D5CBB" w14:textId="77777777" w:rsidR="002A21AE" w:rsidRDefault="00E93AC0" w:rsidP="00E93AC0">
            <w:pPr>
              <w:pStyle w:val="NotesText"/>
            </w:pPr>
            <w:r w:rsidRPr="00D06747">
              <w:t>The system will split the volume evenly among the splits and add the remainder to the first split.</w:t>
            </w:r>
          </w:p>
        </w:tc>
      </w:tr>
      <w:tr w:rsidR="002A21AE" w14:paraId="77AB46E2" w14:textId="77777777" w:rsidTr="004A7B44">
        <w:trPr>
          <w:cantSplit/>
        </w:trPr>
        <w:tc>
          <w:tcPr>
            <w:tcW w:w="3240" w:type="dxa"/>
          </w:tcPr>
          <w:p w14:paraId="4BBBFFF7" w14:textId="77777777" w:rsidR="002A21AE" w:rsidRDefault="002A21AE">
            <w:pPr>
              <w:pStyle w:val="TableTextNumbers"/>
            </w:pPr>
            <w:r>
              <w:t>Accept or edit the displayed unit volumes.</w:t>
            </w:r>
          </w:p>
        </w:tc>
        <w:tc>
          <w:tcPr>
            <w:tcW w:w="6120" w:type="dxa"/>
          </w:tcPr>
          <w:p w14:paraId="0657782E" w14:textId="77777777" w:rsidR="002A21AE" w:rsidRDefault="002A21AE">
            <w:pPr>
              <w:pStyle w:val="TableTextBullet"/>
              <w:tabs>
                <w:tab w:val="num" w:pos="360"/>
              </w:tabs>
            </w:pPr>
            <w:r>
              <w:t>Displays the original and target unit data for review.</w:t>
            </w:r>
          </w:p>
          <w:p w14:paraId="64AA4132" w14:textId="77777777" w:rsidR="002A21AE" w:rsidRDefault="002A21AE">
            <w:pPr>
              <w:pStyle w:val="TableText"/>
            </w:pPr>
          </w:p>
          <w:p w14:paraId="7293F5C0" w14:textId="548E0FC3" w:rsidR="002A21AE" w:rsidRDefault="002A21AE">
            <w:pPr>
              <w:pStyle w:val="TableText"/>
              <w:rPr>
                <w:b/>
                <w:bCs/>
                <w:szCs w:val="18"/>
              </w:rPr>
            </w:pPr>
            <w:r>
              <w:rPr>
                <w:b/>
                <w:bCs/>
                <w:szCs w:val="18"/>
              </w:rPr>
              <w:t>NOTES</w:t>
            </w:r>
          </w:p>
          <w:p w14:paraId="3147B7BE" w14:textId="77777777" w:rsidR="002A21AE" w:rsidRDefault="002A21AE">
            <w:pPr>
              <w:pStyle w:val="NotesText"/>
            </w:pPr>
          </w:p>
          <w:p w14:paraId="2760CA91" w14:textId="77777777" w:rsidR="002A21AE" w:rsidRDefault="002A21AE">
            <w:pPr>
              <w:pStyle w:val="NotesText"/>
            </w:pPr>
            <w:r>
              <w:t>The user may not edit original unit data.</w:t>
            </w:r>
          </w:p>
          <w:p w14:paraId="4747EEA6" w14:textId="77777777" w:rsidR="002A21AE" w:rsidRDefault="002A21AE">
            <w:pPr>
              <w:pStyle w:val="NotesText"/>
            </w:pPr>
          </w:p>
          <w:p w14:paraId="087E7A6D" w14:textId="77777777" w:rsidR="00A40202" w:rsidRDefault="002A21AE" w:rsidP="00A40202">
            <w:pPr>
              <w:pStyle w:val="TableText"/>
              <w:rPr>
                <w:b/>
                <w:bCs/>
                <w:sz w:val="20"/>
              </w:rPr>
            </w:pPr>
            <w:r>
              <w:rPr>
                <w:rFonts w:cs="Arial"/>
                <w:vanish/>
              </w:rPr>
              <w:t xml:space="preserve">BR_25.11 </w:t>
            </w:r>
            <w:r w:rsidR="00A40202">
              <w:rPr>
                <w:b/>
                <w:bCs/>
              </w:rPr>
              <w:t>For Split modification type:</w:t>
            </w:r>
          </w:p>
          <w:p w14:paraId="772B5D78" w14:textId="77777777" w:rsidR="00A40202" w:rsidRDefault="00A40202" w:rsidP="00925CAD">
            <w:pPr>
              <w:pStyle w:val="TableText"/>
              <w:numPr>
                <w:ilvl w:val="0"/>
                <w:numId w:val="71"/>
              </w:numPr>
              <w:ind w:left="252" w:hanging="198"/>
            </w:pPr>
            <w:r>
              <w:t>Do not allow splitting frozen products.</w:t>
            </w:r>
          </w:p>
          <w:p w14:paraId="55ADB56F" w14:textId="4AB7A73C" w:rsidR="00A40202" w:rsidRDefault="00A40202" w:rsidP="00925CAD">
            <w:pPr>
              <w:pStyle w:val="TableText"/>
              <w:numPr>
                <w:ilvl w:val="0"/>
                <w:numId w:val="71"/>
              </w:numPr>
              <w:ind w:left="252" w:hanging="198"/>
            </w:pPr>
            <w:r>
              <w:t>There is no attribute assigned for split.</w:t>
            </w:r>
          </w:p>
          <w:p w14:paraId="33EF1FFF" w14:textId="0D20B381" w:rsidR="002A21AE" w:rsidRDefault="00F744C5" w:rsidP="00925CAD">
            <w:pPr>
              <w:pStyle w:val="TableText"/>
              <w:numPr>
                <w:ilvl w:val="0"/>
                <w:numId w:val="71"/>
              </w:numPr>
              <w:ind w:left="252" w:hanging="198"/>
            </w:pPr>
            <w:r>
              <w:t>Maintain original product type attributes to the target.</w:t>
            </w:r>
          </w:p>
        </w:tc>
      </w:tr>
      <w:tr w:rsidR="002A21AE" w14:paraId="3EED31AB" w14:textId="77777777" w:rsidTr="004A7B44">
        <w:trPr>
          <w:cantSplit/>
        </w:trPr>
        <w:tc>
          <w:tcPr>
            <w:tcW w:w="3240" w:type="dxa"/>
          </w:tcPr>
          <w:p w14:paraId="00CB56B9" w14:textId="77777777" w:rsidR="002A21AE" w:rsidRDefault="002A21AE">
            <w:pPr>
              <w:pStyle w:val="TableTextNumbers"/>
            </w:pPr>
            <w:r>
              <w:t>Review the displayed data for the target units and confirm the modification type.</w:t>
            </w:r>
          </w:p>
        </w:tc>
        <w:tc>
          <w:tcPr>
            <w:tcW w:w="6120" w:type="dxa"/>
          </w:tcPr>
          <w:p w14:paraId="13CAAC2F" w14:textId="77777777" w:rsidR="002A21AE" w:rsidRDefault="002A21AE" w:rsidP="000C3495">
            <w:pPr>
              <w:pStyle w:val="TableTextBullet"/>
            </w:pPr>
            <w:r>
              <w:t>Displays the target unit’s ID number.</w:t>
            </w:r>
          </w:p>
          <w:p w14:paraId="613C4AA9" w14:textId="77777777" w:rsidR="002A21AE" w:rsidRDefault="002A21AE">
            <w:pPr>
              <w:pStyle w:val="TableText"/>
            </w:pPr>
          </w:p>
          <w:p w14:paraId="61091497" w14:textId="68FF7D49" w:rsidR="002A21AE" w:rsidRDefault="002A21AE">
            <w:pPr>
              <w:pStyle w:val="TableText"/>
              <w:rPr>
                <w:b/>
                <w:bCs/>
                <w:szCs w:val="18"/>
              </w:rPr>
            </w:pPr>
            <w:r>
              <w:rPr>
                <w:b/>
                <w:bCs/>
                <w:szCs w:val="18"/>
              </w:rPr>
              <w:t>NOTES</w:t>
            </w:r>
          </w:p>
          <w:p w14:paraId="3467C943" w14:textId="77777777" w:rsidR="002A21AE" w:rsidRDefault="002A21AE">
            <w:pPr>
              <w:pStyle w:val="NotesText"/>
            </w:pPr>
          </w:p>
          <w:p w14:paraId="0CA0D21B" w14:textId="77777777" w:rsidR="002A21AE" w:rsidRPr="001416EA" w:rsidRDefault="002A21AE">
            <w:pPr>
              <w:pStyle w:val="NotesTextBullet"/>
              <w:rPr>
                <w:rStyle w:val="NotesTextBullet1Char"/>
                <w:color w:val="auto"/>
              </w:rPr>
            </w:pPr>
            <w:r>
              <w:rPr>
                <w:rFonts w:cs="Arial"/>
                <w:vanish/>
              </w:rPr>
              <w:t>BR</w:t>
            </w:r>
            <w:r>
              <w:rPr>
                <w:rStyle w:val="NotesTextBullet1Char"/>
                <w:rFonts w:cs="Arial"/>
                <w:vanish/>
                <w:color w:val="auto"/>
              </w:rPr>
              <w:t xml:space="preserve">_25.07 </w:t>
            </w:r>
            <w:r>
              <w:rPr>
                <w:rStyle w:val="NotesTextBullet1Char"/>
              </w:rPr>
              <w:t xml:space="preserve">ISBT 128: the unit ID, five-digit product description code, and sixth-character donation code remain the same. Characters 7 and 8 of the ISBT 128 product code barcode reflect the aliquot level: when a previously undivided unit is split, character 7 of the unique eight-digit ISBT 128 product code is incremented alphabetically in uppercase letters, resulting in characters 7 and 8: A0, B0, C0, </w:t>
            </w:r>
            <w:r w:rsidR="00A10483">
              <w:rPr>
                <w:rStyle w:val="NotesTextBullet1Char"/>
              </w:rPr>
              <w:t>D0 …</w:t>
            </w:r>
            <w:r>
              <w:rPr>
                <w:rStyle w:val="NotesTextBullet1Char"/>
              </w:rPr>
              <w:t xml:space="preserve"> Z0.</w:t>
            </w:r>
          </w:p>
          <w:p w14:paraId="10A90338" w14:textId="77777777" w:rsidR="001416EA" w:rsidRDefault="001416EA" w:rsidP="001416EA">
            <w:pPr>
              <w:pStyle w:val="NotesTextBullet"/>
              <w:numPr>
                <w:ilvl w:val="0"/>
                <w:numId w:val="0"/>
              </w:numPr>
              <w:ind w:left="1008" w:hanging="288"/>
            </w:pPr>
          </w:p>
        </w:tc>
      </w:tr>
      <w:tr w:rsidR="002A21AE" w14:paraId="738282F6" w14:textId="77777777" w:rsidTr="004A7B44">
        <w:trPr>
          <w:cantSplit/>
        </w:trPr>
        <w:tc>
          <w:tcPr>
            <w:tcW w:w="3240" w:type="dxa"/>
          </w:tcPr>
          <w:p w14:paraId="2C973B0C" w14:textId="77777777" w:rsidR="002A21AE" w:rsidRDefault="002A21AE">
            <w:pPr>
              <w:pStyle w:val="TableTextNumbers"/>
            </w:pPr>
            <w:r>
              <w:t xml:space="preserve">Click </w:t>
            </w:r>
            <w:r>
              <w:rPr>
                <w:b/>
              </w:rPr>
              <w:t>OK</w:t>
            </w:r>
            <w:r>
              <w:t xml:space="preserve"> to save.</w:t>
            </w:r>
          </w:p>
          <w:p w14:paraId="40C1119A" w14:textId="77777777" w:rsidR="00913F95" w:rsidRDefault="00913F95" w:rsidP="00913F95">
            <w:pPr>
              <w:pStyle w:val="TableTextNumbersContinued"/>
            </w:pPr>
          </w:p>
          <w:p w14:paraId="49CD1D68" w14:textId="77777777" w:rsidR="00913F95" w:rsidRDefault="00913F95" w:rsidP="00913F95">
            <w:pPr>
              <w:pStyle w:val="TableTextNumbersContinued"/>
            </w:pPr>
            <w:r>
              <w:t xml:space="preserve">Click </w:t>
            </w:r>
            <w:r w:rsidRPr="00A77D1F">
              <w:rPr>
                <w:b/>
              </w:rPr>
              <w:t>Yes</w:t>
            </w:r>
            <w:r>
              <w:t xml:space="preserve"> to verify the label.</w:t>
            </w:r>
          </w:p>
        </w:tc>
        <w:tc>
          <w:tcPr>
            <w:tcW w:w="6120" w:type="dxa"/>
          </w:tcPr>
          <w:p w14:paraId="5CEDFE2A" w14:textId="77777777" w:rsidR="000C3495" w:rsidRDefault="000C3495" w:rsidP="000C3495">
            <w:pPr>
              <w:pStyle w:val="TableTextBullet"/>
              <w:tabs>
                <w:tab w:val="num" w:pos="360"/>
              </w:tabs>
            </w:pPr>
            <w:r>
              <w:t xml:space="preserve">Prompts the user to save the data, including patient assignment and restriction information, if any. </w:t>
            </w:r>
          </w:p>
          <w:p w14:paraId="313C73DD" w14:textId="77777777" w:rsidR="002A21AE" w:rsidRDefault="002A21AE">
            <w:pPr>
              <w:pStyle w:val="TableTextBullet"/>
            </w:pPr>
            <w:r>
              <w:t>Saves aliquots created from the modified unit.</w:t>
            </w:r>
          </w:p>
          <w:p w14:paraId="7735C09F" w14:textId="77777777" w:rsidR="00913F95" w:rsidRDefault="00EE2911" w:rsidP="00913F95">
            <w:pPr>
              <w:pStyle w:val="TableTextBullet"/>
              <w:tabs>
                <w:tab w:val="clear" w:pos="288"/>
              </w:tabs>
            </w:pPr>
            <w:r>
              <w:t>Records the unit ID of the target unit on the record of the original unit.</w:t>
            </w:r>
          </w:p>
          <w:p w14:paraId="642B7DB5"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A38CD9A" w14:textId="77777777" w:rsidTr="004A7B44">
        <w:trPr>
          <w:cantSplit/>
        </w:trPr>
        <w:tc>
          <w:tcPr>
            <w:tcW w:w="3240" w:type="dxa"/>
            <w:tcBorders>
              <w:bottom w:val="single" w:sz="4" w:space="0" w:color="auto"/>
            </w:tcBorders>
          </w:tcPr>
          <w:p w14:paraId="70E6FB05" w14:textId="77777777" w:rsidR="000C3495" w:rsidRDefault="000C3495">
            <w:pPr>
              <w:pStyle w:val="TableTextNumbers"/>
            </w:pPr>
            <w:r>
              <w:t xml:space="preserve">Click </w:t>
            </w:r>
            <w:r w:rsidR="00913F95">
              <w:rPr>
                <w:b/>
              </w:rPr>
              <w:t>Yes</w:t>
            </w:r>
            <w:r>
              <w:t xml:space="preserve"> to save.</w:t>
            </w:r>
          </w:p>
          <w:p w14:paraId="6838DF22" w14:textId="77777777" w:rsidR="000C3495" w:rsidRDefault="000C3495" w:rsidP="000C3495">
            <w:pPr>
              <w:pStyle w:val="TableTextNumbersContinued"/>
            </w:pPr>
          </w:p>
          <w:p w14:paraId="68D4FFFA" w14:textId="01B79628" w:rsidR="002A21AE" w:rsidRDefault="002A21AE" w:rsidP="000C3495">
            <w:pPr>
              <w:pStyle w:val="TableTextNumbersContinued"/>
            </w:pPr>
            <w:r>
              <w:t>Repeat Steps 2</w:t>
            </w:r>
            <w:r w:rsidR="004F5589">
              <w:t xml:space="preserve"> through </w:t>
            </w:r>
            <w:r>
              <w:t>9 to split additional units, or return to Step 1 to use a different modification method on a</w:t>
            </w:r>
            <w:r w:rsidR="00C43733">
              <w:t>nother</w:t>
            </w:r>
            <w:r>
              <w:t xml:space="preserve"> unit.</w:t>
            </w:r>
          </w:p>
        </w:tc>
        <w:tc>
          <w:tcPr>
            <w:tcW w:w="6120" w:type="dxa"/>
            <w:tcBorders>
              <w:bottom w:val="single" w:sz="4" w:space="0" w:color="auto"/>
            </w:tcBorders>
          </w:tcPr>
          <w:p w14:paraId="4E6D17D9" w14:textId="77777777" w:rsidR="002A21AE" w:rsidRDefault="002A21AE">
            <w:pPr>
              <w:pStyle w:val="TableTextBullet"/>
            </w:pPr>
            <w:r>
              <w:t>Prompts the user to split or modify another unit.</w:t>
            </w:r>
          </w:p>
        </w:tc>
      </w:tr>
      <w:tr w:rsidR="002A21AE" w14:paraId="206691E6" w14:textId="77777777" w:rsidTr="004A7B44">
        <w:trPr>
          <w:cantSplit/>
        </w:trPr>
        <w:tc>
          <w:tcPr>
            <w:tcW w:w="3240" w:type="dxa"/>
            <w:tcBorders>
              <w:bottom w:val="single" w:sz="4" w:space="0" w:color="auto"/>
            </w:tcBorders>
          </w:tcPr>
          <w:p w14:paraId="00346AC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75F057D6" w14:textId="77777777" w:rsidR="002A21AE" w:rsidRDefault="002A21AE">
            <w:pPr>
              <w:pStyle w:val="TableText"/>
            </w:pPr>
          </w:p>
        </w:tc>
      </w:tr>
    </w:tbl>
    <w:p w14:paraId="578B9585" w14:textId="77777777" w:rsidR="002A21AE" w:rsidRDefault="009F1B54">
      <w:pPr>
        <w:pStyle w:val="Heading3"/>
      </w:pPr>
      <w:bookmarkStart w:id="316" w:name="_Toc94349343"/>
      <w:r>
        <w:br w:type="page"/>
      </w:r>
      <w:bookmarkStart w:id="317" w:name="_Toc163644917"/>
      <w:r w:rsidR="002A21AE">
        <w:lastRenderedPageBreak/>
        <w:t>Modify Units: Pool Units</w:t>
      </w:r>
      <w:bookmarkEnd w:id="317"/>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Pool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16"/>
      <w:r w:rsidR="00B30CE5">
        <w:rPr>
          <w:vanish/>
        </w:rPr>
        <w:t>6</w:t>
      </w:r>
    </w:p>
    <w:p w14:paraId="20F3FE23" w14:textId="77777777" w:rsidR="002A21AE" w:rsidRDefault="002A21AE" w:rsidP="00FA7E65">
      <w:pPr>
        <w:pStyle w:val="BodyText"/>
      </w:pPr>
      <w:bookmarkStart w:id="318" w:name="_Toc78292638"/>
      <w:r>
        <w:t xml:space="preserve">The user selects units to be pooled. </w:t>
      </w:r>
    </w:p>
    <w:p w14:paraId="4B6950FE" w14:textId="77777777" w:rsidR="002A21AE" w:rsidRDefault="002A21AE">
      <w:pPr>
        <w:pStyle w:val="Heading4"/>
      </w:pPr>
      <w:bookmarkStart w:id="319" w:name="_Toc94349344"/>
      <w:r>
        <w:t>Assumptions</w:t>
      </w:r>
      <w:bookmarkEnd w:id="319"/>
    </w:p>
    <w:p w14:paraId="2254F6AB" w14:textId="77777777" w:rsidR="002A21AE" w:rsidRDefault="002A21AE">
      <w:pPr>
        <w:pStyle w:val="ListBullet"/>
      </w:pPr>
      <w:r>
        <w:t>See Modify Units.</w:t>
      </w:r>
    </w:p>
    <w:p w14:paraId="3087C228" w14:textId="77777777" w:rsidR="002A21AE" w:rsidRDefault="002A21AE">
      <w:pPr>
        <w:pStyle w:val="Heading4"/>
      </w:pPr>
      <w:bookmarkStart w:id="320" w:name="_Toc94349345"/>
      <w:r>
        <w:t>Outcome</w:t>
      </w:r>
      <w:bookmarkEnd w:id="320"/>
    </w:p>
    <w:p w14:paraId="63304FAC" w14:textId="77777777" w:rsidR="002A21AE" w:rsidRDefault="002A21AE">
      <w:pPr>
        <w:pStyle w:val="ListBullet"/>
      </w:pPr>
      <w:r>
        <w:t>See Modify Units.</w:t>
      </w:r>
    </w:p>
    <w:p w14:paraId="4F6D5CD7" w14:textId="77777777" w:rsidR="002A21AE" w:rsidRDefault="002A21AE">
      <w:pPr>
        <w:pStyle w:val="Heading4"/>
      </w:pPr>
      <w:bookmarkStart w:id="321" w:name="_Toc94349346"/>
      <w:r>
        <w:t>Limitations and Restrictions</w:t>
      </w:r>
      <w:bookmarkEnd w:id="321"/>
      <w:r w:rsidR="0004660C">
        <w:t xml:space="preserve"> </w:t>
      </w:r>
      <w:r w:rsidR="0004660C" w:rsidRPr="002546AC">
        <w:rPr>
          <w:rFonts w:ascii="Arial Bold" w:hAnsi="Arial Bold"/>
          <w:b w:val="0"/>
          <w:vanish/>
        </w:rPr>
        <w:t>DR 4474 removed third bullet</w:t>
      </w:r>
    </w:p>
    <w:p w14:paraId="318F7867" w14:textId="77777777" w:rsidR="00E11C56" w:rsidRDefault="00E11C56">
      <w:pPr>
        <w:pStyle w:val="ListBullet"/>
      </w:pPr>
      <w:r>
        <w:t>VBECS allows modification of units only in limited, assigned, crossmatched, and available statuses.</w:t>
      </w:r>
    </w:p>
    <w:p w14:paraId="680AC827" w14:textId="4D1733CE" w:rsidR="00971928" w:rsidRDefault="00D47D4A" w:rsidP="0004660C">
      <w:pPr>
        <w:pStyle w:val="ListBullet"/>
      </w:pPr>
      <w:r w:rsidRPr="00D47D4A">
        <w:t>When a</w:t>
      </w:r>
      <w:r>
        <w:t xml:space="preserve"> user adds a</w:t>
      </w:r>
      <w:r w:rsidRPr="00D47D4A">
        <w:t xml:space="preserve"> biohazardous unit to a pool, </w:t>
      </w:r>
      <w:r>
        <w:t xml:space="preserve">VBECS does not </w:t>
      </w:r>
      <w:r w:rsidR="0074247E">
        <w:t>designate</w:t>
      </w:r>
      <w:r>
        <w:t xml:space="preserve"> </w:t>
      </w:r>
      <w:r w:rsidR="002B51D0">
        <w:t xml:space="preserve">the </w:t>
      </w:r>
      <w:r w:rsidRPr="00D47D4A">
        <w:t xml:space="preserve">pool </w:t>
      </w:r>
      <w:r w:rsidR="0074247E">
        <w:t>as</w:t>
      </w:r>
      <w:r w:rsidRPr="00D47D4A">
        <w:t xml:space="preserve"> biohazardous</w:t>
      </w:r>
      <w:r w:rsidR="00785616">
        <w:t xml:space="preserve"> on the Blood Transfusion Record Form (BTRF) or Caution Tag</w:t>
      </w:r>
      <w:r w:rsidRPr="00D47D4A">
        <w:t>.</w:t>
      </w:r>
    </w:p>
    <w:p w14:paraId="00AD7DFA" w14:textId="77777777" w:rsidR="002A21AE" w:rsidRDefault="002A21AE">
      <w:pPr>
        <w:pStyle w:val="Heading4"/>
      </w:pPr>
      <w:bookmarkStart w:id="322" w:name="_Toc94349347"/>
      <w:r>
        <w:t>Additional Information</w:t>
      </w:r>
      <w:bookmarkEnd w:id="322"/>
    </w:p>
    <w:p w14:paraId="1AC69253" w14:textId="77777777" w:rsidR="002A21AE" w:rsidRDefault="002A21AE">
      <w:pPr>
        <w:pStyle w:val="ListBullet"/>
      </w:pPr>
      <w:r w:rsidRPr="009D4EED">
        <w:rPr>
          <w:vanish/>
        </w:rPr>
        <w:t>BR_24.16</w:t>
      </w:r>
      <w:r>
        <w:rPr>
          <w:rFonts w:ascii="Arial" w:hAnsi="Arial" w:cs="Arial"/>
          <w:vanish/>
          <w:spacing w:val="0"/>
          <w:sz w:val="18"/>
        </w:rPr>
        <w:t xml:space="preserve"> </w:t>
      </w:r>
      <w:r>
        <w:t xml:space="preserve">When autologous or directed units are pooled, the “restricted for” patient must be the same for all units. VBECS assigns the same donation type and applies the “restricted for” patient data to the pool. </w:t>
      </w:r>
    </w:p>
    <w:p w14:paraId="4EE83DF7" w14:textId="77777777" w:rsidR="00A03B5F" w:rsidRDefault="00A03B5F" w:rsidP="00A03B5F">
      <w:pPr>
        <w:pStyle w:val="ListBullet"/>
      </w:pPr>
      <w:r>
        <w:t>To reverse the pooling of units:</w:t>
      </w:r>
    </w:p>
    <w:p w14:paraId="3E9DFA78" w14:textId="77777777" w:rsidR="00EB1E75" w:rsidRDefault="00A03B5F" w:rsidP="00EB1E75">
      <w:pPr>
        <w:pStyle w:val="ListBullet2"/>
      </w:pPr>
      <w:r>
        <w:t xml:space="preserve">Inactivate the target </w:t>
      </w:r>
      <w:r w:rsidRPr="00234222">
        <w:t>through</w:t>
      </w:r>
      <w:r>
        <w:t xml:space="preserve"> Edit Unit Information. </w:t>
      </w:r>
    </w:p>
    <w:p w14:paraId="4D9EA58F" w14:textId="77777777" w:rsidR="00A03B5F" w:rsidRDefault="00A03B5F" w:rsidP="00EB1E75">
      <w:pPr>
        <w:pStyle w:val="ListBullet2"/>
      </w:pPr>
      <w:r>
        <w:t>Remove the “modified” status from each unit in the pool through Remove Final Status.</w:t>
      </w:r>
    </w:p>
    <w:p w14:paraId="5A42423A" w14:textId="77777777" w:rsidR="00A03B5F" w:rsidRDefault="00A03B5F" w:rsidP="00A03B5F">
      <w:pPr>
        <w:pStyle w:val="ListBullet"/>
      </w:pPr>
      <w:r>
        <w:t>To edit the number of units in an existing pool, use Add/Remove Units from a Pool.</w:t>
      </w:r>
    </w:p>
    <w:p w14:paraId="3AF39EC3" w14:textId="77777777" w:rsidR="002A21AE" w:rsidRDefault="002A21AE">
      <w:pPr>
        <w:pStyle w:val="Heading4"/>
      </w:pPr>
      <w:bookmarkStart w:id="323" w:name="_Toc94349348"/>
      <w:r>
        <w:t>User Roles with Access to This Option</w:t>
      </w:r>
      <w:bookmarkEnd w:id="323"/>
    </w:p>
    <w:bookmarkEnd w:id="318"/>
    <w:p w14:paraId="2F1E63B3" w14:textId="77777777" w:rsidR="001A3179" w:rsidRDefault="001A3179" w:rsidP="001A3179">
      <w:pPr>
        <w:pStyle w:val="Roles"/>
        <w:rPr>
          <w:snapToGrid w:val="0"/>
        </w:rPr>
      </w:pPr>
      <w:r>
        <w:t>All users</w:t>
      </w:r>
    </w:p>
    <w:p w14:paraId="3BE3A118" w14:textId="77777777" w:rsidR="002A21AE" w:rsidRDefault="002A21AE">
      <w:pPr>
        <w:pStyle w:val="Heading4"/>
      </w:pPr>
      <w:r>
        <w:t>Modify Units: Pool Units</w:t>
      </w:r>
    </w:p>
    <w:p w14:paraId="26A7F21B" w14:textId="77777777" w:rsidR="002A21AE" w:rsidRDefault="002A21AE" w:rsidP="00FA7E65">
      <w:pPr>
        <w:pStyle w:val="BodyText"/>
      </w:pPr>
      <w:r>
        <w:t xml:space="preserve">When the pooling is in process or almost complete, the user records it in VBECS. Data entry may also be completed retrospectively. The user pools units and enters the ID and product code of the original unit and the IDs and product codes for each unit added to the pool. </w:t>
      </w:r>
    </w:p>
    <w:p w14:paraId="13FFCE3A" w14:textId="77777777" w:rsidR="002A21AE" w:rsidRDefault="002A21AE" w:rsidP="00FA7E65">
      <w:pPr>
        <w:pStyle w:val="BodyText"/>
      </w:pPr>
      <w:r>
        <w:t xml:space="preserve">VBECS records the date and time the units are pooled, uses the date and time to calculate a new expiration date for the pool, and assigns a unit ID and ABO/Rh, as defined by system rules. When an original unit in a pool was previously assigned to a patient, VBECS asks the user whether the entire pool is to be assigned to that patient. VBECS automatically assigns autologous and directed patient restriction data from an individual unit to the pool. VBECS determines the volume of the pool based on the sum of the volumes of the units in the pool. </w:t>
      </w:r>
    </w:p>
    <w:p w14:paraId="5797476F" w14:textId="77777777" w:rsidR="002A21AE" w:rsidRDefault="002A21AE" w:rsidP="00FA7E65">
      <w:pPr>
        <w:pStyle w:val="BodyText"/>
      </w:pPr>
      <w:r>
        <w:t xml:space="preserve">The new, </w:t>
      </w:r>
      <w:r>
        <w:rPr>
          <w:iCs/>
        </w:rPr>
        <w:t>pooled</w:t>
      </w:r>
      <w:r>
        <w:t xml:space="preserve"> unit needs a full set of unit properties, some of which were defined by the original units’ properties. VBECS assigns new properties such as volume, date and time created, container lot number, and expiration date to the target.</w:t>
      </w:r>
    </w:p>
    <w:p w14:paraId="619C4849" w14:textId="77777777" w:rsidR="002A21AE" w:rsidRDefault="002A21AE" w:rsidP="00FA7E65">
      <w:pPr>
        <w:pStyle w:val="BodyText"/>
      </w:pPr>
      <w:r>
        <w:t xml:space="preserve">VBECS uses system rules to check pertinent blood bank requirements associated with pooling and displays appropriate target unit information for review. The user reviews and edits the information, as needed, and completes the transaction. VBECS updates internal records, including the collection of workload and unit statuses, for each unit involved. </w:t>
      </w:r>
    </w:p>
    <w:p w14:paraId="438E05FD" w14:textId="77777777" w:rsidR="002A21AE" w:rsidRDefault="002A21AE" w:rsidP="00FA7E65">
      <w:pPr>
        <w:pStyle w:val="BodyText"/>
      </w:pPr>
      <w:r>
        <w:t>The user may now assign the units or print the BTRF and Caution Tag, and notify appropriate personnel that the ordered units are ready for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F38EC85" w14:textId="77777777">
        <w:trPr>
          <w:tblHeader/>
        </w:trPr>
        <w:tc>
          <w:tcPr>
            <w:tcW w:w="3240" w:type="dxa"/>
            <w:shd w:val="pct30" w:color="auto" w:fill="FFFFFF"/>
            <w:vAlign w:val="bottom"/>
          </w:tcPr>
          <w:p w14:paraId="3A88A336" w14:textId="77777777" w:rsidR="002A21AE" w:rsidRDefault="002A21AE">
            <w:pPr>
              <w:pStyle w:val="TableText"/>
              <w:rPr>
                <w:b/>
              </w:rPr>
            </w:pPr>
            <w:r>
              <w:rPr>
                <w:b/>
              </w:rPr>
              <w:lastRenderedPageBreak/>
              <w:t>User Action</w:t>
            </w:r>
          </w:p>
        </w:tc>
        <w:tc>
          <w:tcPr>
            <w:tcW w:w="6120" w:type="dxa"/>
            <w:shd w:val="pct30" w:color="auto" w:fill="FFFFFF"/>
            <w:vAlign w:val="bottom"/>
          </w:tcPr>
          <w:p w14:paraId="26EA2277" w14:textId="77777777" w:rsidR="002A21AE" w:rsidRDefault="002A21AE">
            <w:pPr>
              <w:pStyle w:val="TableText"/>
              <w:rPr>
                <w:b/>
              </w:rPr>
            </w:pPr>
            <w:r>
              <w:rPr>
                <w:b/>
              </w:rPr>
              <w:t>VBECS</w:t>
            </w:r>
          </w:p>
        </w:tc>
      </w:tr>
      <w:tr w:rsidR="002A21AE" w14:paraId="304587AE" w14:textId="77777777">
        <w:tc>
          <w:tcPr>
            <w:tcW w:w="3240" w:type="dxa"/>
          </w:tcPr>
          <w:p w14:paraId="45D69A7C" w14:textId="77777777" w:rsidR="002A21AE" w:rsidRDefault="002A21AE" w:rsidP="007B7DEC">
            <w:pPr>
              <w:pStyle w:val="TableTextNumbers"/>
            </w:pPr>
            <w:r>
              <w:t xml:space="preserve">Select </w:t>
            </w:r>
            <w:r>
              <w:rPr>
                <w:b/>
              </w:rPr>
              <w:t>Blood Units</w:t>
            </w:r>
            <w:r>
              <w:t xml:space="preserve"> from the main menu. </w:t>
            </w:r>
          </w:p>
          <w:p w14:paraId="54F15DBD" w14:textId="77777777" w:rsidR="002A21AE" w:rsidRDefault="002A21AE">
            <w:pPr>
              <w:pStyle w:val="TableTextNumbersContinued"/>
            </w:pPr>
          </w:p>
          <w:p w14:paraId="4AA5FB91" w14:textId="77777777" w:rsidR="002A21AE" w:rsidRDefault="002A21AE">
            <w:pPr>
              <w:pStyle w:val="TableTextNumbersContinued"/>
            </w:pPr>
            <w:r>
              <w:t xml:space="preserve">Select </w:t>
            </w:r>
            <w:r>
              <w:rPr>
                <w:b/>
              </w:rPr>
              <w:t>Modify Units</w:t>
            </w:r>
            <w:r>
              <w:t>.</w:t>
            </w:r>
          </w:p>
        </w:tc>
        <w:tc>
          <w:tcPr>
            <w:tcW w:w="6120" w:type="dxa"/>
          </w:tcPr>
          <w:p w14:paraId="5CB0D6B2" w14:textId="77777777" w:rsidR="002A21AE" w:rsidRDefault="002A21AE">
            <w:pPr>
              <w:pStyle w:val="TableTextBullet"/>
            </w:pPr>
            <w:r>
              <w:t>Displays options for processing blood units.</w:t>
            </w:r>
          </w:p>
          <w:p w14:paraId="07294F85" w14:textId="77777777" w:rsidR="002A21AE" w:rsidRDefault="002A21AE">
            <w:pPr>
              <w:pStyle w:val="TableTextBullet"/>
              <w:tabs>
                <w:tab w:val="clear" w:pos="288"/>
              </w:tabs>
            </w:pPr>
            <w:r>
              <w:t xml:space="preserve">Displays valid modification types for selection. </w:t>
            </w:r>
          </w:p>
          <w:p w14:paraId="56DC6786" w14:textId="77777777" w:rsidR="008807BD" w:rsidRDefault="008807BD" w:rsidP="008807BD">
            <w:pPr>
              <w:pStyle w:val="TableText"/>
              <w:rPr>
                <w:b/>
                <w:bCs/>
                <w:szCs w:val="18"/>
              </w:rPr>
            </w:pPr>
          </w:p>
          <w:p w14:paraId="607C6116" w14:textId="2C76445E" w:rsidR="008807BD" w:rsidRDefault="008807BD" w:rsidP="008807BD">
            <w:pPr>
              <w:pStyle w:val="TableText"/>
              <w:rPr>
                <w:b/>
                <w:bCs/>
                <w:szCs w:val="18"/>
              </w:rPr>
            </w:pPr>
            <w:r>
              <w:rPr>
                <w:b/>
                <w:bCs/>
                <w:szCs w:val="18"/>
              </w:rPr>
              <w:t>NOTES</w:t>
            </w:r>
          </w:p>
          <w:p w14:paraId="1EA567EE" w14:textId="77777777" w:rsidR="008807BD" w:rsidRDefault="008807BD" w:rsidP="008807BD">
            <w:pPr>
              <w:pStyle w:val="NotesText"/>
            </w:pPr>
          </w:p>
          <w:p w14:paraId="4A90CE42" w14:textId="77777777" w:rsidR="008807BD" w:rsidRDefault="008807BD" w:rsidP="008807BD">
            <w:pPr>
              <w:pStyle w:val="NotesText"/>
            </w:pPr>
            <w:r w:rsidRPr="008807BD">
              <w:t xml:space="preserve">The </w:t>
            </w:r>
            <w:r w:rsidRPr="00EC7489">
              <w:rPr>
                <w:rFonts w:ascii="Wingdings 3" w:hAnsi="Wingdings 3" w:cs="Wingdings"/>
              </w:rPr>
              <w:t></w:t>
            </w:r>
            <w:r w:rsidRPr="00EC7489">
              <w:rPr>
                <w:rFonts w:ascii="Wingdings 3" w:hAnsi="Wingdings 3" w:cs="Wingdings"/>
              </w:rPr>
              <w:t></w:t>
            </w:r>
            <w:r>
              <w:t xml:space="preserve"> Enhanced Technologist </w:t>
            </w:r>
            <w:r w:rsidR="00915BD8">
              <w:t>or</w:t>
            </w:r>
            <w:r>
              <w:t xml:space="preserve"> above is authorized to modify expired blood products.</w:t>
            </w:r>
          </w:p>
        </w:tc>
      </w:tr>
      <w:tr w:rsidR="002A21AE" w14:paraId="4CF15C8A" w14:textId="77777777">
        <w:tc>
          <w:tcPr>
            <w:tcW w:w="3240" w:type="dxa"/>
          </w:tcPr>
          <w:p w14:paraId="7672DF8C" w14:textId="77777777" w:rsidR="002A21AE" w:rsidRDefault="002A21AE">
            <w:pPr>
              <w:pStyle w:val="TableTextNumbers"/>
            </w:pPr>
            <w:r>
              <w:t xml:space="preserve">Click the </w:t>
            </w:r>
            <w:r>
              <w:rPr>
                <w:b/>
              </w:rPr>
              <w:t xml:space="preserve">Pool </w:t>
            </w:r>
            <w:r>
              <w:t>or</w:t>
            </w:r>
            <w:r>
              <w:rPr>
                <w:b/>
              </w:rPr>
              <w:t xml:space="preserve"> Thaw/Pool Cryo </w:t>
            </w:r>
            <w:r w:rsidRPr="00BF2E41">
              <w:t>radio button</w:t>
            </w:r>
            <w:r>
              <w:t>.</w:t>
            </w:r>
          </w:p>
          <w:p w14:paraId="2FF6E6AF" w14:textId="77777777" w:rsidR="002A21AE" w:rsidRDefault="002A21AE">
            <w:pPr>
              <w:pStyle w:val="TableTextNumbersContinued"/>
            </w:pPr>
          </w:p>
          <w:p w14:paraId="2DFCA5E9" w14:textId="77777777" w:rsidR="002A21AE" w:rsidRDefault="002A21AE">
            <w:pPr>
              <w:pStyle w:val="TableTextNumbersContinued"/>
            </w:pPr>
            <w:r>
              <w:t xml:space="preserve">Click </w:t>
            </w:r>
            <w:r>
              <w:rPr>
                <w:b/>
              </w:rPr>
              <w:t>OK</w:t>
            </w:r>
            <w:r>
              <w:t>.</w:t>
            </w:r>
          </w:p>
        </w:tc>
        <w:tc>
          <w:tcPr>
            <w:tcW w:w="6120" w:type="dxa"/>
          </w:tcPr>
          <w:p w14:paraId="5075A96B" w14:textId="77777777" w:rsidR="002A21AE" w:rsidRDefault="002A21AE">
            <w:pPr>
              <w:pStyle w:val="TableTextBullet"/>
            </w:pPr>
            <w:r>
              <w:t>Allows the user to search for a unit.</w:t>
            </w:r>
          </w:p>
        </w:tc>
      </w:tr>
      <w:tr w:rsidR="002A21AE" w14:paraId="2B5920DC" w14:textId="77777777">
        <w:tc>
          <w:tcPr>
            <w:tcW w:w="3240" w:type="dxa"/>
          </w:tcPr>
          <w:p w14:paraId="6277FED6" w14:textId="77777777" w:rsidR="00DD68ED" w:rsidRDefault="002A21AE" w:rsidP="00054FA6">
            <w:pPr>
              <w:pStyle w:val="TableTextNumbers"/>
            </w:pPr>
            <w:r>
              <w:t xml:space="preserve">Scan, enter, or select the ID and product code </w:t>
            </w:r>
            <w:r w:rsidR="00DD68ED">
              <w:t xml:space="preserve">of the most restricted </w:t>
            </w:r>
            <w:r w:rsidR="00054FA6">
              <w:t>(e.g., biohazardous, autologous, directed)</w:t>
            </w:r>
            <w:r>
              <w:t xml:space="preserve"> unit to be pooled.</w:t>
            </w:r>
          </w:p>
        </w:tc>
        <w:tc>
          <w:tcPr>
            <w:tcW w:w="6120" w:type="dxa"/>
          </w:tcPr>
          <w:p w14:paraId="30783661" w14:textId="77777777" w:rsidR="002A21AE" w:rsidRDefault="002A21AE">
            <w:pPr>
              <w:pStyle w:val="TableTextBullet"/>
            </w:pPr>
            <w:r>
              <w:t>Displays current data for the selected unit.</w:t>
            </w:r>
          </w:p>
          <w:p w14:paraId="0ECAEA87" w14:textId="77777777" w:rsidR="002A21AE" w:rsidRDefault="002A21AE">
            <w:pPr>
              <w:pStyle w:val="TableText"/>
              <w:rPr>
                <w:b/>
                <w:bCs/>
                <w:szCs w:val="18"/>
              </w:rPr>
            </w:pPr>
          </w:p>
          <w:p w14:paraId="1993F4DE" w14:textId="5029A4BC" w:rsidR="002A21AE" w:rsidRDefault="002A21AE">
            <w:pPr>
              <w:pStyle w:val="TableText"/>
              <w:rPr>
                <w:b/>
                <w:bCs/>
                <w:szCs w:val="18"/>
              </w:rPr>
            </w:pPr>
            <w:r>
              <w:rPr>
                <w:b/>
                <w:bCs/>
                <w:szCs w:val="18"/>
              </w:rPr>
              <w:t>NOTES</w:t>
            </w:r>
          </w:p>
          <w:p w14:paraId="5C25A87C" w14:textId="77777777" w:rsidR="002A21AE" w:rsidRDefault="002A21AE">
            <w:pPr>
              <w:pStyle w:val="NotesText"/>
            </w:pPr>
          </w:p>
          <w:p w14:paraId="2BBD93F6" w14:textId="77777777" w:rsidR="00054FA6" w:rsidRDefault="00054FA6">
            <w:pPr>
              <w:pStyle w:val="NotesText"/>
            </w:pPr>
            <w:r>
              <w:t>VBECS applies the restriction of the first unit selected to the pool.</w:t>
            </w:r>
          </w:p>
          <w:p w14:paraId="22E201F6" w14:textId="77777777" w:rsidR="00054FA6" w:rsidRDefault="00054FA6">
            <w:pPr>
              <w:pStyle w:val="NotesText"/>
            </w:pPr>
          </w:p>
          <w:p w14:paraId="5371F9AE" w14:textId="77777777" w:rsidR="002A21AE" w:rsidRDefault="00C51C45" w:rsidP="00823261">
            <w:pPr>
              <w:pStyle w:val="NotesText"/>
              <w:rPr>
                <w:color w:val="000000"/>
                <w:szCs w:val="18"/>
              </w:rPr>
            </w:pPr>
            <w:r w:rsidRPr="00896F17">
              <w:rPr>
                <w:rStyle w:val="BullhornChar"/>
              </w:rPr>
              <w:t></w:t>
            </w:r>
            <w:r w:rsidR="005A3214">
              <w:t xml:space="preserve"> </w:t>
            </w:r>
            <w:r w:rsidR="002A21AE" w:rsidRPr="00613DA8">
              <w:rPr>
                <w:rFonts w:cs="Arial"/>
                <w:vanish/>
                <w:color w:val="0000FF"/>
              </w:rPr>
              <w:t>BR_24.02</w:t>
            </w:r>
            <w:r w:rsidR="002A21AE">
              <w:rPr>
                <w:rFonts w:cs="Arial"/>
                <w:vanish/>
              </w:rPr>
              <w:t xml:space="preserve"> </w:t>
            </w:r>
            <w:r w:rsidR="002A21AE">
              <w:t>B</w:t>
            </w:r>
            <w:r w:rsidR="002A21AE">
              <w:rPr>
                <w:color w:val="000000"/>
                <w:szCs w:val="18"/>
              </w:rPr>
              <w:t>ased on the product code, VBECS determines the component class of each selected unit to verify that the component class of the selected unit matches that of the first unit selected for the pool (only units from the same component class may be pooled). When the</w:t>
            </w:r>
            <w:r w:rsidR="00CE58C1">
              <w:rPr>
                <w:color w:val="000000"/>
                <w:szCs w:val="18"/>
              </w:rPr>
              <w:t>y</w:t>
            </w:r>
            <w:r w:rsidR="002A21AE">
              <w:rPr>
                <w:color w:val="000000"/>
                <w:szCs w:val="18"/>
              </w:rPr>
              <w:t xml:space="preserve"> do not match, VBECS warns the user and clears the entry. The user may enter another unit.</w:t>
            </w:r>
          </w:p>
          <w:p w14:paraId="568474B5" w14:textId="77777777" w:rsidR="000C5084" w:rsidRDefault="000C5084" w:rsidP="00823261">
            <w:pPr>
              <w:pStyle w:val="NotesText"/>
              <w:rPr>
                <w:color w:val="000000"/>
                <w:szCs w:val="18"/>
              </w:rPr>
            </w:pPr>
          </w:p>
          <w:p w14:paraId="327E1E32" w14:textId="77777777" w:rsidR="000C5084" w:rsidRDefault="000C5084" w:rsidP="00C45B80">
            <w:pPr>
              <w:pStyle w:val="NotesText"/>
            </w:pPr>
            <w:r w:rsidRPr="000C5084">
              <w:rPr>
                <w:iCs/>
                <w:vanish/>
              </w:rPr>
              <w:t xml:space="preserve">BR_24.34 </w:t>
            </w:r>
            <w:r w:rsidR="00C233B7">
              <w:rPr>
                <w:iCs/>
              </w:rPr>
              <w:t>If one unit containing</w:t>
            </w:r>
            <w:r w:rsidRPr="009D3134">
              <w:rPr>
                <w:iCs/>
              </w:rPr>
              <w:t xml:space="preserve"> = </w:t>
            </w:r>
            <w:r w:rsidR="00C233B7">
              <w:rPr>
                <w:iCs/>
              </w:rPr>
              <w:t xml:space="preserve">&gt; </w:t>
            </w:r>
            <w:r w:rsidRPr="009D3134">
              <w:rPr>
                <w:iCs/>
              </w:rPr>
              <w:t xml:space="preserve">2 mL of red blood cell contamination is added to a pool, the target </w:t>
            </w:r>
            <w:r w:rsidR="00C45B80">
              <w:rPr>
                <w:iCs/>
              </w:rPr>
              <w:t>is</w:t>
            </w:r>
            <w:r w:rsidRPr="009D3134">
              <w:rPr>
                <w:iCs/>
              </w:rPr>
              <w:t xml:space="preserve"> marked as containing </w:t>
            </w:r>
            <w:r w:rsidR="00C233B7">
              <w:rPr>
                <w:iCs/>
              </w:rPr>
              <w:t>=</w:t>
            </w:r>
            <w:r w:rsidRPr="009D3134">
              <w:rPr>
                <w:iCs/>
              </w:rPr>
              <w:t xml:space="preserve"> </w:t>
            </w:r>
            <w:r w:rsidR="00C233B7">
              <w:rPr>
                <w:iCs/>
              </w:rPr>
              <w:t xml:space="preserve">&gt; </w:t>
            </w:r>
            <w:r w:rsidRPr="009D3134">
              <w:rPr>
                <w:iCs/>
              </w:rPr>
              <w:t>2 mL of red blood cell contamination.</w:t>
            </w:r>
          </w:p>
        </w:tc>
      </w:tr>
      <w:tr w:rsidR="002A21AE" w14:paraId="61824A7A" w14:textId="77777777">
        <w:tc>
          <w:tcPr>
            <w:tcW w:w="3240" w:type="dxa"/>
            <w:tcBorders>
              <w:top w:val="single" w:sz="4" w:space="0" w:color="auto"/>
              <w:left w:val="single" w:sz="4" w:space="0" w:color="auto"/>
              <w:bottom w:val="single" w:sz="4" w:space="0" w:color="auto"/>
              <w:right w:val="single" w:sz="4" w:space="0" w:color="auto"/>
            </w:tcBorders>
          </w:tcPr>
          <w:p w14:paraId="154E5059" w14:textId="77777777" w:rsidR="002A21AE" w:rsidRDefault="002A21AE">
            <w:pPr>
              <w:pStyle w:val="TableTextNumbers"/>
            </w:pPr>
            <w:r>
              <w:t>Enter the ID and product code of a</w:t>
            </w:r>
            <w:r w:rsidR="0071381D">
              <w:t>nother</w:t>
            </w:r>
            <w:r>
              <w:t xml:space="preserve"> unit </w:t>
            </w:r>
            <w:r w:rsidR="0071381D">
              <w:t xml:space="preserve">of the same donation type </w:t>
            </w:r>
            <w:r>
              <w:t xml:space="preserve">for inclusion in the pool. </w:t>
            </w:r>
          </w:p>
        </w:tc>
        <w:tc>
          <w:tcPr>
            <w:tcW w:w="6120" w:type="dxa"/>
            <w:tcBorders>
              <w:top w:val="single" w:sz="4" w:space="0" w:color="auto"/>
              <w:left w:val="single" w:sz="4" w:space="0" w:color="auto"/>
              <w:bottom w:val="single" w:sz="4" w:space="0" w:color="auto"/>
              <w:right w:val="single" w:sz="4" w:space="0" w:color="auto"/>
            </w:tcBorders>
          </w:tcPr>
          <w:p w14:paraId="786D1130" w14:textId="77777777" w:rsidR="002A21AE" w:rsidRDefault="00CE58C1">
            <w:pPr>
              <w:pStyle w:val="TableTextBullet"/>
              <w:tabs>
                <w:tab w:val="num" w:pos="360"/>
              </w:tabs>
            </w:pPr>
            <w:r>
              <w:t xml:space="preserve">May warn </w:t>
            </w:r>
            <w:r w:rsidR="002A21AE">
              <w:t>the user and asks whether to release the unit from “restricted for patient.”</w:t>
            </w:r>
          </w:p>
          <w:p w14:paraId="0B395ABF" w14:textId="77777777" w:rsidR="002A21AE" w:rsidRDefault="002A21AE">
            <w:pPr>
              <w:pStyle w:val="TableText"/>
            </w:pPr>
          </w:p>
          <w:p w14:paraId="325B120D" w14:textId="68A1B149" w:rsidR="002A21AE" w:rsidRDefault="002A21AE">
            <w:pPr>
              <w:pStyle w:val="TableText"/>
              <w:rPr>
                <w:b/>
                <w:bCs/>
              </w:rPr>
            </w:pPr>
            <w:r>
              <w:rPr>
                <w:b/>
                <w:bCs/>
              </w:rPr>
              <w:t>NOTES</w:t>
            </w:r>
          </w:p>
          <w:p w14:paraId="6AD04D31" w14:textId="77777777" w:rsidR="002A21AE" w:rsidRDefault="002A21AE">
            <w:pPr>
              <w:pStyle w:val="NotesText"/>
            </w:pPr>
          </w:p>
          <w:p w14:paraId="542E5426" w14:textId="77777777" w:rsidR="002A21AE" w:rsidRDefault="002A21AE">
            <w:pPr>
              <w:pStyle w:val="NotesText"/>
            </w:pPr>
            <w:r>
              <w:t xml:space="preserve">When the donation type of a unit selected for inclusion in a pool is restricted, the user may release the directed unit to the general blood supply, if indicated, and complete the pooling process. </w:t>
            </w:r>
          </w:p>
          <w:p w14:paraId="105F1FAE" w14:textId="77777777" w:rsidR="00A33872" w:rsidRDefault="00A33872" w:rsidP="00A33872">
            <w:pPr>
              <w:pStyle w:val="NotesText"/>
            </w:pPr>
          </w:p>
          <w:p w14:paraId="2C4F22F0" w14:textId="77777777" w:rsidR="005E0061" w:rsidRDefault="00A33872" w:rsidP="00A33872">
            <w:pPr>
              <w:pStyle w:val="NotesText"/>
              <w:rPr>
                <w:iCs/>
                <w:szCs w:val="18"/>
              </w:rPr>
            </w:pPr>
            <w:r w:rsidRPr="001051D0">
              <w:rPr>
                <w:rFonts w:cs="Arial"/>
                <w:vanish/>
              </w:rPr>
              <w:t>BR_24.12</w:t>
            </w:r>
            <w:r>
              <w:rPr>
                <w:rFonts w:cs="Arial"/>
                <w:vanish/>
                <w:szCs w:val="18"/>
              </w:rPr>
              <w:t xml:space="preserve"> </w:t>
            </w:r>
            <w:r w:rsidR="00CD6052" w:rsidRPr="00CD6052">
              <w:rPr>
                <w:iCs/>
                <w:szCs w:val="18"/>
              </w:rPr>
              <w:t>When the first unit entered for a pool is labeled in ISBT 128, VBECS determines the unit ID of the pool created from ISBT-labeled units using the country and ICCBBA-assigned facility code (division preparing the pool), two-number year, and six-number sequential number of the pool event at the division, and displays it for acceptance only.</w:t>
            </w:r>
          </w:p>
          <w:p w14:paraId="72FC2B06" w14:textId="77777777" w:rsidR="00A33872" w:rsidRDefault="009439F8" w:rsidP="00A33872">
            <w:pPr>
              <w:pStyle w:val="NotesText"/>
              <w:rPr>
                <w:iCs/>
                <w:vanish/>
                <w:szCs w:val="18"/>
              </w:rPr>
            </w:pPr>
            <w:r>
              <w:rPr>
                <w:iCs/>
                <w:vanish/>
                <w:szCs w:val="18"/>
              </w:rPr>
              <w:t xml:space="preserve"> DR 3668</w:t>
            </w:r>
          </w:p>
          <w:p w14:paraId="4F0B7D37" w14:textId="77777777" w:rsidR="005E0061" w:rsidRDefault="005E0061" w:rsidP="00A33872">
            <w:pPr>
              <w:pStyle w:val="NotesText"/>
              <w:rPr>
                <w:color w:val="000000"/>
                <w:szCs w:val="18"/>
              </w:rPr>
            </w:pPr>
          </w:p>
          <w:p w14:paraId="06CF8086" w14:textId="77777777" w:rsidR="005E0061" w:rsidRPr="009439F8" w:rsidRDefault="005E0061" w:rsidP="00A33872">
            <w:pPr>
              <w:pStyle w:val="NotesText"/>
              <w:rPr>
                <w:color w:val="000000"/>
                <w:szCs w:val="18"/>
              </w:rPr>
            </w:pPr>
            <w:r w:rsidRPr="005E0061">
              <w:rPr>
                <w:iCs/>
                <w:vanish/>
              </w:rPr>
              <w:t xml:space="preserve">BR_24.34 </w:t>
            </w:r>
            <w:r w:rsidRPr="009D3134">
              <w:rPr>
                <w:iCs/>
              </w:rPr>
              <w:t>If one unit conta</w:t>
            </w:r>
            <w:r w:rsidR="00C233B7">
              <w:rPr>
                <w:iCs/>
              </w:rPr>
              <w:t xml:space="preserve">ining </w:t>
            </w:r>
            <w:r w:rsidRPr="009D3134">
              <w:rPr>
                <w:iCs/>
              </w:rPr>
              <w:t xml:space="preserve">= </w:t>
            </w:r>
            <w:r w:rsidR="00C233B7">
              <w:rPr>
                <w:iCs/>
              </w:rPr>
              <w:t xml:space="preserve">&gt; </w:t>
            </w:r>
            <w:r w:rsidRPr="009D3134">
              <w:rPr>
                <w:iCs/>
              </w:rPr>
              <w:t>2 mL of red blood cell contamination is added to a pool, the target</w:t>
            </w:r>
            <w:r w:rsidR="00DB1100">
              <w:rPr>
                <w:iCs/>
              </w:rPr>
              <w:t xml:space="preserve"> is</w:t>
            </w:r>
            <w:r w:rsidR="00C233B7">
              <w:rPr>
                <w:iCs/>
              </w:rPr>
              <w:t xml:space="preserve"> marked as containing </w:t>
            </w:r>
            <w:r w:rsidRPr="009D3134">
              <w:rPr>
                <w:iCs/>
              </w:rPr>
              <w:t xml:space="preserve">= </w:t>
            </w:r>
            <w:r w:rsidR="00C233B7">
              <w:rPr>
                <w:iCs/>
              </w:rPr>
              <w:t xml:space="preserve">&gt; </w:t>
            </w:r>
            <w:r w:rsidRPr="009D3134">
              <w:rPr>
                <w:iCs/>
              </w:rPr>
              <w:t>2 mL of red blood cell contamination.</w:t>
            </w:r>
          </w:p>
        </w:tc>
      </w:tr>
      <w:tr w:rsidR="002A21AE" w14:paraId="1CE912F2"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5E701431" w14:textId="77777777" w:rsidR="002A21AE" w:rsidRDefault="002A21AE">
            <w:pPr>
              <w:pStyle w:val="TableTextNumbers"/>
            </w:pPr>
            <w:r>
              <w:lastRenderedPageBreak/>
              <w:t>Accept the previously selected unit and repeat Step 4 to select another unit to add to the pool.</w:t>
            </w:r>
          </w:p>
        </w:tc>
        <w:tc>
          <w:tcPr>
            <w:tcW w:w="6120" w:type="dxa"/>
            <w:tcBorders>
              <w:top w:val="single" w:sz="4" w:space="0" w:color="auto"/>
              <w:left w:val="single" w:sz="4" w:space="0" w:color="auto"/>
              <w:bottom w:val="single" w:sz="4" w:space="0" w:color="auto"/>
              <w:right w:val="single" w:sz="4" w:space="0" w:color="auto"/>
            </w:tcBorders>
          </w:tcPr>
          <w:p w14:paraId="0CC38EE5" w14:textId="77777777" w:rsidR="002A21AE" w:rsidRDefault="002A21AE">
            <w:pPr>
              <w:pStyle w:val="TableTextBullet"/>
              <w:tabs>
                <w:tab w:val="num" w:pos="360"/>
              </w:tabs>
              <w:rPr>
                <w:color w:val="000000"/>
                <w:szCs w:val="20"/>
              </w:rPr>
            </w:pPr>
            <w:r>
              <w:rPr>
                <w:color w:val="000000"/>
                <w:szCs w:val="20"/>
              </w:rPr>
              <w:t>Displays all data for all original units.</w:t>
            </w:r>
          </w:p>
          <w:p w14:paraId="454D9AAB" w14:textId="77777777" w:rsidR="002A21AE" w:rsidRDefault="002A21AE">
            <w:pPr>
              <w:pStyle w:val="TableText"/>
            </w:pPr>
          </w:p>
          <w:p w14:paraId="4D3363CB" w14:textId="1E1B3A6D" w:rsidR="002A21AE" w:rsidRDefault="002A21AE">
            <w:pPr>
              <w:pStyle w:val="TableText"/>
              <w:rPr>
                <w:b/>
                <w:bCs/>
              </w:rPr>
            </w:pPr>
            <w:r>
              <w:rPr>
                <w:b/>
                <w:bCs/>
              </w:rPr>
              <w:t>NOTES</w:t>
            </w:r>
          </w:p>
          <w:p w14:paraId="47883C23" w14:textId="69561650" w:rsidR="002A21AE" w:rsidRDefault="00D431F7" w:rsidP="00D431F7">
            <w:pPr>
              <w:pStyle w:val="NotesText"/>
              <w:tabs>
                <w:tab w:val="left" w:pos="2580"/>
              </w:tabs>
            </w:pPr>
            <w:r>
              <w:tab/>
            </w:r>
          </w:p>
          <w:p w14:paraId="5077D8F0" w14:textId="0A67D2F6" w:rsidR="002A21AE" w:rsidRDefault="002A21AE">
            <w:pPr>
              <w:pStyle w:val="NotesText"/>
            </w:pPr>
            <w:r>
              <w:rPr>
                <w:rFonts w:cs="Arial"/>
                <w:vanish/>
              </w:rPr>
              <w:t>BR_24.03</w:t>
            </w:r>
            <w:r>
              <w:rPr>
                <w:rFonts w:cs="Arial"/>
                <w:vanish/>
                <w:szCs w:val="18"/>
              </w:rPr>
              <w:t xml:space="preserve"> </w:t>
            </w:r>
            <w:r w:rsidR="00D431F7">
              <w:rPr>
                <w:szCs w:val="18"/>
              </w:rPr>
              <w:t>The system will tally</w:t>
            </w:r>
            <w:r>
              <w:rPr>
                <w:szCs w:val="18"/>
              </w:rPr>
              <w:t xml:space="preserve"> the</w:t>
            </w:r>
            <w:r w:rsidR="00D431F7">
              <w:rPr>
                <w:szCs w:val="18"/>
              </w:rPr>
              <w:t xml:space="preserve"> total</w:t>
            </w:r>
            <w:r>
              <w:rPr>
                <w:szCs w:val="18"/>
              </w:rPr>
              <w:t xml:space="preserve"> number of units pooled</w:t>
            </w:r>
            <w:r w:rsidR="00E537E5">
              <w:rPr>
                <w:szCs w:val="18"/>
              </w:rPr>
              <w:t xml:space="preserve"> for this transaction. </w:t>
            </w:r>
            <w:r w:rsidR="00D431F7">
              <w:rPr>
                <w:szCs w:val="18"/>
              </w:rPr>
              <w:t>The system</w:t>
            </w:r>
            <w:r w:rsidR="00E537E5">
              <w:rPr>
                <w:szCs w:val="18"/>
              </w:rPr>
              <w:t xml:space="preserve"> will not allow the user to edit this number</w:t>
            </w:r>
            <w:r>
              <w:rPr>
                <w:szCs w:val="18"/>
              </w:rPr>
              <w:t xml:space="preserve">. The user may not edit this number. </w:t>
            </w:r>
            <w:r w:rsidR="00D431F7">
              <w:rPr>
                <w:szCs w:val="18"/>
              </w:rPr>
              <w:t>The system will calculate</w:t>
            </w:r>
            <w:r>
              <w:rPr>
                <w:szCs w:val="18"/>
              </w:rPr>
              <w:t xml:space="preserve"> </w:t>
            </w:r>
            <w:r w:rsidR="00D431F7">
              <w:rPr>
                <w:szCs w:val="18"/>
              </w:rPr>
              <w:t xml:space="preserve">sum of </w:t>
            </w:r>
            <w:r>
              <w:rPr>
                <w:szCs w:val="18"/>
              </w:rPr>
              <w:t>the pooled unit’s cost</w:t>
            </w:r>
            <w:r w:rsidR="00D431F7">
              <w:rPr>
                <w:szCs w:val="18"/>
              </w:rPr>
              <w:t>.</w:t>
            </w:r>
          </w:p>
          <w:p w14:paraId="20CA614E" w14:textId="77777777" w:rsidR="002A21AE" w:rsidRDefault="002A21AE">
            <w:pPr>
              <w:pStyle w:val="NotesText"/>
            </w:pPr>
          </w:p>
          <w:p w14:paraId="0F03B951" w14:textId="77777777" w:rsidR="002A21AE" w:rsidRDefault="002A21AE">
            <w:pPr>
              <w:pStyle w:val="NotesText"/>
            </w:pPr>
            <w:r w:rsidRPr="00D31A97">
              <w:rPr>
                <w:rFonts w:cs="Arial"/>
                <w:vanish/>
              </w:rPr>
              <w:t>BR_24.05</w:t>
            </w:r>
            <w:r>
              <w:rPr>
                <w:rFonts w:cs="Arial"/>
                <w:vanish/>
              </w:rPr>
              <w:t xml:space="preserve"> </w:t>
            </w:r>
            <w:r>
              <w:rPr>
                <w:szCs w:val="18"/>
              </w:rPr>
              <w:t xml:space="preserve">VBECS does not allow a unit to be entered twice in a pool. A split unit </w:t>
            </w:r>
            <w:r w:rsidR="00D31A97">
              <w:rPr>
                <w:szCs w:val="18"/>
              </w:rPr>
              <w:t xml:space="preserve">created in VBECS </w:t>
            </w:r>
            <w:r>
              <w:rPr>
                <w:szCs w:val="18"/>
              </w:rPr>
              <w:t>may not be pooled.</w:t>
            </w:r>
            <w:r w:rsidR="00D31A97">
              <w:rPr>
                <w:szCs w:val="18"/>
              </w:rPr>
              <w:t xml:space="preserve"> A </w:t>
            </w:r>
            <w:r w:rsidR="008B6D25">
              <w:rPr>
                <w:szCs w:val="18"/>
              </w:rPr>
              <w:t>unit</w:t>
            </w:r>
            <w:r w:rsidR="00D31A97">
              <w:rPr>
                <w:szCs w:val="18"/>
              </w:rPr>
              <w:t xml:space="preserve"> that has a division code (7</w:t>
            </w:r>
            <w:r w:rsidR="00D31A97" w:rsidRPr="00D31A97">
              <w:rPr>
                <w:szCs w:val="18"/>
                <w:vertAlign w:val="superscript"/>
              </w:rPr>
              <w:t>th</w:t>
            </w:r>
            <w:r w:rsidR="00D31A97">
              <w:rPr>
                <w:szCs w:val="18"/>
              </w:rPr>
              <w:t>/8</w:t>
            </w:r>
            <w:r w:rsidR="00D31A97" w:rsidRPr="00D31A97">
              <w:rPr>
                <w:szCs w:val="18"/>
                <w:vertAlign w:val="superscript"/>
              </w:rPr>
              <w:t>th</w:t>
            </w:r>
            <w:r w:rsidR="00D31A97">
              <w:rPr>
                <w:szCs w:val="18"/>
              </w:rPr>
              <w:t xml:space="preserve"> characters in the ISBT Product code) present upon receipt in incoming shipment may be pooled.</w:t>
            </w:r>
          </w:p>
        </w:tc>
      </w:tr>
      <w:tr w:rsidR="002A21AE" w14:paraId="5171622C" w14:textId="77777777">
        <w:tc>
          <w:tcPr>
            <w:tcW w:w="3240" w:type="dxa"/>
            <w:tcBorders>
              <w:top w:val="single" w:sz="4" w:space="0" w:color="auto"/>
              <w:left w:val="single" w:sz="4" w:space="0" w:color="auto"/>
              <w:bottom w:val="single" w:sz="4" w:space="0" w:color="auto"/>
              <w:right w:val="single" w:sz="4" w:space="0" w:color="auto"/>
            </w:tcBorders>
          </w:tcPr>
          <w:p w14:paraId="3488A26F" w14:textId="77777777" w:rsidR="002A21AE" w:rsidRDefault="002A21AE">
            <w:pPr>
              <w:pStyle w:val="TableTextNumbers"/>
            </w:pPr>
            <w:r>
              <w:t>Accept the displayed units’ data for the pool.</w:t>
            </w:r>
          </w:p>
        </w:tc>
        <w:tc>
          <w:tcPr>
            <w:tcW w:w="6120" w:type="dxa"/>
            <w:tcBorders>
              <w:top w:val="single" w:sz="4" w:space="0" w:color="auto"/>
              <w:left w:val="single" w:sz="4" w:space="0" w:color="auto"/>
              <w:bottom w:val="single" w:sz="4" w:space="0" w:color="auto"/>
              <w:right w:val="single" w:sz="4" w:space="0" w:color="auto"/>
            </w:tcBorders>
          </w:tcPr>
          <w:p w14:paraId="78CC51F7" w14:textId="77777777" w:rsidR="002A21AE" w:rsidRDefault="002A21AE">
            <w:pPr>
              <w:pStyle w:val="TableTextBullet"/>
              <w:tabs>
                <w:tab w:val="num" w:pos="360"/>
              </w:tabs>
            </w:pPr>
            <w:r>
              <w:t>Displays target component types for the modification, conditions selected, and the original unit product type, and allows the user to select a single modification type.</w:t>
            </w:r>
          </w:p>
        </w:tc>
      </w:tr>
      <w:tr w:rsidR="002A21AE" w14:paraId="45A8E6F8" w14:textId="77777777">
        <w:tc>
          <w:tcPr>
            <w:tcW w:w="3240" w:type="dxa"/>
            <w:tcBorders>
              <w:top w:val="single" w:sz="4" w:space="0" w:color="auto"/>
              <w:left w:val="single" w:sz="4" w:space="0" w:color="auto"/>
              <w:bottom w:val="single" w:sz="4" w:space="0" w:color="auto"/>
              <w:right w:val="single" w:sz="4" w:space="0" w:color="auto"/>
            </w:tcBorders>
          </w:tcPr>
          <w:p w14:paraId="05D00C21" w14:textId="77777777" w:rsidR="002A21AE" w:rsidRDefault="002A21AE">
            <w:pPr>
              <w:pStyle w:val="TableTextNumbers"/>
            </w:pPr>
            <w:r>
              <w:t xml:space="preserve">Select or confirm the desired target component type. </w:t>
            </w:r>
          </w:p>
          <w:p w14:paraId="196DEECF" w14:textId="77777777" w:rsidR="00CE58C1" w:rsidRDefault="00CE58C1" w:rsidP="00CE58C1">
            <w:pPr>
              <w:pStyle w:val="TableTextNumbersContinued"/>
            </w:pPr>
          </w:p>
          <w:p w14:paraId="296F441B" w14:textId="77777777" w:rsidR="002A21AE" w:rsidRDefault="00CE58C1" w:rsidP="00CE58C1">
            <w:pPr>
              <w:pStyle w:val="TableTextNumbersContinued"/>
            </w:pPr>
            <w:r>
              <w:t>Click the</w:t>
            </w:r>
            <w:r w:rsidR="007B7DEC">
              <w:t xml:space="preserve"> </w:t>
            </w:r>
            <w:r w:rsidR="007B7DEC" w:rsidRPr="007B7DEC">
              <w:rPr>
                <w:b/>
              </w:rPr>
              <w:t>Container</w:t>
            </w:r>
            <w:r w:rsidR="007B7DEC">
              <w:t>,</w:t>
            </w:r>
            <w:r>
              <w:t xml:space="preserve"> </w:t>
            </w:r>
            <w:r w:rsidRPr="00764A64">
              <w:rPr>
                <w:b/>
              </w:rPr>
              <w:t>Supplies</w:t>
            </w:r>
            <w:r w:rsidR="007B7DEC" w:rsidRPr="007B7DEC">
              <w:t>,</w:t>
            </w:r>
            <w:r w:rsidR="0023261D">
              <w:t xml:space="preserve"> </w:t>
            </w:r>
            <w:r w:rsidRPr="00764A64">
              <w:rPr>
                <w:b/>
              </w:rPr>
              <w:t>Equipment</w:t>
            </w:r>
            <w:r w:rsidR="007B7DEC" w:rsidRPr="007B7DEC">
              <w:t>, or</w:t>
            </w:r>
            <w:r w:rsidR="007B7DEC">
              <w:rPr>
                <w:b/>
              </w:rPr>
              <w:t xml:space="preserve"> SCD Wafer</w:t>
            </w:r>
            <w:r w:rsidRPr="00764A64">
              <w:rPr>
                <w:b/>
              </w:rPr>
              <w:t xml:space="preserve"> </w:t>
            </w:r>
            <w:r w:rsidRPr="00CC3C89">
              <w:t xml:space="preserve">tab </w:t>
            </w:r>
            <w:r>
              <w:t>and enter another supply and/or equipment lot or ID number.</w:t>
            </w:r>
          </w:p>
        </w:tc>
        <w:tc>
          <w:tcPr>
            <w:tcW w:w="6120" w:type="dxa"/>
            <w:tcBorders>
              <w:top w:val="single" w:sz="4" w:space="0" w:color="auto"/>
              <w:left w:val="single" w:sz="4" w:space="0" w:color="auto"/>
              <w:bottom w:val="single" w:sz="4" w:space="0" w:color="auto"/>
              <w:right w:val="single" w:sz="4" w:space="0" w:color="auto"/>
            </w:tcBorders>
          </w:tcPr>
          <w:p w14:paraId="2C948F89" w14:textId="77777777" w:rsidR="002A21AE" w:rsidRDefault="002A21AE">
            <w:pPr>
              <w:pStyle w:val="TableTextBullet"/>
              <w:tabs>
                <w:tab w:val="num" w:pos="360"/>
              </w:tabs>
              <w:rPr>
                <w:color w:val="000000"/>
                <w:szCs w:val="20"/>
              </w:rPr>
            </w:pPr>
            <w:r>
              <w:rPr>
                <w:color w:val="000000"/>
                <w:szCs w:val="20"/>
              </w:rPr>
              <w:t>Verifies that an active target component was selected. Requires activation, as needed.</w:t>
            </w:r>
          </w:p>
          <w:p w14:paraId="5A53386F" w14:textId="77777777" w:rsidR="002A21AE" w:rsidRDefault="002A21AE">
            <w:pPr>
              <w:pStyle w:val="TableTextBullet"/>
              <w:tabs>
                <w:tab w:val="num" w:pos="360"/>
              </w:tabs>
            </w:pPr>
            <w:r>
              <w:t>Allows the user to enter lot and ID numbers (with auto-completion) or select multiple items from the supply and equipment lists.</w:t>
            </w:r>
          </w:p>
        </w:tc>
      </w:tr>
      <w:tr w:rsidR="002A21AE" w14:paraId="666D3D97" w14:textId="77777777">
        <w:tc>
          <w:tcPr>
            <w:tcW w:w="3240" w:type="dxa"/>
            <w:tcBorders>
              <w:top w:val="single" w:sz="4" w:space="0" w:color="auto"/>
              <w:left w:val="single" w:sz="4" w:space="0" w:color="auto"/>
              <w:bottom w:val="single" w:sz="4" w:space="0" w:color="auto"/>
              <w:right w:val="single" w:sz="4" w:space="0" w:color="auto"/>
            </w:tcBorders>
          </w:tcPr>
          <w:p w14:paraId="7BB1A077" w14:textId="77777777" w:rsidR="002A21AE" w:rsidRDefault="002A21AE">
            <w:pPr>
              <w:pStyle w:val="TableTextNumbers"/>
            </w:pPr>
            <w:r>
              <w:t>Accept the displayed</w:t>
            </w:r>
            <w:r w:rsidR="00AA6C54">
              <w:t xml:space="preserve"> </w:t>
            </w:r>
            <w:r w:rsidR="00CE58C1">
              <w:t xml:space="preserve">expiration date </w:t>
            </w:r>
            <w:r>
              <w:t xml:space="preserve">or edit </w:t>
            </w:r>
            <w:r w:rsidR="00CE58C1">
              <w:t>it</w:t>
            </w:r>
            <w:r>
              <w:t>.</w:t>
            </w:r>
          </w:p>
        </w:tc>
        <w:tc>
          <w:tcPr>
            <w:tcW w:w="6120" w:type="dxa"/>
            <w:tcBorders>
              <w:top w:val="single" w:sz="4" w:space="0" w:color="auto"/>
              <w:left w:val="single" w:sz="4" w:space="0" w:color="auto"/>
              <w:bottom w:val="single" w:sz="4" w:space="0" w:color="auto"/>
              <w:right w:val="single" w:sz="4" w:space="0" w:color="auto"/>
            </w:tcBorders>
          </w:tcPr>
          <w:p w14:paraId="6865F668" w14:textId="77777777" w:rsidR="002A21AE" w:rsidRDefault="002A21AE">
            <w:pPr>
              <w:pStyle w:val="TableTextBullet"/>
              <w:tabs>
                <w:tab w:val="num" w:pos="360"/>
              </w:tabs>
              <w:rPr>
                <w:color w:val="000000"/>
                <w:szCs w:val="20"/>
              </w:rPr>
            </w:pPr>
            <w:r>
              <w:rPr>
                <w:color w:val="000000"/>
                <w:szCs w:val="20"/>
              </w:rPr>
              <w:t>Calculates and displays the expiration date of the pooled unit based on rules specific to the participant blood product.</w:t>
            </w:r>
          </w:p>
          <w:p w14:paraId="2AAAD351" w14:textId="77777777" w:rsidR="002A21AE" w:rsidRDefault="002A21AE">
            <w:pPr>
              <w:pStyle w:val="TableTextBullet"/>
              <w:tabs>
                <w:tab w:val="num" w:pos="360"/>
              </w:tabs>
              <w:rPr>
                <w:color w:val="000000"/>
                <w:szCs w:val="20"/>
              </w:rPr>
            </w:pPr>
            <w:r>
              <w:rPr>
                <w:color w:val="000000"/>
                <w:szCs w:val="20"/>
              </w:rPr>
              <w:t>Verifies the validity of the expiration date and warns the user, when indicated.</w:t>
            </w:r>
          </w:p>
          <w:p w14:paraId="7679949A" w14:textId="77777777" w:rsidR="002A21AE" w:rsidRDefault="002A21AE">
            <w:pPr>
              <w:pStyle w:val="TableText"/>
            </w:pPr>
          </w:p>
          <w:p w14:paraId="3146D168" w14:textId="159D3992" w:rsidR="002A21AE" w:rsidRDefault="002A21AE">
            <w:pPr>
              <w:pStyle w:val="TableText"/>
              <w:rPr>
                <w:b/>
                <w:bCs/>
              </w:rPr>
            </w:pPr>
            <w:r>
              <w:rPr>
                <w:b/>
                <w:bCs/>
              </w:rPr>
              <w:t>NOTES</w:t>
            </w:r>
          </w:p>
          <w:p w14:paraId="04DC4732" w14:textId="77777777" w:rsidR="002A21AE" w:rsidRDefault="002A21AE">
            <w:pPr>
              <w:pStyle w:val="NotesText"/>
            </w:pPr>
          </w:p>
          <w:p w14:paraId="11A3F66D" w14:textId="77777777" w:rsidR="00B37CE1" w:rsidRPr="00B37CE1" w:rsidRDefault="00B37CE1" w:rsidP="00B37CE1">
            <w:pPr>
              <w:pStyle w:val="NotesText"/>
              <w:rPr>
                <w:szCs w:val="18"/>
              </w:rPr>
            </w:pPr>
            <w:r w:rsidRPr="00B37CE1">
              <w:rPr>
                <w:vanish/>
                <w:szCs w:val="18"/>
              </w:rPr>
              <w:t xml:space="preserve">BR_24.10 </w:t>
            </w:r>
            <w:r w:rsidRPr="00B37CE1">
              <w:rPr>
                <w:szCs w:val="18"/>
              </w:rPr>
              <w:t>When the method selected is “Thaw/Pool Cryo”, The system shall ‘thaw’ frozen components automatically when they are being pooled.</w:t>
            </w:r>
          </w:p>
          <w:p w14:paraId="5A315BFC" w14:textId="77777777" w:rsidR="00B37CE1" w:rsidRPr="00B37CE1" w:rsidRDefault="00B37CE1" w:rsidP="00B37CE1">
            <w:pPr>
              <w:pStyle w:val="NotesText"/>
              <w:rPr>
                <w:szCs w:val="18"/>
              </w:rPr>
            </w:pPr>
          </w:p>
          <w:p w14:paraId="32A2A8B7" w14:textId="77777777" w:rsidR="00B37CE1" w:rsidRPr="00B37CE1" w:rsidRDefault="00B37CE1" w:rsidP="00B37CE1">
            <w:pPr>
              <w:pStyle w:val="NotesText"/>
              <w:rPr>
                <w:szCs w:val="18"/>
              </w:rPr>
            </w:pPr>
            <w:r w:rsidRPr="00B37CE1">
              <w:rPr>
                <w:szCs w:val="18"/>
              </w:rPr>
              <w:t xml:space="preserve">The workload for thawing each unit in the pool </w:t>
            </w:r>
            <w:r w:rsidR="00C45B80">
              <w:rPr>
                <w:szCs w:val="18"/>
              </w:rPr>
              <w:t xml:space="preserve">is </w:t>
            </w:r>
            <w:r w:rsidRPr="00B37CE1">
              <w:rPr>
                <w:szCs w:val="18"/>
              </w:rPr>
              <w:t>collected in addition to the pool workload.</w:t>
            </w:r>
          </w:p>
          <w:p w14:paraId="252F49FA" w14:textId="77777777" w:rsidR="00B37CE1" w:rsidRDefault="00B37CE1" w:rsidP="00B37CE1">
            <w:pPr>
              <w:pStyle w:val="TableText"/>
            </w:pPr>
          </w:p>
          <w:p w14:paraId="2235B8F7" w14:textId="77777777" w:rsidR="00B37CE1" w:rsidRDefault="00B37CE1" w:rsidP="00B37CE1">
            <w:pPr>
              <w:pStyle w:val="NotesText"/>
              <w:rPr>
                <w:szCs w:val="18"/>
              </w:rPr>
            </w:pPr>
            <w:r>
              <w:t>The new expiration date of the thawed unit is determined by the date/time of pooling.</w:t>
            </w:r>
          </w:p>
          <w:p w14:paraId="0205979A" w14:textId="77777777" w:rsidR="002A21AE" w:rsidRDefault="002A21AE">
            <w:pPr>
              <w:pStyle w:val="NotesText"/>
              <w:rPr>
                <w:szCs w:val="18"/>
              </w:rPr>
            </w:pPr>
          </w:p>
          <w:p w14:paraId="2B95A771" w14:textId="77777777" w:rsidR="002A21AE" w:rsidRDefault="002A21AE">
            <w:pPr>
              <w:pStyle w:val="NotesText"/>
            </w:pPr>
            <w:r>
              <w:rPr>
                <w:rFonts w:cs="Arial"/>
                <w:vanish/>
              </w:rPr>
              <w:t xml:space="preserve">BR_24.13 </w:t>
            </w:r>
            <w:r>
              <w:t>VBECS calculates an expiration date for the pool based on the product type, the date and time created, and the expiration dates and times of each pool participant. When one or more participants in the pool have an expiration date that is earlier than the calculated expiration date, VBECS uses the earlier date as the default expiration date for the pool.</w:t>
            </w:r>
          </w:p>
          <w:p w14:paraId="2745723F" w14:textId="77777777" w:rsidR="002A21AE" w:rsidRDefault="002A21AE">
            <w:pPr>
              <w:pStyle w:val="NotesText"/>
            </w:pPr>
          </w:p>
          <w:p w14:paraId="2E3C9D59" w14:textId="3AD207A9" w:rsidR="002A21AE" w:rsidRDefault="002A21AE">
            <w:pPr>
              <w:pStyle w:val="NotesText"/>
            </w:pPr>
            <w:r w:rsidRPr="00896F17">
              <w:rPr>
                <w:rStyle w:val="BullhornChar"/>
              </w:rPr>
              <w:t></w:t>
            </w:r>
            <w:r>
              <w:rPr>
                <w:color w:val="000000"/>
                <w:szCs w:val="18"/>
              </w:rPr>
              <w:t xml:space="preserve"> </w:t>
            </w:r>
            <w:r>
              <w:rPr>
                <w:rFonts w:cs="Arial"/>
                <w:vanish/>
              </w:rPr>
              <w:t>BR_24.07</w:t>
            </w:r>
            <w:r>
              <w:rPr>
                <w:rFonts w:cs="Arial"/>
                <w:vanish/>
                <w:szCs w:val="18"/>
              </w:rPr>
              <w:t xml:space="preserve"> </w:t>
            </w:r>
            <w:r>
              <w:rPr>
                <w:szCs w:val="18"/>
              </w:rPr>
              <w:t xml:space="preserve">For each unit in the pool that was previously assigned or crossmatched to a patient, VBECS warns the user and asks whether he wishes to assign the entire pool to that patient. </w:t>
            </w:r>
            <w:r>
              <w:rPr>
                <w:b/>
                <w:bCs/>
                <w:szCs w:val="18"/>
              </w:rPr>
              <w:t>Yes</w:t>
            </w:r>
            <w:r>
              <w:rPr>
                <w:szCs w:val="18"/>
              </w:rPr>
              <w:t xml:space="preserve"> applies the patient-assigned data to the pool. </w:t>
            </w:r>
            <w:r>
              <w:rPr>
                <w:b/>
                <w:bCs/>
                <w:szCs w:val="18"/>
              </w:rPr>
              <w:t>No</w:t>
            </w:r>
            <w:r>
              <w:rPr>
                <w:szCs w:val="18"/>
              </w:rPr>
              <w:t xml:space="preserve"> releases the unit from the patient.</w:t>
            </w:r>
            <w:r w:rsidR="001C3461">
              <w:rPr>
                <w:szCs w:val="18"/>
              </w:rPr>
              <w:t xml:space="preserve"> VBECS offers the user the ability to carry over any past assignment.</w:t>
            </w:r>
          </w:p>
        </w:tc>
      </w:tr>
      <w:tr w:rsidR="002A21AE" w14:paraId="0EA2A531" w14:textId="77777777">
        <w:tc>
          <w:tcPr>
            <w:tcW w:w="3240" w:type="dxa"/>
            <w:tcBorders>
              <w:top w:val="single" w:sz="4" w:space="0" w:color="auto"/>
              <w:left w:val="single" w:sz="4" w:space="0" w:color="auto"/>
              <w:bottom w:val="single" w:sz="4" w:space="0" w:color="auto"/>
              <w:right w:val="single" w:sz="4" w:space="0" w:color="auto"/>
            </w:tcBorders>
          </w:tcPr>
          <w:p w14:paraId="07E0B708" w14:textId="77777777" w:rsidR="002A21AE" w:rsidRDefault="00CE58C1">
            <w:pPr>
              <w:pStyle w:val="TableTextNumbers"/>
            </w:pPr>
            <w:r>
              <w:t xml:space="preserve">Click </w:t>
            </w:r>
            <w:r w:rsidRPr="00CE58C1">
              <w:rPr>
                <w:b/>
              </w:rPr>
              <w:t>OK</w:t>
            </w:r>
            <w:r>
              <w:t xml:space="preserve"> to </w:t>
            </w:r>
            <w:r w:rsidR="00913F95">
              <w:t>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52DA53F8" w14:textId="77777777" w:rsidR="002A21AE" w:rsidRDefault="002A21AE">
            <w:pPr>
              <w:pStyle w:val="TableTextBullet"/>
              <w:tabs>
                <w:tab w:val="clear" w:pos="288"/>
              </w:tabs>
            </w:pPr>
            <w:r>
              <w:t>Calculates the volume, total number of participants, ID, and ABO/Rh for the pool. Applies CMV negative status to the pool, when indicated.</w:t>
            </w:r>
          </w:p>
          <w:p w14:paraId="1CD4356D" w14:textId="77777777" w:rsidR="00CE58C1" w:rsidRDefault="00CE58C1" w:rsidP="00CE58C1">
            <w:pPr>
              <w:pStyle w:val="TableTextBullet"/>
              <w:tabs>
                <w:tab w:val="num" w:pos="360"/>
              </w:tabs>
              <w:rPr>
                <w:color w:val="000000"/>
                <w:szCs w:val="20"/>
              </w:rPr>
            </w:pPr>
            <w:r>
              <w:rPr>
                <w:color w:val="000000"/>
                <w:szCs w:val="20"/>
              </w:rPr>
              <w:lastRenderedPageBreak/>
              <w:t>Determines whether any pool participants were previously assigned to a patient and queries the user to maintain the association, when indicated.</w:t>
            </w:r>
          </w:p>
          <w:p w14:paraId="14125265" w14:textId="77777777" w:rsidR="002A21AE" w:rsidRDefault="002A21AE">
            <w:pPr>
              <w:pStyle w:val="TableText"/>
            </w:pPr>
          </w:p>
          <w:p w14:paraId="1DEF9E39" w14:textId="4BB664F0" w:rsidR="002A21AE" w:rsidRDefault="002A21AE">
            <w:pPr>
              <w:pStyle w:val="TableText"/>
              <w:rPr>
                <w:b/>
                <w:bCs/>
              </w:rPr>
            </w:pPr>
            <w:r>
              <w:rPr>
                <w:b/>
                <w:bCs/>
              </w:rPr>
              <w:t>NOTES</w:t>
            </w:r>
          </w:p>
          <w:p w14:paraId="0C95A6A9" w14:textId="77777777" w:rsidR="002A21AE" w:rsidRDefault="002A21AE">
            <w:pPr>
              <w:pStyle w:val="NotesText"/>
            </w:pPr>
          </w:p>
          <w:p w14:paraId="64274C7A" w14:textId="77777777" w:rsidR="002A21AE" w:rsidRDefault="002A21AE">
            <w:pPr>
              <w:pStyle w:val="NotesText"/>
            </w:pPr>
            <w:r>
              <w:rPr>
                <w:rFonts w:cs="Arial"/>
                <w:vanish/>
              </w:rPr>
              <w:t xml:space="preserve">BR_24.09 </w:t>
            </w:r>
            <w:r>
              <w:rPr>
                <w:szCs w:val="18"/>
              </w:rPr>
              <w:t>When the ABO/Rh of each unit in a pool is identical, VBECS assigns that ABO/Rh to the pool. When the ABO and/or Rh of the units in a pool are not identical, VBECS assigns “</w:t>
            </w:r>
            <w:r w:rsidR="00A33872">
              <w:rPr>
                <w:szCs w:val="18"/>
              </w:rPr>
              <w:t>mixed</w:t>
            </w:r>
            <w:r>
              <w:rPr>
                <w:szCs w:val="18"/>
              </w:rPr>
              <w:t>” as the ABO and/or Rh group and type.</w:t>
            </w:r>
          </w:p>
          <w:p w14:paraId="52ADCF2B" w14:textId="77777777" w:rsidR="002A21AE" w:rsidRDefault="002A21AE">
            <w:pPr>
              <w:pStyle w:val="NotesText"/>
            </w:pPr>
          </w:p>
          <w:p w14:paraId="70F17F35" w14:textId="77777777" w:rsidR="002A21AE" w:rsidRDefault="002A21AE">
            <w:pPr>
              <w:pStyle w:val="NotesText"/>
              <w:rPr>
                <w:szCs w:val="18"/>
              </w:rPr>
            </w:pPr>
            <w:r>
              <w:rPr>
                <w:rFonts w:cs="Arial"/>
                <w:vanish/>
              </w:rPr>
              <w:t xml:space="preserve">BR_24.08 </w:t>
            </w:r>
            <w:r>
              <w:rPr>
                <w:szCs w:val="18"/>
              </w:rPr>
              <w:t xml:space="preserve">VBECS determines the volume of the pooled unit based on the sum of the individual volumes of the original units included in the pool and displays that as the default. </w:t>
            </w:r>
            <w:r w:rsidR="00D1735B">
              <w:rPr>
                <w:szCs w:val="18"/>
              </w:rPr>
              <w:t>VBECS will restrict the user to a value between 1 and 2,000 mL</w:t>
            </w:r>
            <w:r>
              <w:rPr>
                <w:szCs w:val="18"/>
              </w:rPr>
              <w:t>.</w:t>
            </w:r>
          </w:p>
          <w:p w14:paraId="7BAA053E" w14:textId="77777777" w:rsidR="002A21AE" w:rsidRDefault="002A21AE">
            <w:pPr>
              <w:pStyle w:val="NotesText"/>
              <w:rPr>
                <w:szCs w:val="18"/>
              </w:rPr>
            </w:pPr>
          </w:p>
          <w:p w14:paraId="4498186E" w14:textId="77777777" w:rsidR="002216F3" w:rsidRDefault="002A21AE" w:rsidP="002216F3">
            <w:pPr>
              <w:pStyle w:val="NotesText"/>
            </w:pPr>
            <w:r>
              <w:rPr>
                <w:rFonts w:cs="Arial"/>
                <w:vanish/>
              </w:rPr>
              <w:t>BR_24.19</w:t>
            </w:r>
            <w:r w:rsidR="004248F5">
              <w:rPr>
                <w:rFonts w:cs="Arial"/>
                <w:vanish/>
              </w:rPr>
              <w:t xml:space="preserve"> </w:t>
            </w:r>
            <w:r w:rsidR="002216F3">
              <w:t>If all of the parent units selected for a pool are CMV negative, the child (pooled unit) will also be labeled CMV negative by the system. If any one unit is not CMV negative, the pool cannot be labeled CMV negative.</w:t>
            </w:r>
          </w:p>
          <w:p w14:paraId="19EE0603" w14:textId="77777777" w:rsidR="002216F3" w:rsidRDefault="002216F3" w:rsidP="002216F3">
            <w:pPr>
              <w:pStyle w:val="NotesText"/>
            </w:pPr>
          </w:p>
          <w:p w14:paraId="5B695098" w14:textId="77777777" w:rsidR="002216F3" w:rsidRDefault="002216F3" w:rsidP="002216F3">
            <w:pPr>
              <w:pStyle w:val="NotesText"/>
            </w:pPr>
            <w:r w:rsidRPr="002216F3">
              <w:rPr>
                <w:vanish/>
              </w:rPr>
              <w:t xml:space="preserve">BR_24.20 </w:t>
            </w:r>
            <w:r w:rsidRPr="00314E13">
              <w:t xml:space="preserve">A pooled unit cannot be labeled as </w:t>
            </w:r>
            <w:r>
              <w:t xml:space="preserve">“Pre-treated to Prevent GVHD” </w:t>
            </w:r>
            <w:r w:rsidRPr="00314E13">
              <w:t>unless all of the parent (original) units used in creating that pool</w:t>
            </w:r>
            <w:r>
              <w:t xml:space="preserve"> have at least one attribute form from attribute group </w:t>
            </w:r>
            <w:r w:rsidRPr="00E14EFC">
              <w:t>V0013</w:t>
            </w:r>
            <w:r>
              <w:t xml:space="preserve"> indicating that the unit is irradiated or the attribute form indicating the unit was psoralen treated, </w:t>
            </w:r>
            <w:r w:rsidRPr="00314E13">
              <w:t>V0021005</w:t>
            </w:r>
            <w:r>
              <w:t xml:space="preserve">. </w:t>
            </w:r>
            <w:r w:rsidRPr="00314E13">
              <w:t>There is no override.</w:t>
            </w:r>
          </w:p>
          <w:p w14:paraId="7245B733" w14:textId="77777777" w:rsidR="002216F3" w:rsidRDefault="002216F3" w:rsidP="002216F3">
            <w:pPr>
              <w:pStyle w:val="NotesText"/>
            </w:pPr>
          </w:p>
          <w:p w14:paraId="77921383" w14:textId="0ECA01AB" w:rsidR="002216F3" w:rsidRPr="00314E13" w:rsidRDefault="002216F3" w:rsidP="002216F3">
            <w:pPr>
              <w:pStyle w:val="NotesText"/>
            </w:pPr>
            <w:r w:rsidRPr="002216F3">
              <w:rPr>
                <w:vanish/>
              </w:rPr>
              <w:t xml:space="preserve">BR_24.20 </w:t>
            </w:r>
            <w:r w:rsidRPr="00314E13">
              <w:t xml:space="preserve">A pooled unit cannot be labeled as </w:t>
            </w:r>
            <w:r>
              <w:t>“</w:t>
            </w:r>
            <w:r w:rsidRPr="00314E13">
              <w:t>Leukocyte Reduced</w:t>
            </w:r>
            <w:r>
              <w:t>”</w:t>
            </w:r>
            <w:r w:rsidRPr="00314E13">
              <w:t xml:space="preserve"> </w:t>
            </w:r>
            <w:r>
              <w:t xml:space="preserve">unless all of </w:t>
            </w:r>
            <w:r w:rsidRPr="00314E13">
              <w:t xml:space="preserve">the parent (original) units used in creating that pool </w:t>
            </w:r>
            <w:r>
              <w:t xml:space="preserve">have at least one of the attribute forms from attribute group </w:t>
            </w:r>
            <w:r w:rsidRPr="00E14EFC">
              <w:t>V001</w:t>
            </w:r>
            <w:r>
              <w:t>4, indicating that the unit has an altered “</w:t>
            </w:r>
            <w:r w:rsidRPr="00E14EFC">
              <w:t>Residual Leukocyte Content</w:t>
            </w:r>
            <w:r>
              <w:t>”.</w:t>
            </w:r>
          </w:p>
          <w:p w14:paraId="3A038FB0" w14:textId="77777777" w:rsidR="002216F3" w:rsidRPr="00314E13" w:rsidRDefault="002216F3" w:rsidP="002216F3">
            <w:pPr>
              <w:pStyle w:val="NotesText"/>
            </w:pPr>
          </w:p>
          <w:p w14:paraId="35AC1999" w14:textId="77777777"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rsidR="00C45B80">
              <w:t>is not irradiated or psoralen related</w:t>
            </w:r>
            <w:r w:rsidRPr="00E14EFC">
              <w:t xml:space="preserve">, </w:t>
            </w:r>
            <w:r w:rsidRPr="00314E13">
              <w:t xml:space="preserve">then the target </w:t>
            </w:r>
            <w:r>
              <w:t>cannot be labeled as Pre-treated to Prevent GVHD”.</w:t>
            </w:r>
          </w:p>
          <w:p w14:paraId="265EC113" w14:textId="77777777" w:rsidR="002216F3" w:rsidRDefault="002216F3" w:rsidP="002216F3">
            <w:pPr>
              <w:pStyle w:val="NotesText"/>
            </w:pPr>
          </w:p>
          <w:p w14:paraId="1C21BC1D" w14:textId="76AEB9E3"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t xml:space="preserve">does not contain at least one of the attribute forms from </w:t>
            </w:r>
            <w:r w:rsidR="00C45B80">
              <w:t xml:space="preserve">the </w:t>
            </w:r>
            <w:r>
              <w:t>attribute group indicating that the unit has an altered “</w:t>
            </w:r>
            <w:r w:rsidRPr="00E14EFC">
              <w:t>Residual Leukocyte Content</w:t>
            </w:r>
            <w:r>
              <w:t>”</w:t>
            </w:r>
            <w:r w:rsidRPr="00314E13" w:rsidDel="00E14EFC">
              <w:t xml:space="preserve"> </w:t>
            </w:r>
            <w:r w:rsidRPr="00314E13">
              <w:t xml:space="preserve">then the target </w:t>
            </w:r>
            <w:r>
              <w:t>cannot be labeled as “</w:t>
            </w:r>
            <w:r w:rsidRPr="00314E13">
              <w:t>Leukocyte Reduced</w:t>
            </w:r>
            <w:r>
              <w:t>”</w:t>
            </w:r>
          </w:p>
          <w:p w14:paraId="553A5F94" w14:textId="77777777" w:rsidR="002216F3" w:rsidRDefault="002216F3" w:rsidP="002216F3">
            <w:pPr>
              <w:pStyle w:val="NotesText"/>
            </w:pPr>
          </w:p>
          <w:p w14:paraId="3B718FB3" w14:textId="77777777" w:rsidR="004248F5" w:rsidRPr="004248F5" w:rsidRDefault="0099483E" w:rsidP="00C45B80">
            <w:pPr>
              <w:pStyle w:val="NotesText"/>
            </w:pPr>
            <w:r w:rsidRPr="0099483E">
              <w:rPr>
                <w:iCs/>
                <w:vanish/>
              </w:rPr>
              <w:t xml:space="preserve">BR_24.31 </w:t>
            </w:r>
            <w:r w:rsidRPr="00314E13">
              <w:rPr>
                <w:iCs/>
              </w:rPr>
              <w:t xml:space="preserve">If one biohazardous unit is added to a pool, the target </w:t>
            </w:r>
            <w:r w:rsidR="00C45B80">
              <w:rPr>
                <w:iCs/>
              </w:rPr>
              <w:t>is</w:t>
            </w:r>
            <w:r w:rsidRPr="00314E13">
              <w:rPr>
                <w:iCs/>
              </w:rPr>
              <w:t xml:space="preserve"> marked biohazardous.</w:t>
            </w:r>
          </w:p>
        </w:tc>
      </w:tr>
      <w:tr w:rsidR="002A21AE" w14:paraId="0771E9D5"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10A7F024" w14:textId="77777777" w:rsidR="00913F95" w:rsidRDefault="00913F95" w:rsidP="00913F95">
            <w:pPr>
              <w:pStyle w:val="TableTextNumbers"/>
            </w:pPr>
            <w:r>
              <w:lastRenderedPageBreak/>
              <w:t xml:space="preserve">Click </w:t>
            </w:r>
            <w:r w:rsidRPr="00A77D1F">
              <w:rPr>
                <w:b/>
              </w:rPr>
              <w:t>Yes</w:t>
            </w:r>
            <w:r>
              <w:t xml:space="preserve"> to verify the label.</w:t>
            </w:r>
          </w:p>
          <w:p w14:paraId="15B4566B" w14:textId="77777777" w:rsidR="00913F95" w:rsidRDefault="00913F95" w:rsidP="00913F95">
            <w:pPr>
              <w:pStyle w:val="TableTextNumbersContinued"/>
            </w:pPr>
          </w:p>
          <w:p w14:paraId="42640955" w14:textId="77777777" w:rsidR="002A21AE" w:rsidRDefault="00913F95" w:rsidP="00913F95">
            <w:pPr>
              <w:pStyle w:val="TableTextNumbersContinued"/>
            </w:pPr>
            <w:r>
              <w:t xml:space="preserve">Click </w:t>
            </w:r>
            <w:r w:rsidRPr="00913F95">
              <w:rPr>
                <w:b/>
              </w:rPr>
              <w:t>OK</w:t>
            </w:r>
            <w:r>
              <w:t xml:space="preserve"> to 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12C6E024" w14:textId="77777777" w:rsidR="002A21AE" w:rsidRDefault="002A21AE">
            <w:pPr>
              <w:pStyle w:val="TableTextBullet"/>
            </w:pPr>
            <w:r>
              <w:t>Saves the new pooled unit.</w:t>
            </w:r>
          </w:p>
          <w:p w14:paraId="72918BE2" w14:textId="77777777" w:rsidR="002A21AE" w:rsidRDefault="002A21AE">
            <w:pPr>
              <w:pStyle w:val="TableTextBullet"/>
            </w:pPr>
            <w:r>
              <w:t>Updates the status of each participant unit to “modified.”</w:t>
            </w:r>
          </w:p>
          <w:p w14:paraId="54B04FE4" w14:textId="77777777" w:rsidR="002A21AE" w:rsidRDefault="00EE2911" w:rsidP="00EE2911">
            <w:pPr>
              <w:pStyle w:val="TableTextBullet"/>
              <w:tabs>
                <w:tab w:val="clear" w:pos="288"/>
              </w:tabs>
            </w:pPr>
            <w:r>
              <w:t>Records the unit ID of the target unit on the record of the original unit.</w:t>
            </w:r>
          </w:p>
          <w:p w14:paraId="0AF5C229" w14:textId="77777777" w:rsidR="002A21AE" w:rsidRDefault="002A21AE">
            <w:pPr>
              <w:pStyle w:val="TableTextBullet"/>
            </w:pPr>
            <w:r>
              <w:t>Prompts the user to modify another unit.</w:t>
            </w:r>
          </w:p>
          <w:p w14:paraId="11265AB1"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EDF2937" w14:textId="77777777">
        <w:tc>
          <w:tcPr>
            <w:tcW w:w="3240" w:type="dxa"/>
            <w:tcBorders>
              <w:top w:val="single" w:sz="4" w:space="0" w:color="auto"/>
              <w:left w:val="single" w:sz="4" w:space="0" w:color="auto"/>
              <w:bottom w:val="single" w:sz="4" w:space="0" w:color="auto"/>
              <w:right w:val="single" w:sz="4" w:space="0" w:color="auto"/>
            </w:tcBorders>
          </w:tcPr>
          <w:p w14:paraId="38244654" w14:textId="3D6435BE" w:rsidR="002A21AE" w:rsidRDefault="002A21AE">
            <w:pPr>
              <w:pStyle w:val="TableTextNumbers"/>
            </w:pPr>
            <w:r>
              <w:t xml:space="preserve">Repeat Steps </w:t>
            </w:r>
            <w:r w:rsidR="006E5C1E">
              <w:t>2</w:t>
            </w:r>
            <w:r w:rsidR="004F5589">
              <w:t xml:space="preserve"> through </w:t>
            </w:r>
            <w:r w:rsidR="00047C63">
              <w:t>10</w:t>
            </w:r>
            <w:r>
              <w:t xml:space="preserve"> to modify another unit</w:t>
            </w:r>
            <w:r w:rsidR="00576D72">
              <w:t>,</w:t>
            </w:r>
            <w:r>
              <w:t xml:space="preserve">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62AAD5F6" w14:textId="77777777" w:rsidR="002A21AE" w:rsidRDefault="002A21AE">
            <w:pPr>
              <w:pStyle w:val="TableText"/>
            </w:pPr>
          </w:p>
        </w:tc>
      </w:tr>
    </w:tbl>
    <w:p w14:paraId="58D894AB" w14:textId="77777777" w:rsidR="002A21AE" w:rsidRDefault="009F1B54">
      <w:pPr>
        <w:pStyle w:val="Heading3"/>
      </w:pPr>
      <w:bookmarkStart w:id="324" w:name="_Toc94349350"/>
      <w:r>
        <w:br w:type="page"/>
      </w:r>
      <w:bookmarkStart w:id="325" w:name="_Toc163644918"/>
      <w:r w:rsidR="003E28C1">
        <w:lastRenderedPageBreak/>
        <w:t xml:space="preserve">Add and/or </w:t>
      </w:r>
      <w:r w:rsidR="002A21AE">
        <w:t>Remove Units from a Pool</w:t>
      </w:r>
      <w:bookmarkEnd w:id="325"/>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Add/Remove Units from a Pool</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UC_26</w:t>
      </w:r>
      <w:bookmarkEnd w:id="324"/>
    </w:p>
    <w:p w14:paraId="07CC3AAB" w14:textId="77777777" w:rsidR="002A21AE" w:rsidRDefault="002A21AE" w:rsidP="00FA7E65">
      <w:pPr>
        <w:pStyle w:val="BodyText"/>
      </w:pPr>
      <w:r>
        <w:t xml:space="preserve">The user selects a pooled unit to add and/or remove some of the participants. </w:t>
      </w:r>
    </w:p>
    <w:p w14:paraId="40F35DBB" w14:textId="77777777" w:rsidR="002A21AE" w:rsidRDefault="002A21AE">
      <w:pPr>
        <w:pStyle w:val="Heading4"/>
      </w:pPr>
      <w:bookmarkStart w:id="326" w:name="_Toc94349351"/>
      <w:r>
        <w:t>Assumptions</w:t>
      </w:r>
      <w:bookmarkEnd w:id="326"/>
    </w:p>
    <w:p w14:paraId="535F9DD5" w14:textId="77777777" w:rsidR="002A21AE" w:rsidRDefault="002A21AE">
      <w:pPr>
        <w:pStyle w:val="ListBullet"/>
      </w:pPr>
      <w:r>
        <w:t>See Modify Units.</w:t>
      </w:r>
    </w:p>
    <w:p w14:paraId="1636D87C" w14:textId="77777777" w:rsidR="002A21AE" w:rsidRDefault="002A21AE">
      <w:pPr>
        <w:pStyle w:val="Heading4"/>
      </w:pPr>
      <w:bookmarkStart w:id="327" w:name="_Toc94349352"/>
      <w:r>
        <w:t>Outcome</w:t>
      </w:r>
      <w:bookmarkEnd w:id="327"/>
    </w:p>
    <w:p w14:paraId="511BDA4C" w14:textId="77777777" w:rsidR="002A21AE" w:rsidRDefault="002A21AE">
      <w:pPr>
        <w:pStyle w:val="ListBullet"/>
      </w:pPr>
      <w:r>
        <w:t>See Modify Units.</w:t>
      </w:r>
    </w:p>
    <w:p w14:paraId="349279DD" w14:textId="77777777" w:rsidR="002A21AE" w:rsidRDefault="002A21AE">
      <w:pPr>
        <w:pStyle w:val="Heading4"/>
      </w:pPr>
      <w:bookmarkStart w:id="328" w:name="_Toc94349353"/>
      <w:r>
        <w:t>Limitations and Restrictions</w:t>
      </w:r>
      <w:bookmarkEnd w:id="328"/>
    </w:p>
    <w:p w14:paraId="7259EE78" w14:textId="77777777" w:rsidR="002A21AE" w:rsidRDefault="002A21AE">
      <w:pPr>
        <w:pStyle w:val="ListBullet"/>
      </w:pPr>
      <w:r>
        <w:t>See Modify Units.</w:t>
      </w:r>
    </w:p>
    <w:p w14:paraId="7F1E73F7" w14:textId="77777777" w:rsidR="002A21AE" w:rsidRDefault="002A21AE">
      <w:pPr>
        <w:pStyle w:val="Heading4"/>
      </w:pPr>
      <w:bookmarkStart w:id="329" w:name="_Toc94349354"/>
      <w:r>
        <w:t>Additional Information</w:t>
      </w:r>
      <w:bookmarkEnd w:id="329"/>
    </w:p>
    <w:p w14:paraId="4E53CD08" w14:textId="77777777" w:rsidR="002A21AE" w:rsidRDefault="00662057">
      <w:pPr>
        <w:pStyle w:val="ListBullet"/>
      </w:pPr>
      <w:r>
        <w:t>None</w:t>
      </w:r>
      <w:r w:rsidR="002A21AE">
        <w:t>.</w:t>
      </w:r>
    </w:p>
    <w:p w14:paraId="7FED80F2" w14:textId="77777777" w:rsidR="002A21AE" w:rsidRDefault="002A21AE">
      <w:pPr>
        <w:pStyle w:val="Heading4"/>
      </w:pPr>
      <w:bookmarkStart w:id="330" w:name="_Toc94349355"/>
      <w:r>
        <w:t>User Roles with Access to This Option</w:t>
      </w:r>
      <w:bookmarkEnd w:id="330"/>
    </w:p>
    <w:p w14:paraId="5578CA56" w14:textId="77777777" w:rsidR="005663D0" w:rsidRDefault="005663D0" w:rsidP="001A3179">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(add/remove prior to patient associations) </w:t>
      </w:r>
    </w:p>
    <w:p w14:paraId="15F719FD" w14:textId="77777777" w:rsidR="002A21AE" w:rsidRDefault="001A3179" w:rsidP="001A317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r w:rsidR="005663D0">
        <w:t xml:space="preserve"> (add/remove with patient associations)</w:t>
      </w:r>
    </w:p>
    <w:p w14:paraId="43ACC318" w14:textId="77777777" w:rsidR="002A21AE" w:rsidRDefault="002A21AE">
      <w:pPr>
        <w:pStyle w:val="Heading4"/>
        <w:rPr>
          <w:rFonts w:ascii="Times New Roman" w:hAnsi="Times New Roman"/>
          <w:bCs/>
          <w:i/>
          <w:iCs/>
          <w:sz w:val="24"/>
        </w:rPr>
      </w:pPr>
      <w:bookmarkStart w:id="331" w:name="_Toc94349356"/>
      <w:bookmarkStart w:id="332" w:name="OLE_LINK24"/>
      <w:r>
        <w:t>Add/Remove Units from a Pool</w:t>
      </w:r>
      <w:bookmarkEnd w:id="331"/>
      <w:bookmarkEnd w:id="332"/>
    </w:p>
    <w:p w14:paraId="55C554CC" w14:textId="77777777" w:rsidR="002A21AE" w:rsidRDefault="002A21AE" w:rsidP="00FA7E65">
      <w:pPr>
        <w:pStyle w:val="BodyText"/>
      </w:pPr>
      <w:r>
        <w:t>The user adds or deletes units to or from a pool.</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08"/>
      </w:tblGrid>
      <w:tr w:rsidR="002A21AE" w14:paraId="681361CE" w14:textId="77777777">
        <w:trPr>
          <w:tblHeader/>
        </w:trPr>
        <w:tc>
          <w:tcPr>
            <w:tcW w:w="3240" w:type="dxa"/>
            <w:tcBorders>
              <w:top w:val="single" w:sz="4" w:space="0" w:color="auto"/>
              <w:left w:val="single" w:sz="4" w:space="0" w:color="auto"/>
              <w:bottom w:val="single" w:sz="4" w:space="0" w:color="auto"/>
              <w:right w:val="single" w:sz="4" w:space="0" w:color="auto"/>
            </w:tcBorders>
            <w:shd w:val="clear" w:color="auto" w:fill="C0C0C0"/>
            <w:vAlign w:val="bottom"/>
          </w:tcPr>
          <w:p w14:paraId="0E52F13A" w14:textId="77777777" w:rsidR="002A21AE" w:rsidRDefault="002A21AE">
            <w:pPr>
              <w:pStyle w:val="TableText"/>
              <w:rPr>
                <w:b/>
              </w:rPr>
            </w:pPr>
            <w:r>
              <w:rPr>
                <w:b/>
              </w:rPr>
              <w:t>User Action</w:t>
            </w:r>
          </w:p>
        </w:tc>
        <w:tc>
          <w:tcPr>
            <w:tcW w:w="6108" w:type="dxa"/>
            <w:tcBorders>
              <w:top w:val="single" w:sz="4" w:space="0" w:color="auto"/>
              <w:left w:val="single" w:sz="4" w:space="0" w:color="auto"/>
              <w:bottom w:val="single" w:sz="4" w:space="0" w:color="auto"/>
              <w:right w:val="single" w:sz="4" w:space="0" w:color="auto"/>
            </w:tcBorders>
            <w:shd w:val="clear" w:color="auto" w:fill="C0C0C0"/>
            <w:vAlign w:val="bottom"/>
          </w:tcPr>
          <w:p w14:paraId="1EFCECC1" w14:textId="77777777" w:rsidR="002A21AE" w:rsidRDefault="002A21AE">
            <w:pPr>
              <w:pStyle w:val="TableText"/>
              <w:rPr>
                <w:b/>
              </w:rPr>
            </w:pPr>
            <w:r>
              <w:rPr>
                <w:b/>
              </w:rPr>
              <w:t>VBECS</w:t>
            </w:r>
          </w:p>
        </w:tc>
      </w:tr>
      <w:tr w:rsidR="002A21AE" w14:paraId="614EF6E3" w14:textId="77777777">
        <w:tc>
          <w:tcPr>
            <w:tcW w:w="3240" w:type="dxa"/>
          </w:tcPr>
          <w:p w14:paraId="4A9C16CB" w14:textId="77777777" w:rsidR="002A21AE" w:rsidRDefault="002A21AE">
            <w:pPr>
              <w:pStyle w:val="TableTextNumbers"/>
            </w:pPr>
            <w:r>
              <w:t xml:space="preserve">Select </w:t>
            </w:r>
            <w:r>
              <w:rPr>
                <w:b/>
              </w:rPr>
              <w:t>Blood Units</w:t>
            </w:r>
            <w:r>
              <w:t xml:space="preserve"> from the main menu. </w:t>
            </w:r>
          </w:p>
          <w:p w14:paraId="6123465B" w14:textId="77777777" w:rsidR="002A21AE" w:rsidRDefault="002A21AE">
            <w:pPr>
              <w:pStyle w:val="TableTextNumbersContinued"/>
            </w:pPr>
          </w:p>
          <w:p w14:paraId="214EFE62" w14:textId="77777777" w:rsidR="002A21AE" w:rsidRDefault="002A21AE">
            <w:pPr>
              <w:pStyle w:val="TableTextNumbersContinued"/>
            </w:pPr>
            <w:r>
              <w:t xml:space="preserve">Select </w:t>
            </w:r>
            <w:r>
              <w:rPr>
                <w:b/>
              </w:rPr>
              <w:t>Modify Units</w:t>
            </w:r>
            <w:r>
              <w:t>.</w:t>
            </w:r>
          </w:p>
        </w:tc>
        <w:tc>
          <w:tcPr>
            <w:tcW w:w="6108" w:type="dxa"/>
          </w:tcPr>
          <w:p w14:paraId="6E81A999" w14:textId="77777777" w:rsidR="002A21AE" w:rsidRDefault="002A21AE">
            <w:pPr>
              <w:pStyle w:val="TableTextBullet"/>
            </w:pPr>
            <w:r>
              <w:t>Displays options for processing blood units.</w:t>
            </w:r>
          </w:p>
          <w:p w14:paraId="7F545507" w14:textId="77777777" w:rsidR="002A21AE" w:rsidRDefault="002A21AE">
            <w:pPr>
              <w:pStyle w:val="TableTextBullet"/>
            </w:pPr>
            <w:r>
              <w:t>Displays valid modification types and allows the user to select an option.</w:t>
            </w:r>
          </w:p>
        </w:tc>
      </w:tr>
      <w:tr w:rsidR="002A21AE" w14:paraId="08350CCA" w14:textId="77777777">
        <w:tc>
          <w:tcPr>
            <w:tcW w:w="3240" w:type="dxa"/>
          </w:tcPr>
          <w:p w14:paraId="2D623A5B" w14:textId="77777777" w:rsidR="002A21AE" w:rsidRDefault="002A21AE">
            <w:pPr>
              <w:pStyle w:val="TableTextNumbers"/>
            </w:pPr>
            <w:r>
              <w:t xml:space="preserve">Click the </w:t>
            </w:r>
            <w:r>
              <w:rPr>
                <w:b/>
              </w:rPr>
              <w:t xml:space="preserve">Add/Remove Units from a Pool </w:t>
            </w:r>
            <w:r w:rsidRPr="00BF2E41">
              <w:t>radio button</w:t>
            </w:r>
            <w:r>
              <w:t>.</w:t>
            </w:r>
          </w:p>
          <w:p w14:paraId="2C65915F" w14:textId="77777777" w:rsidR="002A21AE" w:rsidRDefault="002A21AE">
            <w:pPr>
              <w:pStyle w:val="TableTextNumbersContinued"/>
            </w:pPr>
          </w:p>
          <w:p w14:paraId="4F86BAF5" w14:textId="77777777" w:rsidR="002A21AE" w:rsidRDefault="002A21AE">
            <w:pPr>
              <w:pStyle w:val="TableTextNumbersContinued"/>
            </w:pPr>
            <w:r>
              <w:t xml:space="preserve">Click </w:t>
            </w:r>
            <w:r>
              <w:rPr>
                <w:b/>
              </w:rPr>
              <w:t>OK</w:t>
            </w:r>
            <w:r>
              <w:t>.</w:t>
            </w:r>
          </w:p>
        </w:tc>
        <w:tc>
          <w:tcPr>
            <w:tcW w:w="6108" w:type="dxa"/>
          </w:tcPr>
          <w:p w14:paraId="7EBF33D9" w14:textId="77777777" w:rsidR="002A21AE" w:rsidRDefault="002A21AE">
            <w:pPr>
              <w:pStyle w:val="TableTextBullet"/>
              <w:tabs>
                <w:tab w:val="num" w:pos="360"/>
              </w:tabs>
            </w:pPr>
            <w:r>
              <w:t>Allows the user to search for a pooled unit.</w:t>
            </w:r>
          </w:p>
        </w:tc>
      </w:tr>
      <w:tr w:rsidR="002A21AE" w14:paraId="0A66B1D5" w14:textId="77777777">
        <w:tc>
          <w:tcPr>
            <w:tcW w:w="3240" w:type="dxa"/>
            <w:tcBorders>
              <w:top w:val="single" w:sz="4" w:space="0" w:color="auto"/>
              <w:left w:val="single" w:sz="4" w:space="0" w:color="auto"/>
              <w:bottom w:val="single" w:sz="4" w:space="0" w:color="auto"/>
              <w:right w:val="single" w:sz="4" w:space="0" w:color="auto"/>
            </w:tcBorders>
          </w:tcPr>
          <w:p w14:paraId="763845B8" w14:textId="77777777" w:rsidR="002A21AE" w:rsidRDefault="002A21AE">
            <w:pPr>
              <w:pStyle w:val="TableTextNumbers"/>
            </w:pPr>
            <w:r>
              <w:t>Scan, enter, or select the ID and product code for a pooled unit.</w:t>
            </w:r>
          </w:p>
        </w:tc>
        <w:tc>
          <w:tcPr>
            <w:tcW w:w="6108" w:type="dxa"/>
            <w:tcBorders>
              <w:top w:val="single" w:sz="4" w:space="0" w:color="auto"/>
              <w:left w:val="single" w:sz="4" w:space="0" w:color="auto"/>
              <w:bottom w:val="single" w:sz="4" w:space="0" w:color="auto"/>
              <w:right w:val="single" w:sz="4" w:space="0" w:color="auto"/>
            </w:tcBorders>
          </w:tcPr>
          <w:p w14:paraId="67D7A7B7" w14:textId="77777777" w:rsidR="002A21AE" w:rsidRDefault="002A21AE">
            <w:pPr>
              <w:pStyle w:val="TableTextBullet"/>
              <w:tabs>
                <w:tab w:val="clear" w:pos="288"/>
                <w:tab w:val="num" w:pos="360"/>
              </w:tabs>
            </w:pPr>
            <w:r>
              <w:t>Displays current data for the selected unit.</w:t>
            </w:r>
          </w:p>
          <w:p w14:paraId="574A0BB1" w14:textId="77777777" w:rsidR="002A21AE" w:rsidRDefault="002A21AE">
            <w:pPr>
              <w:pStyle w:val="TableText"/>
            </w:pPr>
          </w:p>
          <w:p w14:paraId="4EAF7AF0" w14:textId="2F4B2F4B" w:rsidR="002A21AE" w:rsidRDefault="002A21AE">
            <w:pPr>
              <w:pStyle w:val="TableText"/>
              <w:rPr>
                <w:b/>
                <w:bCs/>
              </w:rPr>
            </w:pPr>
            <w:r>
              <w:rPr>
                <w:b/>
                <w:bCs/>
              </w:rPr>
              <w:t>NOTES</w:t>
            </w:r>
          </w:p>
          <w:p w14:paraId="3D0C29C5" w14:textId="77777777" w:rsidR="002A21AE" w:rsidRDefault="002A21AE">
            <w:pPr>
              <w:pStyle w:val="NotesText"/>
            </w:pPr>
          </w:p>
          <w:p w14:paraId="16AB4994" w14:textId="77777777" w:rsidR="002A21AE" w:rsidRDefault="002A21AE">
            <w:pPr>
              <w:pStyle w:val="NotesText"/>
            </w:pPr>
            <w:r>
              <w:rPr>
                <w:rFonts w:cs="Arial"/>
                <w:vanish/>
              </w:rPr>
              <w:t xml:space="preserve">BR_24.21 </w:t>
            </w:r>
            <w:r>
              <w:t>The user must select a unit that was previously pooled within the user’s division.</w:t>
            </w:r>
          </w:p>
          <w:p w14:paraId="44327288" w14:textId="77777777" w:rsidR="002A21AE" w:rsidRDefault="002A21AE">
            <w:pPr>
              <w:pStyle w:val="NotesText"/>
            </w:pPr>
          </w:p>
          <w:p w14:paraId="5E6094FC" w14:textId="77777777" w:rsidR="002A21AE" w:rsidRDefault="002A21AE">
            <w:pPr>
              <w:pStyle w:val="NotesText"/>
            </w:pPr>
            <w:r>
              <w:rPr>
                <w:rFonts w:cs="Arial"/>
                <w:vanish/>
              </w:rPr>
              <w:t xml:space="preserve">BR_24.30 </w:t>
            </w:r>
            <w:r>
              <w:t>The user may edit a pooled unit only once.</w:t>
            </w:r>
          </w:p>
          <w:p w14:paraId="3A406F9F" w14:textId="77777777" w:rsidR="002A21AE" w:rsidRDefault="002A21AE">
            <w:pPr>
              <w:pStyle w:val="NotesText"/>
            </w:pPr>
          </w:p>
          <w:p w14:paraId="55070C10" w14:textId="77777777" w:rsidR="002A21AE" w:rsidRDefault="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2915EB0B" w14:textId="77777777" w:rsidTr="004A7B44">
        <w:trPr>
          <w:cantSplit/>
        </w:trPr>
        <w:tc>
          <w:tcPr>
            <w:tcW w:w="3240" w:type="dxa"/>
            <w:tcBorders>
              <w:top w:val="single" w:sz="4" w:space="0" w:color="auto"/>
              <w:left w:val="single" w:sz="4" w:space="0" w:color="auto"/>
              <w:bottom w:val="single" w:sz="4" w:space="0" w:color="auto"/>
              <w:right w:val="single" w:sz="4" w:space="0" w:color="auto"/>
            </w:tcBorders>
          </w:tcPr>
          <w:p w14:paraId="20C10110" w14:textId="77777777" w:rsidR="002A21AE" w:rsidRDefault="002A21AE">
            <w:pPr>
              <w:pStyle w:val="TableTextNumbers"/>
            </w:pPr>
            <w:r>
              <w:lastRenderedPageBreak/>
              <w:t>Review the existing pooled unit data.</w:t>
            </w:r>
          </w:p>
          <w:p w14:paraId="27527DA2" w14:textId="77777777" w:rsidR="002A21AE" w:rsidRDefault="002A21AE">
            <w:pPr>
              <w:pStyle w:val="TableTextNumbersContinued"/>
            </w:pPr>
          </w:p>
          <w:p w14:paraId="22AA79E2" w14:textId="77777777" w:rsidR="002A21AE" w:rsidRDefault="00A31A8A">
            <w:pPr>
              <w:pStyle w:val="TableTextNumbersContinued"/>
            </w:pPr>
            <w:r>
              <w:t>Select one or more units to add to the pool</w:t>
            </w:r>
            <w:r w:rsidR="002A21AE">
              <w:t>.</w:t>
            </w:r>
          </w:p>
          <w:p w14:paraId="01129844" w14:textId="77777777" w:rsidR="00A31A8A" w:rsidRDefault="00A31A8A">
            <w:pPr>
              <w:pStyle w:val="TableTextNumbersContinued"/>
            </w:pPr>
          </w:p>
          <w:p w14:paraId="41680EEB" w14:textId="77777777" w:rsidR="002A21AE" w:rsidRDefault="00A31A8A">
            <w:pPr>
              <w:pStyle w:val="TableTextNumbersContinued"/>
            </w:pPr>
            <w:r>
              <w:t>Clear one or more check boxes to remove units from the pool.</w:t>
            </w:r>
          </w:p>
        </w:tc>
        <w:tc>
          <w:tcPr>
            <w:tcW w:w="6108" w:type="dxa"/>
            <w:tcBorders>
              <w:top w:val="single" w:sz="4" w:space="0" w:color="auto"/>
              <w:left w:val="single" w:sz="4" w:space="0" w:color="auto"/>
              <w:bottom w:val="single" w:sz="4" w:space="0" w:color="auto"/>
              <w:right w:val="single" w:sz="4" w:space="0" w:color="auto"/>
            </w:tcBorders>
          </w:tcPr>
          <w:p w14:paraId="50111946" w14:textId="77777777" w:rsidR="002A21AE" w:rsidRDefault="002A21AE">
            <w:pPr>
              <w:pStyle w:val="TableTextBullet"/>
              <w:tabs>
                <w:tab w:val="num" w:pos="360"/>
              </w:tabs>
            </w:pPr>
            <w:r>
              <w:t>Allows the user to select one or more units to add to or remove from the pool.</w:t>
            </w:r>
          </w:p>
          <w:p w14:paraId="3B0377CF" w14:textId="77777777" w:rsidR="002A21AE" w:rsidRDefault="002A21AE">
            <w:pPr>
              <w:pStyle w:val="TableText"/>
            </w:pPr>
          </w:p>
          <w:p w14:paraId="0F1810D3" w14:textId="72621D7F" w:rsidR="002A21AE" w:rsidRDefault="002A21AE">
            <w:pPr>
              <w:pStyle w:val="TableText"/>
              <w:rPr>
                <w:b/>
                <w:bCs/>
              </w:rPr>
            </w:pPr>
            <w:r>
              <w:rPr>
                <w:b/>
                <w:bCs/>
              </w:rPr>
              <w:t>NOTES</w:t>
            </w:r>
          </w:p>
          <w:p w14:paraId="294A3337" w14:textId="77777777" w:rsidR="002A21AE" w:rsidRDefault="002A21AE">
            <w:pPr>
              <w:pStyle w:val="NotesText"/>
            </w:pPr>
          </w:p>
          <w:p w14:paraId="1E9B802D" w14:textId="77777777" w:rsidR="002A21AE" w:rsidRDefault="002A21AE">
            <w:pPr>
              <w:pStyle w:val="NotesText"/>
            </w:pPr>
            <w:r>
              <w:rPr>
                <w:rFonts w:cs="Arial"/>
                <w:vanish/>
              </w:rPr>
              <w:t xml:space="preserve">BR_24.27 </w:t>
            </w:r>
            <w:r>
              <w:t>The user may not remove all of the original units.</w:t>
            </w:r>
          </w:p>
          <w:p w14:paraId="4E9104DB" w14:textId="77777777" w:rsidR="002A21AE" w:rsidRDefault="002A21AE">
            <w:pPr>
              <w:pStyle w:val="NotesText"/>
            </w:pPr>
          </w:p>
          <w:p w14:paraId="2C741C7A" w14:textId="77777777" w:rsidR="002A21AE" w:rsidRDefault="002A21AE">
            <w:pPr>
              <w:pStyle w:val="NotesText"/>
            </w:pPr>
            <w:r w:rsidRPr="009522A6">
              <w:rPr>
                <w:rFonts w:cs="Arial"/>
                <w:vanish/>
                <w:color w:val="0000FF"/>
              </w:rPr>
              <w:t>BR_24.28</w:t>
            </w:r>
            <w:r>
              <w:rPr>
                <w:rFonts w:cs="Arial"/>
                <w:vanish/>
              </w:rPr>
              <w:t xml:space="preserve"> </w:t>
            </w:r>
            <w:r>
              <w:t>The user may add only units with the same product and donation types as those of the previously pooled unit.</w:t>
            </w:r>
          </w:p>
          <w:p w14:paraId="7D7542C4" w14:textId="77777777" w:rsidR="0099483E" w:rsidRDefault="0099483E">
            <w:pPr>
              <w:pStyle w:val="NotesText"/>
            </w:pPr>
          </w:p>
          <w:p w14:paraId="168F603A" w14:textId="77777777" w:rsidR="0099483E" w:rsidRPr="0099483E" w:rsidRDefault="003133AE" w:rsidP="0099483E">
            <w:pPr>
              <w:pStyle w:val="NotesText"/>
            </w:pPr>
            <w:r w:rsidRPr="003133AE">
              <w:rPr>
                <w:vanish/>
              </w:rPr>
              <w:t xml:space="preserve">BR_24.28 </w:t>
            </w:r>
            <w:r w:rsidR="0099483E" w:rsidRPr="0099483E">
              <w:t>Properties that may be changed based on the edit of the target pool are:</w:t>
            </w:r>
          </w:p>
          <w:p w14:paraId="156B50D6" w14:textId="77777777" w:rsidR="0099483E" w:rsidRDefault="0099483E" w:rsidP="00925CAD">
            <w:pPr>
              <w:pStyle w:val="TableText"/>
              <w:numPr>
                <w:ilvl w:val="0"/>
                <w:numId w:val="67"/>
              </w:numPr>
              <w:ind w:left="1440"/>
              <w:rPr>
                <w:rFonts w:cs="Arial"/>
                <w:szCs w:val="18"/>
              </w:rPr>
            </w:pPr>
            <w:r>
              <w:rPr>
                <w:rFonts w:cs="Arial"/>
                <w:szCs w:val="18"/>
              </w:rPr>
              <w:t xml:space="preserve">Patient Assignment </w:t>
            </w:r>
          </w:p>
          <w:p w14:paraId="5108EB52" w14:textId="77777777" w:rsidR="0099483E" w:rsidRDefault="0099483E" w:rsidP="00925CAD">
            <w:pPr>
              <w:pStyle w:val="TableText"/>
              <w:numPr>
                <w:ilvl w:val="0"/>
                <w:numId w:val="67"/>
              </w:numPr>
              <w:ind w:left="1440"/>
              <w:rPr>
                <w:rFonts w:cs="Arial"/>
                <w:szCs w:val="18"/>
              </w:rPr>
            </w:pPr>
            <w:r>
              <w:rPr>
                <w:rFonts w:cs="Arial"/>
                <w:szCs w:val="18"/>
              </w:rPr>
              <w:t xml:space="preserve">ABO/RH </w:t>
            </w:r>
          </w:p>
          <w:p w14:paraId="5E3890DD" w14:textId="77777777" w:rsidR="0099483E" w:rsidRDefault="0099483E" w:rsidP="00925CAD">
            <w:pPr>
              <w:pStyle w:val="TableText"/>
              <w:numPr>
                <w:ilvl w:val="0"/>
                <w:numId w:val="67"/>
              </w:numPr>
              <w:ind w:left="1440"/>
              <w:rPr>
                <w:rFonts w:cs="Arial"/>
                <w:szCs w:val="18"/>
              </w:rPr>
            </w:pPr>
            <w:r>
              <w:rPr>
                <w:rFonts w:cs="Arial"/>
                <w:szCs w:val="18"/>
              </w:rPr>
              <w:t>Expiration date</w:t>
            </w:r>
          </w:p>
          <w:p w14:paraId="3B1A5397" w14:textId="77777777" w:rsidR="0099483E" w:rsidRDefault="0099483E" w:rsidP="00925CAD">
            <w:pPr>
              <w:pStyle w:val="TableText"/>
              <w:numPr>
                <w:ilvl w:val="0"/>
                <w:numId w:val="67"/>
              </w:numPr>
              <w:ind w:left="1440"/>
              <w:rPr>
                <w:rFonts w:cs="Arial"/>
                <w:szCs w:val="18"/>
              </w:rPr>
            </w:pPr>
            <w:r>
              <w:rPr>
                <w:rFonts w:cs="Arial"/>
                <w:szCs w:val="18"/>
              </w:rPr>
              <w:t xml:space="preserve">Volume </w:t>
            </w:r>
          </w:p>
          <w:p w14:paraId="7C059182" w14:textId="77777777" w:rsidR="0099483E" w:rsidRDefault="0099483E" w:rsidP="00925CAD">
            <w:pPr>
              <w:pStyle w:val="TableText"/>
              <w:numPr>
                <w:ilvl w:val="0"/>
                <w:numId w:val="67"/>
              </w:numPr>
              <w:ind w:left="1440"/>
              <w:rPr>
                <w:rFonts w:cs="Arial"/>
                <w:szCs w:val="18"/>
              </w:rPr>
            </w:pPr>
            <w:r>
              <w:rPr>
                <w:rFonts w:cs="Arial"/>
                <w:szCs w:val="18"/>
              </w:rPr>
              <w:t>CMV Negative indicator</w:t>
            </w:r>
          </w:p>
          <w:p w14:paraId="7CAC1744" w14:textId="77777777" w:rsidR="0099483E" w:rsidRDefault="0099483E" w:rsidP="00925CAD">
            <w:pPr>
              <w:pStyle w:val="TableText"/>
              <w:numPr>
                <w:ilvl w:val="0"/>
                <w:numId w:val="67"/>
              </w:numPr>
              <w:ind w:left="1440"/>
              <w:rPr>
                <w:rFonts w:cs="Arial"/>
                <w:szCs w:val="18"/>
              </w:rPr>
            </w:pPr>
            <w:r>
              <w:rPr>
                <w:rFonts w:cs="Arial"/>
                <w:szCs w:val="18"/>
              </w:rPr>
              <w:t>SC Negative indicator</w:t>
            </w:r>
          </w:p>
          <w:p w14:paraId="71059365" w14:textId="77777777" w:rsidR="0099483E" w:rsidRDefault="0099483E" w:rsidP="00925CAD">
            <w:pPr>
              <w:pStyle w:val="TableText"/>
              <w:numPr>
                <w:ilvl w:val="0"/>
                <w:numId w:val="67"/>
              </w:numPr>
              <w:ind w:left="1440"/>
              <w:rPr>
                <w:rFonts w:cs="Arial"/>
                <w:szCs w:val="18"/>
              </w:rPr>
            </w:pPr>
            <w:r>
              <w:rPr>
                <w:rFonts w:cs="Arial"/>
                <w:szCs w:val="18"/>
              </w:rPr>
              <w:t>Biohazardous indicator</w:t>
            </w:r>
          </w:p>
          <w:p w14:paraId="7DF48818" w14:textId="77777777" w:rsidR="0099483E" w:rsidRDefault="0099483E" w:rsidP="00C233B7">
            <w:pPr>
              <w:pStyle w:val="NotesText"/>
              <w:ind w:left="1440"/>
            </w:pPr>
            <w:r>
              <w:rPr>
                <w:rFonts w:cs="Arial"/>
                <w:szCs w:val="18"/>
              </w:rPr>
              <w:t>Required crossmatch if =</w:t>
            </w:r>
            <w:r w:rsidR="00C233B7">
              <w:rPr>
                <w:rFonts w:cs="Arial"/>
                <w:szCs w:val="18"/>
              </w:rPr>
              <w:t xml:space="preserve"> </w:t>
            </w:r>
            <w:r>
              <w:rPr>
                <w:rFonts w:cs="Arial"/>
                <w:szCs w:val="18"/>
              </w:rPr>
              <w:t>&gt; 2</w:t>
            </w:r>
            <w:r w:rsidR="00452A6C">
              <w:rPr>
                <w:rFonts w:cs="Arial"/>
                <w:szCs w:val="18"/>
              </w:rPr>
              <w:t xml:space="preserve"> </w:t>
            </w:r>
            <w:r w:rsidR="00C233B7">
              <w:rPr>
                <w:rFonts w:cs="Arial"/>
                <w:szCs w:val="18"/>
              </w:rPr>
              <w:t>mL</w:t>
            </w:r>
            <w:r>
              <w:rPr>
                <w:rFonts w:cs="Arial"/>
                <w:szCs w:val="18"/>
              </w:rPr>
              <w:t xml:space="preserve"> contamination changes</w:t>
            </w:r>
          </w:p>
        </w:tc>
      </w:tr>
      <w:tr w:rsidR="002A21AE" w14:paraId="1F6F5A8C" w14:textId="77777777">
        <w:tc>
          <w:tcPr>
            <w:tcW w:w="3240" w:type="dxa"/>
            <w:tcBorders>
              <w:top w:val="single" w:sz="4" w:space="0" w:color="auto"/>
              <w:left w:val="single" w:sz="4" w:space="0" w:color="auto"/>
              <w:bottom w:val="single" w:sz="4" w:space="0" w:color="auto"/>
              <w:right w:val="single" w:sz="4" w:space="0" w:color="auto"/>
            </w:tcBorders>
          </w:tcPr>
          <w:p w14:paraId="48E6D53E" w14:textId="532B154E" w:rsidR="002A21AE" w:rsidRDefault="002A21AE">
            <w:pPr>
              <w:pStyle w:val="TableTextNumbers"/>
            </w:pPr>
            <w:r>
              <w:t>Confirm to add the selected units to or remove them from the pool</w:t>
            </w:r>
            <w:r w:rsidR="007A0867">
              <w:t xml:space="preserve"> (</w:t>
            </w:r>
            <w:r w:rsidR="00EE455E">
              <w:t xml:space="preserve">Figure </w:t>
            </w:r>
            <w:r w:rsidR="00EE455E">
              <w:rPr>
                <w:noProof/>
              </w:rPr>
              <w:t>63</w:t>
            </w:r>
            <w:r w:rsidR="007A0867">
              <w:t>)</w:t>
            </w:r>
            <w:r>
              <w:t>.</w:t>
            </w:r>
          </w:p>
        </w:tc>
        <w:tc>
          <w:tcPr>
            <w:tcW w:w="6108" w:type="dxa"/>
            <w:tcBorders>
              <w:top w:val="single" w:sz="4" w:space="0" w:color="auto"/>
              <w:left w:val="single" w:sz="4" w:space="0" w:color="auto"/>
              <w:bottom w:val="single" w:sz="4" w:space="0" w:color="auto"/>
              <w:right w:val="single" w:sz="4" w:space="0" w:color="auto"/>
            </w:tcBorders>
          </w:tcPr>
          <w:p w14:paraId="5A8F99F7" w14:textId="77777777" w:rsidR="002A21AE" w:rsidRDefault="002A21AE">
            <w:pPr>
              <w:pStyle w:val="TableTextBullet"/>
              <w:tabs>
                <w:tab w:val="num" w:pos="360"/>
              </w:tabs>
            </w:pPr>
            <w:r>
              <w:t xml:space="preserve">Displays the updated pooled unit data. </w:t>
            </w:r>
          </w:p>
          <w:p w14:paraId="52128EE4" w14:textId="77777777" w:rsidR="002A21AE" w:rsidRDefault="002A21AE">
            <w:pPr>
              <w:pStyle w:val="TableTextBullet"/>
              <w:tabs>
                <w:tab w:val="num" w:pos="360"/>
              </w:tabs>
            </w:pPr>
            <w:r>
              <w:t xml:space="preserve">Requires the user to confirm to continue. </w:t>
            </w:r>
          </w:p>
          <w:p w14:paraId="2D00ABD4" w14:textId="77777777" w:rsidR="002A21AE" w:rsidRDefault="002A21AE">
            <w:pPr>
              <w:pStyle w:val="TableTextBullet"/>
              <w:tabs>
                <w:tab w:val="num" w:pos="360"/>
              </w:tabs>
            </w:pPr>
            <w:r>
              <w:t xml:space="preserve">Requires a comment. </w:t>
            </w:r>
          </w:p>
          <w:p w14:paraId="0DCCA62E" w14:textId="77777777" w:rsidR="002A21AE" w:rsidRDefault="002A21AE">
            <w:pPr>
              <w:pStyle w:val="TableText"/>
            </w:pPr>
          </w:p>
          <w:p w14:paraId="7F0FF518" w14:textId="39127564" w:rsidR="002A21AE" w:rsidRDefault="002A21AE">
            <w:pPr>
              <w:pStyle w:val="TableText"/>
              <w:rPr>
                <w:b/>
                <w:bCs/>
              </w:rPr>
            </w:pPr>
            <w:r>
              <w:rPr>
                <w:b/>
                <w:bCs/>
              </w:rPr>
              <w:t>NOTES</w:t>
            </w:r>
          </w:p>
          <w:p w14:paraId="223A9760" w14:textId="77777777" w:rsidR="002A21AE" w:rsidRDefault="002A21AE">
            <w:pPr>
              <w:pStyle w:val="NotesText"/>
            </w:pPr>
          </w:p>
          <w:p w14:paraId="3CCE08E1" w14:textId="77777777" w:rsidR="00552811" w:rsidRDefault="002A21AE" w:rsidP="00552811">
            <w:pPr>
              <w:pStyle w:val="NotesText"/>
              <w:rPr>
                <w:rFonts w:cs="Arial"/>
              </w:rPr>
            </w:pPr>
            <w:r w:rsidRPr="00552811">
              <w:rPr>
                <w:rFonts w:cs="Arial"/>
                <w:vanish/>
              </w:rPr>
              <w:t xml:space="preserve">BR_24.15 </w:t>
            </w:r>
            <w:r w:rsidRPr="00552811">
              <w:rPr>
                <w:rFonts w:cs="Arial"/>
              </w:rPr>
              <w:t xml:space="preserve">All units in a pool must be of the same </w:t>
            </w:r>
            <w:r w:rsidR="00552811" w:rsidRPr="00552811">
              <w:rPr>
                <w:rFonts w:cs="Arial"/>
              </w:rPr>
              <w:t>restriction</w:t>
            </w:r>
            <w:r w:rsidRPr="00552811">
              <w:rPr>
                <w:rFonts w:cs="Arial"/>
              </w:rPr>
              <w:t xml:space="preserve"> type (allogeneic, autologous, directed). </w:t>
            </w:r>
            <w:r w:rsidR="00552811" w:rsidRPr="00552811">
              <w:rPr>
                <w:rFonts w:cs="Arial"/>
              </w:rPr>
              <w:t>The specific donation type within the restriction type of the first unit selected for the pool is assigned to the target.</w:t>
            </w:r>
          </w:p>
          <w:p w14:paraId="473772C2" w14:textId="77777777" w:rsidR="00C45B80" w:rsidRPr="00552811" w:rsidRDefault="00C45B80" w:rsidP="00552811">
            <w:pPr>
              <w:pStyle w:val="NotesText"/>
              <w:rPr>
                <w:rFonts w:cs="Arial"/>
                <w:vanish/>
              </w:rPr>
            </w:pPr>
          </w:p>
          <w:p w14:paraId="353A6035" w14:textId="77777777" w:rsidR="002A21AE" w:rsidRDefault="002A21AE">
            <w:pPr>
              <w:pStyle w:val="NotesText"/>
            </w:pPr>
          </w:p>
          <w:p w14:paraId="1B89A207" w14:textId="77777777" w:rsidR="002A21AE" w:rsidRDefault="002A21AE">
            <w:pPr>
              <w:pStyle w:val="NotesText"/>
            </w:pPr>
            <w:r>
              <w:rPr>
                <w:rFonts w:cs="Arial"/>
                <w:vanish/>
              </w:rPr>
              <w:t xml:space="preserve">BR_24.24 </w:t>
            </w:r>
            <w:r>
              <w:t xml:space="preserve">For each individual unit removed from a pool, </w:t>
            </w:r>
            <w:r w:rsidR="00E93AC0">
              <w:t>the status is available</w:t>
            </w:r>
            <w:r>
              <w:t>.</w:t>
            </w:r>
          </w:p>
          <w:p w14:paraId="0A19B90B" w14:textId="77777777" w:rsidR="002A21AE" w:rsidRDefault="002A21AE">
            <w:pPr>
              <w:pStyle w:val="NotesText"/>
            </w:pPr>
          </w:p>
          <w:p w14:paraId="17DC8DF3" w14:textId="77777777" w:rsidR="002A21AE" w:rsidRDefault="002A21AE">
            <w:pPr>
              <w:pStyle w:val="NotesText"/>
            </w:pPr>
            <w:r>
              <w:t>When the unit</w:t>
            </w:r>
            <w:r w:rsidR="00FA7E65">
              <w:t>’</w:t>
            </w:r>
            <w:r>
              <w:t>s original expiration date and time is in the future, VBECS assigns units removed from the pool a status of “available.” When the unit</w:t>
            </w:r>
            <w:r w:rsidR="00FA7E65">
              <w:t>’</w:t>
            </w:r>
            <w:r>
              <w:t>s original expiration date and time is in the past, VBECS assigns units removed from the pool a status of “</w:t>
            </w:r>
            <w:r w:rsidR="0061366C">
              <w:t>available</w:t>
            </w:r>
            <w:r>
              <w:t>.”</w:t>
            </w:r>
          </w:p>
          <w:p w14:paraId="033E6A8A" w14:textId="77777777" w:rsidR="002A21AE" w:rsidRDefault="002A21AE">
            <w:pPr>
              <w:pStyle w:val="NotesText"/>
            </w:pPr>
          </w:p>
          <w:p w14:paraId="0C89D9A6" w14:textId="77777777" w:rsidR="002A21AE" w:rsidRDefault="002A21AE">
            <w:pPr>
              <w:pStyle w:val="NotesText"/>
            </w:pPr>
            <w:r w:rsidRPr="001051D0">
              <w:rPr>
                <w:rFonts w:cs="Arial"/>
                <w:vanish/>
                <w:color w:val="0000FF"/>
              </w:rPr>
              <w:t>BR_24.25</w:t>
            </w:r>
            <w:r>
              <w:rPr>
                <w:rFonts w:cs="Arial"/>
                <w:vanish/>
              </w:rPr>
              <w:t xml:space="preserve"> </w:t>
            </w:r>
            <w:r w:rsidR="00263B24" w:rsidRPr="00896F17">
              <w:rPr>
                <w:rStyle w:val="BullhornChar"/>
              </w:rPr>
              <w:t></w:t>
            </w:r>
            <w:r w:rsidR="00263B24">
              <w:rPr>
                <w:rFonts w:ascii="Webdings" w:hAnsi="Webdings"/>
              </w:rPr>
              <w:t></w:t>
            </w:r>
            <w:r w:rsidR="00263B24">
              <w:t>W</w:t>
            </w:r>
            <w:r>
              <w:t xml:space="preserve">hen </w:t>
            </w:r>
            <w:r w:rsidR="008553F6">
              <w:t xml:space="preserve">the user adds a unit to a pool and </w:t>
            </w:r>
            <w:r>
              <w:t xml:space="preserve">the </w:t>
            </w:r>
            <w:r w:rsidR="00991A9A">
              <w:t>unit expires before</w:t>
            </w:r>
            <w:r>
              <w:t xml:space="preserve"> the pool</w:t>
            </w:r>
            <w:r w:rsidR="00991A9A">
              <w:t xml:space="preserve"> expires</w:t>
            </w:r>
            <w:r>
              <w:t xml:space="preserve">, VBECS emits an audible alert, warns the user, and asks the user to continue or cancel. </w:t>
            </w:r>
            <w:r w:rsidR="00C26BE6">
              <w:rPr>
                <w:b/>
                <w:bCs/>
              </w:rPr>
              <w:t xml:space="preserve">Override </w:t>
            </w:r>
            <w:r>
              <w:t xml:space="preserve">requires a comment and VBECS captures details for inclusion in an Exception Report (exception type: expired unit modified). </w:t>
            </w:r>
            <w:r>
              <w:rPr>
                <w:b/>
                <w:bCs/>
              </w:rPr>
              <w:t>Cancel</w:t>
            </w:r>
            <w:r>
              <w:t xml:space="preserve"> clears the selected unit data and allows the user to select another unit to modify.</w:t>
            </w:r>
          </w:p>
        </w:tc>
      </w:tr>
      <w:tr w:rsidR="002A21AE" w14:paraId="78138C29" w14:textId="77777777">
        <w:tc>
          <w:tcPr>
            <w:tcW w:w="3240" w:type="dxa"/>
            <w:tcBorders>
              <w:top w:val="single" w:sz="4" w:space="0" w:color="auto"/>
              <w:left w:val="single" w:sz="4" w:space="0" w:color="auto"/>
              <w:bottom w:val="single" w:sz="4" w:space="0" w:color="auto"/>
              <w:right w:val="single" w:sz="4" w:space="0" w:color="auto"/>
            </w:tcBorders>
          </w:tcPr>
          <w:p w14:paraId="0DF181E6" w14:textId="77777777" w:rsidR="002A21AE" w:rsidRDefault="002A21AE">
            <w:pPr>
              <w:pStyle w:val="TableTextNumbers"/>
            </w:pPr>
            <w:r>
              <w:t>Review the entered data and save the updated pool record.</w:t>
            </w:r>
          </w:p>
        </w:tc>
        <w:tc>
          <w:tcPr>
            <w:tcW w:w="6108" w:type="dxa"/>
            <w:tcBorders>
              <w:top w:val="single" w:sz="4" w:space="0" w:color="auto"/>
              <w:left w:val="single" w:sz="4" w:space="0" w:color="auto"/>
              <w:bottom w:val="single" w:sz="4" w:space="0" w:color="auto"/>
              <w:right w:val="single" w:sz="4" w:space="0" w:color="auto"/>
            </w:tcBorders>
          </w:tcPr>
          <w:p w14:paraId="0510FF01" w14:textId="77777777" w:rsidR="002A21AE" w:rsidRDefault="002A21AE" w:rsidP="000C5C2A">
            <w:pPr>
              <w:pStyle w:val="TableTextBullet"/>
            </w:pPr>
            <w:r>
              <w:t xml:space="preserve">Saves the modified pooled unit. Updates the status of each added unit to “modified.” Updates the status of each removed unit. </w:t>
            </w:r>
            <w:r w:rsidR="000C5C2A">
              <w:t>Records the unit ID of the target unit on the record of the original unit.</w:t>
            </w:r>
            <w:r>
              <w:t xml:space="preserve"> </w:t>
            </w:r>
          </w:p>
        </w:tc>
      </w:tr>
      <w:tr w:rsidR="002A21AE" w14:paraId="43C60512" w14:textId="77777777">
        <w:tc>
          <w:tcPr>
            <w:tcW w:w="3240" w:type="dxa"/>
            <w:tcBorders>
              <w:top w:val="single" w:sz="4" w:space="0" w:color="auto"/>
              <w:left w:val="single" w:sz="4" w:space="0" w:color="auto"/>
              <w:bottom w:val="single" w:sz="4" w:space="0" w:color="auto"/>
              <w:right w:val="single" w:sz="4" w:space="0" w:color="auto"/>
            </w:tcBorders>
          </w:tcPr>
          <w:p w14:paraId="20F4EB55" w14:textId="00853C83" w:rsidR="002A21AE" w:rsidRDefault="002A21AE">
            <w:pPr>
              <w:pStyle w:val="TableTextNumbers"/>
            </w:pPr>
            <w:r>
              <w:t>Repeat Steps 1</w:t>
            </w:r>
            <w:r w:rsidR="004F5589">
              <w:t xml:space="preserve"> through </w:t>
            </w:r>
            <w:r>
              <w:t xml:space="preserve">6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08" w:type="dxa"/>
            <w:tcBorders>
              <w:top w:val="single" w:sz="4" w:space="0" w:color="auto"/>
              <w:left w:val="single" w:sz="4" w:space="0" w:color="auto"/>
              <w:bottom w:val="single" w:sz="4" w:space="0" w:color="auto"/>
              <w:right w:val="single" w:sz="4" w:space="0" w:color="auto"/>
            </w:tcBorders>
          </w:tcPr>
          <w:p w14:paraId="6EF4E36F" w14:textId="77777777" w:rsidR="002A21AE" w:rsidRDefault="004547D5">
            <w:pPr>
              <w:pStyle w:val="TableTextBullet"/>
              <w:tabs>
                <w:tab w:val="num" w:pos="360"/>
              </w:tabs>
              <w:rPr>
                <w:color w:val="000000"/>
                <w:szCs w:val="20"/>
              </w:rPr>
            </w:pPr>
            <w:r>
              <w:rPr>
                <w:color w:val="000000"/>
                <w:szCs w:val="20"/>
              </w:rPr>
              <w:t>Allows the user</w:t>
            </w:r>
            <w:r w:rsidR="002A21AE">
              <w:rPr>
                <w:color w:val="000000"/>
                <w:szCs w:val="20"/>
              </w:rPr>
              <w:t xml:space="preserve"> to modify</w:t>
            </w:r>
            <w:r>
              <w:rPr>
                <w:color w:val="000000"/>
                <w:szCs w:val="20"/>
              </w:rPr>
              <w:t xml:space="preserve"> another unit</w:t>
            </w:r>
            <w:r w:rsidR="002A21AE">
              <w:rPr>
                <w:color w:val="000000"/>
                <w:szCs w:val="20"/>
              </w:rPr>
              <w:t>.</w:t>
            </w:r>
          </w:p>
        </w:tc>
      </w:tr>
    </w:tbl>
    <w:p w14:paraId="1EBD652C" w14:textId="77777777" w:rsidR="002A21AE" w:rsidRDefault="002A21AE">
      <w:pPr>
        <w:pStyle w:val="BodyText"/>
      </w:pPr>
    </w:p>
    <w:p w14:paraId="62DF1675" w14:textId="06D6E2AB" w:rsidR="007A0867" w:rsidRDefault="007A0867" w:rsidP="007A0867">
      <w:pPr>
        <w:pStyle w:val="Caption"/>
      </w:pPr>
      <w:bookmarkStart w:id="333" w:name="_Ref12665155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64</w:t>
      </w:r>
      <w:r w:rsidR="004E20BD">
        <w:rPr>
          <w:noProof/>
        </w:rPr>
        <w:fldChar w:fldCharType="end"/>
      </w:r>
      <w:bookmarkEnd w:id="333"/>
      <w:r>
        <w:t>: Add/Remove Units from Pool</w:t>
      </w:r>
    </w:p>
    <w:p w14:paraId="236D7FAA" w14:textId="11C18AB4" w:rsidR="002A21AE" w:rsidRDefault="00F927FC" w:rsidP="007A0867">
      <w:pPr>
        <w:pStyle w:val="BodyText"/>
      </w:pPr>
      <w:r>
        <w:rPr>
          <w:noProof/>
        </w:rPr>
        <w:drawing>
          <wp:inline distT="0" distB="0" distL="0" distR="0" wp14:anchorId="3D5B7503" wp14:editId="5839E02A">
            <wp:extent cx="5943600" cy="4768215"/>
            <wp:effectExtent l="0" t="0" r="0" b="0"/>
            <wp:docPr id="176" name="Picture 176" descr="Example of Add/Remove Units from Pool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Example of Add/Remove Units from Pool screen capt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4768215"/>
                    </a:xfrm>
                    <a:prstGeom prst="rect">
                      <a:avLst/>
                    </a:prstGeom>
                    <a:noFill/>
                    <a:ln>
                      <a:noFill/>
                    </a:ln>
                  </pic:spPr>
                </pic:pic>
              </a:graphicData>
            </a:graphic>
          </wp:inline>
        </w:drawing>
      </w:r>
    </w:p>
    <w:p w14:paraId="3AC76B95" w14:textId="77777777" w:rsidR="002A21AE" w:rsidRDefault="009F1B54">
      <w:pPr>
        <w:pStyle w:val="Heading2"/>
      </w:pPr>
      <w:r>
        <w:br w:type="page"/>
      </w:r>
      <w:bookmarkStart w:id="334" w:name="_Toc163644919"/>
      <w:r w:rsidR="002A21AE">
        <w:lastRenderedPageBreak/>
        <w:t>Maintain Unit Records</w:t>
      </w:r>
      <w:bookmarkEnd w:id="301"/>
      <w:bookmarkEnd w:id="334"/>
      <w:r w:rsidR="002A21AE">
        <w:fldChar w:fldCharType="begin"/>
      </w:r>
      <w:r w:rsidR="002A21AE">
        <w:instrText xml:space="preserve"> XE </w:instrText>
      </w:r>
      <w:r w:rsidR="00FA7E65">
        <w:instrText>“</w:instrText>
      </w:r>
      <w:r w:rsidR="002A21AE">
        <w:instrText>Maintain Unit Records</w:instrText>
      </w:r>
      <w:r w:rsidR="00FA7E65">
        <w:instrText>”</w:instrText>
      </w:r>
      <w:r w:rsidR="002A21AE">
        <w:instrText xml:space="preserve"> </w:instrText>
      </w:r>
      <w:r w:rsidR="002A21AE">
        <w:fldChar w:fldCharType="end"/>
      </w:r>
    </w:p>
    <w:p w14:paraId="0F771045" w14:textId="77777777" w:rsidR="002A21AE" w:rsidRDefault="002A21AE">
      <w:pPr>
        <w:pStyle w:val="Heading3"/>
        <w:jc w:val="both"/>
      </w:pPr>
      <w:bookmarkStart w:id="335" w:name="_Toc163644920"/>
      <w:r>
        <w:t>Edit Unit Information</w:t>
      </w:r>
      <w:bookmarkEnd w:id="335"/>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Unit Information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UC_70</w:t>
      </w:r>
    </w:p>
    <w:p w14:paraId="65B7D213" w14:textId="77777777" w:rsidR="002A21AE" w:rsidRDefault="002A21AE" w:rsidP="00FA7E65">
      <w:pPr>
        <w:pStyle w:val="BodyText"/>
      </w:pPr>
      <w:r>
        <w:t>The user may inactivate unit tests, correct a data entry error from login, and add information about the unit that was not recorded during login.</w:t>
      </w:r>
    </w:p>
    <w:p w14:paraId="580306C8" w14:textId="77777777" w:rsidR="002A21AE" w:rsidRDefault="002A21AE">
      <w:pPr>
        <w:pStyle w:val="Heading4"/>
      </w:pPr>
      <w:r>
        <w:t xml:space="preserve">Assumptions </w:t>
      </w:r>
    </w:p>
    <w:p w14:paraId="0728055F" w14:textId="77777777" w:rsidR="002A21AE" w:rsidRDefault="002A21AE">
      <w:pPr>
        <w:pStyle w:val="ListBullet"/>
      </w:pPr>
      <w:r>
        <w:t>The user is logged into the division that contains the unit record.</w:t>
      </w:r>
    </w:p>
    <w:p w14:paraId="2562B168" w14:textId="77777777" w:rsidR="002A21AE" w:rsidRDefault="002A21AE">
      <w:pPr>
        <w:pStyle w:val="ListBullet"/>
      </w:pPr>
      <w:r>
        <w:t xml:space="preserve">The connection to </w:t>
      </w:r>
      <w:r w:rsidR="00CA0045" w:rsidRPr="00CA0045">
        <w:rPr>
          <w:bCs/>
        </w:rPr>
        <w:t>VistA</w:t>
      </w:r>
      <w:r>
        <w:t xml:space="preserve"> is active.</w:t>
      </w:r>
    </w:p>
    <w:p w14:paraId="563C967B" w14:textId="77777777" w:rsidR="002A21AE" w:rsidRDefault="002A21AE">
      <w:pPr>
        <w:pStyle w:val="Heading4"/>
      </w:pPr>
      <w:r>
        <w:t xml:space="preserve">Outcome </w:t>
      </w:r>
    </w:p>
    <w:p w14:paraId="6D65D342" w14:textId="77777777" w:rsidR="002A21AE" w:rsidRDefault="002A21AE">
      <w:pPr>
        <w:pStyle w:val="ListBullet"/>
      </w:pPr>
      <w:r>
        <w:t>The unit’s new or changed information was saved with its record.</w:t>
      </w:r>
    </w:p>
    <w:p w14:paraId="76667E5D" w14:textId="77777777" w:rsidR="002A21AE" w:rsidRDefault="002A21AE">
      <w:pPr>
        <w:pStyle w:val="Heading4"/>
      </w:pPr>
      <w:r>
        <w:t>Limitations and Restrictions</w:t>
      </w:r>
    </w:p>
    <w:p w14:paraId="550AAB7F" w14:textId="77777777" w:rsidR="009129BC" w:rsidRDefault="009129BC">
      <w:pPr>
        <w:pStyle w:val="ListBullet"/>
      </w:pPr>
      <w:r>
        <w:t>VBECS does not limit the discarded plasma</w:t>
      </w:r>
      <w:r w:rsidR="0031442B">
        <w:t xml:space="preserve"> volume.</w:t>
      </w:r>
    </w:p>
    <w:p w14:paraId="15620EC4" w14:textId="77777777" w:rsidR="002A21AE" w:rsidRDefault="006F51AC" w:rsidP="006F51AC">
      <w:pPr>
        <w:pStyle w:val="ListBullet"/>
      </w:pPr>
      <w:r>
        <w:rPr>
          <w:rFonts w:eastAsia="Arial Unicode MS"/>
        </w:rPr>
        <w:t>If errors are found in the unit</w:t>
      </w:r>
      <w:r w:rsidR="00D20331">
        <w:rPr>
          <w:rFonts w:eastAsia="Arial Unicode MS"/>
        </w:rPr>
        <w:t>’s</w:t>
      </w:r>
      <w:r>
        <w:rPr>
          <w:rFonts w:eastAsia="Arial Unicode MS"/>
        </w:rPr>
        <w:t xml:space="preserve"> product code</w:t>
      </w:r>
      <w:r w:rsidR="002A21AE">
        <w:t xml:space="preserve">, division </w:t>
      </w:r>
      <w:r>
        <w:t xml:space="preserve">or </w:t>
      </w:r>
      <w:r w:rsidR="002A21AE">
        <w:t xml:space="preserve">blood type at login, </w:t>
      </w:r>
      <w:r>
        <w:rPr>
          <w:rFonts w:eastAsia="Arial Unicode MS"/>
        </w:rPr>
        <w:t>supplier, or donation type, the user must inactivate the unit and reenter it correctly</w:t>
      </w:r>
      <w:r w:rsidR="002A21AE">
        <w:t>.</w:t>
      </w:r>
    </w:p>
    <w:p w14:paraId="6DDD30B2" w14:textId="3F386350" w:rsidR="002A21AE" w:rsidRDefault="00DD3B4E">
      <w:pPr>
        <w:pStyle w:val="ListBullet"/>
      </w:pPr>
      <w:r>
        <w:t xml:space="preserve">When </w:t>
      </w:r>
      <w:r w:rsidR="000F05B1">
        <w:t xml:space="preserve">a </w:t>
      </w:r>
      <w:r w:rsidR="002A21AE">
        <w:t xml:space="preserve">unit does not have a patient association, editable fields are available to an </w:t>
      </w:r>
      <w:r w:rsidR="008C4A72" w:rsidRPr="00EC7489">
        <w:rPr>
          <w:rFonts w:ascii="Wingdings 3" w:hAnsi="Wingdings 3" w:cs="Wingdings"/>
        </w:rPr>
        <w:t></w:t>
      </w:r>
      <w:r w:rsidR="008C4A72" w:rsidRPr="00EC7489">
        <w:rPr>
          <w:rFonts w:ascii="Wingdings 3" w:hAnsi="Wingdings 3" w:cs="Wingdings"/>
        </w:rPr>
        <w:t></w:t>
      </w:r>
      <w:r w:rsidR="008C4A72" w:rsidRPr="00AA7C58">
        <w:t xml:space="preserve"> </w:t>
      </w:r>
      <w:r w:rsidR="002A21AE">
        <w:t>Enhanced Technologist.</w:t>
      </w:r>
    </w:p>
    <w:p w14:paraId="59A1FF0B" w14:textId="77777777" w:rsidR="00FE4FDB" w:rsidRDefault="00C45B80">
      <w:pPr>
        <w:pStyle w:val="ListBullet"/>
      </w:pPr>
      <w:r>
        <w:t>Only units in a Limited or A</w:t>
      </w:r>
      <w:r w:rsidR="00FE4FDB">
        <w:t>vailable status may be edited.</w:t>
      </w:r>
    </w:p>
    <w:p w14:paraId="36C235DE" w14:textId="14540487" w:rsidR="00FE4FDB" w:rsidRDefault="00FE4FDB">
      <w:pPr>
        <w:pStyle w:val="ListBullet"/>
      </w:pPr>
      <w:r>
        <w:t>Inactivation of the unit record is required when the user needs to change the unit’s information recorded at login: unit identifica</w:t>
      </w:r>
      <w:r w:rsidR="00C45B80">
        <w:t>tion number, blood type</w:t>
      </w:r>
      <w:r>
        <w:t>, product code, unit expiration date, unit don</w:t>
      </w:r>
      <w:r w:rsidR="00C45B80">
        <w:t>ation type, VA division</w:t>
      </w:r>
      <w:r>
        <w:t xml:space="preserve"> or supplier.</w:t>
      </w:r>
    </w:p>
    <w:p w14:paraId="763E7087" w14:textId="79CEE0D7" w:rsidR="009B0984" w:rsidRDefault="009B0984" w:rsidP="009B0984">
      <w:pPr>
        <w:pStyle w:val="ListBullet"/>
      </w:pPr>
      <w:r w:rsidRPr="004E2550">
        <w:t>VBECS supports the scanning of ISBT 128 special testing information barcodes by detecting the appropriate hidden identifiers.</w:t>
      </w:r>
      <w:r>
        <w:t xml:space="preserve"> </w:t>
      </w:r>
      <w:r w:rsidRPr="0030088C">
        <w:rPr>
          <w:rFonts w:cs="Arial"/>
        </w:rPr>
        <w:t xml:space="preserve">Once the hidden identifier is removed, the </w:t>
      </w:r>
      <w:r>
        <w:rPr>
          <w:rFonts w:cs="Arial"/>
        </w:rPr>
        <w:t>special testing code is a varying length of digits, depending on the type of special testing barcode scanned.</w:t>
      </w:r>
    </w:p>
    <w:p w14:paraId="53995C90" w14:textId="77777777" w:rsidR="002A21AE" w:rsidRDefault="002A21AE">
      <w:pPr>
        <w:pStyle w:val="Heading4"/>
      </w:pPr>
      <w:r>
        <w:t>Additional Information</w:t>
      </w:r>
      <w:r>
        <w:rPr>
          <w:rFonts w:ascii="Times New Roman" w:hAnsi="Times New Roman"/>
          <w:i/>
          <w:sz w:val="24"/>
        </w:rPr>
        <w:t xml:space="preserve"> </w:t>
      </w:r>
    </w:p>
    <w:p w14:paraId="3D80F520" w14:textId="67FDFB83" w:rsidR="002A21AE" w:rsidRDefault="00C45B80">
      <w:pPr>
        <w:pStyle w:val="ListBullet"/>
      </w:pPr>
      <w:r>
        <w:t>Units must be in “Limited” or “A</w:t>
      </w:r>
      <w:r w:rsidR="002A21AE">
        <w:t>vailable” status to have information inactivated regardless of historic patient associations.</w:t>
      </w:r>
    </w:p>
    <w:p w14:paraId="1748AD49" w14:textId="77777777" w:rsidR="002A21AE" w:rsidRDefault="002A21AE">
      <w:pPr>
        <w:pStyle w:val="ListBullet"/>
      </w:pPr>
      <w:r>
        <w:t>Crossmatches are considered a patient test and are inactivated in Invalidate Test Results.</w:t>
      </w:r>
    </w:p>
    <w:p w14:paraId="5A2C8922" w14:textId="77777777" w:rsidR="002A21AE" w:rsidRDefault="002A21AE">
      <w:pPr>
        <w:pStyle w:val="Heading4"/>
        <w:rPr>
          <w:b w:val="0"/>
        </w:rPr>
      </w:pPr>
      <w:r>
        <w:t>User Roles with Access to This Option</w:t>
      </w:r>
      <w:r>
        <w:rPr>
          <w:b w:val="0"/>
        </w:rPr>
        <w:t xml:space="preserve"> </w:t>
      </w:r>
    </w:p>
    <w:p w14:paraId="7995BF5B" w14:textId="77777777" w:rsidR="00DF36B1" w:rsidRDefault="00DF36B1" w:rsidP="00DF36B1">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r w:rsidR="002329E3">
        <w:t xml:space="preserve"> </w:t>
      </w:r>
      <w:r w:rsidR="002329E3" w:rsidRPr="002329E3">
        <w:rPr>
          <w:vanish/>
        </w:rPr>
        <w:t>DR 3,012</w:t>
      </w:r>
    </w:p>
    <w:p w14:paraId="00DAF661" w14:textId="77777777" w:rsidR="002A21AE" w:rsidRDefault="002A21AE">
      <w:pPr>
        <w:pStyle w:val="Heading4"/>
      </w:pPr>
      <w:r>
        <w:t>Edit Unit Information</w:t>
      </w:r>
    </w:p>
    <w:p w14:paraId="6B2AA580" w14:textId="49B3081A" w:rsidR="002A21AE" w:rsidRDefault="002A21AE" w:rsidP="00FA7E65">
      <w:pPr>
        <w:pStyle w:val="BodyText"/>
      </w:pPr>
      <w:r>
        <w:t xml:space="preserve">The user records additional unit information normally recorded during incoming shipment (login), i.e., CMV negative, sickle cell negative, </w:t>
      </w:r>
      <w:r w:rsidR="00B65FD0">
        <w:t xml:space="preserve">RBC Contamination of =&gt; 2 mL setting, </w:t>
      </w:r>
      <w:r>
        <w:t>antigen typing provided by the supplier</w:t>
      </w:r>
      <w:r w:rsidR="00B65FD0">
        <w:t>, and blood unit comment</w:t>
      </w:r>
      <w:r>
        <w:t>.</w:t>
      </w:r>
    </w:p>
    <w:p w14:paraId="5E1C1D87" w14:textId="77777777" w:rsidR="00DA53D3" w:rsidRPr="00DA53D3" w:rsidRDefault="00DA53D3" w:rsidP="00A87DA2">
      <w:pPr>
        <w:pStyle w:val="Caution"/>
      </w:pPr>
      <w:r>
        <w:t xml:space="preserve">To inactivate a unit, </w:t>
      </w:r>
      <w:r w:rsidR="00A87DA2">
        <w:t xml:space="preserve">remove the final status, return the unit from issue, and </w:t>
      </w:r>
      <w:r>
        <w:t>r</w:t>
      </w:r>
      <w:r w:rsidRPr="00DA53D3">
        <w:t xml:space="preserve">elease </w:t>
      </w:r>
      <w:r>
        <w:t>i</w:t>
      </w:r>
      <w:r w:rsidRPr="00DA53D3">
        <w:t xml:space="preserve">t from </w:t>
      </w:r>
      <w:r w:rsidR="00A87DA2">
        <w:t>previous assignment</w:t>
      </w:r>
      <w:r w:rsidRPr="00DA53D3">
        <w:t>.</w:t>
      </w:r>
      <w:r w:rsidR="00A87DA2">
        <w:t xml:space="preserve"> No changes may be made to units in a final status.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D91178D" w14:textId="77777777">
        <w:trPr>
          <w:tblHeader/>
        </w:trPr>
        <w:tc>
          <w:tcPr>
            <w:tcW w:w="3240" w:type="dxa"/>
            <w:shd w:val="pct30" w:color="auto" w:fill="FFFFFF"/>
            <w:vAlign w:val="bottom"/>
          </w:tcPr>
          <w:p w14:paraId="77A5BD59" w14:textId="77777777" w:rsidR="002A21AE" w:rsidRDefault="002A21AE">
            <w:pPr>
              <w:pStyle w:val="TableText"/>
              <w:rPr>
                <w:b/>
              </w:rPr>
            </w:pPr>
            <w:r>
              <w:rPr>
                <w:b/>
              </w:rPr>
              <w:lastRenderedPageBreak/>
              <w:t>User Action</w:t>
            </w:r>
          </w:p>
        </w:tc>
        <w:tc>
          <w:tcPr>
            <w:tcW w:w="6120" w:type="dxa"/>
            <w:shd w:val="pct30" w:color="auto" w:fill="FFFFFF"/>
            <w:vAlign w:val="bottom"/>
          </w:tcPr>
          <w:p w14:paraId="2C5E0275" w14:textId="77777777" w:rsidR="002A21AE" w:rsidRDefault="002A21AE">
            <w:pPr>
              <w:pStyle w:val="TableText"/>
              <w:rPr>
                <w:b/>
              </w:rPr>
            </w:pPr>
            <w:r>
              <w:rPr>
                <w:b/>
              </w:rPr>
              <w:t>VBECS</w:t>
            </w:r>
          </w:p>
        </w:tc>
      </w:tr>
      <w:tr w:rsidR="002A21AE" w14:paraId="1A8E42F5" w14:textId="77777777" w:rsidTr="006C058D">
        <w:trPr>
          <w:cantSplit/>
        </w:trPr>
        <w:tc>
          <w:tcPr>
            <w:tcW w:w="3240" w:type="dxa"/>
          </w:tcPr>
          <w:p w14:paraId="324135EB" w14:textId="77777777" w:rsidR="002A21AE" w:rsidRDefault="002A21AE">
            <w:pPr>
              <w:pStyle w:val="TableTextNumbers"/>
            </w:pPr>
            <w:r>
              <w:t xml:space="preserve">Select </w:t>
            </w:r>
            <w:r>
              <w:rPr>
                <w:b/>
              </w:rPr>
              <w:t>Blood Units</w:t>
            </w:r>
            <w:r>
              <w:t xml:space="preserve"> from the main menu. </w:t>
            </w:r>
          </w:p>
          <w:p w14:paraId="0ABE4CF8" w14:textId="77777777" w:rsidR="002A21AE" w:rsidRDefault="002A21AE">
            <w:pPr>
              <w:pStyle w:val="TableTextNumbersContinued"/>
            </w:pPr>
          </w:p>
          <w:p w14:paraId="419B7C58" w14:textId="77777777" w:rsidR="002A21AE" w:rsidRDefault="002A21AE">
            <w:pPr>
              <w:pStyle w:val="TableTextNumbersContinued"/>
            </w:pPr>
            <w:r>
              <w:t xml:space="preserve">Select </w:t>
            </w:r>
            <w:r>
              <w:rPr>
                <w:b/>
              </w:rPr>
              <w:t>Edit Unit Information</w:t>
            </w:r>
            <w:r>
              <w:t>.</w:t>
            </w:r>
          </w:p>
        </w:tc>
        <w:tc>
          <w:tcPr>
            <w:tcW w:w="6120" w:type="dxa"/>
          </w:tcPr>
          <w:p w14:paraId="04FE02EE" w14:textId="77777777" w:rsidR="002A21AE" w:rsidRDefault="002A21AE">
            <w:pPr>
              <w:pStyle w:val="TableTextBullet"/>
            </w:pPr>
            <w:r>
              <w:t>Displays options for processing blood units.</w:t>
            </w:r>
          </w:p>
          <w:p w14:paraId="1FC31877" w14:textId="77777777" w:rsidR="002A21AE" w:rsidRDefault="002A21AE">
            <w:pPr>
              <w:pStyle w:val="TableTextBullet"/>
            </w:pPr>
            <w:r>
              <w:t>Displays options for selecting and editing a unit.</w:t>
            </w:r>
          </w:p>
        </w:tc>
      </w:tr>
      <w:tr w:rsidR="002A21AE" w14:paraId="4AD2BF5E" w14:textId="77777777">
        <w:tc>
          <w:tcPr>
            <w:tcW w:w="3240" w:type="dxa"/>
          </w:tcPr>
          <w:p w14:paraId="5EAB6D8B" w14:textId="77777777" w:rsidR="002A21AE" w:rsidRDefault="002A21AE">
            <w:pPr>
              <w:pStyle w:val="TableTextNumbers"/>
            </w:pPr>
            <w:r>
              <w:t>Scan or enter a unit ID and product code. May cancel and select a different unit.</w:t>
            </w:r>
          </w:p>
          <w:p w14:paraId="719664B4" w14:textId="77777777" w:rsidR="00B100F7" w:rsidRDefault="00B100F7" w:rsidP="00B100F7">
            <w:pPr>
              <w:pStyle w:val="TableTextNumbersContinued"/>
            </w:pPr>
          </w:p>
          <w:p w14:paraId="31A24D38" w14:textId="77777777" w:rsidR="00B100F7" w:rsidRDefault="00B100F7" w:rsidP="00B100F7">
            <w:pPr>
              <w:pStyle w:val="TableTextNumbersContinued"/>
            </w:pPr>
            <w:r>
              <w:t xml:space="preserve">When the unit entered is in a final status, click </w:t>
            </w:r>
            <w:r w:rsidRPr="005B5E25">
              <w:rPr>
                <w:b/>
              </w:rPr>
              <w:t>Clear</w:t>
            </w:r>
            <w:r>
              <w:t xml:space="preserve"> to clear the </w:t>
            </w:r>
            <w:r w:rsidR="005B5E25">
              <w:t xml:space="preserve">Unit ID and Product </w:t>
            </w:r>
            <w:r>
              <w:t>field</w:t>
            </w:r>
            <w:r w:rsidR="005B5E25">
              <w:t>s</w:t>
            </w:r>
            <w:r>
              <w:t xml:space="preserve"> and enter </w:t>
            </w:r>
            <w:r w:rsidR="005B5E25">
              <w:t>another unit.</w:t>
            </w:r>
          </w:p>
        </w:tc>
        <w:tc>
          <w:tcPr>
            <w:tcW w:w="6120" w:type="dxa"/>
          </w:tcPr>
          <w:p w14:paraId="3A7932B0" w14:textId="77777777" w:rsidR="002A21AE" w:rsidRDefault="002A21AE">
            <w:pPr>
              <w:pStyle w:val="TableTextBullet"/>
            </w:pPr>
            <w:r>
              <w:t>Allows the user to scan or enter a unit ID and product code or select a unit.</w:t>
            </w:r>
          </w:p>
          <w:p w14:paraId="569A5F81" w14:textId="77777777" w:rsidR="002A21AE" w:rsidRDefault="002A21AE">
            <w:pPr>
              <w:pStyle w:val="TableTextBullet"/>
            </w:pPr>
            <w:r>
              <w:t>Displays the editable unit information based on the user‘s security level.</w:t>
            </w:r>
          </w:p>
          <w:p w14:paraId="7B4EC255" w14:textId="77777777" w:rsidR="002A21AE" w:rsidRDefault="002A21AE">
            <w:pPr>
              <w:pStyle w:val="TableText"/>
            </w:pPr>
          </w:p>
          <w:p w14:paraId="17823B5B" w14:textId="142E58AB" w:rsidR="002A21AE" w:rsidRDefault="002A21AE">
            <w:pPr>
              <w:pStyle w:val="TableText"/>
              <w:rPr>
                <w:b/>
                <w:bCs/>
                <w:szCs w:val="18"/>
              </w:rPr>
            </w:pPr>
            <w:r>
              <w:rPr>
                <w:b/>
                <w:bCs/>
                <w:szCs w:val="18"/>
              </w:rPr>
              <w:t>NOTES</w:t>
            </w:r>
          </w:p>
          <w:p w14:paraId="7A2BCAED" w14:textId="77777777" w:rsidR="002A21AE" w:rsidRDefault="002A21AE">
            <w:pPr>
              <w:pStyle w:val="NotesText"/>
            </w:pPr>
          </w:p>
          <w:p w14:paraId="7D14E120" w14:textId="77777777" w:rsidR="002A21AE" w:rsidRDefault="002A21AE">
            <w:pPr>
              <w:pStyle w:val="NotesText"/>
              <w:rPr>
                <w:rFonts w:cs="Arial"/>
              </w:rPr>
            </w:pPr>
            <w:r>
              <w:t>VBECS does not allow selection of a unit when</w:t>
            </w:r>
            <w:r>
              <w:rPr>
                <w:rFonts w:cs="Arial"/>
              </w:rPr>
              <w:t xml:space="preserve"> </w:t>
            </w:r>
            <w:r>
              <w:t>it:</w:t>
            </w:r>
          </w:p>
          <w:p w14:paraId="250D92B8" w14:textId="77777777" w:rsidR="002A21AE" w:rsidRDefault="002A21AE">
            <w:pPr>
              <w:pStyle w:val="NotesTextBullet"/>
            </w:pPr>
            <w:r>
              <w:rPr>
                <w:rFonts w:cs="Arial"/>
                <w:vanish/>
              </w:rPr>
              <w:t xml:space="preserve">BR_70.03 </w:t>
            </w:r>
            <w:r>
              <w:t>Is currently assigned to a patient.</w:t>
            </w:r>
          </w:p>
          <w:p w14:paraId="14C26DB2" w14:textId="77777777" w:rsidR="002A21AE" w:rsidRDefault="002A21AE">
            <w:pPr>
              <w:pStyle w:val="NotesTextBullet"/>
            </w:pPr>
            <w:r>
              <w:rPr>
                <w:rFonts w:cs="Arial"/>
                <w:vanish/>
              </w:rPr>
              <w:t xml:space="preserve">BR_70.06 </w:t>
            </w:r>
            <w:r>
              <w:t>Has a final unit status.</w:t>
            </w:r>
          </w:p>
          <w:p w14:paraId="01F6F8C5" w14:textId="77777777" w:rsidR="002A21AE" w:rsidRDefault="002A21AE">
            <w:pPr>
              <w:pStyle w:val="NotesTextBullet"/>
              <w:rPr>
                <w:rFonts w:cs="Arial"/>
              </w:rPr>
            </w:pPr>
            <w:r>
              <w:rPr>
                <w:rFonts w:cs="Arial"/>
                <w:vanish/>
              </w:rPr>
              <w:t xml:space="preserve">BR_70.07 </w:t>
            </w:r>
            <w:r>
              <w:t>Has a previous patient assignment record and the user is a Lead</w:t>
            </w:r>
            <w:r w:rsidR="00DF36B1">
              <w:t xml:space="preserve"> or </w:t>
            </w:r>
            <w:r w:rsidR="00BF0467">
              <w:t>Enhanced</w:t>
            </w:r>
            <w:r>
              <w:t xml:space="preserve"> Technologist.</w:t>
            </w:r>
            <w:r w:rsidR="002329E3">
              <w:t xml:space="preserve"> </w:t>
            </w:r>
            <w:r w:rsidR="002329E3" w:rsidRPr="002329E3">
              <w:rPr>
                <w:vanish/>
              </w:rPr>
              <w:t>DR 3,012</w:t>
            </w:r>
          </w:p>
          <w:p w14:paraId="7AB24C65" w14:textId="77777777" w:rsidR="002A21AE" w:rsidRDefault="002A21AE">
            <w:pPr>
              <w:pStyle w:val="NotesText"/>
            </w:pPr>
          </w:p>
          <w:p w14:paraId="2529ACB1" w14:textId="77777777" w:rsidR="00894624" w:rsidRPr="005104F5" w:rsidRDefault="002A21AE" w:rsidP="005104F5">
            <w:pPr>
              <w:pStyle w:val="NotesText"/>
            </w:pPr>
            <w:r>
              <w:t>There is no override. VBECS clears the screen and allows the user to select a new unit.</w:t>
            </w:r>
          </w:p>
        </w:tc>
      </w:tr>
      <w:tr w:rsidR="002A21AE" w14:paraId="76F38871" w14:textId="77777777">
        <w:tc>
          <w:tcPr>
            <w:tcW w:w="3240" w:type="dxa"/>
          </w:tcPr>
          <w:p w14:paraId="1204546A" w14:textId="3F56BDBB" w:rsidR="00152B83" w:rsidRDefault="002A21AE">
            <w:pPr>
              <w:pStyle w:val="TableTextNumbers"/>
            </w:pPr>
            <w:r>
              <w:t>Review and enter or edit the data</w:t>
            </w:r>
            <w:r w:rsidR="000A3D88">
              <w:t xml:space="preserve"> (</w:t>
            </w:r>
            <w:r w:rsidR="00EE455E">
              <w:t xml:space="preserve">Figure </w:t>
            </w:r>
            <w:r w:rsidR="00EE455E">
              <w:rPr>
                <w:noProof/>
              </w:rPr>
              <w:t>64</w:t>
            </w:r>
            <w:r w:rsidR="000A3D88">
              <w:t>)</w:t>
            </w:r>
            <w:r>
              <w:t xml:space="preserve">, </w:t>
            </w:r>
          </w:p>
          <w:p w14:paraId="4B272320" w14:textId="77777777" w:rsidR="00152B83" w:rsidRDefault="00152B83" w:rsidP="00152B83">
            <w:pPr>
              <w:pStyle w:val="TableTextNumbersContinued"/>
            </w:pPr>
          </w:p>
          <w:p w14:paraId="377B5A71" w14:textId="77777777" w:rsidR="002A21AE" w:rsidRDefault="002A21AE" w:rsidP="00152B83">
            <w:pPr>
              <w:pStyle w:val="TableTextNumbersContinued"/>
            </w:pPr>
            <w:r>
              <w:t>or</w:t>
            </w:r>
          </w:p>
          <w:p w14:paraId="12497666" w14:textId="77777777" w:rsidR="002A21AE" w:rsidRDefault="002A21AE" w:rsidP="00152B83">
            <w:pPr>
              <w:pStyle w:val="TableTextNumbersContinued"/>
            </w:pPr>
          </w:p>
          <w:p w14:paraId="274FD643" w14:textId="77777777" w:rsidR="002A21AE" w:rsidRDefault="009B557A">
            <w:pPr>
              <w:pStyle w:val="TableTextNumbersContinued"/>
            </w:pPr>
            <w:r>
              <w:t>Go to Inactivate</w:t>
            </w:r>
            <w:r w:rsidR="002A21AE">
              <w:t xml:space="preserve"> a Unit.</w:t>
            </w:r>
          </w:p>
        </w:tc>
        <w:tc>
          <w:tcPr>
            <w:tcW w:w="6120" w:type="dxa"/>
          </w:tcPr>
          <w:p w14:paraId="3CDB8C73" w14:textId="77777777" w:rsidR="002A21AE" w:rsidRDefault="002A21AE">
            <w:pPr>
              <w:pStyle w:val="TableTextBullet"/>
            </w:pPr>
            <w:r>
              <w:t xml:space="preserve">Displays tabs to select and edit: </w:t>
            </w:r>
          </w:p>
          <w:p w14:paraId="4DA7F5E3" w14:textId="77777777" w:rsidR="002A21AE" w:rsidRDefault="002A21AE">
            <w:pPr>
              <w:pStyle w:val="TableTextBullet1"/>
            </w:pPr>
            <w:r>
              <w:t xml:space="preserve">Unit information </w:t>
            </w:r>
          </w:p>
          <w:p w14:paraId="3F90E4B3" w14:textId="77777777" w:rsidR="002A21AE" w:rsidRDefault="002A21AE">
            <w:pPr>
              <w:pStyle w:val="TableTextBullet1"/>
            </w:pPr>
            <w:r>
              <w:t xml:space="preserve">Unit ABO/Rh confirmation </w:t>
            </w:r>
          </w:p>
          <w:p w14:paraId="34A27BB3" w14:textId="77777777" w:rsidR="002A21AE" w:rsidRDefault="002A21AE">
            <w:pPr>
              <w:pStyle w:val="TableTextBullet1"/>
            </w:pPr>
            <w:r>
              <w:t xml:space="preserve">Antigen typing </w:t>
            </w:r>
          </w:p>
          <w:p w14:paraId="58703F3E" w14:textId="77777777" w:rsidR="002A21AE" w:rsidRDefault="002A21AE">
            <w:pPr>
              <w:pStyle w:val="TableTextBullet"/>
            </w:pPr>
            <w:r>
              <w:t xml:space="preserve">Displays fields to add or inactivate unit information and an option to inactivate a unit based on the condition of the unit and the user’s security </w:t>
            </w:r>
            <w:r w:rsidR="00082F78">
              <w:t>level</w:t>
            </w:r>
            <w:r>
              <w:t>.</w:t>
            </w:r>
          </w:p>
          <w:p w14:paraId="653716B9" w14:textId="77777777" w:rsidR="002A21AE" w:rsidRDefault="002A21AE">
            <w:pPr>
              <w:pStyle w:val="TableText"/>
            </w:pPr>
          </w:p>
          <w:p w14:paraId="0D6F91F3" w14:textId="510C5BB5" w:rsidR="002A21AE" w:rsidRDefault="002A21AE">
            <w:pPr>
              <w:pStyle w:val="TableText"/>
              <w:rPr>
                <w:b/>
                <w:bCs/>
                <w:szCs w:val="18"/>
              </w:rPr>
            </w:pPr>
            <w:r>
              <w:rPr>
                <w:b/>
                <w:bCs/>
                <w:szCs w:val="18"/>
              </w:rPr>
              <w:t>NOTES</w:t>
            </w:r>
          </w:p>
          <w:p w14:paraId="0C3EC97C" w14:textId="77777777" w:rsidR="002A21AE" w:rsidRDefault="002A21AE">
            <w:pPr>
              <w:pStyle w:val="NotesText"/>
            </w:pPr>
          </w:p>
          <w:p w14:paraId="5FC441FB" w14:textId="54984BD1" w:rsidR="002A21AE" w:rsidRDefault="002A21AE">
            <w:pPr>
              <w:pStyle w:val="NotesText"/>
            </w:pPr>
            <w:r>
              <w:rPr>
                <w:rFonts w:cs="Arial"/>
                <w:vanish/>
              </w:rPr>
              <w:t xml:space="preserve">BR_70.20 </w:t>
            </w:r>
            <w:r>
              <w:t>The user may add data to a field with no previous entry.</w:t>
            </w:r>
            <w:r w:rsidR="00101EEF">
              <w:t xml:space="preserve"> </w:t>
            </w:r>
            <w:r w:rsidR="00101EEF" w:rsidRPr="00205737">
              <w:t xml:space="preserve">When the blood product code within the ICCBBA component classes is RED BLOOD CELLS, WHOLE BLOOD, the </w:t>
            </w:r>
            <w:r w:rsidR="00101EEF" w:rsidRPr="00205737">
              <w:rPr>
                <w:b/>
                <w:bCs/>
              </w:rPr>
              <w:t>Technologist</w:t>
            </w:r>
            <w:r w:rsidR="00101EEF" w:rsidRPr="00205737">
              <w:rPr>
                <w:bCs/>
              </w:rPr>
              <w:t xml:space="preserve"> and above</w:t>
            </w:r>
            <w:r w:rsidR="00101EEF">
              <w:t xml:space="preserve"> may add unit information:</w:t>
            </w:r>
            <w:r w:rsidR="00101EEF" w:rsidRPr="00205737">
              <w:t xml:space="preserve"> sickl</w:t>
            </w:r>
            <w:r w:rsidR="00A92813">
              <w:t>e cell negative, CMV negative, red blood c</w:t>
            </w:r>
            <w:r w:rsidR="00C233B7">
              <w:t>ell contamination of = &gt;</w:t>
            </w:r>
            <w:r w:rsidR="00101EEF" w:rsidRPr="00205737">
              <w:t xml:space="preserve"> 2 </w:t>
            </w:r>
            <w:r w:rsidR="003D3067" w:rsidRPr="00205737">
              <w:t>mL, and</w:t>
            </w:r>
            <w:r w:rsidR="00101EEF" w:rsidRPr="00205737">
              <w:t xml:space="preserve"> antigen typing to a unit when the unit has no patient assignment</w:t>
            </w:r>
            <w:r w:rsidR="00101EEF">
              <w:t>s.</w:t>
            </w:r>
          </w:p>
          <w:p w14:paraId="07243346" w14:textId="77777777" w:rsidR="002A21AE" w:rsidRDefault="002A21AE">
            <w:pPr>
              <w:pStyle w:val="NotesText"/>
            </w:pPr>
          </w:p>
          <w:p w14:paraId="12CFA5ED" w14:textId="52402692" w:rsidR="00EB5D2F" w:rsidRPr="00EB5D2F" w:rsidRDefault="00EB5D2F">
            <w:pPr>
              <w:pStyle w:val="NotesText"/>
              <w:rPr>
                <w:rFonts w:cs="Arial"/>
              </w:rPr>
            </w:pPr>
            <w:r w:rsidRPr="00EB5D2F">
              <w:rPr>
                <w:rFonts w:cs="Arial"/>
              </w:rPr>
              <w:t>Users may edit unit volume, add special testing and RBC antigens</w:t>
            </w:r>
            <w:r w:rsidR="002C0FA1">
              <w:rPr>
                <w:rFonts w:cs="Arial"/>
              </w:rPr>
              <w:t xml:space="preserve"> (manually or by scanning a special testing barcode)</w:t>
            </w:r>
            <w:r w:rsidRPr="00EB5D2F">
              <w:rPr>
                <w:rFonts w:cs="Arial"/>
              </w:rPr>
              <w:t>, mark a unit biohazardous, and change the patient restriction.</w:t>
            </w:r>
            <w:r>
              <w:rPr>
                <w:rFonts w:cs="Arial"/>
                <w:vanish/>
              </w:rPr>
              <w:t xml:space="preserve"> Task 1320</w:t>
            </w:r>
          </w:p>
          <w:p w14:paraId="431D2FFE" w14:textId="77777777" w:rsidR="00EB5D2F" w:rsidRPr="00EB5D2F" w:rsidRDefault="00EB5D2F">
            <w:pPr>
              <w:pStyle w:val="NotesText"/>
              <w:rPr>
                <w:rFonts w:cs="Arial"/>
              </w:rPr>
            </w:pPr>
          </w:p>
          <w:p w14:paraId="51C6F445" w14:textId="77777777" w:rsidR="002A21AE" w:rsidRDefault="002A21AE">
            <w:pPr>
              <w:pStyle w:val="NotesText"/>
            </w:pPr>
            <w:r>
              <w:rPr>
                <w:rFonts w:cs="Arial"/>
                <w:vanish/>
              </w:rPr>
              <w:t xml:space="preserve">BR_1.53 </w:t>
            </w:r>
            <w:r w:rsidR="00C153F2">
              <w:t>When a blood produ</w:t>
            </w:r>
            <w:r w:rsidR="00A92813">
              <w:t>ct code in the RED BLOOD CELLS or WHOLE BLOOD</w:t>
            </w:r>
            <w:r w:rsidR="00C153F2">
              <w:t xml:space="preserve"> component class is entered, VBECS enables data entry of sickle cell negative and antigen typing. The CMV negative data entry option is always enabled.</w:t>
            </w:r>
          </w:p>
          <w:p w14:paraId="5895E277" w14:textId="77777777" w:rsidR="002A21AE" w:rsidRDefault="002A21AE">
            <w:pPr>
              <w:pStyle w:val="NotesText"/>
            </w:pPr>
          </w:p>
          <w:p w14:paraId="091DE28C" w14:textId="5C17424B"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EE455E">
              <w:t xml:space="preserve">Appendix </w:t>
            </w:r>
            <w:r w:rsidR="00EE455E">
              <w:rPr>
                <w:noProof/>
              </w:rPr>
              <w:t>B</w:t>
            </w:r>
            <w:r>
              <w:t xml:space="preserve">: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t>. An antigen may not be positive and negative for the same unit.</w:t>
            </w:r>
          </w:p>
          <w:p w14:paraId="5A88DD3D" w14:textId="77777777" w:rsidR="002A21AE" w:rsidRDefault="002A21AE">
            <w:pPr>
              <w:pStyle w:val="NotesText"/>
              <w:rPr>
                <w:rFonts w:cs="Arial"/>
              </w:rPr>
            </w:pPr>
          </w:p>
          <w:p w14:paraId="4F9C58D5" w14:textId="77777777" w:rsidR="002A21AE" w:rsidRDefault="002A21AE">
            <w:pPr>
              <w:pStyle w:val="NotesText"/>
              <w:rPr>
                <w:rFonts w:cs="Arial"/>
              </w:rPr>
            </w:pPr>
            <w:r>
              <w:rPr>
                <w:rFonts w:cs="Arial"/>
                <w:vanish/>
              </w:rPr>
              <w:t xml:space="preserve">BR_70.01 </w:t>
            </w:r>
            <w:r>
              <w:t>Only unit antigen type results originally entered through Incoming Shipment are avai</w:t>
            </w:r>
            <w:r w:rsidR="00F05C1D">
              <w:t>lable for invalidation. An Enhanced Technologist</w:t>
            </w:r>
            <w:r>
              <w:t xml:space="preserve"> must invalidate unit antigen type results originally entered through Unit Antigen Typing by selecting Inactivate Unit Testing.</w:t>
            </w:r>
          </w:p>
          <w:p w14:paraId="3C08BDE5" w14:textId="77777777" w:rsidR="002A21AE" w:rsidRDefault="002A21AE">
            <w:pPr>
              <w:pStyle w:val="NotesText"/>
            </w:pPr>
          </w:p>
          <w:p w14:paraId="3669BDDA" w14:textId="77777777" w:rsidR="002A21AE" w:rsidRDefault="002A21AE">
            <w:pPr>
              <w:pStyle w:val="NotesText"/>
              <w:rPr>
                <w:rFonts w:cs="Arial"/>
              </w:rPr>
            </w:pPr>
            <w:r>
              <w:rPr>
                <w:rFonts w:cs="Arial"/>
                <w:vanish/>
              </w:rPr>
              <w:lastRenderedPageBreak/>
              <w:t xml:space="preserve">BR_70.14 </w:t>
            </w:r>
            <w:r>
              <w:t xml:space="preserve">VBECS restricts the editing of disease marker testing to autologous units. </w:t>
            </w:r>
          </w:p>
          <w:p w14:paraId="11A52EDD" w14:textId="77777777" w:rsidR="002A21AE" w:rsidRDefault="002A21AE">
            <w:pPr>
              <w:pStyle w:val="NotesText"/>
              <w:rPr>
                <w:rFonts w:cs="Arial"/>
              </w:rPr>
            </w:pPr>
          </w:p>
          <w:p w14:paraId="09037F86" w14:textId="3FF5BBDC" w:rsidR="002A21AE" w:rsidRDefault="002A21AE">
            <w:pPr>
              <w:pStyle w:val="NotesText"/>
            </w:pPr>
            <w:r>
              <w:rPr>
                <w:rFonts w:cs="Arial"/>
                <w:vanish/>
              </w:rPr>
              <w:t xml:space="preserve">BR_70.16 </w:t>
            </w:r>
            <w:r>
              <w:t>When</w:t>
            </w:r>
            <w:r w:rsidR="00E27F2E">
              <w:t xml:space="preserve"> changing </w:t>
            </w:r>
            <w:r>
              <w:t xml:space="preserve">the disease marker testing </w:t>
            </w:r>
            <w:r w:rsidR="00E27F2E">
              <w:t>of an autologous unit from “NEG</w:t>
            </w:r>
            <w:r w:rsidR="00F90BBE">
              <w:t>”</w:t>
            </w:r>
            <w:r w:rsidR="00E27F2E">
              <w:t xml:space="preserve"> to “POS</w:t>
            </w:r>
            <w:r>
              <w:t>” or “NFT</w:t>
            </w:r>
            <w:r w:rsidR="002326F7">
              <w:t xml:space="preserve"> (not fully tested)</w:t>
            </w:r>
            <w:r w:rsidR="002A40BF">
              <w:t>”,</w:t>
            </w:r>
            <w:r>
              <w:t xml:space="preserve"> VBECS </w:t>
            </w:r>
            <w:r w:rsidR="00E27F2E">
              <w:t xml:space="preserve">automatically </w:t>
            </w:r>
            <w:r w:rsidR="00CB32C2">
              <w:t>enables</w:t>
            </w:r>
            <w:r>
              <w:t xml:space="preserve"> the biohazard indicator.</w:t>
            </w:r>
          </w:p>
          <w:p w14:paraId="663FE3BC" w14:textId="77777777" w:rsidR="002A21AE" w:rsidRDefault="002A21AE">
            <w:pPr>
              <w:pStyle w:val="NotesText"/>
            </w:pPr>
          </w:p>
          <w:p w14:paraId="3C109C02" w14:textId="77777777" w:rsidR="002A21AE" w:rsidRDefault="002A21AE">
            <w:pPr>
              <w:pStyle w:val="NotesText"/>
            </w:pPr>
            <w:r>
              <w:rPr>
                <w:rFonts w:cs="Arial"/>
                <w:vanish/>
              </w:rPr>
              <w:t xml:space="preserve">BR_12.13 </w:t>
            </w:r>
            <w:r>
              <w:t>The user may not clear the biohazard indicator for a unit when:</w:t>
            </w:r>
          </w:p>
          <w:p w14:paraId="643DC41A" w14:textId="77777777" w:rsidR="002A21AE" w:rsidRDefault="002A21AE">
            <w:pPr>
              <w:pStyle w:val="NotesTextBullet"/>
            </w:pPr>
            <w:r>
              <w:t>The disease marker testing is POS or NFT,</w:t>
            </w:r>
          </w:p>
          <w:p w14:paraId="30990F4F" w14:textId="77777777" w:rsidR="002A21AE" w:rsidRDefault="002A21AE">
            <w:pPr>
              <w:pStyle w:val="NotesTextBullet"/>
            </w:pPr>
            <w:r>
              <w:t xml:space="preserve">The ISBT 128 Donation Type codes are </w:t>
            </w:r>
            <w:r w:rsidR="00FA7E65">
              <w:t>“</w:t>
            </w:r>
            <w:r>
              <w:t>X, For Autologous Use Only, Biohazardous</w:t>
            </w:r>
            <w:r w:rsidR="00FA7E65">
              <w:t>”</w:t>
            </w:r>
            <w:r>
              <w:t xml:space="preserve"> or </w:t>
            </w:r>
            <w:r w:rsidR="00FA7E65">
              <w:t>“</w:t>
            </w:r>
            <w:r>
              <w:t>3, For Directed Donor Use Only, Biohazardous,</w:t>
            </w:r>
            <w:r w:rsidR="00FA7E65">
              <w:t>”</w:t>
            </w:r>
            <w:r>
              <w:t xml:space="preserve"> or</w:t>
            </w:r>
            <w:r w:rsidR="004F7C13">
              <w:t xml:space="preserve"> 6, Designated Donor Biohazardous”</w:t>
            </w:r>
          </w:p>
          <w:p w14:paraId="7AED18D2" w14:textId="77777777" w:rsidR="002A21AE" w:rsidRDefault="002A21AE">
            <w:pPr>
              <w:pStyle w:val="NotesTextBullet"/>
            </w:pPr>
            <w:r>
              <w:t>The unit is quarantined.</w:t>
            </w:r>
          </w:p>
          <w:p w14:paraId="74DE294C" w14:textId="77777777" w:rsidR="002A21AE" w:rsidRDefault="002A21AE">
            <w:pPr>
              <w:pStyle w:val="NotesText"/>
              <w:ind w:left="0"/>
              <w:rPr>
                <w:rFonts w:cs="Arial"/>
              </w:rPr>
            </w:pPr>
          </w:p>
          <w:p w14:paraId="09E32FF0" w14:textId="77777777" w:rsidR="002A21AE" w:rsidRDefault="002A21AE">
            <w:pPr>
              <w:pStyle w:val="NotesText"/>
              <w:rPr>
                <w:rFonts w:cs="Arial"/>
              </w:rPr>
            </w:pPr>
            <w:r>
              <w:rPr>
                <w:rFonts w:cs="Arial"/>
                <w:vanish/>
              </w:rPr>
              <w:t xml:space="preserve">BR_70.02 </w:t>
            </w:r>
            <w:r>
              <w:t>When editing the “restricted for” patient name for a unit, the user may change the name of a restricted patient but may not save the transaction without a new patient name for the restriction.</w:t>
            </w:r>
          </w:p>
          <w:p w14:paraId="6BB2D03E" w14:textId="77777777" w:rsidR="002A21AE" w:rsidRDefault="002A21AE">
            <w:pPr>
              <w:pStyle w:val="NotesText"/>
              <w:rPr>
                <w:rFonts w:cs="Arial"/>
              </w:rPr>
            </w:pPr>
          </w:p>
          <w:p w14:paraId="45EBD45B" w14:textId="77777777" w:rsidR="002A21AE" w:rsidRDefault="002A21AE">
            <w:pPr>
              <w:pStyle w:val="NotesText"/>
            </w:pPr>
            <w:r>
              <w:rPr>
                <w:rFonts w:cs="Arial"/>
                <w:vanish/>
              </w:rPr>
              <w:t xml:space="preserve">BR_70.10 </w:t>
            </w:r>
            <w:r>
              <w:t xml:space="preserve">When the user restricts a unit to a patient, the patient ID is the primary identifier of the intended recipient. When VBECS searches the </w:t>
            </w:r>
            <w:r w:rsidR="00CA0045" w:rsidRPr="00CA0045">
              <w:rPr>
                <w:bCs/>
              </w:rPr>
              <w:t>VistA</w:t>
            </w:r>
            <w:r>
              <w:t xml:space="preserve"> PATIENT File (#2) and finds a match, it populates the VBECS database with the selected patient name. When the intended recipient is not in the </w:t>
            </w:r>
            <w:r w:rsidR="00CA0045" w:rsidRPr="00CA0045">
              <w:rPr>
                <w:bCs/>
              </w:rPr>
              <w:t>VistA</w:t>
            </w:r>
            <w:r>
              <w:t xml:space="preserve"> database, VBECS </w:t>
            </w:r>
            <w:r w:rsidR="009E40D9">
              <w:t>warns</w:t>
            </w:r>
            <w:r>
              <w:t xml:space="preserve"> the user</w:t>
            </w:r>
            <w:r w:rsidR="009E40D9">
              <w:t>, clears the screen, and does not allow the unit to be further processed</w:t>
            </w:r>
            <w:r>
              <w:t xml:space="preserve">. </w:t>
            </w:r>
          </w:p>
          <w:p w14:paraId="033E8E64" w14:textId="77777777" w:rsidR="002A21AE" w:rsidRDefault="002A21AE">
            <w:pPr>
              <w:pStyle w:val="NotesText"/>
            </w:pPr>
          </w:p>
          <w:p w14:paraId="11E931F3" w14:textId="77777777" w:rsidR="002A21AE" w:rsidRDefault="002A21AE">
            <w:pPr>
              <w:pStyle w:val="NotesText"/>
            </w:pPr>
            <w:r>
              <w:rPr>
                <w:rFonts w:cs="Arial"/>
                <w:vanish/>
              </w:rPr>
              <w:t xml:space="preserve">BR_70.08 </w:t>
            </w:r>
            <w:r w:rsidRPr="00EC7489">
              <w:rPr>
                <w:rFonts w:ascii="Wingdings 3" w:hAnsi="Wingdings 3" w:cs="Wingdings"/>
              </w:rPr>
              <w:t></w:t>
            </w:r>
            <w:r w:rsidRPr="00EC7489">
              <w:rPr>
                <w:rFonts w:ascii="Wingdings 3" w:hAnsi="Wingdings 3" w:cs="Wingdings"/>
              </w:rPr>
              <w:t></w:t>
            </w:r>
            <w:r>
              <w:t xml:space="preserve"> The Enhanced Technologist may edit items associated with a unit and add the new data to the unit. VBECS displays only the latest entry for these fields to the Enhanced Technologist before the un</w:t>
            </w:r>
            <w:r w:rsidR="00264DEB">
              <w:t>it has any patient associations:</w:t>
            </w:r>
          </w:p>
          <w:p w14:paraId="3A2E03C8" w14:textId="77777777" w:rsidR="00264DEB" w:rsidRDefault="00264DEB" w:rsidP="00925CAD">
            <w:pPr>
              <w:pStyle w:val="StyleTableText9ptChar"/>
              <w:numPr>
                <w:ilvl w:val="0"/>
                <w:numId w:val="51"/>
              </w:numPr>
              <w:ind w:left="1440"/>
            </w:pPr>
            <w:r>
              <w:t>Restrictions</w:t>
            </w:r>
          </w:p>
          <w:p w14:paraId="1253EB99" w14:textId="77777777" w:rsidR="00264DEB" w:rsidRDefault="00264DEB" w:rsidP="00925CAD">
            <w:pPr>
              <w:pStyle w:val="StyleTableText9ptChar"/>
              <w:numPr>
                <w:ilvl w:val="0"/>
                <w:numId w:val="51"/>
              </w:numPr>
              <w:ind w:left="1440"/>
            </w:pPr>
            <w:r>
              <w:t xml:space="preserve">CMV negative </w:t>
            </w:r>
          </w:p>
          <w:p w14:paraId="3881FB30" w14:textId="77777777" w:rsidR="00264DEB" w:rsidRDefault="00264DEB" w:rsidP="00925CAD">
            <w:pPr>
              <w:pStyle w:val="StyleTableText9ptChar"/>
              <w:numPr>
                <w:ilvl w:val="0"/>
                <w:numId w:val="51"/>
              </w:numPr>
              <w:ind w:left="1440"/>
            </w:pPr>
            <w:r>
              <w:t>Sickle Cell negative</w:t>
            </w:r>
          </w:p>
          <w:p w14:paraId="6D8E3986" w14:textId="77777777" w:rsidR="00264DEB" w:rsidRDefault="00264DEB" w:rsidP="00925CAD">
            <w:pPr>
              <w:pStyle w:val="StyleTableText9ptChar"/>
              <w:numPr>
                <w:ilvl w:val="0"/>
                <w:numId w:val="51"/>
              </w:numPr>
              <w:ind w:left="1440"/>
            </w:pPr>
            <w:r>
              <w:t>Biohazard indicator</w:t>
            </w:r>
          </w:p>
          <w:p w14:paraId="0441C8C3" w14:textId="77777777" w:rsidR="00264DEB" w:rsidRDefault="00264DEB" w:rsidP="00925CAD">
            <w:pPr>
              <w:pStyle w:val="StyleTableText9ptChar"/>
              <w:numPr>
                <w:ilvl w:val="0"/>
                <w:numId w:val="51"/>
              </w:numPr>
              <w:ind w:left="1440"/>
            </w:pPr>
            <w:r>
              <w:t>Disease marker testing</w:t>
            </w:r>
          </w:p>
          <w:p w14:paraId="6ABF96B6" w14:textId="77777777" w:rsidR="00264DEB" w:rsidRDefault="00264DEB" w:rsidP="00925CAD">
            <w:pPr>
              <w:pStyle w:val="StyleTableText9ptChar"/>
              <w:numPr>
                <w:ilvl w:val="0"/>
                <w:numId w:val="51"/>
              </w:numPr>
              <w:ind w:left="1440"/>
            </w:pPr>
            <w:r>
              <w:t xml:space="preserve">Antigen typing entered at log-in </w:t>
            </w:r>
          </w:p>
          <w:p w14:paraId="5305B4F5" w14:textId="77777777" w:rsidR="00264DEB" w:rsidRDefault="00264DEB" w:rsidP="00925CAD">
            <w:pPr>
              <w:pStyle w:val="StyleTableText9ptChar"/>
              <w:numPr>
                <w:ilvl w:val="0"/>
                <w:numId w:val="51"/>
              </w:numPr>
              <w:ind w:left="1440"/>
            </w:pPr>
            <w:r>
              <w:t>Unit volume</w:t>
            </w:r>
          </w:p>
          <w:p w14:paraId="1CFC09FA" w14:textId="77777777" w:rsidR="00264DEB" w:rsidRDefault="002E5493" w:rsidP="00925CAD">
            <w:pPr>
              <w:pStyle w:val="TableText"/>
              <w:numPr>
                <w:ilvl w:val="0"/>
                <w:numId w:val="51"/>
              </w:numPr>
              <w:ind w:left="1440"/>
            </w:pPr>
            <w:r>
              <w:t>Discarded plasma volume, if one</w:t>
            </w:r>
          </w:p>
          <w:p w14:paraId="0C176FAD" w14:textId="0214885C" w:rsidR="00264DEB" w:rsidRDefault="00264DEB" w:rsidP="00925CAD">
            <w:pPr>
              <w:pStyle w:val="StyleTableText9ptChar"/>
              <w:numPr>
                <w:ilvl w:val="0"/>
                <w:numId w:val="51"/>
              </w:numPr>
              <w:ind w:left="1440"/>
            </w:pPr>
            <w:r w:rsidRPr="00205737">
              <w:t>R</w:t>
            </w:r>
            <w:r w:rsidR="00A92813">
              <w:t>ed blood c</w:t>
            </w:r>
            <w:r w:rsidR="00B06392">
              <w:t xml:space="preserve">ell contamination of </w:t>
            </w:r>
            <w:r w:rsidR="00A92813">
              <w:t xml:space="preserve">equal to or </w:t>
            </w:r>
            <w:r w:rsidR="00B06392">
              <w:t>g</w:t>
            </w:r>
            <w:r w:rsidRPr="00205737">
              <w:t>reater than (</w:t>
            </w:r>
            <w:r w:rsidR="00A92813">
              <w:t xml:space="preserve">= </w:t>
            </w:r>
            <w:r w:rsidRPr="00205737">
              <w:t>&gt;) 2 mL</w:t>
            </w:r>
            <w:r w:rsidR="00A92813">
              <w:t xml:space="preserve"> (non-RBC units)</w:t>
            </w:r>
          </w:p>
          <w:p w14:paraId="68BFD250" w14:textId="4A5C1E00" w:rsidR="002C0FA1" w:rsidRPr="00C8441F" w:rsidRDefault="002C0FA1" w:rsidP="00925CAD">
            <w:pPr>
              <w:pStyle w:val="StyleTableText9ptChar"/>
              <w:numPr>
                <w:ilvl w:val="0"/>
                <w:numId w:val="51"/>
              </w:numPr>
              <w:ind w:left="1440"/>
            </w:pPr>
            <w:r w:rsidRPr="00C8441F">
              <w:t xml:space="preserve">Blood </w:t>
            </w:r>
            <w:r w:rsidR="003C7340">
              <w:t>u</w:t>
            </w:r>
            <w:r w:rsidRPr="00C8441F">
              <w:t>nit</w:t>
            </w:r>
            <w:r w:rsidR="003C7340">
              <w:t xml:space="preserve"> comment</w:t>
            </w:r>
          </w:p>
          <w:p w14:paraId="7A23E7A2" w14:textId="77777777" w:rsidR="002A21AE" w:rsidRPr="00EC7489" w:rsidRDefault="002A21AE">
            <w:pPr>
              <w:pStyle w:val="NotesText"/>
              <w:rPr>
                <w:rFonts w:ascii="Wingdings 3" w:hAnsi="Wingdings 3" w:cs="Wingdings"/>
              </w:rPr>
            </w:pPr>
          </w:p>
          <w:p w14:paraId="1216276F" w14:textId="143A2CDA" w:rsidR="009D59DD" w:rsidRPr="00781303" w:rsidRDefault="002A21AE" w:rsidP="00781303">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Traditional Supervisor may edit items associated with a unit and add the new data when the unit has a history of patient associations.</w:t>
            </w:r>
          </w:p>
        </w:tc>
      </w:tr>
      <w:tr w:rsidR="002A21AE" w14:paraId="43B3A00B" w14:textId="77777777" w:rsidTr="004A7B44">
        <w:trPr>
          <w:cantSplit/>
        </w:trPr>
        <w:tc>
          <w:tcPr>
            <w:tcW w:w="3240" w:type="dxa"/>
          </w:tcPr>
          <w:p w14:paraId="77C63CF3" w14:textId="5D3C10C9" w:rsidR="002A21AE" w:rsidRDefault="002A21AE">
            <w:pPr>
              <w:pStyle w:val="TableTextNumbers"/>
            </w:pPr>
            <w:r>
              <w:lastRenderedPageBreak/>
              <w:t>Select a test for inactivation</w:t>
            </w:r>
            <w:r w:rsidR="000A3D88">
              <w:t xml:space="preserve"> (</w:t>
            </w:r>
            <w:r w:rsidR="00EE455E">
              <w:t xml:space="preserve">Figure </w:t>
            </w:r>
            <w:r w:rsidR="00EE455E">
              <w:rPr>
                <w:noProof/>
              </w:rPr>
              <w:t>65</w:t>
            </w:r>
            <w:r w:rsidR="000A3D88">
              <w:t>)</w:t>
            </w:r>
            <w:r>
              <w:t>.</w:t>
            </w:r>
          </w:p>
        </w:tc>
        <w:tc>
          <w:tcPr>
            <w:tcW w:w="6120" w:type="dxa"/>
          </w:tcPr>
          <w:p w14:paraId="0B1D37AF" w14:textId="77777777" w:rsidR="002A21AE" w:rsidRDefault="002A21AE">
            <w:pPr>
              <w:pStyle w:val="TableTextBullet"/>
              <w:tabs>
                <w:tab w:val="num" w:pos="360"/>
              </w:tabs>
            </w:pPr>
            <w:r>
              <w:t>Displays the previously recorded results for the selected test.</w:t>
            </w:r>
          </w:p>
          <w:p w14:paraId="7AEDDC5C" w14:textId="77777777" w:rsidR="002A21AE" w:rsidRDefault="002A21AE">
            <w:pPr>
              <w:pStyle w:val="TableTextBullet"/>
              <w:tabs>
                <w:tab w:val="num" w:pos="360"/>
              </w:tabs>
            </w:pPr>
            <w:r>
              <w:t>Requires a comment to process the inactivation.</w:t>
            </w:r>
          </w:p>
          <w:p w14:paraId="122BA093" w14:textId="77777777" w:rsidR="002A21AE" w:rsidRDefault="002A21AE">
            <w:pPr>
              <w:pStyle w:val="TableText"/>
            </w:pPr>
          </w:p>
          <w:p w14:paraId="2EBBD14A" w14:textId="62270272" w:rsidR="002A21AE" w:rsidRDefault="002A21AE">
            <w:pPr>
              <w:pStyle w:val="TableText"/>
              <w:rPr>
                <w:b/>
                <w:bCs/>
                <w:szCs w:val="18"/>
              </w:rPr>
            </w:pPr>
            <w:r>
              <w:rPr>
                <w:b/>
                <w:bCs/>
                <w:szCs w:val="18"/>
              </w:rPr>
              <w:t>NOTES</w:t>
            </w:r>
          </w:p>
          <w:p w14:paraId="7658CBF6" w14:textId="77777777" w:rsidR="002A21AE" w:rsidRDefault="002A21AE">
            <w:pPr>
              <w:pStyle w:val="NotesText"/>
            </w:pPr>
          </w:p>
          <w:p w14:paraId="47959287" w14:textId="77777777" w:rsidR="002A21AE" w:rsidRDefault="002A21AE">
            <w:pPr>
              <w:pStyle w:val="NotesText"/>
            </w:pPr>
            <w:r>
              <w:rPr>
                <w:rFonts w:cs="Arial"/>
                <w:vanish/>
              </w:rPr>
              <w:t xml:space="preserve">BR_94.06 </w:t>
            </w:r>
            <w:r>
              <w:t>The user may view, not edit, previously entered serologic results and interpretations.</w:t>
            </w:r>
          </w:p>
          <w:p w14:paraId="5023301D" w14:textId="77777777" w:rsidR="002A21AE" w:rsidRDefault="002A21AE">
            <w:pPr>
              <w:pStyle w:val="NotesText"/>
              <w:rPr>
                <w:rFonts w:cs="Arial"/>
              </w:rPr>
            </w:pPr>
          </w:p>
          <w:p w14:paraId="70F9B807" w14:textId="77777777" w:rsidR="002A21AE" w:rsidRDefault="002A21AE">
            <w:pPr>
              <w:pStyle w:val="NotesText"/>
              <w:rPr>
                <w:rFonts w:cs="Arial"/>
              </w:rPr>
            </w:pPr>
            <w:r>
              <w:rPr>
                <w:rFonts w:cs="Arial"/>
                <w:vanish/>
              </w:rPr>
              <w:t xml:space="preserve">BR_70.04 </w:t>
            </w:r>
            <w:r>
              <w:t xml:space="preserve">When the user selects the unit antigen typing test, VBECS displays antigen typing reagent types and interpretations </w:t>
            </w:r>
            <w:r w:rsidR="00765FF5">
              <w:t>available for invalidation at the user’s division. Inherited testing is not available for invalidation</w:t>
            </w:r>
            <w:r>
              <w:t>.</w:t>
            </w:r>
          </w:p>
          <w:p w14:paraId="3715C92C" w14:textId="77777777" w:rsidR="002A21AE" w:rsidRDefault="002A21AE">
            <w:pPr>
              <w:pStyle w:val="NotesText"/>
              <w:rPr>
                <w:rFonts w:cs="Arial"/>
              </w:rPr>
            </w:pPr>
          </w:p>
          <w:p w14:paraId="59D374B9" w14:textId="77777777" w:rsidR="00C868B9" w:rsidRDefault="002A21AE" w:rsidP="00C868B9">
            <w:pPr>
              <w:pStyle w:val="NotesText"/>
            </w:pPr>
            <w:r>
              <w:rPr>
                <w:rFonts w:cs="Arial"/>
                <w:vanish/>
              </w:rPr>
              <w:t xml:space="preserve">BR_70.05 </w:t>
            </w:r>
            <w:r>
              <w:t xml:space="preserve">When the user selects the ABO/Rh confirmation test, VBECS displays the unit confirmation test </w:t>
            </w:r>
            <w:r w:rsidR="004C1CD0">
              <w:t xml:space="preserve">interpretations available for invalidation at the user’s division. </w:t>
            </w:r>
          </w:p>
          <w:p w14:paraId="2031D1F3" w14:textId="77777777" w:rsidR="002A21AE" w:rsidRDefault="002A21AE">
            <w:pPr>
              <w:pStyle w:val="NotesText"/>
            </w:pPr>
          </w:p>
          <w:p w14:paraId="32500A9B" w14:textId="77777777" w:rsidR="002A21AE" w:rsidRDefault="002A21AE">
            <w:pPr>
              <w:pStyle w:val="NotesText"/>
              <w:rPr>
                <w:rFonts w:cs="Arial"/>
              </w:rPr>
            </w:pPr>
            <w:r>
              <w:rPr>
                <w:rFonts w:cs="Arial"/>
                <w:vanish/>
              </w:rPr>
              <w:t xml:space="preserve">BR_70.21 </w:t>
            </w:r>
            <w:r w:rsidR="00C91E8D">
              <w:t>The system will check if the selected blood unit has current, valid ABO/Rh Confirmation or Antigen Typing associated with it. If the unit does have associated current, valid tests, the system does not allow the user to inactivate the unit and displays a warning message to the user: “Unit has current, valid tests, previous patient assignments, or crossmatches that must be invalidated before the unit can be inactivated." There is no override.</w:t>
            </w:r>
          </w:p>
        </w:tc>
      </w:tr>
      <w:tr w:rsidR="002A21AE" w14:paraId="2474C6FC" w14:textId="77777777">
        <w:tc>
          <w:tcPr>
            <w:tcW w:w="3240" w:type="dxa"/>
          </w:tcPr>
          <w:p w14:paraId="5D0FA7A0" w14:textId="77777777" w:rsidR="002A21AE" w:rsidRDefault="002A21AE">
            <w:pPr>
              <w:pStyle w:val="TableTextNumbers"/>
            </w:pPr>
            <w:r>
              <w:t xml:space="preserve">Verify the test to be inactivated and enter a comment. </w:t>
            </w:r>
          </w:p>
          <w:p w14:paraId="3C9E98F7" w14:textId="77777777" w:rsidR="002A21AE" w:rsidRDefault="002A21AE">
            <w:pPr>
              <w:pStyle w:val="TableTextNumbersContinued"/>
            </w:pPr>
          </w:p>
          <w:p w14:paraId="2B5F0E87" w14:textId="77777777" w:rsidR="002A21AE" w:rsidRDefault="002A21AE">
            <w:pPr>
              <w:pStyle w:val="TableTextNumbersContinued"/>
            </w:pPr>
            <w:r>
              <w:t xml:space="preserve">Click </w:t>
            </w:r>
            <w:r>
              <w:rPr>
                <w:b/>
              </w:rPr>
              <w:t>OK</w:t>
            </w:r>
            <w:r>
              <w:t xml:space="preserve"> to confirm and exit.</w:t>
            </w:r>
          </w:p>
        </w:tc>
        <w:tc>
          <w:tcPr>
            <w:tcW w:w="6120" w:type="dxa"/>
          </w:tcPr>
          <w:p w14:paraId="78BD1FDD" w14:textId="77777777" w:rsidR="002A21AE" w:rsidRDefault="002A21AE">
            <w:pPr>
              <w:pStyle w:val="TableTextBullet"/>
              <w:tabs>
                <w:tab w:val="num" w:pos="360"/>
              </w:tabs>
            </w:pPr>
            <w:r>
              <w:t>Displays “Test Result Invalidated” in the unit record for the selected test.</w:t>
            </w:r>
          </w:p>
          <w:p w14:paraId="0A7C64CA" w14:textId="77777777" w:rsidR="002A21AE" w:rsidRDefault="002A21AE">
            <w:pPr>
              <w:pStyle w:val="TableText"/>
            </w:pPr>
          </w:p>
          <w:p w14:paraId="61334477" w14:textId="0D95CB80" w:rsidR="002A21AE" w:rsidRDefault="002A21AE">
            <w:pPr>
              <w:pStyle w:val="TableText"/>
              <w:rPr>
                <w:b/>
                <w:bCs/>
                <w:szCs w:val="18"/>
              </w:rPr>
            </w:pPr>
            <w:r>
              <w:rPr>
                <w:b/>
                <w:bCs/>
                <w:szCs w:val="18"/>
              </w:rPr>
              <w:t>NOTES</w:t>
            </w:r>
          </w:p>
          <w:p w14:paraId="06D67415" w14:textId="77777777" w:rsidR="002A21AE" w:rsidRDefault="002A21AE">
            <w:pPr>
              <w:pStyle w:val="NotesText"/>
            </w:pPr>
          </w:p>
          <w:p w14:paraId="6C2FFDDA" w14:textId="77777777" w:rsidR="002A21AE" w:rsidRDefault="002A21AE">
            <w:pPr>
              <w:pStyle w:val="NotesText"/>
            </w:pPr>
            <w:r>
              <w:rPr>
                <w:rFonts w:cs="Arial"/>
                <w:vanish/>
              </w:rPr>
              <w:t xml:space="preserve">BR_70.25 </w:t>
            </w:r>
            <w:r>
              <w:t xml:space="preserve">When the last </w:t>
            </w:r>
            <w:r w:rsidR="00101EEF">
              <w:t xml:space="preserve">(or only) </w:t>
            </w:r>
            <w:r>
              <w:t>ABO/Rh confirmation testing is invalidated, VBECS returns the unit to a limited status and requires an ABO/Rh confirmation tes</w:t>
            </w:r>
            <w:r w:rsidR="00101EEF">
              <w:t xml:space="preserve">t for </w:t>
            </w:r>
            <w:r w:rsidR="00101EEF" w:rsidRPr="00205737">
              <w:rPr>
                <w:rFonts w:cs="Arial"/>
                <w:szCs w:val="18"/>
              </w:rPr>
              <w:t>R</w:t>
            </w:r>
            <w:r w:rsidR="00A92813">
              <w:rPr>
                <w:rFonts w:cs="Arial"/>
                <w:szCs w:val="18"/>
              </w:rPr>
              <w:t>ed Blood Cell contamination of equal to or g</w:t>
            </w:r>
            <w:r w:rsidR="00101EEF" w:rsidRPr="00205737">
              <w:rPr>
                <w:rFonts w:cs="Arial"/>
                <w:szCs w:val="18"/>
              </w:rPr>
              <w:t>reater than (</w:t>
            </w:r>
            <w:r w:rsidR="00A92813">
              <w:rPr>
                <w:rFonts w:cs="Arial"/>
                <w:szCs w:val="18"/>
              </w:rPr>
              <w:t xml:space="preserve">= </w:t>
            </w:r>
            <w:r w:rsidR="00101EEF" w:rsidRPr="00205737">
              <w:rPr>
                <w:rFonts w:cs="Arial"/>
                <w:szCs w:val="18"/>
              </w:rPr>
              <w:t>&gt;) 2 mL indicator</w:t>
            </w:r>
            <w:r w:rsidR="00C91E8D">
              <w:rPr>
                <w:rFonts w:cs="Arial"/>
                <w:szCs w:val="18"/>
              </w:rPr>
              <w:t>.</w:t>
            </w:r>
          </w:p>
          <w:p w14:paraId="082A8531" w14:textId="77777777" w:rsidR="002A21AE" w:rsidRDefault="002A21AE">
            <w:pPr>
              <w:pStyle w:val="TableText"/>
            </w:pPr>
          </w:p>
          <w:p w14:paraId="624458FA" w14:textId="77777777" w:rsidR="002A21AE" w:rsidRDefault="002A21AE">
            <w:pPr>
              <w:pStyle w:val="NotesText"/>
            </w:pPr>
            <w:r>
              <w:t>When a unit that requires ABO/Rh confirmation testing no longer has a valid test result in VBECS due to invalidation of previous unit tests, VBECS treats the unit as though no ABO/Rh confirmation testing was performed.</w:t>
            </w:r>
          </w:p>
          <w:p w14:paraId="73166727" w14:textId="77777777" w:rsidR="002A21AE" w:rsidRDefault="002A21AE">
            <w:pPr>
              <w:pStyle w:val="NotesText"/>
            </w:pPr>
          </w:p>
          <w:p w14:paraId="3D80386E" w14:textId="73E0977C" w:rsidR="002A21AE" w:rsidRDefault="002A21AE">
            <w:pPr>
              <w:pStyle w:val="NotesText"/>
            </w:pPr>
            <w:r>
              <w:rPr>
                <w:vanish/>
                <w:szCs w:val="18"/>
              </w:rPr>
              <w:t>BR_94.04</w:t>
            </w:r>
            <w:r w:rsidR="00CE3961">
              <w:rPr>
                <w:vanish/>
                <w:szCs w:val="18"/>
              </w:rPr>
              <w:t>,</w:t>
            </w:r>
            <w:r>
              <w:rPr>
                <w:vanish/>
                <w:szCs w:val="18"/>
              </w:rPr>
              <w:t xml:space="preserve"> BR_70.09 </w:t>
            </w:r>
            <w:r>
              <w:t xml:space="preserve">VBECS flags invalidated test results </w:t>
            </w:r>
            <w:r w:rsidR="001414E9">
              <w:t xml:space="preserve">with a message describing the reason for invalidation </w:t>
            </w:r>
            <w:r>
              <w:t>and captures details for inclusion in an Exception Report.</w:t>
            </w:r>
          </w:p>
          <w:p w14:paraId="7B01B823" w14:textId="77777777" w:rsidR="002A21AE" w:rsidRDefault="002A21AE">
            <w:pPr>
              <w:pStyle w:val="NotesText"/>
              <w:ind w:left="0"/>
            </w:pPr>
          </w:p>
          <w:p w14:paraId="0C02114D" w14:textId="77777777" w:rsidR="002A21AE" w:rsidRDefault="002A21AE">
            <w:pPr>
              <w:pStyle w:val="NotesText"/>
            </w:pPr>
            <w:r>
              <w:rPr>
                <w:rFonts w:cs="Arial"/>
                <w:vanish/>
              </w:rPr>
              <w:t xml:space="preserve">BR_70.12 </w:t>
            </w:r>
            <w:r>
              <w:t>VBECS does not inactivate workload associated with the invalidated test.</w:t>
            </w:r>
          </w:p>
          <w:p w14:paraId="465E70BE" w14:textId="77777777" w:rsidR="002A21AE" w:rsidRDefault="002A21AE">
            <w:pPr>
              <w:pStyle w:val="TableText"/>
              <w:rPr>
                <w:rFonts w:cs="Arial"/>
              </w:rPr>
            </w:pPr>
          </w:p>
          <w:p w14:paraId="30180496" w14:textId="77777777" w:rsidR="002A21AE" w:rsidRDefault="002A21AE">
            <w:pPr>
              <w:pStyle w:val="NotesText"/>
              <w:rPr>
                <w:rFonts w:cs="Arial"/>
              </w:rPr>
            </w:pPr>
            <w:r>
              <w:rPr>
                <w:rFonts w:cs="Arial"/>
              </w:rPr>
              <w:t>Replacement results are entered according to local policy.</w:t>
            </w:r>
          </w:p>
        </w:tc>
      </w:tr>
      <w:tr w:rsidR="002A21AE" w14:paraId="27A8E99D" w14:textId="77777777">
        <w:tc>
          <w:tcPr>
            <w:tcW w:w="3240" w:type="dxa"/>
          </w:tcPr>
          <w:p w14:paraId="2F0278E1" w14:textId="77777777" w:rsidR="002A21AE" w:rsidRDefault="002A21AE">
            <w:pPr>
              <w:pStyle w:val="TableTextNumbers"/>
            </w:pPr>
            <w:r>
              <w:t>Return to Step 1 to edit another unit.</w:t>
            </w:r>
          </w:p>
        </w:tc>
        <w:tc>
          <w:tcPr>
            <w:tcW w:w="6120" w:type="dxa"/>
          </w:tcPr>
          <w:p w14:paraId="0CE42695" w14:textId="77777777" w:rsidR="002A21AE" w:rsidRDefault="002A21AE" w:rsidP="00B100F7">
            <w:pPr>
              <w:pStyle w:val="TableText"/>
            </w:pPr>
          </w:p>
        </w:tc>
      </w:tr>
      <w:tr w:rsidR="002A21AE" w14:paraId="46B325C4" w14:textId="77777777">
        <w:tc>
          <w:tcPr>
            <w:tcW w:w="3240" w:type="dxa"/>
          </w:tcPr>
          <w:p w14:paraId="1616EA74" w14:textId="77777777" w:rsidR="002A21AE" w:rsidRDefault="002A21AE">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82D2362" w14:textId="77777777" w:rsidR="002A21AE" w:rsidRDefault="002A21AE">
            <w:pPr>
              <w:pStyle w:val="TableTextBullet"/>
              <w:tabs>
                <w:tab w:val="num" w:pos="360"/>
              </w:tabs>
            </w:pPr>
            <w:r>
              <w:t>Updates and saves the data.</w:t>
            </w:r>
          </w:p>
        </w:tc>
      </w:tr>
    </w:tbl>
    <w:p w14:paraId="61BCAEC3" w14:textId="617EAA93" w:rsidR="000A3D88" w:rsidRDefault="000A3D88" w:rsidP="000A3D88">
      <w:pPr>
        <w:pStyle w:val="Caption"/>
      </w:pPr>
      <w:bookmarkStart w:id="336" w:name="_Ref126651737"/>
      <w:bookmarkStart w:id="337" w:name="_Toc9434931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65</w:t>
      </w:r>
      <w:r w:rsidR="004E20BD">
        <w:rPr>
          <w:noProof/>
        </w:rPr>
        <w:fldChar w:fldCharType="end"/>
      </w:r>
      <w:bookmarkEnd w:id="336"/>
      <w:r>
        <w:t>: Edit Unit Information</w:t>
      </w:r>
    </w:p>
    <w:p w14:paraId="1E895186" w14:textId="7F398D82" w:rsidR="000A3D88" w:rsidRDefault="000B176B" w:rsidP="000A3D88">
      <w:pPr>
        <w:pStyle w:val="BodyText"/>
      </w:pPr>
      <w:r>
        <w:rPr>
          <w:noProof/>
        </w:rPr>
        <w:drawing>
          <wp:inline distT="0" distB="0" distL="0" distR="0" wp14:anchorId="489B95C5" wp14:editId="73F4D93A">
            <wp:extent cx="5943600" cy="4956175"/>
            <wp:effectExtent l="0" t="0" r="0" b="0"/>
            <wp:docPr id="41" name="Picture 41" descr="Example of Edit Unit Inform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ample of Edit Unit Information screen capt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4956175"/>
                    </a:xfrm>
                    <a:prstGeom prst="rect">
                      <a:avLst/>
                    </a:prstGeom>
                    <a:noFill/>
                    <a:ln>
                      <a:noFill/>
                    </a:ln>
                  </pic:spPr>
                </pic:pic>
              </a:graphicData>
            </a:graphic>
          </wp:inline>
        </w:drawing>
      </w:r>
    </w:p>
    <w:p w14:paraId="15093DA0" w14:textId="2B9556F2" w:rsidR="000A3D88" w:rsidRDefault="000A3D88" w:rsidP="000A3D88">
      <w:pPr>
        <w:pStyle w:val="Caption"/>
      </w:pPr>
      <w:bookmarkStart w:id="338" w:name="_Ref12665191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66</w:t>
      </w:r>
      <w:r w:rsidR="004E20BD">
        <w:rPr>
          <w:noProof/>
        </w:rPr>
        <w:fldChar w:fldCharType="end"/>
      </w:r>
      <w:bookmarkEnd w:id="338"/>
      <w:r>
        <w:t>: Edit Unit Information Invalidate Test</w:t>
      </w:r>
    </w:p>
    <w:p w14:paraId="1E8DE297" w14:textId="5C2F0F7E" w:rsidR="000A3D88" w:rsidRDefault="000B176B" w:rsidP="000A3D88">
      <w:pPr>
        <w:pStyle w:val="BodyText"/>
      </w:pPr>
      <w:r>
        <w:rPr>
          <w:noProof/>
        </w:rPr>
        <w:drawing>
          <wp:inline distT="0" distB="0" distL="0" distR="0" wp14:anchorId="5BDF56DE" wp14:editId="28EB79F0">
            <wp:extent cx="5943600" cy="4960620"/>
            <wp:effectExtent l="0" t="0" r="0" b="0"/>
            <wp:docPr id="42" name="Picture 42" descr="Example of Edit Unit Information Invalidate T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xample of Edit Unit Information Invalidate Test screen capt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4960620"/>
                    </a:xfrm>
                    <a:prstGeom prst="rect">
                      <a:avLst/>
                    </a:prstGeom>
                    <a:noFill/>
                    <a:ln>
                      <a:noFill/>
                    </a:ln>
                  </pic:spPr>
                </pic:pic>
              </a:graphicData>
            </a:graphic>
          </wp:inline>
        </w:drawing>
      </w:r>
    </w:p>
    <w:p w14:paraId="443A8EED" w14:textId="77777777" w:rsidR="002A21AE" w:rsidRDefault="002A21AE">
      <w:pPr>
        <w:pStyle w:val="Heading4"/>
      </w:pPr>
      <w:r>
        <w:t>Inactivate a Unit</w:t>
      </w:r>
      <w:bookmarkEnd w:id="337"/>
      <w:r>
        <w:fldChar w:fldCharType="begin"/>
      </w:r>
      <w:r>
        <w:instrText xml:space="preserve"> XE </w:instrText>
      </w:r>
      <w:r w:rsidR="00FA7E65">
        <w:instrText>“</w:instrText>
      </w:r>
      <w:r>
        <w:instrText>Inactivate a Unit</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3F1376" w14:textId="77777777">
        <w:trPr>
          <w:tblHeader/>
        </w:trPr>
        <w:tc>
          <w:tcPr>
            <w:tcW w:w="3240" w:type="dxa"/>
            <w:shd w:val="pct30" w:color="auto" w:fill="FFFFFF"/>
            <w:vAlign w:val="bottom"/>
          </w:tcPr>
          <w:p w14:paraId="1589EC4C" w14:textId="77777777" w:rsidR="002A21AE" w:rsidRDefault="002A21AE">
            <w:pPr>
              <w:pStyle w:val="TableText"/>
              <w:rPr>
                <w:b/>
              </w:rPr>
            </w:pPr>
            <w:r>
              <w:rPr>
                <w:b/>
              </w:rPr>
              <w:t>User Action</w:t>
            </w:r>
          </w:p>
        </w:tc>
        <w:tc>
          <w:tcPr>
            <w:tcW w:w="6120" w:type="dxa"/>
            <w:shd w:val="pct30" w:color="auto" w:fill="FFFFFF"/>
            <w:vAlign w:val="bottom"/>
          </w:tcPr>
          <w:p w14:paraId="673ADD0C" w14:textId="77777777" w:rsidR="002A21AE" w:rsidRDefault="002A21AE">
            <w:pPr>
              <w:pStyle w:val="TableText"/>
              <w:rPr>
                <w:b/>
              </w:rPr>
            </w:pPr>
            <w:r>
              <w:rPr>
                <w:b/>
              </w:rPr>
              <w:t>VBECS</w:t>
            </w:r>
          </w:p>
        </w:tc>
      </w:tr>
      <w:tr w:rsidR="002326F7" w14:paraId="090C2A73" w14:textId="77777777">
        <w:tc>
          <w:tcPr>
            <w:tcW w:w="3240" w:type="dxa"/>
            <w:tcBorders>
              <w:top w:val="single" w:sz="4" w:space="0" w:color="auto"/>
              <w:left w:val="single" w:sz="4" w:space="0" w:color="auto"/>
              <w:bottom w:val="single" w:sz="4" w:space="0" w:color="auto"/>
              <w:right w:val="single" w:sz="4" w:space="0" w:color="auto"/>
            </w:tcBorders>
          </w:tcPr>
          <w:p w14:paraId="06DA8A9C" w14:textId="77777777" w:rsidR="002326F7" w:rsidRDefault="002326F7" w:rsidP="00FA7E65">
            <w:pPr>
              <w:pStyle w:val="TableTextNumbers"/>
            </w:pPr>
            <w:r>
              <w:t xml:space="preserve">Select </w:t>
            </w:r>
            <w:r w:rsidRPr="00D64EFA">
              <w:rPr>
                <w:b/>
              </w:rPr>
              <w:t>Blood Units</w:t>
            </w:r>
            <w:r>
              <w:t xml:space="preserve"> from the main menu. </w:t>
            </w:r>
          </w:p>
          <w:p w14:paraId="09043600" w14:textId="77777777" w:rsidR="002326F7" w:rsidRDefault="002326F7" w:rsidP="002326F7">
            <w:pPr>
              <w:pStyle w:val="TableTextNumbersContinued"/>
            </w:pPr>
          </w:p>
          <w:p w14:paraId="019861BD" w14:textId="77777777" w:rsidR="002326F7" w:rsidRDefault="002326F7" w:rsidP="002326F7">
            <w:pPr>
              <w:pStyle w:val="TableTextNumbersContinued"/>
            </w:pPr>
            <w:r>
              <w:t xml:space="preserve">Select </w:t>
            </w:r>
            <w:r w:rsidRPr="00D64EFA">
              <w:rPr>
                <w:b/>
              </w:rPr>
              <w:t>Edit Unit Information</w:t>
            </w:r>
            <w:r>
              <w:t>.</w:t>
            </w:r>
          </w:p>
        </w:tc>
        <w:tc>
          <w:tcPr>
            <w:tcW w:w="6120" w:type="dxa"/>
            <w:tcBorders>
              <w:top w:val="single" w:sz="4" w:space="0" w:color="auto"/>
              <w:left w:val="single" w:sz="4" w:space="0" w:color="auto"/>
              <w:bottom w:val="single" w:sz="4" w:space="0" w:color="auto"/>
              <w:right w:val="single" w:sz="4" w:space="0" w:color="auto"/>
            </w:tcBorders>
          </w:tcPr>
          <w:p w14:paraId="4DEA4AEE" w14:textId="77777777" w:rsidR="002326F7" w:rsidRDefault="002326F7" w:rsidP="00FA7E65">
            <w:pPr>
              <w:pStyle w:val="TableTextBullet"/>
            </w:pPr>
            <w:r>
              <w:t>Displays options for processing blood units.</w:t>
            </w:r>
          </w:p>
          <w:p w14:paraId="304959F0" w14:textId="77777777" w:rsidR="002326F7" w:rsidRDefault="002326F7" w:rsidP="00FA7E65">
            <w:pPr>
              <w:pStyle w:val="TableTextBullet"/>
            </w:pPr>
            <w:r>
              <w:t>Displays options for selecting and editing a unit.</w:t>
            </w:r>
          </w:p>
        </w:tc>
      </w:tr>
      <w:tr w:rsidR="002326F7" w14:paraId="54BEB6C0" w14:textId="77777777" w:rsidTr="006C058D">
        <w:trPr>
          <w:cantSplit/>
        </w:trPr>
        <w:tc>
          <w:tcPr>
            <w:tcW w:w="3240" w:type="dxa"/>
            <w:tcBorders>
              <w:top w:val="single" w:sz="4" w:space="0" w:color="auto"/>
              <w:left w:val="single" w:sz="4" w:space="0" w:color="auto"/>
              <w:bottom w:val="single" w:sz="4" w:space="0" w:color="auto"/>
              <w:right w:val="single" w:sz="4" w:space="0" w:color="auto"/>
            </w:tcBorders>
          </w:tcPr>
          <w:p w14:paraId="32C54496" w14:textId="77777777" w:rsidR="002326F7" w:rsidRDefault="002326F7" w:rsidP="00FA7E65">
            <w:pPr>
              <w:pStyle w:val="TableTextNumbers"/>
            </w:pPr>
            <w:r>
              <w:lastRenderedPageBreak/>
              <w:t>Scan or enter a unit ID and product code. May cancel and select a different unit.</w:t>
            </w:r>
          </w:p>
        </w:tc>
        <w:tc>
          <w:tcPr>
            <w:tcW w:w="6120" w:type="dxa"/>
            <w:tcBorders>
              <w:top w:val="single" w:sz="4" w:space="0" w:color="auto"/>
              <w:left w:val="single" w:sz="4" w:space="0" w:color="auto"/>
              <w:bottom w:val="single" w:sz="4" w:space="0" w:color="auto"/>
              <w:right w:val="single" w:sz="4" w:space="0" w:color="auto"/>
            </w:tcBorders>
          </w:tcPr>
          <w:p w14:paraId="54E4FAEB" w14:textId="77777777" w:rsidR="002326F7" w:rsidRDefault="002326F7" w:rsidP="00FA7E65">
            <w:pPr>
              <w:pStyle w:val="TableTextBullet"/>
            </w:pPr>
            <w:r>
              <w:t>Allows the user to scan or enter a unit ID and product code or select a unit.</w:t>
            </w:r>
          </w:p>
          <w:p w14:paraId="6F7AEDB3" w14:textId="77777777" w:rsidR="002326F7" w:rsidRDefault="002326F7" w:rsidP="00FA7E65">
            <w:pPr>
              <w:pStyle w:val="TableTextBullet"/>
            </w:pPr>
            <w:r>
              <w:t>Displays the editable unit information based on the user‘s security level.</w:t>
            </w:r>
          </w:p>
          <w:p w14:paraId="59FDCE2F" w14:textId="77777777" w:rsidR="00732AEE" w:rsidRDefault="00732AEE" w:rsidP="00732AEE">
            <w:pPr>
              <w:pStyle w:val="TableText"/>
            </w:pPr>
          </w:p>
          <w:p w14:paraId="78DBB91D" w14:textId="46AC992F" w:rsidR="00732AEE" w:rsidRDefault="00732AEE" w:rsidP="00732AEE">
            <w:pPr>
              <w:pStyle w:val="TableText"/>
              <w:rPr>
                <w:b/>
                <w:bCs/>
                <w:szCs w:val="18"/>
              </w:rPr>
            </w:pPr>
            <w:r>
              <w:rPr>
                <w:b/>
                <w:bCs/>
                <w:szCs w:val="18"/>
              </w:rPr>
              <w:t>NOTES</w:t>
            </w:r>
          </w:p>
          <w:p w14:paraId="205977C9" w14:textId="77777777" w:rsidR="00732AEE" w:rsidRDefault="00732AEE" w:rsidP="00732AEE">
            <w:pPr>
              <w:pStyle w:val="NotesText"/>
            </w:pPr>
          </w:p>
          <w:p w14:paraId="23552360" w14:textId="77777777" w:rsidR="002326F7" w:rsidRPr="002326F7" w:rsidRDefault="002326F7" w:rsidP="00732AEE">
            <w:pPr>
              <w:pStyle w:val="NotesText"/>
            </w:pPr>
            <w:r>
              <w:t>VBECS does not allow selection of a unit when</w:t>
            </w:r>
            <w:r w:rsidRPr="002326F7">
              <w:t xml:space="preserve"> </w:t>
            </w:r>
            <w:r>
              <w:t>it:</w:t>
            </w:r>
          </w:p>
          <w:p w14:paraId="143AED0C" w14:textId="77777777" w:rsidR="002326F7" w:rsidRDefault="002326F7" w:rsidP="00732AEE">
            <w:pPr>
              <w:pStyle w:val="NotesTextBullet"/>
            </w:pPr>
            <w:r w:rsidRPr="00B6138E">
              <w:rPr>
                <w:vanish/>
                <w:szCs w:val="18"/>
              </w:rPr>
              <w:t xml:space="preserve">BR_70.03 </w:t>
            </w:r>
            <w:r>
              <w:t>Is currently assigned to a patient.</w:t>
            </w:r>
          </w:p>
          <w:p w14:paraId="33A4B0AA" w14:textId="77777777" w:rsidR="002326F7" w:rsidRDefault="002326F7" w:rsidP="00732AEE">
            <w:pPr>
              <w:pStyle w:val="NotesTextBullet"/>
            </w:pPr>
            <w:r w:rsidRPr="00B6138E">
              <w:rPr>
                <w:vanish/>
                <w:szCs w:val="18"/>
              </w:rPr>
              <w:t xml:space="preserve">BR_70.06 </w:t>
            </w:r>
            <w:r>
              <w:t>Has a final unit status.</w:t>
            </w:r>
          </w:p>
          <w:p w14:paraId="501A324A" w14:textId="77777777" w:rsidR="002326F7" w:rsidRPr="002326F7" w:rsidRDefault="002326F7" w:rsidP="00732AEE">
            <w:pPr>
              <w:pStyle w:val="NotesTextBullet"/>
            </w:pPr>
            <w:r w:rsidRPr="00B6138E">
              <w:rPr>
                <w:vanish/>
                <w:szCs w:val="18"/>
              </w:rPr>
              <w:t xml:space="preserve">BR_70.07 </w:t>
            </w:r>
            <w:r w:rsidR="00BF0467">
              <w:t>Has a previous patient assignmen</w:t>
            </w:r>
            <w:r w:rsidR="00DF36B1">
              <w:t>t record and the user is a Lead</w:t>
            </w:r>
            <w:r w:rsidR="00BF0467">
              <w:t xml:space="preserve"> </w:t>
            </w:r>
            <w:r w:rsidR="00DF36B1">
              <w:t xml:space="preserve">or </w:t>
            </w:r>
            <w:r w:rsidR="00BF0467">
              <w:t>Enhanced Technologist.</w:t>
            </w:r>
            <w:r w:rsidR="002329E3">
              <w:t xml:space="preserve"> </w:t>
            </w:r>
            <w:r w:rsidR="002329E3" w:rsidRPr="002329E3">
              <w:rPr>
                <w:vanish/>
              </w:rPr>
              <w:t>DR 3,012</w:t>
            </w:r>
          </w:p>
          <w:p w14:paraId="18081422" w14:textId="77777777" w:rsidR="002326F7" w:rsidRDefault="002326F7" w:rsidP="00732AEE">
            <w:pPr>
              <w:pStyle w:val="NotesText"/>
            </w:pPr>
          </w:p>
          <w:p w14:paraId="08F90843" w14:textId="77777777" w:rsidR="002326F7" w:rsidRPr="002326F7" w:rsidRDefault="002326F7" w:rsidP="00732AEE">
            <w:pPr>
              <w:pStyle w:val="NotesText"/>
            </w:pPr>
            <w:r>
              <w:t>There is no override. VBECS clears the screen and allows the user to select a new unit.</w:t>
            </w:r>
          </w:p>
        </w:tc>
      </w:tr>
      <w:tr w:rsidR="002A21AE" w14:paraId="2FDDF552"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3375B75F" w14:textId="77777777" w:rsidR="002A21AE" w:rsidRDefault="002A21AE">
            <w:pPr>
              <w:pStyle w:val="TableTextNumbers"/>
            </w:pPr>
            <w:r>
              <w:t xml:space="preserve">Click </w:t>
            </w:r>
            <w:r>
              <w:rPr>
                <w:b/>
              </w:rPr>
              <w:t xml:space="preserve">Inactivate Unit, </w:t>
            </w:r>
            <w:r>
              <w:t>as desired.</w:t>
            </w:r>
          </w:p>
        </w:tc>
        <w:tc>
          <w:tcPr>
            <w:tcW w:w="6120" w:type="dxa"/>
            <w:tcBorders>
              <w:top w:val="single" w:sz="4" w:space="0" w:color="auto"/>
              <w:left w:val="single" w:sz="4" w:space="0" w:color="auto"/>
              <w:bottom w:val="single" w:sz="4" w:space="0" w:color="auto"/>
              <w:right w:val="single" w:sz="4" w:space="0" w:color="auto"/>
            </w:tcBorders>
          </w:tcPr>
          <w:p w14:paraId="46088643" w14:textId="77777777" w:rsidR="00D64EFA" w:rsidRDefault="00D64EFA">
            <w:pPr>
              <w:pStyle w:val="TableTextBullet"/>
            </w:pPr>
            <w:r>
              <w:t>Displays fields to add or inactivate unit information and an option to inactivate a unit, based on the condition of the unit and the user’s security level.</w:t>
            </w:r>
          </w:p>
          <w:p w14:paraId="50138E82" w14:textId="77777777" w:rsidR="002A21AE" w:rsidRDefault="002A21AE">
            <w:pPr>
              <w:pStyle w:val="TableTextBullet"/>
            </w:pPr>
            <w:r>
              <w:t>Displays unit data.</w:t>
            </w:r>
          </w:p>
          <w:p w14:paraId="194EE6B9" w14:textId="77777777" w:rsidR="002A21AE" w:rsidRDefault="002A21AE">
            <w:pPr>
              <w:pStyle w:val="TableTextBullet"/>
            </w:pPr>
            <w:r>
              <w:t>Requires a comment to process the unit inactivation.</w:t>
            </w:r>
          </w:p>
          <w:p w14:paraId="02F6045A" w14:textId="77777777" w:rsidR="002A21AE" w:rsidRDefault="002A21AE">
            <w:pPr>
              <w:pStyle w:val="TableText"/>
            </w:pPr>
          </w:p>
          <w:p w14:paraId="3311AC90" w14:textId="667D75F1" w:rsidR="002A21AE" w:rsidRDefault="002A21AE">
            <w:pPr>
              <w:pStyle w:val="TableText"/>
              <w:rPr>
                <w:b/>
                <w:bCs/>
                <w:szCs w:val="18"/>
              </w:rPr>
            </w:pPr>
            <w:r>
              <w:rPr>
                <w:b/>
                <w:bCs/>
                <w:szCs w:val="18"/>
              </w:rPr>
              <w:t>NOTES</w:t>
            </w:r>
          </w:p>
          <w:p w14:paraId="4815EF2D" w14:textId="77777777" w:rsidR="002A21AE" w:rsidRDefault="002A21AE">
            <w:pPr>
              <w:pStyle w:val="NotesText"/>
            </w:pPr>
          </w:p>
          <w:p w14:paraId="0C855A2E" w14:textId="77777777" w:rsidR="002A21AE" w:rsidRDefault="002A21AE">
            <w:pPr>
              <w:pStyle w:val="NotesText"/>
            </w:pPr>
            <w:r>
              <w:rPr>
                <w:rFonts w:cs="Arial"/>
                <w:vanish/>
              </w:rPr>
              <w:t xml:space="preserve">BR_12.03 </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Traditional Supervisor attempts to </w:t>
            </w:r>
            <w:r w:rsidR="00932948">
              <w:t>inactivate</w:t>
            </w:r>
            <w:r>
              <w:t xml:space="preserve"> a unit’s record, VBECS warns the user.</w:t>
            </w:r>
            <w:r w:rsidR="000A70BE">
              <w:t xml:space="preserve"> A blood unit’s record cannot be destroyed or removed from the database for any reason. The system displays a warning message with no override to all users: “Inactivated unit records cannot be destroyed.”</w:t>
            </w:r>
          </w:p>
          <w:p w14:paraId="72E15F77" w14:textId="77777777" w:rsidR="003E636E" w:rsidRDefault="003E636E">
            <w:pPr>
              <w:pStyle w:val="NotesText"/>
              <w:rPr>
                <w:rFonts w:cs="Arial"/>
                <w:vanish/>
              </w:rPr>
            </w:pPr>
          </w:p>
          <w:p w14:paraId="4B184061" w14:textId="77777777" w:rsidR="002A21AE" w:rsidRDefault="00A74496">
            <w:pPr>
              <w:pStyle w:val="NotesText"/>
            </w:pPr>
            <w:r w:rsidRPr="00A74496">
              <w:rPr>
                <w:rFonts w:cs="Arial"/>
                <w:vanish/>
                <w:szCs w:val="18"/>
              </w:rPr>
              <w:t xml:space="preserve">BR_12.05 </w:t>
            </w:r>
            <w:r w:rsidR="00CE16C3" w:rsidRPr="00200B6D">
              <w:t>An inactiv</w:t>
            </w:r>
            <w:r w:rsidR="00234375" w:rsidRPr="00200B6D">
              <w:t>at</w:t>
            </w:r>
            <w:r w:rsidR="00CE16C3" w:rsidRPr="00200B6D">
              <w:t>e</w:t>
            </w:r>
            <w:r w:rsidR="00234375" w:rsidRPr="00200B6D">
              <w:t>d</w:t>
            </w:r>
            <w:r w:rsidRPr="00200B6D">
              <w:t xml:space="preserve"> unit is no</w:t>
            </w:r>
            <w:r w:rsidR="00CE16C3" w:rsidRPr="00200B6D">
              <w:t>t</w:t>
            </w:r>
            <w:r w:rsidRPr="00200B6D">
              <w:t xml:space="preserve"> </w:t>
            </w:r>
            <w:r>
              <w:t xml:space="preserve">accessible. The record </w:t>
            </w:r>
            <w:r w:rsidR="000A6572">
              <w:t>is available</w:t>
            </w:r>
            <w:r w:rsidR="00660511">
              <w:t xml:space="preserve"> in</w:t>
            </w:r>
            <w:r>
              <w:t xml:space="preserve"> the </w:t>
            </w:r>
            <w:r w:rsidR="00CE16C3">
              <w:t>A</w:t>
            </w:r>
            <w:r>
              <w:t xml:space="preserve">udit </w:t>
            </w:r>
            <w:r w:rsidR="00234375">
              <w:t xml:space="preserve">Trail </w:t>
            </w:r>
            <w:r w:rsidR="003E636E">
              <w:t xml:space="preserve">and Unit History </w:t>
            </w:r>
            <w:r w:rsidR="00CE16C3">
              <w:t>R</w:t>
            </w:r>
            <w:r>
              <w:t>eport</w:t>
            </w:r>
            <w:r w:rsidR="003E636E">
              <w:t>s</w:t>
            </w:r>
            <w:r>
              <w:t xml:space="preserve"> and </w:t>
            </w:r>
            <w:r w:rsidR="00660511">
              <w:t>in</w:t>
            </w:r>
            <w:r>
              <w:t xml:space="preserve"> division statistical and informational </w:t>
            </w:r>
            <w:r w:rsidR="00A10483">
              <w:t>reports. When</w:t>
            </w:r>
            <w:r w:rsidR="002A21AE">
              <w:t xml:space="preserve"> VBECS inactivates a unit, it also inactivates costs previously associated with that unit.</w:t>
            </w:r>
          </w:p>
          <w:p w14:paraId="7C6AB5A8" w14:textId="77777777" w:rsidR="002A21AE" w:rsidRDefault="002A21AE">
            <w:pPr>
              <w:pStyle w:val="NotesText"/>
            </w:pPr>
          </w:p>
          <w:p w14:paraId="24C7E7DE" w14:textId="77777777" w:rsidR="002A21AE" w:rsidRDefault="002A21AE">
            <w:pPr>
              <w:pStyle w:val="NotesText"/>
            </w:pPr>
            <w:r>
              <w:rPr>
                <w:rFonts w:cs="Arial"/>
                <w:vanish/>
              </w:rPr>
              <w:t xml:space="preserve">BR_70.11 </w:t>
            </w:r>
            <w:r>
              <w:t xml:space="preserve">The user may </w:t>
            </w:r>
            <w:r w:rsidR="002326F7">
              <w:rPr>
                <w:rFonts w:cs="Arial"/>
                <w:szCs w:val="18"/>
              </w:rPr>
              <w:t>i</w:t>
            </w:r>
            <w:r>
              <w:rPr>
                <w:rFonts w:cs="Arial"/>
                <w:szCs w:val="18"/>
              </w:rPr>
              <w:t>nactivate the</w:t>
            </w:r>
            <w:r>
              <w:t xml:space="preserve"> unit with prior but no current patient </w:t>
            </w:r>
            <w:r w:rsidR="00D43534">
              <w:t>assignments</w:t>
            </w:r>
            <w:r>
              <w:t xml:space="preserve">. VBECS requires a comment to explain the inactivation. </w:t>
            </w:r>
          </w:p>
          <w:p w14:paraId="2416F09D" w14:textId="77777777" w:rsidR="002326F7" w:rsidRDefault="002326F7">
            <w:pPr>
              <w:pStyle w:val="NotesText"/>
            </w:pPr>
          </w:p>
          <w:p w14:paraId="1F197D05" w14:textId="77777777" w:rsidR="002326F7" w:rsidRDefault="002326F7" w:rsidP="002326F7">
            <w:pPr>
              <w:pStyle w:val="NotesText"/>
            </w:pPr>
            <w:r>
              <w:t>Unit inactivation appears on the Audit Trail Report.</w:t>
            </w:r>
          </w:p>
        </w:tc>
      </w:tr>
      <w:tr w:rsidR="002A21AE" w14:paraId="6AD63F1A" w14:textId="77777777">
        <w:tc>
          <w:tcPr>
            <w:tcW w:w="3240" w:type="dxa"/>
            <w:tcBorders>
              <w:top w:val="single" w:sz="4" w:space="0" w:color="auto"/>
              <w:left w:val="single" w:sz="4" w:space="0" w:color="auto"/>
              <w:bottom w:val="single" w:sz="4" w:space="0" w:color="auto"/>
              <w:right w:val="single" w:sz="4" w:space="0" w:color="auto"/>
            </w:tcBorders>
          </w:tcPr>
          <w:p w14:paraId="71190FB8" w14:textId="77777777" w:rsidR="002A21AE" w:rsidRDefault="002A21AE">
            <w:pPr>
              <w:pStyle w:val="TableTextNumbers"/>
            </w:pPr>
            <w:r>
              <w:t>Enter a comment.</w:t>
            </w:r>
          </w:p>
          <w:p w14:paraId="697D0A3D" w14:textId="77777777" w:rsidR="002A21AE" w:rsidRDefault="002A21AE">
            <w:pPr>
              <w:pStyle w:val="TableTextNumbersContinued"/>
            </w:pPr>
          </w:p>
          <w:p w14:paraId="7CFEC4DC" w14:textId="77777777" w:rsidR="002A21AE" w:rsidRDefault="002A21AE">
            <w:pPr>
              <w:pStyle w:val="TableTextNumbersContinued"/>
            </w:pPr>
            <w:r>
              <w:t xml:space="preserve">Click </w:t>
            </w:r>
            <w:r>
              <w:rPr>
                <w:b/>
              </w:rPr>
              <w:t>OK</w:t>
            </w:r>
            <w:r>
              <w:t xml:space="preserve"> to save. </w:t>
            </w:r>
            <w:r w:rsidR="00F41673">
              <w:rPr>
                <w:vanish/>
                <w:color w:val="FFFFFF"/>
                <w:szCs w:val="18"/>
              </w:rPr>
              <w:fldChar w:fldCharType="begin"/>
            </w:r>
            <w:r w:rsidR="00F41673">
              <w:rPr>
                <w:vanish/>
                <w:color w:val="FFFFFF"/>
                <w:szCs w:val="18"/>
              </w:rPr>
              <w:instrText xml:space="preserve"> LISTNUM \l 1 \s 0 </w:instrText>
            </w:r>
            <w:r w:rsidR="00F41673">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4D3320B" w14:textId="77777777" w:rsidR="002A21AE" w:rsidRDefault="002A21AE">
            <w:pPr>
              <w:pStyle w:val="TableTextBullet"/>
            </w:pPr>
            <w:r>
              <w:t>Marks the selected unit record “inactive.”</w:t>
            </w:r>
          </w:p>
          <w:p w14:paraId="4533AF3B" w14:textId="77777777" w:rsidR="002A21AE" w:rsidRPr="00AE73C3" w:rsidRDefault="002A21AE" w:rsidP="00AE73C3">
            <w:pPr>
              <w:pStyle w:val="TableTextBullet"/>
            </w:pPr>
            <w:r>
              <w:t>Saves the record.</w:t>
            </w:r>
            <w:r w:rsidR="004840A0">
              <w:t xml:space="preserve"> </w:t>
            </w:r>
          </w:p>
        </w:tc>
      </w:tr>
    </w:tbl>
    <w:p w14:paraId="62E19919" w14:textId="77777777" w:rsidR="00DC3DA1" w:rsidRDefault="00DC3DA1">
      <w:pPr>
        <w:pStyle w:val="Heading3"/>
      </w:pPr>
    </w:p>
    <w:p w14:paraId="423BE19C" w14:textId="77777777" w:rsidR="00DC3DA1" w:rsidRDefault="00DC3DA1">
      <w:pPr>
        <w:rPr>
          <w:rFonts w:ascii="Arial" w:hAnsi="Arial" w:cs="Arial"/>
          <w:b/>
          <w:bCs/>
          <w:sz w:val="26"/>
          <w:szCs w:val="26"/>
        </w:rPr>
      </w:pPr>
      <w:r>
        <w:br w:type="page"/>
      </w:r>
    </w:p>
    <w:p w14:paraId="383FAC07" w14:textId="03BB4467" w:rsidR="002A21AE" w:rsidRDefault="002A21AE">
      <w:pPr>
        <w:pStyle w:val="Heading3"/>
      </w:pPr>
      <w:bookmarkStart w:id="339" w:name="_Toc163644921"/>
      <w:r>
        <w:lastRenderedPageBreak/>
        <w:t>Edit Financial Data</w:t>
      </w:r>
      <w:bookmarkEnd w:id="339"/>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Financial Data</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UC_14</w:t>
      </w:r>
    </w:p>
    <w:p w14:paraId="7DB74B73" w14:textId="77777777" w:rsidR="002A21AE" w:rsidRDefault="002A21AE" w:rsidP="00FA7E65">
      <w:pPr>
        <w:pStyle w:val="BodyText"/>
      </w:pPr>
      <w:r>
        <w:t>The user enters and/or edits charges associated with a unit after it is logged into inventory.</w:t>
      </w:r>
    </w:p>
    <w:p w14:paraId="7BD682D8" w14:textId="77777777" w:rsidR="002A21AE" w:rsidRDefault="002A21AE">
      <w:pPr>
        <w:pStyle w:val="Heading4"/>
      </w:pPr>
      <w:r>
        <w:t>Assumptions</w:t>
      </w:r>
      <w:r>
        <w:rPr>
          <w:b w:val="0"/>
        </w:rPr>
        <w:t xml:space="preserve"> </w:t>
      </w:r>
    </w:p>
    <w:p w14:paraId="6F669346" w14:textId="77777777" w:rsidR="002A21AE" w:rsidRDefault="002A21AE">
      <w:pPr>
        <w:pStyle w:val="ListBullet"/>
      </w:pPr>
      <w:r>
        <w:t>The user is logged into the division containing the unit to be edited.</w:t>
      </w:r>
    </w:p>
    <w:p w14:paraId="4D2CD98B" w14:textId="77777777" w:rsidR="002A21AE" w:rsidRDefault="002A21AE">
      <w:pPr>
        <w:pStyle w:val="Heading4"/>
      </w:pPr>
      <w:r>
        <w:t>Outcome</w:t>
      </w:r>
    </w:p>
    <w:p w14:paraId="4CA27FBD" w14:textId="77777777" w:rsidR="002A21AE" w:rsidRDefault="002A21AE">
      <w:pPr>
        <w:pStyle w:val="ListBullet"/>
      </w:pPr>
      <w:r>
        <w:t>Unit billing information was changed.</w:t>
      </w:r>
    </w:p>
    <w:p w14:paraId="110B5220" w14:textId="77777777" w:rsidR="002A21AE" w:rsidRDefault="002A21AE">
      <w:pPr>
        <w:pStyle w:val="Heading4"/>
        <w:rPr>
          <w:b w:val="0"/>
        </w:rPr>
      </w:pPr>
      <w:r>
        <w:t>Limitations and Restrictions</w:t>
      </w:r>
      <w:r>
        <w:rPr>
          <w:b w:val="0"/>
        </w:rPr>
        <w:t xml:space="preserve"> </w:t>
      </w:r>
    </w:p>
    <w:p w14:paraId="7A5A4EA4" w14:textId="19A55CDF" w:rsidR="002A21AE" w:rsidRPr="00657C98" w:rsidRDefault="00D4567F">
      <w:pPr>
        <w:pStyle w:val="ListBulle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F8698E">
        <w:t xml:space="preserve"> </w:t>
      </w:r>
      <w:r w:rsidR="00F8698E" w:rsidRPr="00F8698E">
        <w:rPr>
          <w:vanish/>
        </w:rPr>
        <w:t>DR 5012</w:t>
      </w:r>
    </w:p>
    <w:p w14:paraId="77E8A90E" w14:textId="5C202829" w:rsidR="00657C98" w:rsidRDefault="00157ABC">
      <w:pPr>
        <w:pStyle w:val="ListBullet"/>
      </w:pPr>
      <w:r>
        <w:t xml:space="preserve">Base </w:t>
      </w:r>
      <w:r w:rsidR="00657C98">
        <w:t xml:space="preserve">Cost entry is capped at </w:t>
      </w:r>
      <w:r>
        <w:t>99,</w:t>
      </w:r>
      <w:r w:rsidR="00657C98">
        <w:t>999.</w:t>
      </w:r>
      <w:r>
        <w:t>00</w:t>
      </w:r>
    </w:p>
    <w:p w14:paraId="58B1987E" w14:textId="47B14824" w:rsidR="00157ABC" w:rsidRDefault="00157ABC">
      <w:pPr>
        <w:pStyle w:val="ListBullet"/>
      </w:pPr>
      <w:r>
        <w:t>Special Testing Cost is capped at 9,999.99</w:t>
      </w:r>
    </w:p>
    <w:p w14:paraId="77296A49" w14:textId="69B23825" w:rsidR="00157ABC" w:rsidRDefault="00157ABC">
      <w:pPr>
        <w:pStyle w:val="ListBullet"/>
      </w:pPr>
      <w:r>
        <w:t>Return Credit is capped at 99,999.00</w:t>
      </w:r>
    </w:p>
    <w:p w14:paraId="7587F28B" w14:textId="77777777" w:rsidR="002A21AE" w:rsidRDefault="002A21AE">
      <w:pPr>
        <w:pStyle w:val="Heading4"/>
      </w:pPr>
      <w:r>
        <w:t xml:space="preserve">Additional Information </w:t>
      </w:r>
    </w:p>
    <w:p w14:paraId="7B70C032" w14:textId="77777777" w:rsidR="002A21AE" w:rsidRDefault="002A21AE">
      <w:pPr>
        <w:pStyle w:val="ListBullet"/>
      </w:pPr>
      <w:r>
        <w:t>None</w:t>
      </w:r>
    </w:p>
    <w:p w14:paraId="2F8A2830" w14:textId="77777777" w:rsidR="002A21AE" w:rsidRDefault="002A21AE">
      <w:pPr>
        <w:pStyle w:val="Heading4"/>
        <w:rPr>
          <w:b w:val="0"/>
        </w:rPr>
      </w:pPr>
      <w:r>
        <w:t>User Roles with Access to This Option</w:t>
      </w:r>
      <w:r>
        <w:rPr>
          <w:b w:val="0"/>
        </w:rPr>
        <w:t xml:space="preserve"> </w:t>
      </w:r>
    </w:p>
    <w:p w14:paraId="6234942D" w14:textId="77777777" w:rsidR="00E01A40" w:rsidRDefault="00E01A40" w:rsidP="00E01A40">
      <w:pPr>
        <w:pStyle w:val="Roles"/>
        <w:rPr>
          <w:snapToGrid w:val="0"/>
        </w:rPr>
      </w:pPr>
      <w:r>
        <w:t>All users</w:t>
      </w:r>
      <w:r>
        <w:rPr>
          <w:snapToGrid w:val="0"/>
        </w:rPr>
        <w:t xml:space="preserve"> </w:t>
      </w:r>
    </w:p>
    <w:p w14:paraId="16255AEA" w14:textId="77777777" w:rsidR="002A21AE" w:rsidRDefault="00F8698E">
      <w:pPr>
        <w:pStyle w:val="Heading4"/>
      </w:pPr>
      <w:r>
        <w:br w:type="page"/>
      </w:r>
      <w:r w:rsidR="002A21AE">
        <w:lastRenderedPageBreak/>
        <w:t>Edit Financial Data</w:t>
      </w:r>
    </w:p>
    <w:p w14:paraId="321D914F" w14:textId="77777777" w:rsidR="002A21AE" w:rsidRDefault="002A21AE" w:rsidP="00FA7E65">
      <w:pPr>
        <w:pStyle w:val="BodyText"/>
      </w:pPr>
      <w:r>
        <w:t xml:space="preserve">The user adds and/or edits a unit charge. The user confirms the unit selection, enters the dollar amount of the charge, and reviews and accepts the charge entered.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A3D949C" w14:textId="77777777">
        <w:trPr>
          <w:cantSplit/>
          <w:tblHeader/>
        </w:trPr>
        <w:tc>
          <w:tcPr>
            <w:tcW w:w="3240" w:type="dxa"/>
            <w:shd w:val="pct30" w:color="auto" w:fill="FFFFFF"/>
            <w:vAlign w:val="bottom"/>
          </w:tcPr>
          <w:p w14:paraId="335C566C" w14:textId="77777777" w:rsidR="002A21AE" w:rsidRDefault="002A21AE">
            <w:pPr>
              <w:pStyle w:val="TableText"/>
              <w:rPr>
                <w:b/>
              </w:rPr>
            </w:pPr>
            <w:r>
              <w:rPr>
                <w:b/>
              </w:rPr>
              <w:t>User Action</w:t>
            </w:r>
          </w:p>
        </w:tc>
        <w:tc>
          <w:tcPr>
            <w:tcW w:w="6120" w:type="dxa"/>
            <w:shd w:val="pct30" w:color="auto" w:fill="FFFFFF"/>
            <w:vAlign w:val="bottom"/>
          </w:tcPr>
          <w:p w14:paraId="786C3516" w14:textId="77777777" w:rsidR="002A21AE" w:rsidRDefault="002A21AE">
            <w:pPr>
              <w:pStyle w:val="TableText"/>
              <w:rPr>
                <w:b/>
              </w:rPr>
            </w:pPr>
            <w:r>
              <w:rPr>
                <w:b/>
              </w:rPr>
              <w:t>VBECS</w:t>
            </w:r>
          </w:p>
        </w:tc>
      </w:tr>
      <w:tr w:rsidR="002A21AE" w14:paraId="6B5B473B" w14:textId="77777777">
        <w:tc>
          <w:tcPr>
            <w:tcW w:w="3240" w:type="dxa"/>
          </w:tcPr>
          <w:p w14:paraId="577B1C2E" w14:textId="77777777" w:rsidR="002A21AE" w:rsidRDefault="002A21AE">
            <w:pPr>
              <w:pStyle w:val="TableTextNumbers"/>
            </w:pPr>
            <w:r>
              <w:t xml:space="preserve">Select </w:t>
            </w:r>
            <w:r>
              <w:rPr>
                <w:b/>
              </w:rPr>
              <w:t>Blood Units</w:t>
            </w:r>
            <w:r>
              <w:t xml:space="preserve"> from the main menu. </w:t>
            </w:r>
          </w:p>
          <w:p w14:paraId="28F5060D" w14:textId="77777777" w:rsidR="002A21AE" w:rsidRDefault="002A21AE">
            <w:pPr>
              <w:pStyle w:val="TableTextNumbersContinued"/>
            </w:pPr>
          </w:p>
          <w:p w14:paraId="5AF5E56E" w14:textId="77777777" w:rsidR="002A21AE" w:rsidRDefault="002A21AE">
            <w:pPr>
              <w:pStyle w:val="TableTextNumbersContinued"/>
            </w:pPr>
            <w:r>
              <w:t xml:space="preserve">Select </w:t>
            </w:r>
            <w:r>
              <w:rPr>
                <w:b/>
                <w:bCs/>
              </w:rPr>
              <w:t>Edit Financial Data</w:t>
            </w:r>
            <w:r>
              <w:t>.</w:t>
            </w:r>
          </w:p>
        </w:tc>
        <w:tc>
          <w:tcPr>
            <w:tcW w:w="6120" w:type="dxa"/>
          </w:tcPr>
          <w:p w14:paraId="266F9C75" w14:textId="77777777" w:rsidR="002A21AE" w:rsidRDefault="002A21AE">
            <w:pPr>
              <w:pStyle w:val="TableTextBullet"/>
            </w:pPr>
            <w:r>
              <w:t>Displays options for processing blood units.</w:t>
            </w:r>
          </w:p>
          <w:p w14:paraId="22D1F2C5" w14:textId="77777777" w:rsidR="002A21AE" w:rsidRDefault="002A21AE">
            <w:pPr>
              <w:pStyle w:val="TableTextBullet"/>
            </w:pPr>
            <w:r>
              <w:t>Displays fields for selecting a unit and editing its financial data.</w:t>
            </w:r>
          </w:p>
        </w:tc>
      </w:tr>
      <w:tr w:rsidR="002A21AE" w14:paraId="4164B49F" w14:textId="77777777">
        <w:trPr>
          <w:tblHeader/>
        </w:trPr>
        <w:tc>
          <w:tcPr>
            <w:tcW w:w="3240" w:type="dxa"/>
          </w:tcPr>
          <w:p w14:paraId="27C89035" w14:textId="77777777" w:rsidR="002A21AE" w:rsidRDefault="002A21AE">
            <w:pPr>
              <w:pStyle w:val="TableTextNumbers"/>
            </w:pPr>
            <w:r>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5450F8C6" w14:textId="77777777" w:rsidR="002A21AE" w:rsidRDefault="002A21AE">
            <w:pPr>
              <w:pStyle w:val="TableTextBullet"/>
            </w:pPr>
            <w:r>
              <w:t>Displays unit data.</w:t>
            </w:r>
          </w:p>
        </w:tc>
      </w:tr>
      <w:tr w:rsidR="002A21AE" w14:paraId="6F86B85D" w14:textId="77777777">
        <w:tc>
          <w:tcPr>
            <w:tcW w:w="3240" w:type="dxa"/>
          </w:tcPr>
          <w:p w14:paraId="4F7218CB" w14:textId="2677F0BC" w:rsidR="002A21AE" w:rsidRDefault="002A21AE">
            <w:pPr>
              <w:pStyle w:val="TableTextNumbers"/>
            </w:pPr>
            <w:r>
              <w:t>Edit the Base Cost, Special Test Cost, and/or Return Credit fields</w:t>
            </w:r>
            <w:r w:rsidR="009A7383">
              <w:t xml:space="preserve"> (</w:t>
            </w:r>
            <w:r w:rsidR="00EE455E">
              <w:t xml:space="preserve">Figure </w:t>
            </w:r>
            <w:r w:rsidR="00EE455E">
              <w:rPr>
                <w:noProof/>
              </w:rPr>
              <w:t>66</w:t>
            </w:r>
            <w:r w:rsidR="009A7383">
              <w:t>)</w:t>
            </w:r>
            <w:r>
              <w:t>.</w:t>
            </w:r>
          </w:p>
        </w:tc>
        <w:tc>
          <w:tcPr>
            <w:tcW w:w="6120" w:type="dxa"/>
          </w:tcPr>
          <w:p w14:paraId="672E0633" w14:textId="77777777" w:rsidR="002A21AE" w:rsidRDefault="002A21AE">
            <w:pPr>
              <w:pStyle w:val="TableTextBullet"/>
            </w:pPr>
            <w:r>
              <w:t>Allows the user to edit the fields in the Financial Information area.</w:t>
            </w:r>
          </w:p>
          <w:p w14:paraId="6BB0C64A" w14:textId="77777777" w:rsidR="002A21AE" w:rsidRDefault="002A21AE">
            <w:pPr>
              <w:pStyle w:val="TableTextBullet"/>
            </w:pPr>
            <w:r>
              <w:t>Displays the edited data.</w:t>
            </w:r>
          </w:p>
          <w:p w14:paraId="77B3F712" w14:textId="77777777" w:rsidR="002A21AE" w:rsidRDefault="002A21AE">
            <w:pPr>
              <w:pStyle w:val="TableText"/>
            </w:pPr>
          </w:p>
          <w:p w14:paraId="4E1A66D9" w14:textId="76227E88" w:rsidR="002A21AE" w:rsidRDefault="002A21AE">
            <w:pPr>
              <w:pStyle w:val="TableText"/>
              <w:rPr>
                <w:b/>
                <w:bCs/>
                <w:szCs w:val="18"/>
              </w:rPr>
            </w:pPr>
            <w:r>
              <w:rPr>
                <w:b/>
                <w:bCs/>
                <w:szCs w:val="18"/>
              </w:rPr>
              <w:t>NOTES</w:t>
            </w:r>
          </w:p>
          <w:p w14:paraId="65E86FAB" w14:textId="77777777" w:rsidR="002A21AE" w:rsidRDefault="002A21AE">
            <w:pPr>
              <w:pStyle w:val="NotesText"/>
            </w:pPr>
          </w:p>
          <w:p w14:paraId="2110CEFC" w14:textId="77777777" w:rsidR="002A21AE" w:rsidRDefault="002A21AE">
            <w:pPr>
              <w:pStyle w:val="NotesText"/>
            </w:pPr>
            <w:r w:rsidRPr="00EC7489">
              <w:rPr>
                <w:rFonts w:ascii="Wingdings 3" w:hAnsi="Wingdings 3" w:cs="Wingdings"/>
              </w:rPr>
              <w:t></w:t>
            </w:r>
            <w:r w:rsidRPr="00EC7489">
              <w:rPr>
                <w:rFonts w:ascii="Wingdings 3" w:hAnsi="Wingdings 3" w:cs="Wingdings"/>
              </w:rPr>
              <w:t></w:t>
            </w:r>
            <w:r>
              <w:t xml:space="preserve"> The Enhanced Technologist may edit existing amounts.</w:t>
            </w:r>
          </w:p>
          <w:p w14:paraId="1CE1678D" w14:textId="77777777" w:rsidR="002A21AE" w:rsidRDefault="002A21AE">
            <w:pPr>
              <w:pStyle w:val="NotesText"/>
            </w:pPr>
          </w:p>
          <w:p w14:paraId="0E4E4313" w14:textId="16BCE3A9" w:rsidR="002A21AE" w:rsidRDefault="002A21AE">
            <w:pPr>
              <w:pStyle w:val="NotesText"/>
            </w:pPr>
            <w:r>
              <w:rPr>
                <w:rFonts w:cs="Arial"/>
                <w:vanish/>
              </w:rPr>
              <w:t xml:space="preserve">BR_1.46 </w:t>
            </w:r>
            <w:r>
              <w:t xml:space="preserve">VBECS allows the user to enter a single special </w:t>
            </w:r>
            <w:r w:rsidR="001C07FE">
              <w:t>testing</w:t>
            </w:r>
            <w:r>
              <w:t xml:space="preserve"> cost (the sum of charges from $</w:t>
            </w:r>
            <w:r w:rsidR="009E0A43">
              <w:t>0.00 to 9,999.99</w:t>
            </w:r>
            <w:r>
              <w:t xml:space="preserve">, other than the base unit cost, added to a unit by the shipper) to associate with a unit. </w:t>
            </w:r>
          </w:p>
          <w:p w14:paraId="6B6FE1E1" w14:textId="77777777" w:rsidR="002A21AE" w:rsidRDefault="002A21AE">
            <w:pPr>
              <w:pStyle w:val="NotesText"/>
            </w:pPr>
          </w:p>
          <w:p w14:paraId="3E39547F" w14:textId="77777777" w:rsidR="002A21AE" w:rsidRDefault="002A21AE">
            <w:pPr>
              <w:pStyle w:val="NotesText"/>
            </w:pPr>
            <w:r>
              <w:t>When no special typing costs are entered through Incoming Shipment, a user may enter them in this option until the unit is in a final status.</w:t>
            </w:r>
          </w:p>
          <w:p w14:paraId="386B6B5F" w14:textId="77777777" w:rsidR="002A21AE" w:rsidRDefault="002A21AE">
            <w:pPr>
              <w:pStyle w:val="NotesText"/>
            </w:pPr>
          </w:p>
          <w:p w14:paraId="0C02F02F" w14:textId="69DA2C04" w:rsidR="002A21AE" w:rsidRDefault="002A21AE">
            <w:pPr>
              <w:pStyle w:val="NotesText"/>
            </w:pPr>
            <w:r>
              <w:rPr>
                <w:rFonts w:cs="Arial"/>
                <w:vanish/>
              </w:rPr>
              <w:t xml:space="preserve">BR_14.02 </w:t>
            </w:r>
            <w:r w:rsidRPr="00EC7489">
              <w:rPr>
                <w:rFonts w:ascii="Wingdings 3" w:hAnsi="Wingdings 3" w:cs="Wingdings"/>
              </w:rPr>
              <w:t></w:t>
            </w:r>
            <w:r w:rsidRPr="00EC7489">
              <w:rPr>
                <w:rFonts w:ascii="Wingdings 3" w:hAnsi="Wingdings 3" w:cs="Wingdings"/>
              </w:rPr>
              <w:t></w:t>
            </w:r>
            <w:r>
              <w:t xml:space="preserve"> The Enhanced Technologist may </w:t>
            </w:r>
            <w:r w:rsidR="0080720F">
              <w:t>add/</w:t>
            </w:r>
            <w:r>
              <w:t>edit a previously entered unit cost (unit base cost, return credit or special testing cost).</w:t>
            </w:r>
          </w:p>
          <w:p w14:paraId="67C4F84A" w14:textId="77777777" w:rsidR="002A21AE" w:rsidRDefault="002A21AE">
            <w:pPr>
              <w:pStyle w:val="NotesText"/>
            </w:pPr>
          </w:p>
          <w:p w14:paraId="0A761816" w14:textId="77777777" w:rsidR="002A21AE" w:rsidRDefault="002A21AE">
            <w:pPr>
              <w:pStyle w:val="NotesText"/>
            </w:pPr>
            <w:r>
              <w:rPr>
                <w:rFonts w:cs="Arial"/>
                <w:vanish/>
              </w:rPr>
              <w:t xml:space="preserve">BR_14.01 </w:t>
            </w:r>
            <w:r>
              <w:t>VBECS displays a return credit in U.S. currency (defined by the return credit percentage multiplied by the base unit cost for the blood product type in Blood Products). A user may enter a return credit amount only when VBECS assigned the return credit percentage through Outgoing Shipment or Discard or Quarantine. Otherwise, VBECS disables the Return Credit field.</w:t>
            </w:r>
          </w:p>
        </w:tc>
      </w:tr>
      <w:tr w:rsidR="002A21AE" w14:paraId="78384BDF" w14:textId="77777777">
        <w:tc>
          <w:tcPr>
            <w:tcW w:w="3240" w:type="dxa"/>
          </w:tcPr>
          <w:p w14:paraId="1E5BC6B7" w14:textId="77777777" w:rsidR="002A21AE" w:rsidRDefault="002A21AE">
            <w:pPr>
              <w:pStyle w:val="TableTextNumbers"/>
            </w:pPr>
            <w:r>
              <w:t xml:space="preserve">Review the data, click </w:t>
            </w:r>
            <w:r>
              <w:rPr>
                <w:b/>
              </w:rPr>
              <w:t xml:space="preserve">OK </w:t>
            </w:r>
            <w:r>
              <w:t xml:space="preserve">to save, and click </w:t>
            </w:r>
            <w:r>
              <w:rPr>
                <w:b/>
              </w:rPr>
              <w:t>OK</w:t>
            </w:r>
            <w:r>
              <w:t xml:space="preserve"> again to confirm the save.</w:t>
            </w:r>
          </w:p>
        </w:tc>
        <w:tc>
          <w:tcPr>
            <w:tcW w:w="6120" w:type="dxa"/>
          </w:tcPr>
          <w:p w14:paraId="41E328EE" w14:textId="77777777" w:rsidR="002A21AE" w:rsidRDefault="002A21AE">
            <w:pPr>
              <w:pStyle w:val="TableTextBullet"/>
            </w:pPr>
            <w:r>
              <w:t>Requests confirmation to update the database.</w:t>
            </w:r>
          </w:p>
          <w:p w14:paraId="42A6131E" w14:textId="77777777" w:rsidR="002A21AE" w:rsidRDefault="002A21AE">
            <w:pPr>
              <w:pStyle w:val="TableTextBullet"/>
            </w:pPr>
            <w:r>
              <w:t>Saves and updates the unit record.</w:t>
            </w:r>
          </w:p>
        </w:tc>
      </w:tr>
      <w:tr w:rsidR="002A21AE" w14:paraId="1C23E324" w14:textId="77777777">
        <w:tc>
          <w:tcPr>
            <w:tcW w:w="3240" w:type="dxa"/>
          </w:tcPr>
          <w:p w14:paraId="22C3B262" w14:textId="071BC87F" w:rsidR="002A21AE" w:rsidRDefault="002A21AE">
            <w:pPr>
              <w:pStyle w:val="TableTextNumbers"/>
            </w:pPr>
            <w:r>
              <w:t>Repeat Steps 2</w:t>
            </w:r>
            <w:r w:rsidR="004F5589">
              <w:t xml:space="preserve"> through </w:t>
            </w:r>
            <w:r>
              <w:t>4, as needed, to update additional unit financial data.</w:t>
            </w:r>
          </w:p>
        </w:tc>
        <w:tc>
          <w:tcPr>
            <w:tcW w:w="6120" w:type="dxa"/>
          </w:tcPr>
          <w:p w14:paraId="489F238E" w14:textId="77777777" w:rsidR="002A21AE" w:rsidRDefault="002A21AE">
            <w:pPr>
              <w:pStyle w:val="TableText"/>
            </w:pPr>
          </w:p>
        </w:tc>
      </w:tr>
      <w:tr w:rsidR="002A21AE" w14:paraId="396D6ABA" w14:textId="77777777">
        <w:tc>
          <w:tcPr>
            <w:tcW w:w="3240" w:type="dxa"/>
          </w:tcPr>
          <w:p w14:paraId="27CDACC7"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86A19D3" w14:textId="77777777" w:rsidR="002A21AE" w:rsidRDefault="002A21AE">
            <w:pPr>
              <w:pStyle w:val="TableText"/>
            </w:pPr>
          </w:p>
        </w:tc>
      </w:tr>
    </w:tbl>
    <w:p w14:paraId="35A42874" w14:textId="24EF7D57" w:rsidR="009A7383" w:rsidRDefault="009A7383" w:rsidP="009A7383">
      <w:pPr>
        <w:pStyle w:val="Caption"/>
      </w:pPr>
      <w:bookmarkStart w:id="340" w:name="_Ref126652778"/>
      <w:bookmarkStart w:id="341" w:name="_Toc6368036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67</w:t>
      </w:r>
      <w:r w:rsidR="004E20BD">
        <w:rPr>
          <w:noProof/>
        </w:rPr>
        <w:fldChar w:fldCharType="end"/>
      </w:r>
      <w:bookmarkEnd w:id="340"/>
      <w:r>
        <w:t>: Edit Unit Financial Data</w:t>
      </w:r>
    </w:p>
    <w:p w14:paraId="75B0BD88" w14:textId="77777777" w:rsidR="009A7383" w:rsidRDefault="00057948" w:rsidP="009A7383">
      <w:pPr>
        <w:pStyle w:val="BodyText"/>
      </w:pPr>
      <w:r>
        <w:rPr>
          <w:noProof/>
        </w:rPr>
        <w:drawing>
          <wp:inline distT="0" distB="0" distL="0" distR="0" wp14:anchorId="11B17E45" wp14:editId="6E959FD3">
            <wp:extent cx="5523230" cy="3879215"/>
            <wp:effectExtent l="0" t="0" r="1270" b="6985"/>
            <wp:docPr id="182" name="Picture 182" descr="Example of Edit Unit Financial Data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Example of Edit Unit Financial Data screen captu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23230" cy="3879215"/>
                    </a:xfrm>
                    <a:prstGeom prst="rect">
                      <a:avLst/>
                    </a:prstGeom>
                    <a:noFill/>
                    <a:ln>
                      <a:noFill/>
                    </a:ln>
                  </pic:spPr>
                </pic:pic>
              </a:graphicData>
            </a:graphic>
          </wp:inline>
        </w:drawing>
      </w:r>
    </w:p>
    <w:p w14:paraId="186410FB" w14:textId="77777777" w:rsidR="002A21AE" w:rsidRDefault="002A21AE">
      <w:pPr>
        <w:pStyle w:val="Heading3"/>
      </w:pPr>
      <w:bookmarkStart w:id="342" w:name="_Toc163644922"/>
      <w:r>
        <w:t>Free Directed Unit For Crossover</w:t>
      </w:r>
      <w:bookmarkEnd w:id="342"/>
      <w:r w:rsidRPr="007716F7">
        <w:rPr>
          <w:vanish/>
        </w:rPr>
        <w:fldChar w:fldCharType="begin"/>
      </w:r>
      <w:r w:rsidRPr="007716F7">
        <w:rPr>
          <w:vanish/>
        </w:rPr>
        <w:instrText xml:space="preserve"> XE </w:instrText>
      </w:r>
      <w:r w:rsidR="00FA7E65" w:rsidRPr="007716F7">
        <w:rPr>
          <w:vanish/>
        </w:rPr>
        <w:instrText>“</w:instrText>
      </w:r>
      <w:r w:rsidRPr="007716F7">
        <w:rPr>
          <w:vanish/>
        </w:rPr>
        <w:instrText>Free Directed Unit For Crossover</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UC_71</w:t>
      </w:r>
    </w:p>
    <w:p w14:paraId="51EC295A" w14:textId="77777777" w:rsidR="002A21AE" w:rsidRDefault="002A21AE" w:rsidP="00FA7E65">
      <w:pPr>
        <w:pStyle w:val="BodyText"/>
      </w:pPr>
      <w:r>
        <w:t xml:space="preserve">The user removes a patient restriction </w:t>
      </w:r>
      <w:r w:rsidR="00757A26">
        <w:t>from</w:t>
      </w:r>
      <w:r>
        <w:t xml:space="preserve"> a directed unit that is eligible for crossover, making that unit available for any patient, according to system rules. </w:t>
      </w:r>
    </w:p>
    <w:p w14:paraId="6BFB3610" w14:textId="77777777" w:rsidR="002A21AE" w:rsidRDefault="002A21AE">
      <w:pPr>
        <w:pStyle w:val="Heading4"/>
      </w:pPr>
      <w:r>
        <w:t>Assumptions</w:t>
      </w:r>
      <w:r>
        <w:rPr>
          <w:b w:val="0"/>
        </w:rPr>
        <w:t xml:space="preserve"> </w:t>
      </w:r>
    </w:p>
    <w:p w14:paraId="1F55F1E2" w14:textId="77777777" w:rsidR="00852AC1" w:rsidRDefault="00852AC1">
      <w:pPr>
        <w:pStyle w:val="ListBullet"/>
      </w:pPr>
      <w:r>
        <w:t>The division is “full service.”</w:t>
      </w:r>
    </w:p>
    <w:p w14:paraId="3F2D3E7F" w14:textId="77777777" w:rsidR="002A21AE" w:rsidRDefault="002A21AE">
      <w:pPr>
        <w:pStyle w:val="ListBullet"/>
      </w:pPr>
      <w:r>
        <w:t>The unit and the user are in a blood bank in the same division.</w:t>
      </w:r>
    </w:p>
    <w:p w14:paraId="45C36E58" w14:textId="77777777" w:rsidR="002A21AE" w:rsidRDefault="002A21AE">
      <w:pPr>
        <w:pStyle w:val="ListBullet"/>
      </w:pPr>
      <w:r>
        <w:t>The unit is restricted for a patient.</w:t>
      </w:r>
    </w:p>
    <w:p w14:paraId="756D087F" w14:textId="77777777" w:rsidR="002A21AE" w:rsidRDefault="002A21AE">
      <w:pPr>
        <w:pStyle w:val="ListBullet"/>
      </w:pPr>
      <w:r>
        <w:t xml:space="preserve">The unit is not autologous. </w:t>
      </w:r>
    </w:p>
    <w:p w14:paraId="72EBEADE" w14:textId="77777777" w:rsidR="002A21AE" w:rsidRDefault="002A21AE">
      <w:pPr>
        <w:pStyle w:val="ListBullet"/>
      </w:pPr>
      <w:r>
        <w:t>The unit is not in a final status.</w:t>
      </w:r>
    </w:p>
    <w:p w14:paraId="5F9E34DE" w14:textId="77777777" w:rsidR="002A21AE" w:rsidRDefault="002A21AE">
      <w:pPr>
        <w:pStyle w:val="Heading4"/>
      </w:pPr>
      <w:r>
        <w:t xml:space="preserve">Outcome </w:t>
      </w:r>
    </w:p>
    <w:p w14:paraId="535F09FB" w14:textId="77777777" w:rsidR="002A21AE" w:rsidRDefault="002A21AE">
      <w:pPr>
        <w:pStyle w:val="ListBullet"/>
      </w:pPr>
      <w:r>
        <w:t>The unit has no restrictions.</w:t>
      </w:r>
    </w:p>
    <w:p w14:paraId="000EBA27" w14:textId="77777777" w:rsidR="002A21AE" w:rsidRDefault="002A21AE">
      <w:pPr>
        <w:pStyle w:val="ListBullet"/>
      </w:pPr>
      <w:r>
        <w:t>VBECS documents the restriction and its removal in the unit record.</w:t>
      </w:r>
    </w:p>
    <w:p w14:paraId="50082716" w14:textId="77777777" w:rsidR="002A21AE" w:rsidRDefault="007A4F14">
      <w:pPr>
        <w:pStyle w:val="Heading4"/>
      </w:pPr>
      <w:r>
        <w:br w:type="page"/>
      </w:r>
      <w:r w:rsidR="002A21AE">
        <w:lastRenderedPageBreak/>
        <w:t>Limitations and Restrictions</w:t>
      </w:r>
      <w:r w:rsidR="002A21AE">
        <w:rPr>
          <w:b w:val="0"/>
        </w:rPr>
        <w:t xml:space="preserve"> </w:t>
      </w:r>
    </w:p>
    <w:p w14:paraId="63D04451" w14:textId="77777777" w:rsidR="002A21AE" w:rsidRDefault="002A21AE">
      <w:pPr>
        <w:pStyle w:val="ListBullet"/>
      </w:pPr>
      <w:r>
        <w:t xml:space="preserve">The unit must not be in a final status to release the restriction. </w:t>
      </w:r>
    </w:p>
    <w:p w14:paraId="47D9D049" w14:textId="77777777" w:rsidR="002A21AE" w:rsidRDefault="002A21AE">
      <w:pPr>
        <w:pStyle w:val="ListBullet"/>
      </w:pPr>
      <w:r>
        <w:t>This option does not allow the removal of patient restrictions for most of the ISBT donation types that are eligible for crossover</w:t>
      </w:r>
      <w:r w:rsidR="00651291">
        <w:t>.</w:t>
      </w:r>
    </w:p>
    <w:p w14:paraId="0A1859D6" w14:textId="77777777" w:rsidR="002A21AE" w:rsidRDefault="002A21AE">
      <w:pPr>
        <w:pStyle w:val="ListBullet"/>
      </w:pPr>
      <w:r>
        <w:t>This option cannot process multiple directed units simultaneously.</w:t>
      </w:r>
    </w:p>
    <w:p w14:paraId="633B2DFF" w14:textId="77777777" w:rsidR="002A21AE" w:rsidRDefault="002A21AE">
      <w:pPr>
        <w:pStyle w:val="Heading4"/>
      </w:pPr>
      <w:r>
        <w:t xml:space="preserve">Additional Information </w:t>
      </w:r>
    </w:p>
    <w:p w14:paraId="706085DF" w14:textId="736012C7" w:rsidR="00852AC1" w:rsidRPr="00852AC1" w:rsidRDefault="00852AC1" w:rsidP="00852AC1">
      <w:pPr>
        <w:pStyle w:val="ListBullet"/>
      </w:pPr>
      <w:r w:rsidRPr="00852AC1">
        <w:rPr>
          <w:snapToGrid w:val="0"/>
          <w:vanish/>
        </w:rPr>
        <w:t>BR_</w:t>
      </w:r>
      <w:r w:rsidR="00F63A03">
        <w:rPr>
          <w:snapToGrid w:val="0"/>
          <w:vanish/>
        </w:rPr>
        <w:t>2.43</w:t>
      </w:r>
      <w:r>
        <w:rPr>
          <w:snapToGrid w:val="0"/>
        </w:rPr>
        <w:t xml:space="preserve">This option is disabled for transfusion-only facilities. </w:t>
      </w:r>
    </w:p>
    <w:p w14:paraId="41FCADFA" w14:textId="77777777" w:rsidR="002A21AE" w:rsidRDefault="002A21AE">
      <w:pPr>
        <w:pStyle w:val="Heading4"/>
        <w:rPr>
          <w:b w:val="0"/>
        </w:rPr>
      </w:pPr>
      <w:r>
        <w:t>User Roles with Access to This Option</w:t>
      </w:r>
      <w:r>
        <w:rPr>
          <w:b w:val="0"/>
        </w:rPr>
        <w:t xml:space="preserve"> </w:t>
      </w:r>
    </w:p>
    <w:p w14:paraId="15AB344D" w14:textId="77777777" w:rsidR="002A21AE" w:rsidRDefault="00CD2BE3">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p>
    <w:p w14:paraId="640237B3" w14:textId="77777777" w:rsidR="002A21AE" w:rsidRDefault="002A21AE">
      <w:pPr>
        <w:pStyle w:val="Heading4"/>
      </w:pPr>
      <w:r>
        <w:t>Free Directed Unit For Crossover</w:t>
      </w:r>
    </w:p>
    <w:p w14:paraId="441FC40A" w14:textId="77777777" w:rsidR="002A21AE" w:rsidRDefault="002A21AE" w:rsidP="00FA7E65">
      <w:pPr>
        <w:pStyle w:val="BodyText"/>
      </w:pPr>
      <w:r>
        <w:t>The user releases the restriction on a directed donor unit to make the unit available in general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00BF2E" w14:textId="77777777">
        <w:trPr>
          <w:cantSplit/>
          <w:tblHeader/>
        </w:trPr>
        <w:tc>
          <w:tcPr>
            <w:tcW w:w="3240" w:type="dxa"/>
            <w:shd w:val="pct30" w:color="auto" w:fill="FFFFFF"/>
            <w:vAlign w:val="bottom"/>
          </w:tcPr>
          <w:p w14:paraId="11B090B2" w14:textId="77777777" w:rsidR="002A21AE" w:rsidRDefault="002A21AE">
            <w:pPr>
              <w:pStyle w:val="TableText"/>
              <w:rPr>
                <w:b/>
              </w:rPr>
            </w:pPr>
            <w:r>
              <w:rPr>
                <w:b/>
              </w:rPr>
              <w:t>User Action</w:t>
            </w:r>
          </w:p>
        </w:tc>
        <w:tc>
          <w:tcPr>
            <w:tcW w:w="6120" w:type="dxa"/>
            <w:shd w:val="pct30" w:color="auto" w:fill="FFFFFF"/>
            <w:vAlign w:val="bottom"/>
          </w:tcPr>
          <w:p w14:paraId="3DABC711" w14:textId="77777777" w:rsidR="002A21AE" w:rsidRDefault="002A21AE">
            <w:pPr>
              <w:pStyle w:val="TableText"/>
              <w:rPr>
                <w:b/>
              </w:rPr>
            </w:pPr>
            <w:r>
              <w:rPr>
                <w:b/>
              </w:rPr>
              <w:t>VBECS</w:t>
            </w:r>
          </w:p>
        </w:tc>
      </w:tr>
      <w:tr w:rsidR="002A21AE" w14:paraId="5937371E" w14:textId="77777777">
        <w:tc>
          <w:tcPr>
            <w:tcW w:w="3240" w:type="dxa"/>
          </w:tcPr>
          <w:p w14:paraId="71B2FFAE" w14:textId="77777777" w:rsidR="002A21AE" w:rsidRDefault="002A21AE">
            <w:pPr>
              <w:pStyle w:val="TableTextNumbers"/>
            </w:pPr>
            <w:r>
              <w:t xml:space="preserve">Select </w:t>
            </w:r>
            <w:r>
              <w:rPr>
                <w:b/>
              </w:rPr>
              <w:t xml:space="preserve">Blood Units </w:t>
            </w:r>
            <w:r>
              <w:t>from the main menu.</w:t>
            </w:r>
          </w:p>
          <w:p w14:paraId="7B07AA59" w14:textId="77777777" w:rsidR="002A21AE" w:rsidRDefault="002A21AE">
            <w:pPr>
              <w:pStyle w:val="TableTextNumbersContinued"/>
            </w:pPr>
          </w:p>
          <w:p w14:paraId="701F1E14" w14:textId="77777777" w:rsidR="002A21AE" w:rsidRDefault="002A21AE">
            <w:pPr>
              <w:pStyle w:val="TableTextNumbersContinued"/>
            </w:pPr>
            <w:r>
              <w:t xml:space="preserve">Select </w:t>
            </w:r>
            <w:r>
              <w:rPr>
                <w:b/>
              </w:rPr>
              <w:t xml:space="preserve">Free Directed Unit </w:t>
            </w:r>
            <w:r w:rsidR="008251CD">
              <w:rPr>
                <w:b/>
              </w:rPr>
              <w:t>F</w:t>
            </w:r>
            <w:r>
              <w:rPr>
                <w:b/>
              </w:rPr>
              <w:t>or Crossover</w:t>
            </w:r>
            <w:r>
              <w:t>.</w:t>
            </w:r>
          </w:p>
        </w:tc>
        <w:tc>
          <w:tcPr>
            <w:tcW w:w="6120" w:type="dxa"/>
          </w:tcPr>
          <w:p w14:paraId="74D1C7F1" w14:textId="77777777" w:rsidR="002A21AE" w:rsidRDefault="002A21AE">
            <w:pPr>
              <w:pStyle w:val="TableTextBullet"/>
            </w:pPr>
            <w:r>
              <w:t>Displays options for processing units.</w:t>
            </w:r>
          </w:p>
          <w:p w14:paraId="2EF0714C" w14:textId="77777777" w:rsidR="002A21AE" w:rsidRDefault="002A21AE">
            <w:pPr>
              <w:pStyle w:val="TableTextBullet"/>
            </w:pPr>
            <w:r>
              <w:t>Prompts the user to scan or enter the unit ID and product code.</w:t>
            </w:r>
          </w:p>
        </w:tc>
      </w:tr>
      <w:tr w:rsidR="002A21AE" w14:paraId="09017B1F" w14:textId="77777777">
        <w:tc>
          <w:tcPr>
            <w:tcW w:w="3240" w:type="dxa"/>
          </w:tcPr>
          <w:p w14:paraId="364A50D1" w14:textId="77777777" w:rsidR="002A21AE" w:rsidRDefault="002A21AE">
            <w:pPr>
              <w:pStyle w:val="TableTextNumbers"/>
            </w:pPr>
            <w:r>
              <w:t>Scan or enter the unit ID and product code for each unit.</w:t>
            </w:r>
          </w:p>
        </w:tc>
        <w:tc>
          <w:tcPr>
            <w:tcW w:w="6120" w:type="dxa"/>
          </w:tcPr>
          <w:p w14:paraId="5C0B3060" w14:textId="77777777" w:rsidR="002A21AE" w:rsidRDefault="002A21AE">
            <w:pPr>
              <w:pStyle w:val="TableTextBullet"/>
            </w:pPr>
            <w:r>
              <w:t>Displays the unit information.</w:t>
            </w:r>
          </w:p>
          <w:p w14:paraId="344BB389" w14:textId="77777777" w:rsidR="002A21AE" w:rsidRDefault="002A21AE">
            <w:pPr>
              <w:pStyle w:val="TableText"/>
            </w:pPr>
          </w:p>
          <w:p w14:paraId="57334E62" w14:textId="245D1B66" w:rsidR="002A21AE" w:rsidRDefault="002A21AE">
            <w:pPr>
              <w:pStyle w:val="TableText"/>
              <w:rPr>
                <w:b/>
                <w:bCs/>
                <w:szCs w:val="18"/>
              </w:rPr>
            </w:pPr>
            <w:r>
              <w:rPr>
                <w:b/>
                <w:bCs/>
                <w:szCs w:val="18"/>
              </w:rPr>
              <w:t>NOTES</w:t>
            </w:r>
          </w:p>
          <w:p w14:paraId="6652E79B" w14:textId="77777777" w:rsidR="002A21AE" w:rsidRDefault="002A21AE">
            <w:pPr>
              <w:pStyle w:val="NotesText"/>
            </w:pPr>
          </w:p>
          <w:p w14:paraId="158C15A1" w14:textId="77777777" w:rsidR="002A21AE" w:rsidRDefault="002A21AE">
            <w:pPr>
              <w:pStyle w:val="NotesText"/>
            </w:pPr>
            <w:r>
              <w:t>When a user adds a directed unit to an undirected pool, VBECS queries the user regarding releasing the unit’s restriction.</w:t>
            </w:r>
          </w:p>
          <w:p w14:paraId="3A267FAE" w14:textId="77777777" w:rsidR="002A21AE" w:rsidRDefault="002A21AE">
            <w:pPr>
              <w:pStyle w:val="NotesText"/>
            </w:pPr>
          </w:p>
          <w:p w14:paraId="1F74EA27" w14:textId="3FBA00E0" w:rsidR="00FD7E6B" w:rsidRDefault="002A21AE" w:rsidP="00FD7E6B">
            <w:pPr>
              <w:pStyle w:val="NotesText"/>
            </w:pPr>
            <w:r w:rsidRPr="00896F17">
              <w:rPr>
                <w:rStyle w:val="BullhornChar"/>
              </w:rPr>
              <w:t></w:t>
            </w:r>
            <w:r>
              <w:t xml:space="preserve"> </w:t>
            </w:r>
            <w:r>
              <w:rPr>
                <w:rFonts w:cs="Arial"/>
                <w:vanish/>
              </w:rPr>
              <w:t>BR_71.01</w:t>
            </w:r>
            <w:r w:rsidR="002D770B">
              <w:rPr>
                <w:rFonts w:cs="Arial"/>
                <w:vanish/>
              </w:rPr>
              <w:t xml:space="preserve"> </w:t>
            </w:r>
            <w:r>
              <w:t>The unit must have a donation type of</w:t>
            </w:r>
            <w:r w:rsidR="00FD7E6B">
              <w:t xml:space="preserve"> one of the following:</w:t>
            </w:r>
          </w:p>
          <w:p w14:paraId="73C5183E" w14:textId="634795E2" w:rsidR="00FD7E6B" w:rsidRDefault="002A21AE" w:rsidP="005E17F4">
            <w:pPr>
              <w:pStyle w:val="NotesText"/>
              <w:numPr>
                <w:ilvl w:val="0"/>
                <w:numId w:val="82"/>
              </w:numPr>
            </w:pPr>
            <w:r>
              <w:t>Volunteer Directed</w:t>
            </w:r>
            <w:r w:rsidR="00FD7E6B">
              <w:t>, Eligible for Crossover</w:t>
            </w:r>
          </w:p>
          <w:p w14:paraId="3D1ACD08" w14:textId="0832F438" w:rsidR="00FD7E6B" w:rsidRDefault="00D77462" w:rsidP="005E17F4">
            <w:pPr>
              <w:pStyle w:val="NotesText"/>
              <w:numPr>
                <w:ilvl w:val="0"/>
                <w:numId w:val="82"/>
              </w:numPr>
            </w:pPr>
            <w:r>
              <w:t>Dedicated/Designated</w:t>
            </w:r>
            <w:r w:rsidR="0078306A">
              <w:t>/</w:t>
            </w:r>
            <w:r w:rsidR="002A21AE">
              <w:t>E</w:t>
            </w:r>
            <w:r>
              <w:t>l</w:t>
            </w:r>
            <w:r w:rsidR="00345379">
              <w:t>g</w:t>
            </w:r>
            <w:r>
              <w:t>b</w:t>
            </w:r>
            <w:r w:rsidR="002A21AE">
              <w:t xml:space="preserve"> for Crossover</w:t>
            </w:r>
          </w:p>
          <w:p w14:paraId="6A646B26" w14:textId="77777777" w:rsidR="00FD7E6B" w:rsidRDefault="002D770B" w:rsidP="005E17F4">
            <w:pPr>
              <w:pStyle w:val="NotesText"/>
              <w:numPr>
                <w:ilvl w:val="0"/>
                <w:numId w:val="82"/>
              </w:numPr>
            </w:pPr>
            <w:r>
              <w:t>Family Reserved</w:t>
            </w:r>
            <w:r w:rsidR="002A21AE">
              <w:t>.</w:t>
            </w:r>
          </w:p>
          <w:p w14:paraId="71FD06E8" w14:textId="31A38CFC" w:rsidR="002A21AE" w:rsidRDefault="002A21AE">
            <w:pPr>
              <w:pStyle w:val="NotesText"/>
            </w:pPr>
            <w:r>
              <w:t>If not, VBECS warns that the unit has an invalid donation type and is in a final status.</w:t>
            </w:r>
            <w:r w:rsidR="000A70BE">
              <w:t xml:space="preserve"> The unit must not be autologous.</w:t>
            </w:r>
            <w:r>
              <w:t xml:space="preserve">” </w:t>
            </w:r>
          </w:p>
          <w:p w14:paraId="12FEE42D" w14:textId="77777777" w:rsidR="002A21AE" w:rsidRDefault="002A21AE">
            <w:pPr>
              <w:pStyle w:val="NotesText"/>
            </w:pPr>
          </w:p>
          <w:p w14:paraId="5784496B" w14:textId="77777777" w:rsidR="002A21AE" w:rsidRDefault="002A21AE">
            <w:pPr>
              <w:pStyle w:val="NotesText"/>
            </w:pPr>
            <w:r w:rsidRPr="00896F17">
              <w:rPr>
                <w:rStyle w:val="BullhornChar"/>
              </w:rPr>
              <w:t></w:t>
            </w:r>
            <w:r>
              <w:rPr>
                <w:vanish/>
                <w:szCs w:val="18"/>
              </w:rPr>
              <w:t>BR_71.03</w:t>
            </w:r>
            <w:r>
              <w:t xml:space="preserve"> The unit must not be assigned to a patient to release the restriction. VBECS warns that the unit is currently assigned and that he must release the assignment before continuing.</w:t>
            </w:r>
          </w:p>
        </w:tc>
      </w:tr>
      <w:tr w:rsidR="002A21AE" w14:paraId="0F0FBACA" w14:textId="77777777">
        <w:tc>
          <w:tcPr>
            <w:tcW w:w="3240" w:type="dxa"/>
          </w:tcPr>
          <w:p w14:paraId="18DD014C" w14:textId="5276ACB7" w:rsidR="002A21AE" w:rsidRDefault="002A21AE">
            <w:pPr>
              <w:pStyle w:val="TableTextNumbers"/>
            </w:pPr>
            <w:r>
              <w:t>Enter a date and time and possibly a different user, or accept the defaults</w:t>
            </w:r>
            <w:r w:rsidR="000860BB">
              <w:t xml:space="preserve"> (</w:t>
            </w:r>
            <w:r w:rsidR="00EE455E">
              <w:t xml:space="preserve">Figure </w:t>
            </w:r>
            <w:r w:rsidR="00EE455E">
              <w:rPr>
                <w:noProof/>
              </w:rPr>
              <w:t>67</w:t>
            </w:r>
            <w:r w:rsidR="000860BB">
              <w:t>)</w:t>
            </w:r>
            <w:r>
              <w:t>.</w:t>
            </w:r>
          </w:p>
          <w:p w14:paraId="71877A74" w14:textId="77777777" w:rsidR="002A21AE" w:rsidRDefault="002A21AE">
            <w:pPr>
              <w:pStyle w:val="TableTextNumbersContinued"/>
            </w:pPr>
          </w:p>
          <w:p w14:paraId="757196AB" w14:textId="77777777" w:rsidR="002A21AE" w:rsidRDefault="002A21AE">
            <w:pPr>
              <w:pStyle w:val="TableTextNumbersContinued"/>
            </w:pPr>
            <w:r>
              <w:t>Enter the required comment.</w:t>
            </w:r>
          </w:p>
        </w:tc>
        <w:tc>
          <w:tcPr>
            <w:tcW w:w="6120" w:type="dxa"/>
          </w:tcPr>
          <w:p w14:paraId="21AE18EE" w14:textId="77777777" w:rsidR="002A21AE" w:rsidRDefault="002A21AE">
            <w:pPr>
              <w:pStyle w:val="TableTextBullet"/>
            </w:pPr>
            <w:r>
              <w:t>Displays the unit information.</w:t>
            </w:r>
          </w:p>
          <w:p w14:paraId="2EFF3136" w14:textId="14C388FE" w:rsidR="002A21AE" w:rsidRDefault="002A21AE">
            <w:pPr>
              <w:pStyle w:val="TableTextBullet"/>
            </w:pPr>
            <w:r>
              <w:rPr>
                <w:vanish/>
                <w:szCs w:val="18"/>
              </w:rPr>
              <w:t xml:space="preserve">BR_71.04 </w:t>
            </w:r>
            <w:r w:rsidR="00451640">
              <w:t>R</w:t>
            </w:r>
            <w:r w:rsidR="00523215">
              <w:t>equires</w:t>
            </w:r>
            <w:r>
              <w:t xml:space="preserve"> a comment, and captures details for inclusion in an Exception Report (exception type: released patient restriction). </w:t>
            </w:r>
          </w:p>
        </w:tc>
      </w:tr>
      <w:tr w:rsidR="00F9533F" w14:paraId="2BC064E8" w14:textId="77777777">
        <w:tc>
          <w:tcPr>
            <w:tcW w:w="3240" w:type="dxa"/>
          </w:tcPr>
          <w:p w14:paraId="697D8683" w14:textId="77777777" w:rsidR="00F9533F" w:rsidRDefault="00F9533F" w:rsidP="00FA7E65">
            <w:pPr>
              <w:pStyle w:val="TableTextNumbers"/>
            </w:pPr>
            <w:r>
              <w:t xml:space="preserve">Click </w:t>
            </w:r>
            <w:r>
              <w:rPr>
                <w:b/>
              </w:rPr>
              <w:t>OK</w:t>
            </w:r>
            <w:r>
              <w:t xml:space="preserve"> to process the unit and add it to available inventory.</w:t>
            </w:r>
          </w:p>
        </w:tc>
        <w:tc>
          <w:tcPr>
            <w:tcW w:w="6120" w:type="dxa"/>
          </w:tcPr>
          <w:p w14:paraId="0F9E3319" w14:textId="77777777" w:rsidR="00F9533F" w:rsidRDefault="00F9533F" w:rsidP="00FA7E65">
            <w:pPr>
              <w:pStyle w:val="TableTextBullet"/>
            </w:pPr>
            <w:r>
              <w:t xml:space="preserve">Displays the return time, the editable (past date and time) field (default: current date and time), and the list of users for selection. </w:t>
            </w:r>
          </w:p>
          <w:p w14:paraId="431B01F3" w14:textId="77777777" w:rsidR="00F9533F" w:rsidRDefault="00F9533F" w:rsidP="00F9533F">
            <w:pPr>
              <w:pStyle w:val="TableTextBullet"/>
            </w:pPr>
            <w:r>
              <w:t xml:space="preserve">Saves the information to the database. </w:t>
            </w:r>
          </w:p>
          <w:p w14:paraId="7E26A622" w14:textId="77777777" w:rsidR="00F9533F" w:rsidRDefault="00F9533F" w:rsidP="00F9533F">
            <w:pPr>
              <w:pStyle w:val="TableTextBullet"/>
            </w:pPr>
            <w:r>
              <w:t>Changes the donation type of the unit to “Voluntary Allogeneic” and removes the restriction associated with the unit.</w:t>
            </w:r>
          </w:p>
        </w:tc>
      </w:tr>
      <w:tr w:rsidR="002A21AE" w14:paraId="55CFB1CD" w14:textId="77777777">
        <w:tc>
          <w:tcPr>
            <w:tcW w:w="3240" w:type="dxa"/>
          </w:tcPr>
          <w:p w14:paraId="0EEBEA2E" w14:textId="77777777" w:rsidR="002A21AE" w:rsidRDefault="008251CD" w:rsidP="00F9533F">
            <w:pPr>
              <w:pStyle w:val="TableTextNumbers"/>
            </w:pPr>
            <w:r>
              <w:t xml:space="preserve">Click </w:t>
            </w:r>
            <w:r w:rsidRPr="008251CD">
              <w:rPr>
                <w:b/>
              </w:rPr>
              <w:t>Yes</w:t>
            </w:r>
            <w:r>
              <w:t xml:space="preserve"> to confirm</w:t>
            </w:r>
            <w:r w:rsidR="00F9533F">
              <w:t xml:space="preserve"> the save</w:t>
            </w:r>
            <w:r w:rsidR="002A21AE">
              <w:t xml:space="preserve">. </w:t>
            </w:r>
            <w:r w:rsidR="002A21AE">
              <w:rPr>
                <w:rStyle w:val="TableTextNumbersChar"/>
                <w:vanish/>
                <w:color w:val="FFFFFF"/>
                <w:szCs w:val="18"/>
              </w:rPr>
              <w:fldChar w:fldCharType="begin"/>
            </w:r>
            <w:r w:rsidR="002A21AE">
              <w:rPr>
                <w:rStyle w:val="TableTextNumbersChar"/>
                <w:vanish/>
                <w:color w:val="FFFFFF"/>
                <w:szCs w:val="18"/>
              </w:rPr>
              <w:instrText xml:space="preserve"> LISTNUM \l 1 \s 0 </w:instrText>
            </w:r>
            <w:r w:rsidR="002A21AE">
              <w:rPr>
                <w:rStyle w:val="TableTextNumbersChar"/>
                <w:vanish/>
                <w:color w:val="FFFFFF"/>
                <w:szCs w:val="18"/>
              </w:rPr>
              <w:fldChar w:fldCharType="end"/>
            </w:r>
          </w:p>
        </w:tc>
        <w:tc>
          <w:tcPr>
            <w:tcW w:w="6120" w:type="dxa"/>
          </w:tcPr>
          <w:p w14:paraId="0B83AEA5" w14:textId="77777777" w:rsidR="002A21AE" w:rsidRDefault="002A21AE" w:rsidP="00771DBD">
            <w:pPr>
              <w:pStyle w:val="TableText"/>
            </w:pPr>
          </w:p>
        </w:tc>
      </w:tr>
    </w:tbl>
    <w:p w14:paraId="1BE4F8B7" w14:textId="34FC85B3" w:rsidR="000860BB" w:rsidRDefault="000860BB" w:rsidP="000860BB">
      <w:pPr>
        <w:pStyle w:val="Caption"/>
      </w:pPr>
      <w:bookmarkStart w:id="343" w:name="_Ref12665333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68</w:t>
      </w:r>
      <w:r w:rsidR="004E20BD">
        <w:rPr>
          <w:noProof/>
        </w:rPr>
        <w:fldChar w:fldCharType="end"/>
      </w:r>
      <w:bookmarkEnd w:id="343"/>
      <w:r>
        <w:t xml:space="preserve">: Free Directed Unit </w:t>
      </w:r>
      <w:r w:rsidR="00F927FC">
        <w:t>F</w:t>
      </w:r>
      <w:r>
        <w:t>or Crossover</w:t>
      </w:r>
    </w:p>
    <w:p w14:paraId="3A2645E5" w14:textId="7D5D6157" w:rsidR="000860BB" w:rsidRDefault="00F927FC" w:rsidP="000860BB">
      <w:pPr>
        <w:pStyle w:val="BodyText"/>
      </w:pPr>
      <w:r>
        <w:rPr>
          <w:noProof/>
        </w:rPr>
        <w:drawing>
          <wp:inline distT="0" distB="0" distL="0" distR="0" wp14:anchorId="353E8F30" wp14:editId="3F599967">
            <wp:extent cx="5943600" cy="3772535"/>
            <wp:effectExtent l="0" t="0" r="0" b="0"/>
            <wp:docPr id="177" name="Picture 177" descr="Example of Free Directed Unit For Crosso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Example of Free Directed Unit For Crossover screen capt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3772535"/>
                    </a:xfrm>
                    <a:prstGeom prst="rect">
                      <a:avLst/>
                    </a:prstGeom>
                    <a:noFill/>
                    <a:ln>
                      <a:noFill/>
                    </a:ln>
                  </pic:spPr>
                </pic:pic>
              </a:graphicData>
            </a:graphic>
          </wp:inline>
        </w:drawing>
      </w:r>
    </w:p>
    <w:p w14:paraId="69542B9E" w14:textId="77777777" w:rsidR="002A21AE" w:rsidRDefault="002A21AE">
      <w:pPr>
        <w:pStyle w:val="Heading3"/>
      </w:pPr>
      <w:bookmarkStart w:id="344" w:name="_Toc163644923"/>
      <w:r>
        <w:t>Discard or Quarantine</w:t>
      </w:r>
      <w:bookmarkEnd w:id="344"/>
      <w:r w:rsidRPr="007716F7">
        <w:rPr>
          <w:vanish/>
        </w:rPr>
        <w:fldChar w:fldCharType="begin"/>
      </w:r>
      <w:r w:rsidRPr="007716F7">
        <w:rPr>
          <w:vanish/>
        </w:rPr>
        <w:instrText xml:space="preserve"> XE </w:instrText>
      </w:r>
      <w:r w:rsidR="00FA7E65" w:rsidRPr="007716F7">
        <w:rPr>
          <w:vanish/>
        </w:rPr>
        <w:instrText>“</w:instrText>
      </w:r>
      <w:r w:rsidRPr="007716F7">
        <w:rPr>
          <w:vanish/>
        </w:rPr>
        <w:instrText>Discard or Quarantine</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UC_27</w:t>
      </w:r>
    </w:p>
    <w:p w14:paraId="5D1A4CE6" w14:textId="77777777" w:rsidR="002A21AE" w:rsidRDefault="002A21AE" w:rsidP="00FA7E65">
      <w:pPr>
        <w:pStyle w:val="BodyText"/>
      </w:pPr>
      <w:r>
        <w:t>The user discards, quarantines, or releases from quarantine one or more units of blood.</w:t>
      </w:r>
    </w:p>
    <w:p w14:paraId="55050119" w14:textId="77777777" w:rsidR="002A21AE" w:rsidRDefault="002A21AE">
      <w:pPr>
        <w:pStyle w:val="Heading4"/>
      </w:pPr>
      <w:r>
        <w:t>Assumptions</w:t>
      </w:r>
      <w:r>
        <w:rPr>
          <w:b w:val="0"/>
        </w:rPr>
        <w:t xml:space="preserve"> </w:t>
      </w:r>
    </w:p>
    <w:p w14:paraId="3C080B5A" w14:textId="77777777" w:rsidR="002A21AE" w:rsidRDefault="002A21AE">
      <w:pPr>
        <w:pStyle w:val="ListBullet"/>
      </w:pPr>
      <w:r>
        <w:t>The unit of blood is in the same division as the user.</w:t>
      </w:r>
    </w:p>
    <w:p w14:paraId="1BA84B6C" w14:textId="77777777" w:rsidR="002A21AE" w:rsidRDefault="002A21AE">
      <w:pPr>
        <w:pStyle w:val="Heading4"/>
      </w:pPr>
      <w:r>
        <w:t xml:space="preserve">Outcome </w:t>
      </w:r>
    </w:p>
    <w:p w14:paraId="22622BE7" w14:textId="77777777" w:rsidR="002A21AE" w:rsidRDefault="00AE3CC7">
      <w:pPr>
        <w:pStyle w:val="ListBullet"/>
      </w:pPr>
      <w:r>
        <w:rPr>
          <w:noProof/>
        </w:rPr>
        <w:t>Discarded</w:t>
      </w:r>
      <w:r w:rsidR="002A21AE">
        <w:t xml:space="preserve"> units are not available.</w:t>
      </w:r>
    </w:p>
    <w:p w14:paraId="2B3B0334" w14:textId="77777777" w:rsidR="002A21AE" w:rsidRDefault="002A21AE">
      <w:pPr>
        <w:pStyle w:val="ListBullet"/>
      </w:pPr>
      <w:r>
        <w:t>Quarantined units are available for limited processing, not for patient assignment.</w:t>
      </w:r>
    </w:p>
    <w:p w14:paraId="11F6A3E8" w14:textId="77777777" w:rsidR="002A21AE" w:rsidRDefault="002A21AE">
      <w:pPr>
        <w:pStyle w:val="ListBullet"/>
      </w:pPr>
      <w:r>
        <w:t>Units release</w:t>
      </w:r>
      <w:r>
        <w:rPr>
          <w:noProof/>
        </w:rPr>
        <w:t>d from quarantine are available.</w:t>
      </w:r>
    </w:p>
    <w:p w14:paraId="3DFAAFBB" w14:textId="77777777" w:rsidR="002A21AE" w:rsidRDefault="002A21AE">
      <w:pPr>
        <w:pStyle w:val="Heading4"/>
        <w:rPr>
          <w:b w:val="0"/>
        </w:rPr>
      </w:pPr>
      <w:r>
        <w:t>Limitations and Restrictions</w:t>
      </w:r>
      <w:r>
        <w:rPr>
          <w:b w:val="0"/>
        </w:rPr>
        <w:t xml:space="preserve"> </w:t>
      </w:r>
    </w:p>
    <w:p w14:paraId="55347877" w14:textId="37972374" w:rsidR="002A21AE" w:rsidRDefault="00581FC8" w:rsidP="00581FC8">
      <w:pPr>
        <w:pStyle w:val="ListBullet"/>
      </w:pPr>
      <w:r>
        <w:t xml:space="preserve">When a user retroactively updates a unit status through this option, the Unit History Report displays the updated information, but does not display the date the change was made. </w:t>
      </w:r>
    </w:p>
    <w:p w14:paraId="3C37D802" w14:textId="43187321" w:rsidR="007E64EF" w:rsidRDefault="00E73D6B" w:rsidP="007E64EF">
      <w:pPr>
        <w:pStyle w:val="ListBullet"/>
      </w:pPr>
      <w:r>
        <w:t xml:space="preserve">The </w:t>
      </w:r>
      <w:r w:rsidR="007E64EF" w:rsidRPr="007E64EF">
        <w:t xml:space="preserve">option does not accommodate the entry of a second user for retrospective </w:t>
      </w:r>
      <w:r w:rsidR="00E36641">
        <w:t xml:space="preserve">data </w:t>
      </w:r>
      <w:r w:rsidR="007E64EF" w:rsidRPr="007E64EF">
        <w:t>entry.</w:t>
      </w:r>
      <w:r w:rsidR="00EF7C8A">
        <w:t xml:space="preserve"> </w:t>
      </w:r>
      <w:r w:rsidR="0063094B">
        <w:rPr>
          <w:vanish/>
        </w:rPr>
        <w:t>Defect</w:t>
      </w:r>
      <w:r w:rsidR="00EF7C8A" w:rsidRPr="00EF7C8A">
        <w:rPr>
          <w:vanish/>
        </w:rPr>
        <w:t xml:space="preserve"> 209008</w:t>
      </w:r>
    </w:p>
    <w:p w14:paraId="1C059A19" w14:textId="46B8A271" w:rsidR="00D141A2" w:rsidRDefault="00D141A2" w:rsidP="007E64EF">
      <w:pPr>
        <w:pStyle w:val="ListBullet"/>
      </w:pPr>
      <w:r>
        <w:t>Cost entry is capped at 999.</w:t>
      </w:r>
      <w:r w:rsidR="009E0A43">
        <w:t>00</w:t>
      </w:r>
      <w:r>
        <w:t xml:space="preserve">. </w:t>
      </w:r>
      <w:r w:rsidRPr="00D141A2">
        <w:rPr>
          <w:vanish/>
        </w:rPr>
        <w:t>Defect 942523</w:t>
      </w:r>
    </w:p>
    <w:p w14:paraId="58FE5DC6" w14:textId="77777777" w:rsidR="002A21AE" w:rsidRDefault="002A21AE">
      <w:pPr>
        <w:pStyle w:val="Heading4"/>
        <w:rPr>
          <w:b w:val="0"/>
        </w:rPr>
      </w:pPr>
      <w:r>
        <w:t>Additional Information</w:t>
      </w:r>
      <w:r>
        <w:rPr>
          <w:b w:val="0"/>
        </w:rPr>
        <w:t xml:space="preserve"> </w:t>
      </w:r>
    </w:p>
    <w:p w14:paraId="31604807" w14:textId="77777777" w:rsidR="002A21AE" w:rsidRDefault="002A21AE">
      <w:pPr>
        <w:pStyle w:val="ListBullet"/>
      </w:pPr>
      <w:r>
        <w:t xml:space="preserve">None </w:t>
      </w:r>
    </w:p>
    <w:p w14:paraId="55B7F8E0" w14:textId="77777777" w:rsidR="002A21AE" w:rsidRDefault="002A21AE">
      <w:pPr>
        <w:pStyle w:val="Heading4"/>
        <w:rPr>
          <w:snapToGrid w:val="0"/>
        </w:rPr>
      </w:pPr>
      <w:r>
        <w:rPr>
          <w:snapToGrid w:val="0"/>
        </w:rPr>
        <w:lastRenderedPageBreak/>
        <w:t>User Roles with Access to This Option</w:t>
      </w:r>
    </w:p>
    <w:p w14:paraId="0DD39C65" w14:textId="77777777" w:rsidR="00FC61FD" w:rsidRDefault="00FC61FD" w:rsidP="00FC61FD">
      <w:pPr>
        <w:pStyle w:val="Roles"/>
        <w:rPr>
          <w:snapToGrid w:val="0"/>
        </w:rPr>
      </w:pPr>
      <w:r>
        <w:rPr>
          <w:snapToGrid w:val="0"/>
        </w:rPr>
        <w:t>All users</w:t>
      </w:r>
    </w:p>
    <w:p w14:paraId="0A237B34" w14:textId="77777777" w:rsidR="008442AA" w:rsidRDefault="008442AA" w:rsidP="008442AA">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(release blood products from quarantine)</w:t>
      </w:r>
      <w:r>
        <w:rPr>
          <w:vanish/>
        </w:rPr>
        <w:t>BR_27.17</w:t>
      </w:r>
      <w:r>
        <w:t xml:space="preserve"> </w:t>
      </w:r>
    </w:p>
    <w:p w14:paraId="0E3A2953" w14:textId="77777777" w:rsidR="002A21AE" w:rsidRDefault="002A21AE">
      <w:pPr>
        <w:pStyle w:val="Heading4"/>
      </w:pPr>
      <w:r>
        <w:t>Discard or Quarantine</w:t>
      </w:r>
    </w:p>
    <w:p w14:paraId="685007CD" w14:textId="77777777" w:rsidR="002A21AE" w:rsidRDefault="002A21AE" w:rsidP="00FA7E65">
      <w:pPr>
        <w:pStyle w:val="BodyText"/>
      </w:pPr>
      <w:r>
        <w:t xml:space="preserve">The user changes the status (discard, quarantine, release from quarantine) of one or more units of blood. The user must indicate the ID and product code of the units to be updated. VBECS also allows batch data entry to process all units from an invoice. </w:t>
      </w:r>
    </w:p>
    <w:p w14:paraId="61483B95" w14:textId="77777777" w:rsidR="002A21AE" w:rsidRDefault="002A21AE" w:rsidP="00FA7E65">
      <w:pPr>
        <w:pStyle w:val="BodyText"/>
      </w:pPr>
      <w:r>
        <w:t xml:space="preserve">A quarantined unit has limited availability for continued processing. Under certain circumstances, VBECS assigns quarantine status automatically; otherwise, the user determines and enters the status. The user must </w:t>
      </w:r>
      <w:r w:rsidR="00D923F9">
        <w:t>specify</w:t>
      </w:r>
      <w:r>
        <w:t xml:space="preserve"> whether a discarded unit is for credit or for waste, which determines whether or not a return credit is assigned to the selected unit.</w:t>
      </w:r>
    </w:p>
    <w:p w14:paraId="2B22A37D" w14:textId="77777777" w:rsidR="007F12F1" w:rsidRDefault="007F12F1" w:rsidP="007F12F1">
      <w:pPr>
        <w:pStyle w:val="Heading4"/>
      </w:pPr>
      <w:r>
        <w:t>Discard or Quarantine Individual Units</w:t>
      </w:r>
      <w:r>
        <w:fldChar w:fldCharType="begin"/>
      </w:r>
      <w:r>
        <w:instrText xml:space="preserve"> XE "</w:instrText>
      </w:r>
      <w:r w:rsidRPr="00561E3F">
        <w:instrText>Discard or Quarantine Individual Units</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7D34E15" w14:textId="77777777">
        <w:trPr>
          <w:cantSplit/>
          <w:tblHeader/>
        </w:trPr>
        <w:tc>
          <w:tcPr>
            <w:tcW w:w="3240" w:type="dxa"/>
            <w:shd w:val="pct30" w:color="auto" w:fill="FFFFFF"/>
            <w:vAlign w:val="bottom"/>
          </w:tcPr>
          <w:p w14:paraId="6AE6BC83" w14:textId="77777777" w:rsidR="002A21AE" w:rsidRDefault="002A21AE">
            <w:pPr>
              <w:pStyle w:val="TableText"/>
              <w:rPr>
                <w:b/>
              </w:rPr>
            </w:pPr>
            <w:r>
              <w:rPr>
                <w:b/>
              </w:rPr>
              <w:t>User Action</w:t>
            </w:r>
          </w:p>
        </w:tc>
        <w:tc>
          <w:tcPr>
            <w:tcW w:w="6120" w:type="dxa"/>
            <w:shd w:val="pct30" w:color="auto" w:fill="FFFFFF"/>
            <w:vAlign w:val="bottom"/>
          </w:tcPr>
          <w:p w14:paraId="30DAE015" w14:textId="77777777" w:rsidR="002A21AE" w:rsidRDefault="002A21AE">
            <w:pPr>
              <w:pStyle w:val="TableText"/>
              <w:rPr>
                <w:b/>
              </w:rPr>
            </w:pPr>
            <w:r>
              <w:rPr>
                <w:b/>
              </w:rPr>
              <w:t>VBECS</w:t>
            </w:r>
          </w:p>
        </w:tc>
      </w:tr>
      <w:tr w:rsidR="002A21AE" w14:paraId="39FACC63" w14:textId="77777777">
        <w:tc>
          <w:tcPr>
            <w:tcW w:w="3240" w:type="dxa"/>
          </w:tcPr>
          <w:p w14:paraId="60676E44" w14:textId="77777777" w:rsidR="002A21AE" w:rsidRDefault="002A21AE">
            <w:pPr>
              <w:pStyle w:val="TableTextNumbers"/>
            </w:pPr>
            <w:r>
              <w:t xml:space="preserve">Select </w:t>
            </w:r>
            <w:r>
              <w:rPr>
                <w:b/>
              </w:rPr>
              <w:t>Blood Units</w:t>
            </w:r>
            <w:r>
              <w:t xml:space="preserve"> from the main menu.</w:t>
            </w:r>
          </w:p>
          <w:p w14:paraId="7AFE2375" w14:textId="77777777" w:rsidR="002A21AE" w:rsidRDefault="002A21AE">
            <w:pPr>
              <w:pStyle w:val="TableTextNumbersContinued"/>
            </w:pPr>
          </w:p>
          <w:p w14:paraId="02A329E8" w14:textId="77777777" w:rsidR="002A21AE" w:rsidRDefault="002A21AE">
            <w:pPr>
              <w:pStyle w:val="TableTextNumbersContinued"/>
            </w:pPr>
            <w:r>
              <w:t xml:space="preserve">Select </w:t>
            </w:r>
            <w:r>
              <w:rPr>
                <w:b/>
              </w:rPr>
              <w:t>Discard or Quarantine</w:t>
            </w:r>
            <w:r>
              <w:t>.</w:t>
            </w:r>
          </w:p>
        </w:tc>
        <w:tc>
          <w:tcPr>
            <w:tcW w:w="6120" w:type="dxa"/>
          </w:tcPr>
          <w:p w14:paraId="488B5A0F" w14:textId="77777777" w:rsidR="002A21AE" w:rsidRDefault="002A21AE">
            <w:pPr>
              <w:pStyle w:val="TableTextBullet"/>
            </w:pPr>
            <w:r>
              <w:t>Displays options for processing blood units.</w:t>
            </w:r>
          </w:p>
          <w:p w14:paraId="250AD4CF" w14:textId="77777777" w:rsidR="002A21AE" w:rsidRDefault="002A21AE">
            <w:pPr>
              <w:pStyle w:val="TableTextBullet"/>
            </w:pPr>
            <w:r>
              <w:t>Displays fields for entering unit information.</w:t>
            </w:r>
          </w:p>
          <w:p w14:paraId="2B92CE23" w14:textId="77777777" w:rsidR="002A21AE" w:rsidRDefault="002A21AE">
            <w:pPr>
              <w:pStyle w:val="TableTextBullet"/>
            </w:pPr>
            <w:r>
              <w:t xml:space="preserve">Allows </w:t>
            </w:r>
            <w:r w:rsidR="00CE0AAB">
              <w:t xml:space="preserve">the user to </w:t>
            </w:r>
            <w:r>
              <w:t>discard or quarantine</w:t>
            </w:r>
            <w:r w:rsidR="00CE0AAB">
              <w:t xml:space="preserve"> individual units</w:t>
            </w:r>
            <w:r>
              <w:t>.</w:t>
            </w:r>
          </w:p>
        </w:tc>
      </w:tr>
      <w:tr w:rsidR="002A21AE" w14:paraId="5C378C1E" w14:textId="77777777">
        <w:tc>
          <w:tcPr>
            <w:tcW w:w="3240" w:type="dxa"/>
          </w:tcPr>
          <w:p w14:paraId="657FCA3A" w14:textId="77777777" w:rsidR="002A21AE" w:rsidRDefault="002A21AE">
            <w:pPr>
              <w:pStyle w:val="TableTextNumbers"/>
            </w:pPr>
            <w:r>
              <w:t>Enter an ID and product code</w:t>
            </w:r>
            <w:r w:rsidR="009535FF">
              <w:t xml:space="preserve"> for a blood unit</w:t>
            </w:r>
            <w:r>
              <w:t>.</w:t>
            </w:r>
          </w:p>
        </w:tc>
        <w:tc>
          <w:tcPr>
            <w:tcW w:w="6120" w:type="dxa"/>
          </w:tcPr>
          <w:p w14:paraId="727E1239" w14:textId="77777777" w:rsidR="002A21AE" w:rsidRDefault="002A21AE">
            <w:pPr>
              <w:pStyle w:val="TableTextBullet"/>
            </w:pPr>
            <w:r>
              <w:t xml:space="preserve">When a unit is appropriate for processing, displays unit information, including the current status. </w:t>
            </w:r>
          </w:p>
          <w:p w14:paraId="698DF7E9" w14:textId="77777777" w:rsidR="002A21AE" w:rsidRDefault="002A21AE">
            <w:pPr>
              <w:pStyle w:val="TableText"/>
            </w:pPr>
          </w:p>
          <w:p w14:paraId="066C925F" w14:textId="22F0D26D" w:rsidR="002A21AE" w:rsidRDefault="002A21AE">
            <w:pPr>
              <w:pStyle w:val="TableText"/>
              <w:rPr>
                <w:b/>
                <w:bCs/>
                <w:szCs w:val="18"/>
              </w:rPr>
            </w:pPr>
            <w:r>
              <w:rPr>
                <w:b/>
                <w:bCs/>
                <w:szCs w:val="18"/>
              </w:rPr>
              <w:t>NOTES</w:t>
            </w:r>
          </w:p>
          <w:p w14:paraId="0E37E922" w14:textId="77777777" w:rsidR="002A21AE" w:rsidRDefault="002A21AE">
            <w:pPr>
              <w:pStyle w:val="NotesText"/>
            </w:pPr>
          </w:p>
          <w:p w14:paraId="11F76DAF" w14:textId="77777777" w:rsidR="002A21AE" w:rsidRDefault="002A21AE">
            <w:pPr>
              <w:pStyle w:val="NotesText"/>
            </w:pPr>
            <w:r>
              <w:t>The user may deselect units prior to editing.</w:t>
            </w:r>
          </w:p>
        </w:tc>
      </w:tr>
      <w:tr w:rsidR="009535FF" w14:paraId="27D96248" w14:textId="77777777">
        <w:tc>
          <w:tcPr>
            <w:tcW w:w="3240" w:type="dxa"/>
          </w:tcPr>
          <w:p w14:paraId="5A0747EB" w14:textId="77777777" w:rsidR="009535FF" w:rsidRDefault="009535FF">
            <w:pPr>
              <w:pStyle w:val="TableTextNumbers"/>
            </w:pPr>
            <w:r>
              <w:t xml:space="preserve">Click </w:t>
            </w:r>
            <w:r w:rsidRPr="009535FF">
              <w:rPr>
                <w:b/>
              </w:rPr>
              <w:t>Select</w:t>
            </w:r>
            <w:r>
              <w:t xml:space="preserve"> to add the selected unit to the worklist, or click </w:t>
            </w:r>
            <w:r w:rsidRPr="009535FF">
              <w:rPr>
                <w:b/>
              </w:rPr>
              <w:t>Clear</w:t>
            </w:r>
            <w:r>
              <w:t xml:space="preserve"> to select another unit.</w:t>
            </w:r>
          </w:p>
        </w:tc>
        <w:tc>
          <w:tcPr>
            <w:tcW w:w="6120" w:type="dxa"/>
          </w:tcPr>
          <w:p w14:paraId="645EE739" w14:textId="77777777" w:rsidR="009535FF" w:rsidRDefault="00CE0AAB">
            <w:pPr>
              <w:pStyle w:val="TableTextBullet"/>
            </w:pPr>
            <w:r>
              <w:t>Adds the unit to a temporary list of selected units.</w:t>
            </w:r>
          </w:p>
        </w:tc>
      </w:tr>
      <w:tr w:rsidR="002A21AE" w14:paraId="28FAC03A" w14:textId="77777777">
        <w:tc>
          <w:tcPr>
            <w:tcW w:w="3240" w:type="dxa"/>
          </w:tcPr>
          <w:p w14:paraId="599C1F33" w14:textId="77777777" w:rsidR="002A21AE" w:rsidRDefault="002A21AE">
            <w:pPr>
              <w:pStyle w:val="TableTextNumbers"/>
            </w:pPr>
            <w:r>
              <w:t>Repeat Step 3, as needed, to process multiple blood units as a single batch.</w:t>
            </w:r>
          </w:p>
          <w:p w14:paraId="5565C676" w14:textId="77777777" w:rsidR="009535FF" w:rsidRDefault="009535FF" w:rsidP="009535FF">
            <w:pPr>
              <w:pStyle w:val="TableTextNumbersContinued"/>
            </w:pPr>
          </w:p>
          <w:p w14:paraId="3C7B7C07" w14:textId="77777777" w:rsidR="009535FF" w:rsidRDefault="009535FF" w:rsidP="009535FF">
            <w:pPr>
              <w:pStyle w:val="TableTextNumbersContinued"/>
            </w:pPr>
            <w:r>
              <w:t xml:space="preserve">Click </w:t>
            </w:r>
            <w:r w:rsidRPr="009535FF">
              <w:rPr>
                <w:b/>
              </w:rPr>
              <w:t>OK</w:t>
            </w:r>
            <w:r>
              <w:t xml:space="preserve"> to continue.</w:t>
            </w:r>
          </w:p>
        </w:tc>
        <w:tc>
          <w:tcPr>
            <w:tcW w:w="6120" w:type="dxa"/>
          </w:tcPr>
          <w:p w14:paraId="6851E63E" w14:textId="77777777" w:rsidR="002A21AE" w:rsidRDefault="002A21AE">
            <w:pPr>
              <w:pStyle w:val="TableTextBullet"/>
            </w:pPr>
            <w:r>
              <w:t>Displays selected units.</w:t>
            </w:r>
          </w:p>
        </w:tc>
      </w:tr>
      <w:tr w:rsidR="002A21AE" w14:paraId="128BBACC" w14:textId="77777777">
        <w:tc>
          <w:tcPr>
            <w:tcW w:w="3240" w:type="dxa"/>
          </w:tcPr>
          <w:p w14:paraId="36AD3388" w14:textId="0D88D661" w:rsidR="002A21AE" w:rsidRDefault="009535FF">
            <w:pPr>
              <w:pStyle w:val="TableTextNumbers"/>
            </w:pPr>
            <w:r>
              <w:t xml:space="preserve">In the Activity area, click the </w:t>
            </w:r>
            <w:r w:rsidRPr="009535FF">
              <w:rPr>
                <w:b/>
              </w:rPr>
              <w:t>Discard</w:t>
            </w:r>
            <w:r>
              <w:t xml:space="preserve">, </w:t>
            </w:r>
            <w:r w:rsidRPr="009535FF">
              <w:rPr>
                <w:b/>
              </w:rPr>
              <w:t>Quarantine</w:t>
            </w:r>
            <w:r>
              <w:t xml:space="preserve">, or </w:t>
            </w:r>
            <w:r w:rsidRPr="009535FF">
              <w:rPr>
                <w:b/>
              </w:rPr>
              <w:t xml:space="preserve">Release from Quarantine </w:t>
            </w:r>
            <w:r w:rsidRPr="00BF2E41">
              <w:t>radio button</w:t>
            </w:r>
            <w:r w:rsidR="00550732">
              <w:rPr>
                <w:b/>
              </w:rPr>
              <w:t xml:space="preserve"> </w:t>
            </w:r>
            <w:r w:rsidR="00550732" w:rsidRPr="00550732">
              <w:t>(</w:t>
            </w:r>
            <w:r w:rsidR="00EE455E">
              <w:t xml:space="preserve">Figure </w:t>
            </w:r>
            <w:r w:rsidR="00EE455E">
              <w:rPr>
                <w:noProof/>
              </w:rPr>
              <w:t>68</w:t>
            </w:r>
            <w:r w:rsidR="00550732" w:rsidRPr="00550732">
              <w:t>)</w:t>
            </w:r>
            <w:r>
              <w:t>.</w:t>
            </w:r>
            <w:r w:rsidR="002A21AE">
              <w:t xml:space="preserve"> </w:t>
            </w:r>
          </w:p>
        </w:tc>
        <w:tc>
          <w:tcPr>
            <w:tcW w:w="6120" w:type="dxa"/>
          </w:tcPr>
          <w:p w14:paraId="2D9EC6AB" w14:textId="0BC5662F" w:rsidR="002A21AE" w:rsidRDefault="002A21AE">
            <w:pPr>
              <w:pStyle w:val="TableText"/>
              <w:rPr>
                <w:b/>
                <w:bCs/>
                <w:szCs w:val="18"/>
              </w:rPr>
            </w:pPr>
            <w:r>
              <w:rPr>
                <w:b/>
                <w:bCs/>
                <w:szCs w:val="18"/>
              </w:rPr>
              <w:t>NOTES</w:t>
            </w:r>
          </w:p>
          <w:p w14:paraId="3F3854EE" w14:textId="77777777" w:rsidR="002A21AE" w:rsidRDefault="002A21AE">
            <w:pPr>
              <w:pStyle w:val="NotesText"/>
            </w:pPr>
          </w:p>
          <w:p w14:paraId="6F1EFAE3" w14:textId="77777777" w:rsidR="002A21AE" w:rsidRDefault="004356BF">
            <w:pPr>
              <w:pStyle w:val="NotesText"/>
            </w:pPr>
            <w:r w:rsidRPr="00EC7489">
              <w:rPr>
                <w:rFonts w:ascii="Wingdings 3" w:hAnsi="Wingdings 3" w:cs="Wingdings"/>
              </w:rPr>
              <w:t></w:t>
            </w:r>
            <w:r w:rsidRPr="00EC7489">
              <w:rPr>
                <w:rFonts w:ascii="Wingdings 3" w:hAnsi="Wingdings 3" w:cs="Wingdings"/>
              </w:rPr>
              <w:t></w:t>
            </w:r>
            <w:r w:rsidRPr="004356BF">
              <w:t xml:space="preserve"> The Enhanced Technologist may release a unit from quarantine.</w:t>
            </w:r>
          </w:p>
        </w:tc>
      </w:tr>
      <w:tr w:rsidR="002A21AE" w14:paraId="0FBE1049" w14:textId="77777777">
        <w:tc>
          <w:tcPr>
            <w:tcW w:w="3240" w:type="dxa"/>
          </w:tcPr>
          <w:p w14:paraId="1589DFFB" w14:textId="77777777" w:rsidR="002A21AE" w:rsidRDefault="009535FF">
            <w:pPr>
              <w:pStyle w:val="TableTextNumbers"/>
            </w:pPr>
            <w:r>
              <w:t xml:space="preserve">Select or enter a comment in the Comment </w:t>
            </w:r>
            <w:r w:rsidR="00A41AE1">
              <w:t>field</w:t>
            </w:r>
            <w:r>
              <w:t xml:space="preserve"> to explain the change in status, when indicated</w:t>
            </w:r>
            <w:r w:rsidR="002A21AE">
              <w:t>.</w:t>
            </w:r>
            <w:r>
              <w:t xml:space="preserve"> Enter details, as needed.</w:t>
            </w:r>
          </w:p>
        </w:tc>
        <w:tc>
          <w:tcPr>
            <w:tcW w:w="6120" w:type="dxa"/>
          </w:tcPr>
          <w:p w14:paraId="656258AD" w14:textId="77777777" w:rsidR="002A21AE" w:rsidRDefault="002A21AE">
            <w:pPr>
              <w:pStyle w:val="TableTextBullet"/>
            </w:pPr>
            <w:r>
              <w:t>Displays entered data.</w:t>
            </w:r>
          </w:p>
          <w:p w14:paraId="08F0E368" w14:textId="77777777" w:rsidR="004356BF" w:rsidRDefault="004356BF" w:rsidP="004356BF">
            <w:pPr>
              <w:pStyle w:val="TableText"/>
            </w:pPr>
          </w:p>
          <w:p w14:paraId="1C50B83E" w14:textId="2EEDD099" w:rsidR="004356BF" w:rsidRDefault="004356BF" w:rsidP="004356BF">
            <w:pPr>
              <w:pStyle w:val="TableText"/>
              <w:rPr>
                <w:b/>
                <w:bCs/>
                <w:szCs w:val="18"/>
              </w:rPr>
            </w:pPr>
            <w:r>
              <w:rPr>
                <w:b/>
                <w:bCs/>
                <w:szCs w:val="18"/>
              </w:rPr>
              <w:t>NOTES</w:t>
            </w:r>
          </w:p>
          <w:p w14:paraId="5FB8E37C" w14:textId="77777777" w:rsidR="004356BF" w:rsidRDefault="004356BF" w:rsidP="004356BF">
            <w:pPr>
              <w:pStyle w:val="NotesText"/>
            </w:pPr>
          </w:p>
          <w:p w14:paraId="52FBF864" w14:textId="77777777" w:rsidR="004356BF" w:rsidRDefault="004356BF" w:rsidP="004356BF">
            <w:pPr>
              <w:pStyle w:val="NotesText"/>
            </w:pPr>
            <w:r>
              <w:rPr>
                <w:rFonts w:cs="Arial"/>
                <w:vanish/>
              </w:rPr>
              <w:t xml:space="preserve">BR_27.04 </w:t>
            </w:r>
            <w:r>
              <w:t>When a status of “Discard” is assigned to a unit, the user must enter a comment.</w:t>
            </w:r>
          </w:p>
          <w:p w14:paraId="27750732" w14:textId="77777777" w:rsidR="004356BF" w:rsidRDefault="004356BF" w:rsidP="004356BF">
            <w:pPr>
              <w:pStyle w:val="NotesText"/>
            </w:pPr>
          </w:p>
          <w:p w14:paraId="4FA1CE19" w14:textId="77777777" w:rsidR="004356BF" w:rsidRDefault="0097326A" w:rsidP="004356BF">
            <w:pPr>
              <w:pStyle w:val="NotesText"/>
            </w:pPr>
            <w:r w:rsidRPr="00896F17">
              <w:rPr>
                <w:rStyle w:val="BullhornChar"/>
              </w:rPr>
              <w:t></w:t>
            </w:r>
            <w:r>
              <w:rPr>
                <w:rFonts w:ascii="Webdings" w:hAnsi="Webdings"/>
              </w:rPr>
              <w:t></w:t>
            </w:r>
            <w:r w:rsidR="004356BF">
              <w:rPr>
                <w:vanish/>
                <w:szCs w:val="18"/>
              </w:rPr>
              <w:t>BR_27.08</w:t>
            </w:r>
            <w:r w:rsidR="00CE3961">
              <w:rPr>
                <w:vanish/>
                <w:szCs w:val="18"/>
              </w:rPr>
              <w:t>,</w:t>
            </w:r>
            <w:r w:rsidR="004356BF">
              <w:rPr>
                <w:vanish/>
                <w:szCs w:val="18"/>
              </w:rPr>
              <w:t xml:space="preserve"> BR_27.02</w:t>
            </w:r>
            <w:r w:rsidR="00263B24">
              <w:t>W</w:t>
            </w:r>
            <w:r w:rsidR="004356BF">
              <w:t>hen a blood unit is assigned an in</w:t>
            </w:r>
            <w:r w:rsidR="004356BF">
              <w:rPr>
                <w:noProof/>
              </w:rPr>
              <w:t>dicator of “quarantined,” VBECS emits an audible alert, requires a comment, and captures</w:t>
            </w:r>
            <w:r w:rsidR="00AE3CC7">
              <w:rPr>
                <w:noProof/>
              </w:rPr>
              <w:t xml:space="preserve"> details</w:t>
            </w:r>
            <w:r w:rsidR="004356BF">
              <w:t xml:space="preserve"> for inclusion in an Exception Report (exception type: Quarantine, Discard or Release from Quarantine, depending on the user action).</w:t>
            </w:r>
          </w:p>
          <w:p w14:paraId="0D6C731F" w14:textId="77777777" w:rsidR="004356BF" w:rsidRDefault="004356BF" w:rsidP="004356BF">
            <w:pPr>
              <w:pStyle w:val="NotesText"/>
            </w:pPr>
            <w:r>
              <w:rPr>
                <w:rFonts w:cs="Arial"/>
                <w:vanish/>
              </w:rPr>
              <w:t xml:space="preserve">BR_27.11 </w:t>
            </w:r>
            <w:r w:rsidR="00263B24" w:rsidRPr="00896F17">
              <w:rPr>
                <w:rStyle w:val="BullhornChar"/>
              </w:rPr>
              <w:t></w:t>
            </w:r>
            <w:r w:rsidR="00263B24">
              <w:rPr>
                <w:rFonts w:ascii="Webdings" w:hAnsi="Webdings"/>
              </w:rPr>
              <w:t></w:t>
            </w:r>
            <w:r w:rsidR="00263B24">
              <w:t>W</w:t>
            </w:r>
            <w:r>
              <w:t xml:space="preserve">hen a unit is released from quarantine, a new status must be assigned. VBECS assigns the previous status as the </w:t>
            </w:r>
            <w:r>
              <w:lastRenderedPageBreak/>
              <w:t xml:space="preserve">default status. When the unit expiration date is in the past, VBECS </w:t>
            </w:r>
            <w:r>
              <w:rPr>
                <w:noProof/>
              </w:rPr>
              <w:t xml:space="preserve">emits an audible alert, warns the user, and asks whether </w:t>
            </w:r>
            <w:r w:rsidR="00782487">
              <w:rPr>
                <w:noProof/>
              </w:rPr>
              <w:t>he</w:t>
            </w:r>
            <w:r>
              <w:rPr>
                <w:noProof/>
              </w:rPr>
              <w:t xml:space="preserve"> wishes to </w:t>
            </w:r>
            <w:r w:rsidR="00AE3CC7">
              <w:rPr>
                <w:noProof/>
              </w:rPr>
              <w:t>continue</w:t>
            </w:r>
            <w:r>
              <w:t>.</w:t>
            </w:r>
          </w:p>
          <w:p w14:paraId="14891E2B" w14:textId="77777777" w:rsidR="004356BF" w:rsidRDefault="004356BF" w:rsidP="004356BF">
            <w:pPr>
              <w:pStyle w:val="NotesText"/>
              <w:rPr>
                <w:b/>
              </w:rPr>
            </w:pPr>
          </w:p>
          <w:p w14:paraId="6B570A0C" w14:textId="77777777" w:rsidR="004356BF" w:rsidRDefault="004356BF" w:rsidP="004356BF">
            <w:pPr>
              <w:pStyle w:val="NotesText"/>
            </w:pPr>
            <w:r>
              <w:rPr>
                <w:b/>
              </w:rPr>
              <w:t>Yes</w:t>
            </w:r>
            <w:r>
              <w:t xml:space="preserve"> accepts the default status, requires a comment, and captures details for inclusion in an Exception Report (exception type: expired unit released from quarantine). </w:t>
            </w:r>
            <w:r>
              <w:rPr>
                <w:b/>
              </w:rPr>
              <w:t>No</w:t>
            </w:r>
            <w:r>
              <w:t xml:space="preserve"> stops the process; the unit remains marked as quarantined.</w:t>
            </w:r>
          </w:p>
          <w:p w14:paraId="05295191" w14:textId="77777777" w:rsidR="004356BF" w:rsidRDefault="004356BF" w:rsidP="004356BF">
            <w:pPr>
              <w:pStyle w:val="NotesText"/>
            </w:pPr>
          </w:p>
          <w:p w14:paraId="1D2AEE09" w14:textId="77777777" w:rsidR="004356BF" w:rsidRDefault="004356BF" w:rsidP="004356BF">
            <w:pPr>
              <w:pStyle w:val="NotesText"/>
            </w:pPr>
            <w:r>
              <w:rPr>
                <w:rFonts w:cs="Arial"/>
                <w:vanish/>
              </w:rPr>
              <w:t xml:space="preserve">BR_27.05 </w:t>
            </w:r>
            <w:r>
              <w:t>When the user assigns a status of “Discard,” he must indicate whether the discard is waste or credit.</w:t>
            </w:r>
          </w:p>
          <w:p w14:paraId="12FA9841" w14:textId="77777777" w:rsidR="004356BF" w:rsidRDefault="004356BF" w:rsidP="004356BF">
            <w:pPr>
              <w:pStyle w:val="NotesText"/>
            </w:pPr>
          </w:p>
          <w:p w14:paraId="32AFA5F1" w14:textId="77777777" w:rsidR="004356BF" w:rsidRDefault="004356BF" w:rsidP="004356BF">
            <w:pPr>
              <w:pStyle w:val="NotesText"/>
            </w:pPr>
            <w:r>
              <w:rPr>
                <w:rFonts w:cs="Arial"/>
                <w:vanish/>
              </w:rPr>
              <w:t xml:space="preserve">BR_27.06 </w:t>
            </w:r>
            <w:r>
              <w:t>When VBECS processes a unit as a discard that is waste, it does not apply a return credit to the discarded unit. (There is no refund of monies from the blood shipper.)</w:t>
            </w:r>
          </w:p>
          <w:p w14:paraId="177DEE76" w14:textId="77777777" w:rsidR="004356BF" w:rsidRDefault="004356BF" w:rsidP="004356BF">
            <w:pPr>
              <w:pStyle w:val="NotesText"/>
            </w:pPr>
          </w:p>
          <w:p w14:paraId="5531EB86" w14:textId="77777777" w:rsidR="004356BF" w:rsidRDefault="004356BF" w:rsidP="004356BF">
            <w:pPr>
              <w:pStyle w:val="NotesText"/>
            </w:pPr>
            <w:r>
              <w:rPr>
                <w:rFonts w:cs="Arial"/>
                <w:vanish/>
              </w:rPr>
              <w:t xml:space="preserve">BR_27.07 </w:t>
            </w:r>
            <w:r>
              <w:t>When VBECS saves a unit as “discard for credit,” it applies a default return credit. A user may edit the default return credit applied to the unit before updating the database.</w:t>
            </w:r>
          </w:p>
          <w:p w14:paraId="77255888" w14:textId="77777777" w:rsidR="004356BF" w:rsidRDefault="004356BF" w:rsidP="004356BF">
            <w:pPr>
              <w:pStyle w:val="NotesText"/>
            </w:pPr>
          </w:p>
          <w:p w14:paraId="6EC245FA" w14:textId="77777777" w:rsidR="004356BF" w:rsidRDefault="004356BF" w:rsidP="004356BF">
            <w:pPr>
              <w:pStyle w:val="NotesText"/>
            </w:pPr>
            <w:r>
              <w:rPr>
                <w:rFonts w:cs="Arial"/>
                <w:vanish/>
              </w:rPr>
              <w:t xml:space="preserve">BR_27.15 </w:t>
            </w:r>
            <w:r>
              <w:t xml:space="preserve">When a unit </w:t>
            </w:r>
            <w:r w:rsidR="00621E98">
              <w:t>has had a quarantine indicator</w:t>
            </w:r>
            <w:r>
              <w:t xml:space="preserve"> assigned, VBECS releases </w:t>
            </w:r>
            <w:r w:rsidR="00621E98">
              <w:t xml:space="preserve">any </w:t>
            </w:r>
            <w:r>
              <w:t>patient assignments. Patient restrictions associa</w:t>
            </w:r>
            <w:r w:rsidR="00621E98">
              <w:t>ted with the unit remain intact.</w:t>
            </w:r>
          </w:p>
          <w:p w14:paraId="2E03694E" w14:textId="77777777" w:rsidR="004356BF" w:rsidRDefault="004356BF" w:rsidP="004356BF">
            <w:pPr>
              <w:pStyle w:val="NotesText"/>
            </w:pPr>
          </w:p>
          <w:p w14:paraId="44BC672E" w14:textId="77777777" w:rsidR="004356BF" w:rsidRDefault="004356BF" w:rsidP="00782487">
            <w:pPr>
              <w:pStyle w:val="NotesText"/>
            </w:pPr>
            <w:r>
              <w:rPr>
                <w:rFonts w:cs="Arial"/>
                <w:vanish/>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p w14:paraId="0ACF3A90" w14:textId="77777777" w:rsidR="00581D1A" w:rsidRDefault="00581D1A" w:rsidP="00581D1A">
            <w:pPr>
              <w:pStyle w:val="NotesText"/>
            </w:pPr>
          </w:p>
          <w:p w14:paraId="489BFAB8" w14:textId="65AE30C1" w:rsidR="00581D1A" w:rsidRDefault="00581D1A" w:rsidP="00581D1A">
            <w:pPr>
              <w:pStyle w:val="NotesText"/>
              <w:rPr>
                <w:rFonts w:cs="Arial"/>
                <w:vanish/>
              </w:rPr>
            </w:pPr>
            <w:r>
              <w:rPr>
                <w:rFonts w:cs="Arial"/>
                <w:vanish/>
              </w:rPr>
              <w:t>BR_27.20 A blood unit that is assigned or crossmatched may be Quarantined or Discarded.</w:t>
            </w:r>
          </w:p>
          <w:p w14:paraId="3C43B026" w14:textId="0BC96E16" w:rsidR="00581D1A" w:rsidRDefault="00581D1A" w:rsidP="00463A66">
            <w:pPr>
              <w:pStyle w:val="NotesText"/>
              <w:numPr>
                <w:ilvl w:val="0"/>
                <w:numId w:val="84"/>
              </w:numPr>
              <w:ind w:left="1051"/>
            </w:pPr>
            <w:r>
              <w:t>When quarantining an assigned or crossmatched unit, the system displays a message to the user before asking the user to confirm the save. “</w:t>
            </w:r>
            <w:r w:rsidRPr="0041003E">
              <w:t>The unit has been assigned/crossmatched, so if you quarantine it, then we will need to remove the assignment.</w:t>
            </w:r>
            <w:r>
              <w:t>” If the user confirms, the system will release the assignment.</w:t>
            </w:r>
          </w:p>
          <w:p w14:paraId="53EB94F3" w14:textId="7C894AB0" w:rsidR="00581D1A" w:rsidRDefault="00581D1A" w:rsidP="00463A66">
            <w:pPr>
              <w:pStyle w:val="NotesText"/>
              <w:numPr>
                <w:ilvl w:val="0"/>
                <w:numId w:val="84"/>
              </w:numPr>
              <w:ind w:left="1051"/>
            </w:pPr>
            <w:r>
              <w:t>When discarding an assigned or crossmatched unit, the system will leave the assignment in place.</w:t>
            </w:r>
          </w:p>
        </w:tc>
      </w:tr>
      <w:tr w:rsidR="002A21AE" w14:paraId="704A2DE7" w14:textId="77777777">
        <w:tc>
          <w:tcPr>
            <w:tcW w:w="3240" w:type="dxa"/>
          </w:tcPr>
          <w:p w14:paraId="09838A7A" w14:textId="77777777" w:rsidR="002A21AE" w:rsidRDefault="004724C0">
            <w:pPr>
              <w:pStyle w:val="TableTextNumbers"/>
            </w:pPr>
            <w:r>
              <w:lastRenderedPageBreak/>
              <w:t>E</w:t>
            </w:r>
            <w:r w:rsidR="00A41AE1">
              <w:t>nter</w:t>
            </w:r>
            <w:r w:rsidR="002A21AE">
              <w:t xml:space="preserve"> the date and time of the status update. </w:t>
            </w:r>
          </w:p>
          <w:p w14:paraId="16642883" w14:textId="77777777" w:rsidR="009535FF" w:rsidRDefault="009535FF" w:rsidP="009535FF">
            <w:pPr>
              <w:pStyle w:val="TableTextNumbersContinued"/>
            </w:pPr>
          </w:p>
          <w:p w14:paraId="1B72FA4A" w14:textId="77777777" w:rsidR="009535FF" w:rsidRDefault="009535FF" w:rsidP="009535FF">
            <w:pPr>
              <w:pStyle w:val="TableTextNumbersContinued"/>
            </w:pPr>
            <w:r>
              <w:t xml:space="preserve">Click the </w:t>
            </w:r>
            <w:r w:rsidRPr="009535FF">
              <w:rPr>
                <w:b/>
              </w:rPr>
              <w:t>Waste</w:t>
            </w:r>
            <w:r>
              <w:t xml:space="preserve"> or </w:t>
            </w:r>
            <w:r w:rsidRPr="009535FF">
              <w:rPr>
                <w:b/>
              </w:rPr>
              <w:t xml:space="preserve">Credit </w:t>
            </w:r>
            <w:r w:rsidRPr="00BF2E41">
              <w:t>radio button</w:t>
            </w:r>
            <w:r>
              <w:t>.</w:t>
            </w:r>
          </w:p>
        </w:tc>
        <w:tc>
          <w:tcPr>
            <w:tcW w:w="6120" w:type="dxa"/>
          </w:tcPr>
          <w:p w14:paraId="24F8B46A" w14:textId="77777777" w:rsidR="002A21AE" w:rsidRDefault="009D6D56">
            <w:pPr>
              <w:pStyle w:val="TableTextBullet"/>
            </w:pPr>
            <w:r>
              <w:rPr>
                <w:vanish/>
              </w:rPr>
              <w:t xml:space="preserve">DR 3241 </w:t>
            </w:r>
            <w:r>
              <w:t>VBECS defaults the date and time of the status update to the date and time the user opened the Discard or Quarantine option</w:t>
            </w:r>
          </w:p>
          <w:p w14:paraId="742DFD94" w14:textId="77777777" w:rsidR="002A21AE" w:rsidRDefault="002A21AE">
            <w:pPr>
              <w:pStyle w:val="TableTextBullet"/>
            </w:pPr>
            <w:r>
              <w:t>Displays entered data.</w:t>
            </w:r>
          </w:p>
          <w:p w14:paraId="23660403" w14:textId="77777777" w:rsidR="002A21AE" w:rsidRDefault="002A21AE">
            <w:pPr>
              <w:pStyle w:val="TableText"/>
            </w:pPr>
          </w:p>
          <w:p w14:paraId="1BB4BAA3" w14:textId="746847E8" w:rsidR="002A21AE" w:rsidRDefault="002A21AE">
            <w:pPr>
              <w:pStyle w:val="TableText"/>
              <w:rPr>
                <w:b/>
                <w:bCs/>
                <w:szCs w:val="18"/>
              </w:rPr>
            </w:pPr>
            <w:r>
              <w:rPr>
                <w:b/>
                <w:bCs/>
                <w:szCs w:val="18"/>
              </w:rPr>
              <w:t>NOTES</w:t>
            </w:r>
          </w:p>
          <w:p w14:paraId="7F68C6FE" w14:textId="77777777" w:rsidR="002A21AE" w:rsidRDefault="002A21AE">
            <w:pPr>
              <w:pStyle w:val="NotesText"/>
            </w:pPr>
          </w:p>
          <w:p w14:paraId="71A6FEEC" w14:textId="77777777" w:rsidR="002A21AE" w:rsidRDefault="002A21AE">
            <w:pPr>
              <w:pStyle w:val="NotesText"/>
            </w:pPr>
            <w:r>
              <w:t>The default date and time are the current date and time.</w:t>
            </w:r>
          </w:p>
          <w:p w14:paraId="2E8E9F4B" w14:textId="77777777" w:rsidR="002A21AE" w:rsidRDefault="002A21AE">
            <w:pPr>
              <w:pStyle w:val="NotesText"/>
            </w:pPr>
          </w:p>
          <w:p w14:paraId="3081C7F4" w14:textId="77777777" w:rsidR="002A21AE" w:rsidRDefault="002A21AE">
            <w:pPr>
              <w:pStyle w:val="NotesText"/>
            </w:pPr>
            <w:r>
              <w:rPr>
                <w:rFonts w:cs="Arial"/>
                <w:vanish/>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45" w:name="one2511"/>
            <w:bookmarkEnd w:id="345"/>
          </w:p>
          <w:p w14:paraId="7DE0AEF5" w14:textId="77777777" w:rsidR="002A21AE" w:rsidRDefault="002A21AE">
            <w:pPr>
              <w:pStyle w:val="NotesText"/>
            </w:pPr>
          </w:p>
          <w:p w14:paraId="2FA4EC9C" w14:textId="77777777" w:rsidR="002A21AE" w:rsidRDefault="00263B24">
            <w:pPr>
              <w:pStyle w:val="NotesText"/>
            </w:pPr>
            <w:r w:rsidRPr="00896F17">
              <w:rPr>
                <w:rStyle w:val="BullhornChar"/>
              </w:rPr>
              <w:t></w:t>
            </w:r>
            <w:r w:rsidR="002A21AE" w:rsidRPr="00EC7489">
              <w:rPr>
                <w:rFonts w:ascii="Wingdings 3" w:hAnsi="Wingdings 3" w:cs="Wingdings"/>
              </w:rPr>
              <w:t></w:t>
            </w:r>
            <w:r w:rsidR="002A21AE" w:rsidRPr="00EC7489">
              <w:rPr>
                <w:rFonts w:ascii="Wingdings 3" w:hAnsi="Wingdings 3" w:cs="Wingdings"/>
              </w:rPr>
              <w:t></w:t>
            </w:r>
            <w:r w:rsidR="002A21AE">
              <w:t xml:space="preserve"> When the user attempts to update a unit record prior to the last record update, VBECS emits an audible alert, warns the Enhanced Technologist, and instructs him to check the date and time entered. There is no override.</w:t>
            </w:r>
          </w:p>
          <w:p w14:paraId="6515DD09" w14:textId="77777777" w:rsidR="002A21AE" w:rsidRDefault="002A21AE">
            <w:pPr>
              <w:pStyle w:val="NotesText"/>
            </w:pPr>
          </w:p>
          <w:p w14:paraId="12CD7D3C" w14:textId="77777777" w:rsidR="002A21AE" w:rsidRDefault="005C768D">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A21AE">
              <w:t xml:space="preserve">When the user is a Lead Technologist, VBECS also requires a comment and asks whether the user wishes to continue. </w:t>
            </w:r>
            <w:r w:rsidR="002A21AE">
              <w:rPr>
                <w:b/>
              </w:rPr>
              <w:t>Yes</w:t>
            </w:r>
            <w:r w:rsidR="002A21AE">
              <w:t xml:space="preserve"> accepts the date and time entered, requires a comment, and captures details for inclusion in an Exception Report (exception type: retrospective update prior to last record update). </w:t>
            </w:r>
            <w:r w:rsidR="002A21AE">
              <w:rPr>
                <w:b/>
              </w:rPr>
              <w:t>No</w:t>
            </w:r>
            <w:r w:rsidR="002A21AE">
              <w:t xml:space="preserve"> allows the user to correct the entry.</w:t>
            </w:r>
          </w:p>
        </w:tc>
      </w:tr>
      <w:tr w:rsidR="002A21AE" w14:paraId="777E294B" w14:textId="77777777">
        <w:tc>
          <w:tcPr>
            <w:tcW w:w="3240" w:type="dxa"/>
          </w:tcPr>
          <w:p w14:paraId="68CFDF37" w14:textId="77777777" w:rsidR="002A21AE" w:rsidRDefault="002A21AE" w:rsidP="00A41AE1">
            <w:pPr>
              <w:pStyle w:val="TableTextNumbers"/>
            </w:pPr>
            <w:r>
              <w:lastRenderedPageBreak/>
              <w:t xml:space="preserve">Review the unit status update information and </w:t>
            </w:r>
            <w:r w:rsidR="009535FF">
              <w:t>c</w:t>
            </w:r>
            <w:r>
              <w:t xml:space="preserve">lick </w:t>
            </w:r>
            <w:r w:rsidR="005122E2">
              <w:rPr>
                <w:b/>
              </w:rPr>
              <w:t>Save</w:t>
            </w:r>
            <w:r w:rsidR="005122E2" w:rsidRPr="009535FF">
              <w:t xml:space="preserve"> </w:t>
            </w:r>
            <w:r w:rsidR="009535FF" w:rsidRPr="009535FF">
              <w:t>to save</w:t>
            </w:r>
            <w:r>
              <w:t>.</w:t>
            </w:r>
          </w:p>
        </w:tc>
        <w:tc>
          <w:tcPr>
            <w:tcW w:w="6120" w:type="dxa"/>
          </w:tcPr>
          <w:p w14:paraId="09B33B31" w14:textId="77777777" w:rsidR="002A21AE" w:rsidRDefault="002A21AE">
            <w:pPr>
              <w:pStyle w:val="TableTextBullet"/>
            </w:pPr>
            <w:r>
              <w:t xml:space="preserve">Evaluates the unit’s current status to determine whether it is eligible for the selected function. </w:t>
            </w:r>
          </w:p>
          <w:p w14:paraId="3BF28418" w14:textId="77777777" w:rsidR="002A21AE" w:rsidRDefault="002A21AE">
            <w:pPr>
              <w:pStyle w:val="TableTextBullet"/>
            </w:pPr>
            <w:r>
              <w:t>Displays appropriate error messages when the unit cannot be processed.</w:t>
            </w:r>
          </w:p>
          <w:p w14:paraId="61C25685" w14:textId="77777777" w:rsidR="002A21AE" w:rsidRDefault="002A21AE">
            <w:pPr>
              <w:pStyle w:val="TableTextBullet"/>
            </w:pPr>
            <w:r>
              <w:t>Prompts the user to confirm the save.</w:t>
            </w:r>
          </w:p>
        </w:tc>
      </w:tr>
      <w:tr w:rsidR="002A21AE" w14:paraId="534B1687" w14:textId="77777777">
        <w:tc>
          <w:tcPr>
            <w:tcW w:w="3240" w:type="dxa"/>
          </w:tcPr>
          <w:p w14:paraId="3E03218D" w14:textId="77777777" w:rsidR="002A21AE" w:rsidRDefault="009535FF">
            <w:pPr>
              <w:pStyle w:val="TableTextNumbers"/>
            </w:pPr>
            <w:r>
              <w:t xml:space="preserve">Click </w:t>
            </w:r>
            <w:r w:rsidRPr="009535FF">
              <w:rPr>
                <w:b/>
              </w:rPr>
              <w:t>Yes</w:t>
            </w:r>
            <w:r>
              <w:t xml:space="preserve"> to c</w:t>
            </w:r>
            <w:r w:rsidR="002A21AE">
              <w:t>onfirm the save.</w:t>
            </w:r>
            <w:r>
              <w:rPr>
                <w:vanish/>
                <w:color w:val="FFFFFF"/>
                <w:szCs w:val="18"/>
              </w:rPr>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r>
          </w:p>
        </w:tc>
        <w:tc>
          <w:tcPr>
            <w:tcW w:w="6120" w:type="dxa"/>
          </w:tcPr>
          <w:p w14:paraId="192AE914" w14:textId="77777777" w:rsidR="002A21AE" w:rsidRDefault="002A21AE">
            <w:pPr>
              <w:pStyle w:val="TableTextBullet"/>
            </w:pPr>
            <w:r>
              <w:t>Saves the data.</w:t>
            </w:r>
          </w:p>
          <w:p w14:paraId="1E3C695A" w14:textId="77777777" w:rsidR="002A21AE" w:rsidRDefault="002A21AE">
            <w:pPr>
              <w:pStyle w:val="TableText"/>
            </w:pPr>
          </w:p>
          <w:p w14:paraId="0EA2674F" w14:textId="5F9B96AD" w:rsidR="002A21AE" w:rsidRDefault="002A21AE">
            <w:pPr>
              <w:pStyle w:val="TableText"/>
              <w:rPr>
                <w:b/>
                <w:bCs/>
                <w:szCs w:val="18"/>
              </w:rPr>
            </w:pPr>
            <w:r>
              <w:rPr>
                <w:b/>
                <w:bCs/>
                <w:szCs w:val="18"/>
              </w:rPr>
              <w:t>NOTES</w:t>
            </w:r>
          </w:p>
          <w:p w14:paraId="0761EB5D" w14:textId="77777777" w:rsidR="002A21AE" w:rsidRDefault="002A21AE">
            <w:pPr>
              <w:pStyle w:val="NotesText"/>
            </w:pPr>
          </w:p>
          <w:p w14:paraId="528F01F6" w14:textId="77777777" w:rsidR="002A21AE" w:rsidRDefault="002A21AE">
            <w:pPr>
              <w:pStyle w:val="NotesText"/>
            </w:pPr>
            <w:r>
              <w:rPr>
                <w:rFonts w:cs="Arial"/>
                <w:vanish/>
              </w:rPr>
              <w:t xml:space="preserve">BR_27.01 </w:t>
            </w:r>
            <w:r>
              <w:t>During batch data entry of “Discard,” “Quarantine,” and “Release from Quarantine,” VBECS saves transaction details, including user-entered comments, to each blood unit included in the batch.</w:t>
            </w:r>
          </w:p>
        </w:tc>
      </w:tr>
    </w:tbl>
    <w:p w14:paraId="02AC22EC" w14:textId="47C2AA98" w:rsidR="00550732" w:rsidRDefault="00550732" w:rsidP="00550732">
      <w:pPr>
        <w:pStyle w:val="Caption"/>
      </w:pPr>
      <w:bookmarkStart w:id="346" w:name="_Select_Units"/>
      <w:bookmarkStart w:id="347" w:name="_Ref126653702"/>
      <w:bookmarkEnd w:id="34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69</w:t>
      </w:r>
      <w:r w:rsidR="004E20BD">
        <w:rPr>
          <w:noProof/>
        </w:rPr>
        <w:fldChar w:fldCharType="end"/>
      </w:r>
      <w:bookmarkEnd w:id="347"/>
      <w:r>
        <w:t>: Discard or Quarantine Units</w:t>
      </w:r>
    </w:p>
    <w:p w14:paraId="20C45E1A" w14:textId="22C5D0C9" w:rsidR="00550732" w:rsidRDefault="00F927FC" w:rsidP="00550732">
      <w:pPr>
        <w:pStyle w:val="BodyText"/>
      </w:pPr>
      <w:r>
        <w:rPr>
          <w:noProof/>
        </w:rPr>
        <w:drawing>
          <wp:inline distT="0" distB="0" distL="0" distR="0" wp14:anchorId="0DCE3A1F" wp14:editId="6B5EDEB4">
            <wp:extent cx="5943600" cy="3735070"/>
            <wp:effectExtent l="0" t="0" r="0" b="0"/>
            <wp:docPr id="178" name="Picture 178" descr="Example of Discard or Quarantine Uni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Example of Discard or Quarantine Units screen capt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3735070"/>
                    </a:xfrm>
                    <a:prstGeom prst="rect">
                      <a:avLst/>
                    </a:prstGeom>
                    <a:noFill/>
                    <a:ln>
                      <a:noFill/>
                    </a:ln>
                  </pic:spPr>
                </pic:pic>
              </a:graphicData>
            </a:graphic>
          </wp:inline>
        </w:drawing>
      </w:r>
    </w:p>
    <w:p w14:paraId="285ABEED" w14:textId="77777777" w:rsidR="002A21AE" w:rsidRDefault="00375257" w:rsidP="00E653FE">
      <w:pPr>
        <w:pStyle w:val="Heading4"/>
      </w:pPr>
      <w:r>
        <w:br w:type="page"/>
      </w:r>
      <w:r w:rsidR="00E653FE">
        <w:lastRenderedPageBreak/>
        <w:t>Discard or Quarantine Units by Invoice</w:t>
      </w:r>
      <w:r w:rsidR="00561EA7">
        <w:fldChar w:fldCharType="begin"/>
      </w:r>
      <w:r w:rsidR="00561EA7">
        <w:instrText xml:space="preserve"> XE "</w:instrText>
      </w:r>
      <w:r w:rsidR="00561EA7" w:rsidRPr="008B7F3F">
        <w:instrText>Discard or Quarantine Units by Invoice</w:instrText>
      </w:r>
      <w:r w:rsidR="00561EA7">
        <w:instrText xml:space="preserve">" </w:instrText>
      </w:r>
      <w:r w:rsidR="00561EA7">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9535FF" w14:paraId="301052A5" w14:textId="77777777">
        <w:trPr>
          <w:cantSplit/>
          <w:tblHeader/>
        </w:trPr>
        <w:tc>
          <w:tcPr>
            <w:tcW w:w="3240" w:type="dxa"/>
            <w:shd w:val="pct30" w:color="auto" w:fill="FFFFFF"/>
            <w:vAlign w:val="bottom"/>
          </w:tcPr>
          <w:p w14:paraId="3C5B4C69" w14:textId="77777777" w:rsidR="009535FF" w:rsidRDefault="009535FF" w:rsidP="004356BF">
            <w:pPr>
              <w:pStyle w:val="TableText"/>
              <w:rPr>
                <w:b/>
              </w:rPr>
            </w:pPr>
            <w:r>
              <w:rPr>
                <w:b/>
              </w:rPr>
              <w:t>User Action</w:t>
            </w:r>
          </w:p>
        </w:tc>
        <w:tc>
          <w:tcPr>
            <w:tcW w:w="6120" w:type="dxa"/>
            <w:shd w:val="pct30" w:color="auto" w:fill="FFFFFF"/>
            <w:vAlign w:val="bottom"/>
          </w:tcPr>
          <w:p w14:paraId="158F2878" w14:textId="77777777" w:rsidR="009535FF" w:rsidRDefault="009535FF" w:rsidP="004356BF">
            <w:pPr>
              <w:pStyle w:val="TableText"/>
              <w:rPr>
                <w:b/>
              </w:rPr>
            </w:pPr>
            <w:r>
              <w:rPr>
                <w:b/>
              </w:rPr>
              <w:t>VBECS</w:t>
            </w:r>
          </w:p>
        </w:tc>
      </w:tr>
      <w:tr w:rsidR="009535FF" w14:paraId="77D10657" w14:textId="77777777">
        <w:tc>
          <w:tcPr>
            <w:tcW w:w="3240" w:type="dxa"/>
          </w:tcPr>
          <w:p w14:paraId="7D3F4F9E" w14:textId="77777777" w:rsidR="009535FF" w:rsidRDefault="009535FF" w:rsidP="006E12D3">
            <w:pPr>
              <w:pStyle w:val="TableTextNumbers"/>
            </w:pPr>
            <w:r>
              <w:t xml:space="preserve">Select </w:t>
            </w:r>
            <w:r>
              <w:rPr>
                <w:b/>
              </w:rPr>
              <w:t>Shipments</w:t>
            </w:r>
            <w:r>
              <w:t xml:space="preserve"> from the main menu.</w:t>
            </w:r>
          </w:p>
          <w:p w14:paraId="00DE4BC6" w14:textId="77777777" w:rsidR="009535FF" w:rsidRDefault="009535FF" w:rsidP="004356BF">
            <w:pPr>
              <w:pStyle w:val="TableTextNumbersContinued"/>
            </w:pPr>
          </w:p>
          <w:p w14:paraId="6B0DA9A4" w14:textId="77777777" w:rsidR="009535FF" w:rsidRDefault="009535FF" w:rsidP="004356BF">
            <w:pPr>
              <w:pStyle w:val="TableTextNumbersContinued"/>
            </w:pPr>
            <w:r>
              <w:t xml:space="preserve">Select </w:t>
            </w:r>
            <w:r>
              <w:rPr>
                <w:b/>
              </w:rPr>
              <w:t>Discard or Quarantine</w:t>
            </w:r>
            <w:r>
              <w:t>.</w:t>
            </w:r>
          </w:p>
          <w:p w14:paraId="0631FA0F" w14:textId="77777777" w:rsidR="009535FF" w:rsidRDefault="009535FF" w:rsidP="004356BF">
            <w:pPr>
              <w:pStyle w:val="TableTextNumbersContinued"/>
            </w:pPr>
          </w:p>
          <w:p w14:paraId="4652CBAB" w14:textId="77777777" w:rsidR="009535FF" w:rsidRDefault="009535FF" w:rsidP="004356BF">
            <w:pPr>
              <w:pStyle w:val="TableTextNumbersContinued"/>
            </w:pPr>
            <w:r>
              <w:t xml:space="preserve">Select an invoice and click </w:t>
            </w:r>
            <w:r>
              <w:rPr>
                <w:b/>
              </w:rPr>
              <w:t>OK</w:t>
            </w:r>
            <w:r>
              <w:t>.</w:t>
            </w:r>
          </w:p>
        </w:tc>
        <w:tc>
          <w:tcPr>
            <w:tcW w:w="6120" w:type="dxa"/>
          </w:tcPr>
          <w:p w14:paraId="715C3E21" w14:textId="77777777" w:rsidR="009535FF" w:rsidRDefault="009535FF" w:rsidP="004356BF">
            <w:pPr>
              <w:pStyle w:val="TableTextBullet"/>
            </w:pPr>
            <w:r>
              <w:t>Displays options for processing blood product shipments.</w:t>
            </w:r>
          </w:p>
          <w:p w14:paraId="7AC85E1D" w14:textId="77777777" w:rsidR="009535FF" w:rsidRDefault="009535FF" w:rsidP="004356BF">
            <w:pPr>
              <w:pStyle w:val="TableTextBullet"/>
            </w:pPr>
            <w:r>
              <w:t>Displays fields for entering shipment information.</w:t>
            </w:r>
          </w:p>
          <w:p w14:paraId="73CF6E8D" w14:textId="77777777" w:rsidR="009535FF" w:rsidRDefault="009535FF" w:rsidP="004356BF">
            <w:pPr>
              <w:pStyle w:val="TableTextBullet"/>
            </w:pPr>
            <w:r>
              <w:t xml:space="preserve">Allows </w:t>
            </w:r>
            <w:r w:rsidR="00E00A07">
              <w:t>the user to discard</w:t>
            </w:r>
            <w:r>
              <w:t xml:space="preserve"> or quarantine</w:t>
            </w:r>
            <w:r w:rsidR="00E00A07">
              <w:t xml:space="preserve"> units</w:t>
            </w:r>
            <w:r>
              <w:t xml:space="preserve"> by invoice.</w:t>
            </w:r>
          </w:p>
        </w:tc>
      </w:tr>
      <w:tr w:rsidR="009535FF" w14:paraId="62859EA8" w14:textId="77777777">
        <w:tc>
          <w:tcPr>
            <w:tcW w:w="3240" w:type="dxa"/>
          </w:tcPr>
          <w:p w14:paraId="28ED1FD5" w14:textId="77777777" w:rsidR="009535FF" w:rsidRDefault="006E12D3" w:rsidP="004356BF">
            <w:pPr>
              <w:pStyle w:val="TableTextNumbers"/>
            </w:pPr>
            <w:r>
              <w:t xml:space="preserve">Click </w:t>
            </w:r>
            <w:r w:rsidR="00E00A07">
              <w:t xml:space="preserve">(clear) </w:t>
            </w:r>
            <w:r>
              <w:t>one or more check boxes to remove units from the invoice.</w:t>
            </w:r>
          </w:p>
          <w:p w14:paraId="2BEAFB55" w14:textId="77777777" w:rsidR="006E12D3" w:rsidRDefault="006E12D3" w:rsidP="006E12D3">
            <w:pPr>
              <w:pStyle w:val="TableTextNumbersContinued"/>
            </w:pPr>
          </w:p>
          <w:p w14:paraId="70B8B442" w14:textId="77777777" w:rsidR="006E12D3" w:rsidRDefault="006E12D3" w:rsidP="006E12D3">
            <w:pPr>
              <w:pStyle w:val="TableTextNumbersContinued"/>
            </w:pPr>
            <w:r>
              <w:t xml:space="preserve">Click </w:t>
            </w:r>
            <w:r w:rsidRPr="006E12D3">
              <w:rPr>
                <w:b/>
              </w:rPr>
              <w:t>OK</w:t>
            </w:r>
            <w:r>
              <w:t>.</w:t>
            </w:r>
          </w:p>
        </w:tc>
        <w:tc>
          <w:tcPr>
            <w:tcW w:w="6120" w:type="dxa"/>
          </w:tcPr>
          <w:p w14:paraId="78E833A5" w14:textId="77777777" w:rsidR="003E1884" w:rsidRDefault="00EC1460" w:rsidP="003E1884">
            <w:pPr>
              <w:pStyle w:val="TableTextBullet"/>
            </w:pPr>
            <w:r>
              <w:t>Allows the user to select individual units.</w:t>
            </w:r>
          </w:p>
          <w:p w14:paraId="7F1241E4" w14:textId="77777777" w:rsidR="00EC1460" w:rsidRDefault="00EC1460" w:rsidP="003E1884">
            <w:pPr>
              <w:pStyle w:val="TableTextBullet"/>
            </w:pPr>
            <w:r>
              <w:t>Displays unit information, including the current status included in the invoice.</w:t>
            </w:r>
          </w:p>
          <w:p w14:paraId="7A76B8E4" w14:textId="77777777" w:rsidR="00EC1460" w:rsidRDefault="00EC1460" w:rsidP="003E1884">
            <w:pPr>
              <w:pStyle w:val="TableTextBullet"/>
            </w:pPr>
            <w:r>
              <w:t>Allows the user to deselect units from the batch prior to editing.</w:t>
            </w:r>
          </w:p>
          <w:p w14:paraId="37A006C7" w14:textId="77777777" w:rsidR="003E1884" w:rsidRDefault="003E1884" w:rsidP="004356BF">
            <w:pPr>
              <w:pStyle w:val="TableText"/>
              <w:rPr>
                <w:b/>
                <w:bCs/>
                <w:szCs w:val="18"/>
              </w:rPr>
            </w:pPr>
          </w:p>
          <w:p w14:paraId="1130D531" w14:textId="6EF04D60" w:rsidR="009535FF" w:rsidRDefault="009535FF" w:rsidP="004356BF">
            <w:pPr>
              <w:pStyle w:val="TableText"/>
              <w:rPr>
                <w:b/>
                <w:bCs/>
                <w:szCs w:val="18"/>
              </w:rPr>
            </w:pPr>
            <w:r>
              <w:rPr>
                <w:b/>
                <w:bCs/>
                <w:szCs w:val="18"/>
              </w:rPr>
              <w:t>NOTES</w:t>
            </w:r>
          </w:p>
          <w:p w14:paraId="196F6490" w14:textId="77777777" w:rsidR="009535FF" w:rsidRPr="00BE1A93" w:rsidRDefault="009535FF" w:rsidP="00BE1A93">
            <w:pPr>
              <w:pStyle w:val="NotesText"/>
            </w:pPr>
          </w:p>
          <w:p w14:paraId="61719EC9" w14:textId="77777777" w:rsidR="009535FF" w:rsidRDefault="00D1603E" w:rsidP="00BE1A93">
            <w:pPr>
              <w:pStyle w:val="NotesText"/>
            </w:pPr>
            <w:r w:rsidRPr="00D1603E">
              <w:rPr>
                <w:vanish/>
                <w:szCs w:val="18"/>
              </w:rPr>
              <w:t xml:space="preserve">BR_27.09 </w:t>
            </w:r>
            <w:r w:rsidR="00BE1A93" w:rsidRPr="00BE1A93">
              <w:t>For batch processing, the user may select incoming shipment invoic</w:t>
            </w:r>
            <w:r w:rsidR="00BE1A93">
              <w:t>es from t</w:t>
            </w:r>
            <w:r w:rsidR="00BE1A93" w:rsidRPr="00BE1A93">
              <w:t>h</w:t>
            </w:r>
            <w:r w:rsidR="00BE1A93">
              <w:t>e</w:t>
            </w:r>
            <w:r w:rsidR="00BE1A93" w:rsidRPr="00BE1A93">
              <w:t xml:space="preserve"> previous five days processed in the same division as the user.</w:t>
            </w:r>
          </w:p>
          <w:p w14:paraId="5EE560E1" w14:textId="77777777" w:rsidR="00D1603E" w:rsidRDefault="00D1603E" w:rsidP="00BE1A93">
            <w:pPr>
              <w:pStyle w:val="NotesText"/>
            </w:pPr>
          </w:p>
          <w:p w14:paraId="20C28C1B" w14:textId="77777777" w:rsidR="00D1603E" w:rsidRDefault="00D1603E" w:rsidP="00BE1A93">
            <w:pPr>
              <w:pStyle w:val="NotesText"/>
            </w:pPr>
            <w:r w:rsidRPr="00D1603E">
              <w:rPr>
                <w:vanish/>
                <w:szCs w:val="18"/>
              </w:rPr>
              <w:t xml:space="preserve">BR_27.12 </w:t>
            </w:r>
            <w:r>
              <w:t>Only incoming shipment invoices processed within the user’s division may be accessed for batch processing.</w:t>
            </w:r>
          </w:p>
        </w:tc>
      </w:tr>
      <w:tr w:rsidR="009544D4" w14:paraId="42E3B337" w14:textId="77777777">
        <w:tc>
          <w:tcPr>
            <w:tcW w:w="3240" w:type="dxa"/>
            <w:tcBorders>
              <w:top w:val="single" w:sz="4" w:space="0" w:color="auto"/>
              <w:left w:val="single" w:sz="4" w:space="0" w:color="auto"/>
              <w:bottom w:val="single" w:sz="4" w:space="0" w:color="auto"/>
              <w:right w:val="single" w:sz="4" w:space="0" w:color="auto"/>
            </w:tcBorders>
          </w:tcPr>
          <w:p w14:paraId="3B246B5F" w14:textId="77777777" w:rsidR="009544D4" w:rsidRDefault="009544D4" w:rsidP="00F90585">
            <w:pPr>
              <w:pStyle w:val="TableTextNumbers"/>
            </w:pPr>
            <w:r>
              <w:t xml:space="preserve">In the Activity area, click the </w:t>
            </w:r>
            <w:r w:rsidRPr="009544D4">
              <w:rPr>
                <w:b/>
              </w:rPr>
              <w:t>Discard</w:t>
            </w:r>
            <w:r>
              <w:t xml:space="preserve">, </w:t>
            </w:r>
            <w:r w:rsidRPr="009544D4">
              <w:rPr>
                <w:b/>
              </w:rPr>
              <w:t>Quarantine</w:t>
            </w:r>
            <w:r>
              <w:t xml:space="preserve">, or </w:t>
            </w:r>
            <w:r w:rsidRPr="009544D4">
              <w:rPr>
                <w:b/>
              </w:rPr>
              <w:t xml:space="preserve">Release from Quarantine </w:t>
            </w:r>
            <w:r w:rsidRPr="00BF2E41">
              <w:t>radio button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7F37FB44" w14:textId="77777777" w:rsidR="00BE1A93" w:rsidRDefault="00BE1A93" w:rsidP="00BE1A93">
            <w:pPr>
              <w:pStyle w:val="TableText"/>
              <w:rPr>
                <w:b/>
                <w:bCs/>
                <w:szCs w:val="18"/>
              </w:rPr>
            </w:pPr>
          </w:p>
          <w:p w14:paraId="21AF6527" w14:textId="13D5569C" w:rsidR="00BE1A93" w:rsidRDefault="00BE1A93" w:rsidP="00BE1A93">
            <w:pPr>
              <w:pStyle w:val="TableText"/>
              <w:rPr>
                <w:b/>
                <w:bCs/>
                <w:szCs w:val="18"/>
              </w:rPr>
            </w:pPr>
            <w:r>
              <w:rPr>
                <w:b/>
                <w:bCs/>
                <w:szCs w:val="18"/>
              </w:rPr>
              <w:t>NOTES</w:t>
            </w:r>
          </w:p>
          <w:p w14:paraId="60C84FF9" w14:textId="77777777" w:rsidR="00BE1A93" w:rsidRDefault="00BE1A93" w:rsidP="00467E7D">
            <w:pPr>
              <w:pStyle w:val="NotesText"/>
            </w:pPr>
          </w:p>
          <w:p w14:paraId="7FB0F63E" w14:textId="77777777" w:rsidR="009544D4" w:rsidRDefault="00BE1A93" w:rsidP="00467E7D">
            <w:pPr>
              <w:pStyle w:val="NotesText"/>
            </w:pPr>
            <w:r w:rsidRPr="00EC7489">
              <w:rPr>
                <w:rFonts w:ascii="Wingdings 3" w:hAnsi="Wingdings 3" w:cs="Wingdings"/>
              </w:rPr>
              <w:t></w:t>
            </w:r>
            <w:r w:rsidRPr="00EC7489">
              <w:rPr>
                <w:rFonts w:ascii="Wingdings 3" w:hAnsi="Wingdings 3" w:cs="Wingdings"/>
              </w:rPr>
              <w:t></w:t>
            </w:r>
            <w:r>
              <w:t xml:space="preserve"> The</w:t>
            </w:r>
            <w:r w:rsidR="009544D4" w:rsidRPr="004356BF">
              <w:t xml:space="preserve"> Enhanced Technologist may release a unit from quarantine.</w:t>
            </w:r>
          </w:p>
        </w:tc>
      </w:tr>
      <w:tr w:rsidR="007E6BE0" w14:paraId="31581018" w14:textId="77777777">
        <w:tc>
          <w:tcPr>
            <w:tcW w:w="3240" w:type="dxa"/>
            <w:tcBorders>
              <w:top w:val="single" w:sz="4" w:space="0" w:color="auto"/>
              <w:left w:val="single" w:sz="4" w:space="0" w:color="auto"/>
              <w:bottom w:val="single" w:sz="4" w:space="0" w:color="auto"/>
              <w:right w:val="single" w:sz="4" w:space="0" w:color="auto"/>
            </w:tcBorders>
          </w:tcPr>
          <w:p w14:paraId="345F2736" w14:textId="77777777" w:rsidR="007E6BE0" w:rsidRDefault="007E6BE0" w:rsidP="00F90585">
            <w:pPr>
              <w:pStyle w:val="TableTextNumbers"/>
            </w:pPr>
            <w:r>
              <w:t>Select or enter a comment in the Comment field to explain the change in status, when indicated. Enter details, as needed.</w:t>
            </w:r>
          </w:p>
        </w:tc>
        <w:tc>
          <w:tcPr>
            <w:tcW w:w="6120" w:type="dxa"/>
            <w:tcBorders>
              <w:top w:val="single" w:sz="4" w:space="0" w:color="auto"/>
              <w:left w:val="single" w:sz="4" w:space="0" w:color="auto"/>
              <w:bottom w:val="single" w:sz="4" w:space="0" w:color="auto"/>
              <w:right w:val="single" w:sz="4" w:space="0" w:color="auto"/>
            </w:tcBorders>
          </w:tcPr>
          <w:p w14:paraId="4170217A" w14:textId="77777777" w:rsidR="007E6BE0" w:rsidRDefault="007E6BE0" w:rsidP="00F90585">
            <w:pPr>
              <w:pStyle w:val="TableTextBullet"/>
            </w:pPr>
            <w:r>
              <w:t>Displays entered data.</w:t>
            </w:r>
          </w:p>
          <w:p w14:paraId="05C11D84" w14:textId="77777777" w:rsidR="007E6BE0" w:rsidRDefault="007E6BE0" w:rsidP="00F90585">
            <w:pPr>
              <w:pStyle w:val="TableText"/>
            </w:pPr>
          </w:p>
          <w:p w14:paraId="5C95FC69" w14:textId="7A686686" w:rsidR="00D1603E" w:rsidRDefault="00D1603E" w:rsidP="00D1603E">
            <w:pPr>
              <w:pStyle w:val="TableText"/>
              <w:rPr>
                <w:b/>
                <w:bCs/>
                <w:szCs w:val="18"/>
              </w:rPr>
            </w:pPr>
            <w:r>
              <w:rPr>
                <w:b/>
                <w:bCs/>
                <w:szCs w:val="18"/>
              </w:rPr>
              <w:t>NOTES</w:t>
            </w:r>
          </w:p>
          <w:p w14:paraId="01012F7A" w14:textId="77777777" w:rsidR="00D1603E" w:rsidRDefault="00D1603E" w:rsidP="00D1603E">
            <w:pPr>
              <w:pStyle w:val="NotesText"/>
            </w:pPr>
          </w:p>
          <w:p w14:paraId="2586FAF1" w14:textId="77777777" w:rsidR="007E6BE0" w:rsidRDefault="007E6BE0" w:rsidP="00D1603E">
            <w:pPr>
              <w:pStyle w:val="NotesText"/>
            </w:pPr>
            <w:r w:rsidRPr="00D1603E">
              <w:rPr>
                <w:vanish/>
                <w:szCs w:val="18"/>
              </w:rPr>
              <w:t xml:space="preserve">BR_27.04 </w:t>
            </w:r>
            <w:r>
              <w:t>When a status of “Discard” is assigned to a unit, the user must enter a comment.</w:t>
            </w:r>
          </w:p>
          <w:p w14:paraId="4655BC0E" w14:textId="77777777" w:rsidR="007E6BE0" w:rsidRDefault="007E6BE0" w:rsidP="00D1603E">
            <w:pPr>
              <w:pStyle w:val="NotesText"/>
            </w:pPr>
          </w:p>
          <w:p w14:paraId="621C3585" w14:textId="77777777" w:rsidR="007E6BE0" w:rsidRDefault="007E6BE0" w:rsidP="00D1603E">
            <w:pPr>
              <w:pStyle w:val="NotesText"/>
            </w:pPr>
            <w:r w:rsidRPr="00D1603E">
              <w:rPr>
                <w:vanish/>
                <w:szCs w:val="18"/>
              </w:rPr>
              <w:t>BR_27.08</w:t>
            </w:r>
            <w:r w:rsidR="00CE3961">
              <w:rPr>
                <w:vanish/>
                <w:szCs w:val="18"/>
              </w:rPr>
              <w:t xml:space="preserve">, </w:t>
            </w:r>
            <w:r w:rsidRPr="00D1603E">
              <w:rPr>
                <w:vanish/>
                <w:szCs w:val="18"/>
              </w:rPr>
              <w:t>BR_27.02</w:t>
            </w:r>
            <w:r w:rsidR="00263B24" w:rsidRPr="00263B24">
              <w:t>W</w:t>
            </w:r>
            <w:r w:rsidRPr="00263B24">
              <w:t>h</w:t>
            </w:r>
            <w:r>
              <w:t>en a blood unit is assigned an indicator of “quarantined,” VBECS emits an audible alert, requires a comment, and captures details for inclusion in an Exception Report (exception type: Quarantine, Discard or Release from Quarantine, depending on the user action).</w:t>
            </w:r>
          </w:p>
          <w:p w14:paraId="6F3E1BF6" w14:textId="77777777" w:rsidR="00D1603E" w:rsidRDefault="00D1603E" w:rsidP="00D1603E">
            <w:pPr>
              <w:pStyle w:val="NotesText"/>
            </w:pPr>
          </w:p>
          <w:p w14:paraId="3CC394BE" w14:textId="77777777" w:rsidR="007E6BE0" w:rsidRDefault="007E6BE0" w:rsidP="00D1603E">
            <w:pPr>
              <w:pStyle w:val="NotesText"/>
            </w:pPr>
            <w:r w:rsidRPr="00D1603E">
              <w:rPr>
                <w:vanish/>
                <w:szCs w:val="18"/>
              </w:rPr>
              <w:t>BR_27.11</w:t>
            </w:r>
            <w:r w:rsidR="00263B24" w:rsidRPr="00896F17">
              <w:rPr>
                <w:rStyle w:val="BullhornChar"/>
              </w:rPr>
              <w:t></w:t>
            </w:r>
            <w:r w:rsidR="00263B24">
              <w:rPr>
                <w:rFonts w:ascii="Webdings" w:hAnsi="Webdings"/>
              </w:rPr>
              <w:t></w:t>
            </w:r>
            <w:r w:rsidR="00263B24" w:rsidRPr="00263B24">
              <w:t>Wh</w:t>
            </w:r>
            <w:r w:rsidR="00263B24">
              <w:t>en</w:t>
            </w:r>
            <w:r>
              <w:t xml:space="preserve"> a unit is released from quarantine, a new status must be assigned. VBECS assigns the previous status as the default status. When the unit expiration date is in the past, VBECS emits an audible alert, warns the user, and asks whether he wishes to continue.</w:t>
            </w:r>
          </w:p>
          <w:p w14:paraId="362E17EA" w14:textId="77777777" w:rsidR="007E6BE0" w:rsidRPr="007E6BE0" w:rsidRDefault="007E6BE0" w:rsidP="00D1603E">
            <w:pPr>
              <w:pStyle w:val="NotesText"/>
            </w:pPr>
          </w:p>
          <w:p w14:paraId="21582C26" w14:textId="77777777" w:rsidR="007E6BE0" w:rsidRDefault="007E6BE0" w:rsidP="00D1603E">
            <w:pPr>
              <w:pStyle w:val="NotesText"/>
            </w:pPr>
            <w:r w:rsidRPr="00D1603E">
              <w:rPr>
                <w:b/>
              </w:rPr>
              <w:t>Yes</w:t>
            </w:r>
            <w:r>
              <w:t xml:space="preserve"> accepts the default status, requires a comment, and captures details for inclusion in an Exception Report (exception type: expired unit released from quarantine). </w:t>
            </w:r>
            <w:r w:rsidRPr="00D1603E">
              <w:rPr>
                <w:b/>
              </w:rPr>
              <w:t>No</w:t>
            </w:r>
            <w:r>
              <w:t xml:space="preserve"> stops the process; the unit remains marked as quarantined.</w:t>
            </w:r>
          </w:p>
          <w:p w14:paraId="4EA273DD" w14:textId="77777777" w:rsidR="007E6BE0" w:rsidRDefault="007E6BE0" w:rsidP="00D1603E">
            <w:pPr>
              <w:pStyle w:val="NotesText"/>
            </w:pPr>
          </w:p>
          <w:p w14:paraId="4943B8C1" w14:textId="77777777" w:rsidR="007E6BE0" w:rsidRDefault="007E6BE0" w:rsidP="00D1603E">
            <w:pPr>
              <w:pStyle w:val="NotesText"/>
            </w:pPr>
            <w:r w:rsidRPr="00D1603E">
              <w:rPr>
                <w:vanish/>
                <w:szCs w:val="18"/>
              </w:rPr>
              <w:t xml:space="preserve">BR_27.05 </w:t>
            </w:r>
            <w:r>
              <w:t>When the user assigns a status of “Discard,” he must indicate whether the discard is waste or credit.</w:t>
            </w:r>
          </w:p>
          <w:p w14:paraId="4613AB4A" w14:textId="77777777" w:rsidR="007E6BE0" w:rsidRDefault="007E6BE0" w:rsidP="00D1603E">
            <w:pPr>
              <w:pStyle w:val="NotesText"/>
            </w:pPr>
          </w:p>
          <w:p w14:paraId="7B9F144A" w14:textId="77777777" w:rsidR="007E6BE0" w:rsidRDefault="007E6BE0" w:rsidP="00D1603E">
            <w:pPr>
              <w:pStyle w:val="NotesText"/>
            </w:pPr>
            <w:r w:rsidRPr="00D1603E">
              <w:rPr>
                <w:vanish/>
                <w:szCs w:val="18"/>
              </w:rPr>
              <w:t xml:space="preserve">BR_27.06 </w:t>
            </w:r>
            <w:r>
              <w:t>When VBECS processes a unit as a discard that is waste, it does not apply a return credit is not applied to the discarded unit. (There is no refund of monies from the blood shipper.)</w:t>
            </w:r>
          </w:p>
          <w:p w14:paraId="20DA55FE" w14:textId="77777777" w:rsidR="007E6BE0" w:rsidRDefault="007E6BE0" w:rsidP="00D1603E">
            <w:pPr>
              <w:pStyle w:val="NotesText"/>
            </w:pPr>
          </w:p>
          <w:p w14:paraId="7321B588" w14:textId="77777777" w:rsidR="007E6BE0" w:rsidRDefault="007E6BE0" w:rsidP="00D1603E">
            <w:pPr>
              <w:pStyle w:val="NotesText"/>
            </w:pPr>
            <w:r w:rsidRPr="00D1603E">
              <w:rPr>
                <w:vanish/>
                <w:szCs w:val="18"/>
              </w:rPr>
              <w:t xml:space="preserve">BR_27.07 </w:t>
            </w:r>
            <w:r>
              <w:t>When VBECS saves a unit as “discard for credit,” it applies a default return credit. A user may edit the default return credit applied to the unit before updating the database.</w:t>
            </w:r>
          </w:p>
          <w:p w14:paraId="6F3E0E73" w14:textId="77777777" w:rsidR="007E6BE0" w:rsidRDefault="007E6BE0" w:rsidP="00D1603E">
            <w:pPr>
              <w:pStyle w:val="NotesText"/>
            </w:pPr>
          </w:p>
          <w:p w14:paraId="3ABD4F48" w14:textId="77777777" w:rsidR="007E6BE0" w:rsidRDefault="007E6BE0" w:rsidP="00D1603E">
            <w:pPr>
              <w:pStyle w:val="NotesText"/>
            </w:pPr>
            <w:r w:rsidRPr="00D1603E">
              <w:rPr>
                <w:vanish/>
                <w:szCs w:val="18"/>
              </w:rPr>
              <w:t xml:space="preserve">BR_27.15 </w:t>
            </w:r>
            <w:r w:rsidR="00DC63E8">
              <w:t>When a unit has had a quarantine indicator assigned, VBECS releases any patient assignments. Patient restrictions associated with the unit remain intact.</w:t>
            </w:r>
          </w:p>
          <w:p w14:paraId="0B976097" w14:textId="77777777" w:rsidR="007E6BE0" w:rsidRDefault="007E6BE0" w:rsidP="00D1603E">
            <w:pPr>
              <w:pStyle w:val="NotesText"/>
            </w:pPr>
          </w:p>
          <w:p w14:paraId="496135C1" w14:textId="77777777" w:rsidR="007E6BE0" w:rsidRDefault="007E6BE0" w:rsidP="00D1603E">
            <w:pPr>
              <w:pStyle w:val="NotesText"/>
            </w:pPr>
            <w:r w:rsidRPr="00D1603E">
              <w:rPr>
                <w:vanish/>
                <w:szCs w:val="18"/>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7E6BE0" w14:paraId="06981A4C" w14:textId="77777777">
        <w:tc>
          <w:tcPr>
            <w:tcW w:w="3240" w:type="dxa"/>
            <w:tcBorders>
              <w:top w:val="single" w:sz="4" w:space="0" w:color="auto"/>
              <w:left w:val="single" w:sz="4" w:space="0" w:color="auto"/>
              <w:bottom w:val="single" w:sz="4" w:space="0" w:color="auto"/>
              <w:right w:val="single" w:sz="4" w:space="0" w:color="auto"/>
            </w:tcBorders>
          </w:tcPr>
          <w:p w14:paraId="1A6E408A" w14:textId="77777777" w:rsidR="007E6BE0" w:rsidRDefault="004724C0" w:rsidP="00F90585">
            <w:pPr>
              <w:pStyle w:val="TableTextNumbers"/>
            </w:pPr>
            <w:r>
              <w:lastRenderedPageBreak/>
              <w:t>E</w:t>
            </w:r>
            <w:r w:rsidR="007E6BE0">
              <w:t xml:space="preserve">nter the date and time of the status update. </w:t>
            </w:r>
          </w:p>
          <w:p w14:paraId="12AE9D1E" w14:textId="77777777" w:rsidR="007E6BE0" w:rsidRDefault="007E6BE0" w:rsidP="00E00A07">
            <w:pPr>
              <w:pStyle w:val="TableTextNumbersContinued"/>
            </w:pPr>
          </w:p>
          <w:p w14:paraId="4FCE371A" w14:textId="77777777" w:rsidR="007E6BE0" w:rsidRDefault="007E6BE0" w:rsidP="00E00A07">
            <w:pPr>
              <w:pStyle w:val="TableTextNumbersContinued"/>
            </w:pPr>
            <w:r>
              <w:t xml:space="preserve">Click the </w:t>
            </w:r>
            <w:r w:rsidRPr="00E00A07">
              <w:rPr>
                <w:b/>
              </w:rPr>
              <w:t>Waste</w:t>
            </w:r>
            <w:r>
              <w:t xml:space="preserve"> or </w:t>
            </w:r>
            <w:r w:rsidRPr="00E00A07">
              <w:rPr>
                <w:b/>
              </w:rPr>
              <w:t xml:space="preserve">Credit </w:t>
            </w:r>
            <w:r w:rsidRPr="00BF2E41">
              <w:t>radio button</w:t>
            </w:r>
            <w:r>
              <w:t>.</w:t>
            </w:r>
          </w:p>
        </w:tc>
        <w:tc>
          <w:tcPr>
            <w:tcW w:w="6120" w:type="dxa"/>
            <w:tcBorders>
              <w:top w:val="single" w:sz="4" w:space="0" w:color="auto"/>
              <w:left w:val="single" w:sz="4" w:space="0" w:color="auto"/>
              <w:bottom w:val="single" w:sz="4" w:space="0" w:color="auto"/>
              <w:right w:val="single" w:sz="4" w:space="0" w:color="auto"/>
            </w:tcBorders>
          </w:tcPr>
          <w:p w14:paraId="3524CAEB" w14:textId="77777777" w:rsidR="00E831C2" w:rsidRDefault="00E831C2" w:rsidP="00F90585">
            <w:pPr>
              <w:pStyle w:val="TableTextBullet"/>
            </w:pPr>
            <w:r>
              <w:rPr>
                <w:vanish/>
              </w:rPr>
              <w:t xml:space="preserve">DR 3241 </w:t>
            </w:r>
            <w:r>
              <w:t xml:space="preserve">VBECS defaults the date and time of the status update to the date and time the user opened the Discard or Quarantine option </w:t>
            </w:r>
          </w:p>
          <w:p w14:paraId="5F89777B" w14:textId="77777777" w:rsidR="007E6BE0" w:rsidRDefault="007E6BE0" w:rsidP="00F90585">
            <w:pPr>
              <w:pStyle w:val="TableTextBullet"/>
            </w:pPr>
            <w:r>
              <w:t>Displays entered data.</w:t>
            </w:r>
          </w:p>
          <w:p w14:paraId="37B988EB" w14:textId="77777777" w:rsidR="00596172" w:rsidRDefault="00596172" w:rsidP="00596172">
            <w:pPr>
              <w:pStyle w:val="TableText"/>
            </w:pPr>
          </w:p>
          <w:p w14:paraId="63C6740A" w14:textId="12322A4E" w:rsidR="00596172" w:rsidRDefault="00596172" w:rsidP="00596172">
            <w:pPr>
              <w:pStyle w:val="TableText"/>
              <w:rPr>
                <w:b/>
                <w:bCs/>
                <w:szCs w:val="18"/>
              </w:rPr>
            </w:pPr>
            <w:r>
              <w:rPr>
                <w:b/>
                <w:bCs/>
                <w:szCs w:val="18"/>
              </w:rPr>
              <w:t>NOTES</w:t>
            </w:r>
          </w:p>
          <w:p w14:paraId="4F5E8736" w14:textId="77777777" w:rsidR="00596172" w:rsidRDefault="00596172" w:rsidP="00596172">
            <w:pPr>
              <w:pStyle w:val="NotesText"/>
            </w:pPr>
          </w:p>
          <w:p w14:paraId="78760BD0" w14:textId="77777777" w:rsidR="007E6BE0" w:rsidRDefault="007E6BE0" w:rsidP="00596172">
            <w:pPr>
              <w:pStyle w:val="NotesText"/>
            </w:pPr>
            <w:r>
              <w:t>The default date and time are the current date and time.</w:t>
            </w:r>
          </w:p>
          <w:p w14:paraId="63B02BA9" w14:textId="77777777" w:rsidR="007E6BE0" w:rsidRDefault="007E6BE0" w:rsidP="00596172">
            <w:pPr>
              <w:pStyle w:val="NotesText"/>
            </w:pPr>
          </w:p>
          <w:p w14:paraId="7887F165" w14:textId="77777777" w:rsidR="007E6BE0" w:rsidRDefault="007E6BE0" w:rsidP="00596172">
            <w:pPr>
              <w:pStyle w:val="NotesText"/>
            </w:pPr>
            <w:r w:rsidRPr="00596172">
              <w:rPr>
                <w:vanish/>
                <w:szCs w:val="18"/>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48" w:name="two2511"/>
            <w:bookmarkEnd w:id="348"/>
          </w:p>
          <w:p w14:paraId="1244AB54" w14:textId="77777777" w:rsidR="007E6BE0" w:rsidRDefault="007E6BE0" w:rsidP="00596172">
            <w:pPr>
              <w:pStyle w:val="NotesText"/>
            </w:pPr>
          </w:p>
          <w:p w14:paraId="6F6D5DE6" w14:textId="77777777" w:rsidR="007E6BE0" w:rsidRDefault="00263B24" w:rsidP="00596172">
            <w:pPr>
              <w:pStyle w:val="NotesText"/>
            </w:pPr>
            <w:r w:rsidRPr="00896F17">
              <w:rPr>
                <w:rStyle w:val="BullhornChar"/>
              </w:rPr>
              <w:t></w:t>
            </w:r>
            <w:r w:rsidR="00596172" w:rsidRPr="00EC7489">
              <w:rPr>
                <w:rFonts w:ascii="Wingdings 3" w:hAnsi="Wingdings 3" w:cs="Wingdings"/>
              </w:rPr>
              <w:t></w:t>
            </w:r>
            <w:r w:rsidR="00596172" w:rsidRPr="00EC7489">
              <w:rPr>
                <w:rFonts w:ascii="Wingdings 3" w:hAnsi="Wingdings 3" w:cs="Wingdings"/>
              </w:rPr>
              <w:t></w:t>
            </w:r>
            <w:r w:rsidR="00596172">
              <w:t xml:space="preserve"> When</w:t>
            </w:r>
            <w:r w:rsidR="007E6BE0">
              <w:t xml:space="preserve"> the user attempts to update a unit record prior to the last record update, VBECS emits an audible alert, warns the Enhanced Technologist, and instructs him to check the date and time entered. There is no override.</w:t>
            </w:r>
          </w:p>
          <w:p w14:paraId="51B83D16" w14:textId="77777777" w:rsidR="007E6BE0" w:rsidRDefault="007E6BE0" w:rsidP="00596172">
            <w:pPr>
              <w:pStyle w:val="NotesText"/>
            </w:pPr>
          </w:p>
          <w:p w14:paraId="240C4AA3" w14:textId="77777777" w:rsidR="007E6BE0" w:rsidRDefault="005C768D" w:rsidP="00596172">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7E6BE0">
              <w:t xml:space="preserve">When the user is a Lead Technologist, VBECS also requires a comment and asks whether the user wishes to continue. </w:t>
            </w:r>
            <w:r w:rsidR="007E6BE0" w:rsidRPr="00596172">
              <w:rPr>
                <w:b/>
              </w:rPr>
              <w:t>Yes</w:t>
            </w:r>
            <w:r w:rsidR="007E6BE0">
              <w:t xml:space="preserve"> accepts the date and time entered, requires a comment, and captures details for inclusion in an Exception Report (exception type: retrospective update prior to last record update). </w:t>
            </w:r>
            <w:r w:rsidR="007E6BE0" w:rsidRPr="00596172">
              <w:rPr>
                <w:b/>
              </w:rPr>
              <w:t>No</w:t>
            </w:r>
            <w:r w:rsidR="007E6BE0">
              <w:t xml:space="preserve"> allows the user to correct the entry.</w:t>
            </w:r>
          </w:p>
        </w:tc>
      </w:tr>
      <w:tr w:rsidR="007E6BE0" w14:paraId="7532C265" w14:textId="77777777">
        <w:tc>
          <w:tcPr>
            <w:tcW w:w="3240" w:type="dxa"/>
            <w:tcBorders>
              <w:top w:val="single" w:sz="4" w:space="0" w:color="auto"/>
              <w:left w:val="single" w:sz="4" w:space="0" w:color="auto"/>
              <w:bottom w:val="single" w:sz="4" w:space="0" w:color="auto"/>
              <w:right w:val="single" w:sz="4" w:space="0" w:color="auto"/>
            </w:tcBorders>
          </w:tcPr>
          <w:p w14:paraId="1435893D" w14:textId="77777777" w:rsidR="007E6BE0" w:rsidRDefault="007E6BE0" w:rsidP="00F90585">
            <w:pPr>
              <w:pStyle w:val="TableTextNumbers"/>
            </w:pPr>
            <w:r>
              <w:t xml:space="preserve">Review the unit status update information and click </w:t>
            </w:r>
            <w:r w:rsidR="005122E2">
              <w:rPr>
                <w:b/>
              </w:rPr>
              <w:t>Save</w:t>
            </w:r>
            <w:r w:rsidR="005122E2" w:rsidRPr="009535FF">
              <w:t xml:space="preserve"> </w:t>
            </w:r>
            <w:r w:rsidRPr="009535FF">
              <w:t>to save</w:t>
            </w:r>
            <w:r>
              <w:t>.</w:t>
            </w:r>
          </w:p>
        </w:tc>
        <w:tc>
          <w:tcPr>
            <w:tcW w:w="6120" w:type="dxa"/>
            <w:tcBorders>
              <w:top w:val="single" w:sz="4" w:space="0" w:color="auto"/>
              <w:left w:val="single" w:sz="4" w:space="0" w:color="auto"/>
              <w:bottom w:val="single" w:sz="4" w:space="0" w:color="auto"/>
              <w:right w:val="single" w:sz="4" w:space="0" w:color="auto"/>
            </w:tcBorders>
          </w:tcPr>
          <w:p w14:paraId="64DEA267" w14:textId="77777777" w:rsidR="007E6BE0" w:rsidRDefault="007E6BE0" w:rsidP="00F90585">
            <w:pPr>
              <w:pStyle w:val="TableTextBullet"/>
            </w:pPr>
            <w:r>
              <w:t xml:space="preserve">Evaluates the unit’s current status to determine whether it is eligible for the selected function. </w:t>
            </w:r>
          </w:p>
          <w:p w14:paraId="4C0940EE" w14:textId="77777777" w:rsidR="007E6BE0" w:rsidRDefault="007E6BE0" w:rsidP="00F90585">
            <w:pPr>
              <w:pStyle w:val="TableTextBullet"/>
            </w:pPr>
            <w:r>
              <w:t>Displays appropriate error messages when the unit cannot be processed.</w:t>
            </w:r>
          </w:p>
          <w:p w14:paraId="1A0CB970" w14:textId="77777777" w:rsidR="007E6BE0" w:rsidRDefault="007E6BE0" w:rsidP="00F90585">
            <w:pPr>
              <w:pStyle w:val="TableTextBullet"/>
            </w:pPr>
            <w:r>
              <w:t>Prompts the user to confirm the save.</w:t>
            </w:r>
          </w:p>
        </w:tc>
      </w:tr>
      <w:tr w:rsidR="007E6BE0" w14:paraId="5ADA082A" w14:textId="77777777">
        <w:tc>
          <w:tcPr>
            <w:tcW w:w="3240" w:type="dxa"/>
            <w:tcBorders>
              <w:top w:val="single" w:sz="4" w:space="0" w:color="auto"/>
              <w:left w:val="single" w:sz="4" w:space="0" w:color="auto"/>
              <w:bottom w:val="single" w:sz="4" w:space="0" w:color="auto"/>
              <w:right w:val="single" w:sz="4" w:space="0" w:color="auto"/>
            </w:tcBorders>
          </w:tcPr>
          <w:p w14:paraId="37588C30" w14:textId="77777777" w:rsidR="007E6BE0" w:rsidRDefault="007E6BE0" w:rsidP="00F90585">
            <w:pPr>
              <w:pStyle w:val="TableTextNumbers"/>
            </w:pPr>
            <w:r>
              <w:t xml:space="preserve">Click </w:t>
            </w:r>
            <w:r w:rsidRPr="00E00A07">
              <w:rPr>
                <w:b/>
              </w:rPr>
              <w:t>Yes</w:t>
            </w:r>
            <w:r>
              <w:t xml:space="preserve"> to confirm the save.</w:t>
            </w:r>
            <w:r w:rsidRPr="007E6BE0">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B06CBB4" w14:textId="77777777" w:rsidR="007E6BE0" w:rsidRDefault="007E6BE0" w:rsidP="00F90585">
            <w:pPr>
              <w:pStyle w:val="TableTextBullet"/>
            </w:pPr>
            <w:r>
              <w:t>Saves the data.</w:t>
            </w:r>
          </w:p>
          <w:p w14:paraId="2EC1900F" w14:textId="77777777" w:rsidR="00596172" w:rsidRDefault="00596172" w:rsidP="00596172">
            <w:pPr>
              <w:pStyle w:val="TableText"/>
            </w:pPr>
          </w:p>
          <w:p w14:paraId="52C056DB" w14:textId="298D9D1F" w:rsidR="00596172" w:rsidRDefault="00596172" w:rsidP="00596172">
            <w:pPr>
              <w:pStyle w:val="TableText"/>
              <w:rPr>
                <w:b/>
                <w:bCs/>
                <w:szCs w:val="18"/>
              </w:rPr>
            </w:pPr>
            <w:r>
              <w:rPr>
                <w:b/>
                <w:bCs/>
                <w:szCs w:val="18"/>
              </w:rPr>
              <w:t>NOTES</w:t>
            </w:r>
          </w:p>
          <w:p w14:paraId="37D0ED5F" w14:textId="77777777" w:rsidR="00596172" w:rsidRDefault="00596172" w:rsidP="00596172">
            <w:pPr>
              <w:pStyle w:val="NotesText"/>
            </w:pPr>
          </w:p>
          <w:p w14:paraId="652F18DF" w14:textId="77777777" w:rsidR="007E6BE0" w:rsidRDefault="007E6BE0" w:rsidP="00596172">
            <w:pPr>
              <w:pStyle w:val="NotesText"/>
            </w:pPr>
            <w:r w:rsidRPr="00596172">
              <w:rPr>
                <w:vanish/>
                <w:szCs w:val="18"/>
              </w:rPr>
              <w:t xml:space="preserve">BR_27.01 </w:t>
            </w:r>
            <w:r>
              <w:t>During batch data entry of “Discard,” “Quarantine,” and “Release from Quarantine,” VBECS saves transaction details, including user-entered comments, to each blood unit included in the batch.</w:t>
            </w:r>
          </w:p>
        </w:tc>
      </w:tr>
    </w:tbl>
    <w:p w14:paraId="0ED77B88" w14:textId="77777777" w:rsidR="002A21AE" w:rsidRDefault="00C909C1">
      <w:pPr>
        <w:pStyle w:val="Heading2"/>
      </w:pPr>
      <w:bookmarkStart w:id="349" w:name="_Select_Units_1"/>
      <w:bookmarkEnd w:id="349"/>
      <w:r>
        <w:br w:type="page"/>
      </w:r>
      <w:bookmarkStart w:id="350" w:name="_Ref507079957"/>
      <w:bookmarkStart w:id="351" w:name="_Toc163644924"/>
      <w:r w:rsidR="002A21AE">
        <w:lastRenderedPageBreak/>
        <w:t>Select Units</w:t>
      </w:r>
      <w:bookmarkEnd w:id="350"/>
      <w:bookmarkEnd w:id="351"/>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Select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UC_03</w:t>
      </w:r>
    </w:p>
    <w:p w14:paraId="7BAACA79" w14:textId="77777777" w:rsidR="002A21AE" w:rsidRDefault="002A21AE" w:rsidP="00FA7E65">
      <w:pPr>
        <w:pStyle w:val="BodyText"/>
      </w:pPr>
      <w:bookmarkStart w:id="352" w:name="_Toc77662463"/>
      <w:r>
        <w:t xml:space="preserve">A user selects a patient component order and assigns one or more products to a patient for possible transfusion. </w:t>
      </w:r>
    </w:p>
    <w:p w14:paraId="62267B64" w14:textId="77777777" w:rsidR="002A21AE" w:rsidRDefault="002A21AE">
      <w:pPr>
        <w:pStyle w:val="Heading4"/>
      </w:pPr>
      <w:r>
        <w:t>Assumptions</w:t>
      </w:r>
    </w:p>
    <w:p w14:paraId="795899D8" w14:textId="77777777" w:rsidR="002A21AE" w:rsidRDefault="002A21AE">
      <w:pPr>
        <w:pStyle w:val="ListBullet"/>
      </w:pPr>
      <w:r>
        <w:t xml:space="preserve">An appropriate current order was accepted through Accept Orders: Accept an Order. </w:t>
      </w:r>
    </w:p>
    <w:p w14:paraId="5712F099" w14:textId="77777777" w:rsidR="002A21AE" w:rsidRDefault="002A21AE">
      <w:pPr>
        <w:pStyle w:val="ListBullet"/>
      </w:pPr>
      <w:r>
        <w:rPr>
          <w:rFonts w:cs="Arial"/>
        </w:rPr>
        <w:t xml:space="preserve">The </w:t>
      </w:r>
      <w:r>
        <w:t>division</w:t>
      </w:r>
      <w:r>
        <w:rPr>
          <w:rFonts w:cs="Arial"/>
        </w:rPr>
        <w:t xml:space="preserve"> </w:t>
      </w:r>
      <w:r>
        <w:t xml:space="preserve">may or may not allow electronic crossmatch (eXM). </w:t>
      </w:r>
    </w:p>
    <w:p w14:paraId="0CA5049D" w14:textId="77777777" w:rsidR="002A21AE" w:rsidRDefault="002A21AE">
      <w:pPr>
        <w:pStyle w:val="ListBullet"/>
      </w:pPr>
      <w:r>
        <w:t>When a division is “transfusion only,” eXM is not available. The user must enter a serologic crossmatch (XM) interpretation.</w:t>
      </w:r>
    </w:p>
    <w:p w14:paraId="31AEA525" w14:textId="77777777" w:rsidR="006B0DD4" w:rsidRDefault="006B0DD4">
      <w:pPr>
        <w:pStyle w:val="ListBullet"/>
      </w:pPr>
      <w:r>
        <w:t>Current patient TAS specimen is required for (ABO/Rh and Antibody Screen) required tests for “WHOLE BLOOD” and “RED BLOOD CELLS” component classes and individual “PLATELET” and “OTHER” units that contain equal to or greater than (= &gt;) 2 mL of RBC contamination which requires crossmatch.</w:t>
      </w:r>
    </w:p>
    <w:p w14:paraId="1402596E" w14:textId="77777777" w:rsidR="002A21AE" w:rsidRDefault="002A21AE">
      <w:pPr>
        <w:pStyle w:val="Heading4"/>
      </w:pPr>
      <w:r>
        <w:t>Outcome</w:t>
      </w:r>
    </w:p>
    <w:p w14:paraId="392D9466" w14:textId="77777777" w:rsidR="002A21AE" w:rsidRDefault="002A21AE">
      <w:pPr>
        <w:pStyle w:val="ListBullet"/>
      </w:pPr>
      <w:r>
        <w:t>The status of the unit and the associated component order task status are updated.</w:t>
      </w:r>
    </w:p>
    <w:p w14:paraId="24A2D2D1" w14:textId="77777777" w:rsidR="002A21AE" w:rsidRDefault="002A21AE">
      <w:pPr>
        <w:pStyle w:val="ListBullet"/>
      </w:pPr>
      <w:r>
        <w:t>VBECS indicates that units are available for issue when units do not require XM or other additional testing.</w:t>
      </w:r>
    </w:p>
    <w:p w14:paraId="157E5387" w14:textId="77777777" w:rsidR="002A21AE" w:rsidRDefault="002A21AE">
      <w:pPr>
        <w:pStyle w:val="ListBullet"/>
      </w:pPr>
      <w:r>
        <w:t>VBECS allows the user to print a Blood Transfusion Record Form (BTRF) and a Caution Tag for available blood products.</w:t>
      </w:r>
    </w:p>
    <w:p w14:paraId="2A570CFB" w14:textId="77777777" w:rsidR="002B7882" w:rsidRDefault="002A21AE" w:rsidP="00B01176">
      <w:pPr>
        <w:pStyle w:val="ListBullet"/>
      </w:pPr>
      <w:r>
        <w:t>When serologic XM is required, VBECS automatically adds units to the XM data entry grid when Patient Testing: Record a Crossmatch is accessed.</w:t>
      </w:r>
    </w:p>
    <w:p w14:paraId="6899AFBB" w14:textId="5DCCCCA3" w:rsidR="00B01176" w:rsidRDefault="00B01176" w:rsidP="00B01176">
      <w:pPr>
        <w:pStyle w:val="ListBullet"/>
      </w:pPr>
      <w:r>
        <w:t xml:space="preserve">When eXM is enabled for the facility, the patient is eligible for eXM in accordance with system rules (see </w:t>
      </w:r>
      <w:r w:rsidR="00EE455E">
        <w:t xml:space="preserve">Table </w:t>
      </w:r>
      <w:r w:rsidR="00EE455E">
        <w:rPr>
          <w:noProof/>
        </w:rPr>
        <w:t>22</w:t>
      </w:r>
      <w:r w:rsidR="00EE455E">
        <w:t xml:space="preserve">: </w:t>
      </w:r>
      <w:r w:rsidR="00EE455E">
        <w:rPr>
          <w:vanish/>
        </w:rPr>
        <w:t xml:space="preserve">TT_3.05 </w:t>
      </w:r>
      <w:r w:rsidR="00EE455E">
        <w:t>Rules for Electronic and Serologic Crossmatch</w:t>
      </w:r>
      <w:r>
        <w:t xml:space="preserve">), and the user selects a unit, </w:t>
      </w:r>
      <w:r w:rsidR="002F6113">
        <w:t xml:space="preserve">and processes the eXM. </w:t>
      </w:r>
      <w:r>
        <w:t>VBECS assigns the unit to the patient without further testing.</w:t>
      </w:r>
    </w:p>
    <w:p w14:paraId="6AF77BC3" w14:textId="77777777" w:rsidR="002A21AE" w:rsidRDefault="002A21AE">
      <w:pPr>
        <w:pStyle w:val="Heading4"/>
      </w:pPr>
      <w:r>
        <w:t>Limitations and Restrictions</w:t>
      </w:r>
    </w:p>
    <w:p w14:paraId="3353D815" w14:textId="77777777" w:rsidR="002A21AE" w:rsidRPr="007A44E4" w:rsidRDefault="00320DAE">
      <w:pPr>
        <w:pStyle w:val="ListBullet"/>
        <w:rPr>
          <w:spacing w:val="0"/>
        </w:rPr>
      </w:pPr>
      <w:r>
        <w:rPr>
          <w:vanish/>
          <w:spacing w:val="0"/>
        </w:rPr>
        <w:t>Task 1,126</w:t>
      </w:r>
      <w:r w:rsidR="002F6113">
        <w:rPr>
          <w:vanish/>
          <w:spacing w:val="0"/>
        </w:rPr>
        <w:t xml:space="preserve"> </w:t>
      </w:r>
      <w:r>
        <w:rPr>
          <w:spacing w:val="0"/>
        </w:rPr>
        <w:t>When a u</w:t>
      </w:r>
      <w:r w:rsidRPr="00320DAE">
        <w:rPr>
          <w:spacing w:val="0"/>
        </w:rPr>
        <w:t>ser check</w:t>
      </w:r>
      <w:r>
        <w:rPr>
          <w:spacing w:val="0"/>
        </w:rPr>
        <w:t>s</w:t>
      </w:r>
      <w:r w:rsidRPr="00320DAE">
        <w:rPr>
          <w:spacing w:val="0"/>
        </w:rPr>
        <w:t xml:space="preserve"> the </w:t>
      </w:r>
      <w:r>
        <w:rPr>
          <w:spacing w:val="0"/>
        </w:rPr>
        <w:t>“</w:t>
      </w:r>
      <w:r w:rsidRPr="00320DAE">
        <w:rPr>
          <w:spacing w:val="0"/>
        </w:rPr>
        <w:t xml:space="preserve">D </w:t>
      </w:r>
      <w:r>
        <w:rPr>
          <w:spacing w:val="0"/>
        </w:rPr>
        <w:t>P</w:t>
      </w:r>
      <w:r w:rsidRPr="00320DAE">
        <w:rPr>
          <w:spacing w:val="0"/>
        </w:rPr>
        <w:t>os</w:t>
      </w:r>
      <w:r>
        <w:rPr>
          <w:spacing w:val="0"/>
        </w:rPr>
        <w:t>”</w:t>
      </w:r>
      <w:r w:rsidRPr="00320DAE">
        <w:rPr>
          <w:spacing w:val="0"/>
        </w:rPr>
        <w:t xml:space="preserve"> or </w:t>
      </w:r>
      <w:r>
        <w:rPr>
          <w:spacing w:val="0"/>
        </w:rPr>
        <w:t>“</w:t>
      </w:r>
      <w:r w:rsidRPr="00320DAE">
        <w:rPr>
          <w:spacing w:val="0"/>
        </w:rPr>
        <w:t xml:space="preserve">D </w:t>
      </w:r>
      <w:r>
        <w:rPr>
          <w:spacing w:val="0"/>
        </w:rPr>
        <w:t>N</w:t>
      </w:r>
      <w:r w:rsidRPr="00320DAE">
        <w:rPr>
          <w:spacing w:val="0"/>
        </w:rPr>
        <w:t>eg</w:t>
      </w:r>
      <w:r>
        <w:rPr>
          <w:spacing w:val="0"/>
        </w:rPr>
        <w:t>”</w:t>
      </w:r>
      <w:r w:rsidRPr="00320DAE">
        <w:rPr>
          <w:spacing w:val="0"/>
        </w:rPr>
        <w:t xml:space="preserve"> check box to modify a search for blood</w:t>
      </w:r>
      <w:r>
        <w:rPr>
          <w:spacing w:val="0"/>
        </w:rPr>
        <w:t>, VBECS returns no units, regardless of the availability of units</w:t>
      </w:r>
      <w:r w:rsidRPr="00320DAE">
        <w:rPr>
          <w:spacing w:val="0"/>
        </w:rPr>
        <w:t xml:space="preserve">. </w:t>
      </w:r>
    </w:p>
    <w:p w14:paraId="32957B5E" w14:textId="77777777" w:rsidR="004E4368" w:rsidRDefault="004E75A5" w:rsidP="004E75A5">
      <w:pPr>
        <w:pStyle w:val="ListBullet"/>
      </w:pPr>
      <w:r w:rsidRPr="0065187A">
        <w:rPr>
          <w:vanish/>
        </w:rPr>
        <w:t xml:space="preserve">DR 2,578 </w:t>
      </w:r>
      <w:r w:rsidR="004E4368" w:rsidRPr="0065187A">
        <w:rPr>
          <w:vanish/>
        </w:rPr>
        <w:t>DR 2,808</w:t>
      </w:r>
      <w:r w:rsidR="004E4368" w:rsidRPr="004E4368">
        <w:t>VBECS displays a</w:t>
      </w:r>
      <w:r w:rsidR="000E6B9F">
        <w:t xml:space="preserve"> compo</w:t>
      </w:r>
      <w:r w:rsidR="004E4368">
        <w:t>n</w:t>
      </w:r>
      <w:r w:rsidR="000E6B9F">
        <w:t>ent</w:t>
      </w:r>
      <w:r w:rsidR="004E4368" w:rsidRPr="004E4368">
        <w:t xml:space="preserve"> order </w:t>
      </w:r>
      <w:r w:rsidR="004E4368">
        <w:t xml:space="preserve">as </w:t>
      </w:r>
      <w:r w:rsidR="00955DA3">
        <w:t>“F</w:t>
      </w:r>
      <w:r w:rsidR="002316B0">
        <w:t xml:space="preserve">illed” </w:t>
      </w:r>
      <w:r w:rsidR="004E4368" w:rsidRPr="004E4368">
        <w:t xml:space="preserve">when the number of units </w:t>
      </w:r>
      <w:r w:rsidR="002316B0">
        <w:t>transfused</w:t>
      </w:r>
      <w:r w:rsidR="002316B0" w:rsidRPr="004E4368">
        <w:t xml:space="preserve"> </w:t>
      </w:r>
      <w:r w:rsidR="004E4368" w:rsidRPr="004E4368">
        <w:t>and the number of units ordered are the same</w:t>
      </w:r>
      <w:r w:rsidR="00955DA3">
        <w:t xml:space="preserve"> and continues to display the</w:t>
      </w:r>
      <w:r w:rsidR="000E6B9F">
        <w:t xml:space="preserve"> component </w:t>
      </w:r>
      <w:r w:rsidR="004E4368">
        <w:t xml:space="preserve">order </w:t>
      </w:r>
      <w:r w:rsidR="00955DA3">
        <w:t xml:space="preserve">until the order expires. CPRS displays a component order </w:t>
      </w:r>
      <w:r w:rsidR="004E4368">
        <w:t xml:space="preserve">as </w:t>
      </w:r>
      <w:r w:rsidR="00505F89">
        <w:t>“</w:t>
      </w:r>
      <w:r w:rsidR="00955DA3">
        <w:t>C</w:t>
      </w:r>
      <w:r w:rsidR="004E4368">
        <w:t>ompleted</w:t>
      </w:r>
      <w:r w:rsidR="00505F89">
        <w:t>”</w:t>
      </w:r>
      <w:r w:rsidR="004E4368">
        <w:t xml:space="preserve">. Therefore, CPRS displays the order as </w:t>
      </w:r>
      <w:r w:rsidR="00505F89">
        <w:t>“</w:t>
      </w:r>
      <w:r w:rsidR="00955DA3">
        <w:t>C</w:t>
      </w:r>
      <w:r w:rsidR="004E4368">
        <w:t>ompleted</w:t>
      </w:r>
      <w:r w:rsidR="00505F89">
        <w:t>”</w:t>
      </w:r>
      <w:r w:rsidR="004E4368">
        <w:t xml:space="preserve"> before VBECS </w:t>
      </w:r>
      <w:r w:rsidR="00955DA3">
        <w:t>displays the order as “F</w:t>
      </w:r>
      <w:r w:rsidR="002316B0">
        <w:t>illed</w:t>
      </w:r>
      <w:r w:rsidR="004E4368">
        <w:t>.</w:t>
      </w:r>
      <w:r w:rsidR="002316B0">
        <w:t>”</w:t>
      </w:r>
      <w:r w:rsidR="0065187A">
        <w:t xml:space="preserve"> The associated LAB orde</w:t>
      </w:r>
      <w:r w:rsidR="00955DA3">
        <w:t>r will then also be marked as “C</w:t>
      </w:r>
      <w:r w:rsidR="0065187A">
        <w:t>ompleted”.</w:t>
      </w:r>
    </w:p>
    <w:p w14:paraId="2BAA818B" w14:textId="77777777" w:rsidR="00C43E70" w:rsidRDefault="00C43E70" w:rsidP="004E75A5">
      <w:pPr>
        <w:pStyle w:val="ListBullet"/>
      </w:pPr>
      <w:r>
        <w:t>A Specimen UID must be accepted in</w:t>
      </w:r>
      <w:r w:rsidR="006C7D2B">
        <w:t xml:space="preserve"> </w:t>
      </w:r>
      <w:r>
        <w:t>VBECS to associate it with a component order. Any VBECS maintained TAS specimen UID may be associated with a component order by entering the number in the UID field.</w:t>
      </w:r>
      <w:r w:rsidRPr="00C43E70">
        <w:rPr>
          <w:vanish/>
        </w:rPr>
        <w:t xml:space="preserve"> Task 635428</w:t>
      </w:r>
    </w:p>
    <w:p w14:paraId="2E1BFB18" w14:textId="257CE2CC" w:rsidR="00A11CA3" w:rsidRDefault="00F17535" w:rsidP="006C5C75">
      <w:pPr>
        <w:pStyle w:val="ListBullet"/>
      </w:pPr>
      <w:r>
        <w:t>When associating a specimen with a patient in the “Select Unit for a Patient” window, the “Expires”</w:t>
      </w:r>
      <w:r w:rsidR="008F74B3">
        <w:t xml:space="preserve"> </w:t>
      </w:r>
      <w:r>
        <w:t xml:space="preserve">field within the “Associate with Specimen” panel displays the time in AM/PM format. VBECS normally displays date/time fields in “military” time format.  The workaround is to look in Maintain Specimen and check the expiration time military time format. </w:t>
      </w:r>
      <w:r w:rsidRPr="008F74B3">
        <w:rPr>
          <w:vanish/>
        </w:rPr>
        <w:t>Defect 209052</w:t>
      </w:r>
    </w:p>
    <w:p w14:paraId="4315728B" w14:textId="6597FC24" w:rsidR="002168B5" w:rsidRDefault="002168B5" w:rsidP="006C5C75">
      <w:pPr>
        <w:pStyle w:val="ListBullet"/>
      </w:pPr>
      <w:r>
        <w:t xml:space="preserve">When </w:t>
      </w:r>
      <w:r w:rsidR="00523215">
        <w:t>a</w:t>
      </w:r>
      <w:r w:rsidR="00D7366E">
        <w:t>n</w:t>
      </w:r>
      <w:r>
        <w:t xml:space="preserve"> Rh positive unit is selected for </w:t>
      </w:r>
      <w:r w:rsidR="00523215">
        <w:t>a</w:t>
      </w:r>
      <w:r w:rsidR="00D7366E">
        <w:t>n</w:t>
      </w:r>
      <w:r>
        <w:t xml:space="preserve"> Rh negative patient with an antigen negative requirement for D, the user receives a message about unit not satisfying patient negative requirements for D instead of a message about unit being positive for D. The proper</w:t>
      </w:r>
      <w:r w:rsidR="00C0050E">
        <w:t xml:space="preserve"> message is displayed</w:t>
      </w:r>
      <w:r w:rsidR="009B37AA">
        <w:t xml:space="preserve"> upon unit issue. </w:t>
      </w:r>
      <w:r w:rsidR="009B37AA" w:rsidRPr="009B37AA">
        <w:rPr>
          <w:vanish/>
        </w:rPr>
        <w:t>Defects 209338, 213537</w:t>
      </w:r>
    </w:p>
    <w:p w14:paraId="5BD69B7D" w14:textId="77777777" w:rsidR="006C5C75" w:rsidRDefault="006C5C75" w:rsidP="001E391F">
      <w:pPr>
        <w:pStyle w:val="ListBullet"/>
        <w:numPr>
          <w:ilvl w:val="0"/>
          <w:numId w:val="0"/>
        </w:numPr>
        <w:ind w:left="648" w:hanging="360"/>
      </w:pPr>
    </w:p>
    <w:p w14:paraId="5317DEDA" w14:textId="77777777" w:rsidR="002A21AE" w:rsidRDefault="002A21AE">
      <w:pPr>
        <w:pStyle w:val="Heading4"/>
      </w:pPr>
      <w:r>
        <w:lastRenderedPageBreak/>
        <w:t>Additional Information</w:t>
      </w:r>
    </w:p>
    <w:p w14:paraId="55CD463B" w14:textId="77777777" w:rsidR="00B71592" w:rsidRDefault="00B71592">
      <w:pPr>
        <w:pStyle w:val="ListBullet"/>
      </w:pPr>
      <w:r>
        <w:t>Under certain conditions in a blood bank, more than one user can select units for the same blood component order at the same time.</w:t>
      </w:r>
    </w:p>
    <w:p w14:paraId="3F0C3AFF" w14:textId="77777777" w:rsidR="00B71592" w:rsidRPr="00B71592" w:rsidRDefault="00B71592">
      <w:pPr>
        <w:pStyle w:val="ListBullet"/>
      </w:pPr>
      <w:r>
        <w:t>When a patient order is selected, the system must search for physically available (in limited, available, or crossmatched unit status and with a future expiration date) autologous and directed units within a multidivisional database regardless of the unit’s current division, display the unit information to the user, and allow assignment of the unit if it is in the same division as the user.</w:t>
      </w:r>
    </w:p>
    <w:p w14:paraId="5E6ED461" w14:textId="77777777" w:rsidR="002A21AE" w:rsidRDefault="002A21AE">
      <w:pPr>
        <w:pStyle w:val="ListBullet"/>
      </w:pPr>
      <w:r>
        <w:t>Multiple users may select units ass</w:t>
      </w:r>
      <w:r w:rsidR="0065187A">
        <w:t>ociated with a component order.</w:t>
      </w:r>
    </w:p>
    <w:p w14:paraId="5CD672FD" w14:textId="77777777" w:rsidR="0065187A" w:rsidRDefault="000D3C6E">
      <w:pPr>
        <w:pStyle w:val="ListBullet"/>
      </w:pPr>
      <w:r w:rsidRPr="000D3C6E">
        <w:rPr>
          <w:vanish/>
        </w:rPr>
        <w:t xml:space="preserve">BR_3.61 </w:t>
      </w:r>
      <w:r w:rsidR="0065187A">
        <w:t>Product codes associated with a component order are limited to those in that Component Class.</w:t>
      </w:r>
    </w:p>
    <w:p w14:paraId="2A064760" w14:textId="77777777" w:rsidR="002A21AE" w:rsidRDefault="002A21AE">
      <w:pPr>
        <w:pStyle w:val="ListBullet"/>
      </w:pPr>
      <w:r>
        <w:t>When a user selects a patient order</w:t>
      </w:r>
      <w:r w:rsidR="00534B75">
        <w:t xml:space="preserve"> within a multidivisional dat</w:t>
      </w:r>
      <w:r w:rsidR="0065187A">
        <w:t>abase</w:t>
      </w:r>
      <w:r>
        <w:t>, VBECS searches for available autologous and directed units regardless of the unit’s current division, displays the unit information, and allows the user to assign the unit when it is in the user’s division.</w:t>
      </w:r>
    </w:p>
    <w:p w14:paraId="4DED0431" w14:textId="77777777" w:rsidR="002A21AE" w:rsidRDefault="002A21AE">
      <w:pPr>
        <w:pStyle w:val="ListBullet"/>
      </w:pPr>
      <w:r>
        <w:t xml:space="preserve">A user may select units for only one </w:t>
      </w:r>
      <w:r w:rsidR="0065187A">
        <w:t>component order</w:t>
      </w:r>
      <w:r>
        <w:t xml:space="preserve"> at a time.</w:t>
      </w:r>
    </w:p>
    <w:p w14:paraId="18C6AF3C" w14:textId="77777777" w:rsidR="002A21AE" w:rsidRDefault="002A21AE">
      <w:pPr>
        <w:pStyle w:val="ListBullet"/>
      </w:pPr>
      <w:r>
        <w:t xml:space="preserve">An existing </w:t>
      </w:r>
      <w:r w:rsidR="00A9198B">
        <w:t>specimen and its associated component</w:t>
      </w:r>
      <w:r w:rsidR="00B71592">
        <w:t xml:space="preserve"> </w:t>
      </w:r>
      <w:r>
        <w:t>order</w:t>
      </w:r>
      <w:r w:rsidR="00A9198B">
        <w:t>(s)</w:t>
      </w:r>
      <w:r>
        <w:t xml:space="preserve"> remains available to select</w:t>
      </w:r>
      <w:r w:rsidR="00A9198B">
        <w:t xml:space="preserve"> </w:t>
      </w:r>
      <w:r w:rsidR="00B71592">
        <w:t>additional units</w:t>
      </w:r>
      <w:r w:rsidR="00A9198B">
        <w:t>, until</w:t>
      </w:r>
      <w:r w:rsidR="00B71592">
        <w:t xml:space="preserve"> its</w:t>
      </w:r>
      <w:r>
        <w:t xml:space="preserve"> expiration date. </w:t>
      </w:r>
    </w:p>
    <w:p w14:paraId="193D45B3" w14:textId="3586CDDD" w:rsidR="002A21AE" w:rsidRDefault="00B71592" w:rsidP="00B71592">
      <w:pPr>
        <w:pStyle w:val="ListBullet"/>
      </w:pPr>
      <w:r>
        <w:t>The selection of blood units completes a CPRS order when the number of units are selected that “fill” the order per the number requested.</w:t>
      </w:r>
    </w:p>
    <w:p w14:paraId="5EA7A0A5" w14:textId="77777777" w:rsidR="00B71592" w:rsidRDefault="00B71592" w:rsidP="00B71592">
      <w:pPr>
        <w:pStyle w:val="ListBullet"/>
      </w:pPr>
      <w:r>
        <w:t>Each component task is accepted or cancelled individually.</w:t>
      </w:r>
    </w:p>
    <w:p w14:paraId="5FCAB1C1" w14:textId="77777777" w:rsidR="00F1409F" w:rsidRDefault="00F1409F" w:rsidP="00B71592">
      <w:pPr>
        <w:pStyle w:val="ListBullet"/>
      </w:pPr>
      <w:r>
        <w:t>When a component order is cancelled or rejected, the order is no longer retrievable.</w:t>
      </w:r>
    </w:p>
    <w:p w14:paraId="7E1234D1" w14:textId="77777777" w:rsidR="00F1409F" w:rsidRDefault="00F1409F" w:rsidP="00B71592">
      <w:pPr>
        <w:pStyle w:val="ListBullet"/>
      </w:pPr>
      <w:r>
        <w:t>When a patient has only Component Requirements, the system does not prohibit the use of electronic crossmatch.</w:t>
      </w:r>
    </w:p>
    <w:p w14:paraId="1B8131DC" w14:textId="77777777" w:rsidR="002A21AE" w:rsidRDefault="002A21AE">
      <w:pPr>
        <w:pStyle w:val="ListBullet"/>
      </w:pPr>
      <w:r>
        <w:t xml:space="preserve">A user must accept or cancel each component task in its entirety. </w:t>
      </w:r>
    </w:p>
    <w:p w14:paraId="4662892E" w14:textId="77777777" w:rsidR="002A21AE" w:rsidRDefault="002A21AE">
      <w:pPr>
        <w:pStyle w:val="ListBullet"/>
      </w:pPr>
      <w:r>
        <w:rPr>
          <w:rFonts w:ascii="Arial" w:hAnsi="Arial" w:cs="Arial"/>
          <w:vanish/>
          <w:spacing w:val="0"/>
          <w:sz w:val="18"/>
        </w:rPr>
        <w:t xml:space="preserve">BR_3.38 </w:t>
      </w:r>
      <w:r>
        <w:t xml:space="preserve">The user reserves autologous and directed units and all units processed in a “transfusion-only” facility, regardless of donation type, for a specific patient. VBECS displays this information to all divisions in a multidivisional database and accommodates immediate selection of the unit for the patient when the user is in the same division. </w:t>
      </w:r>
    </w:p>
    <w:p w14:paraId="4D3595C2" w14:textId="77777777" w:rsidR="002A21AE" w:rsidRDefault="002A21AE">
      <w:pPr>
        <w:pStyle w:val="ListBullet"/>
      </w:pPr>
      <w:r>
        <w:rPr>
          <w:rFonts w:ascii="Arial" w:hAnsi="Arial" w:cs="Arial"/>
          <w:vanish/>
          <w:spacing w:val="0"/>
          <w:sz w:val="18"/>
        </w:rPr>
        <w:t xml:space="preserve">BR_3.42 </w:t>
      </w:r>
      <w:r>
        <w:t>When VBECS compares a patient’s current and previous ABO/Rh results, it does not evaluate previously recorded ABO/Rh results marked “Test Result Invalidated.”</w:t>
      </w:r>
    </w:p>
    <w:p w14:paraId="1BBF0A79" w14:textId="77777777" w:rsidR="00083F3A" w:rsidRDefault="00083F3A">
      <w:pPr>
        <w:pStyle w:val="ListBullet"/>
      </w:pPr>
      <w:r>
        <w:t>An ABO/Rh confirmation test interpretation</w:t>
      </w:r>
      <w:r w:rsidR="0044172D">
        <w:t xml:space="preserve"> is required</w:t>
      </w:r>
      <w:r w:rsidR="00A9198B">
        <w:t xml:space="preserve"> when a unit is indicated to contain = &gt; 2 mL of RBC contamination</w:t>
      </w:r>
      <w:r w:rsidR="0044172D">
        <w:t>. The confirmation</w:t>
      </w:r>
      <w:r w:rsidR="00A9198B">
        <w:t xml:space="preserve"> test</w:t>
      </w:r>
      <w:r w:rsidR="0044172D">
        <w:t xml:space="preserve"> must match the unit ABO/Rh at login and repeat tests, when repeat tests are not invalidated. The unit must have a satisfactory confirmation result before VBECS allows the unit to be available for selection for patient use.</w:t>
      </w:r>
    </w:p>
    <w:p w14:paraId="0B017304" w14:textId="0F947912" w:rsidR="00304D65" w:rsidRDefault="000D3C6E">
      <w:pPr>
        <w:pStyle w:val="ListBullet"/>
      </w:pPr>
      <w:r w:rsidRPr="000D3C6E">
        <w:rPr>
          <w:vanish/>
        </w:rPr>
        <w:t xml:space="preserve">BR_3.60 </w:t>
      </w:r>
      <w:r w:rsidR="00304D65">
        <w:t>When the CPRS order is WB or RBC, the user may select products from either product cl</w:t>
      </w:r>
      <w:r w:rsidR="00955DA3">
        <w:t>ass</w:t>
      </w:r>
      <w:r w:rsidR="005452C9">
        <w:t>, RBC or WB to fill the order</w:t>
      </w:r>
    </w:p>
    <w:p w14:paraId="51A616A0" w14:textId="77777777" w:rsidR="00304D65" w:rsidRDefault="000D3C6E">
      <w:pPr>
        <w:pStyle w:val="ListBullet"/>
      </w:pPr>
      <w:r w:rsidRPr="000D3C6E">
        <w:rPr>
          <w:vanish/>
        </w:rPr>
        <w:t xml:space="preserve">BR_3.62 </w:t>
      </w:r>
      <w:r w:rsidR="00304D65">
        <w:t xml:space="preserve">When Whole Blood is selected for a WB or RBC CPRS order and the unit is not ABO compatible for the selected patient, the system presents a message to the user stating that the unit is </w:t>
      </w:r>
      <w:r w:rsidR="0044172D">
        <w:t xml:space="preserve">not ABO compatible </w:t>
      </w:r>
      <w:r w:rsidR="00304D65">
        <w:t>and releases the unit from selection (assignment).</w:t>
      </w:r>
    </w:p>
    <w:p w14:paraId="6BBEDE7A" w14:textId="20B317A4" w:rsidR="006C5C75" w:rsidRDefault="00E359FB" w:rsidP="001E391F">
      <w:pPr>
        <w:pStyle w:val="ListBullet"/>
      </w:pPr>
      <w:r>
        <w:t>U</w:t>
      </w:r>
      <w:r w:rsidR="001E391F">
        <w:t>sers</w:t>
      </w:r>
      <w:r w:rsidR="001E391F" w:rsidRPr="001E391F">
        <w:t xml:space="preserve"> can view the Lab Order number using the Pending Order List or the Order History Report</w:t>
      </w:r>
      <w:r>
        <w:t>, if it is needed in areas where it is not already provided.</w:t>
      </w:r>
      <w:r w:rsidR="00730CAA">
        <w:t xml:space="preserve"> </w:t>
      </w:r>
      <w:r w:rsidR="00730CAA" w:rsidRPr="00730CAA">
        <w:rPr>
          <w:vanish/>
        </w:rPr>
        <w:t>Defect 209122</w:t>
      </w:r>
    </w:p>
    <w:p w14:paraId="1469CCCF" w14:textId="4A1CF532" w:rsidR="00936BD4" w:rsidRDefault="00936BD4" w:rsidP="00936BD4">
      <w:pPr>
        <w:pStyle w:val="ListBullet"/>
      </w:pPr>
      <w:r>
        <w:t>In a multi</w:t>
      </w:r>
      <w:r w:rsidRPr="00936BD4">
        <w:t xml:space="preserve">divisional database, restricted units residing in another division </w:t>
      </w:r>
      <w:r w:rsidR="004D0A70">
        <w:t>are</w:t>
      </w:r>
      <w:r w:rsidRPr="00936BD4">
        <w:t xml:space="preserve"> displayed but are not selectable. The tooltip (mouseover) message wording incorrectly states "Unit is not in division ###". The division shown will be the division where the unit IS located.</w:t>
      </w:r>
      <w:r w:rsidR="00730CAA">
        <w:t xml:space="preserve"> </w:t>
      </w:r>
      <w:r w:rsidR="00730CAA" w:rsidRPr="00730CAA">
        <w:rPr>
          <w:vanish/>
        </w:rPr>
        <w:t>Defect 209039</w:t>
      </w:r>
    </w:p>
    <w:p w14:paraId="39E2D6A0" w14:textId="5EDE7015" w:rsidR="00957008" w:rsidRDefault="00735C30" w:rsidP="00735C30">
      <w:pPr>
        <w:pStyle w:val="ListBullet"/>
      </w:pPr>
      <w:r w:rsidRPr="00735C30">
        <w:t>The "Success" message</w:t>
      </w:r>
      <w:r>
        <w:t xml:space="preserve"> received after electing to print caution tags is a message that the job</w:t>
      </w:r>
      <w:r w:rsidRPr="00735C30">
        <w:t xml:space="preserve"> has queued to the print queue, and does not verify</w:t>
      </w:r>
      <w:r w:rsidR="00E36641">
        <w:t xml:space="preserve"> that the printing has actually </w:t>
      </w:r>
      <w:r w:rsidRPr="00735C30">
        <w:t>occurre</w:t>
      </w:r>
      <w:r>
        <w:t>d.</w:t>
      </w:r>
      <w:r w:rsidR="00730CAA">
        <w:t xml:space="preserve"> </w:t>
      </w:r>
      <w:r w:rsidR="00730CAA" w:rsidRPr="00730CAA">
        <w:rPr>
          <w:vanish/>
        </w:rPr>
        <w:t>Defect 208991</w:t>
      </w:r>
    </w:p>
    <w:p w14:paraId="4E507F28" w14:textId="77777777" w:rsidR="002A21AE" w:rsidRDefault="002A21AE" w:rsidP="00174BD8">
      <w:pPr>
        <w:pStyle w:val="Heading4"/>
        <w:tabs>
          <w:tab w:val="left" w:pos="5490"/>
        </w:tabs>
      </w:pPr>
      <w:r>
        <w:lastRenderedPageBreak/>
        <w:t>User Roles with Access to This Option</w:t>
      </w:r>
      <w:r w:rsidR="00174BD8">
        <w:tab/>
      </w:r>
    </w:p>
    <w:p w14:paraId="012B02DE" w14:textId="77777777" w:rsidR="005C42D0" w:rsidRDefault="005C42D0" w:rsidP="005C42D0">
      <w:pPr>
        <w:pStyle w:val="Roles"/>
        <w:rPr>
          <w:snapToGrid w:val="0"/>
        </w:rPr>
      </w:pPr>
      <w:r>
        <w:t xml:space="preserve">All users </w:t>
      </w:r>
    </w:p>
    <w:bookmarkEnd w:id="352"/>
    <w:p w14:paraId="6A19B040" w14:textId="77777777" w:rsidR="002A21AE" w:rsidRDefault="00057948">
      <w:pPr>
        <w:pStyle w:val="Heading4"/>
      </w:pPr>
      <w:r>
        <w:rPr>
          <w:noProof/>
        </w:rPr>
        <w:drawing>
          <wp:inline distT="0" distB="0" distL="0" distR="0" wp14:anchorId="6D6211D1" wp14:editId="7869B582">
            <wp:extent cx="156845" cy="156845"/>
            <wp:effectExtent l="0" t="0" r="0" b="0"/>
            <wp:docPr id="185" name="Picture 185" descr="Select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Select Units ic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Select Units</w:t>
      </w:r>
    </w:p>
    <w:p w14:paraId="768B6A87" w14:textId="77777777" w:rsidR="008A248A" w:rsidRDefault="002A21AE" w:rsidP="00FA7E65">
      <w:pPr>
        <w:pStyle w:val="BodyText"/>
      </w:pPr>
      <w:r>
        <w:t>A user selects a patient’s component order and assigns one or more products to a patient. The user may then enter individual units or select units from a list of selectable, potentially compatible units for each component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5CBBBE" w14:textId="77777777">
        <w:trPr>
          <w:cantSplit/>
          <w:tblHeader/>
        </w:trPr>
        <w:tc>
          <w:tcPr>
            <w:tcW w:w="3240" w:type="dxa"/>
            <w:shd w:val="pct30" w:color="auto" w:fill="FFFFFF"/>
            <w:vAlign w:val="bottom"/>
          </w:tcPr>
          <w:p w14:paraId="5D82BC32" w14:textId="77777777" w:rsidR="002A21AE" w:rsidRDefault="002A21AE">
            <w:pPr>
              <w:pStyle w:val="TableText"/>
              <w:rPr>
                <w:b/>
              </w:rPr>
            </w:pPr>
            <w:r>
              <w:rPr>
                <w:b/>
              </w:rPr>
              <w:t>User Action</w:t>
            </w:r>
          </w:p>
        </w:tc>
        <w:tc>
          <w:tcPr>
            <w:tcW w:w="6120" w:type="dxa"/>
            <w:shd w:val="pct30" w:color="auto" w:fill="FFFFFF"/>
            <w:vAlign w:val="bottom"/>
          </w:tcPr>
          <w:p w14:paraId="7B7AAD71" w14:textId="77777777" w:rsidR="002A21AE" w:rsidRDefault="002A21AE">
            <w:pPr>
              <w:pStyle w:val="TableText"/>
              <w:rPr>
                <w:b/>
              </w:rPr>
            </w:pPr>
            <w:r>
              <w:rPr>
                <w:b/>
              </w:rPr>
              <w:t>VBECS</w:t>
            </w:r>
          </w:p>
        </w:tc>
      </w:tr>
      <w:tr w:rsidR="002A21AE" w14:paraId="756BAD34" w14:textId="77777777">
        <w:tc>
          <w:tcPr>
            <w:tcW w:w="3240" w:type="dxa"/>
          </w:tcPr>
          <w:p w14:paraId="7C9B2CE1" w14:textId="670E62F5" w:rsidR="002A21AE" w:rsidRDefault="003D3067">
            <w:pPr>
              <w:pStyle w:val="TableTextNumbers"/>
              <w:rPr>
                <w:b/>
              </w:rPr>
            </w:pPr>
            <w:r>
              <w:t>Select Patients</w:t>
            </w:r>
            <w:r w:rsidR="002A21AE">
              <w:t xml:space="preserve"> from the main menu and </w:t>
            </w:r>
            <w:r>
              <w:t>select Patient</w:t>
            </w:r>
            <w:r w:rsidR="002A21AE">
              <w:rPr>
                <w:b/>
              </w:rPr>
              <w:t xml:space="preserve"> Testing</w:t>
            </w:r>
            <w:r w:rsidR="002A21AE">
              <w:t>, or</w:t>
            </w:r>
          </w:p>
          <w:p w14:paraId="6815B12B" w14:textId="77777777" w:rsidR="002A21AE" w:rsidRDefault="002A21AE">
            <w:pPr>
              <w:pStyle w:val="TableTextNumbersContinued"/>
            </w:pPr>
          </w:p>
          <w:p w14:paraId="233A9B29" w14:textId="77777777" w:rsidR="002A21AE" w:rsidRDefault="00922AD8">
            <w:pPr>
              <w:pStyle w:val="TableTextNumbersContinued"/>
            </w:pPr>
            <w:r>
              <w:t xml:space="preserve">Select </w:t>
            </w:r>
            <w:r w:rsidRPr="005E0472">
              <w:rPr>
                <w:b/>
              </w:rPr>
              <w:t>Blood</w:t>
            </w:r>
            <w:r w:rsidR="002A21AE" w:rsidRPr="005E0472">
              <w:rPr>
                <w:b/>
              </w:rPr>
              <w:t xml:space="preserve"> Units</w:t>
            </w:r>
            <w:r w:rsidR="002A21AE">
              <w:t xml:space="preserve"> from the main menu and select </w:t>
            </w:r>
            <w:r w:rsidR="002A21AE">
              <w:rPr>
                <w:b/>
              </w:rPr>
              <w:t>Select Units</w:t>
            </w:r>
            <w:r w:rsidR="002A21AE">
              <w:t>.</w:t>
            </w:r>
          </w:p>
        </w:tc>
        <w:tc>
          <w:tcPr>
            <w:tcW w:w="6120" w:type="dxa"/>
          </w:tcPr>
          <w:p w14:paraId="1A5F33E3" w14:textId="77777777" w:rsidR="002A21AE" w:rsidRDefault="002A21AE">
            <w:pPr>
              <w:pStyle w:val="TableTextBullet"/>
            </w:pPr>
            <w:r>
              <w:t>Displays options for processing patient-related functions.</w:t>
            </w:r>
          </w:p>
          <w:p w14:paraId="51564396" w14:textId="77777777" w:rsidR="002A21AE" w:rsidRDefault="002A21AE">
            <w:pPr>
              <w:pStyle w:val="TableTextBullet"/>
            </w:pPr>
            <w:r>
              <w:t>Displays the Pending Task List (PTL) and PTL search parameters in the Diagnostic Tests tab or in the Component Orders tab.</w:t>
            </w:r>
          </w:p>
        </w:tc>
      </w:tr>
      <w:tr w:rsidR="002A21AE" w14:paraId="2CCBD4FD" w14:textId="77777777">
        <w:tc>
          <w:tcPr>
            <w:tcW w:w="3240" w:type="dxa"/>
          </w:tcPr>
          <w:p w14:paraId="3EE08A51" w14:textId="546B2E66" w:rsidR="002A21AE" w:rsidRDefault="002A21AE">
            <w:pPr>
              <w:pStyle w:val="TableTextNumbers"/>
            </w:pPr>
            <w:r>
              <w:t>Enter or select PTL search parameters, if appropriate</w:t>
            </w:r>
            <w:r w:rsidR="004728E4">
              <w:t xml:space="preserve"> (</w:t>
            </w:r>
            <w:r w:rsidR="00EE455E">
              <w:t xml:space="preserve">Figure </w:t>
            </w:r>
            <w:r w:rsidR="00EE455E">
              <w:rPr>
                <w:noProof/>
              </w:rPr>
              <w:t>69</w:t>
            </w:r>
            <w:r w:rsidR="004728E4">
              <w:t>)</w:t>
            </w:r>
            <w:r>
              <w:t xml:space="preserve">. </w:t>
            </w:r>
          </w:p>
          <w:p w14:paraId="47272AF4" w14:textId="77777777" w:rsidR="002A21AE" w:rsidRDefault="002A21AE">
            <w:pPr>
              <w:pStyle w:val="TableTextNumbersContinued"/>
            </w:pPr>
          </w:p>
          <w:p w14:paraId="44A7B133" w14:textId="77777777" w:rsidR="002A21AE" w:rsidRDefault="002A21AE">
            <w:pPr>
              <w:pStyle w:val="TableTextNumbersContinued"/>
            </w:pPr>
            <w:r>
              <w:t xml:space="preserve">Click the check boxes in the PTL to select </w:t>
            </w:r>
            <w:r w:rsidR="00810E0A">
              <w:t>one to four</w:t>
            </w:r>
            <w:r>
              <w:t xml:space="preserve"> component orders. </w:t>
            </w:r>
          </w:p>
          <w:p w14:paraId="7045D435" w14:textId="77777777" w:rsidR="002A21AE" w:rsidRDefault="002A21AE">
            <w:pPr>
              <w:pStyle w:val="TableTextNumbersContinued"/>
            </w:pPr>
          </w:p>
          <w:p w14:paraId="41EAD78F" w14:textId="6A5FC244" w:rsidR="002A21AE" w:rsidRDefault="002A21AE">
            <w:pPr>
              <w:pStyle w:val="TableTextNumbersContinued"/>
            </w:pPr>
            <w:r>
              <w:t xml:space="preserve">Click </w:t>
            </w:r>
            <w:r>
              <w:rPr>
                <w:b/>
              </w:rPr>
              <w:t>OK</w:t>
            </w:r>
            <w:r>
              <w:t xml:space="preserve"> to continue</w:t>
            </w:r>
            <w:r w:rsidR="008C6185">
              <w:t xml:space="preserve"> (</w:t>
            </w:r>
            <w:r w:rsidR="00EE455E">
              <w:t xml:space="preserve">Figure </w:t>
            </w:r>
            <w:r w:rsidR="00EE455E">
              <w:rPr>
                <w:noProof/>
              </w:rPr>
              <w:t>70</w:t>
            </w:r>
            <w:r w:rsidR="008C6185">
              <w:t>)</w:t>
            </w:r>
            <w:r>
              <w:t>.</w:t>
            </w:r>
          </w:p>
        </w:tc>
        <w:tc>
          <w:tcPr>
            <w:tcW w:w="6120" w:type="dxa"/>
          </w:tcPr>
          <w:p w14:paraId="695C6EC6" w14:textId="77777777" w:rsidR="002A21AE" w:rsidRDefault="002A21AE">
            <w:pPr>
              <w:pStyle w:val="TableTextBullet"/>
            </w:pPr>
            <w:r>
              <w:t>Displays information for each component order.</w:t>
            </w:r>
          </w:p>
          <w:p w14:paraId="1A129C5D" w14:textId="77777777" w:rsidR="00605241" w:rsidRDefault="000D3C6E">
            <w:pPr>
              <w:pStyle w:val="TableTextBullet"/>
            </w:pPr>
            <w:r w:rsidRPr="000D3C6E">
              <w:rPr>
                <w:vanish/>
              </w:rPr>
              <w:t xml:space="preserve">BR_3.58 </w:t>
            </w:r>
            <w:r w:rsidR="00605241">
              <w:t xml:space="preserve">When the user selects a blood unit to fill a component order or RED BLOOD CELLS, “PLATELETS” </w:t>
            </w:r>
            <w:r w:rsidR="00955DA3">
              <w:t>or “OTHER” and has = &gt;</w:t>
            </w:r>
            <w:r w:rsidR="00605241">
              <w:t xml:space="preserve"> 2 mL RBC contamination, and the unit is ABO compatible, VBECS requires a crossmatch test and must require the user to associate a TAS specimen UID to the order to proceed to crossmatch of the unit.</w:t>
            </w:r>
          </w:p>
          <w:p w14:paraId="57056DFB" w14:textId="77777777" w:rsidR="00931B15" w:rsidRDefault="00931B15">
            <w:pPr>
              <w:pStyle w:val="TableTextBullet"/>
            </w:pPr>
            <w:r w:rsidRPr="00931B15">
              <w:rPr>
                <w:vanish/>
              </w:rPr>
              <w:t xml:space="preserve">BR_3.58 </w:t>
            </w:r>
            <w:r>
              <w:t>Upon completion of the selection process, evaluates the unit for eXM when enabled at the site or added to the serologic crossmatch data grid as appropriate.</w:t>
            </w:r>
          </w:p>
          <w:p w14:paraId="065919FE" w14:textId="77777777" w:rsidR="002A21AE" w:rsidRDefault="000D3C6E" w:rsidP="00931B15">
            <w:pPr>
              <w:pStyle w:val="TableTextBullet"/>
            </w:pPr>
            <w:r w:rsidRPr="000D3C6E">
              <w:rPr>
                <w:vanish/>
              </w:rPr>
              <w:t xml:space="preserve">BR_3.59 </w:t>
            </w:r>
            <w:r w:rsidR="00605241">
              <w:t>When the user selects blood units to fill a component order of “PLATELETS” or “OTHER” and is indicated as having less than (&lt;) 2 mL RBC contamination, electronic or serologic crossmatch are not required.</w:t>
            </w:r>
          </w:p>
          <w:p w14:paraId="2346D6A7" w14:textId="77777777" w:rsidR="00931B15" w:rsidRDefault="00931B15" w:rsidP="00931B15">
            <w:pPr>
              <w:pStyle w:val="TableTextBullet"/>
              <w:numPr>
                <w:ilvl w:val="0"/>
                <w:numId w:val="0"/>
              </w:numPr>
              <w:ind w:left="288"/>
            </w:pPr>
          </w:p>
          <w:p w14:paraId="6FA5930A" w14:textId="38D17D3D" w:rsidR="002A21AE" w:rsidRDefault="002A21AE">
            <w:pPr>
              <w:pStyle w:val="TableText"/>
              <w:rPr>
                <w:b/>
                <w:bCs/>
                <w:szCs w:val="18"/>
              </w:rPr>
            </w:pPr>
            <w:r>
              <w:rPr>
                <w:b/>
                <w:bCs/>
                <w:szCs w:val="18"/>
              </w:rPr>
              <w:t>NOTES</w:t>
            </w:r>
          </w:p>
          <w:p w14:paraId="3E06E6B0" w14:textId="77777777" w:rsidR="002A21AE" w:rsidRDefault="002A21AE">
            <w:pPr>
              <w:pStyle w:val="NotesText"/>
            </w:pPr>
          </w:p>
          <w:p w14:paraId="29CCB1C0" w14:textId="7FAC6AF2" w:rsidR="002A21AE" w:rsidRDefault="002A21AE">
            <w:pPr>
              <w:pStyle w:val="NotesText"/>
            </w:pPr>
            <w:r w:rsidRPr="00896F17">
              <w:rPr>
                <w:rStyle w:val="BullhornChar"/>
              </w:rPr>
              <w:t></w:t>
            </w:r>
            <w:r w:rsidRPr="00C51C45">
              <w:rPr>
                <w:rFonts w:ascii="Webdings" w:hAnsi="Webdings"/>
                <w:szCs w:val="22"/>
              </w:rPr>
              <w:t></w:t>
            </w:r>
            <w:r>
              <w:rPr>
                <w:rFonts w:cs="Arial"/>
                <w:szCs w:val="22"/>
              </w:rPr>
              <w:t xml:space="preserve">See </w:t>
            </w:r>
            <w:r w:rsidR="00EE455E">
              <w:t xml:space="preserve">Table </w:t>
            </w:r>
            <w:r w:rsidR="00EE455E">
              <w:rPr>
                <w:noProof/>
              </w:rPr>
              <w:t>6</w:t>
            </w:r>
            <w:r>
              <w:rPr>
                <w:rFonts w:cs="Arial"/>
                <w:szCs w:val="22"/>
              </w:rPr>
              <w:t xml:space="preserve"> for alerts that may occur during this option.</w:t>
            </w:r>
          </w:p>
        </w:tc>
      </w:tr>
      <w:tr w:rsidR="004D6F51" w14:paraId="5D051C13" w14:textId="77777777">
        <w:trPr>
          <w:hidden/>
        </w:trPr>
        <w:tc>
          <w:tcPr>
            <w:tcW w:w="3240" w:type="dxa"/>
          </w:tcPr>
          <w:p w14:paraId="22B6B744" w14:textId="3412A8A3" w:rsidR="004D6F51" w:rsidRPr="002961EA" w:rsidRDefault="00EB00A3" w:rsidP="0020776C">
            <w:pPr>
              <w:pStyle w:val="TableTextNumbers"/>
              <w:rPr>
                <w:szCs w:val="18"/>
              </w:rPr>
            </w:pPr>
            <w:r w:rsidRPr="002961EA">
              <w:rPr>
                <w:vanish/>
                <w:szCs w:val="18"/>
              </w:rPr>
              <w:t>DR 4414</w:t>
            </w:r>
            <w:r w:rsidRPr="002961EA">
              <w:rPr>
                <w:b/>
                <w:vanish/>
                <w:szCs w:val="18"/>
              </w:rPr>
              <w:t xml:space="preserve"> </w:t>
            </w:r>
            <w:r w:rsidR="00234D60" w:rsidRPr="002961EA">
              <w:rPr>
                <w:b/>
                <w:szCs w:val="18"/>
              </w:rPr>
              <w:t>Steps 3 through 8 are optional. If a specimen is already associated with the order, skip to Step 9.</w:t>
            </w:r>
            <w:r w:rsidR="00234D60" w:rsidRPr="002961EA">
              <w:rPr>
                <w:szCs w:val="18"/>
              </w:rPr>
              <w:t xml:space="preserve"> </w:t>
            </w:r>
            <w:r w:rsidR="004D6F51" w:rsidRPr="002961EA">
              <w:rPr>
                <w:szCs w:val="18"/>
              </w:rPr>
              <w:t xml:space="preserve">To associate a specimen </w:t>
            </w:r>
            <w:r w:rsidR="00DC4386" w:rsidRPr="002961EA">
              <w:rPr>
                <w:szCs w:val="18"/>
              </w:rPr>
              <w:t>UID with a</w:t>
            </w:r>
            <w:r w:rsidR="004D6F51" w:rsidRPr="002961EA">
              <w:rPr>
                <w:szCs w:val="18"/>
              </w:rPr>
              <w:t xml:space="preserve"> unit requiring </w:t>
            </w:r>
            <w:r w:rsidR="00F92484" w:rsidRPr="002961EA">
              <w:rPr>
                <w:szCs w:val="18"/>
              </w:rPr>
              <w:t>XM</w:t>
            </w:r>
            <w:r w:rsidR="00DC4386" w:rsidRPr="002961EA">
              <w:rPr>
                <w:szCs w:val="18"/>
              </w:rPr>
              <w:t xml:space="preserve"> that was not previously associated with a specimen</w:t>
            </w:r>
            <w:r w:rsidR="004D6F51" w:rsidRPr="002961EA">
              <w:rPr>
                <w:szCs w:val="18"/>
              </w:rPr>
              <w:t>, select (highlight) an issued unit in the Order Group tree view in the left pane</w:t>
            </w:r>
            <w:r w:rsidR="009F0D10" w:rsidRPr="002961EA">
              <w:rPr>
                <w:szCs w:val="18"/>
              </w:rPr>
              <w:t xml:space="preserve"> (</w:t>
            </w:r>
            <w:r w:rsidR="00EE455E" w:rsidRPr="00EE455E">
              <w:rPr>
                <w:szCs w:val="18"/>
              </w:rPr>
              <w:t xml:space="preserve">Figure </w:t>
            </w:r>
            <w:r w:rsidR="00EE455E" w:rsidRPr="00EE455E">
              <w:rPr>
                <w:noProof/>
                <w:szCs w:val="18"/>
              </w:rPr>
              <w:t>71</w:t>
            </w:r>
            <w:r w:rsidR="009F0D10" w:rsidRPr="002961EA">
              <w:rPr>
                <w:szCs w:val="18"/>
              </w:rPr>
              <w:t>)</w:t>
            </w:r>
            <w:r w:rsidR="004D6F51" w:rsidRPr="002961EA">
              <w:rPr>
                <w:szCs w:val="18"/>
              </w:rPr>
              <w:t>.</w:t>
            </w:r>
          </w:p>
        </w:tc>
        <w:tc>
          <w:tcPr>
            <w:tcW w:w="6120" w:type="dxa"/>
          </w:tcPr>
          <w:p w14:paraId="56A17EDF" w14:textId="77777777" w:rsidR="004D6F51" w:rsidRDefault="004D6F51" w:rsidP="0020776C">
            <w:pPr>
              <w:pStyle w:val="TableTextBullet"/>
            </w:pPr>
            <w:r>
              <w:t>Enables the Associate Specimen check box.</w:t>
            </w:r>
          </w:p>
          <w:p w14:paraId="1D7835BE" w14:textId="405D2CA5" w:rsidR="000A2E5E" w:rsidRDefault="000A2E5E" w:rsidP="00673EF0">
            <w:pPr>
              <w:pStyle w:val="TableTextBullet"/>
            </w:pPr>
            <w:r>
              <w:t xml:space="preserve">When an order is accepted without a specimen, the user must associate the specimen prior to performing crossmatch testing. VBECS will not allow an expired specimen to be associated with the order unless the Unit </w:t>
            </w:r>
            <w:r w:rsidR="00931B15">
              <w:t>Assigned</w:t>
            </w:r>
            <w:r>
              <w:t xml:space="preserve"> Date is modified to be earlier than the Specimen Expiration Date (for retrospective data entry). See </w:t>
            </w:r>
            <w:r w:rsidR="00EE455E">
              <w:t xml:space="preserve">Figure </w:t>
            </w:r>
            <w:r w:rsidR="00EE455E">
              <w:rPr>
                <w:noProof/>
              </w:rPr>
              <w:t>71</w:t>
            </w:r>
            <w:r>
              <w:t>.</w:t>
            </w:r>
          </w:p>
          <w:p w14:paraId="27B28D45" w14:textId="77777777" w:rsidR="00F92484" w:rsidRDefault="00F92484" w:rsidP="00F92484">
            <w:pPr>
              <w:pStyle w:val="TableText"/>
            </w:pPr>
          </w:p>
          <w:p w14:paraId="07E26257" w14:textId="57BE51DE" w:rsidR="00F92484" w:rsidRDefault="00F92484" w:rsidP="00F92484">
            <w:pPr>
              <w:pStyle w:val="TableText"/>
              <w:rPr>
                <w:b/>
                <w:bCs/>
                <w:szCs w:val="18"/>
              </w:rPr>
            </w:pPr>
            <w:r>
              <w:rPr>
                <w:b/>
                <w:bCs/>
                <w:szCs w:val="18"/>
              </w:rPr>
              <w:t>NOTES</w:t>
            </w:r>
          </w:p>
          <w:p w14:paraId="12E36805" w14:textId="77777777" w:rsidR="00F92484" w:rsidRDefault="00F92484" w:rsidP="00F92484">
            <w:pPr>
              <w:pStyle w:val="NotesText"/>
            </w:pPr>
          </w:p>
          <w:p w14:paraId="391A3513" w14:textId="77777777" w:rsidR="00F92484" w:rsidRDefault="00F92484" w:rsidP="00F92484">
            <w:pPr>
              <w:pStyle w:val="NotesText"/>
              <w:rPr>
                <w:rFonts w:cs="Arial"/>
                <w:szCs w:val="22"/>
              </w:rPr>
            </w:pPr>
            <w:r>
              <w:rPr>
                <w:rFonts w:cs="Arial"/>
                <w:szCs w:val="22"/>
              </w:rPr>
              <w:t>If eXM is enabled, complete the TAS prior to associating the specimen UID with the emergency-issued units.</w:t>
            </w:r>
          </w:p>
          <w:p w14:paraId="3D72E8A7" w14:textId="77777777" w:rsidR="001F303C" w:rsidRDefault="001F303C" w:rsidP="00F92484">
            <w:pPr>
              <w:pStyle w:val="NotesText"/>
              <w:rPr>
                <w:rFonts w:cs="Arial"/>
                <w:szCs w:val="22"/>
              </w:rPr>
            </w:pPr>
          </w:p>
          <w:p w14:paraId="7C5424D5" w14:textId="2D5E309A" w:rsidR="001F303C" w:rsidRPr="00811AE6" w:rsidRDefault="001F303C" w:rsidP="001F303C">
            <w:pPr>
              <w:pStyle w:val="NotesText"/>
            </w:pPr>
            <w:r w:rsidRPr="00811AE6">
              <w:rPr>
                <w:vanish/>
                <w:szCs w:val="18"/>
              </w:rPr>
              <w:t xml:space="preserve">BR_3.17, BR_3.27 , BR_3.36 </w:t>
            </w:r>
            <w:r w:rsidRPr="00811AE6">
              <w:t>When eXM is enabled at the division and blood units require XM, VBECS determines whether the patient and units are eligible for eXM. When indicated, specific warning messages explaining the reason for the ineligibility are displayed. Users are given the opportunity to accept or reject the selected unit for selection</w:t>
            </w:r>
            <w:r w:rsidR="00931B15" w:rsidRPr="00811AE6">
              <w:t xml:space="preserve"> and may or may not process the eXM</w:t>
            </w:r>
            <w:r w:rsidRPr="00811AE6">
              <w:t xml:space="preserve">. All parameters listed in </w:t>
            </w:r>
            <w:r w:rsidR="00EE455E">
              <w:t xml:space="preserve">Appendix </w:t>
            </w:r>
            <w:r w:rsidR="00EE455E">
              <w:rPr>
                <w:noProof/>
              </w:rPr>
              <w:t>B</w:t>
            </w:r>
            <w:r w:rsidRPr="00811AE6">
              <w:t xml:space="preserve">: </w:t>
            </w:r>
            <w:r w:rsidR="00EE455E">
              <w:t xml:space="preserve">Table </w:t>
            </w:r>
            <w:r w:rsidR="00EE455E">
              <w:rPr>
                <w:noProof/>
              </w:rPr>
              <w:t>22</w:t>
            </w:r>
            <w:r w:rsidR="00EE455E">
              <w:t xml:space="preserve">: </w:t>
            </w:r>
            <w:r w:rsidR="00EE455E">
              <w:rPr>
                <w:vanish/>
              </w:rPr>
              <w:t xml:space="preserve">TT_3.05 </w:t>
            </w:r>
            <w:r w:rsidR="00EE455E">
              <w:t>Rules for Electronic and Serologic Crossmatch</w:t>
            </w:r>
            <w:r w:rsidRPr="00811AE6">
              <w:t xml:space="preserve"> must be met. Units not eligible for eXM must have serologic XM performed. </w:t>
            </w:r>
          </w:p>
          <w:p w14:paraId="4315FB3C" w14:textId="77777777" w:rsidR="001F303C" w:rsidRPr="00811AE6" w:rsidRDefault="001F303C" w:rsidP="001F303C">
            <w:pPr>
              <w:pStyle w:val="NotesText"/>
            </w:pPr>
          </w:p>
          <w:p w14:paraId="3D541061" w14:textId="77777777" w:rsidR="001F303C" w:rsidRDefault="001F303C" w:rsidP="001F303C">
            <w:pPr>
              <w:pStyle w:val="NotesText"/>
            </w:pPr>
            <w:r w:rsidRPr="00811AE6">
              <w:lastRenderedPageBreak/>
              <w:t>When eXM is not enabled, the user must enter serologic XM results for red blood cell classes or when the uni</w:t>
            </w:r>
            <w:r w:rsidR="00931B15" w:rsidRPr="00811AE6">
              <w:t>t has = &gt;</w:t>
            </w:r>
            <w:r w:rsidRPr="00811AE6">
              <w:t xml:space="preserve"> 2 mL RBC contamination. VBECS does not change the unit status to “crossmatched,” make units available for issue, or allow the Caution Tag or BTRF to be printed until a user enters a valid XM result, unless an emergency-issued unit is being processed.</w:t>
            </w:r>
          </w:p>
        </w:tc>
      </w:tr>
      <w:tr w:rsidR="004D6F51" w14:paraId="45A7921D" w14:textId="77777777">
        <w:tc>
          <w:tcPr>
            <w:tcW w:w="3240" w:type="dxa"/>
          </w:tcPr>
          <w:p w14:paraId="2812DFA4" w14:textId="77777777" w:rsidR="004D6F51" w:rsidRPr="001235FC" w:rsidRDefault="004D6F51" w:rsidP="0020776C">
            <w:pPr>
              <w:pStyle w:val="TableTextNumbers"/>
            </w:pPr>
            <w:r>
              <w:lastRenderedPageBreak/>
              <w:t xml:space="preserve">Click the </w:t>
            </w:r>
            <w:r>
              <w:rPr>
                <w:b/>
              </w:rPr>
              <w:t xml:space="preserve">Associate </w:t>
            </w:r>
            <w:r w:rsidR="00F92484">
              <w:rPr>
                <w:b/>
              </w:rPr>
              <w:t xml:space="preserve">with </w:t>
            </w:r>
            <w:r>
              <w:rPr>
                <w:b/>
              </w:rPr>
              <w:t xml:space="preserve">Specimen </w:t>
            </w:r>
            <w:r w:rsidRPr="00D1100E">
              <w:t>check box</w:t>
            </w:r>
            <w:r>
              <w:rPr>
                <w:b/>
              </w:rPr>
              <w:t>.</w:t>
            </w:r>
          </w:p>
          <w:p w14:paraId="771A6F24" w14:textId="77777777" w:rsidR="004D6F51" w:rsidRDefault="004D6F51" w:rsidP="0020776C">
            <w:pPr>
              <w:pStyle w:val="TableTextNumbers"/>
              <w:numPr>
                <w:ilvl w:val="0"/>
                <w:numId w:val="0"/>
              </w:numPr>
              <w:ind w:left="288" w:hanging="288"/>
              <w:rPr>
                <w:b/>
              </w:rPr>
            </w:pPr>
          </w:p>
          <w:p w14:paraId="4C26ACBE" w14:textId="17297993" w:rsidR="004D6F51" w:rsidRDefault="004D6F51" w:rsidP="0020776C">
            <w:pPr>
              <w:pStyle w:val="TableTextNumbersContinued"/>
            </w:pPr>
            <w:r>
              <w:t xml:space="preserve">Click the </w:t>
            </w:r>
            <w:r w:rsidR="00A6373D">
              <w:rPr>
                <w:b/>
              </w:rPr>
              <w:t>find</w:t>
            </w:r>
            <w:r w:rsidRPr="001235FC">
              <w:rPr>
                <w:b/>
              </w:rPr>
              <w:t xml:space="preserve"> </w:t>
            </w:r>
            <w:r w:rsidRPr="00D1100E">
              <w:t>button</w:t>
            </w:r>
            <w:r>
              <w:t xml:space="preserve"> to select</w:t>
            </w:r>
            <w:r w:rsidR="00F92484">
              <w:t xml:space="preserve"> a specimen</w:t>
            </w:r>
            <w:r>
              <w:t xml:space="preserve"> UID</w:t>
            </w:r>
            <w:r w:rsidR="009F0D10">
              <w:t xml:space="preserve"> (</w:t>
            </w:r>
            <w:r w:rsidR="00EE455E">
              <w:t xml:space="preserve">Figure </w:t>
            </w:r>
            <w:r w:rsidR="00EE455E">
              <w:rPr>
                <w:noProof/>
              </w:rPr>
              <w:t>71</w:t>
            </w:r>
            <w:r w:rsidR="009F0D10">
              <w:t>)</w:t>
            </w:r>
            <w:r>
              <w:t>.</w:t>
            </w:r>
          </w:p>
        </w:tc>
        <w:tc>
          <w:tcPr>
            <w:tcW w:w="6120" w:type="dxa"/>
          </w:tcPr>
          <w:p w14:paraId="02BDC7D3" w14:textId="77777777" w:rsidR="004D6F51" w:rsidRDefault="004D6F51" w:rsidP="0020776C">
            <w:pPr>
              <w:pStyle w:val="TableTextBullet"/>
            </w:pPr>
            <w:r>
              <w:t xml:space="preserve">Opens the </w:t>
            </w:r>
            <w:r w:rsidR="00F92484">
              <w:t>Select Patient Specimen window.</w:t>
            </w:r>
          </w:p>
        </w:tc>
      </w:tr>
      <w:tr w:rsidR="004D6F51" w14:paraId="52087FBC" w14:textId="77777777">
        <w:tc>
          <w:tcPr>
            <w:tcW w:w="3240" w:type="dxa"/>
          </w:tcPr>
          <w:p w14:paraId="489D3FAC" w14:textId="77777777" w:rsidR="004D6F51" w:rsidRDefault="004D6F51" w:rsidP="0020776C">
            <w:pPr>
              <w:pStyle w:val="TableTextNumbers"/>
            </w:pPr>
            <w:r>
              <w:t xml:space="preserve">Scan or enter the correct specimen UID and click </w:t>
            </w:r>
            <w:r>
              <w:rPr>
                <w:b/>
              </w:rPr>
              <w:t>Search</w:t>
            </w:r>
            <w:r>
              <w:t>.</w:t>
            </w:r>
          </w:p>
        </w:tc>
        <w:tc>
          <w:tcPr>
            <w:tcW w:w="6120" w:type="dxa"/>
          </w:tcPr>
          <w:p w14:paraId="53A091DC" w14:textId="77777777" w:rsidR="004D6F51" w:rsidRDefault="004D6F51" w:rsidP="0020776C">
            <w:pPr>
              <w:pStyle w:val="TableTextBullet"/>
            </w:pPr>
            <w:r>
              <w:t xml:space="preserve">Displays </w:t>
            </w:r>
            <w:r w:rsidR="00F92484">
              <w:t xml:space="preserve">the </w:t>
            </w:r>
            <w:r w:rsidR="00C3266A">
              <w:t>s</w:t>
            </w:r>
            <w:r w:rsidR="00F92484">
              <w:t xml:space="preserve">elected </w:t>
            </w:r>
            <w:r w:rsidR="00C3266A">
              <w:t>patient s</w:t>
            </w:r>
            <w:r w:rsidR="00F92484">
              <w:t xml:space="preserve">pecimen </w:t>
            </w:r>
            <w:r w:rsidR="00C3266A">
              <w:t>information</w:t>
            </w:r>
            <w:r w:rsidR="00F92484">
              <w:t>.</w:t>
            </w:r>
          </w:p>
        </w:tc>
      </w:tr>
      <w:tr w:rsidR="004D6F51" w14:paraId="5C4F30B2" w14:textId="77777777">
        <w:tc>
          <w:tcPr>
            <w:tcW w:w="3240" w:type="dxa"/>
          </w:tcPr>
          <w:p w14:paraId="2B192ED5" w14:textId="77777777" w:rsidR="004D6F51" w:rsidRDefault="004D6F51" w:rsidP="0020776C">
            <w:pPr>
              <w:pStyle w:val="TableTextNumbers"/>
            </w:pPr>
            <w:r>
              <w:t xml:space="preserve">Click </w:t>
            </w:r>
            <w:r w:rsidRPr="005457F3">
              <w:rPr>
                <w:b/>
              </w:rPr>
              <w:t>OK</w:t>
            </w:r>
            <w:r>
              <w:t>.</w:t>
            </w:r>
          </w:p>
        </w:tc>
        <w:tc>
          <w:tcPr>
            <w:tcW w:w="6120" w:type="dxa"/>
          </w:tcPr>
          <w:p w14:paraId="00266B90" w14:textId="77777777" w:rsidR="004D6F51" w:rsidRDefault="004D6F51" w:rsidP="0020776C">
            <w:pPr>
              <w:pStyle w:val="TableTextBullet"/>
            </w:pPr>
            <w:r>
              <w:t>Saves the specimen information and returns the user to the Select Units window.</w:t>
            </w:r>
          </w:p>
          <w:p w14:paraId="5CF9200B" w14:textId="77777777" w:rsidR="004D6F51" w:rsidRDefault="004D6F51" w:rsidP="0020776C">
            <w:pPr>
              <w:pStyle w:val="TableTextBullet"/>
            </w:pPr>
            <w:r>
              <w:t>Displays the associat</w:t>
            </w:r>
            <w:r w:rsidR="008D0654">
              <w:t>ed specimen UID in the Specimen</w:t>
            </w:r>
            <w:r>
              <w:t xml:space="preserve"> UID field.</w:t>
            </w:r>
          </w:p>
        </w:tc>
      </w:tr>
      <w:tr w:rsidR="004D6F51" w14:paraId="54DBF369" w14:textId="77777777">
        <w:tc>
          <w:tcPr>
            <w:tcW w:w="3240" w:type="dxa"/>
          </w:tcPr>
          <w:p w14:paraId="650BF7B3" w14:textId="77777777" w:rsidR="004D6F51" w:rsidRDefault="000A2E5E" w:rsidP="000A2E5E">
            <w:pPr>
              <w:pStyle w:val="TableTextNumbers"/>
            </w:pPr>
            <w:r>
              <w:t xml:space="preserve">Repeat Steps 3 through </w:t>
            </w:r>
            <w:r w:rsidR="004D6F51">
              <w:t xml:space="preserve">6 to associate the </w:t>
            </w:r>
            <w:r>
              <w:t>specimen UID</w:t>
            </w:r>
            <w:r w:rsidR="004D6F51">
              <w:t xml:space="preserve"> with other emergency-issued units, or click </w:t>
            </w:r>
            <w:r w:rsidR="004D6F51">
              <w:rPr>
                <w:b/>
              </w:rPr>
              <w:t>OK</w:t>
            </w:r>
            <w:r w:rsidR="004D6F51">
              <w:t xml:space="preserve"> to save.</w:t>
            </w:r>
          </w:p>
        </w:tc>
        <w:tc>
          <w:tcPr>
            <w:tcW w:w="6120" w:type="dxa"/>
          </w:tcPr>
          <w:p w14:paraId="172A8278" w14:textId="77777777" w:rsidR="004D6F51" w:rsidRDefault="008D0654" w:rsidP="0020776C">
            <w:pPr>
              <w:pStyle w:val="TableTextBullet"/>
            </w:pPr>
            <w:r>
              <w:t>When the user clicks OK, d</w:t>
            </w:r>
            <w:r w:rsidR="004D6F51">
              <w:t>isplays a message asking the user if he wishes to complete serologic crossmatch</w:t>
            </w:r>
            <w:r w:rsidR="003F629A">
              <w:t xml:space="preserve"> when at least one unit requires crossmatch</w:t>
            </w:r>
            <w:r w:rsidR="004D6F51">
              <w:t>.</w:t>
            </w:r>
          </w:p>
        </w:tc>
      </w:tr>
      <w:tr w:rsidR="004D6F51" w14:paraId="6F781AC0" w14:textId="77777777">
        <w:tc>
          <w:tcPr>
            <w:tcW w:w="3240" w:type="dxa"/>
          </w:tcPr>
          <w:p w14:paraId="1515D75E" w14:textId="77777777" w:rsidR="004D6F51" w:rsidRDefault="004D6F51" w:rsidP="0020776C">
            <w:pPr>
              <w:pStyle w:val="TableTextNumbers"/>
            </w:pPr>
            <w:r>
              <w:t xml:space="preserve">Click </w:t>
            </w:r>
            <w:r>
              <w:rPr>
                <w:b/>
              </w:rPr>
              <w:t>Yes</w:t>
            </w:r>
            <w:r>
              <w:t xml:space="preserve"> to complete the serologic crossmatch.</w:t>
            </w:r>
          </w:p>
          <w:p w14:paraId="01F3EAEC" w14:textId="77777777" w:rsidR="004D6F51" w:rsidRDefault="004D6F51" w:rsidP="0020776C">
            <w:pPr>
              <w:pStyle w:val="TableTextNumbers"/>
              <w:numPr>
                <w:ilvl w:val="0"/>
                <w:numId w:val="0"/>
              </w:numPr>
              <w:ind w:left="288" w:hanging="288"/>
            </w:pPr>
          </w:p>
          <w:p w14:paraId="058814F0" w14:textId="77777777" w:rsidR="004D6F51" w:rsidRPr="005457F3" w:rsidRDefault="004D6F51" w:rsidP="0020776C">
            <w:pPr>
              <w:pStyle w:val="TableTextNumbersContinued"/>
            </w:pPr>
            <w:r>
              <w:t xml:space="preserve">Click </w:t>
            </w:r>
            <w:r>
              <w:rPr>
                <w:b/>
              </w:rPr>
              <w:t>No</w:t>
            </w:r>
            <w:r>
              <w:t xml:space="preserve"> to return to the VBECS desktop.</w:t>
            </w:r>
          </w:p>
        </w:tc>
        <w:tc>
          <w:tcPr>
            <w:tcW w:w="6120" w:type="dxa"/>
          </w:tcPr>
          <w:p w14:paraId="5097ED51" w14:textId="77777777" w:rsidR="004D6F51" w:rsidRDefault="009B4224" w:rsidP="0020776C">
            <w:pPr>
              <w:pStyle w:val="TableTextBullet"/>
            </w:pPr>
            <w:r>
              <w:t>Allows the user to enter results in the Serologic Crossmatch (XM) cells in the patient testing grid.</w:t>
            </w:r>
          </w:p>
        </w:tc>
      </w:tr>
      <w:tr w:rsidR="002A21AE" w14:paraId="0D078998" w14:textId="77777777">
        <w:tc>
          <w:tcPr>
            <w:tcW w:w="3240" w:type="dxa"/>
          </w:tcPr>
          <w:p w14:paraId="6DA71C9A" w14:textId="77777777" w:rsidR="00772C9B" w:rsidRDefault="002A21AE" w:rsidP="008D18B9">
            <w:pPr>
              <w:pStyle w:val="TableTextNumbers"/>
            </w:pPr>
            <w:r>
              <w:t xml:space="preserve">Click </w:t>
            </w:r>
            <w:r>
              <w:rPr>
                <w:b/>
              </w:rPr>
              <w:t>Add Units</w:t>
            </w:r>
            <w:r>
              <w:t xml:space="preserve"> to add units to the component orders selected.</w:t>
            </w:r>
          </w:p>
        </w:tc>
        <w:tc>
          <w:tcPr>
            <w:tcW w:w="6120" w:type="dxa"/>
          </w:tcPr>
          <w:p w14:paraId="3F012CAB" w14:textId="77777777" w:rsidR="002A21AE" w:rsidRDefault="002A21AE">
            <w:pPr>
              <w:pStyle w:val="TableTextBullet"/>
            </w:pPr>
            <w:r>
              <w:t>Searches the database and displays available restricted autologous and directed units that the user must select before selecting allo</w:t>
            </w:r>
            <w:r w:rsidR="000A2E5E">
              <w:t xml:space="preserve">geneic units of the same </w:t>
            </w:r>
            <w:r>
              <w:t>component class.</w:t>
            </w:r>
          </w:p>
          <w:p w14:paraId="2B1B652E" w14:textId="77777777" w:rsidR="002A21AE" w:rsidRDefault="002A21AE">
            <w:pPr>
              <w:pStyle w:val="TableTextBullet"/>
            </w:pPr>
            <w:r>
              <w:t>Displays the unit ID, product type, unit ABO/Rh, unit expiration date, specimen UID, if applicable, of units assigned to the patient in the division’s blood bank on a different specimen or order. T</w:t>
            </w:r>
            <w:r w:rsidR="000A2E5E">
              <w:t>he user may add and remove</w:t>
            </w:r>
            <w:r>
              <w:t xml:space="preserve"> the units to the current order</w:t>
            </w:r>
            <w:r w:rsidR="00B41BC2">
              <w:t xml:space="preserve"> until saved</w:t>
            </w:r>
            <w:r>
              <w:t>.</w:t>
            </w:r>
          </w:p>
          <w:p w14:paraId="55054D02" w14:textId="77777777" w:rsidR="008D18B9" w:rsidRDefault="008D18B9">
            <w:pPr>
              <w:pStyle w:val="TableTextBullet"/>
            </w:pPr>
            <w:r>
              <w:t>When eXM was configured for the facility, displays the eXM status (eligible or not eligible) for the patient.</w:t>
            </w:r>
          </w:p>
          <w:p w14:paraId="47682183" w14:textId="77777777" w:rsidR="00931B15" w:rsidRDefault="00880CE3">
            <w:pPr>
              <w:pStyle w:val="TableTextBullet"/>
            </w:pPr>
            <w:r w:rsidRPr="00880CE3">
              <w:rPr>
                <w:vanish/>
              </w:rPr>
              <w:t xml:space="preserve">BR_3.63 </w:t>
            </w:r>
            <w:r w:rsidR="000A2E5E">
              <w:t>When the component order is for “PLATELETS” or “OTHER”, the</w:t>
            </w:r>
            <w:r w:rsidR="00931B15">
              <w:t xml:space="preserve"> units with = &gt;</w:t>
            </w:r>
            <w:r w:rsidR="000A2E5E">
              <w:t xml:space="preserve"> 2 mL of RBC contamination must be presented and will display </w:t>
            </w:r>
            <w:r w:rsidR="000A2E5E" w:rsidRPr="00B41BC2">
              <w:rPr>
                <w:i/>
              </w:rPr>
              <w:t>before</w:t>
            </w:r>
            <w:r w:rsidR="000A2E5E">
              <w:t xml:space="preserve"> products with less than (&lt;) 2 mL of RBC contamination. </w:t>
            </w:r>
          </w:p>
          <w:p w14:paraId="00DA8BFD" w14:textId="77777777" w:rsidR="000A2E5E" w:rsidRDefault="000A2E5E">
            <w:pPr>
              <w:pStyle w:val="TableTextBullet"/>
            </w:pPr>
            <w:r>
              <w:t>VBECS will present</w:t>
            </w:r>
            <w:r w:rsidR="00B41BC2">
              <w:t xml:space="preserve"> all available units when the Product Type is “PLATELETS” or “OTHER” non-plasma components that have less than (&lt;) 2 mL RBC contamination.</w:t>
            </w:r>
          </w:p>
          <w:p w14:paraId="5B3923E1" w14:textId="77777777" w:rsidR="002A21AE" w:rsidRDefault="002A21AE">
            <w:pPr>
              <w:pStyle w:val="TableText"/>
            </w:pPr>
          </w:p>
          <w:p w14:paraId="3A2246B5" w14:textId="3B57A124" w:rsidR="002A21AE" w:rsidRDefault="002A21AE">
            <w:pPr>
              <w:pStyle w:val="TableText"/>
              <w:rPr>
                <w:b/>
                <w:bCs/>
                <w:szCs w:val="18"/>
              </w:rPr>
            </w:pPr>
            <w:r>
              <w:rPr>
                <w:b/>
                <w:bCs/>
                <w:szCs w:val="18"/>
              </w:rPr>
              <w:t>NOTES</w:t>
            </w:r>
          </w:p>
          <w:p w14:paraId="4FFF5622" w14:textId="77777777" w:rsidR="002A21AE" w:rsidRDefault="002A21AE">
            <w:pPr>
              <w:pStyle w:val="NotesText"/>
            </w:pPr>
          </w:p>
          <w:p w14:paraId="11984207" w14:textId="40794C27"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EE455E">
              <w:t xml:space="preserve">Table </w:t>
            </w:r>
            <w:r w:rsidR="00EE455E">
              <w:rPr>
                <w:noProof/>
              </w:rPr>
              <w:t>6</w:t>
            </w:r>
            <w:r w:rsidR="006E22F3">
              <w:rPr>
                <w:rFonts w:cs="Arial"/>
                <w:szCs w:val="22"/>
              </w:rPr>
              <w:t xml:space="preserve"> f</w:t>
            </w:r>
            <w:r w:rsidR="002A21AE">
              <w:rPr>
                <w:rFonts w:cs="Arial"/>
                <w:szCs w:val="22"/>
              </w:rPr>
              <w:t>or alerts that may occur during this option.</w:t>
            </w:r>
          </w:p>
          <w:p w14:paraId="1929BAB2" w14:textId="77777777" w:rsidR="002A21AE" w:rsidRDefault="002A21AE">
            <w:pPr>
              <w:pStyle w:val="NotesText"/>
            </w:pPr>
          </w:p>
          <w:p w14:paraId="70EC0252" w14:textId="77777777" w:rsidR="007A3EAF" w:rsidRPr="007A3EAF" w:rsidRDefault="007A3EAF">
            <w:pPr>
              <w:pStyle w:val="NotesText"/>
            </w:pPr>
            <w:r>
              <w:t xml:space="preserve">Units that are selectable with an override do not appear on the list of available units and must be scanned or entered by the user. </w:t>
            </w:r>
            <w:r>
              <w:rPr>
                <w:vanish/>
              </w:rPr>
              <w:t>DR 2819</w:t>
            </w:r>
          </w:p>
          <w:p w14:paraId="292204D1" w14:textId="77777777" w:rsidR="007A3EAF" w:rsidRDefault="007A3EAF">
            <w:pPr>
              <w:pStyle w:val="NotesText"/>
            </w:pPr>
          </w:p>
          <w:p w14:paraId="191F97AD" w14:textId="77777777" w:rsidR="00B41BC2" w:rsidRPr="00B41BC2" w:rsidRDefault="00B41BC2" w:rsidP="00B41BC2">
            <w:pPr>
              <w:pStyle w:val="NotesText"/>
            </w:pPr>
            <w:r w:rsidRPr="00AD0810">
              <w:rPr>
                <w:vanish/>
              </w:rPr>
              <w:t xml:space="preserve">BR_3.05 </w:t>
            </w:r>
            <w:r>
              <w:t>A patient’s historical ABO/Rh is displayed, when present. When the current specimen is not yet tested, is normally not required, or must be saved as inconclusive, a unit of blood can be selected based on the patient’s historical ABO/Rh.</w:t>
            </w:r>
          </w:p>
          <w:p w14:paraId="6C0A81D7" w14:textId="77777777" w:rsidR="00B41BC2" w:rsidRDefault="00B41BC2" w:rsidP="00B41BC2">
            <w:pPr>
              <w:pStyle w:val="TableText"/>
            </w:pPr>
          </w:p>
          <w:p w14:paraId="6A240592" w14:textId="77777777" w:rsidR="00B41BC2" w:rsidRDefault="00973AD0" w:rsidP="00B41BC2">
            <w:pPr>
              <w:pStyle w:val="NotesText"/>
            </w:pPr>
            <w:r w:rsidRPr="00973AD0">
              <w:rPr>
                <w:vanish/>
              </w:rPr>
              <w:lastRenderedPageBreak/>
              <w:t xml:space="preserve">BR_3.05 </w:t>
            </w:r>
            <w:r w:rsidR="00B41BC2">
              <w:t xml:space="preserve">When the patient’s historic ABO/Rh is “NR,” “inconclusive”, from database conversion, or the current specimen has an “emergency issue” order indicator present and/or the required ABO/Rh specimen testing is incomplete, the user may select components as follows, including autologous units: </w:t>
            </w:r>
          </w:p>
          <w:p w14:paraId="02F6A49C" w14:textId="77777777" w:rsidR="00B41BC2" w:rsidRDefault="00B41BC2" w:rsidP="00B41BC2">
            <w:pPr>
              <w:pStyle w:val="TableText"/>
            </w:pPr>
          </w:p>
          <w:p w14:paraId="4B159DBB" w14:textId="77777777" w:rsidR="00B41BC2" w:rsidRDefault="00B41BC2" w:rsidP="008D6E9E">
            <w:pPr>
              <w:pStyle w:val="TableText"/>
              <w:ind w:left="720"/>
            </w:pPr>
            <w:r>
              <w:t xml:space="preserve">For RBC or WB order: </w:t>
            </w:r>
          </w:p>
          <w:p w14:paraId="1750FD75" w14:textId="77777777" w:rsidR="00B41BC2" w:rsidRDefault="00B41BC2" w:rsidP="00925CAD">
            <w:pPr>
              <w:pStyle w:val="TableText"/>
              <w:numPr>
                <w:ilvl w:val="0"/>
                <w:numId w:val="62"/>
              </w:numPr>
              <w:ind w:left="1440"/>
            </w:pPr>
            <w:r>
              <w:t>Group O, Rh positive or O Rh negative RBC</w:t>
            </w:r>
          </w:p>
          <w:p w14:paraId="191838EA" w14:textId="77777777" w:rsidR="00B41BC2" w:rsidRDefault="00B41BC2" w:rsidP="00925CAD">
            <w:pPr>
              <w:pStyle w:val="TableText"/>
              <w:numPr>
                <w:ilvl w:val="0"/>
                <w:numId w:val="62"/>
              </w:numPr>
              <w:ind w:left="1440"/>
            </w:pPr>
            <w:r>
              <w:t>WHOLE BLOOD is not selectable</w:t>
            </w:r>
          </w:p>
          <w:p w14:paraId="514C2074" w14:textId="64645694" w:rsidR="00B41BC2" w:rsidRDefault="00B41BC2" w:rsidP="008D6E9E">
            <w:pPr>
              <w:pStyle w:val="TableText"/>
              <w:ind w:left="720"/>
            </w:pPr>
            <w:r>
              <w:t>For FFP order:</w:t>
            </w:r>
            <w:r w:rsidR="00BE1E4F">
              <w:t xml:space="preserve"> </w:t>
            </w:r>
            <w:r w:rsidR="00BE1E4F" w:rsidRPr="00BE1E4F">
              <w:rPr>
                <w:vanish/>
              </w:rPr>
              <w:t>Task 78435</w:t>
            </w:r>
          </w:p>
          <w:p w14:paraId="7085EBDD" w14:textId="77777777" w:rsidR="00B41BC2" w:rsidRDefault="00B41BC2" w:rsidP="00925CAD">
            <w:pPr>
              <w:pStyle w:val="TableText"/>
              <w:numPr>
                <w:ilvl w:val="0"/>
                <w:numId w:val="63"/>
              </w:numPr>
              <w:ind w:left="1440"/>
            </w:pPr>
            <w:r>
              <w:t>Group AB, Rh positive, Rh negative, or not specified</w:t>
            </w:r>
          </w:p>
          <w:p w14:paraId="5CB66270" w14:textId="77777777" w:rsidR="00B41BC2" w:rsidRPr="001A5BC5" w:rsidRDefault="00B41BC2" w:rsidP="008D6E9E">
            <w:pPr>
              <w:pStyle w:val="TableText"/>
              <w:tabs>
                <w:tab w:val="left" w:pos="2655"/>
              </w:tabs>
              <w:ind w:left="720"/>
            </w:pPr>
            <w:r>
              <w:t>F</w:t>
            </w:r>
            <w:r w:rsidRPr="001A5BC5">
              <w:t>or PLT order:</w:t>
            </w:r>
          </w:p>
          <w:p w14:paraId="5BEB44EB" w14:textId="77777777" w:rsidR="00B41BC2" w:rsidRPr="001A5BC5" w:rsidRDefault="00B41BC2" w:rsidP="00925CAD">
            <w:pPr>
              <w:pStyle w:val="TableText"/>
              <w:numPr>
                <w:ilvl w:val="0"/>
                <w:numId w:val="64"/>
              </w:numPr>
              <w:tabs>
                <w:tab w:val="left" w:pos="696"/>
              </w:tabs>
              <w:ind w:left="1416"/>
            </w:pPr>
            <w:r w:rsidRPr="001A5BC5">
              <w:t>All units with &lt; 2 mL RBC contamination are available</w:t>
            </w:r>
          </w:p>
          <w:p w14:paraId="6BBFCA3A" w14:textId="04E72199" w:rsidR="00B41BC2" w:rsidRPr="001A5BC5" w:rsidRDefault="00B41BC2" w:rsidP="00925CAD">
            <w:pPr>
              <w:pStyle w:val="TableText"/>
              <w:numPr>
                <w:ilvl w:val="0"/>
                <w:numId w:val="64"/>
              </w:numPr>
              <w:tabs>
                <w:tab w:val="left" w:pos="696"/>
              </w:tabs>
              <w:ind w:left="1416"/>
            </w:pPr>
            <w:r w:rsidRPr="001A5BC5">
              <w:t xml:space="preserve">Units with </w:t>
            </w:r>
            <w:r w:rsidR="00570C93">
              <w:t xml:space="preserve">(= &gt;) </w:t>
            </w:r>
            <w:r w:rsidRPr="001A5BC5">
              <w:t>2 mL RBC contamination are not available</w:t>
            </w:r>
          </w:p>
          <w:p w14:paraId="37BE11A0" w14:textId="77777777" w:rsidR="00B41BC2" w:rsidRPr="001A5BC5" w:rsidRDefault="00B41BC2" w:rsidP="008D6E9E">
            <w:pPr>
              <w:pStyle w:val="TableText"/>
              <w:tabs>
                <w:tab w:val="left" w:pos="2655"/>
              </w:tabs>
              <w:ind w:left="720"/>
            </w:pPr>
            <w:r w:rsidRPr="001A5BC5">
              <w:t>For CRYO order:</w:t>
            </w:r>
            <w:r w:rsidRPr="001A5BC5">
              <w:tab/>
            </w:r>
          </w:p>
          <w:p w14:paraId="11B6F906" w14:textId="77777777" w:rsidR="00B41BC2" w:rsidRPr="001A5BC5" w:rsidRDefault="00B41BC2" w:rsidP="00925CAD">
            <w:pPr>
              <w:pStyle w:val="TableText"/>
              <w:numPr>
                <w:ilvl w:val="0"/>
                <w:numId w:val="64"/>
              </w:numPr>
              <w:tabs>
                <w:tab w:val="left" w:pos="696"/>
              </w:tabs>
              <w:ind w:left="1416"/>
            </w:pPr>
            <w:r w:rsidRPr="001A5BC5">
              <w:t>All available units are selectable.</w:t>
            </w:r>
          </w:p>
          <w:p w14:paraId="337C231D" w14:textId="77777777" w:rsidR="00B41BC2" w:rsidRPr="001A5BC5" w:rsidRDefault="00B41BC2" w:rsidP="008D6E9E">
            <w:pPr>
              <w:pStyle w:val="TableText"/>
              <w:tabs>
                <w:tab w:val="left" w:pos="2655"/>
              </w:tabs>
              <w:ind w:left="720"/>
            </w:pPr>
            <w:r w:rsidRPr="001A5BC5">
              <w:t>For OTHER order:</w:t>
            </w:r>
            <w:r w:rsidRPr="001A5BC5">
              <w:tab/>
            </w:r>
          </w:p>
          <w:p w14:paraId="3C5BD166" w14:textId="77777777" w:rsidR="00B41BC2" w:rsidRPr="001A5BC5" w:rsidRDefault="00B41BC2" w:rsidP="00925CAD">
            <w:pPr>
              <w:pStyle w:val="TableText"/>
              <w:numPr>
                <w:ilvl w:val="0"/>
                <w:numId w:val="64"/>
              </w:numPr>
              <w:tabs>
                <w:tab w:val="left" w:pos="696"/>
              </w:tabs>
              <w:ind w:left="1416"/>
            </w:pPr>
            <w:r w:rsidRPr="001A5BC5">
              <w:t>All units with &lt; 2 mL RBC contamination are available</w:t>
            </w:r>
          </w:p>
          <w:p w14:paraId="297D02EF" w14:textId="77777777" w:rsidR="00B41BC2" w:rsidRPr="001A5BC5" w:rsidRDefault="00B41BC2" w:rsidP="00925CAD">
            <w:pPr>
              <w:pStyle w:val="TableText"/>
              <w:numPr>
                <w:ilvl w:val="0"/>
                <w:numId w:val="64"/>
              </w:numPr>
              <w:tabs>
                <w:tab w:val="left" w:pos="696"/>
              </w:tabs>
              <w:ind w:left="1416"/>
            </w:pPr>
            <w:r w:rsidRPr="001A5BC5">
              <w:t xml:space="preserve">Units with </w:t>
            </w:r>
            <w:r w:rsidRPr="001A5BC5">
              <w:rPr>
                <w:u w:val="single"/>
              </w:rPr>
              <w:t>&gt;</w:t>
            </w:r>
            <w:r w:rsidRPr="001A5BC5">
              <w:t xml:space="preserve"> 2 mL RBC contamination are not available</w:t>
            </w:r>
          </w:p>
          <w:p w14:paraId="3BE64C3D" w14:textId="77777777" w:rsidR="002A21AE" w:rsidRDefault="002A21AE" w:rsidP="00B41BC2">
            <w:pPr>
              <w:pStyle w:val="NotesTextBullet"/>
              <w:numPr>
                <w:ilvl w:val="0"/>
                <w:numId w:val="0"/>
              </w:numPr>
            </w:pPr>
          </w:p>
        </w:tc>
      </w:tr>
      <w:tr w:rsidR="002A21AE" w14:paraId="041DFC04" w14:textId="77777777">
        <w:tc>
          <w:tcPr>
            <w:tcW w:w="3240" w:type="dxa"/>
          </w:tcPr>
          <w:p w14:paraId="75363FFE" w14:textId="77777777" w:rsidR="00234D60" w:rsidRDefault="002A21AE" w:rsidP="00234D60">
            <w:pPr>
              <w:pStyle w:val="TableTextNumbers"/>
            </w:pPr>
            <w:r>
              <w:lastRenderedPageBreak/>
              <w:t>Scan</w:t>
            </w:r>
            <w:r w:rsidR="00B97587">
              <w:t xml:space="preserve">, </w:t>
            </w:r>
            <w:r w:rsidR="00234D60">
              <w:t>enter</w:t>
            </w:r>
            <w:r>
              <w:t xml:space="preserve"> or </w:t>
            </w:r>
            <w:r w:rsidR="00234D60">
              <w:t xml:space="preserve">select </w:t>
            </w:r>
            <w:r w:rsidR="00B97587" w:rsidRPr="00905C47">
              <w:rPr>
                <w:b/>
              </w:rPr>
              <w:t>*</w:t>
            </w:r>
            <w:r>
              <w:t>allogeneic units</w:t>
            </w:r>
            <w:r w:rsidR="00234D60">
              <w:t xml:space="preserve">. Units may be selected from the </w:t>
            </w:r>
            <w:r>
              <w:t xml:space="preserve">Order Group </w:t>
            </w:r>
            <w:r w:rsidR="0006424F">
              <w:t xml:space="preserve">tree view </w:t>
            </w:r>
            <w:r w:rsidR="00D509C6">
              <w:t xml:space="preserve">or </w:t>
            </w:r>
            <w:r w:rsidR="00234D60">
              <w:t>by clicking</w:t>
            </w:r>
            <w:r w:rsidR="00D509C6">
              <w:t xml:space="preserve"> the </w:t>
            </w:r>
            <w:r w:rsidR="00A6373D">
              <w:rPr>
                <w:b/>
              </w:rPr>
              <w:t>find</w:t>
            </w:r>
            <w:r w:rsidR="00D509C6" w:rsidRPr="00D509C6">
              <w:rPr>
                <w:b/>
              </w:rPr>
              <w:t xml:space="preserve"> </w:t>
            </w:r>
            <w:r w:rsidR="00D509C6" w:rsidRPr="00D1100E">
              <w:t>button</w:t>
            </w:r>
            <w:r w:rsidR="0006424F">
              <w:t xml:space="preserve"> for a list of compatible units</w:t>
            </w:r>
            <w:r>
              <w:t>.</w:t>
            </w:r>
          </w:p>
          <w:p w14:paraId="3D41E0D2" w14:textId="77777777" w:rsidR="00234D60" w:rsidRDefault="00234D60">
            <w:pPr>
              <w:pStyle w:val="TableTextNumbersContinued"/>
              <w:rPr>
                <w:b/>
              </w:rPr>
            </w:pPr>
          </w:p>
          <w:p w14:paraId="235AA159" w14:textId="77777777" w:rsidR="002A21AE" w:rsidRDefault="00234D60">
            <w:pPr>
              <w:pStyle w:val="TableTextNumbersContinued"/>
            </w:pPr>
            <w:r w:rsidRPr="00905C47">
              <w:rPr>
                <w:b/>
              </w:rPr>
              <w:t>*</w:t>
            </w:r>
            <w:r w:rsidR="003A514F">
              <w:t xml:space="preserve"> when typing in a</w:t>
            </w:r>
            <w:r>
              <w:t xml:space="preserve"> unit ID and Product Code, use the tab key or </w:t>
            </w:r>
            <w:r w:rsidR="0006424F">
              <w:t>mouse to leave the field.</w:t>
            </w:r>
          </w:p>
          <w:p w14:paraId="66EC8AA1" w14:textId="77777777" w:rsidR="0006424F" w:rsidRDefault="0006424F">
            <w:pPr>
              <w:pStyle w:val="TableTextNumbersContinued"/>
            </w:pPr>
          </w:p>
          <w:p w14:paraId="1B8F1E47" w14:textId="77777777" w:rsidR="002A21AE" w:rsidRDefault="002A21AE">
            <w:pPr>
              <w:pStyle w:val="TableTextNumbersContinued"/>
            </w:pPr>
            <w:r>
              <w:t>Enter or select a date in the Selection Date field.</w:t>
            </w:r>
            <w:r w:rsidR="00731BFF">
              <w:t xml:space="preserve"> </w:t>
            </w:r>
            <w:r>
              <w:t>Each unit may have its own selection date and time.</w:t>
            </w:r>
          </w:p>
          <w:p w14:paraId="5C8950D3" w14:textId="77777777" w:rsidR="002A21AE" w:rsidRDefault="002A21AE">
            <w:pPr>
              <w:pStyle w:val="TableTextNumbersContinued"/>
            </w:pPr>
          </w:p>
          <w:p w14:paraId="1AEE8FFD" w14:textId="77777777" w:rsidR="002A21AE" w:rsidRDefault="002A21AE">
            <w:pPr>
              <w:pStyle w:val="TableTextNumbersContinued"/>
            </w:pPr>
            <w:r>
              <w:t xml:space="preserve">Click </w:t>
            </w:r>
            <w:r>
              <w:rPr>
                <w:b/>
              </w:rPr>
              <w:t>Add Units</w:t>
            </w:r>
            <w:r>
              <w:t xml:space="preserve"> to display the unit selection form.</w:t>
            </w:r>
          </w:p>
          <w:p w14:paraId="4D168E83" w14:textId="77777777" w:rsidR="00B97587" w:rsidRDefault="00B97587">
            <w:pPr>
              <w:pStyle w:val="TableTextNumbersContinued"/>
            </w:pPr>
          </w:p>
          <w:p w14:paraId="75661ADE" w14:textId="77777777" w:rsidR="00B97587" w:rsidRDefault="00B97587">
            <w:pPr>
              <w:pStyle w:val="TableTextNumbersContinued"/>
            </w:pPr>
          </w:p>
          <w:p w14:paraId="6921AA56" w14:textId="77777777" w:rsidR="00B97587" w:rsidRDefault="00EB00A3">
            <w:pPr>
              <w:pStyle w:val="TableTextNumbersContinued"/>
            </w:pPr>
            <w:r w:rsidRPr="00EB00A3">
              <w:rPr>
                <w:vanish/>
              </w:rPr>
              <w:t>DR 4414</w:t>
            </w:r>
          </w:p>
        </w:tc>
        <w:tc>
          <w:tcPr>
            <w:tcW w:w="6120" w:type="dxa"/>
          </w:tcPr>
          <w:p w14:paraId="4B909077" w14:textId="77777777" w:rsidR="002A21AE" w:rsidRPr="00710E7E" w:rsidRDefault="002A21AE" w:rsidP="007C4707">
            <w:pPr>
              <w:pStyle w:val="TableTextBullet"/>
            </w:pPr>
            <w:r w:rsidRPr="00710E7E">
              <w:t>Maintains a list of selected units. The user may deselect selected units.</w:t>
            </w:r>
          </w:p>
          <w:p w14:paraId="0402FC4D" w14:textId="77777777" w:rsidR="002A21AE" w:rsidRPr="00710E7E" w:rsidRDefault="002A21AE" w:rsidP="007C4707">
            <w:pPr>
              <w:pStyle w:val="TableTextBullet"/>
            </w:pPr>
            <w:r w:rsidRPr="00710E7E">
              <w:t>Evaluates the selected unit:</w:t>
            </w:r>
          </w:p>
          <w:p w14:paraId="0195CC00" w14:textId="77777777" w:rsidR="002A21AE" w:rsidRPr="007C4707" w:rsidRDefault="002A21AE" w:rsidP="007C4707">
            <w:pPr>
              <w:pStyle w:val="TableTextBullet1"/>
            </w:pPr>
            <w:r w:rsidRPr="007C4707">
              <w:t>For the ABO/Rh compatibility of each unit and warns the user.</w:t>
            </w:r>
          </w:p>
          <w:p w14:paraId="6ABFCE0D" w14:textId="77777777" w:rsidR="002A21AE" w:rsidRPr="007C4707" w:rsidRDefault="002A21AE" w:rsidP="007C4707">
            <w:pPr>
              <w:pStyle w:val="TableTextBullet1"/>
            </w:pPr>
            <w:r w:rsidRPr="007C4707">
              <w:t>Against patient Transfusion Requirements (TRs) and warns the user.</w:t>
            </w:r>
          </w:p>
          <w:p w14:paraId="5B50AF73" w14:textId="77777777" w:rsidR="002A21AE" w:rsidRPr="00710E7E" w:rsidRDefault="002A21AE" w:rsidP="007C4707">
            <w:pPr>
              <w:pStyle w:val="TableTextBullet1"/>
            </w:pPr>
            <w:r w:rsidRPr="007C4707">
              <w:t>For uni</w:t>
            </w:r>
            <w:r w:rsidRPr="00710E7E">
              <w:t>t antigen negative compatibility and warns the user.</w:t>
            </w:r>
          </w:p>
          <w:p w14:paraId="4167B534" w14:textId="77777777" w:rsidR="002A21AE" w:rsidRPr="00710E7E" w:rsidRDefault="002A21AE" w:rsidP="007C4707">
            <w:pPr>
              <w:pStyle w:val="TableTextBullet"/>
            </w:pPr>
            <w:r w:rsidRPr="00710E7E">
              <w:t>Performs additional checks that include days remaining until the unit’s expiration date, the current status, assignments to other patients, quarantine and biohazard indicators, when applied, and associated special testing.</w:t>
            </w:r>
          </w:p>
          <w:p w14:paraId="429F7158" w14:textId="77777777" w:rsidR="002A21AE" w:rsidRPr="00710E7E" w:rsidRDefault="002A21AE">
            <w:pPr>
              <w:pStyle w:val="TableText"/>
              <w:rPr>
                <w:i/>
              </w:rPr>
            </w:pPr>
          </w:p>
          <w:p w14:paraId="79CC148F" w14:textId="2BCDC6B5" w:rsidR="002A21AE" w:rsidRPr="00710E7E" w:rsidRDefault="002A21AE">
            <w:pPr>
              <w:pStyle w:val="TableText"/>
              <w:rPr>
                <w:b/>
                <w:bCs/>
                <w:i/>
                <w:szCs w:val="18"/>
              </w:rPr>
            </w:pPr>
            <w:r w:rsidRPr="00710E7E">
              <w:rPr>
                <w:b/>
                <w:bCs/>
                <w:i/>
                <w:szCs w:val="18"/>
              </w:rPr>
              <w:t>NOTES</w:t>
            </w:r>
          </w:p>
          <w:p w14:paraId="253D98C1" w14:textId="77777777" w:rsidR="002A21AE" w:rsidRPr="00710E7E" w:rsidRDefault="002A21AE">
            <w:pPr>
              <w:pStyle w:val="NotesText"/>
              <w:rPr>
                <w:i/>
              </w:rPr>
            </w:pPr>
          </w:p>
          <w:p w14:paraId="4719DFAE" w14:textId="5B2268AC" w:rsidR="002A21AE" w:rsidRPr="00710E7E" w:rsidRDefault="00896F17">
            <w:pPr>
              <w:pStyle w:val="NotesText"/>
              <w:rPr>
                <w:i/>
              </w:rPr>
            </w:pPr>
            <w:r w:rsidRPr="00D612C6">
              <w:rPr>
                <w:rStyle w:val="BullhornChar"/>
              </w:rPr>
              <w:t></w:t>
            </w:r>
            <w:r w:rsidRPr="00710E7E">
              <w:rPr>
                <w:rFonts w:ascii="Webdings" w:hAnsi="Webdings"/>
                <w:i/>
                <w:szCs w:val="22"/>
              </w:rPr>
              <w:t></w:t>
            </w:r>
            <w:r w:rsidRPr="007C4707">
              <w:t>See</w:t>
            </w:r>
            <w:r w:rsidR="002A21AE" w:rsidRPr="007C4707">
              <w:t xml:space="preserve"> </w:t>
            </w:r>
            <w:r w:rsidR="00EE455E">
              <w:t>Table 6</w:t>
            </w:r>
            <w:r w:rsidR="002A21AE" w:rsidRPr="007C4707">
              <w:t xml:space="preserve"> for alerts that may occur during this option.</w:t>
            </w:r>
          </w:p>
          <w:p w14:paraId="46A6FF8F" w14:textId="77777777" w:rsidR="002A21AE" w:rsidRPr="00710E7E" w:rsidRDefault="002A21AE">
            <w:pPr>
              <w:pStyle w:val="NotesText"/>
              <w:rPr>
                <w:i/>
              </w:rPr>
            </w:pPr>
          </w:p>
          <w:p w14:paraId="0FA6F9A1" w14:textId="77777777" w:rsidR="002A21AE" w:rsidRPr="00710E7E" w:rsidRDefault="00AC6F94">
            <w:pPr>
              <w:pStyle w:val="NotesText"/>
              <w:rPr>
                <w:i/>
              </w:rPr>
            </w:pPr>
            <w:r w:rsidRPr="00710E7E">
              <w:rPr>
                <w:i/>
              </w:rPr>
              <w:t>When the user selects a unit in the tree view, he</w:t>
            </w:r>
            <w:r w:rsidR="002A21AE" w:rsidRPr="00710E7E">
              <w:rPr>
                <w:i/>
              </w:rPr>
              <w:t xml:space="preserve"> may accept or edit the current date and time displayed; the date and time must be in the past. </w:t>
            </w:r>
          </w:p>
          <w:p w14:paraId="13C33F73" w14:textId="77777777" w:rsidR="002A21AE" w:rsidRPr="00710E7E" w:rsidRDefault="002A21AE">
            <w:pPr>
              <w:pStyle w:val="NotesText"/>
              <w:rPr>
                <w:i/>
              </w:rPr>
            </w:pPr>
          </w:p>
          <w:p w14:paraId="4465EDD4" w14:textId="77777777" w:rsidR="002A21AE" w:rsidRPr="007C4707" w:rsidRDefault="002A21AE">
            <w:pPr>
              <w:pStyle w:val="NotesText"/>
            </w:pPr>
            <w:r w:rsidRPr="007C4707">
              <w:rPr>
                <w:rFonts w:cs="Arial"/>
                <w:vanish/>
                <w:szCs w:val="18"/>
              </w:rPr>
              <w:t>BR_3.25</w:t>
            </w:r>
            <w:r w:rsidR="00CE3961" w:rsidRPr="007C4707">
              <w:rPr>
                <w:rFonts w:cs="Arial"/>
                <w:vanish/>
                <w:szCs w:val="18"/>
              </w:rPr>
              <w:t>,</w:t>
            </w:r>
            <w:r w:rsidRPr="007C4707">
              <w:rPr>
                <w:rFonts w:cs="Arial"/>
                <w:vanish/>
                <w:szCs w:val="18"/>
              </w:rPr>
              <w:t xml:space="preserve"> </w:t>
            </w:r>
            <w:r w:rsidRPr="007C4707">
              <w:rPr>
                <w:vanish/>
                <w:szCs w:val="18"/>
              </w:rPr>
              <w:t xml:space="preserve">BR_16.13 </w:t>
            </w:r>
            <w:r w:rsidRPr="007C4707">
              <w:t>Restricted (autologous or directed) unit selection eligibility criteria:</w:t>
            </w:r>
          </w:p>
          <w:p w14:paraId="1561A9B2" w14:textId="77777777" w:rsidR="002A21AE" w:rsidRPr="007C4707" w:rsidRDefault="002A21AE">
            <w:pPr>
              <w:pStyle w:val="NotesTextBullet"/>
            </w:pPr>
            <w:r w:rsidRPr="007C4707">
              <w:t>Restricted For Patient ID: must match</w:t>
            </w:r>
          </w:p>
          <w:p w14:paraId="5EB7D6AC" w14:textId="77777777" w:rsidR="002A21AE" w:rsidRPr="007C4707" w:rsidRDefault="002A21AE">
            <w:pPr>
              <w:pStyle w:val="NotesTextBullet"/>
            </w:pPr>
            <w:r w:rsidRPr="007C4707">
              <w:t>Restricted For Patient Name: must match</w:t>
            </w:r>
          </w:p>
          <w:p w14:paraId="4DB3697D" w14:textId="77777777" w:rsidR="002A21AE" w:rsidRPr="007C4707" w:rsidRDefault="002A21AE">
            <w:pPr>
              <w:pStyle w:val="NotesTextBullet"/>
            </w:pPr>
            <w:r w:rsidRPr="007C4707">
              <w:t xml:space="preserve">Unit expiration date must be in the future. </w:t>
            </w:r>
          </w:p>
          <w:p w14:paraId="76E2B48D" w14:textId="77777777" w:rsidR="002A21AE" w:rsidRPr="007C4707" w:rsidRDefault="002A21AE">
            <w:pPr>
              <w:pStyle w:val="NotesTextBullet"/>
            </w:pPr>
            <w:r w:rsidRPr="007C4707">
              <w:t>Component class (transfusion only requires restriction of all units)</w:t>
            </w:r>
          </w:p>
          <w:p w14:paraId="723584BF" w14:textId="77777777" w:rsidR="002A21AE" w:rsidRPr="007C4707" w:rsidRDefault="002A21AE">
            <w:pPr>
              <w:pStyle w:val="NotesTextBullet"/>
              <w:numPr>
                <w:ilvl w:val="0"/>
                <w:numId w:val="0"/>
              </w:numPr>
              <w:ind w:left="720"/>
            </w:pPr>
          </w:p>
          <w:p w14:paraId="0A329996" w14:textId="77777777" w:rsidR="002A21AE" w:rsidRPr="007C4707" w:rsidRDefault="002A21AE">
            <w:pPr>
              <w:pStyle w:val="NotesText"/>
            </w:pPr>
            <w:r w:rsidRPr="007C4707">
              <w:rPr>
                <w:rFonts w:cs="Arial"/>
                <w:vanish/>
              </w:rPr>
              <w:t xml:space="preserve">BR_3.19 </w:t>
            </w:r>
            <w:r w:rsidRPr="007C4707">
              <w:t>The criteria for selecting or including an individual unit in a pick list include evaluating a unit for:</w:t>
            </w:r>
          </w:p>
          <w:p w14:paraId="523ACF41" w14:textId="77777777" w:rsidR="002A21AE" w:rsidRPr="007C4707" w:rsidRDefault="002A21AE">
            <w:pPr>
              <w:pStyle w:val="NotesTextBullet"/>
            </w:pPr>
            <w:r w:rsidRPr="007C4707">
              <w:t>Considered substitutable for the order</w:t>
            </w:r>
          </w:p>
          <w:p w14:paraId="352DE08F" w14:textId="77777777" w:rsidR="002A21AE" w:rsidRPr="007C4707" w:rsidRDefault="002A21AE">
            <w:pPr>
              <w:pStyle w:val="NotesTextBullet"/>
            </w:pPr>
            <w:r w:rsidRPr="007C4707">
              <w:t>Same division as the user</w:t>
            </w:r>
          </w:p>
          <w:p w14:paraId="3C0C8FA9" w14:textId="77777777" w:rsidR="002A21AE" w:rsidRPr="007C4707" w:rsidRDefault="002A21AE">
            <w:pPr>
              <w:pStyle w:val="NotesTextBullet"/>
            </w:pPr>
            <w:r w:rsidRPr="007C4707">
              <w:t xml:space="preserve">Current location is in the blood bank </w:t>
            </w:r>
          </w:p>
          <w:p w14:paraId="40C93BAF" w14:textId="77777777" w:rsidR="002A21AE" w:rsidRPr="007C4707" w:rsidRDefault="002A21AE">
            <w:pPr>
              <w:pStyle w:val="NotesTextBullet"/>
            </w:pPr>
            <w:r w:rsidRPr="007C4707">
              <w:t>Is not already assigned or crossmatched to the patient</w:t>
            </w:r>
          </w:p>
          <w:p w14:paraId="03037142" w14:textId="77777777" w:rsidR="002A21AE" w:rsidRPr="007C4707" w:rsidRDefault="002A21AE">
            <w:pPr>
              <w:pStyle w:val="NotesTextBullet"/>
            </w:pPr>
            <w:r w:rsidRPr="007C4707">
              <w:lastRenderedPageBreak/>
              <w:t>Is not “restricted” for a different patient</w:t>
            </w:r>
          </w:p>
          <w:p w14:paraId="361CABCC" w14:textId="77777777" w:rsidR="002A21AE" w:rsidRPr="007C4707" w:rsidRDefault="002A21AE">
            <w:pPr>
              <w:pStyle w:val="NotesTextBullet"/>
            </w:pPr>
            <w:r w:rsidRPr="007C4707">
              <w:t xml:space="preserve">Meets ABO/Rh compatibility requirements specific to the component class </w:t>
            </w:r>
          </w:p>
          <w:p w14:paraId="04F77B25" w14:textId="77777777" w:rsidR="002A21AE" w:rsidRPr="007C4707" w:rsidRDefault="002A21AE">
            <w:pPr>
              <w:pStyle w:val="NotesTextBullet"/>
            </w:pPr>
            <w:r w:rsidRPr="007C4707">
              <w:t>Future expiration date</w:t>
            </w:r>
          </w:p>
          <w:p w14:paraId="253BF03E" w14:textId="77777777" w:rsidR="002A21AE" w:rsidRPr="007C4707" w:rsidRDefault="002A21AE">
            <w:pPr>
              <w:pStyle w:val="NotesText"/>
            </w:pPr>
          </w:p>
          <w:p w14:paraId="077C3E0A" w14:textId="77777777" w:rsidR="002A21AE" w:rsidRDefault="002A21AE">
            <w:pPr>
              <w:pStyle w:val="NotesText"/>
              <w:rPr>
                <w:vanish/>
              </w:rPr>
            </w:pPr>
            <w:r w:rsidRPr="007C4707">
              <w:rPr>
                <w:rFonts w:cs="Arial"/>
                <w:vanish/>
              </w:rPr>
              <w:t xml:space="preserve">BR_3.04 </w:t>
            </w:r>
            <w:r w:rsidR="00332E10">
              <w:t xml:space="preserve">VBECS lists only ABO and </w:t>
            </w:r>
            <w:r w:rsidRPr="007C4707">
              <w:t>Rh compatible units for selection.</w:t>
            </w:r>
            <w:r w:rsidR="00EB00A3">
              <w:t xml:space="preserve"> </w:t>
            </w:r>
            <w:r w:rsidR="00973AD0">
              <w:t xml:space="preserve">The “select units” utility creates a system-generated pick list that is sorted and displayed using the following criteria: first, ABO/Rh identical, then expiration date (oldest units first); then, ABO/Rh compatible. </w:t>
            </w:r>
            <w:r w:rsidR="00EB00A3" w:rsidRPr="00EB00A3">
              <w:rPr>
                <w:vanish/>
              </w:rPr>
              <w:t>DR 4414</w:t>
            </w:r>
          </w:p>
          <w:p w14:paraId="4464ABFF" w14:textId="77777777" w:rsidR="0068309D" w:rsidRDefault="0068309D">
            <w:pPr>
              <w:pStyle w:val="NotesText"/>
              <w:rPr>
                <w:i/>
              </w:rPr>
            </w:pPr>
          </w:p>
          <w:p w14:paraId="65272F79" w14:textId="77777777" w:rsidR="0068309D" w:rsidRDefault="0068309D">
            <w:pPr>
              <w:pStyle w:val="NotesText"/>
              <w:rPr>
                <w:i/>
              </w:rPr>
            </w:pPr>
          </w:p>
          <w:p w14:paraId="2B552CFE" w14:textId="77777777" w:rsidR="0068309D" w:rsidRDefault="000150E9">
            <w:pPr>
              <w:pStyle w:val="NotesText"/>
            </w:pPr>
            <w:r w:rsidRPr="000150E9">
              <w:rPr>
                <w:vanish/>
              </w:rPr>
              <w:t xml:space="preserve">BR_3.04 </w:t>
            </w:r>
            <w:r w:rsidR="0068309D" w:rsidRPr="0068309D">
              <w:t>Th</w:t>
            </w:r>
            <w:r w:rsidR="005246E0">
              <w:t>e p</w:t>
            </w:r>
            <w:r w:rsidR="0068309D" w:rsidRPr="0068309D">
              <w:t xml:space="preserve">ick list </w:t>
            </w:r>
            <w:r>
              <w:t>or individually selected unit field display includes:</w:t>
            </w:r>
          </w:p>
          <w:p w14:paraId="7DABE5A9" w14:textId="77777777" w:rsidR="0068309D" w:rsidRDefault="000A70BE" w:rsidP="0068309D">
            <w:pPr>
              <w:pStyle w:val="NotesTextBullet"/>
            </w:pPr>
            <w:r>
              <w:t>Unit ID</w:t>
            </w:r>
          </w:p>
          <w:p w14:paraId="469678FC" w14:textId="77777777" w:rsidR="000A70BE" w:rsidRDefault="000A70BE" w:rsidP="0068309D">
            <w:pPr>
              <w:pStyle w:val="NotesTextBullet"/>
            </w:pPr>
            <w:r>
              <w:t>Product Short Name</w:t>
            </w:r>
          </w:p>
          <w:p w14:paraId="15AC274D" w14:textId="77777777" w:rsidR="000A70BE" w:rsidRDefault="000A70BE" w:rsidP="0068309D">
            <w:pPr>
              <w:pStyle w:val="NotesTextBullet"/>
            </w:pPr>
            <w:r>
              <w:t>ABO/Rh</w:t>
            </w:r>
          </w:p>
          <w:p w14:paraId="086C80F4" w14:textId="77777777" w:rsidR="000A70BE" w:rsidRDefault="000A70BE" w:rsidP="0068309D">
            <w:pPr>
              <w:pStyle w:val="NotesTextBullet"/>
            </w:pPr>
            <w:r>
              <w:t>Expiration Date</w:t>
            </w:r>
          </w:p>
          <w:p w14:paraId="459BCB29" w14:textId="77777777" w:rsidR="000A70BE" w:rsidRDefault="000A70BE" w:rsidP="0068309D">
            <w:pPr>
              <w:pStyle w:val="NotesTextBullet"/>
            </w:pPr>
            <w:r>
              <w:t>Unit Status</w:t>
            </w:r>
          </w:p>
          <w:p w14:paraId="04CDB86B" w14:textId="77777777" w:rsidR="000A70BE" w:rsidRDefault="000A70BE" w:rsidP="0068309D">
            <w:pPr>
              <w:pStyle w:val="NotesTextBullet"/>
            </w:pPr>
            <w:r>
              <w:t>Donation Type</w:t>
            </w:r>
          </w:p>
          <w:p w14:paraId="63289026" w14:textId="77777777" w:rsidR="0068309D" w:rsidRDefault="0064284B" w:rsidP="0064284B">
            <w:pPr>
              <w:pStyle w:val="NotesTextBullet"/>
            </w:pPr>
            <w:r>
              <w:t>Restricted for Patient Name and ID</w:t>
            </w:r>
          </w:p>
          <w:p w14:paraId="262EF33F" w14:textId="77777777" w:rsidR="0064284B" w:rsidRDefault="0064284B" w:rsidP="0064284B">
            <w:pPr>
              <w:pStyle w:val="NotesTextBullet"/>
            </w:pPr>
            <w:r>
              <w:t>Patient Assigned (if unit assigned to other patient but with location of blood bank)</w:t>
            </w:r>
          </w:p>
          <w:p w14:paraId="723691DF" w14:textId="77777777" w:rsidR="0064284B" w:rsidRDefault="0064284B" w:rsidP="0064284B">
            <w:pPr>
              <w:pStyle w:val="NotesTextBullet"/>
            </w:pPr>
            <w:r>
              <w:t>Antigen Type Results (if available)</w:t>
            </w:r>
          </w:p>
          <w:p w14:paraId="32871DFC" w14:textId="77777777" w:rsidR="002A21AE" w:rsidRPr="00710E7E" w:rsidRDefault="002A21AE">
            <w:pPr>
              <w:pStyle w:val="NotesText"/>
              <w:rPr>
                <w:i/>
              </w:rPr>
            </w:pPr>
          </w:p>
          <w:p w14:paraId="04961DB3" w14:textId="77777777" w:rsidR="002A21AE" w:rsidRPr="007C4707" w:rsidRDefault="002A21AE">
            <w:pPr>
              <w:pStyle w:val="NotesText"/>
            </w:pPr>
            <w:r w:rsidRPr="00166C27">
              <w:rPr>
                <w:rFonts w:cs="Arial"/>
                <w:vanish/>
              </w:rPr>
              <w:t xml:space="preserve">BR_3.11 </w:t>
            </w:r>
            <w:r w:rsidRPr="00166C27">
              <w:t>When ABO/Rh results were not created for the specimen associated with the component order and the order is not designated</w:t>
            </w:r>
            <w:r w:rsidRPr="007C4707">
              <w:t xml:space="preserve"> “emergency issue,” VBECS allows the user to select units using historic records, and notifies the user that ABO/Rh testing must be performed at this division on this patient before any selected units can be issued.</w:t>
            </w:r>
          </w:p>
          <w:p w14:paraId="0DFE04A4" w14:textId="77777777" w:rsidR="002A21AE" w:rsidRPr="007C4707" w:rsidRDefault="002A21AE">
            <w:pPr>
              <w:pStyle w:val="NotesText"/>
            </w:pPr>
          </w:p>
          <w:p w14:paraId="6504CC49" w14:textId="77777777" w:rsidR="002A21AE" w:rsidRPr="00710E7E" w:rsidRDefault="002A21AE">
            <w:pPr>
              <w:pStyle w:val="NotesText"/>
              <w:rPr>
                <w:i/>
              </w:rPr>
            </w:pPr>
            <w:r w:rsidRPr="007C4707">
              <w:rPr>
                <w:rFonts w:cs="Arial"/>
                <w:vanish/>
              </w:rPr>
              <w:t xml:space="preserve">BR_3.55 </w:t>
            </w:r>
            <w:r w:rsidRPr="007C4707">
              <w:t>VBECS displays and allows the user to complete a pending XM associated with a patient order without a final unit status.</w:t>
            </w:r>
          </w:p>
        </w:tc>
      </w:tr>
      <w:tr w:rsidR="002A21AE" w14:paraId="112CADBC" w14:textId="77777777">
        <w:tc>
          <w:tcPr>
            <w:tcW w:w="3240" w:type="dxa"/>
          </w:tcPr>
          <w:p w14:paraId="0D59E3B9" w14:textId="77777777" w:rsidR="002A21AE" w:rsidRDefault="002A21AE" w:rsidP="001F6038">
            <w:pPr>
              <w:pStyle w:val="TableTextNumbers"/>
            </w:pPr>
            <w:r>
              <w:lastRenderedPageBreak/>
              <w:t xml:space="preserve">Repeat Step </w:t>
            </w:r>
            <w:r w:rsidR="001F6038">
              <w:t>10</w:t>
            </w:r>
            <w:r>
              <w:t xml:space="preserve"> until all units are selected.</w:t>
            </w:r>
            <w:r w:rsidR="00EB00A3">
              <w:t xml:space="preserve"> </w:t>
            </w:r>
            <w:r w:rsidR="00EB00A3" w:rsidRPr="00EB00A3">
              <w:rPr>
                <w:vanish/>
              </w:rPr>
              <w:t>DR 4414</w:t>
            </w:r>
          </w:p>
        </w:tc>
        <w:tc>
          <w:tcPr>
            <w:tcW w:w="6120" w:type="dxa"/>
          </w:tcPr>
          <w:p w14:paraId="4C81E182" w14:textId="77777777" w:rsidR="002A21AE" w:rsidRDefault="002A21AE">
            <w:pPr>
              <w:pStyle w:val="TableTextBullet"/>
            </w:pPr>
            <w:r>
              <w:t>Requests the user to confirm the list of selected blood units.</w:t>
            </w:r>
          </w:p>
          <w:p w14:paraId="2DB525FF" w14:textId="77777777" w:rsidR="002A21AE" w:rsidRDefault="002A21AE">
            <w:pPr>
              <w:pStyle w:val="TableText"/>
            </w:pPr>
          </w:p>
          <w:p w14:paraId="197F8573" w14:textId="104CE56C" w:rsidR="002A21AE" w:rsidRDefault="002A21AE">
            <w:pPr>
              <w:pStyle w:val="TableText"/>
              <w:rPr>
                <w:b/>
                <w:bCs/>
                <w:szCs w:val="18"/>
              </w:rPr>
            </w:pPr>
            <w:r>
              <w:rPr>
                <w:b/>
                <w:bCs/>
                <w:szCs w:val="18"/>
              </w:rPr>
              <w:t>NOTES</w:t>
            </w:r>
          </w:p>
          <w:p w14:paraId="4C2F5023" w14:textId="77777777" w:rsidR="002A21AE" w:rsidRDefault="002A21AE">
            <w:pPr>
              <w:pStyle w:val="NotesText"/>
            </w:pPr>
          </w:p>
          <w:p w14:paraId="4E2233DE" w14:textId="77777777" w:rsidR="002A21AE" w:rsidRDefault="002A21AE">
            <w:pPr>
              <w:pStyle w:val="NotesText"/>
            </w:pPr>
            <w:r>
              <w:t>The user may select or deselect additional units.</w:t>
            </w:r>
          </w:p>
        </w:tc>
      </w:tr>
      <w:tr w:rsidR="002A21AE" w14:paraId="5F5A8C1D" w14:textId="77777777" w:rsidTr="001A459B">
        <w:trPr>
          <w:cantSplit/>
        </w:trPr>
        <w:tc>
          <w:tcPr>
            <w:tcW w:w="3240" w:type="dxa"/>
          </w:tcPr>
          <w:p w14:paraId="7A11AFDA" w14:textId="77777777" w:rsidR="002A21AE" w:rsidRDefault="002A21AE">
            <w:pPr>
              <w:pStyle w:val="TableTextNumbers"/>
            </w:pPr>
            <w:r>
              <w:t xml:space="preserve">Click </w:t>
            </w:r>
            <w:r>
              <w:rPr>
                <w:b/>
              </w:rPr>
              <w:t>OK</w:t>
            </w:r>
            <w:r>
              <w:t xml:space="preserve"> to confirm the selection of units.</w:t>
            </w:r>
          </w:p>
        </w:tc>
        <w:tc>
          <w:tcPr>
            <w:tcW w:w="6120" w:type="dxa"/>
          </w:tcPr>
          <w:p w14:paraId="139444FF" w14:textId="77777777" w:rsidR="002A21AE" w:rsidRDefault="002A21AE">
            <w:pPr>
              <w:pStyle w:val="TableTextBullet"/>
            </w:pPr>
            <w:r>
              <w:t xml:space="preserve">Determines whether the units are available for issue or whether they require additional modification and/or testing based on the component class. </w:t>
            </w:r>
          </w:p>
          <w:p w14:paraId="3A27956C" w14:textId="77777777" w:rsidR="002A21AE" w:rsidRDefault="002A21AE">
            <w:pPr>
              <w:pStyle w:val="TableTextBullet"/>
            </w:pPr>
            <w:r>
              <w:t>Updates the database, as appropriate.</w:t>
            </w:r>
          </w:p>
          <w:p w14:paraId="1B9C1F36" w14:textId="77777777" w:rsidR="001A3140" w:rsidRDefault="001A3140" w:rsidP="001A3140">
            <w:pPr>
              <w:pStyle w:val="TableTextBullet"/>
            </w:pPr>
            <w:r>
              <w:rPr>
                <w:rFonts w:cs="Arial"/>
                <w:szCs w:val="18"/>
              </w:rPr>
              <w:t>S</w:t>
            </w:r>
            <w:r w:rsidRPr="00CA212C">
              <w:rPr>
                <w:rFonts w:cs="Arial"/>
                <w:szCs w:val="18"/>
              </w:rPr>
              <w:t>ends</w:t>
            </w:r>
            <w:r>
              <w:rPr>
                <w:rFonts w:cs="Arial"/>
                <w:szCs w:val="18"/>
              </w:rPr>
              <w:t xml:space="preserve"> </w:t>
            </w:r>
            <w:r w:rsidRPr="00CA212C">
              <w:rPr>
                <w:rFonts w:cs="Arial"/>
                <w:szCs w:val="18"/>
              </w:rPr>
              <w:t>selected blood unit</w:t>
            </w:r>
            <w:r>
              <w:rPr>
                <w:rFonts w:cs="Arial"/>
                <w:szCs w:val="18"/>
              </w:rPr>
              <w:t>s</w:t>
            </w:r>
            <w:r w:rsidRPr="00CA212C">
              <w:rPr>
                <w:rFonts w:cs="Arial"/>
                <w:szCs w:val="18"/>
              </w:rPr>
              <w:t xml:space="preserve"> with patient details to the BCE COTS system via an HL7 message</w:t>
            </w:r>
            <w:r w:rsidR="005246E0">
              <w:rPr>
                <w:rFonts w:cs="Arial"/>
                <w:szCs w:val="18"/>
              </w:rPr>
              <w:t xml:space="preserve"> when that BCE COTS is available</w:t>
            </w:r>
            <w:r>
              <w:rPr>
                <w:rFonts w:cs="Arial"/>
                <w:szCs w:val="18"/>
              </w:rPr>
              <w:t>.</w:t>
            </w:r>
          </w:p>
          <w:p w14:paraId="4F661F53" w14:textId="77777777" w:rsidR="002A21AE" w:rsidRDefault="002A21AE">
            <w:pPr>
              <w:pStyle w:val="TableText"/>
            </w:pPr>
          </w:p>
          <w:p w14:paraId="1BCCA2A6" w14:textId="710A27A3" w:rsidR="002A21AE" w:rsidRDefault="002A21AE">
            <w:pPr>
              <w:pStyle w:val="TableText"/>
              <w:rPr>
                <w:b/>
                <w:bCs/>
                <w:szCs w:val="18"/>
              </w:rPr>
            </w:pPr>
            <w:r>
              <w:rPr>
                <w:b/>
                <w:bCs/>
                <w:szCs w:val="18"/>
              </w:rPr>
              <w:t>NOTES</w:t>
            </w:r>
          </w:p>
          <w:p w14:paraId="14887893" w14:textId="5E2CA1C1" w:rsidR="002A21AE" w:rsidRPr="00F83540" w:rsidRDefault="00F83540" w:rsidP="00026F72">
            <w:pPr>
              <w:pStyle w:val="NotesText"/>
            </w:pPr>
            <w:r w:rsidRPr="00F83540">
              <w:rPr>
                <w:vanish/>
              </w:rPr>
              <w:t xml:space="preserve">BR_56.31 </w:t>
            </w:r>
            <w:r w:rsidRPr="00F83540">
              <w:t xml:space="preserve">When the </w:t>
            </w:r>
            <w:r>
              <w:t xml:space="preserve">total </w:t>
            </w:r>
            <w:r w:rsidRPr="00F83540">
              <w:t>number of blood units eligible for issue, issued</w:t>
            </w:r>
            <w:r>
              <w:t xml:space="preserve">, </w:t>
            </w:r>
            <w:r w:rsidRPr="00F83540">
              <w:t xml:space="preserve">or transfused </w:t>
            </w:r>
            <w:r>
              <w:t xml:space="preserve">is </w:t>
            </w:r>
            <w:r w:rsidRPr="00F83540">
              <w:t>greater or equal</w:t>
            </w:r>
            <w:r>
              <w:t xml:space="preserve"> to the number of ordered units, VBECS sends an order</w:t>
            </w:r>
            <w:r w:rsidRPr="00F83540">
              <w:t xml:space="preserve"> completion message to CPRS.</w:t>
            </w:r>
          </w:p>
          <w:p w14:paraId="528650B4" w14:textId="77777777" w:rsidR="00F83540" w:rsidRDefault="00F83540">
            <w:pPr>
              <w:pStyle w:val="NotesText"/>
            </w:pPr>
          </w:p>
          <w:p w14:paraId="05D2F72A" w14:textId="3C6BA7B2" w:rsidR="002A21AE" w:rsidRDefault="00896F17">
            <w:pPr>
              <w:pStyle w:val="NotesText"/>
              <w:rPr>
                <w:rFonts w:cs="Arial"/>
                <w:szCs w:val="22"/>
              </w:rPr>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EE455E">
              <w:t xml:space="preserve">Table </w:t>
            </w:r>
            <w:r w:rsidR="00EE455E">
              <w:rPr>
                <w:noProof/>
              </w:rPr>
              <w:t>6</w:t>
            </w:r>
            <w:r w:rsidR="002A21AE">
              <w:rPr>
                <w:rFonts w:cs="Arial"/>
                <w:szCs w:val="22"/>
              </w:rPr>
              <w:t xml:space="preserve"> for alerts that may occur during this option.</w:t>
            </w:r>
          </w:p>
          <w:p w14:paraId="0960BDB5" w14:textId="77777777" w:rsidR="002A21AE" w:rsidRDefault="002A21AE" w:rsidP="001F303C">
            <w:pPr>
              <w:pStyle w:val="NotesText"/>
              <w:ind w:left="0"/>
            </w:pPr>
          </w:p>
        </w:tc>
      </w:tr>
      <w:tr w:rsidR="002A21AE" w14:paraId="47D32BBD" w14:textId="77777777">
        <w:tc>
          <w:tcPr>
            <w:tcW w:w="3240" w:type="dxa"/>
          </w:tcPr>
          <w:p w14:paraId="2FBE19B1" w14:textId="77777777" w:rsidR="002A21AE" w:rsidRDefault="002A21AE">
            <w:pPr>
              <w:pStyle w:val="TableTextNumbers"/>
            </w:pPr>
            <w:r>
              <w:t xml:space="preserve">Select another component order to continue selecting units,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AEC5705" w14:textId="77777777" w:rsidR="002A21AE" w:rsidRDefault="002A21AE">
            <w:pPr>
              <w:pStyle w:val="TableTextBullet"/>
            </w:pPr>
            <w:r>
              <w:t>Displays orders for the next patient.</w:t>
            </w:r>
          </w:p>
        </w:tc>
      </w:tr>
    </w:tbl>
    <w:p w14:paraId="0B41D219" w14:textId="5B287B39" w:rsidR="004728E4" w:rsidRDefault="004728E4" w:rsidP="004728E4">
      <w:pPr>
        <w:pStyle w:val="Caption"/>
      </w:pPr>
      <w:bookmarkStart w:id="353" w:name="_Ref126724671"/>
      <w:bookmarkStart w:id="354" w:name="_Ref12672145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70</w:t>
      </w:r>
      <w:r w:rsidR="004E20BD">
        <w:rPr>
          <w:noProof/>
        </w:rPr>
        <w:fldChar w:fldCharType="end"/>
      </w:r>
      <w:bookmarkEnd w:id="353"/>
      <w:r>
        <w:t>: Pending Task List Component Orders</w:t>
      </w:r>
      <w:bookmarkEnd w:id="354"/>
    </w:p>
    <w:p w14:paraId="7725B3CA" w14:textId="77777777" w:rsidR="00120C4C" w:rsidRPr="00120C4C" w:rsidRDefault="00057948" w:rsidP="00120C4C">
      <w:pPr>
        <w:pStyle w:val="BodyText"/>
      </w:pPr>
      <w:r>
        <w:rPr>
          <w:noProof/>
        </w:rPr>
        <w:drawing>
          <wp:inline distT="0" distB="0" distL="0" distR="0" wp14:anchorId="0AD58B36" wp14:editId="3855C09C">
            <wp:extent cx="5939155" cy="2503170"/>
            <wp:effectExtent l="0" t="0" r="4445" b="0"/>
            <wp:docPr id="186" name="Picture 186" descr="Example of Pending Task List Component Order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Example of Pending Task List Component Orders screen capt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39155" cy="2503170"/>
                    </a:xfrm>
                    <a:prstGeom prst="rect">
                      <a:avLst/>
                    </a:prstGeom>
                    <a:noFill/>
                    <a:ln>
                      <a:noFill/>
                    </a:ln>
                  </pic:spPr>
                </pic:pic>
              </a:graphicData>
            </a:graphic>
          </wp:inline>
        </w:drawing>
      </w:r>
    </w:p>
    <w:p w14:paraId="7C6F3AC0" w14:textId="2B45FD69" w:rsidR="008C6185" w:rsidRDefault="008C6185" w:rsidP="008C6185">
      <w:pPr>
        <w:pStyle w:val="Caption"/>
      </w:pPr>
      <w:bookmarkStart w:id="355" w:name="_Ref126724700"/>
      <w:bookmarkStart w:id="356" w:name="_Ref12672158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71</w:t>
      </w:r>
      <w:r w:rsidR="004E20BD">
        <w:rPr>
          <w:noProof/>
        </w:rPr>
        <w:fldChar w:fldCharType="end"/>
      </w:r>
      <w:bookmarkEnd w:id="355"/>
      <w:r>
        <w:t>: Select Units for a Patient</w:t>
      </w:r>
      <w:bookmarkEnd w:id="356"/>
    </w:p>
    <w:p w14:paraId="522DC705" w14:textId="565AD226" w:rsidR="008C6185" w:rsidRDefault="00570C93" w:rsidP="00DE69E1">
      <w:pPr>
        <w:pStyle w:val="BodyText"/>
      </w:pPr>
      <w:r>
        <w:rPr>
          <w:noProof/>
        </w:rPr>
        <w:drawing>
          <wp:inline distT="0" distB="0" distL="0" distR="0" wp14:anchorId="102FDE83" wp14:editId="7A7F7783">
            <wp:extent cx="5937250" cy="3479800"/>
            <wp:effectExtent l="0" t="0" r="6350" b="6350"/>
            <wp:docPr id="57" name="Picture 57" descr="Example of Select Units for a Pat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xample of Select Units for a Patient screen capt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7250" cy="3479800"/>
                    </a:xfrm>
                    <a:prstGeom prst="rect">
                      <a:avLst/>
                    </a:prstGeom>
                    <a:noFill/>
                    <a:ln>
                      <a:noFill/>
                    </a:ln>
                  </pic:spPr>
                </pic:pic>
              </a:graphicData>
            </a:graphic>
          </wp:inline>
        </w:drawing>
      </w:r>
    </w:p>
    <w:p w14:paraId="4138DA9E" w14:textId="454F6F97" w:rsidR="009F0D10" w:rsidRDefault="009F0D10" w:rsidP="009F0D10">
      <w:pPr>
        <w:pStyle w:val="Caption"/>
      </w:pPr>
      <w:bookmarkStart w:id="357" w:name="_Ref16951515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72</w:t>
      </w:r>
      <w:r w:rsidR="004E20BD">
        <w:rPr>
          <w:noProof/>
        </w:rPr>
        <w:fldChar w:fldCharType="end"/>
      </w:r>
      <w:bookmarkEnd w:id="357"/>
      <w:r>
        <w:t xml:space="preserve">: </w:t>
      </w:r>
      <w:r w:rsidR="00EE1017">
        <w:t>Associate a Specimen with an Emergency-Issued Unit</w:t>
      </w:r>
    </w:p>
    <w:p w14:paraId="3D27A409" w14:textId="1B1DCC6C" w:rsidR="00F3761C" w:rsidRPr="008C6185" w:rsidRDefault="00570C93" w:rsidP="00DE69E1">
      <w:pPr>
        <w:pStyle w:val="BodyText"/>
      </w:pPr>
      <w:r>
        <w:rPr>
          <w:noProof/>
        </w:rPr>
        <w:drawing>
          <wp:inline distT="0" distB="0" distL="0" distR="0" wp14:anchorId="09928942" wp14:editId="4EB264A8">
            <wp:extent cx="5943600" cy="3526790"/>
            <wp:effectExtent l="0" t="0" r="0" b="0"/>
            <wp:docPr id="228" name="Picture 228" descr="Example of Associate a Specimen with an Emergency-Issued Uni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xample of Associate a Specimen with an Emergency-Issued Unit screen capt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inline>
        </w:drawing>
      </w:r>
    </w:p>
    <w:p w14:paraId="34CCAF6F" w14:textId="77777777" w:rsidR="002A21AE" w:rsidRDefault="00263B24">
      <w:pPr>
        <w:pStyle w:val="Heading4"/>
      </w:pPr>
      <w:r w:rsidRPr="00896F17">
        <w:rPr>
          <w:rStyle w:val="BullhornChar"/>
        </w:rPr>
        <w:t></w:t>
      </w:r>
      <w:r>
        <w:rPr>
          <w:rFonts w:ascii="Webdings" w:hAnsi="Webdings"/>
        </w:rPr>
        <w:t></w:t>
      </w:r>
      <w:r w:rsidR="002A21AE">
        <w:t>Alerts</w:t>
      </w:r>
    </w:p>
    <w:p w14:paraId="2B72F7B6" w14:textId="2D4BAAD8" w:rsidR="002A21AE" w:rsidRDefault="002A21AE">
      <w:pPr>
        <w:pStyle w:val="Caption"/>
      </w:pPr>
      <w:bookmarkStart w:id="358" w:name="_Ref126486057"/>
      <w:bookmarkStart w:id="359" w:name="_Toc97523618"/>
      <w:bookmarkStart w:id="360" w:name="_Toc9752758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6</w:t>
      </w:r>
      <w:r w:rsidR="004E20BD">
        <w:rPr>
          <w:noProof/>
        </w:rPr>
        <w:fldChar w:fldCharType="end"/>
      </w:r>
      <w:bookmarkEnd w:id="358"/>
      <w:r>
        <w:t>: Alerts That May Occur in Select Units</w:t>
      </w:r>
      <w:bookmarkEnd w:id="359"/>
      <w:bookmarkEnd w:id="360"/>
      <w:r>
        <w:fldChar w:fldCharType="begin"/>
      </w:r>
      <w:r>
        <w:instrText xml:space="preserve"> XE </w:instrText>
      </w:r>
      <w:r w:rsidR="00FA7E65">
        <w:instrText>“</w:instrText>
      </w:r>
      <w:r>
        <w:instrText>Tables:Alerts That May Occur in Select Units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rsidRPr="000921F1" w14:paraId="029547F5" w14:textId="77777777">
        <w:trPr>
          <w:tblHeader/>
        </w:trPr>
        <w:tc>
          <w:tcPr>
            <w:tcW w:w="780" w:type="dxa"/>
            <w:shd w:val="clear" w:color="auto" w:fill="B3B3B3"/>
          </w:tcPr>
          <w:p w14:paraId="7495D868" w14:textId="77777777" w:rsidR="002A21AE" w:rsidRPr="000921F1" w:rsidRDefault="002A21AE">
            <w:pPr>
              <w:pStyle w:val="TableText"/>
              <w:rPr>
                <w:b/>
              </w:rPr>
            </w:pPr>
            <w:r w:rsidRPr="000921F1">
              <w:rPr>
                <w:b/>
              </w:rPr>
              <w:t>Step</w:t>
            </w:r>
          </w:p>
        </w:tc>
        <w:tc>
          <w:tcPr>
            <w:tcW w:w="8580" w:type="dxa"/>
            <w:shd w:val="clear" w:color="auto" w:fill="B3B3B3"/>
          </w:tcPr>
          <w:p w14:paraId="339BFF13" w14:textId="77777777" w:rsidR="002A21AE" w:rsidRPr="000921F1" w:rsidRDefault="002A21AE">
            <w:pPr>
              <w:pStyle w:val="TableText"/>
              <w:rPr>
                <w:b/>
              </w:rPr>
            </w:pPr>
            <w:r w:rsidRPr="000921F1">
              <w:rPr>
                <w:b/>
              </w:rPr>
              <w:t>Alerts</w:t>
            </w:r>
          </w:p>
        </w:tc>
      </w:tr>
      <w:tr w:rsidR="002A21AE" w:rsidRPr="000921F1" w14:paraId="42D4CA01" w14:textId="77777777">
        <w:tc>
          <w:tcPr>
            <w:tcW w:w="780" w:type="dxa"/>
          </w:tcPr>
          <w:p w14:paraId="33F6437E" w14:textId="77777777" w:rsidR="002A21AE" w:rsidRPr="000921F1" w:rsidRDefault="002A21AE">
            <w:pPr>
              <w:pStyle w:val="TableText"/>
            </w:pPr>
            <w:r w:rsidRPr="000921F1">
              <w:t>2</w:t>
            </w:r>
          </w:p>
        </w:tc>
        <w:tc>
          <w:tcPr>
            <w:tcW w:w="8580" w:type="dxa"/>
          </w:tcPr>
          <w:p w14:paraId="0988092D" w14:textId="77777777" w:rsidR="002A21AE" w:rsidRPr="000921F1" w:rsidRDefault="002A21AE">
            <w:pPr>
              <w:pStyle w:val="TableText"/>
            </w:pPr>
            <w:r w:rsidRPr="000921F1">
              <w:rPr>
                <w:rFonts w:cs="Arial"/>
                <w:vanish/>
              </w:rPr>
              <w:t xml:space="preserve">BR_16.01 </w:t>
            </w:r>
            <w:r w:rsidRPr="000921F1">
              <w:t xml:space="preserve">VBECS displays </w:t>
            </w:r>
            <w:r w:rsidR="00057948">
              <w:rPr>
                <w:noProof/>
              </w:rPr>
              <w:drawing>
                <wp:inline distT="0" distB="0" distL="0" distR="0" wp14:anchorId="60260406" wp14:editId="3FD261C5">
                  <wp:extent cx="156845" cy="156845"/>
                  <wp:effectExtent l="0" t="0" r="0" b="0"/>
                  <wp:docPr id="189" name="Picture 189"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0921F1">
              <w:t xml:space="preserve"> and emits an audible alert when there are Special Instructions (SIs) or TRs for the patient.</w:t>
            </w:r>
          </w:p>
        </w:tc>
      </w:tr>
      <w:tr w:rsidR="002A21AE" w:rsidRPr="000921F1" w14:paraId="3362D9B5" w14:textId="77777777">
        <w:tc>
          <w:tcPr>
            <w:tcW w:w="780" w:type="dxa"/>
          </w:tcPr>
          <w:p w14:paraId="78566D37" w14:textId="77777777" w:rsidR="002A21AE" w:rsidRPr="000921F1" w:rsidRDefault="002A21AE">
            <w:pPr>
              <w:pStyle w:val="TableText"/>
            </w:pPr>
            <w:r w:rsidRPr="000921F1">
              <w:t>2</w:t>
            </w:r>
          </w:p>
        </w:tc>
        <w:tc>
          <w:tcPr>
            <w:tcW w:w="8580" w:type="dxa"/>
          </w:tcPr>
          <w:p w14:paraId="26A8C38E" w14:textId="77777777" w:rsidR="002A21AE" w:rsidRPr="000921F1" w:rsidRDefault="002A21AE">
            <w:pPr>
              <w:pStyle w:val="TableText"/>
            </w:pPr>
            <w:r w:rsidRPr="000921F1">
              <w:rPr>
                <w:rFonts w:cs="Arial"/>
                <w:vanish/>
              </w:rPr>
              <w:t xml:space="preserve">BR_3.18 </w:t>
            </w:r>
            <w:r w:rsidRPr="000921F1">
              <w:t xml:space="preserve">When the user selects blood units that require XM, and eXM is enabled at the division but the current patient is not eligible for eXMs, VBECS displays a warning that includes the reason for the ineligibility. Selected units must have serologic XM performed. The user may not print the Caution Tag or the BTRF. VBECS does not change the unit status to “crossmatched” until the user enters a valid serologic XM result in Patient Testing: Record a Crossmatch. </w:t>
            </w:r>
          </w:p>
        </w:tc>
      </w:tr>
      <w:tr w:rsidR="00831141" w:rsidRPr="000921F1" w14:paraId="3ECFCAAC" w14:textId="77777777">
        <w:tc>
          <w:tcPr>
            <w:tcW w:w="780" w:type="dxa"/>
          </w:tcPr>
          <w:p w14:paraId="7246B44A" w14:textId="77777777" w:rsidR="00831141" w:rsidRPr="000921F1" w:rsidRDefault="00831141">
            <w:pPr>
              <w:pStyle w:val="TableText"/>
            </w:pPr>
            <w:r w:rsidRPr="000921F1">
              <w:t>2</w:t>
            </w:r>
          </w:p>
        </w:tc>
        <w:tc>
          <w:tcPr>
            <w:tcW w:w="8580" w:type="dxa"/>
          </w:tcPr>
          <w:p w14:paraId="1D7F7C49" w14:textId="77777777" w:rsidR="00831141" w:rsidRPr="000921F1" w:rsidRDefault="00831141">
            <w:pPr>
              <w:pStyle w:val="TableText"/>
              <w:rPr>
                <w:rFonts w:cs="Arial"/>
                <w:vanish/>
              </w:rPr>
            </w:pPr>
            <w:r w:rsidRPr="000921F1">
              <w:rPr>
                <w:vanish/>
                <w:szCs w:val="18"/>
              </w:rPr>
              <w:t>BR_3.57</w:t>
            </w:r>
            <w:r w:rsidRPr="000921F1">
              <w:t xml:space="preserve"> When the user clicked the Emergency Order check box during specimen acceptance and selects blood units requiring crossmatch, VBECS does not allow the user to perform an electronic or serologic crossmatch.</w:t>
            </w:r>
          </w:p>
        </w:tc>
      </w:tr>
      <w:tr w:rsidR="002A21AE" w:rsidRPr="000921F1" w14:paraId="6B076BC3" w14:textId="77777777">
        <w:tc>
          <w:tcPr>
            <w:tcW w:w="780" w:type="dxa"/>
          </w:tcPr>
          <w:p w14:paraId="449EED45" w14:textId="77777777" w:rsidR="002A21AE" w:rsidRPr="000921F1" w:rsidRDefault="0024117A">
            <w:pPr>
              <w:pStyle w:val="TableText"/>
            </w:pPr>
            <w:r>
              <w:t>9</w:t>
            </w:r>
          </w:p>
        </w:tc>
        <w:tc>
          <w:tcPr>
            <w:tcW w:w="8580" w:type="dxa"/>
          </w:tcPr>
          <w:p w14:paraId="2001402B" w14:textId="77777777" w:rsidR="002A21AE" w:rsidRPr="000921F1" w:rsidRDefault="002A21AE">
            <w:pPr>
              <w:pStyle w:val="TableText"/>
            </w:pPr>
            <w:r w:rsidRPr="000921F1">
              <w:rPr>
                <w:rFonts w:cs="Arial"/>
                <w:vanish/>
              </w:rPr>
              <w:t xml:space="preserve">BR_3.01 </w:t>
            </w:r>
            <w:r w:rsidRPr="000921F1">
              <w:t>When a current specimen is required for the selected component class based on Component Classes and one does not exist for the patient, the user may not select ABO type-specific blood products. VBECS notifies the user that he is selecting units using the emergency issue compatibility rules.</w:t>
            </w:r>
          </w:p>
        </w:tc>
      </w:tr>
      <w:tr w:rsidR="002A21AE" w:rsidRPr="000921F1" w14:paraId="59737F01" w14:textId="77777777">
        <w:tc>
          <w:tcPr>
            <w:tcW w:w="780" w:type="dxa"/>
          </w:tcPr>
          <w:p w14:paraId="16BE163F" w14:textId="77777777" w:rsidR="002A21AE" w:rsidRPr="000921F1" w:rsidRDefault="0024117A">
            <w:pPr>
              <w:pStyle w:val="TableText"/>
            </w:pPr>
            <w:r>
              <w:t>9</w:t>
            </w:r>
          </w:p>
        </w:tc>
        <w:tc>
          <w:tcPr>
            <w:tcW w:w="8580" w:type="dxa"/>
          </w:tcPr>
          <w:p w14:paraId="156832D9" w14:textId="77777777" w:rsidR="002A21AE" w:rsidRPr="000921F1" w:rsidRDefault="002A21AE">
            <w:pPr>
              <w:pStyle w:val="TableText"/>
            </w:pPr>
            <w:r w:rsidRPr="000921F1">
              <w:rPr>
                <w:rFonts w:cs="Arial"/>
                <w:vanish/>
              </w:rPr>
              <w:t xml:space="preserve">BR_3.24 </w:t>
            </w:r>
            <w:r w:rsidRPr="000921F1">
              <w:t>When the patient record is marked as having a previous ABO/Rh discrepancy that was justified, a current specimen is required. The user must select units based on the current specimen ABO/Rh. When the current specimen ABO/Rh was not performed, VBECS warns that the patient had a previous ABO/Rh discrepancy and instructs the user to perform ABO/Rh on the current specimen to continue using normal rules and policies or follow emergency issue rules and policies.</w:t>
            </w:r>
          </w:p>
        </w:tc>
      </w:tr>
      <w:tr w:rsidR="002A21AE" w:rsidRPr="000921F1" w14:paraId="6484DCCD" w14:textId="77777777" w:rsidTr="006C058D">
        <w:trPr>
          <w:cantSplit/>
        </w:trPr>
        <w:tc>
          <w:tcPr>
            <w:tcW w:w="780" w:type="dxa"/>
          </w:tcPr>
          <w:p w14:paraId="3EDC30D7" w14:textId="77777777" w:rsidR="002A21AE" w:rsidRPr="000921F1" w:rsidRDefault="0024117A">
            <w:pPr>
              <w:pStyle w:val="TableText"/>
            </w:pPr>
            <w:r>
              <w:lastRenderedPageBreak/>
              <w:t>9</w:t>
            </w:r>
          </w:p>
        </w:tc>
        <w:tc>
          <w:tcPr>
            <w:tcW w:w="8580" w:type="dxa"/>
          </w:tcPr>
          <w:p w14:paraId="204A7C07" w14:textId="77777777" w:rsidR="002A21AE" w:rsidRPr="000921F1" w:rsidRDefault="002A21AE">
            <w:pPr>
              <w:pStyle w:val="TableText"/>
            </w:pPr>
            <w:r w:rsidRPr="000921F1">
              <w:rPr>
                <w:rFonts w:cs="Arial"/>
                <w:vanish/>
              </w:rPr>
              <w:t xml:space="preserve">BR_3.30 </w:t>
            </w:r>
            <w:r w:rsidRPr="000921F1">
              <w:t xml:space="preserve">When there is a current specimen and ABO/Rh testing was performed, VBECS compares the ABO/Rh of the current specimen to the historical ABO/Rh. When there is a discrepancy, the ABO type is inconclusive, and there is no previous justification for the discrepancy on the patient record, VBECS notifies the user that the ABO/Rh on the current specimen does not agree with the historical ABO/Rh and instructs the user to resolve the discrepancy to continue using normal rules and policies, and recommends that the user release previously selected units or follow emergency issue rules and </w:t>
            </w:r>
            <w:r w:rsidR="00F347B1" w:rsidRPr="000921F1">
              <w:t xml:space="preserve">local </w:t>
            </w:r>
            <w:r w:rsidRPr="000921F1">
              <w:t>policies.</w:t>
            </w:r>
          </w:p>
        </w:tc>
      </w:tr>
      <w:tr w:rsidR="002A21AE" w:rsidRPr="000921F1" w14:paraId="530E4D1E" w14:textId="77777777">
        <w:tc>
          <w:tcPr>
            <w:tcW w:w="780" w:type="dxa"/>
          </w:tcPr>
          <w:p w14:paraId="58179085" w14:textId="77777777" w:rsidR="002A21AE" w:rsidRPr="000921F1" w:rsidRDefault="0024117A">
            <w:pPr>
              <w:pStyle w:val="TableText"/>
            </w:pPr>
            <w:r>
              <w:t>9</w:t>
            </w:r>
          </w:p>
        </w:tc>
        <w:tc>
          <w:tcPr>
            <w:tcW w:w="8580" w:type="dxa"/>
          </w:tcPr>
          <w:p w14:paraId="1B101550" w14:textId="77777777" w:rsidR="002A21AE" w:rsidRPr="000921F1" w:rsidRDefault="002A21AE" w:rsidP="00CE12EA">
            <w:pPr>
              <w:pStyle w:val="TableText"/>
            </w:pPr>
            <w:r w:rsidRPr="000921F1">
              <w:rPr>
                <w:rFonts w:cs="Arial"/>
                <w:vanish/>
              </w:rPr>
              <w:t xml:space="preserve">BR_3.40 </w:t>
            </w:r>
            <w:r w:rsidRPr="000921F1">
              <w:t>When a repeat ABO/Rh is performed on the patient specimen and the interpretation does not match the original ABO/Rh interpretation</w:t>
            </w:r>
            <w:r w:rsidR="00CE12EA">
              <w:t>.</w:t>
            </w:r>
            <w:r w:rsidRPr="000921F1">
              <w:t xml:space="preserve"> </w:t>
            </w:r>
          </w:p>
        </w:tc>
      </w:tr>
      <w:tr w:rsidR="00E316CA" w:rsidRPr="000921F1" w14:paraId="0F502756" w14:textId="77777777">
        <w:tc>
          <w:tcPr>
            <w:tcW w:w="780" w:type="dxa"/>
          </w:tcPr>
          <w:p w14:paraId="66B1546F" w14:textId="77777777" w:rsidR="00E316CA" w:rsidRPr="000921F1" w:rsidRDefault="0024117A">
            <w:pPr>
              <w:pStyle w:val="TableText"/>
            </w:pPr>
            <w:r>
              <w:t>9</w:t>
            </w:r>
          </w:p>
        </w:tc>
        <w:tc>
          <w:tcPr>
            <w:tcW w:w="8580" w:type="dxa"/>
          </w:tcPr>
          <w:p w14:paraId="3C010CAD" w14:textId="77777777" w:rsidR="00E316CA" w:rsidRPr="000921F1" w:rsidRDefault="00E316CA">
            <w:pPr>
              <w:pStyle w:val="TableText"/>
              <w:rPr>
                <w:rFonts w:cs="Arial"/>
                <w:vanish/>
              </w:rPr>
            </w:pPr>
            <w:r w:rsidRPr="000921F1">
              <w:rPr>
                <w:vanish/>
                <w:szCs w:val="18"/>
              </w:rPr>
              <w:t>BR_3.10</w:t>
            </w:r>
            <w:r w:rsidRPr="000921F1">
              <w:t xml:space="preserve"> When a user selects a blood unit that is evaluated as ABO incompatible (based on comparison of the patient's current ABO/Rh entered by the user with the ABO/Rh on record), VBECS emits an audible alert and warns the user that the unit is not ABO compatible for this patient and that the user may not select the unit. There is no override; VBECS clears the screen and allows the user to select another unit.</w:t>
            </w:r>
          </w:p>
        </w:tc>
      </w:tr>
      <w:tr w:rsidR="00657663" w:rsidRPr="000921F1" w14:paraId="6162D59C" w14:textId="77777777">
        <w:tc>
          <w:tcPr>
            <w:tcW w:w="780" w:type="dxa"/>
          </w:tcPr>
          <w:p w14:paraId="1101C398" w14:textId="77777777" w:rsidR="00657663" w:rsidRDefault="00657663">
            <w:pPr>
              <w:pStyle w:val="TableText"/>
            </w:pPr>
            <w:r>
              <w:t>9</w:t>
            </w:r>
          </w:p>
        </w:tc>
        <w:tc>
          <w:tcPr>
            <w:tcW w:w="8580" w:type="dxa"/>
          </w:tcPr>
          <w:p w14:paraId="0BB95E49" w14:textId="77777777" w:rsidR="00657663" w:rsidRPr="000921F1" w:rsidRDefault="00657663" w:rsidP="00657663">
            <w:pPr>
              <w:pStyle w:val="TableText"/>
              <w:rPr>
                <w:vanish/>
                <w:szCs w:val="18"/>
              </w:rPr>
            </w:pPr>
            <w:r w:rsidRPr="00657663">
              <w:rPr>
                <w:vanish/>
                <w:szCs w:val="18"/>
              </w:rPr>
              <w:t xml:space="preserve">BR_3.12 </w:t>
            </w:r>
            <w:r>
              <w:rPr>
                <w:szCs w:val="18"/>
              </w:rPr>
              <w:t>When a blood compone</w:t>
            </w:r>
            <w:r w:rsidR="00931B15">
              <w:rPr>
                <w:szCs w:val="18"/>
              </w:rPr>
              <w:t>nt belongs to a Product Type and is indicated as “</w:t>
            </w:r>
            <w:r>
              <w:rPr>
                <w:szCs w:val="18"/>
              </w:rPr>
              <w:t>Frozen” and is selected for a patient, VBECS emits an audible alert and displays a warning message: “Selected blood unit must be thawed and may require additional processing prior to issue”. There is no user response required and the blood unit is not eligible for issue. The status of the units is updated to “assigned” to the indicated patient.</w:t>
            </w:r>
          </w:p>
        </w:tc>
      </w:tr>
      <w:tr w:rsidR="002A21AE" w:rsidRPr="000921F1" w14:paraId="5B4BF502" w14:textId="77777777">
        <w:tc>
          <w:tcPr>
            <w:tcW w:w="780" w:type="dxa"/>
          </w:tcPr>
          <w:p w14:paraId="27A99944" w14:textId="77777777" w:rsidR="002A21AE" w:rsidRPr="000921F1" w:rsidRDefault="0024117A">
            <w:pPr>
              <w:pStyle w:val="TableText"/>
            </w:pPr>
            <w:r>
              <w:t>10</w:t>
            </w:r>
          </w:p>
        </w:tc>
        <w:tc>
          <w:tcPr>
            <w:tcW w:w="8580" w:type="dxa"/>
          </w:tcPr>
          <w:p w14:paraId="30698625" w14:textId="77777777" w:rsidR="002A21AE" w:rsidRPr="000921F1" w:rsidRDefault="002A21AE">
            <w:pPr>
              <w:pStyle w:val="TableText"/>
            </w:pPr>
            <w:r w:rsidRPr="000921F1">
              <w:rPr>
                <w:rFonts w:cs="Arial"/>
                <w:vanish/>
              </w:rPr>
              <w:t xml:space="preserve">BR_3.34 </w:t>
            </w:r>
            <w:r w:rsidRPr="000921F1">
              <w:t>The user may override the selection of restricted units. VBECS warns that more restricted units were not selected for the patient and asks whether the user wishes to continue. The override requires a comment and captures details for inclusion in an Exception Report (exception type: less restrictive unit issued).</w:t>
            </w:r>
          </w:p>
        </w:tc>
      </w:tr>
      <w:tr w:rsidR="002A21AE" w:rsidRPr="000921F1" w14:paraId="1C5E2368" w14:textId="77777777">
        <w:tc>
          <w:tcPr>
            <w:tcW w:w="780" w:type="dxa"/>
          </w:tcPr>
          <w:p w14:paraId="0C033714" w14:textId="77777777" w:rsidR="002A21AE" w:rsidRPr="000921F1" w:rsidRDefault="0024117A">
            <w:pPr>
              <w:pStyle w:val="TableText"/>
            </w:pPr>
            <w:r>
              <w:t>10</w:t>
            </w:r>
          </w:p>
        </w:tc>
        <w:tc>
          <w:tcPr>
            <w:tcW w:w="8580" w:type="dxa"/>
          </w:tcPr>
          <w:p w14:paraId="7264BC93" w14:textId="77777777" w:rsidR="002A21AE" w:rsidRDefault="002A21AE">
            <w:pPr>
              <w:pStyle w:val="TableText"/>
            </w:pPr>
            <w:r w:rsidRPr="000921F1">
              <w:rPr>
                <w:rFonts w:cs="Arial"/>
                <w:vanish/>
              </w:rPr>
              <w:t xml:space="preserve">BR_3.52 </w:t>
            </w:r>
            <w:r w:rsidRPr="000921F1">
              <w:t>VBECS warns the use</w:t>
            </w:r>
            <w:r w:rsidR="004E0FCD">
              <w:t>r when he selects type-specific FFP/PLASMA</w:t>
            </w:r>
            <w:r w:rsidR="00EA44F9" w:rsidRPr="000921F1">
              <w:t xml:space="preserve"> products</w:t>
            </w:r>
            <w:r w:rsidRPr="000921F1">
              <w:t xml:space="preserve"> that do not require a specimen, according to the division configuration of component classes, for a patient with a history of justified ABO/Rh change.</w:t>
            </w:r>
          </w:p>
          <w:p w14:paraId="1DA34A17" w14:textId="67C81BF4" w:rsidR="00657663" w:rsidRPr="000921F1" w:rsidRDefault="00CA65FE">
            <w:pPr>
              <w:pStyle w:val="TableText"/>
            </w:pPr>
            <w:r>
              <w:t>Note: VBECS does not enforce type-specific compatibility rules for produ</w:t>
            </w:r>
            <w:r w:rsidR="004E0FCD">
              <w:t>ct types in the CRYOPRECIPITATE</w:t>
            </w:r>
            <w:r w:rsidR="004E5EEE">
              <w:t xml:space="preserve"> </w:t>
            </w:r>
            <w:r>
              <w:t xml:space="preserve">and PLATELETS </w:t>
            </w:r>
            <w:r w:rsidR="004E0FCD">
              <w:t>[</w:t>
            </w:r>
            <w:r>
              <w:t>with less than (&lt;) 2 mL of RBC contamination</w:t>
            </w:r>
            <w:r w:rsidR="004E0FCD">
              <w:t>]</w:t>
            </w:r>
            <w:r>
              <w:t xml:space="preserve"> component classes.</w:t>
            </w:r>
          </w:p>
        </w:tc>
      </w:tr>
      <w:tr w:rsidR="002A21AE" w:rsidRPr="000921F1" w14:paraId="08641562" w14:textId="77777777">
        <w:tc>
          <w:tcPr>
            <w:tcW w:w="780" w:type="dxa"/>
          </w:tcPr>
          <w:p w14:paraId="62811875" w14:textId="77777777" w:rsidR="002A21AE" w:rsidRPr="000921F1" w:rsidRDefault="0024117A">
            <w:pPr>
              <w:pStyle w:val="TableText"/>
            </w:pPr>
            <w:r>
              <w:t>10</w:t>
            </w:r>
          </w:p>
        </w:tc>
        <w:tc>
          <w:tcPr>
            <w:tcW w:w="8580" w:type="dxa"/>
          </w:tcPr>
          <w:p w14:paraId="0D942BE1" w14:textId="77777777" w:rsidR="002A21AE" w:rsidRPr="000921F1" w:rsidRDefault="002A21AE">
            <w:pPr>
              <w:pStyle w:val="TableText"/>
            </w:pPr>
            <w:r w:rsidRPr="000921F1">
              <w:rPr>
                <w:rFonts w:cs="Arial"/>
                <w:vanish/>
              </w:rPr>
              <w:t xml:space="preserve">BR_3.49 </w:t>
            </w:r>
            <w:r w:rsidRPr="000921F1">
              <w:t>Once a valid XM interpretation is verified and the unit is compatible, VBECS does not allow a user to select that unit (ID and product code) for the same specimen. The user may select the unit for a XM with the same patient</w:t>
            </w:r>
            <w:r w:rsidR="00FA7E65" w:rsidRPr="000921F1">
              <w:t>’</w:t>
            </w:r>
            <w:r w:rsidRPr="000921F1">
              <w:t>s new specimen</w:t>
            </w:r>
            <w:r w:rsidR="00290EF8" w:rsidRPr="000921F1">
              <w:t xml:space="preserve"> after the unit is released from the current assignment</w:t>
            </w:r>
            <w:r w:rsidRPr="000921F1">
              <w:t>. VBECS warns that the unit has a valid current XM with this patient. The user clears the warning and may continue or enter a new unit number for selection.</w:t>
            </w:r>
          </w:p>
        </w:tc>
      </w:tr>
      <w:tr w:rsidR="002A21AE" w:rsidRPr="000921F1" w14:paraId="28D33748" w14:textId="77777777">
        <w:tc>
          <w:tcPr>
            <w:tcW w:w="780" w:type="dxa"/>
          </w:tcPr>
          <w:p w14:paraId="0294FE63" w14:textId="77777777" w:rsidR="002A21AE" w:rsidRPr="000921F1" w:rsidRDefault="0024117A">
            <w:pPr>
              <w:pStyle w:val="TableText"/>
            </w:pPr>
            <w:r>
              <w:t>10</w:t>
            </w:r>
          </w:p>
        </w:tc>
        <w:tc>
          <w:tcPr>
            <w:tcW w:w="8580" w:type="dxa"/>
          </w:tcPr>
          <w:p w14:paraId="28EFCEC5" w14:textId="77777777" w:rsidR="002A21AE" w:rsidRPr="000921F1" w:rsidRDefault="002A21AE">
            <w:pPr>
              <w:pStyle w:val="TableText"/>
            </w:pPr>
            <w:r w:rsidRPr="000921F1">
              <w:rPr>
                <w:rFonts w:cs="Arial"/>
                <w:vanish/>
              </w:rPr>
              <w:t xml:space="preserve">BR_3.28 </w:t>
            </w:r>
            <w:r w:rsidRPr="000921F1">
              <w:t>When a selected unit is currently assigned to another patient, VBECS warns the user and asks whether the user wishes to continue to select for this patient.</w:t>
            </w:r>
          </w:p>
          <w:p w14:paraId="12DC14E4" w14:textId="77777777" w:rsidR="002A21AE" w:rsidRPr="000921F1" w:rsidRDefault="002A21AE">
            <w:pPr>
              <w:pStyle w:val="TableText"/>
            </w:pPr>
          </w:p>
          <w:p w14:paraId="201A3796" w14:textId="77777777" w:rsidR="002A21AE" w:rsidRPr="000921F1" w:rsidRDefault="002A21AE">
            <w:pPr>
              <w:pStyle w:val="TableText"/>
            </w:pPr>
            <w:r w:rsidRPr="000921F1">
              <w:rPr>
                <w:b/>
                <w:bCs/>
              </w:rPr>
              <w:t>Yes</w:t>
            </w:r>
            <w:r w:rsidRPr="000921F1">
              <w:t xml:space="preserve"> allows the user to continue. </w:t>
            </w:r>
            <w:r w:rsidRPr="000921F1">
              <w:rPr>
                <w:b/>
                <w:bCs/>
              </w:rPr>
              <w:t>No</w:t>
            </w:r>
            <w:r w:rsidRPr="000921F1">
              <w:t xml:space="preserve"> clears the screen and allows the user to select a new unit.</w:t>
            </w:r>
          </w:p>
        </w:tc>
      </w:tr>
      <w:tr w:rsidR="002A21AE" w:rsidRPr="000921F1" w14:paraId="032BD029" w14:textId="77777777">
        <w:tc>
          <w:tcPr>
            <w:tcW w:w="780" w:type="dxa"/>
          </w:tcPr>
          <w:p w14:paraId="49FC8B10" w14:textId="77777777" w:rsidR="002A21AE" w:rsidRPr="000921F1" w:rsidRDefault="0024117A">
            <w:pPr>
              <w:pStyle w:val="TableText"/>
            </w:pPr>
            <w:r>
              <w:t>10</w:t>
            </w:r>
          </w:p>
        </w:tc>
        <w:tc>
          <w:tcPr>
            <w:tcW w:w="8580" w:type="dxa"/>
          </w:tcPr>
          <w:p w14:paraId="786FD0B5" w14:textId="77777777" w:rsidR="002A21AE" w:rsidRPr="000921F1" w:rsidRDefault="002A21AE">
            <w:pPr>
              <w:pStyle w:val="TableText"/>
            </w:pPr>
            <w:r w:rsidRPr="000921F1">
              <w:rPr>
                <w:rFonts w:cs="Arial"/>
                <w:vanish/>
              </w:rPr>
              <w:t xml:space="preserve">BR_3.19 </w:t>
            </w:r>
            <w:r w:rsidRPr="000921F1">
              <w:t xml:space="preserve">When a user </w:t>
            </w:r>
            <w:r w:rsidR="0073125C" w:rsidRPr="000921F1">
              <w:t xml:space="preserve">is a Technologist and </w:t>
            </w:r>
            <w:r w:rsidR="00602A93" w:rsidRPr="000921F1">
              <w:t>selects</w:t>
            </w:r>
            <w:r w:rsidRPr="000921F1">
              <w:t xml:space="preserve"> an expired unit, VBECS warns him. There is no override. </w:t>
            </w:r>
          </w:p>
          <w:p w14:paraId="74A69F2B" w14:textId="77777777" w:rsidR="002A21AE" w:rsidRPr="000921F1" w:rsidRDefault="002A21AE">
            <w:pPr>
              <w:pStyle w:val="TableText"/>
            </w:pPr>
          </w:p>
          <w:p w14:paraId="373538B8" w14:textId="77777777" w:rsidR="002A21AE" w:rsidRPr="000921F1" w:rsidRDefault="002A21AE">
            <w:pPr>
              <w:pStyle w:val="TableText"/>
            </w:pPr>
            <w:r w:rsidRPr="000921F1">
              <w:rPr>
                <w:rFonts w:ascii="Wingdings 3" w:hAnsi="Wingdings 3" w:cs="Wingdings"/>
              </w:rPr>
              <w:t></w:t>
            </w:r>
            <w:r w:rsidRPr="000921F1">
              <w:rPr>
                <w:rFonts w:ascii="Wingdings 3" w:hAnsi="Wingdings 3" w:cs="Wingdings"/>
              </w:rPr>
              <w:t></w:t>
            </w:r>
            <w:r w:rsidRPr="000921F1">
              <w:t xml:space="preserve"> When the user is an Enhanced Technologist or above, VBECS warns that the unit is expired and asks whether the user wishes to continue to select.</w:t>
            </w:r>
          </w:p>
          <w:p w14:paraId="0FCDCDAD" w14:textId="77777777" w:rsidR="002A21AE" w:rsidRPr="000921F1" w:rsidRDefault="002A21AE">
            <w:pPr>
              <w:pStyle w:val="TableText"/>
            </w:pPr>
          </w:p>
          <w:p w14:paraId="65582FBA" w14:textId="77777777" w:rsidR="002A21AE" w:rsidRPr="000921F1" w:rsidRDefault="002A21AE">
            <w:pPr>
              <w:pStyle w:val="TableText"/>
            </w:pPr>
            <w:r w:rsidRPr="000921F1">
              <w:rPr>
                <w:b/>
                <w:bCs/>
              </w:rPr>
              <w:t>No</w:t>
            </w:r>
            <w:r w:rsidRPr="000921F1">
              <w:t xml:space="preserve"> clears the screen. </w:t>
            </w:r>
            <w:r w:rsidRPr="000921F1">
              <w:rPr>
                <w:b/>
                <w:bCs/>
              </w:rPr>
              <w:t>Yes</w:t>
            </w:r>
            <w:r w:rsidRPr="000921F1">
              <w:t xml:space="preserve"> requires a comment and captures details for inclusion in an Exception Report (exception type: expired unit selected).</w:t>
            </w:r>
          </w:p>
        </w:tc>
      </w:tr>
      <w:tr w:rsidR="008852A5" w:rsidRPr="000921F1" w14:paraId="292D02CB" w14:textId="77777777">
        <w:tc>
          <w:tcPr>
            <w:tcW w:w="780" w:type="dxa"/>
          </w:tcPr>
          <w:p w14:paraId="42DD635A" w14:textId="77777777" w:rsidR="008852A5" w:rsidRPr="000921F1" w:rsidRDefault="0024117A" w:rsidP="00FF6514">
            <w:pPr>
              <w:pStyle w:val="TableText"/>
            </w:pPr>
            <w:r>
              <w:t>10</w:t>
            </w:r>
          </w:p>
        </w:tc>
        <w:tc>
          <w:tcPr>
            <w:tcW w:w="8580" w:type="dxa"/>
          </w:tcPr>
          <w:p w14:paraId="42393EDA" w14:textId="77777777" w:rsidR="008852A5" w:rsidRPr="000921F1" w:rsidRDefault="008852A5" w:rsidP="008852A5">
            <w:pPr>
              <w:pStyle w:val="TableTextBullet"/>
              <w:numPr>
                <w:ilvl w:val="0"/>
                <w:numId w:val="0"/>
              </w:numPr>
            </w:pPr>
            <w:r w:rsidRPr="000921F1">
              <w:rPr>
                <w:rFonts w:cs="Arial"/>
                <w:vanish/>
              </w:rPr>
              <w:t xml:space="preserve">BR_3.13 </w:t>
            </w:r>
            <w:r w:rsidRPr="000921F1">
              <w:t>When a unit is selected for a patient</w:t>
            </w:r>
            <w:r w:rsidRPr="000921F1">
              <w:rPr>
                <w:szCs w:val="18"/>
              </w:rPr>
              <w:t xml:space="preserve">, VBECS displays a tool tip stating that the unit may not be selected or removed. </w:t>
            </w:r>
          </w:p>
        </w:tc>
      </w:tr>
      <w:tr w:rsidR="002A21AE" w:rsidRPr="000921F1" w14:paraId="646DE111" w14:textId="77777777">
        <w:tc>
          <w:tcPr>
            <w:tcW w:w="780" w:type="dxa"/>
          </w:tcPr>
          <w:p w14:paraId="3ED0F82B" w14:textId="77777777" w:rsidR="002A21AE" w:rsidRPr="000921F1" w:rsidRDefault="0024117A">
            <w:pPr>
              <w:pStyle w:val="TableText"/>
            </w:pPr>
            <w:r>
              <w:t>10</w:t>
            </w:r>
          </w:p>
        </w:tc>
        <w:tc>
          <w:tcPr>
            <w:tcW w:w="8580" w:type="dxa"/>
          </w:tcPr>
          <w:p w14:paraId="71CD5BF7" w14:textId="77777777" w:rsidR="002A21AE" w:rsidRPr="000921F1" w:rsidRDefault="002A21AE">
            <w:pPr>
              <w:pStyle w:val="TableText"/>
              <w:rPr>
                <w:rStyle w:val="StyleTableTextBlackChar"/>
                <w:color w:val="auto"/>
              </w:rPr>
            </w:pPr>
            <w:r w:rsidRPr="000921F1">
              <w:t>When the user selects a</w:t>
            </w:r>
            <w:r w:rsidRPr="000921F1">
              <w:rPr>
                <w:rStyle w:val="StyleTableTextBlackChar"/>
                <w:color w:val="auto"/>
              </w:rPr>
              <w:t xml:space="preserve"> unit and these conditions exist, VBECS </w:t>
            </w:r>
            <w:r w:rsidR="008852A5" w:rsidRPr="000921F1">
              <w:rPr>
                <w:rStyle w:val="StyleTableTextBlackChar"/>
                <w:color w:val="auto"/>
              </w:rPr>
              <w:t>warns the user.</w:t>
            </w:r>
            <w:r w:rsidRPr="000921F1">
              <w:rPr>
                <w:rStyle w:val="StyleTableTextBlackChar"/>
                <w:color w:val="auto"/>
              </w:rPr>
              <w:t xml:space="preserve"> There is no override</w:t>
            </w:r>
            <w:r w:rsidRPr="000921F1">
              <w:t>. VBECS clears the screen and the user may select another unit</w:t>
            </w:r>
            <w:r w:rsidRPr="000921F1">
              <w:rPr>
                <w:rStyle w:val="StyleTableTextBlackChar"/>
                <w:color w:val="auto"/>
              </w:rPr>
              <w:t>:</w:t>
            </w:r>
          </w:p>
          <w:p w14:paraId="6E4E0478" w14:textId="77777777" w:rsidR="002A21AE" w:rsidRPr="000921F1" w:rsidRDefault="002A21AE">
            <w:pPr>
              <w:pStyle w:val="TableTextBullet"/>
            </w:pPr>
            <w:r w:rsidRPr="000921F1">
              <w:t>For XM for the same patient, VBECS warns that the unit was already selected for the patient.</w:t>
            </w:r>
          </w:p>
          <w:p w14:paraId="420E659B" w14:textId="77777777" w:rsidR="002A21AE" w:rsidRPr="000921F1" w:rsidRDefault="002A21AE">
            <w:pPr>
              <w:pStyle w:val="TableTextBullet"/>
            </w:pPr>
            <w:r w:rsidRPr="000921F1">
              <w:rPr>
                <w:rFonts w:cs="Arial"/>
                <w:vanish/>
              </w:rPr>
              <w:t xml:space="preserve">BR_3.33 </w:t>
            </w:r>
            <w:r w:rsidRPr="000921F1">
              <w:t>That is not substitutable for the order, VBECS warns that the selected unit is not valid for order.</w:t>
            </w:r>
          </w:p>
          <w:p w14:paraId="3D5CC872" w14:textId="77777777" w:rsidR="002A21AE" w:rsidRPr="000921F1" w:rsidRDefault="002A21AE">
            <w:pPr>
              <w:pStyle w:val="TableTextBullet"/>
            </w:pPr>
            <w:r w:rsidRPr="000921F1">
              <w:rPr>
                <w:rFonts w:cs="Arial"/>
                <w:vanish/>
              </w:rPr>
              <w:t xml:space="preserve">BR_3.43 </w:t>
            </w:r>
            <w:r w:rsidRPr="000921F1">
              <w:t>That is quarantined, VBECS warns that the unit is quarantined and may not be selected.</w:t>
            </w:r>
          </w:p>
          <w:p w14:paraId="2B828ECA" w14:textId="77777777" w:rsidR="002A21AE" w:rsidRPr="000921F1" w:rsidRDefault="002A21AE">
            <w:pPr>
              <w:pStyle w:val="TableTextBullet"/>
            </w:pPr>
            <w:r w:rsidRPr="000921F1">
              <w:rPr>
                <w:rFonts w:cs="Arial"/>
                <w:vanish/>
              </w:rPr>
              <w:t xml:space="preserve">BR_3.45 </w:t>
            </w:r>
            <w:r w:rsidRPr="000921F1">
              <w:t>That is on a pending outgoing shipment list, VBECS warns that the unit is currently included on a pending outgoing shipment invoice and must be removed from the shipment invoice before it can be selected.</w:t>
            </w:r>
          </w:p>
          <w:p w14:paraId="4AAC98E6" w14:textId="77777777" w:rsidR="002A21AE" w:rsidRPr="000921F1" w:rsidRDefault="002A21AE">
            <w:pPr>
              <w:pStyle w:val="TableTextBullet"/>
            </w:pPr>
            <w:r w:rsidRPr="000921F1">
              <w:rPr>
                <w:rFonts w:cs="Arial"/>
                <w:vanish/>
              </w:rPr>
              <w:t xml:space="preserve">BR_3.44 </w:t>
            </w:r>
            <w:r w:rsidRPr="000921F1">
              <w:t>That is not in the blood bank or is issued to another patient, VBECS warns that the unit is not in the blood bank and may not be selected.</w:t>
            </w:r>
          </w:p>
          <w:p w14:paraId="5A728E43" w14:textId="77777777" w:rsidR="002A21AE" w:rsidRPr="000921F1" w:rsidRDefault="002A21AE">
            <w:pPr>
              <w:pStyle w:val="TableTextBullet"/>
            </w:pPr>
            <w:r w:rsidRPr="000921F1">
              <w:rPr>
                <w:rFonts w:cs="Arial"/>
                <w:vanish/>
              </w:rPr>
              <w:lastRenderedPageBreak/>
              <w:t xml:space="preserve">BR_3.46 </w:t>
            </w:r>
            <w:r w:rsidRPr="000921F1">
              <w:t>That is restricted for a different patient, VBECS warns that the unit is restricted for a different patient and may not be selected.</w:t>
            </w:r>
          </w:p>
          <w:p w14:paraId="77C890F4" w14:textId="77777777" w:rsidR="002A21AE" w:rsidRPr="000921F1" w:rsidRDefault="002C0830">
            <w:pPr>
              <w:pStyle w:val="TableTextBullet"/>
            </w:pPr>
            <w:r w:rsidRPr="000921F1">
              <w:rPr>
                <w:vanish/>
                <w:szCs w:val="18"/>
              </w:rPr>
              <w:t xml:space="preserve">BR_3.16 </w:t>
            </w:r>
            <w:r w:rsidRPr="000921F1">
              <w:t>T</w:t>
            </w:r>
            <w:r w:rsidR="002A21AE" w:rsidRPr="000921F1">
              <w:t>he confirmation is not performed or is incomplete, VBECS emits an audible alert and warns that the unit ABO/Rh confirmation was not performed or is incomplete and that the unit may not be selected.</w:t>
            </w:r>
          </w:p>
        </w:tc>
      </w:tr>
      <w:tr w:rsidR="002A21AE" w:rsidRPr="000921F1" w14:paraId="7C752435" w14:textId="77777777">
        <w:tc>
          <w:tcPr>
            <w:tcW w:w="780" w:type="dxa"/>
          </w:tcPr>
          <w:p w14:paraId="66602FE7" w14:textId="77777777" w:rsidR="002A21AE" w:rsidRPr="000921F1" w:rsidRDefault="0024117A">
            <w:pPr>
              <w:pStyle w:val="TableText"/>
            </w:pPr>
            <w:r>
              <w:lastRenderedPageBreak/>
              <w:t>10</w:t>
            </w:r>
          </w:p>
        </w:tc>
        <w:tc>
          <w:tcPr>
            <w:tcW w:w="8580" w:type="dxa"/>
          </w:tcPr>
          <w:p w14:paraId="131A8BE2" w14:textId="77777777" w:rsidR="002A21AE" w:rsidRPr="000921F1" w:rsidRDefault="002A21AE">
            <w:pPr>
              <w:pStyle w:val="TableText"/>
            </w:pPr>
            <w:r w:rsidRPr="000921F1">
              <w:rPr>
                <w:rFonts w:cs="Arial"/>
                <w:vanish/>
              </w:rPr>
              <w:t xml:space="preserve">BR_3.23 </w:t>
            </w:r>
            <w:r w:rsidRPr="000921F1">
              <w:t xml:space="preserve">When the selected unit had an incompatible crossmatch result with the current patient in the past, VBECS warns the user. </w:t>
            </w:r>
            <w:r w:rsidR="00141E2B" w:rsidRPr="000921F1">
              <w:t>The user may continue with this unit and proceed with electronic or serologic crossmatch testing.</w:t>
            </w:r>
          </w:p>
        </w:tc>
      </w:tr>
      <w:tr w:rsidR="002A21AE" w:rsidRPr="000921F1" w14:paraId="3380439E" w14:textId="77777777">
        <w:tc>
          <w:tcPr>
            <w:tcW w:w="780" w:type="dxa"/>
          </w:tcPr>
          <w:p w14:paraId="34FAED8E" w14:textId="77777777" w:rsidR="002A21AE" w:rsidRPr="000921F1" w:rsidRDefault="0024117A">
            <w:pPr>
              <w:pStyle w:val="TableText"/>
            </w:pPr>
            <w:r>
              <w:t>10</w:t>
            </w:r>
          </w:p>
        </w:tc>
        <w:tc>
          <w:tcPr>
            <w:tcW w:w="8580" w:type="dxa"/>
          </w:tcPr>
          <w:p w14:paraId="1978346F" w14:textId="77777777" w:rsidR="002A21AE" w:rsidRPr="000921F1" w:rsidRDefault="002A21AE">
            <w:pPr>
              <w:pStyle w:val="TableText"/>
            </w:pPr>
            <w:r w:rsidRPr="000921F1">
              <w:rPr>
                <w:rFonts w:cs="Arial"/>
                <w:vanish/>
              </w:rPr>
              <w:t xml:space="preserve">BR_3.06 </w:t>
            </w:r>
            <w:r w:rsidRPr="000921F1">
              <w:t>When the user selects an antigen positive (or inconclusive for testing) unit and the patient has the corresponding antigen negative requirement, VBECS warns the user and requires action determined by the user’s security level.</w:t>
            </w:r>
          </w:p>
        </w:tc>
      </w:tr>
      <w:tr w:rsidR="002A21AE" w:rsidRPr="000921F1" w14:paraId="74DA8F2A" w14:textId="77777777">
        <w:tc>
          <w:tcPr>
            <w:tcW w:w="780" w:type="dxa"/>
          </w:tcPr>
          <w:p w14:paraId="5AAECE34" w14:textId="77777777" w:rsidR="002A21AE" w:rsidRPr="000921F1" w:rsidRDefault="0024117A">
            <w:pPr>
              <w:pStyle w:val="TableText"/>
            </w:pPr>
            <w:r>
              <w:t>10</w:t>
            </w:r>
          </w:p>
        </w:tc>
        <w:tc>
          <w:tcPr>
            <w:tcW w:w="8580" w:type="dxa"/>
          </w:tcPr>
          <w:p w14:paraId="7F297781"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t xml:space="preserve"> When the user is an Enhanced Technologist or below</w:t>
            </w:r>
            <w:r w:rsidRPr="000921F1">
              <w:rPr>
                <w:b/>
              </w:rPr>
              <w:t xml:space="preserve">, </w:t>
            </w:r>
            <w:r w:rsidRPr="000921F1">
              <w:t xml:space="preserve">VBECS emits an audible alert and warns that the patient has a history of an antibody, that the unit does not have a negative test for the corresponding antigen, and that the user </w:t>
            </w:r>
            <w:r w:rsidR="00082F78" w:rsidRPr="000921F1">
              <w:t>does not have the proper security level</w:t>
            </w:r>
            <w:r w:rsidRPr="000921F1">
              <w:t xml:space="preserve"> to select the unit. There is no override.</w:t>
            </w:r>
          </w:p>
        </w:tc>
      </w:tr>
      <w:tr w:rsidR="002A21AE" w:rsidRPr="000921F1" w14:paraId="5D763F54" w14:textId="77777777">
        <w:tc>
          <w:tcPr>
            <w:tcW w:w="780" w:type="dxa"/>
          </w:tcPr>
          <w:p w14:paraId="7FB32F79" w14:textId="77777777" w:rsidR="002A21AE" w:rsidRPr="000921F1" w:rsidRDefault="0024117A">
            <w:pPr>
              <w:pStyle w:val="TableText"/>
            </w:pPr>
            <w:r>
              <w:t>10</w:t>
            </w:r>
          </w:p>
        </w:tc>
        <w:tc>
          <w:tcPr>
            <w:tcW w:w="8580" w:type="dxa"/>
          </w:tcPr>
          <w:p w14:paraId="1831207B"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When the user is a Lead Technologist or above, VBECS emits an audible alert, warns that the patient has a history of an antibody and that the unit is positive or inconclusive for the corresponding antigen, and asks whether the user wishes to continue to select the unit. </w:t>
            </w:r>
          </w:p>
          <w:p w14:paraId="2FB7DB56" w14:textId="77777777" w:rsidR="002A21AE" w:rsidRPr="000921F1" w:rsidRDefault="002A21AE">
            <w:pPr>
              <w:pStyle w:val="TableText"/>
            </w:pPr>
          </w:p>
          <w:p w14:paraId="3B66451D" w14:textId="77777777" w:rsidR="002A21AE" w:rsidRPr="000921F1" w:rsidRDefault="002A21AE">
            <w:pPr>
              <w:pStyle w:val="TableText"/>
            </w:pPr>
            <w:r w:rsidRPr="000921F1">
              <w:rPr>
                <w:b/>
              </w:rPr>
              <w:t>No</w:t>
            </w:r>
            <w:r w:rsidRPr="000921F1">
              <w:t xml:space="preserve"> allows the user to continue to select units for the patient. </w:t>
            </w: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tc>
      </w:tr>
      <w:tr w:rsidR="002A21AE" w:rsidRPr="000921F1" w14:paraId="3E1FDA6F" w14:textId="77777777">
        <w:tc>
          <w:tcPr>
            <w:tcW w:w="780" w:type="dxa"/>
          </w:tcPr>
          <w:p w14:paraId="1C685288" w14:textId="77777777" w:rsidR="002A21AE" w:rsidRPr="000921F1" w:rsidRDefault="0024117A">
            <w:pPr>
              <w:pStyle w:val="TableText"/>
            </w:pPr>
            <w:r>
              <w:t>10</w:t>
            </w:r>
          </w:p>
        </w:tc>
        <w:tc>
          <w:tcPr>
            <w:tcW w:w="8580" w:type="dxa"/>
          </w:tcPr>
          <w:p w14:paraId="6932FD27" w14:textId="77777777" w:rsidR="002A21AE" w:rsidRPr="000921F1" w:rsidRDefault="002A21AE">
            <w:pPr>
              <w:pStyle w:val="TableText"/>
            </w:pPr>
            <w:r w:rsidRPr="000921F1">
              <w:rPr>
                <w:rFonts w:cs="Arial"/>
                <w:vanish/>
              </w:rPr>
              <w:t xml:space="preserve">BR_3.15 </w:t>
            </w:r>
            <w:r w:rsidRPr="000921F1">
              <w:t>When a unit was not antigen typed for the corresponding antigen, VBECS emits an audible alert, warns that the unit must be typed and found negative to be available for this patient, and asks whether the user wishes to continue to select this unit. The user may continue to select units for the patient.</w:t>
            </w:r>
          </w:p>
          <w:p w14:paraId="6426A186" w14:textId="77777777" w:rsidR="002A21AE" w:rsidRPr="000921F1" w:rsidRDefault="002A21AE">
            <w:pPr>
              <w:pStyle w:val="TableText"/>
            </w:pPr>
          </w:p>
          <w:p w14:paraId="390F8226" w14:textId="77777777" w:rsidR="002A21AE" w:rsidRPr="000921F1" w:rsidRDefault="002A21AE">
            <w:pPr>
              <w:pStyle w:val="TableText"/>
              <w:rPr>
                <w:rStyle w:val="StyleTableTextBlackChar"/>
                <w:color w:val="auto"/>
              </w:rPr>
            </w:pP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p w14:paraId="2300B7EF" w14:textId="77777777" w:rsidR="002A21AE" w:rsidRPr="000921F1" w:rsidRDefault="002A21AE">
            <w:pPr>
              <w:pStyle w:val="TableText"/>
            </w:pPr>
          </w:p>
          <w:p w14:paraId="6D9D1447" w14:textId="55A33BB8" w:rsidR="002A21AE" w:rsidRPr="000921F1" w:rsidRDefault="002A21AE">
            <w:pPr>
              <w:pStyle w:val="TableText"/>
              <w:rPr>
                <w:szCs w:val="18"/>
              </w:rPr>
            </w:pPr>
            <w:r w:rsidRPr="000921F1">
              <w:t xml:space="preserve">See </w:t>
            </w:r>
            <w:r w:rsidR="00EE455E">
              <w:t xml:space="preserve">Appendix </w:t>
            </w:r>
            <w:r w:rsidR="00EE455E">
              <w:rPr>
                <w:noProof/>
              </w:rPr>
              <w:t>B</w:t>
            </w:r>
            <w:r w:rsidRPr="000921F1">
              <w:t xml:space="preserve">: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rsidRPr="000921F1">
              <w:t>.</w:t>
            </w:r>
          </w:p>
        </w:tc>
      </w:tr>
      <w:tr w:rsidR="002E1F2B" w:rsidRPr="000921F1" w14:paraId="5E3964BB" w14:textId="77777777">
        <w:tc>
          <w:tcPr>
            <w:tcW w:w="780" w:type="dxa"/>
          </w:tcPr>
          <w:p w14:paraId="2B9010E0" w14:textId="0242A5F3" w:rsidR="002E1F2B" w:rsidRDefault="002E1F2B" w:rsidP="002E1F2B">
            <w:pPr>
              <w:pStyle w:val="TableText"/>
            </w:pPr>
            <w:r>
              <w:t>10</w:t>
            </w:r>
          </w:p>
        </w:tc>
        <w:tc>
          <w:tcPr>
            <w:tcW w:w="8580" w:type="dxa"/>
          </w:tcPr>
          <w:p w14:paraId="63EA4E77" w14:textId="12B0DA81" w:rsidR="002E1F2B" w:rsidRPr="00772260" w:rsidRDefault="002E1F2B" w:rsidP="002E1F2B">
            <w:pPr>
              <w:pStyle w:val="TableText"/>
              <w:rPr>
                <w:rFonts w:cs="Arial"/>
                <w:szCs w:val="18"/>
              </w:rPr>
            </w:pPr>
            <w:r w:rsidRPr="00772260">
              <w:rPr>
                <w:rFonts w:cs="Arial"/>
                <w:vanish/>
                <w:szCs w:val="18"/>
              </w:rPr>
              <w:t xml:space="preserve">BR_3.08 </w:t>
            </w:r>
            <w:r w:rsidRPr="00772260">
              <w:rPr>
                <w:rFonts w:cs="Arial"/>
                <w:szCs w:val="18"/>
              </w:rPr>
              <w:t xml:space="preserve">When </w:t>
            </w:r>
            <w:r w:rsidR="00523215" w:rsidRPr="00772260">
              <w:rPr>
                <w:rFonts w:cs="Arial"/>
                <w:szCs w:val="18"/>
              </w:rPr>
              <w:t>a</w:t>
            </w:r>
            <w:r w:rsidR="00D7366E">
              <w:rPr>
                <w:rFonts w:cs="Arial"/>
                <w:szCs w:val="18"/>
              </w:rPr>
              <w:t>n</w:t>
            </w:r>
            <w:r w:rsidRPr="00772260">
              <w:rPr>
                <w:rFonts w:cs="Arial"/>
                <w:szCs w:val="18"/>
              </w:rPr>
              <w:t xml:space="preserve"> Rh negative patient has an active anti-D antibody </w:t>
            </w:r>
            <w:r w:rsidRPr="003B1AEA">
              <w:rPr>
                <w:rFonts w:cs="Arial"/>
                <w:szCs w:val="18"/>
              </w:rPr>
              <w:t>or a D antigen negative requirement set in Special Instructions and Transfusion Requirements,</w:t>
            </w:r>
            <w:r w:rsidRPr="00772260">
              <w:rPr>
                <w:rFonts w:cs="Arial"/>
                <w:szCs w:val="18"/>
              </w:rPr>
              <w:t xml:space="preserve"> VBECS verifies the presence or absence of the corresponding antigen based on the ABO/Rh of the selected blood unit. When a user selects an Rh positive blood unit for a patient with anti-D, VBECS warns the user and requires action based on the user’s security level.</w:t>
            </w:r>
          </w:p>
          <w:p w14:paraId="2ED1140E" w14:textId="77777777" w:rsidR="002E1F2B" w:rsidRPr="000921F1" w:rsidRDefault="002E1F2B" w:rsidP="002E1F2B">
            <w:pPr>
              <w:pStyle w:val="TableText"/>
            </w:pPr>
          </w:p>
          <w:p w14:paraId="50E437B1" w14:textId="25FB3B59" w:rsidR="002E1F2B" w:rsidRPr="000921F1" w:rsidRDefault="002E1F2B" w:rsidP="002E1F2B">
            <w:pPr>
              <w:pStyle w:val="TableText"/>
              <w:rPr>
                <w:rFonts w:cs="Arial"/>
                <w:vanish/>
              </w:rPr>
            </w:pPr>
            <w:r w:rsidRPr="000921F1">
              <w:t>The antigen negative requirement for anti-</w:t>
            </w:r>
            <w:r>
              <w:t>D is D, not AGwD. AGwD is</w:t>
            </w:r>
            <w:r w:rsidRPr="000921F1">
              <w:t xml:space="preserve"> not </w:t>
            </w:r>
            <w:r>
              <w:t xml:space="preserve">a </w:t>
            </w:r>
            <w:r w:rsidRPr="000921F1">
              <w:t>selectab</w:t>
            </w:r>
            <w:r>
              <w:t>le antigen negative requirement</w:t>
            </w:r>
            <w:r w:rsidRPr="000921F1">
              <w:t xml:space="preserve"> in Special Instructions &amp; Transfusion Requirements: </w:t>
            </w:r>
            <w:r>
              <w:t>Antigen Negative RBCs.</w:t>
            </w:r>
            <w:r w:rsidRPr="000921F1">
              <w:t xml:space="preserve"> </w:t>
            </w:r>
          </w:p>
        </w:tc>
      </w:tr>
      <w:tr w:rsidR="002E1F2B" w:rsidRPr="000921F1" w14:paraId="1CEFD56B" w14:textId="77777777">
        <w:tc>
          <w:tcPr>
            <w:tcW w:w="780" w:type="dxa"/>
          </w:tcPr>
          <w:p w14:paraId="700B8A14" w14:textId="77777777" w:rsidR="002E1F2B" w:rsidRPr="000921F1" w:rsidRDefault="002E1F2B" w:rsidP="002E1F2B">
            <w:pPr>
              <w:pStyle w:val="TableText"/>
            </w:pPr>
            <w:r>
              <w:t>10</w:t>
            </w:r>
          </w:p>
        </w:tc>
        <w:tc>
          <w:tcPr>
            <w:tcW w:w="8580" w:type="dxa"/>
          </w:tcPr>
          <w:p w14:paraId="05BD036D" w14:textId="77777777" w:rsidR="002E1F2B" w:rsidRPr="000921F1" w:rsidRDefault="002E1F2B" w:rsidP="002E1F2B">
            <w:pPr>
              <w:pStyle w:val="TableText"/>
            </w:pPr>
            <w:r w:rsidRPr="00DE022E">
              <w:rPr>
                <w:rFonts w:cs="Arial"/>
                <w:vanish/>
              </w:rPr>
              <w:t xml:space="preserve">BR_3.21 </w:t>
            </w:r>
            <w:r w:rsidRPr="00DE022E">
              <w:t>For an Rh negative, unknown, or inconclusive patient: when the selection of Rh positive or Rh pooled units from the WHOLE BLOOD, RED BLOOD CELLS, PLATELETS, and OTHER VBECS compo</w:t>
            </w:r>
            <w:r>
              <w:t>nent classes</w:t>
            </w:r>
            <w:r w:rsidRPr="00DE022E">
              <w:t xml:space="preserve"> are individually entered and confi</w:t>
            </w:r>
            <w:r>
              <w:t>r</w:t>
            </w:r>
            <w:r w:rsidRPr="00DE022E">
              <w:t xml:space="preserve">med </w:t>
            </w:r>
            <w:r>
              <w:t>as required</w:t>
            </w:r>
            <w:r w:rsidRPr="00DE022E">
              <w:t>, VBECS emits an audible alert, warns that the patient is Rh negative and the selected unit is Rh positive, instructs the user to check the patient sex and hospital policy before continuing, and asks whether the user wishes to continue to select the unit.</w:t>
            </w:r>
          </w:p>
          <w:p w14:paraId="3F391E47" w14:textId="77777777" w:rsidR="002E1F2B" w:rsidRPr="000921F1" w:rsidRDefault="002E1F2B" w:rsidP="002E1F2B">
            <w:pPr>
              <w:pStyle w:val="TableText"/>
            </w:pPr>
          </w:p>
          <w:p w14:paraId="0D4B4DAE" w14:textId="77777777" w:rsidR="002E1F2B" w:rsidRPr="000921F1" w:rsidRDefault="002E1F2B" w:rsidP="002E1F2B">
            <w:pPr>
              <w:pStyle w:val="TableText"/>
            </w:pPr>
            <w:r w:rsidRPr="000921F1">
              <w:rPr>
                <w:b/>
              </w:rPr>
              <w:t>No</w:t>
            </w:r>
            <w:r w:rsidRPr="000921F1">
              <w:t xml:space="preserve"> clears the unit data and allows the user to select a different unit. </w:t>
            </w:r>
            <w:r w:rsidRPr="000921F1">
              <w:rPr>
                <w:b/>
              </w:rPr>
              <w:t>Yes</w:t>
            </w:r>
            <w:r w:rsidRPr="000921F1">
              <w:t xml:space="preserve"> requires additional comment </w:t>
            </w:r>
            <w:r w:rsidRPr="003B1AEA">
              <w:t>(unit selection canned comment context)</w:t>
            </w:r>
            <w:r>
              <w:t xml:space="preserve"> </w:t>
            </w:r>
            <w:r w:rsidRPr="000921F1">
              <w:t>and captures details for inclusion in an Exception Report (exception type: Rh positive units selected).</w:t>
            </w:r>
          </w:p>
        </w:tc>
      </w:tr>
      <w:tr w:rsidR="002E1F2B" w:rsidRPr="000921F1" w14:paraId="2F2054D7" w14:textId="77777777">
        <w:tc>
          <w:tcPr>
            <w:tcW w:w="780" w:type="dxa"/>
          </w:tcPr>
          <w:p w14:paraId="37DB2F1B" w14:textId="77777777" w:rsidR="002E1F2B" w:rsidRPr="000921F1" w:rsidRDefault="002E1F2B" w:rsidP="002E1F2B">
            <w:pPr>
              <w:pStyle w:val="TableText"/>
            </w:pPr>
            <w:r>
              <w:t>10</w:t>
            </w:r>
          </w:p>
        </w:tc>
        <w:tc>
          <w:tcPr>
            <w:tcW w:w="8580" w:type="dxa"/>
          </w:tcPr>
          <w:p w14:paraId="6EAAF25A" w14:textId="77777777" w:rsidR="002E1F2B" w:rsidRPr="000921F1" w:rsidRDefault="002E1F2B" w:rsidP="002E1F2B">
            <w:pPr>
              <w:pStyle w:val="TableText"/>
            </w:pPr>
            <w:r w:rsidRPr="000921F1">
              <w:rPr>
                <w:rFonts w:cs="Arial"/>
                <w:vanish/>
              </w:rPr>
              <w:t xml:space="preserve">BR_3.09 </w:t>
            </w:r>
            <w:r w:rsidRPr="000921F1">
              <w:t xml:space="preserve">When </w:t>
            </w:r>
            <w:r>
              <w:t>the</w:t>
            </w:r>
            <w:r w:rsidRPr="000921F1">
              <w:t xml:space="preserve"> user selects </w:t>
            </w:r>
            <w:r>
              <w:t xml:space="preserve">a blood unit to fill a </w:t>
            </w:r>
            <w:r w:rsidRPr="000921F1">
              <w:t>component order</w:t>
            </w:r>
            <w:r>
              <w:t xml:space="preserve"> of RED BLOOD CELLS, “PLATELETS” or “OTHER” and has = &gt; 2 mL RBC contamination, the unit will be evaluated for ABO/Rh red cell compatibility. When the unit is not ABO compatible for the selected patient, VBECS presents a message to the user stating that the unit is and releases the unit from selection (assignment).</w:t>
            </w:r>
          </w:p>
        </w:tc>
      </w:tr>
      <w:tr w:rsidR="002E1F2B" w:rsidRPr="000921F1" w14:paraId="053CD239" w14:textId="77777777">
        <w:tc>
          <w:tcPr>
            <w:tcW w:w="780" w:type="dxa"/>
          </w:tcPr>
          <w:p w14:paraId="0663968C" w14:textId="77777777" w:rsidR="002E1F2B" w:rsidRPr="000921F1" w:rsidRDefault="002E1F2B" w:rsidP="002E1F2B">
            <w:pPr>
              <w:pStyle w:val="TableText"/>
            </w:pPr>
            <w:r>
              <w:t>10</w:t>
            </w:r>
          </w:p>
        </w:tc>
        <w:tc>
          <w:tcPr>
            <w:tcW w:w="8580" w:type="dxa"/>
          </w:tcPr>
          <w:p w14:paraId="3593358D" w14:textId="71425F55" w:rsidR="002E1F2B" w:rsidRPr="000921F1" w:rsidRDefault="002E1F2B" w:rsidP="002E1F2B">
            <w:pPr>
              <w:pStyle w:val="TableText"/>
            </w:pPr>
            <w:r w:rsidRPr="000921F1">
              <w:rPr>
                <w:vanish/>
                <w:szCs w:val="18"/>
              </w:rPr>
              <w:t xml:space="preserve">BR_3.14 </w:t>
            </w:r>
            <w:r w:rsidRPr="000921F1">
              <w:t>When a patient has TRs other than CMV negative</w:t>
            </w:r>
            <w:r>
              <w:t xml:space="preserve"> or Sickle Cell negative</w:t>
            </w:r>
            <w:r w:rsidRPr="000921F1">
              <w:t>, VBECS verifies whether the selected unit satisfies the requirement based on system rules</w:t>
            </w:r>
            <w:r w:rsidRPr="000921F1">
              <w:rPr>
                <w:szCs w:val="18"/>
              </w:rPr>
              <w:t xml:space="preserve"> Blood Unit Substitution and the Fulfillment of Transfusion Requirements</w:t>
            </w:r>
            <w:r w:rsidRPr="000921F1">
              <w:t xml:space="preserve">. When the TR is not satisfied, VBECS emits an audible alert, warns that the unit does not satisfy all of the patient’s TRs, and asks whether the user wishes to continue to select the unit. </w:t>
            </w:r>
          </w:p>
          <w:p w14:paraId="6B7A4101" w14:textId="77777777" w:rsidR="002E1F2B" w:rsidRPr="000921F1" w:rsidRDefault="002E1F2B" w:rsidP="002E1F2B">
            <w:pPr>
              <w:pStyle w:val="TableText"/>
            </w:pPr>
          </w:p>
          <w:p w14:paraId="4C1CBAF3" w14:textId="77777777" w:rsidR="002E1F2B" w:rsidRPr="000921F1" w:rsidRDefault="002E1F2B" w:rsidP="002E1F2B">
            <w:pPr>
              <w:pStyle w:val="TableText"/>
            </w:pPr>
            <w:r w:rsidRPr="000921F1">
              <w:rPr>
                <w:b/>
              </w:rPr>
              <w:t>No</w:t>
            </w:r>
            <w:r w:rsidRPr="000921F1">
              <w:t xml:space="preserve"> clears the screen. </w:t>
            </w:r>
            <w:r w:rsidRPr="000921F1">
              <w:rPr>
                <w:b/>
              </w:rPr>
              <w:t>Yes</w:t>
            </w:r>
            <w:r w:rsidRPr="000921F1">
              <w:t xml:space="preserve"> allows the user to continue without comment. </w:t>
            </w:r>
          </w:p>
        </w:tc>
      </w:tr>
      <w:tr w:rsidR="002E1F2B" w:rsidRPr="000921F1" w14:paraId="558A9FA4" w14:textId="77777777">
        <w:tc>
          <w:tcPr>
            <w:tcW w:w="780" w:type="dxa"/>
          </w:tcPr>
          <w:p w14:paraId="0959954D" w14:textId="77777777" w:rsidR="002E1F2B" w:rsidRPr="000921F1" w:rsidRDefault="002E1F2B" w:rsidP="002E1F2B">
            <w:pPr>
              <w:pStyle w:val="TableText"/>
            </w:pPr>
            <w:r>
              <w:lastRenderedPageBreak/>
              <w:t>10</w:t>
            </w:r>
          </w:p>
        </w:tc>
        <w:tc>
          <w:tcPr>
            <w:tcW w:w="8580" w:type="dxa"/>
          </w:tcPr>
          <w:p w14:paraId="4CC14E1D" w14:textId="77777777" w:rsidR="002E1F2B" w:rsidRPr="000921F1" w:rsidRDefault="002E1F2B" w:rsidP="002E1F2B">
            <w:pPr>
              <w:pStyle w:val="TableText"/>
              <w:rPr>
                <w:szCs w:val="18"/>
              </w:rPr>
            </w:pPr>
            <w:r w:rsidRPr="000921F1">
              <w:rPr>
                <w:rFonts w:cs="Arial"/>
                <w:vanish/>
              </w:rPr>
              <w:t xml:space="preserve">BR_3.32 </w:t>
            </w:r>
            <w:r>
              <w:rPr>
                <w:szCs w:val="18"/>
              </w:rPr>
              <w:t>When a patient has a TR of CMV n</w:t>
            </w:r>
            <w:r w:rsidRPr="000921F1">
              <w:rPr>
                <w:szCs w:val="18"/>
              </w:rPr>
              <w:t>egative</w:t>
            </w:r>
            <w:r>
              <w:rPr>
                <w:szCs w:val="18"/>
              </w:rPr>
              <w:t xml:space="preserve"> or Sickle Cell negative</w:t>
            </w:r>
            <w:r w:rsidRPr="000921F1">
              <w:rPr>
                <w:szCs w:val="18"/>
              </w:rPr>
              <w:t>, VBECS verifies the selected unit for compliance. When the selected unit does not fit the criteria, VBECS emits an audible alert and warns the user:</w:t>
            </w:r>
          </w:p>
          <w:p w14:paraId="2EDE8FA5" w14:textId="77777777" w:rsidR="002E1F2B" w:rsidRPr="000921F1" w:rsidRDefault="002E1F2B" w:rsidP="002E1F2B">
            <w:pPr>
              <w:pStyle w:val="TableTextBullet"/>
            </w:pPr>
            <w:r w:rsidRPr="000921F1">
              <w:rPr>
                <w:rFonts w:ascii="Wingdings 3" w:hAnsi="Wingdings 3" w:cs="Wingdings"/>
              </w:rPr>
              <w:t></w:t>
            </w:r>
            <w:r w:rsidRPr="000921F1">
              <w:rPr>
                <w:rFonts w:ascii="Wingdings 3" w:hAnsi="Wingdings 3" w:cs="Wingdings"/>
              </w:rPr>
              <w:t></w:t>
            </w:r>
            <w:r w:rsidRPr="000921F1">
              <w:t xml:space="preserve"> Enhanced Technologist or below: VBECS warns</w:t>
            </w:r>
            <w:r>
              <w:t xml:space="preserve"> that the patient requires CMV n</w:t>
            </w:r>
            <w:r w:rsidRPr="000921F1">
              <w:t xml:space="preserve">egative </w:t>
            </w:r>
            <w:r>
              <w:t xml:space="preserve">or Sickle Cell negative </w:t>
            </w:r>
            <w:r w:rsidRPr="000921F1">
              <w:t>blood, that the selected unit is not CMV negative</w:t>
            </w:r>
            <w:r>
              <w:t xml:space="preserve"> or Sickle Cell negative</w:t>
            </w:r>
            <w:r w:rsidRPr="000921F1">
              <w:t>, and that the user does not have the proper security level to select the unit. There is no override. VBECS clears the screen, and the user must select another unit.</w:t>
            </w:r>
          </w:p>
          <w:p w14:paraId="2B397001" w14:textId="77777777" w:rsidR="002E1F2B" w:rsidRPr="000921F1" w:rsidRDefault="002E1F2B" w:rsidP="002E1F2B">
            <w:pPr>
              <w:pStyle w:val="TableTextBullet"/>
            </w:pP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Lead Technologist or above: VBECS warns that the patient requires CMV negative </w:t>
            </w:r>
            <w:r>
              <w:t xml:space="preserve">or Sickle Cell negative </w:t>
            </w:r>
            <w:r w:rsidRPr="000921F1">
              <w:t>blood, that the selected unit is not CMV negative</w:t>
            </w:r>
            <w:r>
              <w:t xml:space="preserve"> or Sickle Cell negative</w:t>
            </w:r>
            <w:r w:rsidRPr="000921F1">
              <w:t xml:space="preserve">, and asks whether the user wishes to continue to select. </w:t>
            </w:r>
            <w:r w:rsidRPr="000921F1">
              <w:rPr>
                <w:b/>
              </w:rPr>
              <w:t>No</w:t>
            </w:r>
            <w:r w:rsidRPr="000921F1">
              <w:t xml:space="preserve"> clears the screen and the user must select a new blood unit. </w:t>
            </w:r>
            <w:r w:rsidRPr="000921F1">
              <w:rPr>
                <w:b/>
              </w:rPr>
              <w:t>Yes</w:t>
            </w:r>
            <w:r w:rsidRPr="000921F1">
              <w:t xml:space="preserve"> requires a comment and captures details for inclusion in an Exception Report (exception type: Transfusion Requirement incompatible unit selected).</w:t>
            </w:r>
          </w:p>
        </w:tc>
      </w:tr>
      <w:tr w:rsidR="002E1F2B" w:rsidRPr="000921F1" w14:paraId="5F3782D2" w14:textId="77777777">
        <w:tc>
          <w:tcPr>
            <w:tcW w:w="780" w:type="dxa"/>
          </w:tcPr>
          <w:p w14:paraId="421B4925" w14:textId="77777777" w:rsidR="002E1F2B" w:rsidRPr="000921F1" w:rsidRDefault="002E1F2B" w:rsidP="002E1F2B">
            <w:pPr>
              <w:pStyle w:val="TableText"/>
            </w:pPr>
            <w:r>
              <w:t>10</w:t>
            </w:r>
          </w:p>
        </w:tc>
        <w:tc>
          <w:tcPr>
            <w:tcW w:w="8580" w:type="dxa"/>
          </w:tcPr>
          <w:p w14:paraId="2BD1DFDE" w14:textId="77777777" w:rsidR="002E1F2B" w:rsidRPr="000921F1" w:rsidRDefault="002E1F2B" w:rsidP="002E1F2B">
            <w:pPr>
              <w:pStyle w:val="TableText"/>
            </w:pPr>
            <w:r w:rsidRPr="000921F1">
              <w:rPr>
                <w:rFonts w:cs="Arial"/>
                <w:vanish/>
              </w:rPr>
              <w:t xml:space="preserve">BR_3.39 </w:t>
            </w:r>
            <w:r w:rsidRPr="000921F1">
              <w:t>When a user selects a unit with a biohazardous indicator for a patient, VBECS emits an audible alert, warns the user, and asks whether the user still wishes to select the unit.</w:t>
            </w:r>
          </w:p>
          <w:p w14:paraId="2D860FCE" w14:textId="77777777" w:rsidR="002E1F2B" w:rsidRPr="000921F1" w:rsidRDefault="002E1F2B" w:rsidP="002E1F2B">
            <w:pPr>
              <w:pStyle w:val="NotesText"/>
            </w:pPr>
          </w:p>
          <w:p w14:paraId="0B19289B" w14:textId="77777777" w:rsidR="002E1F2B" w:rsidRPr="000921F1" w:rsidRDefault="002E1F2B" w:rsidP="002E1F2B">
            <w:pPr>
              <w:pStyle w:val="TableText"/>
            </w:pPr>
            <w:r w:rsidRPr="000921F1">
              <w:rPr>
                <w:b/>
              </w:rPr>
              <w:t>No</w:t>
            </w:r>
            <w:r w:rsidRPr="000921F1">
              <w:t xml:space="preserve"> clears the entry and allows the user to select a new unit. </w:t>
            </w:r>
            <w:r w:rsidRPr="000921F1">
              <w:rPr>
                <w:b/>
              </w:rPr>
              <w:t>Yes</w:t>
            </w:r>
            <w:r w:rsidRPr="000921F1">
              <w:t xml:space="preserve"> requires a comment and captures details for inclusion in an Exception Report (exception type: biohazardous unit selected).</w:t>
            </w:r>
          </w:p>
        </w:tc>
      </w:tr>
      <w:tr w:rsidR="002E1F2B" w:rsidRPr="000921F1" w14:paraId="44D113E2" w14:textId="77777777">
        <w:tc>
          <w:tcPr>
            <w:tcW w:w="780" w:type="dxa"/>
          </w:tcPr>
          <w:p w14:paraId="6FA29B30" w14:textId="77777777" w:rsidR="002E1F2B" w:rsidRPr="000921F1" w:rsidRDefault="002E1F2B" w:rsidP="002E1F2B">
            <w:pPr>
              <w:pStyle w:val="TableText"/>
            </w:pPr>
            <w:r>
              <w:t>10</w:t>
            </w:r>
          </w:p>
        </w:tc>
        <w:tc>
          <w:tcPr>
            <w:tcW w:w="8580" w:type="dxa"/>
          </w:tcPr>
          <w:p w14:paraId="4C2865AA" w14:textId="77777777" w:rsidR="002E1F2B" w:rsidRPr="000921F1" w:rsidRDefault="002E1F2B" w:rsidP="002E1F2B">
            <w:pPr>
              <w:pStyle w:val="TableText"/>
            </w:pPr>
            <w:r w:rsidRPr="000921F1">
              <w:rPr>
                <w:rFonts w:cs="Arial"/>
                <w:vanish/>
              </w:rPr>
              <w:t xml:space="preserve">BR_3.12 </w:t>
            </w:r>
            <w:r w:rsidRPr="000921F1">
              <w:rPr>
                <w:szCs w:val="22"/>
              </w:rPr>
              <w:t></w:t>
            </w:r>
            <w:r w:rsidRPr="000921F1">
              <w:t>When the user selects blood components from the frozen product types for a patient, VBECS emits an audible alert and warns that the selected blood unit must be thawed and may require additional processing prior to issue</w:t>
            </w:r>
            <w:r>
              <w:t>.</w:t>
            </w:r>
            <w:r w:rsidRPr="000921F1">
              <w:t xml:space="preserve"> VBECS updates the blood unit status to “assigned” and the unit is no longer available for issue.</w:t>
            </w:r>
          </w:p>
        </w:tc>
      </w:tr>
      <w:tr w:rsidR="002E1F2B" w:rsidRPr="000921F1" w14:paraId="10C4C3F5" w14:textId="77777777">
        <w:tc>
          <w:tcPr>
            <w:tcW w:w="780" w:type="dxa"/>
          </w:tcPr>
          <w:p w14:paraId="23F498E0" w14:textId="77777777" w:rsidR="002E1F2B" w:rsidRPr="000921F1" w:rsidRDefault="002E1F2B" w:rsidP="002E1F2B">
            <w:pPr>
              <w:pStyle w:val="TableText"/>
            </w:pPr>
            <w:r>
              <w:t>10</w:t>
            </w:r>
          </w:p>
        </w:tc>
        <w:tc>
          <w:tcPr>
            <w:tcW w:w="8580" w:type="dxa"/>
          </w:tcPr>
          <w:p w14:paraId="79997FB2" w14:textId="615177A4" w:rsidR="002E1F2B" w:rsidRPr="000921F1" w:rsidRDefault="002E1F2B" w:rsidP="002E1F2B">
            <w:pPr>
              <w:pStyle w:val="TableText"/>
            </w:pPr>
            <w:r w:rsidRPr="00B01176">
              <w:rPr>
                <w:vanish/>
              </w:rPr>
              <w:t xml:space="preserve">BR_3.35 </w:t>
            </w:r>
            <w:r w:rsidRPr="000921F1">
              <w:t xml:space="preserve">When a user selects a unit requiring XM, eXM is enabled, and the patient is eligible, the selected unit ABO/Rh must be compatible with the patient ABO/Rh. VBECS displays a message based on </w:t>
            </w:r>
            <w:r w:rsidR="00EE455E">
              <w:t xml:space="preserve">Appendix </w:t>
            </w:r>
            <w:r w:rsidR="00EE455E">
              <w:rPr>
                <w:noProof/>
              </w:rPr>
              <w:t>B</w:t>
            </w:r>
            <w:r w:rsidRPr="000921F1">
              <w:t>:</w:t>
            </w:r>
            <w:r>
              <w:t xml:space="preserve"> </w:t>
            </w:r>
            <w:r w:rsidR="00EE455E">
              <w:t xml:space="preserve">Table </w:t>
            </w:r>
            <w:r w:rsidR="00EE455E">
              <w:rPr>
                <w:noProof/>
              </w:rPr>
              <w:t>22</w:t>
            </w:r>
            <w:r w:rsidR="00EE455E">
              <w:t xml:space="preserve">: </w:t>
            </w:r>
            <w:r w:rsidR="00EE455E">
              <w:rPr>
                <w:vanish/>
              </w:rPr>
              <w:t xml:space="preserve">TT_3.05 </w:t>
            </w:r>
            <w:r w:rsidR="00EE455E">
              <w:t>Rules for Electronic and Serologic Crossmatch</w:t>
            </w:r>
            <w:r w:rsidRPr="000921F1">
              <w:t>. If the user continues to select that unit in which VBECS requires a serologic XM, VBECS does not allow the Caution Tag or BTRF to be printed, and does not update the unit status to “crossmatched”’ under normal system rules and policies. When the selected unit is available for emergency issue to the patient, VBECS allows the Caution Tag and BTRF to be printed.</w:t>
            </w:r>
          </w:p>
        </w:tc>
      </w:tr>
      <w:tr w:rsidR="002E1F2B" w:rsidRPr="000921F1" w14:paraId="547E55D8" w14:textId="77777777">
        <w:tc>
          <w:tcPr>
            <w:tcW w:w="780" w:type="dxa"/>
          </w:tcPr>
          <w:p w14:paraId="679E3DE2" w14:textId="77777777" w:rsidR="002E1F2B" w:rsidRPr="000921F1" w:rsidRDefault="002E1F2B" w:rsidP="002E1F2B">
            <w:pPr>
              <w:pStyle w:val="TableText"/>
            </w:pPr>
            <w:r>
              <w:t>12</w:t>
            </w:r>
          </w:p>
        </w:tc>
        <w:tc>
          <w:tcPr>
            <w:tcW w:w="8580" w:type="dxa"/>
          </w:tcPr>
          <w:p w14:paraId="3CB8E390" w14:textId="77777777" w:rsidR="002E1F2B" w:rsidRPr="000921F1" w:rsidRDefault="002E1F2B" w:rsidP="002E1F2B">
            <w:pPr>
              <w:pStyle w:val="TableText"/>
            </w:pPr>
            <w:r w:rsidRPr="000921F1">
              <w:rPr>
                <w:rFonts w:cs="Arial"/>
                <w:vanish/>
              </w:rPr>
              <w:t xml:space="preserve">BR_3.29 </w:t>
            </w:r>
            <w:r w:rsidRPr="000921F1">
              <w:t>When eXM is enabled and the patient and selected units are eligible, VBECS notifies the user and asks whether he wishes to continue with eXM.</w:t>
            </w:r>
          </w:p>
          <w:p w14:paraId="1BFEEAB3" w14:textId="77777777" w:rsidR="002E1F2B" w:rsidRPr="000921F1" w:rsidRDefault="002E1F2B" w:rsidP="002E1F2B">
            <w:pPr>
              <w:pStyle w:val="TableText"/>
            </w:pPr>
          </w:p>
          <w:p w14:paraId="1D7E9146" w14:textId="77777777" w:rsidR="002E1F2B" w:rsidRPr="000921F1" w:rsidRDefault="002E1F2B" w:rsidP="002E1F2B">
            <w:pPr>
              <w:pStyle w:val="TableText"/>
            </w:pPr>
            <w:r w:rsidRPr="000921F1">
              <w:rPr>
                <w:b/>
              </w:rPr>
              <w:t>Yes</w:t>
            </w:r>
            <w:r w:rsidRPr="000921F1">
              <w:t xml:space="preserve"> assigns a XM result of “Compatible: Electronically Crossmatched.” VBECS updates the database with the XM result, date and time of XM, XM technologist, division, specimen UID, specimen phlebotomist, and specimen expiration date and time. VBECS allows a Caution Tag and BTRF to be printed and the unit is ready for issue and transfusion. VBECS changes the unit status to “crossmatched.”</w:t>
            </w:r>
          </w:p>
          <w:p w14:paraId="1B97DF68" w14:textId="77777777" w:rsidR="002E1F2B" w:rsidRPr="000921F1" w:rsidRDefault="002E1F2B" w:rsidP="002E1F2B">
            <w:pPr>
              <w:pStyle w:val="TableText"/>
            </w:pPr>
          </w:p>
          <w:p w14:paraId="2C625C5E" w14:textId="77777777" w:rsidR="002E1F2B" w:rsidRPr="000921F1" w:rsidRDefault="002E1F2B" w:rsidP="002E1F2B">
            <w:pPr>
              <w:pStyle w:val="TableText"/>
            </w:pPr>
            <w:r w:rsidRPr="000921F1">
              <w:rPr>
                <w:b/>
              </w:rPr>
              <w:t>No</w:t>
            </w:r>
            <w:r w:rsidRPr="000921F1">
              <w:t xml:space="preserve"> keeps the unit assigned to the patient and available for data entry of serologic XM. VBECS does not allow the Caution Tag or BTRF to be printed and does not change the unit status to “crossmatched.” When a division is “transfusion only,” the unit remains assigned to the patient and is available for the user to enter the serologic XM interpretation, VBECS does not allow the Caution Tag or BTRF to be printed, and the unit is not crossmatched.</w:t>
            </w:r>
          </w:p>
        </w:tc>
      </w:tr>
      <w:tr w:rsidR="002E1F2B" w:rsidRPr="000921F1" w14:paraId="74197BE5" w14:textId="77777777">
        <w:tc>
          <w:tcPr>
            <w:tcW w:w="780" w:type="dxa"/>
          </w:tcPr>
          <w:p w14:paraId="0DB01531" w14:textId="77777777" w:rsidR="002E1F2B" w:rsidRPr="000921F1" w:rsidRDefault="002E1F2B" w:rsidP="002E1F2B">
            <w:pPr>
              <w:pStyle w:val="TableText"/>
            </w:pPr>
            <w:r>
              <w:t>12</w:t>
            </w:r>
          </w:p>
        </w:tc>
        <w:tc>
          <w:tcPr>
            <w:tcW w:w="8580" w:type="dxa"/>
          </w:tcPr>
          <w:p w14:paraId="3729A47C" w14:textId="77777777" w:rsidR="002E1F2B" w:rsidRPr="000921F1" w:rsidRDefault="002E1F2B" w:rsidP="002E1F2B">
            <w:pPr>
              <w:pStyle w:val="TableText"/>
            </w:pPr>
            <w:r w:rsidRPr="000921F1">
              <w:rPr>
                <w:rFonts w:cs="Arial"/>
                <w:vanish/>
              </w:rPr>
              <w:t xml:space="preserve">BR_3.37 </w:t>
            </w:r>
            <w:r w:rsidRPr="000921F1">
              <w:t>When the user selects a unit requiring XM, the division is defined as “full service,” eXM is enabled, and the patient is not eligible for eXM, VBECS warns the user that the selected units require serologic XM and asks whether he wishes to continue.</w:t>
            </w:r>
          </w:p>
          <w:p w14:paraId="5397FEEA" w14:textId="77777777" w:rsidR="002E1F2B" w:rsidRPr="000921F1" w:rsidRDefault="002E1F2B" w:rsidP="002E1F2B">
            <w:pPr>
              <w:pStyle w:val="TableText"/>
            </w:pPr>
          </w:p>
          <w:p w14:paraId="091B36FF" w14:textId="77777777" w:rsidR="002E1F2B" w:rsidRPr="000921F1" w:rsidRDefault="002E1F2B" w:rsidP="002E1F2B">
            <w:pPr>
              <w:pStyle w:val="TableText"/>
            </w:pPr>
            <w:r w:rsidRPr="000921F1">
              <w:rPr>
                <w:b/>
              </w:rPr>
              <w:t>Yes</w:t>
            </w:r>
            <w:r w:rsidRPr="000921F1">
              <w:t xml:space="preserve"> adds the units to the XM data entry grid and transfers the user to Patient Testing: Record Patient Test Results to begin the XM process. </w:t>
            </w:r>
            <w:r w:rsidRPr="000921F1">
              <w:rPr>
                <w:b/>
              </w:rPr>
              <w:t>No</w:t>
            </w:r>
            <w:r w:rsidRPr="000921F1">
              <w:t xml:space="preserve"> records that a serologic XM test is needed. The user may not print a Caution Tag or Blood Transfusion Record Form; the unit status does not change to “crossmatched.”</w:t>
            </w:r>
          </w:p>
        </w:tc>
      </w:tr>
    </w:tbl>
    <w:p w14:paraId="10B3074A" w14:textId="77777777" w:rsidR="002118B0" w:rsidRDefault="002118B0" w:rsidP="00DD75E5">
      <w:pPr>
        <w:pStyle w:val="BodyText"/>
      </w:pPr>
    </w:p>
    <w:p w14:paraId="3F2B688A" w14:textId="77777777" w:rsidR="002A21AE" w:rsidRDefault="002A21AE" w:rsidP="00533A82">
      <w:pPr>
        <w:pStyle w:val="Heading2"/>
      </w:pPr>
      <w:r>
        <w:br w:type="page"/>
      </w:r>
      <w:bookmarkStart w:id="361" w:name="_Issue_Blood_Components"/>
      <w:bookmarkStart w:id="362" w:name="_Toc163644925"/>
      <w:bookmarkStart w:id="363" w:name="_Toc94349371"/>
      <w:bookmarkEnd w:id="361"/>
      <w:r>
        <w:lastRenderedPageBreak/>
        <w:t>Issue Blood Components</w:t>
      </w:r>
      <w:bookmarkEnd w:id="362"/>
      <w:r w:rsidRPr="007716F7">
        <w:fldChar w:fldCharType="begin"/>
      </w:r>
      <w:r w:rsidRPr="007716F7">
        <w:instrText xml:space="preserve"> XE </w:instrText>
      </w:r>
      <w:r w:rsidR="00FA7E65" w:rsidRPr="007716F7">
        <w:instrText>“</w:instrText>
      </w:r>
      <w:r w:rsidRPr="007716F7">
        <w:instrText>Issue Blood Components</w:instrText>
      </w:r>
      <w:r w:rsidR="00FA7E65" w:rsidRPr="007716F7">
        <w:instrText>”</w:instrText>
      </w:r>
      <w:r w:rsidRPr="007716F7">
        <w:instrText xml:space="preserve"> </w:instrText>
      </w:r>
      <w:r w:rsidRPr="007716F7">
        <w:fldChar w:fldCharType="end"/>
      </w:r>
      <w:r w:rsidRPr="007716F7">
        <w:t xml:space="preserve"> </w:t>
      </w:r>
      <w:r w:rsidRPr="00557A54">
        <w:rPr>
          <w:rFonts w:ascii="Arial Bold" w:hAnsi="Arial Bold"/>
          <w:vanish/>
        </w:rPr>
        <w:t>UC_73</w:t>
      </w:r>
      <w:bookmarkEnd w:id="363"/>
      <w:r>
        <w:t xml:space="preserve"> </w:t>
      </w:r>
    </w:p>
    <w:p w14:paraId="7F565AFC" w14:textId="77777777" w:rsidR="002A21AE" w:rsidRDefault="002A21AE" w:rsidP="00FA7E65">
      <w:pPr>
        <w:pStyle w:val="BodyText"/>
      </w:pPr>
      <w:bookmarkStart w:id="364" w:name="_Toc34537111"/>
      <w:bookmarkStart w:id="365" w:name="_Toc34635892"/>
      <w:bookmarkStart w:id="366" w:name="_Toc34720938"/>
      <w:bookmarkStart w:id="367" w:name="_Toc35743728"/>
      <w:bookmarkStart w:id="368" w:name="_Toc42940987"/>
      <w:bookmarkStart w:id="369" w:name="_Toc43285430"/>
      <w:bookmarkStart w:id="370" w:name="_Toc72829288"/>
      <w:r>
        <w:t>The user issues one or more patient-assigned blood units to a transporter for storage in a remote location or for possible transfusion</w:t>
      </w:r>
      <w:bookmarkStart w:id="371" w:name="warn"/>
      <w:bookmarkEnd w:id="371"/>
      <w:r w:rsidR="00BC58E2">
        <w:t>.</w:t>
      </w:r>
    </w:p>
    <w:p w14:paraId="2EED621F" w14:textId="77777777" w:rsidR="002A21AE" w:rsidRDefault="002A21AE">
      <w:pPr>
        <w:pStyle w:val="Heading4"/>
      </w:pPr>
      <w:bookmarkStart w:id="372" w:name="_Toc94349372"/>
      <w:r>
        <w:t>Assumptions</w:t>
      </w:r>
      <w:bookmarkEnd w:id="372"/>
    </w:p>
    <w:p w14:paraId="63D9FA61" w14:textId="77777777" w:rsidR="00DC673E" w:rsidRDefault="00DC673E">
      <w:pPr>
        <w:pStyle w:val="ListBullet"/>
      </w:pPr>
      <w:r>
        <w:t>The facility has a procedure for the emergency issue of blood products.</w:t>
      </w:r>
    </w:p>
    <w:p w14:paraId="3C674124" w14:textId="77777777" w:rsidR="002A21AE" w:rsidRDefault="002A21AE">
      <w:pPr>
        <w:pStyle w:val="ListBullet"/>
      </w:pPr>
      <w:r>
        <w:t>The unit and the user are in the same division.</w:t>
      </w:r>
    </w:p>
    <w:p w14:paraId="603ADD1D" w14:textId="77777777" w:rsidR="002A21AE" w:rsidRDefault="002A21AE">
      <w:pPr>
        <w:pStyle w:val="ListBullet"/>
      </w:pPr>
      <w:r>
        <w:t>The unit is assigned and/or crossmatched for the patient currently selected for issue.</w:t>
      </w:r>
    </w:p>
    <w:p w14:paraId="4D4195F9" w14:textId="77777777" w:rsidR="002A21AE" w:rsidRDefault="00CA0045">
      <w:pPr>
        <w:pStyle w:val="ListBullet"/>
      </w:pPr>
      <w:r w:rsidRPr="00CA0045">
        <w:rPr>
          <w:bCs/>
        </w:rPr>
        <w:t>VistA</w:t>
      </w:r>
      <w:r w:rsidR="002A21AE">
        <w:t xml:space="preserve"> is available for the user to choose a physician and valid hospital locations.</w:t>
      </w:r>
    </w:p>
    <w:p w14:paraId="682355A2" w14:textId="77777777" w:rsidR="000C22E7" w:rsidRDefault="000C22E7">
      <w:pPr>
        <w:pStyle w:val="ListBullet"/>
      </w:pPr>
      <w:r>
        <w:t>All issue-to locations must be valid entries in the VistA HOSPITAL LOCATION (</w:t>
      </w:r>
      <w:r w:rsidR="00FA65C4">
        <w:t>#44)</w:t>
      </w:r>
      <w:r>
        <w:t>.</w:t>
      </w:r>
    </w:p>
    <w:p w14:paraId="2E992270" w14:textId="77777777" w:rsidR="002A21AE" w:rsidRDefault="002A21AE">
      <w:pPr>
        <w:pStyle w:val="Heading4"/>
      </w:pPr>
      <w:bookmarkStart w:id="373" w:name="_Toc94349373"/>
      <w:r>
        <w:t>Outcome</w:t>
      </w:r>
      <w:bookmarkEnd w:id="373"/>
    </w:p>
    <w:p w14:paraId="43CADC75" w14:textId="77777777" w:rsidR="002A21AE" w:rsidRDefault="002A21AE">
      <w:pPr>
        <w:pStyle w:val="ListBullet"/>
      </w:pPr>
      <w:r>
        <w:t>The unit status was updated to “issued.”</w:t>
      </w:r>
    </w:p>
    <w:p w14:paraId="58785011" w14:textId="77777777" w:rsidR="002A21AE" w:rsidRDefault="002A21AE">
      <w:pPr>
        <w:pStyle w:val="ListBullet"/>
      </w:pPr>
      <w:r>
        <w:t>The unit’s current location was updated to the “issue-to” location.</w:t>
      </w:r>
    </w:p>
    <w:p w14:paraId="1AA474AB" w14:textId="77777777" w:rsidR="002A21AE" w:rsidRDefault="002A21AE">
      <w:pPr>
        <w:pStyle w:val="Heading4"/>
      </w:pPr>
      <w:bookmarkStart w:id="374" w:name="_Toc94349374"/>
      <w:r>
        <w:t>Limitations and Restrictions</w:t>
      </w:r>
      <w:bookmarkEnd w:id="374"/>
    </w:p>
    <w:p w14:paraId="321C8B74" w14:textId="77777777" w:rsidR="00F26B72" w:rsidRDefault="00F26B72">
      <w:pPr>
        <w:pStyle w:val="ListBullet"/>
      </w:pPr>
      <w:r>
        <w:t xml:space="preserve">VBECS does not check </w:t>
      </w:r>
      <w:r w:rsidRPr="00F26B72">
        <w:t xml:space="preserve">for </w:t>
      </w:r>
      <w:r w:rsidR="00654CF2">
        <w:t>restricted</w:t>
      </w:r>
      <w:r w:rsidRPr="00F26B72">
        <w:t xml:space="preserve"> units </w:t>
      </w:r>
      <w:r w:rsidR="006E2907">
        <w:t>(</w:t>
      </w:r>
      <w:r>
        <w:t>not</w:t>
      </w:r>
      <w:r w:rsidRPr="00F26B72">
        <w:t xml:space="preserve"> assigned to the patient</w:t>
      </w:r>
      <w:r w:rsidR="006E2907">
        <w:t>)</w:t>
      </w:r>
      <w:r w:rsidRPr="00F26B72">
        <w:t xml:space="preserve"> received </w:t>
      </w:r>
      <w:r>
        <w:t>between selection and issue.</w:t>
      </w:r>
    </w:p>
    <w:p w14:paraId="0C1EB7FC" w14:textId="4E0F34A9" w:rsidR="00414644" w:rsidRDefault="002A21AE">
      <w:pPr>
        <w:pStyle w:val="ListBullet"/>
      </w:pPr>
      <w:r>
        <w:t xml:space="preserve">All issue-to locations must be valid entries in the </w:t>
      </w:r>
      <w:r w:rsidR="00CA0045" w:rsidRPr="00CA0045">
        <w:rPr>
          <w:bCs/>
        </w:rPr>
        <w:t>VistA</w:t>
      </w:r>
      <w:r>
        <w:t xml:space="preserve"> </w:t>
      </w:r>
      <w:r w:rsidR="00C925FB">
        <w:t>HOSPITAL LOCATION (#44)</w:t>
      </w:r>
      <w:r w:rsidR="008F2DE4">
        <w:t>.</w:t>
      </w:r>
    </w:p>
    <w:p w14:paraId="11850608" w14:textId="77777777" w:rsidR="002A21AE" w:rsidRDefault="009C7B46" w:rsidP="00215DFC">
      <w:pPr>
        <w:pStyle w:val="ListBullet"/>
      </w:pPr>
      <w:r>
        <w:t xml:space="preserve">If VistA link is not available, </w:t>
      </w:r>
      <w:r w:rsidR="00414644">
        <w:t>the user may proceed with the issue process but the current issue-to hospital location is not recorded.</w:t>
      </w:r>
      <w:r w:rsidR="00215DFC">
        <w:t xml:space="preserve"> All of the associated report records display “VistALink Down” in the Issue To location field.</w:t>
      </w:r>
      <w:r>
        <w:t xml:space="preserve"> </w:t>
      </w:r>
      <w:r w:rsidRPr="00215DFC">
        <w:rPr>
          <w:vanish/>
        </w:rPr>
        <w:t>DR 5073</w:t>
      </w:r>
    </w:p>
    <w:p w14:paraId="37451F53" w14:textId="77777777" w:rsidR="00A25BC9" w:rsidRDefault="00A25BC9" w:rsidP="00A25BC9">
      <w:pPr>
        <w:pStyle w:val="ListBullet"/>
      </w:pPr>
      <w:r>
        <w:t>ISBT 128 tables include blood product codes labeled as not for manufacturing or transfusion. VBECS does not restrict such products from being entered, issued, or transferred (l</w:t>
      </w:r>
      <w:r w:rsidR="00011036">
        <w:t>ocal policy controls their use)</w:t>
      </w:r>
      <w:r>
        <w:t xml:space="preserve"> </w:t>
      </w:r>
      <w:r w:rsidR="00011036">
        <w:t>and</w:t>
      </w:r>
      <w:r>
        <w:t xml:space="preserve"> does not accommodate blood modification for these products.</w:t>
      </w:r>
    </w:p>
    <w:p w14:paraId="71CF7264" w14:textId="77777777" w:rsidR="007E1B6B" w:rsidRDefault="007E1B6B" w:rsidP="00A25BC9">
      <w:pPr>
        <w:pStyle w:val="ListBullet"/>
      </w:pPr>
      <w:r>
        <w:t>W</w:t>
      </w:r>
      <w:r w:rsidRPr="007E1B6B">
        <w:t xml:space="preserve">hen a site has configured </w:t>
      </w:r>
      <w:r w:rsidR="009174D5"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9174D5" w:rsidRPr="007E1B6B">
        <w:t>subservient</w:t>
      </w:r>
      <w:r w:rsidRPr="007E1B6B">
        <w:t xml:space="preserve"> VistA institutions.</w:t>
      </w:r>
      <w:r w:rsidRPr="007E1B6B">
        <w:rPr>
          <w:vanish/>
        </w:rPr>
        <w:t>DR 2,880</w:t>
      </w:r>
    </w:p>
    <w:p w14:paraId="3E644BDB" w14:textId="77777777" w:rsidR="0064308B" w:rsidRDefault="0064308B" w:rsidP="00A25BC9">
      <w:pPr>
        <w:pStyle w:val="ListBullet"/>
      </w:pPr>
      <w:r w:rsidRPr="00C01E45">
        <w:t>BCE information applies ONLY when a BCE COTS product is available for communication and is configured.</w:t>
      </w:r>
    </w:p>
    <w:p w14:paraId="28BEEF32" w14:textId="0684490A" w:rsidR="00B65627" w:rsidRDefault="00B65627" w:rsidP="00B65627">
      <w:pPr>
        <w:pStyle w:val="ListBullet"/>
      </w:pPr>
      <w:bookmarkStart w:id="375" w:name="_Toc94349375"/>
      <w:r w:rsidRPr="00633316">
        <w:t>Changing a patient's</w:t>
      </w:r>
      <w:r w:rsidR="00432F57">
        <w:t xml:space="preserve"> transfusion requirements</w:t>
      </w:r>
      <w:r w:rsidRPr="00633316">
        <w:t xml:space="preserve"> </w:t>
      </w:r>
      <w:r w:rsidR="00432F57">
        <w:t xml:space="preserve">(component requirements, </w:t>
      </w:r>
      <w:r w:rsidRPr="00633316">
        <w:t>antigen negative requirement or antibody identified</w:t>
      </w:r>
      <w:r w:rsidR="00432F57">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1BF2B544" w14:textId="2731189C" w:rsidR="002F25DF" w:rsidRDefault="002F25DF" w:rsidP="00B65627">
      <w:pPr>
        <w:pStyle w:val="ListBullet"/>
      </w:pPr>
      <w:r>
        <w:t>VBECS asks for a comment when issuing a unit that is assigned to two different patients. Enter a comment to issue the unit or release one of the patient assignments before issuing. The comment will appear on the Unit History Report in the Issue section.</w:t>
      </w:r>
      <w:r w:rsidR="00512B62">
        <w:t xml:space="preserve"> </w:t>
      </w:r>
      <w:r w:rsidR="00512B62" w:rsidRPr="004F5DF6">
        <w:rPr>
          <w:vanish/>
        </w:rPr>
        <w:t xml:space="preserve">Defect </w:t>
      </w:r>
      <w:r w:rsidR="004F5DF6" w:rsidRPr="004F5DF6">
        <w:rPr>
          <w:vanish/>
        </w:rPr>
        <w:t>208730</w:t>
      </w:r>
    </w:p>
    <w:p w14:paraId="2189DF08" w14:textId="40B7688C" w:rsidR="00425F42" w:rsidRDefault="00425F42" w:rsidP="00B65627">
      <w:pPr>
        <w:pStyle w:val="ListBullet"/>
      </w:pPr>
      <w:r>
        <w:t xml:space="preserve">Users should issue units in a timely manner to avoid the units being released from patient assignment by another user prior to the issue unit process completion. </w:t>
      </w:r>
      <w:r w:rsidRPr="00425F42">
        <w:rPr>
          <w:vanish/>
        </w:rPr>
        <w:t>Defect 12772</w:t>
      </w:r>
      <w:r w:rsidR="005D2A5F">
        <w:rPr>
          <w:vanish/>
        </w:rPr>
        <w:t>0</w:t>
      </w:r>
    </w:p>
    <w:p w14:paraId="3FEB1473" w14:textId="77777777" w:rsidR="002A21AE" w:rsidRDefault="002A21AE">
      <w:pPr>
        <w:pStyle w:val="Heading4"/>
      </w:pPr>
      <w:r>
        <w:t>Additional Information</w:t>
      </w:r>
      <w:bookmarkEnd w:id="375"/>
    </w:p>
    <w:p w14:paraId="387C5DF7" w14:textId="77777777" w:rsidR="002A21AE" w:rsidRDefault="00710E7E">
      <w:pPr>
        <w:pStyle w:val="ListBullet"/>
      </w:pPr>
      <w:r>
        <w:t xml:space="preserve">When no VistA order is available, </w:t>
      </w:r>
      <w:r w:rsidR="002A21AE">
        <w:t xml:space="preserve">the user must process the request manually until </w:t>
      </w:r>
      <w:r w:rsidR="00CA0045" w:rsidRPr="00CA0045">
        <w:rPr>
          <w:bCs/>
        </w:rPr>
        <w:t>VistA</w:t>
      </w:r>
      <w:r w:rsidR="002A21AE">
        <w:t xml:space="preserve"> provides them to VBECS. The user must print blank Caution Tags and Blood Transfusion Record Forms (BTRFs) to accommodate this rare occurrence.</w:t>
      </w:r>
      <w:r w:rsidR="00AB4026">
        <w:t xml:space="preserve"> When </w:t>
      </w:r>
      <w:r w:rsidR="00AB4026" w:rsidRPr="00CA0045">
        <w:rPr>
          <w:bCs/>
        </w:rPr>
        <w:t>VistA</w:t>
      </w:r>
      <w:r w:rsidR="00AB4026">
        <w:t xml:space="preserve"> does not provide a pseudonym or associated pseudo-ID for the patient that allows placement of a VistA order, VBECS cannot create a patient order for emergency issue of blood.</w:t>
      </w:r>
    </w:p>
    <w:p w14:paraId="162D8C92" w14:textId="77777777" w:rsidR="002A21AE" w:rsidRDefault="002A21AE">
      <w:pPr>
        <w:pStyle w:val="ListBullet"/>
      </w:pPr>
      <w:r>
        <w:lastRenderedPageBreak/>
        <w:t xml:space="preserve">“Issue with Medical Director Approval” components must be approved prior to this option and do not require special handling by VBECS. </w:t>
      </w:r>
    </w:p>
    <w:p w14:paraId="6C768D96" w14:textId="77777777" w:rsidR="002A21AE" w:rsidRDefault="002A21AE">
      <w:pPr>
        <w:pStyle w:val="ListBullet"/>
      </w:pPr>
      <w:r>
        <w:t>Emergency issue processing accommodates the issue of blood to patients without completed specimen testing, as required.</w:t>
      </w:r>
    </w:p>
    <w:p w14:paraId="1B229773" w14:textId="77777777" w:rsidR="009605EB" w:rsidRDefault="009605EB">
      <w:pPr>
        <w:pStyle w:val="ListBullet"/>
      </w:pPr>
      <w:r>
        <w:t xml:space="preserve">Sites may enter the lot number of blood administration sets </w:t>
      </w:r>
      <w:r w:rsidR="00A07263">
        <w:t xml:space="preserve">and leukoreducing filters </w:t>
      </w:r>
      <w:r>
        <w:t>when they enter the name of the individual picking up the blood product. VBECS retains this information in the unit history record.</w:t>
      </w:r>
    </w:p>
    <w:p w14:paraId="1918D63F" w14:textId="77777777" w:rsidR="00D059AF" w:rsidRDefault="00D059AF">
      <w:pPr>
        <w:pStyle w:val="ListBullet"/>
      </w:pPr>
      <w:r>
        <w:t>User must date all signature lines on the BTRF dating of the signatures [i.e., Inspected and issued by, Issued to, First Identifier, Second Identifier, Transfusion Data section completed by, Transfusion Reaction Data section completed by (as needed)].</w:t>
      </w:r>
    </w:p>
    <w:p w14:paraId="68DFDC97" w14:textId="77777777" w:rsidR="002A21AE" w:rsidRDefault="002A21AE">
      <w:pPr>
        <w:pStyle w:val="Heading4"/>
      </w:pPr>
      <w:bookmarkStart w:id="376" w:name="_Toc94349376"/>
      <w:r>
        <w:t>User Roles with Access to This Option</w:t>
      </w:r>
      <w:bookmarkEnd w:id="376"/>
    </w:p>
    <w:p w14:paraId="6F1E856A" w14:textId="77777777" w:rsidR="005C42D0" w:rsidRDefault="005C42D0" w:rsidP="005C42D0">
      <w:pPr>
        <w:pStyle w:val="Roles"/>
        <w:rPr>
          <w:snapToGrid w:val="0"/>
        </w:rPr>
      </w:pPr>
      <w:r>
        <w:t>All users</w:t>
      </w:r>
      <w:r>
        <w:rPr>
          <w:rFonts w:cs="Arial"/>
          <w:szCs w:val="18"/>
        </w:rPr>
        <w:t xml:space="preserve"> </w:t>
      </w:r>
    </w:p>
    <w:p w14:paraId="00F11751" w14:textId="77777777" w:rsidR="001F1013" w:rsidRDefault="001F1013" w:rsidP="001F1013">
      <w:pPr>
        <w:pStyle w:val="Caution"/>
      </w:pPr>
      <w:bookmarkStart w:id="377" w:name="_Toc94349377"/>
      <w:bookmarkEnd w:id="364"/>
      <w:bookmarkEnd w:id="365"/>
      <w:bookmarkEnd w:id="366"/>
      <w:bookmarkEnd w:id="367"/>
      <w:bookmarkEnd w:id="368"/>
      <w:bookmarkEnd w:id="369"/>
      <w:bookmarkEnd w:id="370"/>
      <w:r>
        <w:t>To correct issue time and other errors, return the unit from issue and reissue it with the correct information.</w:t>
      </w:r>
    </w:p>
    <w:p w14:paraId="3C182FCE" w14:textId="77777777" w:rsidR="002A21AE" w:rsidRDefault="002A21AE">
      <w:pPr>
        <w:pStyle w:val="Heading4"/>
      </w:pPr>
      <w:r>
        <w:t>Issue Blood Components (Routine)</w:t>
      </w:r>
      <w:bookmarkEnd w:id="377"/>
      <w:r>
        <w:fldChar w:fldCharType="begin"/>
      </w:r>
      <w:r>
        <w:instrText xml:space="preserve"> XE </w:instrText>
      </w:r>
      <w:r w:rsidR="00FA7E65">
        <w:instrText>“</w:instrText>
      </w:r>
      <w:r>
        <w:instrText>Issue Blood Components (Routine)</w:instrText>
      </w:r>
      <w:r w:rsidR="00FA7E65">
        <w:instrText>”</w:instrText>
      </w:r>
      <w:r>
        <w:instrText xml:space="preserve"> </w:instrText>
      </w:r>
      <w:r>
        <w:fldChar w:fldCharType="end"/>
      </w:r>
    </w:p>
    <w:p w14:paraId="06EEC037" w14:textId="77777777" w:rsidR="002A21AE" w:rsidRDefault="002A21AE" w:rsidP="00FA7E65">
      <w:pPr>
        <w:pStyle w:val="BodyText"/>
      </w:pPr>
      <w:r>
        <w:t xml:space="preserve">The user issues assigned or crossmatched blood to a transporter for patient transfusion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06B839" w14:textId="77777777">
        <w:trPr>
          <w:cantSplit/>
          <w:tblHeader/>
        </w:trPr>
        <w:tc>
          <w:tcPr>
            <w:tcW w:w="3240" w:type="dxa"/>
            <w:shd w:val="pct30" w:color="auto" w:fill="FFFFFF"/>
            <w:vAlign w:val="bottom"/>
          </w:tcPr>
          <w:p w14:paraId="1050BCC6" w14:textId="77777777" w:rsidR="002A21AE" w:rsidRDefault="002A21AE">
            <w:pPr>
              <w:pStyle w:val="TableText"/>
              <w:rPr>
                <w:b/>
              </w:rPr>
            </w:pPr>
            <w:r>
              <w:rPr>
                <w:b/>
              </w:rPr>
              <w:t>User Action</w:t>
            </w:r>
          </w:p>
        </w:tc>
        <w:tc>
          <w:tcPr>
            <w:tcW w:w="6120" w:type="dxa"/>
            <w:shd w:val="pct30" w:color="auto" w:fill="FFFFFF"/>
            <w:vAlign w:val="bottom"/>
          </w:tcPr>
          <w:p w14:paraId="0466B3A7" w14:textId="77777777" w:rsidR="002A21AE" w:rsidRDefault="002A21AE">
            <w:pPr>
              <w:pStyle w:val="TableText"/>
              <w:rPr>
                <w:b/>
              </w:rPr>
            </w:pPr>
            <w:r>
              <w:rPr>
                <w:b/>
              </w:rPr>
              <w:t>VBECS</w:t>
            </w:r>
          </w:p>
        </w:tc>
      </w:tr>
      <w:tr w:rsidR="002A21AE" w14:paraId="05685B88" w14:textId="77777777">
        <w:tc>
          <w:tcPr>
            <w:tcW w:w="3240" w:type="dxa"/>
            <w:tcBorders>
              <w:top w:val="single" w:sz="4" w:space="0" w:color="auto"/>
              <w:left w:val="single" w:sz="4" w:space="0" w:color="auto"/>
              <w:bottom w:val="single" w:sz="4" w:space="0" w:color="auto"/>
              <w:right w:val="single" w:sz="4" w:space="0" w:color="auto"/>
            </w:tcBorders>
          </w:tcPr>
          <w:p w14:paraId="63D66980" w14:textId="77777777" w:rsidR="002A21AE" w:rsidRDefault="002A21AE">
            <w:pPr>
              <w:pStyle w:val="TableTextNumbers"/>
            </w:pPr>
            <w:r>
              <w:t xml:space="preserve">Select </w:t>
            </w:r>
            <w:r>
              <w:rPr>
                <w:b/>
              </w:rPr>
              <w:t>Patients</w:t>
            </w:r>
            <w:r>
              <w:t xml:space="preserve"> from the main menu.</w:t>
            </w:r>
          </w:p>
          <w:p w14:paraId="339A4B03" w14:textId="77777777" w:rsidR="002A21AE" w:rsidRDefault="002A21AE">
            <w:pPr>
              <w:pStyle w:val="TableTextNumbersContinued"/>
            </w:pPr>
          </w:p>
          <w:p w14:paraId="413C8111"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49302DE3" w14:textId="77777777" w:rsidR="002A21AE" w:rsidRDefault="002A21AE">
            <w:pPr>
              <w:pStyle w:val="TableTextBullet"/>
            </w:pPr>
            <w:r>
              <w:t>Displays options for processing patient-related functions.</w:t>
            </w:r>
          </w:p>
          <w:p w14:paraId="585D2698" w14:textId="77777777" w:rsidR="002A21AE" w:rsidRDefault="002A21AE">
            <w:pPr>
              <w:pStyle w:val="TableTextBullet"/>
            </w:pPr>
            <w:r>
              <w:t>Displays an option to scan the Caution Tag or enter a patient name or ID.</w:t>
            </w:r>
          </w:p>
          <w:p w14:paraId="089E79DA" w14:textId="77777777" w:rsidR="002A21AE" w:rsidRDefault="002A21AE">
            <w:pPr>
              <w:pStyle w:val="TableText"/>
            </w:pPr>
          </w:p>
          <w:p w14:paraId="42B55180" w14:textId="2D9F9C64" w:rsidR="002A21AE" w:rsidRDefault="002A21AE">
            <w:pPr>
              <w:pStyle w:val="TableText"/>
              <w:rPr>
                <w:b/>
                <w:bCs/>
                <w:szCs w:val="18"/>
              </w:rPr>
            </w:pPr>
            <w:r>
              <w:rPr>
                <w:b/>
                <w:bCs/>
                <w:szCs w:val="18"/>
              </w:rPr>
              <w:t>NOTES</w:t>
            </w:r>
          </w:p>
          <w:p w14:paraId="410462E8" w14:textId="77777777" w:rsidR="002A21AE" w:rsidRDefault="002A21AE">
            <w:pPr>
              <w:pStyle w:val="NotesText"/>
            </w:pPr>
          </w:p>
          <w:p w14:paraId="60533C17" w14:textId="77777777" w:rsidR="002A21AE" w:rsidRDefault="002A21AE">
            <w:pPr>
              <w:pStyle w:val="NotesText"/>
            </w:pPr>
            <w:r>
              <w:rPr>
                <w:rFonts w:cs="Arial"/>
                <w:vanish/>
              </w:rPr>
              <w:t xml:space="preserve">BR_73.22 </w:t>
            </w:r>
            <w:r>
              <w:t>The user must verify the correct patient selection</w:t>
            </w:r>
            <w:r w:rsidR="00F3010E">
              <w:t>.</w:t>
            </w:r>
            <w:r>
              <w:t xml:space="preserve"> </w:t>
            </w:r>
          </w:p>
          <w:p w14:paraId="74352814" w14:textId="77777777" w:rsidR="001E0858" w:rsidRDefault="001E0858" w:rsidP="00CA495D">
            <w:pPr>
              <w:pStyle w:val="NotesText"/>
            </w:pPr>
          </w:p>
          <w:p w14:paraId="364F6C6B" w14:textId="77777777" w:rsidR="001E0858" w:rsidRDefault="001E0858" w:rsidP="00CA495D">
            <w:pPr>
              <w:pStyle w:val="NotesText"/>
            </w:pPr>
            <w:r>
              <w:t xml:space="preserve">The </w:t>
            </w:r>
            <w:r w:rsidRPr="00EC7489">
              <w:rPr>
                <w:rFonts w:ascii="Wingdings 3" w:hAnsi="Wingdings 3"/>
              </w:rPr>
              <w:t></w:t>
            </w:r>
            <w:r w:rsidRPr="00EC7489">
              <w:rPr>
                <w:rFonts w:ascii="Wingdings 3" w:hAnsi="Wingdings 3"/>
              </w:rPr>
              <w:t></w:t>
            </w:r>
            <w:r>
              <w:t xml:space="preserve"> Enhanced Technologist </w:t>
            </w:r>
            <w:r w:rsidR="00915BD8">
              <w:t>or</w:t>
            </w:r>
            <w:r>
              <w:t xml:space="preserve"> above is authorized to issue expired blood products.</w:t>
            </w:r>
          </w:p>
          <w:p w14:paraId="1FFF271B" w14:textId="77777777" w:rsidR="001E0858" w:rsidRDefault="001E0858" w:rsidP="00CA495D">
            <w:pPr>
              <w:pStyle w:val="NotesText"/>
            </w:pPr>
          </w:p>
          <w:p w14:paraId="1A8BEF4F" w14:textId="77777777" w:rsidR="001E0858" w:rsidRPr="001E0858" w:rsidRDefault="001E0858" w:rsidP="00CA495D">
            <w:pPr>
              <w:pStyle w:val="NotesText"/>
              <w:rPr>
                <w:snapToGrid w:val="0"/>
              </w:rPr>
            </w:pPr>
            <w:r>
              <w:t xml:space="preserve">The </w:t>
            </w:r>
            <w:r w:rsidRPr="00EC7489">
              <w:rPr>
                <w:rFonts w:ascii="Wingdings 3" w:hAnsi="Wingdings 3"/>
              </w:rPr>
              <w:t></w:t>
            </w:r>
            <w:r w:rsidRPr="00EC7489">
              <w:rPr>
                <w:rFonts w:ascii="Wingdings 3" w:hAnsi="Wingdings 3"/>
              </w:rPr>
              <w:t></w:t>
            </w:r>
            <w:r w:rsidRPr="00EC7489">
              <w:rPr>
                <w:rFonts w:ascii="Wingdings 3" w:hAnsi="Wingdings 3"/>
              </w:rPr>
              <w:t></w:t>
            </w:r>
            <w:r>
              <w:t xml:space="preserve"> </w:t>
            </w:r>
            <w:r>
              <w:rPr>
                <w:rFonts w:cs="Arial"/>
              </w:rPr>
              <w:t>Lead Technologist</w:t>
            </w:r>
            <w:r>
              <w:rPr>
                <w:snapToGrid w:val="0"/>
              </w:rPr>
              <w:t xml:space="preserve"> </w:t>
            </w:r>
            <w:r w:rsidR="00915BD8">
              <w:rPr>
                <w:snapToGrid w:val="0"/>
              </w:rPr>
              <w:t>or</w:t>
            </w:r>
            <w:r>
              <w:rPr>
                <w:snapToGrid w:val="0"/>
              </w:rPr>
              <w:t xml:space="preserve"> above is authorized to issue antigen positive and untyped red blood cells.</w:t>
            </w:r>
          </w:p>
        </w:tc>
      </w:tr>
      <w:tr w:rsidR="002A21AE" w14:paraId="443193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F8C1BDE"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0D15D49D" w14:textId="77777777" w:rsidR="002A21AE" w:rsidRDefault="002A21AE">
            <w:pPr>
              <w:pStyle w:val="TableTextBullet"/>
            </w:pPr>
            <w:r>
              <w:t>Displays patient data, including entries that meet the entered patient criteria, and allows the user to select the correct patient.</w:t>
            </w:r>
          </w:p>
          <w:p w14:paraId="198A5105" w14:textId="77777777" w:rsidR="002A21AE" w:rsidRDefault="002A21AE">
            <w:pPr>
              <w:pStyle w:val="TableText"/>
            </w:pPr>
          </w:p>
          <w:p w14:paraId="6A52F951" w14:textId="5F3F6BB0" w:rsidR="002A21AE" w:rsidRDefault="002A21AE">
            <w:pPr>
              <w:pStyle w:val="TableText"/>
              <w:rPr>
                <w:b/>
                <w:bCs/>
                <w:szCs w:val="18"/>
              </w:rPr>
            </w:pPr>
            <w:r>
              <w:rPr>
                <w:b/>
                <w:bCs/>
                <w:szCs w:val="18"/>
              </w:rPr>
              <w:t>NOTES</w:t>
            </w:r>
          </w:p>
          <w:p w14:paraId="0C3383BA" w14:textId="77777777" w:rsidR="002A21AE" w:rsidRDefault="002A21AE">
            <w:pPr>
              <w:pStyle w:val="NotesText"/>
            </w:pPr>
          </w:p>
          <w:p w14:paraId="2F512E3E" w14:textId="150CC277"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EE455E">
              <w:t xml:space="preserve">Table </w:t>
            </w:r>
            <w:r w:rsidR="00EE455E">
              <w:rPr>
                <w:noProof/>
              </w:rPr>
              <w:t>7</w:t>
            </w:r>
            <w:r w:rsidR="002A21AE">
              <w:t xml:space="preserve"> for alerts that may occur during this option.</w:t>
            </w:r>
          </w:p>
          <w:p w14:paraId="5867D8CA" w14:textId="77777777" w:rsidR="006E1BB2" w:rsidRDefault="006E1BB2">
            <w:pPr>
              <w:pStyle w:val="TableText"/>
              <w:ind w:left="360"/>
            </w:pPr>
          </w:p>
          <w:p w14:paraId="22F4962D" w14:textId="77777777" w:rsidR="006E1BB2" w:rsidRDefault="006E1BB2" w:rsidP="006E1BB2">
            <w:pPr>
              <w:pStyle w:val="TableText"/>
              <w:ind w:left="720"/>
            </w:pPr>
            <w:r>
              <w:t xml:space="preserve">Not all possible error messages may display when multiple messages may apply to the unit/patient. Correction of any one of the patient/unit problems and </w:t>
            </w:r>
            <w:r w:rsidR="008C7599">
              <w:t xml:space="preserve">subsequent re-attempts </w:t>
            </w:r>
            <w:r>
              <w:t>to issue the unit to the patient will display another of the possible messages until all</w:t>
            </w:r>
            <w:r w:rsidR="008C7599">
              <w:t xml:space="preserve"> errors</w:t>
            </w:r>
            <w:r>
              <w:t xml:space="preserve"> are corrected. </w:t>
            </w:r>
            <w:r w:rsidRPr="006E1BB2">
              <w:rPr>
                <w:vanish/>
              </w:rPr>
              <w:t>DR 4808</w:t>
            </w:r>
          </w:p>
          <w:p w14:paraId="1C31F931" w14:textId="77777777" w:rsidR="006E1BB2" w:rsidRDefault="006E1BB2" w:rsidP="006E1BB2">
            <w:pPr>
              <w:pStyle w:val="TableText"/>
              <w:ind w:left="720"/>
            </w:pPr>
          </w:p>
        </w:tc>
      </w:tr>
      <w:tr w:rsidR="002A21AE" w14:paraId="250028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3CE754E0"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1AFEC12" w14:textId="77777777" w:rsidR="002A21AE" w:rsidRDefault="002A21AE" w:rsidP="003B4820">
            <w:pPr>
              <w:pStyle w:val="TableTextBullet"/>
            </w:pPr>
            <w:r>
              <w:t>Displays fields for the user to enter data for the issue transaction.</w:t>
            </w:r>
          </w:p>
        </w:tc>
      </w:tr>
      <w:tr w:rsidR="002A21AE" w14:paraId="752A197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20E9AA7" w14:textId="33CCDABB" w:rsidR="002A21AE" w:rsidRDefault="002A21AE">
            <w:pPr>
              <w:pStyle w:val="TableTextNumbers"/>
            </w:pPr>
            <w:r>
              <w:lastRenderedPageBreak/>
              <w:t xml:space="preserve">Enter the required </w:t>
            </w:r>
            <w:r w:rsidR="003B4820">
              <w:t>data in the transporter name, issue-to location, and date and time fields</w:t>
            </w:r>
            <w:r w:rsidR="00A04663">
              <w:t xml:space="preserve"> </w:t>
            </w:r>
            <w:r w:rsidR="003767D2">
              <w:t>(</w:t>
            </w:r>
            <w:r w:rsidR="00EE455E">
              <w:t xml:space="preserve">Figure </w:t>
            </w:r>
            <w:r w:rsidR="00EE455E">
              <w:rPr>
                <w:noProof/>
              </w:rPr>
              <w:t>72</w:t>
            </w:r>
            <w:r w:rsidR="003767D2">
              <w:t>)</w:t>
            </w:r>
            <w:r>
              <w:t>.</w:t>
            </w:r>
          </w:p>
          <w:p w14:paraId="554FB728" w14:textId="77777777" w:rsidR="003B4820" w:rsidRDefault="003B4820" w:rsidP="003B4820">
            <w:pPr>
              <w:pStyle w:val="TableTextNumbersContinued"/>
            </w:pPr>
          </w:p>
          <w:p w14:paraId="6E32661A" w14:textId="77777777" w:rsidR="003B4820" w:rsidRPr="003B4820" w:rsidRDefault="003B4820" w:rsidP="003B4820">
            <w:pPr>
              <w:pStyle w:val="TableTextNumbersContinued"/>
            </w:pPr>
            <w:r>
              <w:t xml:space="preserve">Click </w:t>
            </w:r>
            <w:r>
              <w:rPr>
                <w:b/>
              </w:rPr>
              <w:t>OK</w:t>
            </w:r>
            <w:r w:rsidRPr="003B4820">
              <w:t>.</w:t>
            </w:r>
          </w:p>
        </w:tc>
        <w:tc>
          <w:tcPr>
            <w:tcW w:w="6120" w:type="dxa"/>
            <w:tcBorders>
              <w:top w:val="single" w:sz="6" w:space="0" w:color="auto"/>
              <w:left w:val="single" w:sz="6" w:space="0" w:color="auto"/>
              <w:bottom w:val="single" w:sz="6" w:space="0" w:color="auto"/>
              <w:right w:val="single" w:sz="6" w:space="0" w:color="auto"/>
            </w:tcBorders>
          </w:tcPr>
          <w:p w14:paraId="1E83D4DB" w14:textId="77777777" w:rsidR="003B4820" w:rsidRDefault="003B4820" w:rsidP="003B4820">
            <w:pPr>
              <w:pStyle w:val="TableText"/>
            </w:pPr>
          </w:p>
          <w:p w14:paraId="42898E21" w14:textId="1F132418" w:rsidR="003B4820" w:rsidRDefault="003B4820" w:rsidP="003B4820">
            <w:pPr>
              <w:pStyle w:val="TableText"/>
              <w:rPr>
                <w:b/>
                <w:bCs/>
                <w:szCs w:val="18"/>
              </w:rPr>
            </w:pPr>
            <w:r>
              <w:rPr>
                <w:b/>
                <w:bCs/>
                <w:szCs w:val="18"/>
              </w:rPr>
              <w:t>NOTES</w:t>
            </w:r>
          </w:p>
          <w:p w14:paraId="321E6726" w14:textId="77777777" w:rsidR="003B4820" w:rsidRDefault="003B4820" w:rsidP="003B4820">
            <w:pPr>
              <w:pStyle w:val="NotesText"/>
            </w:pPr>
          </w:p>
          <w:p w14:paraId="5367EA81" w14:textId="77777777" w:rsidR="003B4820" w:rsidRDefault="003B4820" w:rsidP="003B4820">
            <w:pPr>
              <w:pStyle w:val="NotesText"/>
            </w:pPr>
            <w:r>
              <w:rPr>
                <w:rFonts w:cs="Arial"/>
                <w:vanish/>
              </w:rPr>
              <w:t xml:space="preserve">BR_73.01 </w:t>
            </w:r>
            <w:r>
              <w:t>The user may edit the transfusion-ordering clinician, which does not change the blood-ordering clinician.</w:t>
            </w:r>
          </w:p>
          <w:p w14:paraId="549C3E90" w14:textId="77777777" w:rsidR="003B4820" w:rsidRDefault="003B4820" w:rsidP="003B4820">
            <w:pPr>
              <w:pStyle w:val="NotesText"/>
            </w:pPr>
          </w:p>
          <w:p w14:paraId="09190324" w14:textId="77777777" w:rsidR="003B4820" w:rsidRDefault="003B4820" w:rsidP="003B4820">
            <w:pPr>
              <w:pStyle w:val="NotesText"/>
            </w:pPr>
            <w:r>
              <w:rPr>
                <w:rFonts w:cs="Arial"/>
                <w:vanish/>
              </w:rPr>
              <w:t xml:space="preserve">BR_73.18 </w:t>
            </w:r>
            <w:r>
              <w:t xml:space="preserve">When the user updates the transfusion-ordering-clinician field, VistALink queries </w:t>
            </w:r>
            <w:r w:rsidRPr="00CA0045">
              <w:rPr>
                <w:bCs/>
              </w:rPr>
              <w:t>VistA</w:t>
            </w:r>
            <w:r>
              <w:t xml:space="preserve"> for valid providers only. The user may narrow the search by entering the provider’s name.</w:t>
            </w:r>
          </w:p>
          <w:p w14:paraId="1F9A33FA" w14:textId="77777777" w:rsidR="003B4820" w:rsidRDefault="003B4820" w:rsidP="003B4820">
            <w:pPr>
              <w:pStyle w:val="NotesText"/>
            </w:pPr>
          </w:p>
          <w:p w14:paraId="79C8C4A0" w14:textId="77777777" w:rsidR="003B4820" w:rsidRDefault="003B4820" w:rsidP="003B4820">
            <w:pPr>
              <w:pStyle w:val="NotesText"/>
            </w:pPr>
            <w:r>
              <w:rPr>
                <w:rFonts w:cs="Arial"/>
                <w:vanish/>
              </w:rPr>
              <w:t xml:space="preserve">BR_73.08 </w:t>
            </w:r>
            <w:r>
              <w:t>The user may edit the issue date and time (default: current date and time) to allow retrospective data entry; no future issue date or time is allowed. When the issue time is incorrect, the user must undo the issue and reissue the unit with the correct date and time.</w:t>
            </w:r>
          </w:p>
          <w:p w14:paraId="262C20EB" w14:textId="77777777" w:rsidR="003B4820" w:rsidRDefault="003B4820" w:rsidP="003B4820">
            <w:pPr>
              <w:pStyle w:val="NotesText"/>
            </w:pPr>
          </w:p>
          <w:p w14:paraId="05F79557" w14:textId="47A65B1C" w:rsidR="003B4820" w:rsidRDefault="003B4820" w:rsidP="00F11F45">
            <w:pPr>
              <w:pStyle w:val="NotesText"/>
            </w:pPr>
            <w:r w:rsidRPr="00F11F45">
              <w:rPr>
                <w:vanish/>
                <w:szCs w:val="18"/>
              </w:rPr>
              <w:t xml:space="preserve">BR_73.09, BR_30.02 </w:t>
            </w:r>
            <w:r w:rsidRPr="00F11F45">
              <w:t>A remote storage indicator is optional (default: No).</w:t>
            </w:r>
            <w:r w:rsidR="006549B7" w:rsidRPr="00F11F45">
              <w:t xml:space="preserve"> </w:t>
            </w:r>
            <w:r w:rsidRPr="00F11F45">
              <w:t xml:space="preserve">The transporter name field allows free text and does not display a selection list. </w:t>
            </w:r>
            <w:r w:rsidR="00F11F45" w:rsidRPr="00F11F45">
              <w:t xml:space="preserve">The issue-to location is a listing of current hospital locations, provided by VistALink when available. When VistALink is not available, the system indicates that an issue-to location is not available and disables the issue-to location field. </w:t>
            </w:r>
            <w:r w:rsidRPr="00F11F45">
              <w:t>This is related to billing reimbursement and is not an enabled field in the issue option.</w:t>
            </w:r>
          </w:p>
          <w:p w14:paraId="48180671" w14:textId="5CBBEC66" w:rsidR="00F11F45" w:rsidRDefault="00F11F45" w:rsidP="003B4820">
            <w:pPr>
              <w:pStyle w:val="NotesText"/>
            </w:pPr>
          </w:p>
          <w:p w14:paraId="6A1BAEF1" w14:textId="77777777" w:rsidR="00102607" w:rsidRDefault="00102607" w:rsidP="003B4820">
            <w:pPr>
              <w:pStyle w:val="NotesText"/>
            </w:pPr>
            <w:r>
              <w:t xml:space="preserve">A user could return the unit from issue and reissue it with a hospital location when VistALink is up again. </w:t>
            </w:r>
            <w:r w:rsidRPr="00102607">
              <w:rPr>
                <w:vanish/>
              </w:rPr>
              <w:t>DR 5073</w:t>
            </w:r>
          </w:p>
          <w:p w14:paraId="4313563A" w14:textId="77777777" w:rsidR="003B4820" w:rsidRDefault="003B4820" w:rsidP="003B4820">
            <w:pPr>
              <w:pStyle w:val="NotesText"/>
              <w:rPr>
                <w:rFonts w:cs="Arial"/>
              </w:rPr>
            </w:pPr>
          </w:p>
          <w:p w14:paraId="57DFC084" w14:textId="77777777" w:rsidR="003B4820" w:rsidRDefault="003B4820" w:rsidP="003B4820">
            <w:pPr>
              <w:pStyle w:val="NotesText"/>
            </w:pPr>
            <w:r>
              <w:rPr>
                <w:rFonts w:cs="Arial"/>
                <w:vanish/>
              </w:rPr>
              <w:t xml:space="preserve">BR_73.34 </w:t>
            </w:r>
            <w:r>
              <w:t>When a remote storage location indicator is checked, the user may select from a list of previously entered locations or enter a new, free-text location. Each location entered and saved is available for future selection as a remote location.</w:t>
            </w:r>
          </w:p>
          <w:p w14:paraId="3DE972CD" w14:textId="77777777" w:rsidR="00D43534" w:rsidRDefault="00D43534" w:rsidP="003B4820">
            <w:pPr>
              <w:pStyle w:val="NotesText"/>
            </w:pPr>
          </w:p>
          <w:p w14:paraId="3FE5FD10" w14:textId="77777777" w:rsidR="00D43534" w:rsidRDefault="00D43534" w:rsidP="003B4820">
            <w:pPr>
              <w:pStyle w:val="NotesText"/>
            </w:pPr>
            <w:r w:rsidRPr="00D43534">
              <w:rPr>
                <w:rFonts w:cs="Arial"/>
                <w:vanish/>
                <w:szCs w:val="18"/>
              </w:rPr>
              <w:t xml:space="preserve">BR_73.38 </w:t>
            </w:r>
            <w:r>
              <w:rPr>
                <w:rFonts w:cs="Arial"/>
                <w:szCs w:val="18"/>
              </w:rPr>
              <w:t>When the component order is for PLATE</w:t>
            </w:r>
            <w:r w:rsidR="00EF6C4B">
              <w:rPr>
                <w:rFonts w:cs="Arial"/>
                <w:szCs w:val="18"/>
              </w:rPr>
              <w:t>LETS or OTHER, the units with = &gt;</w:t>
            </w:r>
            <w:r>
              <w:rPr>
                <w:rFonts w:cs="Arial"/>
                <w:szCs w:val="18"/>
              </w:rPr>
              <w:t xml:space="preserve"> 2 mL of RBC contamination must be presented </w:t>
            </w:r>
            <w:r w:rsidRPr="005722FA">
              <w:rPr>
                <w:rFonts w:cs="Arial"/>
                <w:szCs w:val="18"/>
              </w:rPr>
              <w:t>and checke</w:t>
            </w:r>
            <w:r>
              <w:rPr>
                <w:rFonts w:cs="Arial"/>
                <w:szCs w:val="18"/>
              </w:rPr>
              <w:t>d for compatibility and will display before products with less than (&lt; ) 2 mL of RBC contamination. The system will present all available units when the Product Type is PLATELETS or OTHER non-plasma components that have &lt; 2 mL RBC contamination.</w:t>
            </w:r>
          </w:p>
        </w:tc>
      </w:tr>
      <w:tr w:rsidR="002A21AE" w14:paraId="6247BE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1EDA97" w14:textId="0E44CDAF" w:rsidR="002A21AE" w:rsidRDefault="002A21AE" w:rsidP="003B7F11">
            <w:pPr>
              <w:pStyle w:val="TableTextNumbers"/>
            </w:pPr>
            <w:r>
              <w:t xml:space="preserve">Scan </w:t>
            </w:r>
            <w:r w:rsidR="00323155">
              <w:t xml:space="preserve">the unit ID and product code, </w:t>
            </w:r>
            <w:r>
              <w:t>or click one or more check boxes to select units for issue to the selected patient</w:t>
            </w:r>
            <w:r w:rsidR="003767D2">
              <w:t xml:space="preserve"> (</w:t>
            </w:r>
            <w:r w:rsidR="00EE455E">
              <w:t xml:space="preserve">Figure </w:t>
            </w:r>
            <w:r w:rsidR="00EE455E">
              <w:rPr>
                <w:noProof/>
              </w:rPr>
              <w:t>73</w:t>
            </w:r>
            <w:r w:rsidR="003767D2">
              <w:t>)</w:t>
            </w:r>
            <w:r>
              <w:t>.</w:t>
            </w:r>
          </w:p>
        </w:tc>
        <w:tc>
          <w:tcPr>
            <w:tcW w:w="6120" w:type="dxa"/>
            <w:tcBorders>
              <w:top w:val="single" w:sz="6" w:space="0" w:color="auto"/>
              <w:left w:val="single" w:sz="6" w:space="0" w:color="auto"/>
              <w:bottom w:val="single" w:sz="6" w:space="0" w:color="auto"/>
              <w:right w:val="single" w:sz="6" w:space="0" w:color="auto"/>
            </w:tcBorders>
          </w:tcPr>
          <w:p w14:paraId="19B4CB45" w14:textId="77777777" w:rsidR="005D4DA6" w:rsidRDefault="005D4DA6" w:rsidP="005D4DA6">
            <w:pPr>
              <w:pStyle w:val="TableTextBullet"/>
            </w:pPr>
            <w:r>
              <w:t xml:space="preserve">Displays the option to select units from the Assigned Units or Emergency Issue Units tabs. </w:t>
            </w:r>
          </w:p>
          <w:p w14:paraId="47E6C5A5" w14:textId="77777777" w:rsidR="002A21AE" w:rsidRDefault="002A21AE">
            <w:pPr>
              <w:pStyle w:val="TableTextBullet"/>
              <w:tabs>
                <w:tab w:val="num" w:pos="360"/>
              </w:tabs>
            </w:pPr>
            <w:r>
              <w:t xml:space="preserve">Lists the selected units, allows the user to select additional units or deselect units, and prompts the user to indicate that the selections are complete. </w:t>
            </w:r>
          </w:p>
          <w:p w14:paraId="7B3931E4" w14:textId="77777777" w:rsidR="006709A3" w:rsidRDefault="006709A3" w:rsidP="006709A3">
            <w:pPr>
              <w:pStyle w:val="TableTextBullet"/>
              <w:tabs>
                <w:tab w:val="num" w:pos="360"/>
              </w:tabs>
            </w:pPr>
            <w:r>
              <w:t>Allows the user to select the unsatisfactory unit and edit its issue selections.</w:t>
            </w:r>
          </w:p>
          <w:p w14:paraId="5C3BE7B2" w14:textId="77777777" w:rsidR="002A21AE" w:rsidRDefault="002A21AE">
            <w:pPr>
              <w:pStyle w:val="TableText"/>
            </w:pPr>
          </w:p>
          <w:p w14:paraId="013478DA" w14:textId="3C5C6870" w:rsidR="002A21AE" w:rsidRDefault="002A21AE">
            <w:pPr>
              <w:pStyle w:val="TableText"/>
              <w:rPr>
                <w:b/>
                <w:bCs/>
                <w:szCs w:val="18"/>
              </w:rPr>
            </w:pPr>
            <w:r>
              <w:rPr>
                <w:b/>
                <w:bCs/>
                <w:szCs w:val="18"/>
              </w:rPr>
              <w:t>NOTES</w:t>
            </w:r>
          </w:p>
          <w:p w14:paraId="550CE6DC" w14:textId="77777777" w:rsidR="002A21AE" w:rsidRDefault="002A21AE">
            <w:pPr>
              <w:pStyle w:val="NotesText"/>
            </w:pPr>
          </w:p>
          <w:p w14:paraId="6B017171" w14:textId="13294F7A"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t xml:space="preserve"> </w:t>
            </w:r>
            <w:r w:rsidR="00EE455E">
              <w:t xml:space="preserve">Table </w:t>
            </w:r>
            <w:r w:rsidR="00EE455E">
              <w:rPr>
                <w:noProof/>
              </w:rPr>
              <w:t>7</w:t>
            </w:r>
            <w:r w:rsidR="002A21AE">
              <w:t xml:space="preserve"> for alerts that may occur during this option.</w:t>
            </w:r>
          </w:p>
          <w:p w14:paraId="3169FA75" w14:textId="77777777" w:rsidR="00336F17" w:rsidRDefault="00336F17" w:rsidP="00336F17">
            <w:pPr>
              <w:pStyle w:val="NotesText"/>
            </w:pPr>
          </w:p>
          <w:p w14:paraId="49BA1E77" w14:textId="77777777" w:rsidR="00336F17" w:rsidRPr="004212C7" w:rsidRDefault="00336F17" w:rsidP="00336F17">
            <w:pPr>
              <w:pStyle w:val="NotesText"/>
              <w:rPr>
                <w:szCs w:val="18"/>
              </w:rPr>
            </w:pPr>
            <w:r w:rsidRPr="004212C7">
              <w:rPr>
                <w:vanish/>
                <w:szCs w:val="18"/>
              </w:rPr>
              <w:t xml:space="preserve">BR_73.35 </w:t>
            </w:r>
            <w:r w:rsidRPr="004212C7">
              <w:rPr>
                <w:szCs w:val="18"/>
              </w:rPr>
              <w:t>When the user attempts to issue a unit with an inconclusive crossmatch result, VBECS warns the user that the repeat crossmatch is required before the unit can be issued.</w:t>
            </w:r>
          </w:p>
          <w:p w14:paraId="042F8B68" w14:textId="77777777" w:rsidR="00336F17" w:rsidRPr="004212C7" w:rsidRDefault="00336F17" w:rsidP="00336F17">
            <w:pPr>
              <w:pStyle w:val="NotesText"/>
              <w:rPr>
                <w:szCs w:val="18"/>
              </w:rPr>
            </w:pPr>
          </w:p>
          <w:p w14:paraId="2F03D5E5" w14:textId="77777777" w:rsidR="00336F17" w:rsidRPr="004212C7" w:rsidRDefault="00336F17" w:rsidP="00336F17">
            <w:pPr>
              <w:pStyle w:val="NotesText"/>
              <w:rPr>
                <w:szCs w:val="18"/>
              </w:rPr>
            </w:pPr>
            <w:r w:rsidRPr="004212C7">
              <w:rPr>
                <w:vanish/>
                <w:szCs w:val="18"/>
              </w:rPr>
              <w:lastRenderedPageBreak/>
              <w:t xml:space="preserve">BR_73.13 </w:t>
            </w:r>
            <w:r w:rsidRPr="004212C7">
              <w:rPr>
                <w:szCs w:val="18"/>
              </w:rPr>
              <w:t>When the user attempts to issue a unit that is not assigned or crossmatched to the patient, VBECS warns the user that the unit is not assigned to the patient and allows the user to enter another unit number.</w:t>
            </w:r>
          </w:p>
          <w:p w14:paraId="4131861D" w14:textId="77777777" w:rsidR="00336F17" w:rsidRPr="004212C7" w:rsidRDefault="00336F17" w:rsidP="00336F17">
            <w:pPr>
              <w:pStyle w:val="NotesText"/>
              <w:rPr>
                <w:szCs w:val="18"/>
              </w:rPr>
            </w:pPr>
          </w:p>
          <w:p w14:paraId="23F2CACC" w14:textId="7C41572E" w:rsidR="004C49BF" w:rsidRPr="004C49BF" w:rsidRDefault="004C49BF" w:rsidP="004C49BF">
            <w:pPr>
              <w:pStyle w:val="NotesText"/>
              <w:rPr>
                <w:szCs w:val="18"/>
              </w:rPr>
            </w:pPr>
            <w:r w:rsidRPr="004C49BF">
              <w:rPr>
                <w:vanish/>
                <w:szCs w:val="18"/>
              </w:rPr>
              <w:t xml:space="preserve">BR_73.26 </w:t>
            </w:r>
            <w:r w:rsidRPr="004C49BF">
              <w:rPr>
                <w:szCs w:val="18"/>
              </w:rPr>
              <w:t xml:space="preserve">When the current division is configured as "full service" in Maintain VAMC Division, ABO confirmation is required for all blood units contained in the </w:t>
            </w:r>
            <w:r w:rsidRPr="008A3C45">
              <w:rPr>
                <w:szCs w:val="18"/>
              </w:rPr>
              <w:t xml:space="preserve">WB or RBC or </w:t>
            </w:r>
            <w:r w:rsidRPr="004C49BF">
              <w:rPr>
                <w:szCs w:val="18"/>
              </w:rPr>
              <w:t>PLT or OTHER units</w:t>
            </w:r>
            <w:r w:rsidR="00276485">
              <w:rPr>
                <w:szCs w:val="18"/>
              </w:rPr>
              <w:t xml:space="preserve"> with</w:t>
            </w:r>
            <w:r w:rsidRPr="004C49BF">
              <w:rPr>
                <w:szCs w:val="18"/>
              </w:rPr>
              <w:t xml:space="preserve"> = </w:t>
            </w:r>
            <w:r w:rsidR="00276485">
              <w:rPr>
                <w:szCs w:val="18"/>
              </w:rPr>
              <w:t xml:space="preserve">&gt; </w:t>
            </w:r>
            <w:r w:rsidRPr="004C49BF">
              <w:rPr>
                <w:szCs w:val="18"/>
              </w:rPr>
              <w:t>2 mL RBC contamination When performed, ABO confirmation must match unit ABO at log-in.</w:t>
            </w:r>
          </w:p>
          <w:p w14:paraId="345AB9CB" w14:textId="77777777" w:rsidR="004C49BF" w:rsidRPr="004C49BF" w:rsidRDefault="004C49BF" w:rsidP="004C49BF">
            <w:pPr>
              <w:pStyle w:val="NotesText"/>
              <w:rPr>
                <w:szCs w:val="18"/>
              </w:rPr>
            </w:pPr>
          </w:p>
          <w:p w14:paraId="179677BE" w14:textId="77777777" w:rsidR="004C49BF" w:rsidRPr="004C49BF" w:rsidRDefault="004C49BF" w:rsidP="004C49BF">
            <w:pPr>
              <w:pStyle w:val="NotesText"/>
              <w:rPr>
                <w:szCs w:val="18"/>
              </w:rPr>
            </w:pPr>
            <w:r w:rsidRPr="004C49BF">
              <w:rPr>
                <w:vanish/>
                <w:szCs w:val="18"/>
              </w:rPr>
              <w:t xml:space="preserve">BR_73.26 </w:t>
            </w:r>
            <w:r w:rsidRPr="004C49BF">
              <w:rPr>
                <w:szCs w:val="18"/>
              </w:rPr>
              <w:t xml:space="preserve">The unit must have a satisfactory confirmation result before it is considered available for issue and the Blood Transfusion Record Form and Unit Caution Tag may be generated. </w:t>
            </w:r>
          </w:p>
          <w:p w14:paraId="027C6315" w14:textId="77777777" w:rsidR="004C49BF" w:rsidRDefault="004C49BF" w:rsidP="004C49BF">
            <w:pPr>
              <w:pStyle w:val="TableText"/>
            </w:pPr>
          </w:p>
          <w:p w14:paraId="78F1D2CD" w14:textId="77777777" w:rsidR="002A21AE" w:rsidRPr="004212C7" w:rsidRDefault="004C49BF" w:rsidP="004C49BF">
            <w:pPr>
              <w:pStyle w:val="NotesText"/>
              <w:rPr>
                <w:szCs w:val="18"/>
              </w:rPr>
            </w:pPr>
            <w:r w:rsidRPr="004C49BF">
              <w:rPr>
                <w:vanish/>
              </w:rPr>
              <w:t xml:space="preserve">BR_73.26 </w:t>
            </w:r>
            <w:r>
              <w:t>Rh confirmation results are required on all blood units from the “WHOLE BLOOD”, “RED BLOOD CELLS” component classes or OTHER unit</w:t>
            </w:r>
            <w:r w:rsidR="00276485">
              <w:t>s with = &gt;</w:t>
            </w:r>
            <w:r>
              <w:t xml:space="preserve"> 2 mL RBC contamination labeled as Rh negative during shipment receipt. When performed, Rh confirmation must match Rh at log-in.</w:t>
            </w:r>
          </w:p>
          <w:p w14:paraId="7030E8D3" w14:textId="77777777" w:rsidR="00AE062E" w:rsidRPr="004212C7" w:rsidRDefault="002A21AE" w:rsidP="00102A03">
            <w:pPr>
              <w:pStyle w:val="NotesText"/>
              <w:rPr>
                <w:szCs w:val="18"/>
              </w:rPr>
            </w:pPr>
            <w:r w:rsidRPr="004212C7">
              <w:rPr>
                <w:rFonts w:cs="Arial"/>
                <w:vanish/>
                <w:szCs w:val="18"/>
              </w:rPr>
              <w:t xml:space="preserve">BR_3.42 </w:t>
            </w:r>
            <w:r w:rsidRPr="004212C7">
              <w:rPr>
                <w:szCs w:val="18"/>
              </w:rPr>
              <w:t>When a current specimen is required, VBECS compares the current and previous ABO/Rh results. It does not evaluate results marked “Test Result Invalidated.”</w:t>
            </w:r>
          </w:p>
          <w:p w14:paraId="1F60DC38" w14:textId="77777777" w:rsidR="00336F17" w:rsidRPr="004212C7" w:rsidRDefault="00336F17" w:rsidP="00336F17">
            <w:pPr>
              <w:pStyle w:val="NotesText"/>
              <w:rPr>
                <w:szCs w:val="18"/>
              </w:rPr>
            </w:pPr>
          </w:p>
          <w:p w14:paraId="61ED03AB" w14:textId="6817B34C" w:rsidR="00AB3D10" w:rsidRPr="004212C7" w:rsidRDefault="004212C7" w:rsidP="00336F17">
            <w:pPr>
              <w:pStyle w:val="NotesText"/>
              <w:rPr>
                <w:szCs w:val="18"/>
              </w:rPr>
            </w:pPr>
            <w:r w:rsidRPr="004212C7">
              <w:rPr>
                <w:vanish/>
                <w:szCs w:val="18"/>
              </w:rPr>
              <w:t>BR_73.23</w:t>
            </w:r>
            <w:r w:rsidRPr="004212C7">
              <w:rPr>
                <w:szCs w:val="18"/>
              </w:rPr>
              <w:t>When issuing blood components f</w:t>
            </w:r>
            <w:r w:rsidR="00276485">
              <w:rPr>
                <w:szCs w:val="18"/>
              </w:rPr>
              <w:t xml:space="preserve">rom the Any unit that </w:t>
            </w:r>
            <w:r w:rsidR="006549B7">
              <w:rPr>
                <w:szCs w:val="18"/>
              </w:rPr>
              <w:t>contains &gt;</w:t>
            </w:r>
            <w:r w:rsidR="00276485">
              <w:rPr>
                <w:szCs w:val="18"/>
              </w:rPr>
              <w:t xml:space="preserve"> = </w:t>
            </w:r>
            <w:r w:rsidRPr="004212C7">
              <w:rPr>
                <w:szCs w:val="18"/>
              </w:rPr>
              <w:t>2 mL of RBC contamination, the associated specimen’s TAS must be completed and the unit status must be crossmatched to the selected patient to routine issue. Optionally, the unit may be emergency issued.</w:t>
            </w:r>
          </w:p>
          <w:p w14:paraId="5CB2A138" w14:textId="77777777" w:rsidR="004212C7" w:rsidRPr="004212C7" w:rsidRDefault="004212C7" w:rsidP="00336F17">
            <w:pPr>
              <w:pStyle w:val="NotesText"/>
              <w:rPr>
                <w:szCs w:val="18"/>
              </w:rPr>
            </w:pPr>
          </w:p>
          <w:p w14:paraId="4BDFC2FA" w14:textId="77777777" w:rsidR="00AB3D10" w:rsidRPr="003A05F7" w:rsidRDefault="00AB3D10" w:rsidP="003A05F7">
            <w:pPr>
              <w:pStyle w:val="NotesText"/>
              <w:rPr>
                <w:sz w:val="16"/>
                <w:szCs w:val="16"/>
              </w:rPr>
            </w:pPr>
            <w:r w:rsidRPr="004212C7">
              <w:rPr>
                <w:szCs w:val="18"/>
              </w:rPr>
              <w:t xml:space="preserve">Whole blood is not allowed for </w:t>
            </w:r>
            <w:r w:rsidR="008C7599" w:rsidRPr="004212C7">
              <w:rPr>
                <w:szCs w:val="18"/>
              </w:rPr>
              <w:t xml:space="preserve">the </w:t>
            </w:r>
            <w:r w:rsidR="00FB3CC8" w:rsidRPr="004212C7">
              <w:rPr>
                <w:szCs w:val="18"/>
              </w:rPr>
              <w:t>emergency issue process. C</w:t>
            </w:r>
            <w:r w:rsidRPr="004212C7">
              <w:rPr>
                <w:szCs w:val="18"/>
              </w:rPr>
              <w:t xml:space="preserve">ompleted Type and Screen and compatible crossmatch </w:t>
            </w:r>
            <w:r w:rsidR="00FB3CC8" w:rsidRPr="004212C7">
              <w:rPr>
                <w:szCs w:val="18"/>
              </w:rPr>
              <w:t>tests are</w:t>
            </w:r>
            <w:r w:rsidRPr="004212C7">
              <w:rPr>
                <w:szCs w:val="18"/>
              </w:rPr>
              <w:t xml:space="preserve"> required for whole blood issuance. </w:t>
            </w:r>
            <w:r w:rsidRPr="003A05F7">
              <w:rPr>
                <w:vanish/>
                <w:sz w:val="16"/>
                <w:szCs w:val="16"/>
              </w:rPr>
              <w:t>DR 4811</w:t>
            </w:r>
            <w:r w:rsidR="003D719C" w:rsidRPr="003A05F7">
              <w:rPr>
                <w:vanish/>
                <w:sz w:val="16"/>
                <w:szCs w:val="16"/>
              </w:rPr>
              <w:t xml:space="preserve"> DR 4854</w:t>
            </w:r>
          </w:p>
        </w:tc>
      </w:tr>
      <w:tr w:rsidR="002A21AE" w14:paraId="19158F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755C3C67" w14:textId="77777777" w:rsidR="002A21AE" w:rsidRDefault="002A21AE">
            <w:pPr>
              <w:pStyle w:val="TableTextNumbers"/>
            </w:pPr>
            <w:r>
              <w:lastRenderedPageBreak/>
              <w:t xml:space="preserve">Click </w:t>
            </w:r>
            <w:r>
              <w:rPr>
                <w:b/>
              </w:rPr>
              <w:t>OK</w:t>
            </w:r>
            <w:r>
              <w:t xml:space="preserve"> </w:t>
            </w:r>
            <w:r w:rsidR="00A304AE">
              <w:t>to save and complete the unit issue</w:t>
            </w:r>
            <w:r>
              <w:t>.</w:t>
            </w:r>
          </w:p>
        </w:tc>
        <w:tc>
          <w:tcPr>
            <w:tcW w:w="6120" w:type="dxa"/>
            <w:tcBorders>
              <w:top w:val="single" w:sz="6" w:space="0" w:color="auto"/>
              <w:left w:val="single" w:sz="6" w:space="0" w:color="auto"/>
              <w:bottom w:val="single" w:sz="6" w:space="0" w:color="auto"/>
              <w:right w:val="single" w:sz="6" w:space="0" w:color="auto"/>
            </w:tcBorders>
          </w:tcPr>
          <w:p w14:paraId="6E86309A" w14:textId="77777777" w:rsidR="002A21AE" w:rsidRDefault="002A21AE">
            <w:pPr>
              <w:pStyle w:val="TableTextBullet"/>
              <w:tabs>
                <w:tab w:val="num" w:pos="360"/>
              </w:tabs>
            </w:pPr>
            <w:r>
              <w:t xml:space="preserve">Displays entries for review and editing. </w:t>
            </w:r>
          </w:p>
          <w:p w14:paraId="2D038772" w14:textId="77777777" w:rsidR="002A21AE" w:rsidRDefault="002A21AE">
            <w:pPr>
              <w:pStyle w:val="TableText"/>
            </w:pPr>
          </w:p>
          <w:p w14:paraId="7B6FF1DC" w14:textId="401F619C" w:rsidR="002A21AE" w:rsidRDefault="002A21AE">
            <w:pPr>
              <w:pStyle w:val="TableText"/>
              <w:rPr>
                <w:b/>
                <w:bCs/>
                <w:szCs w:val="18"/>
              </w:rPr>
            </w:pPr>
            <w:r>
              <w:rPr>
                <w:b/>
                <w:bCs/>
                <w:szCs w:val="18"/>
              </w:rPr>
              <w:t>NOTES</w:t>
            </w:r>
          </w:p>
          <w:p w14:paraId="109E6FC6" w14:textId="77777777" w:rsidR="002A21AE" w:rsidRDefault="002A21AE">
            <w:pPr>
              <w:pStyle w:val="NotesText"/>
            </w:pPr>
          </w:p>
          <w:p w14:paraId="7F5A3609" w14:textId="77777777" w:rsidR="002A21AE" w:rsidRDefault="002A21AE">
            <w:pPr>
              <w:pStyle w:val="NotesText"/>
            </w:pPr>
            <w:r>
              <w:rPr>
                <w:rFonts w:cs="Arial"/>
                <w:vanish/>
              </w:rPr>
              <w:t xml:space="preserve">BR_73.24 </w:t>
            </w:r>
            <w:r>
              <w:t>When the user selects multiple units for a patient and creates a batch for issue, all units in the batch are issued simultaneously to the same location. VBECS assigns the issue information to all units in the batch. The user may not enter different information, including any override comment, for an individual unit in the batch.</w:t>
            </w:r>
          </w:p>
          <w:p w14:paraId="1B202500" w14:textId="77777777" w:rsidR="0090203E" w:rsidRDefault="0090203E">
            <w:pPr>
              <w:pStyle w:val="NotesText"/>
            </w:pPr>
          </w:p>
          <w:p w14:paraId="2932B34E" w14:textId="615FCF55" w:rsidR="0090203E" w:rsidRDefault="0090203E">
            <w:pPr>
              <w:pStyle w:val="NotesText"/>
            </w:pPr>
            <w:r>
              <w:t>If</w:t>
            </w:r>
            <w:r w:rsidRPr="0090203E">
              <w:t xml:space="preserve"> the user clicks Cancel, VBECS closes without displaying a co</w:t>
            </w:r>
            <w:r>
              <w:t>nfirmation message that data will be</w:t>
            </w:r>
            <w:r w:rsidRPr="0090203E">
              <w:t xml:space="preserve"> lost.</w:t>
            </w:r>
            <w:r w:rsidR="00730CAA">
              <w:t xml:space="preserve"> </w:t>
            </w:r>
            <w:r w:rsidR="00730CAA" w:rsidRPr="00730CAA">
              <w:rPr>
                <w:vanish/>
              </w:rPr>
              <w:t>Defect 208530</w:t>
            </w:r>
          </w:p>
        </w:tc>
      </w:tr>
      <w:tr w:rsidR="002A21AE" w14:paraId="7010A0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3E5F37" w14:textId="77777777" w:rsidR="002A21AE" w:rsidRDefault="002A21AE">
            <w:pPr>
              <w:pStyle w:val="TableTextNumbers"/>
            </w:pPr>
            <w:r>
              <w:t xml:space="preserve">Click </w:t>
            </w:r>
            <w:r>
              <w:rPr>
                <w:b/>
              </w:rPr>
              <w:t>Yes</w:t>
            </w:r>
            <w:r>
              <w:t xml:space="preserve"> when the unit is satisfactory to save, or </w:t>
            </w:r>
            <w:r>
              <w:rPr>
                <w:b/>
              </w:rPr>
              <w:t>No</w:t>
            </w:r>
            <w:r>
              <w:t xml:space="preserve"> when the unit is unsatisfactory.</w:t>
            </w:r>
          </w:p>
          <w:p w14:paraId="52D7BA10" w14:textId="77777777" w:rsidR="002A21AE" w:rsidRDefault="002A21AE">
            <w:pPr>
              <w:pStyle w:val="TableTextNumbers"/>
              <w:numPr>
                <w:ilvl w:val="0"/>
                <w:numId w:val="0"/>
              </w:numPr>
            </w:pPr>
          </w:p>
        </w:tc>
        <w:tc>
          <w:tcPr>
            <w:tcW w:w="6120" w:type="dxa"/>
            <w:tcBorders>
              <w:top w:val="single" w:sz="6" w:space="0" w:color="auto"/>
              <w:left w:val="single" w:sz="6" w:space="0" w:color="auto"/>
              <w:bottom w:val="single" w:sz="6" w:space="0" w:color="auto"/>
              <w:right w:val="single" w:sz="6" w:space="0" w:color="auto"/>
            </w:tcBorders>
          </w:tcPr>
          <w:p w14:paraId="3909E608" w14:textId="77777777" w:rsidR="002A21AE" w:rsidRDefault="002A21AE">
            <w:pPr>
              <w:pStyle w:val="TableTextBullet"/>
              <w:tabs>
                <w:tab w:val="num" w:pos="360"/>
              </w:tabs>
            </w:pPr>
            <w:r>
              <w:t>Saves the data.</w:t>
            </w:r>
          </w:p>
          <w:p w14:paraId="4BCAA22A" w14:textId="77777777" w:rsidR="002A21AE" w:rsidRDefault="002A21AE" w:rsidP="006709A3">
            <w:pPr>
              <w:pStyle w:val="TableTextBullet"/>
              <w:tabs>
                <w:tab w:val="num" w:pos="360"/>
              </w:tabs>
            </w:pPr>
            <w:r>
              <w:t>Displays the unit inspection indicator (satisfactory or unsatisfactory) listing each selected unit.</w:t>
            </w:r>
          </w:p>
          <w:p w14:paraId="40E30304" w14:textId="77777777" w:rsidR="009F2DE7" w:rsidRPr="00B25E96" w:rsidRDefault="009F2DE7" w:rsidP="00750533">
            <w:pPr>
              <w:pStyle w:val="TableTextBullet"/>
              <w:tabs>
                <w:tab w:val="num" w:pos="360"/>
              </w:tabs>
            </w:pPr>
            <w:r w:rsidRPr="00B25E96">
              <w:rPr>
                <w:rFonts w:cs="Arial"/>
                <w:szCs w:val="18"/>
              </w:rPr>
              <w:t xml:space="preserve">Sends updated patient and blood unit information to the BCE COTS system via an HL7 message. The message contains the date time when VBECS creates the message and not the date time the user selects the unit for issue. </w:t>
            </w:r>
            <w:r w:rsidRPr="00B25E96">
              <w:rPr>
                <w:rFonts w:cs="Arial"/>
                <w:vanish/>
                <w:szCs w:val="18"/>
              </w:rPr>
              <w:t>DR 4334</w:t>
            </w:r>
          </w:p>
          <w:p w14:paraId="5FF77D67" w14:textId="77777777" w:rsidR="002A21AE" w:rsidRDefault="002A21AE">
            <w:pPr>
              <w:pStyle w:val="TableText"/>
            </w:pPr>
          </w:p>
          <w:p w14:paraId="3492C72A" w14:textId="0EF07E1C" w:rsidR="002A21AE" w:rsidRDefault="002A21AE">
            <w:pPr>
              <w:pStyle w:val="TableText"/>
              <w:rPr>
                <w:b/>
                <w:bCs/>
                <w:szCs w:val="18"/>
              </w:rPr>
            </w:pPr>
            <w:r>
              <w:rPr>
                <w:b/>
                <w:bCs/>
                <w:szCs w:val="18"/>
              </w:rPr>
              <w:t>NOTES</w:t>
            </w:r>
          </w:p>
          <w:p w14:paraId="7DEF5B90" w14:textId="77777777" w:rsidR="002A21AE" w:rsidRDefault="002A21AE">
            <w:pPr>
              <w:pStyle w:val="NotesText"/>
            </w:pPr>
          </w:p>
          <w:p w14:paraId="6298A430" w14:textId="70B72A76" w:rsidR="002A21AE" w:rsidRDefault="00896F17">
            <w:pPr>
              <w:pStyle w:val="TableText"/>
              <w:ind w:left="360"/>
            </w:pPr>
            <w:r w:rsidRPr="00896F17">
              <w:rPr>
                <w:rStyle w:val="BullhornChar"/>
              </w:rPr>
              <w:lastRenderedPageBreak/>
              <w:t></w:t>
            </w:r>
            <w:r w:rsidRPr="00C51C45">
              <w:rPr>
                <w:rFonts w:ascii="Webdings" w:hAnsi="Webdings"/>
                <w:szCs w:val="22"/>
              </w:rPr>
              <w:t></w:t>
            </w:r>
            <w:r>
              <w:rPr>
                <w:rFonts w:cs="Arial"/>
                <w:szCs w:val="22"/>
              </w:rPr>
              <w:t>See</w:t>
            </w:r>
            <w:r w:rsidR="002A21AE">
              <w:t xml:space="preserve"> </w:t>
            </w:r>
            <w:r w:rsidR="00EE455E">
              <w:t xml:space="preserve">Table </w:t>
            </w:r>
            <w:r w:rsidR="00EE455E">
              <w:rPr>
                <w:noProof/>
              </w:rPr>
              <w:t>7</w:t>
            </w:r>
            <w:r w:rsidR="002A21AE">
              <w:t xml:space="preserve"> for alerts that may occur during this option.</w:t>
            </w:r>
          </w:p>
          <w:p w14:paraId="14DFAF77" w14:textId="77777777" w:rsidR="009F2DE7" w:rsidRDefault="009F2DE7">
            <w:pPr>
              <w:pStyle w:val="TableText"/>
              <w:ind w:left="360"/>
            </w:pPr>
          </w:p>
          <w:p w14:paraId="645B1C87" w14:textId="24631A63" w:rsidR="009F2DE7" w:rsidRDefault="009F2DE7">
            <w:pPr>
              <w:pStyle w:val="TableText"/>
              <w:ind w:left="360"/>
            </w:pPr>
            <w:r w:rsidRPr="00B25E96">
              <w:t>Sites using BCE COTS must issue blood components in real-time for BCE COTS to be able to perform transfusion verification.</w:t>
            </w:r>
            <w:r>
              <w:t xml:space="preserve"> </w:t>
            </w:r>
            <w:r w:rsidR="00BB7B66">
              <w:rPr>
                <w:vanish/>
              </w:rPr>
              <w:t>DR</w:t>
            </w:r>
            <w:r w:rsidR="00963554" w:rsidRPr="00963554">
              <w:rPr>
                <w:vanish/>
              </w:rPr>
              <w:t xml:space="preserve"> </w:t>
            </w:r>
            <w:r w:rsidR="00963554">
              <w:rPr>
                <w:vanish/>
              </w:rPr>
              <w:t>4334</w:t>
            </w:r>
          </w:p>
          <w:p w14:paraId="1A68DEFA" w14:textId="1C7E0EC0" w:rsidR="00FA3713" w:rsidRDefault="00FA3713">
            <w:pPr>
              <w:pStyle w:val="TableText"/>
              <w:ind w:left="360"/>
            </w:pPr>
          </w:p>
          <w:p w14:paraId="16625F02" w14:textId="5AF1996E" w:rsidR="009F2DE7" w:rsidRPr="00963554" w:rsidRDefault="00FA3713" w:rsidP="00963554">
            <w:pPr>
              <w:pStyle w:val="TableText"/>
              <w:ind w:left="360"/>
            </w:pPr>
            <w:r w:rsidRPr="00FA3713">
              <w:t>The area to mark a unit unsatisfactory for issue extends beyond the checkbox. A user that clicks in that area, but not the checkbox, could inadvertently mark a unit unsatisfactory for issue.</w:t>
            </w:r>
            <w:r>
              <w:t xml:space="preserve"> </w:t>
            </w:r>
            <w:r w:rsidRPr="00FA3713">
              <w:t>A VBECS Confirmation message window appears to verify the user wants to remove patient association and quarantine the unit.</w:t>
            </w:r>
            <w:r>
              <w:t xml:space="preserve"> The user must click No if he mistakenly indicated that the</w:t>
            </w:r>
            <w:r w:rsidRPr="00FA3713">
              <w:t xml:space="preserve"> unit was unsatisfactory for issue.</w:t>
            </w:r>
            <w:r w:rsidR="00730CAA">
              <w:t xml:space="preserve"> </w:t>
            </w:r>
            <w:r w:rsidR="00730CAA" w:rsidRPr="00730CAA">
              <w:rPr>
                <w:vanish/>
              </w:rPr>
              <w:t xml:space="preserve">Defect </w:t>
            </w:r>
            <w:r w:rsidR="008C2AAA">
              <w:rPr>
                <w:vanish/>
              </w:rPr>
              <w:t>959630</w:t>
            </w:r>
          </w:p>
          <w:p w14:paraId="56E37BC9" w14:textId="77777777" w:rsidR="009F2DE7" w:rsidRDefault="009F2DE7">
            <w:pPr>
              <w:pStyle w:val="TableText"/>
              <w:ind w:left="360"/>
            </w:pPr>
          </w:p>
        </w:tc>
      </w:tr>
      <w:tr w:rsidR="002A21AE" w14:paraId="20AF90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E50187" w14:textId="77777777" w:rsidR="002A21AE" w:rsidRDefault="002A21AE">
            <w:pPr>
              <w:pStyle w:val="TableTextNumbersContinued"/>
            </w:pPr>
          </w:p>
          <w:p w14:paraId="147867B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6" w:space="0" w:color="auto"/>
              <w:left w:val="single" w:sz="6" w:space="0" w:color="auto"/>
              <w:bottom w:val="single" w:sz="6" w:space="0" w:color="auto"/>
              <w:right w:val="single" w:sz="6" w:space="0" w:color="auto"/>
            </w:tcBorders>
          </w:tcPr>
          <w:p w14:paraId="6A2ECE5C" w14:textId="77777777" w:rsidR="002A21AE" w:rsidRDefault="002A21AE">
            <w:pPr>
              <w:pStyle w:val="TableText"/>
            </w:pPr>
          </w:p>
        </w:tc>
      </w:tr>
    </w:tbl>
    <w:p w14:paraId="0A3B6971" w14:textId="496824EF" w:rsidR="00A04663" w:rsidRDefault="00A04663" w:rsidP="00A04663">
      <w:pPr>
        <w:pStyle w:val="Caption"/>
      </w:pPr>
      <w:bookmarkStart w:id="378" w:name="_Ref127093318"/>
      <w:bookmarkStart w:id="379" w:name="_Toc9434937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73</w:t>
      </w:r>
      <w:r w:rsidR="004E20BD">
        <w:rPr>
          <w:noProof/>
        </w:rPr>
        <w:fldChar w:fldCharType="end"/>
      </w:r>
      <w:bookmarkEnd w:id="378"/>
      <w:r>
        <w:t>: Issue Blood Components</w:t>
      </w:r>
      <w:r w:rsidR="005D4DA6">
        <w:t xml:space="preserve"> (1)</w:t>
      </w:r>
    </w:p>
    <w:p w14:paraId="2448CC06" w14:textId="77777777" w:rsidR="003B4820" w:rsidRDefault="00057948" w:rsidP="003B4820">
      <w:pPr>
        <w:pStyle w:val="BodyText"/>
      </w:pPr>
      <w:r>
        <w:rPr>
          <w:noProof/>
        </w:rPr>
        <w:drawing>
          <wp:inline distT="0" distB="0" distL="0" distR="0" wp14:anchorId="70CB0C8A" wp14:editId="2F93F0CD">
            <wp:extent cx="3722370" cy="2927985"/>
            <wp:effectExtent l="0" t="0" r="0" b="5715"/>
            <wp:docPr id="190" name="Picture 190" descr="Example of Issue Blood Components (1)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Example of Issue Blood Components (1) screen captur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22370" cy="2927985"/>
                    </a:xfrm>
                    <a:prstGeom prst="rect">
                      <a:avLst/>
                    </a:prstGeom>
                    <a:noFill/>
                    <a:ln>
                      <a:noFill/>
                    </a:ln>
                  </pic:spPr>
                </pic:pic>
              </a:graphicData>
            </a:graphic>
          </wp:inline>
        </w:drawing>
      </w:r>
    </w:p>
    <w:p w14:paraId="17C7CFF5" w14:textId="14FD6954" w:rsidR="005D4DA6" w:rsidRDefault="005D4DA6" w:rsidP="005D4DA6">
      <w:pPr>
        <w:pStyle w:val="Caption"/>
      </w:pPr>
      <w:bookmarkStart w:id="380" w:name="_Ref12709356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74</w:t>
      </w:r>
      <w:r w:rsidR="004E20BD">
        <w:rPr>
          <w:noProof/>
        </w:rPr>
        <w:fldChar w:fldCharType="end"/>
      </w:r>
      <w:bookmarkEnd w:id="380"/>
      <w:r>
        <w:t>: Issue Blood Components (2)</w:t>
      </w:r>
    </w:p>
    <w:p w14:paraId="6781B24F" w14:textId="25609A3B" w:rsidR="005D4DA6" w:rsidRDefault="00F927FC" w:rsidP="003B4820">
      <w:pPr>
        <w:pStyle w:val="BodyText"/>
      </w:pPr>
      <w:r>
        <w:rPr>
          <w:noProof/>
        </w:rPr>
        <w:drawing>
          <wp:inline distT="0" distB="0" distL="0" distR="0" wp14:anchorId="5D83E92E" wp14:editId="31929AE0">
            <wp:extent cx="5943600" cy="4223385"/>
            <wp:effectExtent l="0" t="0" r="0" b="5715"/>
            <wp:docPr id="179" name="Picture 179" descr="Example of Issue Blood Components (2)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Example of Issue Blood Components (2) screen captur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223385"/>
                    </a:xfrm>
                    <a:prstGeom prst="rect">
                      <a:avLst/>
                    </a:prstGeom>
                    <a:noFill/>
                    <a:ln>
                      <a:noFill/>
                    </a:ln>
                  </pic:spPr>
                </pic:pic>
              </a:graphicData>
            </a:graphic>
          </wp:inline>
        </w:drawing>
      </w:r>
    </w:p>
    <w:p w14:paraId="75A26566" w14:textId="77777777" w:rsidR="002A21AE" w:rsidRDefault="002A21AE">
      <w:pPr>
        <w:pStyle w:val="Heading4"/>
      </w:pPr>
      <w:r>
        <w:t>Issue Blood Components (Emergency)</w:t>
      </w:r>
      <w:bookmarkEnd w:id="379"/>
      <w:r>
        <w:fldChar w:fldCharType="begin"/>
      </w:r>
      <w:r>
        <w:instrText xml:space="preserve"> XE </w:instrText>
      </w:r>
      <w:r w:rsidR="00FA7E65">
        <w:instrText>“</w:instrText>
      </w:r>
      <w:r>
        <w:instrText>Issue Blood Components (Emergency)</w:instrText>
      </w:r>
      <w:r w:rsidR="00FA7E65">
        <w:instrText>”</w:instrText>
      </w:r>
      <w:r>
        <w:instrText xml:space="preserve"> </w:instrText>
      </w:r>
      <w:r>
        <w:fldChar w:fldCharType="end"/>
      </w:r>
    </w:p>
    <w:p w14:paraId="7218FF0D" w14:textId="77777777" w:rsidR="002A21AE" w:rsidRDefault="002A21AE" w:rsidP="00FA7E65">
      <w:pPr>
        <w:pStyle w:val="BodyText"/>
      </w:pPr>
      <w:r>
        <w:t xml:space="preserve">The user issues assigned or crossmatched blood to a transporter for patient transfusion that does not meet routine issue conditions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F105A1" w14:textId="77777777">
        <w:trPr>
          <w:cantSplit/>
          <w:tblHeader/>
        </w:trPr>
        <w:tc>
          <w:tcPr>
            <w:tcW w:w="3240" w:type="dxa"/>
            <w:shd w:val="pct30" w:color="auto" w:fill="FFFFFF"/>
            <w:vAlign w:val="bottom"/>
          </w:tcPr>
          <w:p w14:paraId="43FD7F72" w14:textId="77777777" w:rsidR="002A21AE" w:rsidRDefault="002A21AE">
            <w:pPr>
              <w:pStyle w:val="TableText"/>
              <w:rPr>
                <w:b/>
              </w:rPr>
            </w:pPr>
            <w:r>
              <w:rPr>
                <w:b/>
              </w:rPr>
              <w:t>User Action</w:t>
            </w:r>
          </w:p>
        </w:tc>
        <w:tc>
          <w:tcPr>
            <w:tcW w:w="6120" w:type="dxa"/>
            <w:shd w:val="pct30" w:color="auto" w:fill="FFFFFF"/>
            <w:vAlign w:val="bottom"/>
          </w:tcPr>
          <w:p w14:paraId="6F0F1DA4" w14:textId="77777777" w:rsidR="002A21AE" w:rsidRDefault="002A21AE">
            <w:pPr>
              <w:pStyle w:val="TableText"/>
              <w:rPr>
                <w:b/>
              </w:rPr>
            </w:pPr>
            <w:r>
              <w:rPr>
                <w:b/>
              </w:rPr>
              <w:t>VBECS</w:t>
            </w:r>
          </w:p>
        </w:tc>
      </w:tr>
      <w:tr w:rsidR="002A21AE" w14:paraId="4869EDDD" w14:textId="77777777">
        <w:tc>
          <w:tcPr>
            <w:tcW w:w="3240" w:type="dxa"/>
            <w:tcBorders>
              <w:top w:val="single" w:sz="4" w:space="0" w:color="auto"/>
              <w:left w:val="single" w:sz="4" w:space="0" w:color="auto"/>
              <w:bottom w:val="single" w:sz="4" w:space="0" w:color="auto"/>
              <w:right w:val="single" w:sz="4" w:space="0" w:color="auto"/>
            </w:tcBorders>
          </w:tcPr>
          <w:p w14:paraId="0671BE72" w14:textId="77777777" w:rsidR="002A21AE" w:rsidRDefault="002A21AE">
            <w:pPr>
              <w:pStyle w:val="TableTextNumbers"/>
            </w:pPr>
            <w:r>
              <w:t xml:space="preserve">Select </w:t>
            </w:r>
            <w:r>
              <w:rPr>
                <w:b/>
              </w:rPr>
              <w:t>Patients</w:t>
            </w:r>
            <w:r>
              <w:t xml:space="preserve"> from the main menu.</w:t>
            </w:r>
          </w:p>
          <w:p w14:paraId="54A3BD6E" w14:textId="77777777" w:rsidR="002A21AE" w:rsidRDefault="002A21AE">
            <w:pPr>
              <w:pStyle w:val="TableTextNumbersContinued"/>
            </w:pPr>
          </w:p>
          <w:p w14:paraId="28A710A2"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2C35F15E" w14:textId="77777777" w:rsidR="002A21AE" w:rsidRDefault="002A21AE">
            <w:pPr>
              <w:pStyle w:val="TableTextBullet"/>
            </w:pPr>
            <w:r>
              <w:t>Displays options for processing patient-related functions.</w:t>
            </w:r>
          </w:p>
          <w:p w14:paraId="2C7966CF" w14:textId="77777777" w:rsidR="002A21AE" w:rsidRDefault="002A21AE">
            <w:pPr>
              <w:pStyle w:val="TableTextBullet"/>
            </w:pPr>
            <w:r>
              <w:t>Displays an option to scan the Caution Tag or enter a patient name or ID.</w:t>
            </w:r>
          </w:p>
        </w:tc>
      </w:tr>
      <w:tr w:rsidR="002A21AE" w14:paraId="2FFFF7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22D708E2"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2E7C9886" w14:textId="77777777" w:rsidR="002A21AE" w:rsidRDefault="002A21AE">
            <w:pPr>
              <w:pStyle w:val="TableTextBullet"/>
              <w:tabs>
                <w:tab w:val="num" w:pos="360"/>
              </w:tabs>
            </w:pPr>
            <w:r>
              <w:t>Displays patient data, including entries that meet the entered patient criteria, and allows the user to select the correct patient.</w:t>
            </w:r>
          </w:p>
          <w:p w14:paraId="7CF41F06" w14:textId="77777777" w:rsidR="002A21AE" w:rsidRDefault="002A21AE">
            <w:pPr>
              <w:pStyle w:val="TableText"/>
            </w:pPr>
          </w:p>
          <w:p w14:paraId="3C571AEC" w14:textId="3B22A2E2" w:rsidR="002A21AE" w:rsidRDefault="002A21AE">
            <w:pPr>
              <w:pStyle w:val="TableText"/>
              <w:rPr>
                <w:b/>
                <w:bCs/>
                <w:szCs w:val="18"/>
              </w:rPr>
            </w:pPr>
            <w:r>
              <w:rPr>
                <w:b/>
                <w:bCs/>
                <w:szCs w:val="18"/>
              </w:rPr>
              <w:t>NOTES</w:t>
            </w:r>
          </w:p>
          <w:p w14:paraId="74B09F61" w14:textId="77777777" w:rsidR="002A21AE" w:rsidRDefault="002A21AE">
            <w:pPr>
              <w:pStyle w:val="NotesText"/>
            </w:pPr>
          </w:p>
          <w:p w14:paraId="36DF4FAA" w14:textId="1A72136D"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t xml:space="preserve"> </w:t>
            </w:r>
            <w:r w:rsidR="00EE455E">
              <w:t xml:space="preserve">Table </w:t>
            </w:r>
            <w:r w:rsidR="00EE455E">
              <w:rPr>
                <w:noProof/>
              </w:rPr>
              <w:t>8</w:t>
            </w:r>
            <w:r w:rsidR="002A21AE">
              <w:t xml:space="preserve"> for alerts that may occur during this option.</w:t>
            </w:r>
          </w:p>
        </w:tc>
      </w:tr>
      <w:tr w:rsidR="002A21AE" w14:paraId="469FF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9BF87A4"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3C34E4F" w14:textId="77777777" w:rsidR="002A21AE" w:rsidRDefault="002A21AE">
            <w:pPr>
              <w:pStyle w:val="TableTextBullet"/>
              <w:tabs>
                <w:tab w:val="clear" w:pos="288"/>
              </w:tabs>
            </w:pPr>
            <w:r>
              <w:t>Displays fields for the user to enter the data for the issue transaction.</w:t>
            </w:r>
          </w:p>
        </w:tc>
      </w:tr>
      <w:tr w:rsidR="002A21AE" w14:paraId="2623DD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trPr>
        <w:tc>
          <w:tcPr>
            <w:tcW w:w="3240" w:type="dxa"/>
            <w:tcBorders>
              <w:top w:val="single" w:sz="6" w:space="0" w:color="auto"/>
              <w:left w:val="single" w:sz="6" w:space="0" w:color="auto"/>
              <w:bottom w:val="single" w:sz="6" w:space="0" w:color="auto"/>
              <w:right w:val="single" w:sz="6" w:space="0" w:color="auto"/>
            </w:tcBorders>
          </w:tcPr>
          <w:p w14:paraId="0275A156" w14:textId="77777777" w:rsidR="002A21AE" w:rsidRDefault="002A21AE">
            <w:pPr>
              <w:pStyle w:val="TableTextNumbers"/>
            </w:pPr>
            <w:r>
              <w:t>Enter the required data.</w:t>
            </w:r>
          </w:p>
        </w:tc>
        <w:tc>
          <w:tcPr>
            <w:tcW w:w="6120" w:type="dxa"/>
            <w:tcBorders>
              <w:top w:val="single" w:sz="6" w:space="0" w:color="auto"/>
              <w:left w:val="single" w:sz="6" w:space="0" w:color="auto"/>
              <w:bottom w:val="single" w:sz="6" w:space="0" w:color="auto"/>
              <w:right w:val="single" w:sz="6" w:space="0" w:color="auto"/>
            </w:tcBorders>
          </w:tcPr>
          <w:p w14:paraId="75BB1BBB" w14:textId="77777777" w:rsidR="002A21AE" w:rsidRDefault="002A21AE">
            <w:pPr>
              <w:pStyle w:val="TableTextBullet"/>
              <w:tabs>
                <w:tab w:val="num" w:pos="360"/>
              </w:tabs>
            </w:pPr>
            <w:r>
              <w:t>Displays the option to select units from the Assigned Units or Emergency Issue Units tabs.</w:t>
            </w:r>
          </w:p>
        </w:tc>
      </w:tr>
      <w:tr w:rsidR="002A21AE" w14:paraId="3DF28F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FC39A5" w14:textId="77777777" w:rsidR="002A21AE" w:rsidRDefault="002A21AE">
            <w:pPr>
              <w:pStyle w:val="TableTextNumbers"/>
            </w:pPr>
            <w:r>
              <w:lastRenderedPageBreak/>
              <w:t xml:space="preserve">Click the </w:t>
            </w:r>
            <w:r>
              <w:rPr>
                <w:b/>
              </w:rPr>
              <w:t>Emergency Issue Units tab</w:t>
            </w:r>
            <w:r>
              <w:t>.</w:t>
            </w:r>
          </w:p>
          <w:p w14:paraId="0F3C5C31" w14:textId="77777777" w:rsidR="002A21AE" w:rsidRDefault="002A21AE">
            <w:pPr>
              <w:pStyle w:val="TableTextNumbersContinued"/>
            </w:pPr>
          </w:p>
          <w:p w14:paraId="19A970D6" w14:textId="59A5DE92" w:rsidR="002A21AE" w:rsidRDefault="002A21AE">
            <w:pPr>
              <w:pStyle w:val="TableTextNumbersContinued"/>
            </w:pPr>
            <w:r>
              <w:t>Scan or click one or more check boxes to select units for issue to the selected patient</w:t>
            </w:r>
            <w:r w:rsidR="00FD6D00">
              <w:t xml:space="preserve"> (</w:t>
            </w:r>
            <w:r w:rsidR="00EE455E">
              <w:t xml:space="preserve">Figure </w:t>
            </w:r>
            <w:r w:rsidR="00EE455E">
              <w:rPr>
                <w:noProof/>
              </w:rPr>
              <w:t>74</w:t>
            </w:r>
            <w:r w:rsidR="00FD6D00">
              <w:t>)</w:t>
            </w:r>
            <w:r>
              <w:t>.</w:t>
            </w:r>
          </w:p>
          <w:p w14:paraId="145A7B97" w14:textId="77777777" w:rsidR="002A21AE" w:rsidRDefault="002A21AE">
            <w:pPr>
              <w:pStyle w:val="TableTextNumbersContinued"/>
            </w:pPr>
          </w:p>
          <w:p w14:paraId="6E440C05" w14:textId="77777777" w:rsidR="002A21AE" w:rsidRDefault="002A21AE">
            <w:pPr>
              <w:pStyle w:val="TableTextNumbersContinued"/>
            </w:pPr>
            <w:r>
              <w:t xml:space="preserve">Click </w:t>
            </w:r>
            <w:r>
              <w:rPr>
                <w:b/>
              </w:rPr>
              <w:t>OK</w:t>
            </w:r>
            <w:r>
              <w:t>.</w:t>
            </w:r>
          </w:p>
        </w:tc>
        <w:tc>
          <w:tcPr>
            <w:tcW w:w="6120" w:type="dxa"/>
            <w:tcBorders>
              <w:top w:val="single" w:sz="6" w:space="0" w:color="auto"/>
              <w:left w:val="single" w:sz="6" w:space="0" w:color="auto"/>
              <w:bottom w:val="single" w:sz="6" w:space="0" w:color="auto"/>
              <w:right w:val="single" w:sz="6" w:space="0" w:color="auto"/>
            </w:tcBorders>
          </w:tcPr>
          <w:p w14:paraId="438E168D" w14:textId="77777777" w:rsidR="002A21AE" w:rsidRDefault="002A21AE">
            <w:pPr>
              <w:pStyle w:val="TableTextBullet"/>
              <w:tabs>
                <w:tab w:val="num" w:pos="360"/>
              </w:tabs>
            </w:pPr>
            <w:r>
              <w:t>Lists the selected units, allows the user to select additional units or deselect units, and prompts the user to indicate th</w:t>
            </w:r>
            <w:r w:rsidR="006709A3">
              <w:t>at the selections are complete.</w:t>
            </w:r>
          </w:p>
          <w:p w14:paraId="3D03E714" w14:textId="77777777" w:rsidR="006709A3" w:rsidRDefault="006709A3" w:rsidP="006709A3">
            <w:pPr>
              <w:pStyle w:val="TableTextBullet"/>
              <w:tabs>
                <w:tab w:val="num" w:pos="360"/>
              </w:tabs>
            </w:pPr>
            <w:r>
              <w:t>Allows the user to select the unsatisfactory unit and edit its issue selections.</w:t>
            </w:r>
          </w:p>
          <w:p w14:paraId="59C4CB85" w14:textId="77777777" w:rsidR="002A21AE" w:rsidRDefault="002A21AE">
            <w:pPr>
              <w:pStyle w:val="TableText"/>
            </w:pPr>
          </w:p>
          <w:p w14:paraId="6DC0A4AD" w14:textId="3ACF801C" w:rsidR="002A21AE" w:rsidRDefault="002A21AE">
            <w:pPr>
              <w:pStyle w:val="TableText"/>
              <w:rPr>
                <w:b/>
                <w:bCs/>
                <w:szCs w:val="18"/>
              </w:rPr>
            </w:pPr>
            <w:r>
              <w:rPr>
                <w:b/>
                <w:bCs/>
                <w:szCs w:val="18"/>
              </w:rPr>
              <w:t>NOTES</w:t>
            </w:r>
          </w:p>
          <w:p w14:paraId="127A6840" w14:textId="77777777" w:rsidR="002A21AE" w:rsidRDefault="002A21AE">
            <w:pPr>
              <w:pStyle w:val="NotesText"/>
            </w:pPr>
          </w:p>
          <w:p w14:paraId="7CFE2C33" w14:textId="65B64C3C"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EE455E">
              <w:t xml:space="preserve">Table </w:t>
            </w:r>
            <w:r w:rsidR="00EE455E">
              <w:rPr>
                <w:noProof/>
              </w:rPr>
              <w:t>8</w:t>
            </w:r>
            <w:r w:rsidR="00016901">
              <w:t xml:space="preserve"> </w:t>
            </w:r>
            <w:r w:rsidR="002A21AE">
              <w:t>for alerts that may occur during this option.</w:t>
            </w:r>
          </w:p>
        </w:tc>
      </w:tr>
      <w:tr w:rsidR="002A21AE" w14:paraId="33B54B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D6F35E4" w14:textId="77777777" w:rsidR="002A21AE" w:rsidRDefault="002A21AE">
            <w:pPr>
              <w:pStyle w:val="TableTextNumbers"/>
            </w:pPr>
            <w:r>
              <w:t xml:space="preserve">Click </w:t>
            </w:r>
            <w:r>
              <w:rPr>
                <w:b/>
              </w:rPr>
              <w:t>OK</w:t>
            </w:r>
            <w:r>
              <w:t xml:space="preserve"> to accept the entries and complete the unit issue.</w:t>
            </w:r>
          </w:p>
        </w:tc>
        <w:tc>
          <w:tcPr>
            <w:tcW w:w="6120" w:type="dxa"/>
            <w:tcBorders>
              <w:top w:val="single" w:sz="6" w:space="0" w:color="auto"/>
              <w:left w:val="single" w:sz="6" w:space="0" w:color="auto"/>
              <w:bottom w:val="single" w:sz="6" w:space="0" w:color="auto"/>
              <w:right w:val="single" w:sz="6" w:space="0" w:color="auto"/>
            </w:tcBorders>
          </w:tcPr>
          <w:p w14:paraId="4E732DEA" w14:textId="77777777" w:rsidR="002A21AE" w:rsidRDefault="002A21AE">
            <w:pPr>
              <w:pStyle w:val="TableTextBullet"/>
              <w:tabs>
                <w:tab w:val="num" w:pos="360"/>
              </w:tabs>
            </w:pPr>
            <w:r>
              <w:t xml:space="preserve">Displays entries for review and editing. </w:t>
            </w:r>
          </w:p>
        </w:tc>
      </w:tr>
      <w:tr w:rsidR="002A21AE" w14:paraId="0B9FCF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D295FCB" w14:textId="77777777" w:rsidR="002A21AE" w:rsidRDefault="002A21AE">
            <w:pPr>
              <w:pStyle w:val="TableTextNumbers"/>
            </w:pPr>
            <w:r>
              <w:t xml:space="preserve">Click </w:t>
            </w:r>
            <w:r>
              <w:rPr>
                <w:b/>
              </w:rPr>
              <w:t>Yes</w:t>
            </w:r>
            <w:r>
              <w:t xml:space="preserve"> when the unit is satisfactory or </w:t>
            </w:r>
            <w:r>
              <w:rPr>
                <w:b/>
              </w:rPr>
              <w:t>No</w:t>
            </w:r>
            <w:r>
              <w:t xml:space="preserve"> when the unit is unsatisfactory.</w:t>
            </w:r>
          </w:p>
        </w:tc>
        <w:tc>
          <w:tcPr>
            <w:tcW w:w="6120" w:type="dxa"/>
            <w:tcBorders>
              <w:top w:val="single" w:sz="6" w:space="0" w:color="auto"/>
              <w:left w:val="single" w:sz="6" w:space="0" w:color="auto"/>
              <w:bottom w:val="single" w:sz="6" w:space="0" w:color="auto"/>
              <w:right w:val="single" w:sz="6" w:space="0" w:color="auto"/>
            </w:tcBorders>
          </w:tcPr>
          <w:p w14:paraId="474CDFAA" w14:textId="77777777" w:rsidR="002A21AE" w:rsidRDefault="002A21AE">
            <w:pPr>
              <w:pStyle w:val="TableTextBullet"/>
              <w:tabs>
                <w:tab w:val="num" w:pos="360"/>
              </w:tabs>
            </w:pPr>
            <w:r>
              <w:t>Saves the data.</w:t>
            </w:r>
          </w:p>
          <w:p w14:paraId="6B2D4C54" w14:textId="77777777" w:rsidR="002A21AE" w:rsidRDefault="002A21AE">
            <w:pPr>
              <w:pStyle w:val="TableTextBullet"/>
              <w:tabs>
                <w:tab w:val="num" w:pos="360"/>
              </w:tabs>
            </w:pPr>
            <w:r>
              <w:t>Displays the unit inspection indicator (satisfactory or unsatisfactory) listing each selected unit.</w:t>
            </w:r>
          </w:p>
          <w:p w14:paraId="43D62EF9" w14:textId="77777777" w:rsidR="00095D68" w:rsidRDefault="00095D68" w:rsidP="00095D68">
            <w:pPr>
              <w:pStyle w:val="TableTextBullet"/>
              <w:tabs>
                <w:tab w:val="num" w:pos="360"/>
              </w:tabs>
            </w:pPr>
            <w:r>
              <w:rPr>
                <w:rFonts w:cs="Arial"/>
                <w:szCs w:val="18"/>
              </w:rPr>
              <w:t>S</w:t>
            </w:r>
            <w:r w:rsidRPr="00B1287E">
              <w:rPr>
                <w:rFonts w:cs="Arial"/>
                <w:szCs w:val="18"/>
              </w:rPr>
              <w:t>ends</w:t>
            </w:r>
            <w:r>
              <w:rPr>
                <w:rFonts w:cs="Arial"/>
                <w:szCs w:val="18"/>
              </w:rPr>
              <w:t xml:space="preserve"> updated</w:t>
            </w:r>
            <w:r w:rsidRPr="00B1287E">
              <w:rPr>
                <w:rFonts w:cs="Arial"/>
                <w:szCs w:val="18"/>
              </w:rPr>
              <w:t xml:space="preserve"> patient and blood unit</w:t>
            </w:r>
            <w:r>
              <w:rPr>
                <w:rFonts w:cs="Arial"/>
                <w:szCs w:val="18"/>
              </w:rPr>
              <w:t xml:space="preserve"> information t</w:t>
            </w:r>
            <w:r w:rsidRPr="00B1287E">
              <w:rPr>
                <w:rFonts w:cs="Arial"/>
                <w:szCs w:val="18"/>
              </w:rPr>
              <w:t>o the BCE COTS system via an HL7 message.</w:t>
            </w:r>
          </w:p>
          <w:p w14:paraId="0AD4D50F" w14:textId="77777777" w:rsidR="002A21AE" w:rsidRDefault="002A21AE">
            <w:pPr>
              <w:pStyle w:val="TableText"/>
            </w:pPr>
          </w:p>
          <w:p w14:paraId="21FE68AF" w14:textId="45727B01" w:rsidR="002A21AE" w:rsidRDefault="002A21AE">
            <w:pPr>
              <w:pStyle w:val="TableText"/>
              <w:rPr>
                <w:b/>
                <w:bCs/>
                <w:szCs w:val="18"/>
              </w:rPr>
            </w:pPr>
            <w:r>
              <w:rPr>
                <w:b/>
                <w:bCs/>
                <w:szCs w:val="18"/>
              </w:rPr>
              <w:t>NOTES</w:t>
            </w:r>
          </w:p>
          <w:p w14:paraId="3802B8F2" w14:textId="77777777" w:rsidR="002A21AE" w:rsidRDefault="002A21AE">
            <w:pPr>
              <w:pStyle w:val="NotesText"/>
            </w:pPr>
          </w:p>
          <w:p w14:paraId="5B7DFEAB" w14:textId="4BF2E57A"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EE455E">
              <w:t xml:space="preserve">Table </w:t>
            </w:r>
            <w:r w:rsidR="00EE455E">
              <w:rPr>
                <w:noProof/>
              </w:rPr>
              <w:t>8</w:t>
            </w:r>
            <w:r w:rsidR="002A21AE">
              <w:t xml:space="preserve"> for alerts that may occur during this option.</w:t>
            </w:r>
          </w:p>
        </w:tc>
      </w:tr>
      <w:tr w:rsidR="002A21AE" w14:paraId="456EB5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CE43767"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6" w:space="0" w:color="auto"/>
              <w:left w:val="single" w:sz="6" w:space="0" w:color="auto"/>
              <w:bottom w:val="single" w:sz="6" w:space="0" w:color="auto"/>
              <w:right w:val="single" w:sz="6" w:space="0" w:color="auto"/>
            </w:tcBorders>
          </w:tcPr>
          <w:p w14:paraId="2A2E1880" w14:textId="77777777" w:rsidR="002A21AE" w:rsidRDefault="002A21AE">
            <w:pPr>
              <w:pStyle w:val="TableText"/>
            </w:pPr>
          </w:p>
        </w:tc>
      </w:tr>
    </w:tbl>
    <w:p w14:paraId="43294E8C" w14:textId="2B4D0CE3" w:rsidR="00FD6D00" w:rsidRDefault="00FD6D00" w:rsidP="00FD6D00">
      <w:pPr>
        <w:pStyle w:val="Caption"/>
      </w:pPr>
      <w:bookmarkStart w:id="381" w:name="_Ref127094243"/>
      <w:bookmarkStart w:id="382" w:name="_Toc9434937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75</w:t>
      </w:r>
      <w:r w:rsidR="004E20BD">
        <w:rPr>
          <w:noProof/>
        </w:rPr>
        <w:fldChar w:fldCharType="end"/>
      </w:r>
      <w:bookmarkEnd w:id="381"/>
      <w:r>
        <w:t>: Issue Blood Components Emergency Issue Units Tab</w:t>
      </w:r>
    </w:p>
    <w:p w14:paraId="22B72A7A" w14:textId="3ECAFCAC" w:rsidR="00FD6D00" w:rsidRDefault="00F927FC" w:rsidP="00FD6D00">
      <w:pPr>
        <w:pStyle w:val="BodyText"/>
      </w:pPr>
      <w:r>
        <w:rPr>
          <w:noProof/>
        </w:rPr>
        <w:drawing>
          <wp:inline distT="0" distB="0" distL="0" distR="0" wp14:anchorId="03EB2700" wp14:editId="604C4409">
            <wp:extent cx="5943600" cy="4224020"/>
            <wp:effectExtent l="0" t="0" r="0" b="5080"/>
            <wp:docPr id="180" name="Picture 180" descr="Example of Issue Blood Components Emergency Issue Units Tab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Example of Issue Blood Components Emergency Issue Units Tab screen captur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224020"/>
                    </a:xfrm>
                    <a:prstGeom prst="rect">
                      <a:avLst/>
                    </a:prstGeom>
                    <a:noFill/>
                    <a:ln>
                      <a:noFill/>
                    </a:ln>
                  </pic:spPr>
                </pic:pic>
              </a:graphicData>
            </a:graphic>
          </wp:inline>
        </w:drawing>
      </w:r>
    </w:p>
    <w:p w14:paraId="67E54716" w14:textId="77777777" w:rsidR="008803E6" w:rsidRDefault="008803E6" w:rsidP="00FD6D00">
      <w:pPr>
        <w:pStyle w:val="BodyText"/>
      </w:pPr>
    </w:p>
    <w:p w14:paraId="61E4FCBE" w14:textId="7D6254B4" w:rsidR="008803E6" w:rsidRDefault="008803E6" w:rsidP="008803E6">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76</w:t>
      </w:r>
      <w:r w:rsidR="004E20BD">
        <w:rPr>
          <w:noProof/>
        </w:rPr>
        <w:fldChar w:fldCharType="end"/>
      </w:r>
      <w:r>
        <w:t>: Emergency Issue</w:t>
      </w:r>
    </w:p>
    <w:p w14:paraId="28C0F87D" w14:textId="77FBB0AB" w:rsidR="008803E6" w:rsidRPr="00883DA7" w:rsidRDefault="001B42C7" w:rsidP="00FD6D00">
      <w:pPr>
        <w:pStyle w:val="BodyText"/>
      </w:pPr>
      <w:r>
        <w:object w:dxaOrig="9612" w:dyaOrig="9268" w14:anchorId="0A54CD12">
          <v:shape id="_x0000_i1029" type="#_x0000_t75" alt="Emergency Isssue Flowcharg" style="width:468pt;height:453.75pt" o:ole="">
            <v:imagedata r:id="rId163" o:title=""/>
          </v:shape>
          <o:OLEObject Type="Embed" ProgID="Visio.Drawing.11" ShapeID="_x0000_i1029" DrawAspect="Content" ObjectID="_1777278634" r:id="rId164"/>
        </w:object>
      </w:r>
    </w:p>
    <w:p w14:paraId="0E09A9BB" w14:textId="77777777" w:rsidR="002A21AE" w:rsidRDefault="00AC3860">
      <w:pPr>
        <w:pStyle w:val="Heading4"/>
      </w:pPr>
      <w:r>
        <w:rPr>
          <w:rStyle w:val="BullhornChar"/>
        </w:rPr>
        <w:br w:type="page"/>
      </w:r>
      <w:r w:rsidR="00F92F72" w:rsidRPr="00896F17">
        <w:rPr>
          <w:rStyle w:val="BullhornChar"/>
        </w:rPr>
        <w:lastRenderedPageBreak/>
        <w:t></w:t>
      </w:r>
      <w:r w:rsidR="00F92F72">
        <w:rPr>
          <w:rFonts w:ascii="Webdings" w:hAnsi="Webdings"/>
        </w:rPr>
        <w:t></w:t>
      </w:r>
      <w:r w:rsidR="002A21AE">
        <w:t>Alerts</w:t>
      </w:r>
      <w:bookmarkEnd w:id="382"/>
    </w:p>
    <w:p w14:paraId="23C12801" w14:textId="54D9D430" w:rsidR="002A21AE" w:rsidRDefault="002A21AE">
      <w:pPr>
        <w:pStyle w:val="Caption"/>
      </w:pPr>
      <w:bookmarkStart w:id="383" w:name="_Ref126486291"/>
      <w:bookmarkStart w:id="384" w:name="_Toc97523619"/>
      <w:bookmarkStart w:id="385" w:name="_Toc9752758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7</w:t>
      </w:r>
      <w:r w:rsidR="004E20BD">
        <w:rPr>
          <w:noProof/>
        </w:rPr>
        <w:fldChar w:fldCharType="end"/>
      </w:r>
      <w:bookmarkEnd w:id="383"/>
      <w:r>
        <w:t>: Alerts That May Occur in Issue Blood Components</w:t>
      </w:r>
      <w:bookmarkEnd w:id="384"/>
      <w:bookmarkEnd w:id="385"/>
      <w:r w:rsidR="007122D4">
        <w:t xml:space="preserve"> (Routine) </w:t>
      </w:r>
      <w:r>
        <w:fldChar w:fldCharType="begin"/>
      </w:r>
      <w:r>
        <w:instrText xml:space="preserve"> XE </w:instrText>
      </w:r>
      <w:r w:rsidR="00FA7E65">
        <w:instrText>“</w:instrText>
      </w:r>
      <w:r>
        <w:instrText>Tables:Alerts That May Occur in Issue Blood Components</w:instrText>
      </w:r>
      <w:r w:rsidR="007122D4">
        <w:instrText xml:space="preserve"> (Routine)</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0B67F59C" w14:textId="77777777">
        <w:trPr>
          <w:tblHeader/>
        </w:trPr>
        <w:tc>
          <w:tcPr>
            <w:tcW w:w="780" w:type="dxa"/>
            <w:shd w:val="clear" w:color="auto" w:fill="B3B3B3"/>
          </w:tcPr>
          <w:p w14:paraId="44286343" w14:textId="77777777" w:rsidR="002A21AE" w:rsidRDefault="00DB3377">
            <w:pPr>
              <w:pStyle w:val="TableText"/>
              <w:rPr>
                <w:b/>
              </w:rPr>
            </w:pPr>
            <w:r>
              <w:rPr>
                <w:b/>
              </w:rPr>
              <w:t>User Action Step</w:t>
            </w:r>
          </w:p>
        </w:tc>
        <w:tc>
          <w:tcPr>
            <w:tcW w:w="8580" w:type="dxa"/>
            <w:shd w:val="clear" w:color="auto" w:fill="B3B3B3"/>
          </w:tcPr>
          <w:p w14:paraId="5C74E452" w14:textId="77777777" w:rsidR="002A21AE" w:rsidRDefault="002A21AE">
            <w:pPr>
              <w:pStyle w:val="TableText"/>
              <w:rPr>
                <w:b/>
              </w:rPr>
            </w:pPr>
            <w:r>
              <w:rPr>
                <w:b/>
              </w:rPr>
              <w:t>Alerts</w:t>
            </w:r>
          </w:p>
        </w:tc>
      </w:tr>
      <w:tr w:rsidR="002A21AE" w14:paraId="15516446" w14:textId="77777777">
        <w:tc>
          <w:tcPr>
            <w:tcW w:w="780" w:type="dxa"/>
          </w:tcPr>
          <w:p w14:paraId="2E4610A7" w14:textId="77777777" w:rsidR="002A21AE" w:rsidRDefault="002A21AE">
            <w:pPr>
              <w:pStyle w:val="TableText"/>
            </w:pPr>
            <w:r>
              <w:t>2</w:t>
            </w:r>
          </w:p>
        </w:tc>
        <w:tc>
          <w:tcPr>
            <w:tcW w:w="8580" w:type="dxa"/>
          </w:tcPr>
          <w:p w14:paraId="50F9AC3C" w14:textId="77777777" w:rsidR="002A21AE" w:rsidRDefault="002A21AE">
            <w:pPr>
              <w:pStyle w:val="TableText"/>
            </w:pPr>
            <w:r>
              <w:rPr>
                <w:rFonts w:cs="Arial"/>
                <w:vanish/>
                <w:szCs w:val="22"/>
              </w:rPr>
              <w:t xml:space="preserve">BR_16.01 </w:t>
            </w:r>
            <w:r>
              <w:t xml:space="preserve">VBECS displays </w:t>
            </w:r>
            <w:r w:rsidR="00057948">
              <w:rPr>
                <w:noProof/>
              </w:rPr>
              <w:drawing>
                <wp:inline distT="0" distB="0" distL="0" distR="0" wp14:anchorId="724BD74B" wp14:editId="184AB1AC">
                  <wp:extent cx="156845" cy="156845"/>
                  <wp:effectExtent l="0" t="0" r="0" b="0"/>
                  <wp:docPr id="194" name="Picture 194"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A21AE" w14:paraId="39A1C2E0" w14:textId="77777777">
        <w:tc>
          <w:tcPr>
            <w:tcW w:w="780" w:type="dxa"/>
          </w:tcPr>
          <w:p w14:paraId="6E80892C" w14:textId="77777777" w:rsidR="002A21AE" w:rsidRDefault="002A21AE">
            <w:pPr>
              <w:pStyle w:val="TableText"/>
            </w:pPr>
            <w:r>
              <w:t>2</w:t>
            </w:r>
          </w:p>
        </w:tc>
        <w:tc>
          <w:tcPr>
            <w:tcW w:w="8580" w:type="dxa"/>
          </w:tcPr>
          <w:p w14:paraId="541B6295" w14:textId="77777777" w:rsidR="002A21AE" w:rsidRDefault="002A21AE">
            <w:pPr>
              <w:pStyle w:val="TableText"/>
            </w:pPr>
            <w:r>
              <w:rPr>
                <w:rFonts w:cs="Arial"/>
                <w:vanish/>
              </w:rPr>
              <w:t xml:space="preserve">BR_73.21 </w:t>
            </w:r>
            <w:r>
              <w:t>When no patient is found, VBECS warns the user and does not allow the user to continue.</w:t>
            </w:r>
          </w:p>
        </w:tc>
      </w:tr>
      <w:tr w:rsidR="002A21AE" w14:paraId="6BB295A7" w14:textId="77777777">
        <w:tc>
          <w:tcPr>
            <w:tcW w:w="780" w:type="dxa"/>
          </w:tcPr>
          <w:p w14:paraId="0DBDCF90" w14:textId="77777777" w:rsidR="002A21AE" w:rsidRDefault="002A21AE">
            <w:pPr>
              <w:pStyle w:val="TableText"/>
            </w:pPr>
            <w:r>
              <w:t>2</w:t>
            </w:r>
          </w:p>
        </w:tc>
        <w:tc>
          <w:tcPr>
            <w:tcW w:w="8580" w:type="dxa"/>
          </w:tcPr>
          <w:p w14:paraId="45D08607" w14:textId="77777777" w:rsidR="002A21AE" w:rsidRDefault="002A21AE">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A21AE" w14:paraId="455A0D58" w14:textId="77777777">
        <w:tc>
          <w:tcPr>
            <w:tcW w:w="780" w:type="dxa"/>
          </w:tcPr>
          <w:p w14:paraId="3D242313" w14:textId="77777777" w:rsidR="002A21AE" w:rsidRDefault="002A21AE">
            <w:pPr>
              <w:pStyle w:val="TableText"/>
            </w:pPr>
            <w:r>
              <w:t>2</w:t>
            </w:r>
          </w:p>
        </w:tc>
        <w:tc>
          <w:tcPr>
            <w:tcW w:w="8580" w:type="dxa"/>
          </w:tcPr>
          <w:p w14:paraId="2E627009" w14:textId="77777777" w:rsidR="00594F36" w:rsidRDefault="002A21AE" w:rsidP="00594F36">
            <w:pPr>
              <w:pStyle w:val="TableText"/>
            </w:pPr>
            <w:r>
              <w:rPr>
                <w:rFonts w:cs="Arial"/>
                <w:vanish/>
              </w:rPr>
              <w:t xml:space="preserve">BR_73.31 </w:t>
            </w:r>
            <w:r w:rsidR="00594F36">
              <w:t>When required testing is incomplete at issue, VBECS emits an audible alert, warns the user, and asks whether to emergency issue the unit in accordance with hospital policy.</w:t>
            </w:r>
          </w:p>
          <w:p w14:paraId="1170E4D6" w14:textId="77777777" w:rsidR="00594F36" w:rsidRDefault="00594F36" w:rsidP="00594F36">
            <w:pPr>
              <w:pStyle w:val="TableText"/>
            </w:pPr>
          </w:p>
          <w:p w14:paraId="330797DF" w14:textId="77777777" w:rsidR="002A21AE" w:rsidRDefault="00594F36" w:rsidP="00594F36">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214B12" w14:paraId="63DEC8C6" w14:textId="77777777">
        <w:tc>
          <w:tcPr>
            <w:tcW w:w="780" w:type="dxa"/>
          </w:tcPr>
          <w:p w14:paraId="2ABEBFD0" w14:textId="77777777" w:rsidR="00214B12" w:rsidRDefault="00214B12">
            <w:pPr>
              <w:pStyle w:val="TableText"/>
            </w:pPr>
            <w:r>
              <w:t>5</w:t>
            </w:r>
          </w:p>
        </w:tc>
        <w:tc>
          <w:tcPr>
            <w:tcW w:w="8580" w:type="dxa"/>
          </w:tcPr>
          <w:p w14:paraId="72D1560B" w14:textId="77777777" w:rsidR="00214B12" w:rsidRPr="00170A14" w:rsidRDefault="00214B12" w:rsidP="00CE2473">
            <w:pPr>
              <w:pStyle w:val="TableText"/>
              <w:rPr>
                <w:vanish/>
                <w:szCs w:val="18"/>
              </w:rPr>
            </w:pPr>
            <w:r>
              <w:rPr>
                <w:vanish/>
                <w:szCs w:val="18"/>
              </w:rPr>
              <w:t xml:space="preserve">BR_73.17 </w:t>
            </w:r>
            <w:r w:rsidR="003309E7" w:rsidRPr="0065539A">
              <w:rPr>
                <w:szCs w:val="18"/>
              </w:rPr>
              <w:t>When th</w:t>
            </w:r>
            <w:r w:rsidR="003309E7">
              <w:t>e user attempts to</w:t>
            </w:r>
            <w:r>
              <w:t xml:space="preserve"> issue a unit located in a different division</w:t>
            </w:r>
            <w:r w:rsidR="002B0F51">
              <w:t>,</w:t>
            </w:r>
            <w:r w:rsidR="003309E7">
              <w:t xml:space="preserve"> VBECS warms him that the unit</w:t>
            </w:r>
            <w:r>
              <w:t xml:space="preserve"> cannot be issued</w:t>
            </w:r>
            <w:r w:rsidR="003309E7">
              <w:t xml:space="preserve"> and does not allow </w:t>
            </w:r>
            <w:r w:rsidR="002B0F51">
              <w:t>him</w:t>
            </w:r>
            <w:r w:rsidR="003309E7">
              <w:t xml:space="preserve"> to</w:t>
            </w:r>
            <w:r>
              <w:t xml:space="preserve"> continue.</w:t>
            </w:r>
          </w:p>
        </w:tc>
      </w:tr>
      <w:tr w:rsidR="00CE2473" w14:paraId="46BD736B" w14:textId="77777777">
        <w:tc>
          <w:tcPr>
            <w:tcW w:w="780" w:type="dxa"/>
          </w:tcPr>
          <w:p w14:paraId="74C9399B" w14:textId="77777777" w:rsidR="00CE2473" w:rsidRDefault="00CE2473">
            <w:pPr>
              <w:pStyle w:val="TableText"/>
            </w:pPr>
            <w:r>
              <w:t>5</w:t>
            </w:r>
          </w:p>
        </w:tc>
        <w:tc>
          <w:tcPr>
            <w:tcW w:w="8580" w:type="dxa"/>
          </w:tcPr>
          <w:p w14:paraId="66B3DBCD" w14:textId="77777777" w:rsidR="00CE2473" w:rsidRDefault="00170A14" w:rsidP="00CE2473">
            <w:pPr>
              <w:pStyle w:val="TableText"/>
            </w:pPr>
            <w:r w:rsidRPr="00170A14">
              <w:rPr>
                <w:vanish/>
                <w:szCs w:val="18"/>
              </w:rPr>
              <w:t xml:space="preserve">BR_73.25 </w:t>
            </w:r>
            <w:r w:rsidR="00CE2473">
              <w:t xml:space="preserve">When autologous or directed, or designated or dedicated blood units of the same component class </w:t>
            </w:r>
            <w:r w:rsidR="006C67E5">
              <w:t xml:space="preserve">are </w:t>
            </w:r>
            <w:r w:rsidR="00CE2473">
              <w:t xml:space="preserve">available in the same division as the </w:t>
            </w:r>
            <w:r w:rsidR="00967CF7">
              <w:t>user</w:t>
            </w:r>
            <w:r w:rsidR="00CE2473">
              <w:t xml:space="preserve">, </w:t>
            </w:r>
            <w:r w:rsidR="00967CF7">
              <w:t>VBECS</w:t>
            </w:r>
            <w:r w:rsidR="000014DD">
              <w:t xml:space="preserve"> </w:t>
            </w:r>
            <w:r w:rsidR="00CE2473">
              <w:t>require</w:t>
            </w:r>
            <w:r w:rsidR="00967CF7">
              <w:t>s</w:t>
            </w:r>
            <w:r w:rsidR="00CE2473">
              <w:t xml:space="preserve"> blood units </w:t>
            </w:r>
            <w:r w:rsidR="006C67E5">
              <w:t xml:space="preserve">to </w:t>
            </w:r>
            <w:r w:rsidR="00CE2473">
              <w:t xml:space="preserve">be issued in </w:t>
            </w:r>
            <w:r w:rsidR="00967CF7">
              <w:t>this</w:t>
            </w:r>
            <w:r w:rsidR="00CE2473">
              <w:t xml:space="preserve"> order:</w:t>
            </w:r>
          </w:p>
          <w:p w14:paraId="1D044847" w14:textId="77777777" w:rsidR="00EB5BD0" w:rsidRDefault="00CE2473" w:rsidP="002F6D7B">
            <w:pPr>
              <w:pStyle w:val="TableText"/>
              <w:numPr>
                <w:ilvl w:val="0"/>
                <w:numId w:val="14"/>
              </w:numPr>
            </w:pPr>
            <w:r>
              <w:t>Autologous units</w:t>
            </w:r>
          </w:p>
          <w:p w14:paraId="4855887C" w14:textId="77777777" w:rsidR="00EB5BD0" w:rsidRDefault="0065539A" w:rsidP="002F6D7B">
            <w:pPr>
              <w:pStyle w:val="TableText"/>
              <w:numPr>
                <w:ilvl w:val="0"/>
                <w:numId w:val="14"/>
              </w:numPr>
            </w:pPr>
            <w:r>
              <w:t>R</w:t>
            </w:r>
            <w:r w:rsidR="00CE2473">
              <w:t xml:space="preserve">estricted units </w:t>
            </w:r>
          </w:p>
          <w:p w14:paraId="1461DBD6" w14:textId="77777777" w:rsidR="00CE2473" w:rsidRDefault="00CE2473" w:rsidP="002F6D7B">
            <w:pPr>
              <w:pStyle w:val="TableText"/>
              <w:numPr>
                <w:ilvl w:val="0"/>
                <w:numId w:val="14"/>
              </w:numPr>
            </w:pPr>
            <w:r>
              <w:t>Voluntary allogeneic units</w:t>
            </w:r>
          </w:p>
          <w:p w14:paraId="093B4B9B" w14:textId="77777777" w:rsidR="00CE2473" w:rsidRDefault="00CE2473" w:rsidP="00CE2473">
            <w:pPr>
              <w:pStyle w:val="TableText"/>
            </w:pPr>
          </w:p>
          <w:p w14:paraId="42D028E3" w14:textId="77777777" w:rsidR="00CE2473" w:rsidRDefault="00967CF7" w:rsidP="00CE2473">
            <w:pPr>
              <w:pStyle w:val="TableText"/>
              <w:rPr>
                <w:rFonts w:cs="Arial"/>
                <w:vanish/>
              </w:rPr>
            </w:pPr>
            <w:r>
              <w:t>When</w:t>
            </w:r>
            <w:r w:rsidR="00AC5979">
              <w:t xml:space="preserve"> the user attempts to issue a unit out </w:t>
            </w:r>
            <w:r w:rsidR="0065539A">
              <w:t xml:space="preserve">of </w:t>
            </w:r>
            <w:r>
              <w:t xml:space="preserve">order, VBECS warns </w:t>
            </w:r>
            <w:r w:rsidR="009A51A9">
              <w:t>him</w:t>
            </w:r>
            <w:r>
              <w:t xml:space="preserve"> that m</w:t>
            </w:r>
            <w:r w:rsidR="00AC5979">
              <w:t>ore restrictive unit</w:t>
            </w:r>
            <w:r>
              <w:t>s</w:t>
            </w:r>
            <w:r w:rsidR="00AC5979">
              <w:t xml:space="preserve"> </w:t>
            </w:r>
            <w:r>
              <w:t xml:space="preserve">are </w:t>
            </w:r>
            <w:r w:rsidR="00AC5979">
              <w:t>available</w:t>
            </w:r>
            <w:r>
              <w:t xml:space="preserve"> </w:t>
            </w:r>
            <w:r w:rsidR="009A51A9">
              <w:t xml:space="preserve">for issue </w:t>
            </w:r>
            <w:r>
              <w:t>and asks whether he wishes to c</w:t>
            </w:r>
            <w:r w:rsidR="00AC5979">
              <w:t>ontinue</w:t>
            </w:r>
            <w:r>
              <w:t xml:space="preserve">. </w:t>
            </w:r>
            <w:r w:rsidRPr="00967CF7">
              <w:rPr>
                <w:b/>
              </w:rPr>
              <w:t>N</w:t>
            </w:r>
            <w:r w:rsidR="00AC5979" w:rsidRPr="00967CF7">
              <w:rPr>
                <w:b/>
              </w:rPr>
              <w:t>o</w:t>
            </w:r>
            <w:r w:rsidR="00AC5979">
              <w:t xml:space="preserve"> allows the user to enter a</w:t>
            </w:r>
            <w:r>
              <w:t>nother</w:t>
            </w:r>
            <w:r w:rsidR="00AC5979">
              <w:t xml:space="preserve"> unit number. </w:t>
            </w:r>
            <w:r w:rsidR="00AC5979" w:rsidRPr="00967CF7">
              <w:rPr>
                <w:b/>
              </w:rPr>
              <w:t>Yes</w:t>
            </w:r>
            <w:r w:rsidR="00AC5979">
              <w:t xml:space="preserve"> allows the user to continue and captures transaction details for inclusion in an </w:t>
            </w:r>
            <w:r>
              <w:t>E</w:t>
            </w:r>
            <w:r w:rsidR="00AC5979">
              <w:t xml:space="preserve">xception </w:t>
            </w:r>
            <w:r>
              <w:t>R</w:t>
            </w:r>
            <w:r w:rsidR="00AC5979">
              <w:t>eport</w:t>
            </w:r>
            <w:r>
              <w:t xml:space="preserve"> (exception type: less restrictive unit issued).</w:t>
            </w:r>
          </w:p>
        </w:tc>
      </w:tr>
      <w:tr w:rsidR="00214B12" w14:paraId="6B41FE9B" w14:textId="77777777">
        <w:tc>
          <w:tcPr>
            <w:tcW w:w="780" w:type="dxa"/>
          </w:tcPr>
          <w:p w14:paraId="6D019960" w14:textId="77777777" w:rsidR="00214B12" w:rsidRDefault="00214B12">
            <w:pPr>
              <w:pStyle w:val="TableText"/>
            </w:pPr>
            <w:r>
              <w:t>5</w:t>
            </w:r>
          </w:p>
        </w:tc>
        <w:tc>
          <w:tcPr>
            <w:tcW w:w="8580" w:type="dxa"/>
          </w:tcPr>
          <w:p w14:paraId="7165D8FB" w14:textId="77777777" w:rsidR="00214B12" w:rsidRPr="00214B12" w:rsidRDefault="00214B12">
            <w:pPr>
              <w:pStyle w:val="TableText"/>
              <w:rPr>
                <w:rFonts w:cs="Arial"/>
                <w:vanish/>
                <w:szCs w:val="18"/>
              </w:rPr>
            </w:pPr>
            <w:r w:rsidRPr="00214B12">
              <w:rPr>
                <w:rFonts w:cs="Arial"/>
                <w:vanish/>
                <w:szCs w:val="18"/>
              </w:rPr>
              <w:t xml:space="preserve">BR_73.19 </w:t>
            </w:r>
            <w:r>
              <w:t xml:space="preserve">When a user indicates that the </w:t>
            </w:r>
            <w:r w:rsidR="008E45C7">
              <w:t xml:space="preserve">inspected </w:t>
            </w:r>
            <w:r>
              <w:t xml:space="preserve">unit is unsatisfactory, </w:t>
            </w:r>
            <w:r w:rsidR="00C172A4">
              <w:t>VBECS does</w:t>
            </w:r>
            <w:r>
              <w:t xml:space="preserve"> not allow </w:t>
            </w:r>
            <w:r w:rsidR="00C172A4">
              <w:t xml:space="preserve">the </w:t>
            </w:r>
            <w:r>
              <w:t xml:space="preserve">unit </w:t>
            </w:r>
            <w:r w:rsidR="00C172A4">
              <w:t xml:space="preserve">to be issued, releases it </w:t>
            </w:r>
            <w:r>
              <w:t xml:space="preserve">from assignment, </w:t>
            </w:r>
            <w:r w:rsidR="00C172A4">
              <w:t>and warns the user that the u</w:t>
            </w:r>
            <w:r>
              <w:t xml:space="preserve">nit is unacceptable for transfusion. </w:t>
            </w:r>
            <w:r w:rsidR="00C172A4">
              <w:t>VBECS</w:t>
            </w:r>
            <w:r>
              <w:t xml:space="preserve"> allows </w:t>
            </w:r>
            <w:r w:rsidR="00C172A4">
              <w:t>the user to enter another</w:t>
            </w:r>
            <w:r>
              <w:t xml:space="preserve"> unit number.</w:t>
            </w:r>
          </w:p>
        </w:tc>
      </w:tr>
      <w:tr w:rsidR="002A21AE" w14:paraId="57700AA7" w14:textId="77777777">
        <w:tc>
          <w:tcPr>
            <w:tcW w:w="780" w:type="dxa"/>
          </w:tcPr>
          <w:p w14:paraId="5DD17006" w14:textId="77777777" w:rsidR="002A21AE" w:rsidRDefault="002A21AE">
            <w:pPr>
              <w:pStyle w:val="TableText"/>
            </w:pPr>
            <w:r>
              <w:t>5</w:t>
            </w:r>
          </w:p>
        </w:tc>
        <w:tc>
          <w:tcPr>
            <w:tcW w:w="8580" w:type="dxa"/>
          </w:tcPr>
          <w:p w14:paraId="46C38FCA" w14:textId="77777777" w:rsidR="002A21AE" w:rsidRDefault="002A21AE">
            <w:pPr>
              <w:pStyle w:val="TableText"/>
            </w:pPr>
            <w:r>
              <w:rPr>
                <w:rFonts w:cs="Arial"/>
                <w:vanish/>
              </w:rPr>
              <w:t xml:space="preserve">BR_73.27 </w:t>
            </w:r>
            <w:r>
              <w:rPr>
                <w:rFonts w:cs="Arial"/>
              </w:rPr>
              <w:t xml:space="preserve">When the user attempts to select frozen blood components, VBECS </w:t>
            </w:r>
            <w:r>
              <w:t xml:space="preserve">warns the user. Units selected in their frozen state must be thawed before issue. </w:t>
            </w:r>
          </w:p>
        </w:tc>
      </w:tr>
      <w:tr w:rsidR="004C2C6A" w14:paraId="6B0F1156" w14:textId="77777777">
        <w:tc>
          <w:tcPr>
            <w:tcW w:w="780" w:type="dxa"/>
          </w:tcPr>
          <w:p w14:paraId="00559372" w14:textId="77777777" w:rsidR="004C2C6A" w:rsidRDefault="00B11528">
            <w:pPr>
              <w:pStyle w:val="TableText"/>
            </w:pPr>
            <w:r>
              <w:t>5</w:t>
            </w:r>
          </w:p>
        </w:tc>
        <w:tc>
          <w:tcPr>
            <w:tcW w:w="8580" w:type="dxa"/>
          </w:tcPr>
          <w:p w14:paraId="6E0629AB" w14:textId="77777777" w:rsidR="00B11528" w:rsidRPr="00B11528" w:rsidRDefault="00B11528" w:rsidP="00B11528">
            <w:pPr>
              <w:pStyle w:val="TableText"/>
              <w:rPr>
                <w:rFonts w:eastAsia="Calibri"/>
                <w:szCs w:val="18"/>
              </w:rPr>
            </w:pPr>
            <w:r w:rsidRPr="00B11528">
              <w:t xml:space="preserve">When the patient has Component Requirements </w:t>
            </w:r>
            <w:r>
              <w:t xml:space="preserve">(CRs) </w:t>
            </w:r>
            <w:r w:rsidRPr="00B11528">
              <w:t>and Antigen Negative Requirements, the user attempts to issue (including emergency issue) red blood cells that do not satisfy the requirements, and the user is:</w:t>
            </w:r>
          </w:p>
          <w:p w14:paraId="7D797A3B"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3853346D" w14:textId="77777777" w:rsidR="004C2C6A" w:rsidRDefault="00B11528" w:rsidP="00B11528">
            <w:pPr>
              <w:pStyle w:val="TableText"/>
              <w:rPr>
                <w:rFonts w:cs="Arial"/>
                <w:vanish/>
              </w:rPr>
            </w:pPr>
            <w:r w:rsidRPr="00B11528">
              <w:t>VBECS does not allow an override.</w:t>
            </w:r>
          </w:p>
        </w:tc>
      </w:tr>
      <w:tr w:rsidR="002A21AE" w14:paraId="4E2082B7" w14:textId="77777777">
        <w:tc>
          <w:tcPr>
            <w:tcW w:w="780" w:type="dxa"/>
          </w:tcPr>
          <w:p w14:paraId="3C1904FB" w14:textId="77777777" w:rsidR="002A21AE" w:rsidRDefault="002A21AE">
            <w:pPr>
              <w:pStyle w:val="TableText"/>
            </w:pPr>
            <w:r>
              <w:t>5</w:t>
            </w:r>
          </w:p>
        </w:tc>
        <w:tc>
          <w:tcPr>
            <w:tcW w:w="8580" w:type="dxa"/>
          </w:tcPr>
          <w:p w14:paraId="26E0EB06" w14:textId="77777777" w:rsidR="002104CB" w:rsidRDefault="002A21AE">
            <w:pPr>
              <w:pStyle w:val="TableText"/>
            </w:pPr>
            <w:r>
              <w:rPr>
                <w:rFonts w:cs="Arial"/>
                <w:vanish/>
              </w:rPr>
              <w:t xml:space="preserve">BR_73.28 </w:t>
            </w:r>
            <w:r w:rsidR="004C2C6A">
              <w:t xml:space="preserve">When the patient has </w:t>
            </w:r>
            <w:r w:rsidR="00B11528">
              <w:t>Component Requirements</w:t>
            </w:r>
            <w:r w:rsidR="002104CB" w:rsidRPr="002104CB">
              <w:t xml:space="preserve">, the user attempts to issue (including emergency issue) red blood </w:t>
            </w:r>
            <w:r w:rsidR="004C2C6A">
              <w:t>cells that do not satisfy the requirement</w:t>
            </w:r>
            <w:r w:rsidR="002104CB" w:rsidRPr="002104CB">
              <w:t>,</w:t>
            </w:r>
            <w:r w:rsidR="002104CB">
              <w:t xml:space="preserve"> and the user is:</w:t>
            </w:r>
          </w:p>
          <w:p w14:paraId="1DA516DB" w14:textId="77777777" w:rsidR="006105C7" w:rsidRDefault="00910609" w:rsidP="002104CB">
            <w:pPr>
              <w:pStyle w:val="TableTextBullet"/>
            </w:pPr>
            <w:r w:rsidRPr="00EC7489">
              <w:rPr>
                <w:rFonts w:ascii="Wingdings 3" w:hAnsi="Wingdings 3" w:cs="Wingdings"/>
              </w:rPr>
              <w:t></w:t>
            </w:r>
            <w:r w:rsidRPr="00EC7489">
              <w:rPr>
                <w:rFonts w:ascii="Wingdings 3" w:hAnsi="Wingdings 3" w:cs="Wingdings"/>
              </w:rPr>
              <w:t></w:t>
            </w:r>
            <w:r>
              <w:t xml:space="preserve"> </w:t>
            </w:r>
            <w:r w:rsidR="002104CB">
              <w:t>A</w:t>
            </w:r>
            <w:r w:rsidR="006105C7">
              <w:t xml:space="preserve">n </w:t>
            </w:r>
            <w:r>
              <w:t xml:space="preserve">Enhanced Technologist or below, </w:t>
            </w:r>
            <w:r w:rsidR="00514F60">
              <w:t xml:space="preserve">VBECS emits an audible alert and warns the user that the patient's </w:t>
            </w:r>
            <w:r w:rsidR="004C2C6A">
              <w:t>component</w:t>
            </w:r>
            <w:r w:rsidR="00514F60">
              <w:t xml:space="preserve"> requirement is not satisfied and he is not authorized to issue the unit. VBECS does not allow an override.</w:t>
            </w:r>
          </w:p>
          <w:p w14:paraId="616A8295" w14:textId="77777777" w:rsidR="002A21AE" w:rsidRDefault="006105C7" w:rsidP="004C2C6A">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104CB">
              <w:t>A</w:t>
            </w:r>
            <w:r>
              <w:t xml:space="preserve"> Lead Technologist or above, VBECS emits an audible alert and warns the </w:t>
            </w:r>
            <w:r w:rsidR="00514F60">
              <w:t xml:space="preserve">user that the patient's </w:t>
            </w:r>
            <w:r w:rsidR="004C2C6A">
              <w:t>component</w:t>
            </w:r>
            <w:r w:rsidR="00514F60">
              <w:t xml:space="preserve"> requirement is not satisfied and allows for an ove</w:t>
            </w:r>
            <w:r w:rsidR="00F94F44">
              <w:t>r</w:t>
            </w:r>
            <w:r w:rsidR="00514F60">
              <w:t>ride</w:t>
            </w:r>
            <w:r>
              <w:t>.</w:t>
            </w:r>
            <w:r>
              <w:rPr>
                <w:b/>
              </w:rPr>
              <w:t xml:space="preserve"> </w:t>
            </w:r>
            <w:r w:rsidR="00910609">
              <w:rPr>
                <w:b/>
              </w:rPr>
              <w:t>No</w:t>
            </w:r>
            <w:r w:rsidR="00910609">
              <w:t xml:space="preserve"> clears the screen. </w:t>
            </w:r>
            <w:r w:rsidR="00910609">
              <w:rPr>
                <w:b/>
              </w:rPr>
              <w:t>Yes</w:t>
            </w:r>
            <w:r w:rsidR="00910609">
              <w:t xml:space="preserve"> requires a comment and captures details for inclusion in an Exception Report (exception type: unit issued with unsatisfied TR).</w:t>
            </w:r>
            <w:r w:rsidR="002A21AE">
              <w:t xml:space="preserve"> </w:t>
            </w:r>
          </w:p>
        </w:tc>
      </w:tr>
      <w:tr w:rsidR="002A21AE" w14:paraId="18DCDBD6" w14:textId="77777777">
        <w:tc>
          <w:tcPr>
            <w:tcW w:w="780" w:type="dxa"/>
          </w:tcPr>
          <w:p w14:paraId="50439898" w14:textId="77777777" w:rsidR="002A21AE" w:rsidRDefault="002A21AE">
            <w:pPr>
              <w:pStyle w:val="TableText"/>
            </w:pPr>
            <w:r>
              <w:t>5</w:t>
            </w:r>
          </w:p>
        </w:tc>
        <w:tc>
          <w:tcPr>
            <w:tcW w:w="8580" w:type="dxa"/>
          </w:tcPr>
          <w:p w14:paraId="4C41F18F" w14:textId="77777777" w:rsidR="002A21AE" w:rsidRDefault="002A21AE">
            <w:pPr>
              <w:pStyle w:val="TableText"/>
            </w:pPr>
            <w:r>
              <w:rPr>
                <w:rFonts w:cs="Arial"/>
                <w:vanish/>
              </w:rPr>
              <w:t xml:space="preserve">BR_73.15 </w:t>
            </w:r>
            <w:r>
              <w:t xml:space="preserve">When a repeat ABO/Rh performed on the patient specimen does not match the original ABO/Rh interpretation and the unit doesn’t qualify for emergency issue, VBECS warns the user and instructs him to resolve the discrepancy before issuing the unit. There is no override. </w:t>
            </w:r>
            <w:r w:rsidR="00E44A2A">
              <w:t>Units that qualify for emergency issue may continue and VBECS will display a message that the ABO/Rh on the current specimen does not agree with the historic ABO/Rh.</w:t>
            </w:r>
          </w:p>
        </w:tc>
      </w:tr>
      <w:tr w:rsidR="002A21AE" w14:paraId="693EA6AE" w14:textId="77777777">
        <w:tc>
          <w:tcPr>
            <w:tcW w:w="780" w:type="dxa"/>
          </w:tcPr>
          <w:p w14:paraId="6BEA4EE5" w14:textId="77777777" w:rsidR="002A21AE" w:rsidRDefault="002A21AE">
            <w:pPr>
              <w:pStyle w:val="TableText"/>
            </w:pPr>
            <w:r>
              <w:lastRenderedPageBreak/>
              <w:t>5</w:t>
            </w:r>
          </w:p>
        </w:tc>
        <w:tc>
          <w:tcPr>
            <w:tcW w:w="8580" w:type="dxa"/>
          </w:tcPr>
          <w:p w14:paraId="16E1A333" w14:textId="77777777" w:rsidR="002A21AE" w:rsidRDefault="002A21AE">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A21AE" w14:paraId="1B0CAB31" w14:textId="77777777">
        <w:tc>
          <w:tcPr>
            <w:tcW w:w="780" w:type="dxa"/>
          </w:tcPr>
          <w:p w14:paraId="238D422C" w14:textId="77777777" w:rsidR="002A21AE" w:rsidRDefault="002A21AE">
            <w:pPr>
              <w:pStyle w:val="TableText"/>
            </w:pPr>
            <w:r>
              <w:t>5</w:t>
            </w:r>
          </w:p>
        </w:tc>
        <w:tc>
          <w:tcPr>
            <w:tcW w:w="8580" w:type="dxa"/>
          </w:tcPr>
          <w:p w14:paraId="7D30471B" w14:textId="77777777" w:rsidR="002A21AE" w:rsidRDefault="002A21AE" w:rsidP="000B2F76">
            <w:pPr>
              <w:pStyle w:val="TableText"/>
            </w:pPr>
            <w:r>
              <w:rPr>
                <w:rFonts w:cs="Arial"/>
                <w:vanish/>
                <w:szCs w:val="22"/>
              </w:rPr>
              <w:t xml:space="preserve">BR_73.16 </w:t>
            </w:r>
            <w:r>
              <w:t xml:space="preserve">For an Rh negative, unknown, or inconclusive </w:t>
            </w:r>
            <w:r w:rsidR="000B2F76">
              <w:t xml:space="preserve">patient: </w:t>
            </w:r>
            <w:r>
              <w:t>the user may ent</w:t>
            </w:r>
            <w:r w:rsidR="005F5509">
              <w:t xml:space="preserve">er and confirm Rh positive or Rh pooled units </w:t>
            </w:r>
            <w:r>
              <w:t xml:space="preserve">from the WHOLE BLOOD, RED BLOOD CELLS, </w:t>
            </w:r>
            <w:r w:rsidR="00831235">
              <w:t xml:space="preserve">PLATELETS, </w:t>
            </w:r>
            <w:r>
              <w:t xml:space="preserve">and </w:t>
            </w:r>
            <w:r w:rsidR="00831235">
              <w:t>OTHER</w:t>
            </w:r>
            <w:r>
              <w:t xml:space="preserve"> </w:t>
            </w:r>
            <w:r w:rsidR="00B25AD0">
              <w:t xml:space="preserve">VBECS </w:t>
            </w:r>
            <w:r>
              <w:t xml:space="preserve">component classes. </w:t>
            </w:r>
            <w:r w:rsidR="000B2F76">
              <w:t xml:space="preserve">When VBECS component classes are individually entered and confirmed by the user, </w:t>
            </w:r>
            <w:r>
              <w:t xml:space="preserve">VBECS emits an audible alert, warns the user, and asks whether he wishes to issue the unit.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p>
          <w:p w14:paraId="4024CEB2" w14:textId="77777777" w:rsidR="00685A5F" w:rsidRPr="00912031" w:rsidRDefault="00685A5F" w:rsidP="00685A5F">
            <w:pPr>
              <w:pStyle w:val="TableText"/>
              <w:rPr>
                <w:rFonts w:cs="Arial"/>
              </w:rPr>
            </w:pPr>
            <w:r w:rsidRPr="00912031">
              <w:rPr>
                <w:rFonts w:cs="Arial"/>
              </w:rPr>
              <w:t>Additional details to be included in the exception report when the user overrides this business rule:</w:t>
            </w:r>
          </w:p>
          <w:p w14:paraId="5F1A4E1E" w14:textId="0A54953A" w:rsidR="00685A5F" w:rsidRPr="00912031" w:rsidRDefault="00D77462" w:rsidP="00925CAD">
            <w:pPr>
              <w:pStyle w:val="TableText"/>
              <w:numPr>
                <w:ilvl w:val="0"/>
                <w:numId w:val="58"/>
              </w:numPr>
              <w:rPr>
                <w:rFonts w:cs="Arial"/>
              </w:rPr>
            </w:pPr>
            <w:r>
              <w:rPr>
                <w:rFonts w:cs="Arial"/>
              </w:rPr>
              <w:t>Exception</w:t>
            </w:r>
            <w:r w:rsidR="00685A5F" w:rsidRPr="00912031">
              <w:rPr>
                <w:rFonts w:cs="Arial"/>
              </w:rPr>
              <w:t xml:space="preserve"> Type: Antigen positive/untested units issued</w:t>
            </w:r>
          </w:p>
          <w:p w14:paraId="0F33AB5E" w14:textId="77777777" w:rsidR="00685A5F" w:rsidRPr="00912031" w:rsidRDefault="00685A5F" w:rsidP="00925CAD">
            <w:pPr>
              <w:pStyle w:val="TableText"/>
              <w:numPr>
                <w:ilvl w:val="0"/>
                <w:numId w:val="57"/>
              </w:numPr>
              <w:rPr>
                <w:rFonts w:cs="Arial"/>
              </w:rPr>
            </w:pPr>
            <w:r w:rsidRPr="00912031">
              <w:rPr>
                <w:rFonts w:cs="Arial"/>
              </w:rPr>
              <w:t>Patient Antibody Identified</w:t>
            </w:r>
          </w:p>
          <w:p w14:paraId="4C420027" w14:textId="77777777" w:rsidR="00685A5F" w:rsidRPr="00685A5F" w:rsidRDefault="00685A5F" w:rsidP="00925CAD">
            <w:pPr>
              <w:pStyle w:val="TableText"/>
              <w:numPr>
                <w:ilvl w:val="0"/>
                <w:numId w:val="57"/>
              </w:numPr>
              <w:rPr>
                <w:rFonts w:cs="Arial"/>
              </w:rPr>
            </w:pPr>
            <w:r w:rsidRPr="00912031">
              <w:rPr>
                <w:rFonts w:cs="Arial"/>
              </w:rPr>
              <w:t>Unit Antigen Phenotype Result</w:t>
            </w:r>
          </w:p>
        </w:tc>
      </w:tr>
      <w:tr w:rsidR="002A21AE" w14:paraId="2D95EAB6" w14:textId="77777777">
        <w:tc>
          <w:tcPr>
            <w:tcW w:w="780" w:type="dxa"/>
          </w:tcPr>
          <w:p w14:paraId="5010342B" w14:textId="77777777" w:rsidR="002A21AE" w:rsidRDefault="002A21AE">
            <w:pPr>
              <w:pStyle w:val="TableText"/>
            </w:pPr>
            <w:r>
              <w:t>5</w:t>
            </w:r>
          </w:p>
        </w:tc>
        <w:tc>
          <w:tcPr>
            <w:tcW w:w="8580" w:type="dxa"/>
          </w:tcPr>
          <w:p w14:paraId="18AE2666" w14:textId="77777777" w:rsidR="00F20D51" w:rsidRPr="00912031" w:rsidRDefault="00F20D51" w:rsidP="00F20D51">
            <w:pPr>
              <w:pStyle w:val="TableText"/>
              <w:rPr>
                <w:rFonts w:cs="Arial"/>
                <w:szCs w:val="18"/>
              </w:rPr>
            </w:pPr>
            <w:r w:rsidRPr="00F20D51">
              <w:rPr>
                <w:rFonts w:cs="Arial"/>
                <w:vanish/>
                <w:szCs w:val="18"/>
              </w:rPr>
              <w:t xml:space="preserve">BR_73.03 </w:t>
            </w:r>
            <w:r w:rsidRPr="00912031">
              <w:rPr>
                <w:rFonts w:cs="Arial"/>
                <w:szCs w:val="18"/>
              </w:rPr>
              <w:t xml:space="preserve">The system will not allow the issue of units assigned/crossmatched or that require an ABO/Rh associated with an expired specimen when compared to the issue date and time unless the user role is Enhanced Technologist, VBECS security levels 2 and above. </w:t>
            </w:r>
          </w:p>
          <w:p w14:paraId="6C03C32F" w14:textId="77777777" w:rsidR="00F20D51" w:rsidRPr="00912031" w:rsidRDefault="00F20D51" w:rsidP="00F20D51">
            <w:pPr>
              <w:pStyle w:val="TableText"/>
              <w:rPr>
                <w:rFonts w:cs="Arial"/>
                <w:szCs w:val="18"/>
              </w:rPr>
            </w:pPr>
          </w:p>
          <w:p w14:paraId="6763E1C0" w14:textId="77777777" w:rsidR="00F20D51" w:rsidRPr="00912031" w:rsidRDefault="00F20D51" w:rsidP="00F20D51">
            <w:pPr>
              <w:pStyle w:val="TableText"/>
              <w:rPr>
                <w:rFonts w:cs="Arial"/>
                <w:szCs w:val="18"/>
              </w:rPr>
            </w:pPr>
            <w:r w:rsidRPr="00912031">
              <w:rPr>
                <w:rFonts w:cs="Arial"/>
                <w:szCs w:val="18"/>
              </w:rPr>
              <w:t>When the user role is Technologist, VBECS security level 1, the system will display the warning message: Patient specimen is expired. You do not have the proper security to issue this unit. The system will not allow an override.</w:t>
            </w:r>
          </w:p>
          <w:p w14:paraId="7DD8705E" w14:textId="77777777" w:rsidR="00F20D51" w:rsidRPr="00912031" w:rsidRDefault="00F20D51" w:rsidP="00F20D51">
            <w:pPr>
              <w:pStyle w:val="TableText"/>
              <w:rPr>
                <w:rFonts w:cs="Arial"/>
                <w:szCs w:val="18"/>
              </w:rPr>
            </w:pPr>
          </w:p>
          <w:p w14:paraId="735BBC62" w14:textId="77777777" w:rsidR="00F20D51" w:rsidRPr="00912031" w:rsidRDefault="00F20D51" w:rsidP="00F20D51">
            <w:pPr>
              <w:pStyle w:val="TableText"/>
              <w:rPr>
                <w:rFonts w:cs="Arial"/>
                <w:szCs w:val="18"/>
              </w:rPr>
            </w:pPr>
            <w:r w:rsidRPr="00912031">
              <w:rPr>
                <w:rFonts w:cs="Arial"/>
                <w:szCs w:val="18"/>
              </w:rPr>
              <w:t>When the user role is Enhanced Technologist, VBECS security levels 2 and above, the system will provide an audible alert and display the warning message: Patient specimen is expired. Continue to issue? Yes/No. If the user responds “No” the system will clear the screen. If the user responds “Yes” the system will require a comment (free text or canned, “unit issue” context) and captures the transaction details for inclusion in an exception report entry for th</w:t>
            </w:r>
            <w:r>
              <w:rPr>
                <w:rFonts w:cs="Arial"/>
                <w:szCs w:val="18"/>
              </w:rPr>
              <w:t>e issue</w:t>
            </w:r>
            <w:r w:rsidRPr="00912031">
              <w:rPr>
                <w:rFonts w:cs="Arial"/>
                <w:szCs w:val="18"/>
              </w:rPr>
              <w:t xml:space="preserve">. </w:t>
            </w:r>
          </w:p>
          <w:p w14:paraId="2156EDB8" w14:textId="77777777" w:rsidR="00F20D51" w:rsidRPr="00912031" w:rsidRDefault="00F20D51" w:rsidP="00F20D51">
            <w:pPr>
              <w:pStyle w:val="TableText"/>
              <w:rPr>
                <w:rFonts w:cs="Arial"/>
                <w:szCs w:val="18"/>
              </w:rPr>
            </w:pPr>
          </w:p>
          <w:p w14:paraId="1EEA77E6" w14:textId="77777777" w:rsidR="00F20D51" w:rsidRPr="00912031" w:rsidRDefault="00F20D51" w:rsidP="00F20D51">
            <w:pPr>
              <w:pStyle w:val="TableText"/>
              <w:rPr>
                <w:rFonts w:cs="Arial"/>
                <w:szCs w:val="18"/>
              </w:rPr>
            </w:pPr>
            <w:r w:rsidRPr="00912031">
              <w:rPr>
                <w:rFonts w:cs="Arial"/>
                <w:szCs w:val="18"/>
              </w:rPr>
              <w:t>Additional details to be included in the exception report when the user overrides this business rule:</w:t>
            </w:r>
          </w:p>
          <w:p w14:paraId="269E9A65" w14:textId="06ADE44D" w:rsidR="002A21AE" w:rsidRPr="00C925FB" w:rsidRDefault="00D77462" w:rsidP="00C925FB">
            <w:pPr>
              <w:pStyle w:val="TableText"/>
              <w:numPr>
                <w:ilvl w:val="0"/>
                <w:numId w:val="56"/>
              </w:numPr>
              <w:rPr>
                <w:rFonts w:cs="Arial"/>
                <w:szCs w:val="18"/>
              </w:rPr>
            </w:pPr>
            <w:r>
              <w:rPr>
                <w:rFonts w:cs="Arial"/>
                <w:szCs w:val="18"/>
              </w:rPr>
              <w:t>Exception</w:t>
            </w:r>
            <w:r w:rsidR="00F20D51" w:rsidRPr="00912031">
              <w:rPr>
                <w:rFonts w:cs="Arial"/>
                <w:szCs w:val="18"/>
              </w:rPr>
              <w:t xml:space="preserve"> Type: Unit issued on expired specimen</w:t>
            </w:r>
          </w:p>
        </w:tc>
      </w:tr>
      <w:tr w:rsidR="002A21AE" w14:paraId="44F60856" w14:textId="77777777">
        <w:tc>
          <w:tcPr>
            <w:tcW w:w="780" w:type="dxa"/>
          </w:tcPr>
          <w:p w14:paraId="6B5A0FAC" w14:textId="77777777" w:rsidR="002A21AE" w:rsidRDefault="002A21AE">
            <w:pPr>
              <w:pStyle w:val="TableText"/>
            </w:pPr>
            <w:r>
              <w:t>5</w:t>
            </w:r>
          </w:p>
        </w:tc>
        <w:tc>
          <w:tcPr>
            <w:tcW w:w="8580" w:type="dxa"/>
          </w:tcPr>
          <w:p w14:paraId="7918253A" w14:textId="77777777" w:rsidR="002A21AE" w:rsidRDefault="002A21AE">
            <w:pPr>
              <w:pStyle w:val="TableText"/>
            </w:pPr>
            <w:r>
              <w:rPr>
                <w:rFonts w:cs="Arial"/>
                <w:vanish/>
              </w:rPr>
              <w:t xml:space="preserve">BR_73.04 </w:t>
            </w:r>
            <w:r>
              <w:t>When the user attempts to issue an expired unit, V</w:t>
            </w:r>
            <w:r w:rsidR="00D258CC">
              <w:t xml:space="preserve">BECS </w:t>
            </w:r>
            <w:r>
              <w:t>warns him. There is no override.</w:t>
            </w:r>
          </w:p>
          <w:p w14:paraId="2E592A11" w14:textId="77777777" w:rsidR="002A21AE" w:rsidRDefault="002A21AE">
            <w:pPr>
              <w:pStyle w:val="TableText"/>
            </w:pPr>
          </w:p>
          <w:p w14:paraId="2DAF9BBA"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A21AE" w14:paraId="3C54475C" w14:textId="77777777">
        <w:tc>
          <w:tcPr>
            <w:tcW w:w="780" w:type="dxa"/>
          </w:tcPr>
          <w:p w14:paraId="2DAA95F2" w14:textId="77777777" w:rsidR="002A21AE" w:rsidRDefault="002A21AE">
            <w:pPr>
              <w:pStyle w:val="TableText"/>
            </w:pPr>
            <w:r>
              <w:t>5</w:t>
            </w:r>
          </w:p>
        </w:tc>
        <w:tc>
          <w:tcPr>
            <w:tcW w:w="8580" w:type="dxa"/>
          </w:tcPr>
          <w:p w14:paraId="0447426E" w14:textId="77777777" w:rsidR="002A21AE" w:rsidRDefault="002A21AE">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3CCC1D73" w14:textId="77777777" w:rsidR="002A21AE" w:rsidRDefault="002A21AE">
            <w:pPr>
              <w:pStyle w:val="TableText"/>
            </w:pPr>
          </w:p>
          <w:p w14:paraId="7D92940C"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w:t>
            </w:r>
            <w:r w:rsidR="00D258CC">
              <w:t xml:space="preserve">BECS </w:t>
            </w:r>
            <w:r>
              <w:t xml:space="preserve">warns that he </w:t>
            </w:r>
            <w:r w:rsidR="00082F78">
              <w:t>does not have the proper security level</w:t>
            </w:r>
            <w:r>
              <w:t xml:space="preserve"> to issue the unit. There is no override. </w:t>
            </w:r>
          </w:p>
          <w:p w14:paraId="7B46974D" w14:textId="77777777" w:rsidR="002A21AE" w:rsidRDefault="002A21AE">
            <w:pPr>
              <w:pStyle w:val="TableText"/>
            </w:pPr>
          </w:p>
          <w:p w14:paraId="5E276A6B"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p>
          <w:p w14:paraId="292A780B" w14:textId="77777777" w:rsidR="00685A5F" w:rsidRDefault="00685A5F">
            <w:pPr>
              <w:pStyle w:val="TableText"/>
            </w:pPr>
          </w:p>
          <w:p w14:paraId="5D4C0A6C" w14:textId="77777777" w:rsidR="00685A5F" w:rsidRDefault="00685A5F" w:rsidP="00685A5F">
            <w:pPr>
              <w:pStyle w:val="TableText"/>
              <w:rPr>
                <w:szCs w:val="18"/>
              </w:rPr>
            </w:pPr>
            <w:r w:rsidRPr="00F14A86">
              <w:rPr>
                <w:szCs w:val="18"/>
              </w:rPr>
              <w:t>Additional details to be included in the exception report when the u</w:t>
            </w:r>
            <w:r>
              <w:rPr>
                <w:szCs w:val="18"/>
              </w:rPr>
              <w:t>ser overrides:</w:t>
            </w:r>
          </w:p>
          <w:p w14:paraId="4938B590" w14:textId="28A17F17" w:rsidR="00685A5F" w:rsidRPr="00FB5425" w:rsidRDefault="00D77462" w:rsidP="00925CAD">
            <w:pPr>
              <w:pStyle w:val="TableText"/>
              <w:numPr>
                <w:ilvl w:val="0"/>
                <w:numId w:val="59"/>
              </w:numPr>
              <w:tabs>
                <w:tab w:val="clear" w:pos="720"/>
                <w:tab w:val="num" w:pos="252"/>
              </w:tabs>
              <w:ind w:left="252" w:hanging="198"/>
              <w:rPr>
                <w:szCs w:val="18"/>
              </w:rPr>
            </w:pPr>
            <w:r>
              <w:rPr>
                <w:szCs w:val="18"/>
              </w:rPr>
              <w:t>Exception</w:t>
            </w:r>
            <w:r w:rsidR="00685A5F" w:rsidRPr="00FB5425">
              <w:rPr>
                <w:szCs w:val="18"/>
              </w:rPr>
              <w:t xml:space="preserve"> Type: Antigen-positive/untested units issued</w:t>
            </w:r>
          </w:p>
          <w:p w14:paraId="1F9A3779" w14:textId="77777777" w:rsidR="00685A5F" w:rsidRPr="008A3C45" w:rsidRDefault="00685A5F" w:rsidP="00925CAD">
            <w:pPr>
              <w:pStyle w:val="TableText"/>
              <w:numPr>
                <w:ilvl w:val="0"/>
                <w:numId w:val="59"/>
              </w:numPr>
              <w:tabs>
                <w:tab w:val="clear" w:pos="720"/>
                <w:tab w:val="num" w:pos="252"/>
              </w:tabs>
              <w:ind w:left="252" w:hanging="198"/>
              <w:rPr>
                <w:szCs w:val="18"/>
              </w:rPr>
            </w:pPr>
            <w:r w:rsidRPr="008A3C45">
              <w:rPr>
                <w:szCs w:val="18"/>
              </w:rPr>
              <w:t>Patient Antibody(ies) Identified</w:t>
            </w:r>
          </w:p>
          <w:p w14:paraId="7A4ECE7B" w14:textId="77777777" w:rsidR="00685A5F" w:rsidRPr="00685A5F" w:rsidRDefault="00685A5F" w:rsidP="00925CAD">
            <w:pPr>
              <w:pStyle w:val="TableText"/>
              <w:numPr>
                <w:ilvl w:val="0"/>
                <w:numId w:val="59"/>
              </w:numPr>
              <w:tabs>
                <w:tab w:val="clear" w:pos="720"/>
                <w:tab w:val="num" w:pos="252"/>
              </w:tabs>
              <w:ind w:left="252" w:hanging="198"/>
              <w:rPr>
                <w:szCs w:val="18"/>
              </w:rPr>
            </w:pPr>
            <w:r w:rsidRPr="004A6FB8">
              <w:rPr>
                <w:szCs w:val="18"/>
              </w:rPr>
              <w:t>Unit Antigen Phenotype Result or “untested”</w:t>
            </w:r>
          </w:p>
        </w:tc>
      </w:tr>
      <w:tr w:rsidR="002A21AE" w14:paraId="319342BA" w14:textId="77777777">
        <w:tc>
          <w:tcPr>
            <w:tcW w:w="780" w:type="dxa"/>
          </w:tcPr>
          <w:p w14:paraId="084265DF" w14:textId="77777777" w:rsidR="002A21AE" w:rsidRDefault="002A21AE">
            <w:pPr>
              <w:pStyle w:val="TableText"/>
            </w:pPr>
            <w:r>
              <w:lastRenderedPageBreak/>
              <w:t>5</w:t>
            </w:r>
          </w:p>
        </w:tc>
        <w:tc>
          <w:tcPr>
            <w:tcW w:w="8580" w:type="dxa"/>
          </w:tcPr>
          <w:p w14:paraId="764AE07E" w14:textId="77777777" w:rsidR="002A21AE" w:rsidRDefault="002A21AE" w:rsidP="00E44A2A">
            <w:pPr>
              <w:pStyle w:val="TableText"/>
            </w:pPr>
            <w:r>
              <w:rPr>
                <w:rFonts w:cs="Arial"/>
                <w:vanish/>
              </w:rPr>
              <w:t xml:space="preserve">BR_73.05 </w:t>
            </w:r>
            <w:r>
              <w:t xml:space="preserve">VBECS compares the ABO/Rh of the current specimen </w:t>
            </w:r>
            <w:r w:rsidR="00E44A2A">
              <w:t xml:space="preserve">to the historic ABO/Rh. </w:t>
            </w:r>
            <w:r>
              <w:t xml:space="preserve">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w:t>
            </w:r>
            <w:r w:rsidR="00E44A2A">
              <w:t>Units that qualify for emergency issue may continue and VBECS will display a message that the ABO/Rh on the current specimen does not agree with the historic ABO/Rh</w:t>
            </w:r>
            <w:r>
              <w:t>.</w:t>
            </w:r>
          </w:p>
        </w:tc>
      </w:tr>
      <w:tr w:rsidR="002A21AE" w14:paraId="5084B698" w14:textId="77777777">
        <w:tc>
          <w:tcPr>
            <w:tcW w:w="780" w:type="dxa"/>
          </w:tcPr>
          <w:p w14:paraId="7973A445" w14:textId="77777777" w:rsidR="00E44A2A" w:rsidRDefault="002A21AE">
            <w:pPr>
              <w:pStyle w:val="TableText"/>
            </w:pPr>
            <w:r>
              <w:t>5</w:t>
            </w:r>
          </w:p>
          <w:p w14:paraId="6471EEF0" w14:textId="77777777" w:rsidR="002A21AE" w:rsidRPr="00E44A2A" w:rsidRDefault="002A21AE" w:rsidP="00E44A2A"/>
        </w:tc>
        <w:tc>
          <w:tcPr>
            <w:tcW w:w="8580" w:type="dxa"/>
          </w:tcPr>
          <w:p w14:paraId="01E86168" w14:textId="77777777" w:rsidR="002A21AE" w:rsidRDefault="002A21AE">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4AED7BB1" w14:textId="77777777" w:rsidR="002A21AE" w:rsidRDefault="002A21AE">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13AF15E4" w14:textId="77777777" w:rsidR="002A21AE" w:rsidRDefault="002A21AE">
            <w:pPr>
              <w:pStyle w:val="TableTextBullet"/>
              <w:tabs>
                <w:tab w:val="clear" w:pos="288"/>
              </w:tabs>
            </w:pPr>
            <w:r>
              <w:t>For FFP order only: group AB, Rh positive or Rh negative.</w:t>
            </w:r>
          </w:p>
          <w:p w14:paraId="3EE7751D" w14:textId="77777777" w:rsidR="002A21AE" w:rsidRDefault="00E31C5D">
            <w:pPr>
              <w:pStyle w:val="TableTextBullet"/>
              <w:tabs>
                <w:tab w:val="clear" w:pos="288"/>
              </w:tabs>
            </w:pPr>
            <w:r>
              <w:t>For PLT, CRYO, or OTHER order, all available units are selectable.</w:t>
            </w:r>
          </w:p>
        </w:tc>
      </w:tr>
      <w:tr w:rsidR="00102A03" w14:paraId="7AD93531" w14:textId="77777777">
        <w:tc>
          <w:tcPr>
            <w:tcW w:w="780" w:type="dxa"/>
          </w:tcPr>
          <w:p w14:paraId="0E5DD5FD" w14:textId="77777777" w:rsidR="00102A03" w:rsidRDefault="00102A03">
            <w:pPr>
              <w:pStyle w:val="TableText"/>
            </w:pPr>
            <w:r>
              <w:t>5</w:t>
            </w:r>
          </w:p>
        </w:tc>
        <w:tc>
          <w:tcPr>
            <w:tcW w:w="8580" w:type="dxa"/>
          </w:tcPr>
          <w:p w14:paraId="40E70C8C" w14:textId="77777777" w:rsidR="00102A03" w:rsidRDefault="00102A03" w:rsidP="00102A03">
            <w:pPr>
              <w:pStyle w:val="TableText"/>
              <w:rPr>
                <w:rFonts w:cs="Arial"/>
                <w:vanish/>
                <w:szCs w:val="22"/>
              </w:rPr>
            </w:pPr>
            <w:r w:rsidRPr="00AE062E">
              <w:rPr>
                <w:vanish/>
                <w:szCs w:val="18"/>
              </w:rPr>
              <w:t xml:space="preserve">BR_73.37 </w:t>
            </w:r>
            <w:r>
              <w:t>When the division is “transfusion only” and a blood unit is ABO incompatible at issue based on the interpretation of the current patient specimen’s ABO test, V</w:t>
            </w:r>
            <w:r w:rsidR="00D258CC">
              <w:t xml:space="preserve">BECS </w:t>
            </w:r>
            <w:r>
              <w:t>warns the user that the unit is not ABO compatible for the patient’s current specimen and may not be issued. The user must resolve pending ABO discrepancies before issuing the unit.</w:t>
            </w:r>
          </w:p>
        </w:tc>
      </w:tr>
      <w:tr w:rsidR="002A21AE" w14:paraId="37E89314" w14:textId="77777777">
        <w:tc>
          <w:tcPr>
            <w:tcW w:w="780" w:type="dxa"/>
          </w:tcPr>
          <w:p w14:paraId="79DA8CF0" w14:textId="77777777" w:rsidR="002A21AE" w:rsidRDefault="002A21AE">
            <w:pPr>
              <w:pStyle w:val="TableText"/>
            </w:pPr>
            <w:r>
              <w:t>7</w:t>
            </w:r>
          </w:p>
        </w:tc>
        <w:tc>
          <w:tcPr>
            <w:tcW w:w="8580" w:type="dxa"/>
          </w:tcPr>
          <w:p w14:paraId="505DC201" w14:textId="77777777" w:rsidR="002A21AE" w:rsidRDefault="002A21AE">
            <w:pPr>
              <w:pStyle w:val="TableText"/>
            </w:pPr>
            <w:r>
              <w:rPr>
                <w:rFonts w:cs="Arial"/>
                <w:vanish/>
                <w:szCs w:val="22"/>
              </w:rPr>
              <w:t xml:space="preserve">BR_73.33 </w:t>
            </w:r>
            <w:r w:rsidR="00FE49A2">
              <w:t xml:space="preserve">When the division is “full service” and a blood unit is ABO incompatible at issue based on the system interpretation of the current patient specimen’s ABO test result, VBECS emits an audible </w:t>
            </w:r>
            <w:r w:rsidR="00A10483">
              <w:t>alert, warns that the unit is not ABO compatible with the patient’s current specimen results,</w:t>
            </w:r>
            <w:r w:rsidR="00FE49A2">
              <w:t xml:space="preserve"> and asks whether he wishes to continue. </w:t>
            </w:r>
            <w:r w:rsidR="00FE49A2">
              <w:rPr>
                <w:b/>
              </w:rPr>
              <w:t>No</w:t>
            </w:r>
            <w:r w:rsidR="00FE49A2">
              <w:t xml:space="preserve"> clears the screen and allows the user to select another unit. </w:t>
            </w:r>
            <w:r w:rsidR="00FE49A2">
              <w:rPr>
                <w:b/>
              </w:rPr>
              <w:t>Yes</w:t>
            </w:r>
            <w:r w:rsidR="00FE49A2">
              <w:t xml:space="preserve"> requires a comment and </w:t>
            </w:r>
            <w:r w:rsidR="00FE49A2" w:rsidRPr="00014921">
              <w:t xml:space="preserve">captures details for inclusion in an Exception Report (exception type: </w:t>
            </w:r>
            <w:r w:rsidR="00FE49A2">
              <w:t>ABO discrepant unit issue</w:t>
            </w:r>
            <w:r w:rsidR="00FE49A2" w:rsidRPr="00014921">
              <w:t>).</w:t>
            </w:r>
          </w:p>
        </w:tc>
      </w:tr>
    </w:tbl>
    <w:p w14:paraId="705F43A0" w14:textId="02D6BF2E" w:rsidR="007122D4" w:rsidRDefault="007122D4" w:rsidP="007122D4">
      <w:pPr>
        <w:pStyle w:val="Caption"/>
      </w:pPr>
      <w:bookmarkStart w:id="386" w:name="_Ref12648932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8</w:t>
      </w:r>
      <w:r w:rsidR="004E20BD">
        <w:rPr>
          <w:noProof/>
        </w:rPr>
        <w:fldChar w:fldCharType="end"/>
      </w:r>
      <w:bookmarkEnd w:id="386"/>
      <w:r>
        <w:t xml:space="preserve">: Alerts That May Occur in Issue Blood Components (Emergency) </w:t>
      </w:r>
      <w:r>
        <w:fldChar w:fldCharType="begin"/>
      </w:r>
      <w:r>
        <w:instrText xml:space="preserve"> XE “Tables:Alerts That May Occur in Issue Blood Components (Emergency)”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63F21" w14:paraId="27652D88" w14:textId="77777777" w:rsidTr="004A7B44">
        <w:trPr>
          <w:cantSplit/>
          <w:tblHeader/>
        </w:trPr>
        <w:tc>
          <w:tcPr>
            <w:tcW w:w="780" w:type="dxa"/>
            <w:shd w:val="clear" w:color="auto" w:fill="B3B3B3"/>
          </w:tcPr>
          <w:p w14:paraId="11B23768" w14:textId="77777777" w:rsidR="00263F21" w:rsidRDefault="00DB3377" w:rsidP="00BC3648">
            <w:pPr>
              <w:pStyle w:val="TableText"/>
              <w:rPr>
                <w:b/>
              </w:rPr>
            </w:pPr>
            <w:r>
              <w:rPr>
                <w:b/>
              </w:rPr>
              <w:t>User Action Step</w:t>
            </w:r>
          </w:p>
        </w:tc>
        <w:tc>
          <w:tcPr>
            <w:tcW w:w="8580" w:type="dxa"/>
            <w:shd w:val="clear" w:color="auto" w:fill="B3B3B3"/>
          </w:tcPr>
          <w:p w14:paraId="7D044201" w14:textId="77777777" w:rsidR="00263F21" w:rsidRDefault="00263F21" w:rsidP="00BC3648">
            <w:pPr>
              <w:pStyle w:val="TableText"/>
              <w:rPr>
                <w:b/>
              </w:rPr>
            </w:pPr>
            <w:r>
              <w:rPr>
                <w:b/>
              </w:rPr>
              <w:t>Alerts</w:t>
            </w:r>
          </w:p>
        </w:tc>
      </w:tr>
      <w:tr w:rsidR="00263F21" w14:paraId="7AAD59A8" w14:textId="77777777" w:rsidTr="004A7B44">
        <w:trPr>
          <w:cantSplit/>
        </w:trPr>
        <w:tc>
          <w:tcPr>
            <w:tcW w:w="780" w:type="dxa"/>
          </w:tcPr>
          <w:p w14:paraId="6F9075F9" w14:textId="77777777" w:rsidR="00263F21" w:rsidRDefault="00263F21" w:rsidP="00BC3648">
            <w:pPr>
              <w:pStyle w:val="TableText"/>
            </w:pPr>
            <w:r>
              <w:t>2</w:t>
            </w:r>
          </w:p>
        </w:tc>
        <w:tc>
          <w:tcPr>
            <w:tcW w:w="8580" w:type="dxa"/>
          </w:tcPr>
          <w:p w14:paraId="140ABACF" w14:textId="77777777" w:rsidR="00263F21" w:rsidRDefault="00263F21" w:rsidP="00BC3648">
            <w:pPr>
              <w:pStyle w:val="TableText"/>
            </w:pPr>
            <w:r>
              <w:rPr>
                <w:rFonts w:cs="Arial"/>
                <w:vanish/>
                <w:szCs w:val="22"/>
              </w:rPr>
              <w:t xml:space="preserve">BR_16.01 </w:t>
            </w:r>
            <w:r>
              <w:t xml:space="preserve">VBECS displays </w:t>
            </w:r>
            <w:r w:rsidR="00057948">
              <w:rPr>
                <w:noProof/>
              </w:rPr>
              <w:drawing>
                <wp:inline distT="0" distB="0" distL="0" distR="0" wp14:anchorId="30B4005A" wp14:editId="22B03B28">
                  <wp:extent cx="156845" cy="156845"/>
                  <wp:effectExtent l="0" t="0" r="0" b="0"/>
                  <wp:docPr id="195" name="Picture 195"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63F21" w14:paraId="5A224146" w14:textId="77777777" w:rsidTr="004A7B44">
        <w:trPr>
          <w:cantSplit/>
        </w:trPr>
        <w:tc>
          <w:tcPr>
            <w:tcW w:w="780" w:type="dxa"/>
          </w:tcPr>
          <w:p w14:paraId="675586A7" w14:textId="77777777" w:rsidR="00263F21" w:rsidRDefault="00263F21" w:rsidP="00BC3648">
            <w:pPr>
              <w:pStyle w:val="TableText"/>
            </w:pPr>
            <w:r>
              <w:t>2</w:t>
            </w:r>
          </w:p>
        </w:tc>
        <w:tc>
          <w:tcPr>
            <w:tcW w:w="8580" w:type="dxa"/>
          </w:tcPr>
          <w:p w14:paraId="571BA1FD" w14:textId="77777777" w:rsidR="00263F21" w:rsidRDefault="00263F21" w:rsidP="00BC3648">
            <w:pPr>
              <w:pStyle w:val="TableText"/>
            </w:pPr>
            <w:r>
              <w:rPr>
                <w:rFonts w:cs="Arial"/>
                <w:vanish/>
              </w:rPr>
              <w:t xml:space="preserve">BR_73.21 </w:t>
            </w:r>
            <w:r>
              <w:t>When no patient is found, VBECS warns the user and does not allow the user to continue.</w:t>
            </w:r>
          </w:p>
        </w:tc>
      </w:tr>
      <w:tr w:rsidR="00263F21" w14:paraId="50C4B0C5" w14:textId="77777777" w:rsidTr="004A7B44">
        <w:trPr>
          <w:cantSplit/>
        </w:trPr>
        <w:tc>
          <w:tcPr>
            <w:tcW w:w="780" w:type="dxa"/>
          </w:tcPr>
          <w:p w14:paraId="6F2EF684" w14:textId="77777777" w:rsidR="00263F21" w:rsidRDefault="00263F21" w:rsidP="00BC3648">
            <w:pPr>
              <w:pStyle w:val="TableText"/>
            </w:pPr>
            <w:r>
              <w:t>2</w:t>
            </w:r>
          </w:p>
        </w:tc>
        <w:tc>
          <w:tcPr>
            <w:tcW w:w="8580" w:type="dxa"/>
          </w:tcPr>
          <w:p w14:paraId="77B408DB" w14:textId="77777777" w:rsidR="00263F21" w:rsidRDefault="00263F21" w:rsidP="00BC3648">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63F21" w14:paraId="78229D20" w14:textId="77777777" w:rsidTr="004A7B44">
        <w:trPr>
          <w:cantSplit/>
        </w:trPr>
        <w:tc>
          <w:tcPr>
            <w:tcW w:w="780" w:type="dxa"/>
          </w:tcPr>
          <w:p w14:paraId="24BE4F1C" w14:textId="77777777" w:rsidR="00263F21" w:rsidRDefault="00263F21" w:rsidP="00BC3648">
            <w:pPr>
              <w:pStyle w:val="TableText"/>
            </w:pPr>
            <w:r>
              <w:t>2</w:t>
            </w:r>
          </w:p>
        </w:tc>
        <w:tc>
          <w:tcPr>
            <w:tcW w:w="8580" w:type="dxa"/>
          </w:tcPr>
          <w:p w14:paraId="33ED9AF9" w14:textId="77777777" w:rsidR="00263F21" w:rsidRDefault="00263F21" w:rsidP="00BC3648">
            <w:pPr>
              <w:pStyle w:val="TableText"/>
            </w:pPr>
            <w:r>
              <w:rPr>
                <w:rFonts w:cs="Arial"/>
                <w:vanish/>
              </w:rPr>
              <w:t xml:space="preserve">BR_73.31 </w:t>
            </w:r>
            <w:r>
              <w:t>When required testing is incomplete at issue, VBECS emits an audible alert, warns the user, and asks whether to emergency issue the unit in accordance with hospital policy.</w:t>
            </w:r>
          </w:p>
          <w:p w14:paraId="3D5F05F8" w14:textId="77777777" w:rsidR="00263F21" w:rsidRDefault="00263F21" w:rsidP="00BC3648">
            <w:pPr>
              <w:pStyle w:val="TableText"/>
            </w:pPr>
          </w:p>
          <w:p w14:paraId="0174C7D3" w14:textId="77777777" w:rsidR="00263F21" w:rsidRDefault="00263F21" w:rsidP="00BC3648">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65539A" w14:paraId="4989C154" w14:textId="77777777" w:rsidTr="004A7B44">
        <w:trPr>
          <w:cantSplit/>
        </w:trPr>
        <w:tc>
          <w:tcPr>
            <w:tcW w:w="780" w:type="dxa"/>
          </w:tcPr>
          <w:p w14:paraId="62F2CCA9" w14:textId="77777777" w:rsidR="0065539A" w:rsidRDefault="0065539A" w:rsidP="00BC3648">
            <w:pPr>
              <w:pStyle w:val="TableText"/>
            </w:pPr>
            <w:r>
              <w:t>5</w:t>
            </w:r>
          </w:p>
        </w:tc>
        <w:tc>
          <w:tcPr>
            <w:tcW w:w="8580" w:type="dxa"/>
          </w:tcPr>
          <w:p w14:paraId="17A25453" w14:textId="77777777" w:rsidR="0065539A" w:rsidRPr="00214B12" w:rsidRDefault="0065539A" w:rsidP="00BC3648">
            <w:pPr>
              <w:pStyle w:val="TableText"/>
              <w:rPr>
                <w:rFonts w:cs="Arial"/>
                <w:vanish/>
                <w:szCs w:val="18"/>
              </w:rPr>
            </w:pPr>
            <w:r w:rsidRPr="0065539A">
              <w:rPr>
                <w:vanish/>
                <w:szCs w:val="18"/>
              </w:rPr>
              <w:t xml:space="preserve">BR_73.17 </w:t>
            </w:r>
            <w:r w:rsidRPr="0065539A">
              <w:rPr>
                <w:szCs w:val="18"/>
              </w:rPr>
              <w:t>When the user atte</w:t>
            </w:r>
            <w:r>
              <w:t>mpts to issue a unit located in a different division, VBECS warms him that the unit cannot be issued and does not allow him to continue.</w:t>
            </w:r>
          </w:p>
        </w:tc>
      </w:tr>
      <w:tr w:rsidR="003306DB" w14:paraId="71C5BF4A" w14:textId="77777777" w:rsidTr="004A7B44">
        <w:trPr>
          <w:cantSplit/>
        </w:trPr>
        <w:tc>
          <w:tcPr>
            <w:tcW w:w="780" w:type="dxa"/>
          </w:tcPr>
          <w:p w14:paraId="44CA90CD" w14:textId="77777777" w:rsidR="003306DB" w:rsidRDefault="003306DB" w:rsidP="00BC3648">
            <w:pPr>
              <w:pStyle w:val="TableText"/>
            </w:pPr>
            <w:r>
              <w:t>5</w:t>
            </w:r>
          </w:p>
        </w:tc>
        <w:tc>
          <w:tcPr>
            <w:tcW w:w="8580" w:type="dxa"/>
          </w:tcPr>
          <w:p w14:paraId="2A21E7C8" w14:textId="77777777" w:rsidR="003306DB" w:rsidRDefault="003306DB" w:rsidP="00BC3648">
            <w:pPr>
              <w:pStyle w:val="TableText"/>
              <w:rPr>
                <w:rFonts w:cs="Arial"/>
                <w:vanish/>
              </w:rPr>
            </w:pPr>
            <w:r w:rsidRPr="00214B12">
              <w:rPr>
                <w:rFonts w:cs="Arial"/>
                <w:vanish/>
                <w:szCs w:val="18"/>
              </w:rPr>
              <w:t xml:space="preserve">BR_73.19 </w:t>
            </w:r>
            <w:r>
              <w:t>When a user indicates that the inspected unit is unsatisfactory, VBECS does not allow the unit to be issued, releases it from assignment, and warns the user that the unit is unacceptable for transfusion. VBECS allows the user to enter another unit number.</w:t>
            </w:r>
          </w:p>
        </w:tc>
      </w:tr>
      <w:tr w:rsidR="00263F21" w14:paraId="7DEF6BAF" w14:textId="77777777" w:rsidTr="004A7B44">
        <w:trPr>
          <w:cantSplit/>
        </w:trPr>
        <w:tc>
          <w:tcPr>
            <w:tcW w:w="780" w:type="dxa"/>
          </w:tcPr>
          <w:p w14:paraId="4A487FB4" w14:textId="77777777" w:rsidR="00263F21" w:rsidRDefault="00263F21" w:rsidP="00BC3648">
            <w:pPr>
              <w:pStyle w:val="TableText"/>
            </w:pPr>
            <w:r>
              <w:t>5</w:t>
            </w:r>
          </w:p>
        </w:tc>
        <w:tc>
          <w:tcPr>
            <w:tcW w:w="8580" w:type="dxa"/>
          </w:tcPr>
          <w:p w14:paraId="5A58061D" w14:textId="77777777" w:rsidR="00263F21" w:rsidRDefault="00263F21" w:rsidP="00BC3648">
            <w:pPr>
              <w:pStyle w:val="TableText"/>
            </w:pPr>
            <w:r>
              <w:rPr>
                <w:rFonts w:cs="Arial"/>
                <w:vanish/>
              </w:rPr>
              <w:t xml:space="preserve">BR_73.27 </w:t>
            </w:r>
            <w:r>
              <w:rPr>
                <w:rFonts w:cs="Arial"/>
              </w:rPr>
              <w:t xml:space="preserve">When the user attempts to select frozen blood components, VBECS </w:t>
            </w:r>
            <w:r>
              <w:t xml:space="preserve">emits an audible alert and warns the user. Units selected in their frozen state must be thawed before issue. </w:t>
            </w:r>
          </w:p>
        </w:tc>
      </w:tr>
      <w:tr w:rsidR="00B11528" w14:paraId="579C74F4" w14:textId="77777777" w:rsidTr="004A7B44">
        <w:trPr>
          <w:cantSplit/>
        </w:trPr>
        <w:tc>
          <w:tcPr>
            <w:tcW w:w="780" w:type="dxa"/>
          </w:tcPr>
          <w:p w14:paraId="65032104" w14:textId="77777777" w:rsidR="00B11528" w:rsidRDefault="00B11528" w:rsidP="00BC3648">
            <w:pPr>
              <w:pStyle w:val="TableText"/>
            </w:pPr>
            <w:r>
              <w:t>5</w:t>
            </w:r>
          </w:p>
        </w:tc>
        <w:tc>
          <w:tcPr>
            <w:tcW w:w="8580" w:type="dxa"/>
          </w:tcPr>
          <w:p w14:paraId="44168DD0" w14:textId="77777777" w:rsidR="00B11528" w:rsidRPr="00B11528" w:rsidRDefault="00B11528" w:rsidP="00B11528">
            <w:pPr>
              <w:pStyle w:val="TableText"/>
              <w:rPr>
                <w:rFonts w:eastAsia="Calibri"/>
                <w:szCs w:val="18"/>
              </w:rPr>
            </w:pPr>
            <w:r w:rsidRPr="00B11528">
              <w:t>When the patient has Component Requirements and Antigen Negative Requirements, the user attempts to issue (including emergency issue) red blood cells that do not satisfy the requirements, and the user is:</w:t>
            </w:r>
          </w:p>
          <w:p w14:paraId="304B4BF7"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53AE0FAE" w14:textId="77777777" w:rsidR="00B11528" w:rsidRDefault="00B11528" w:rsidP="00B11528">
            <w:pPr>
              <w:pStyle w:val="TableText"/>
              <w:rPr>
                <w:rFonts w:cs="Arial"/>
                <w:vanish/>
              </w:rPr>
            </w:pPr>
            <w:r w:rsidRPr="00B11528">
              <w:t>VBECS does not allow an override.</w:t>
            </w:r>
          </w:p>
        </w:tc>
      </w:tr>
      <w:tr w:rsidR="00263F21" w14:paraId="4CF357F0" w14:textId="77777777" w:rsidTr="004A7B44">
        <w:trPr>
          <w:cantSplit/>
        </w:trPr>
        <w:tc>
          <w:tcPr>
            <w:tcW w:w="780" w:type="dxa"/>
          </w:tcPr>
          <w:p w14:paraId="283FA050" w14:textId="77777777" w:rsidR="00263F21" w:rsidRDefault="00263F21" w:rsidP="00BC3648">
            <w:pPr>
              <w:pStyle w:val="TableText"/>
            </w:pPr>
            <w:r>
              <w:lastRenderedPageBreak/>
              <w:t>5</w:t>
            </w:r>
          </w:p>
        </w:tc>
        <w:tc>
          <w:tcPr>
            <w:tcW w:w="8580" w:type="dxa"/>
          </w:tcPr>
          <w:p w14:paraId="2BF5F794" w14:textId="77777777" w:rsidR="002104CB" w:rsidRDefault="002104CB" w:rsidP="002104CB">
            <w:pPr>
              <w:pStyle w:val="TableText"/>
            </w:pPr>
            <w:r>
              <w:rPr>
                <w:rFonts w:cs="Arial"/>
                <w:vanish/>
              </w:rPr>
              <w:t xml:space="preserve">BR_73.28 </w:t>
            </w:r>
            <w:r w:rsidR="00B11528">
              <w:t>When the patient has Component Requirements</w:t>
            </w:r>
            <w:r w:rsidRPr="002104CB">
              <w:t>, the user attempts to issue (including emergency issue) red blood cells that do not satisfy the TR,</w:t>
            </w:r>
            <w:r>
              <w:t xml:space="preserve"> and the user is:</w:t>
            </w:r>
          </w:p>
          <w:p w14:paraId="1627AC6E" w14:textId="77777777" w:rsidR="002104CB" w:rsidRDefault="002104CB" w:rsidP="002104CB">
            <w:pPr>
              <w:pStyle w:val="TableTextBullet"/>
            </w:pPr>
            <w:r w:rsidRPr="00EC7489">
              <w:rPr>
                <w:rFonts w:ascii="Wingdings 3" w:hAnsi="Wingdings 3" w:cs="Wingdings"/>
              </w:rPr>
              <w:t></w:t>
            </w:r>
            <w:r w:rsidRPr="00EC7489">
              <w:rPr>
                <w:rFonts w:ascii="Wingdings 3" w:hAnsi="Wingdings 3" w:cs="Wingdings"/>
              </w:rPr>
              <w:t></w:t>
            </w:r>
            <w:r>
              <w:t xml:space="preserve"> An Enhanced Technologist or below, V</w:t>
            </w:r>
            <w:r w:rsidR="00A13E40">
              <w:t xml:space="preserve">BECS </w:t>
            </w:r>
            <w:r>
              <w:t xml:space="preserve">warns the user that he is not authorized to issue untyped red blood cells (for the clinically significant antibodies in the table). VBECS does not allow an override. </w:t>
            </w:r>
          </w:p>
          <w:p w14:paraId="0B0EAC44" w14:textId="77777777" w:rsidR="00263F21" w:rsidRDefault="002104CB" w:rsidP="002104CB">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 Lead Technologist or above, VBECS emits an audible alert and warns the user.</w:t>
            </w:r>
            <w:r>
              <w:rPr>
                <w:b/>
              </w:rPr>
              <w:t xml:space="preserve"> No</w:t>
            </w:r>
            <w:r>
              <w:t xml:space="preserve"> clears the screen. </w:t>
            </w:r>
            <w:r>
              <w:rPr>
                <w:b/>
              </w:rPr>
              <w:t>Yes</w:t>
            </w:r>
            <w:r>
              <w:t xml:space="preserve"> requires a comment and captures details for inclusion in an Exception Report (exception type: unit issued with unsatisfied TR).</w:t>
            </w:r>
          </w:p>
        </w:tc>
      </w:tr>
      <w:tr w:rsidR="00263F21" w14:paraId="7D319631" w14:textId="77777777" w:rsidTr="004A7B44">
        <w:trPr>
          <w:cantSplit/>
        </w:trPr>
        <w:tc>
          <w:tcPr>
            <w:tcW w:w="780" w:type="dxa"/>
          </w:tcPr>
          <w:p w14:paraId="2E81649C" w14:textId="77777777" w:rsidR="00263F21" w:rsidRDefault="00263F21" w:rsidP="00BC3648">
            <w:pPr>
              <w:pStyle w:val="TableText"/>
            </w:pPr>
            <w:r>
              <w:t>5</w:t>
            </w:r>
          </w:p>
        </w:tc>
        <w:tc>
          <w:tcPr>
            <w:tcW w:w="8580" w:type="dxa"/>
          </w:tcPr>
          <w:p w14:paraId="34FD8705" w14:textId="77777777" w:rsidR="00263F21" w:rsidRDefault="00263F21" w:rsidP="00BC3648">
            <w:pPr>
              <w:pStyle w:val="TableText"/>
            </w:pPr>
            <w:r>
              <w:rPr>
                <w:rFonts w:cs="Arial"/>
                <w:vanish/>
              </w:rPr>
              <w:t xml:space="preserve">BR_73.15 </w:t>
            </w:r>
            <w:r>
              <w:t xml:space="preserve">When a repeat ABO/Rh performed on the patient specimen does not match the original ABO/Rh interpretation and the unit </w:t>
            </w:r>
            <w:r w:rsidR="00A10483">
              <w:t>does not</w:t>
            </w:r>
            <w:r>
              <w:t xml:space="preserve"> qualify for emergency issue, VBECS warns the user and instructs him to resolve the discrepancy before issuing the unit. There is no override. Emergency issue may continue for qualifying units.</w:t>
            </w:r>
          </w:p>
        </w:tc>
      </w:tr>
      <w:tr w:rsidR="00263F21" w14:paraId="2ABB1BB2" w14:textId="77777777" w:rsidTr="004A7B44">
        <w:trPr>
          <w:cantSplit/>
        </w:trPr>
        <w:tc>
          <w:tcPr>
            <w:tcW w:w="780" w:type="dxa"/>
          </w:tcPr>
          <w:p w14:paraId="725BCBA9" w14:textId="77777777" w:rsidR="00263F21" w:rsidRDefault="00263F21" w:rsidP="00BC3648">
            <w:pPr>
              <w:pStyle w:val="TableText"/>
            </w:pPr>
            <w:r>
              <w:t>5</w:t>
            </w:r>
          </w:p>
        </w:tc>
        <w:tc>
          <w:tcPr>
            <w:tcW w:w="8580" w:type="dxa"/>
          </w:tcPr>
          <w:p w14:paraId="46A107F5" w14:textId="77777777" w:rsidR="00263F21" w:rsidRDefault="00263F21" w:rsidP="00BC3648">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63F21" w14:paraId="6604E669" w14:textId="77777777" w:rsidTr="004A7B44">
        <w:trPr>
          <w:cantSplit/>
        </w:trPr>
        <w:tc>
          <w:tcPr>
            <w:tcW w:w="780" w:type="dxa"/>
          </w:tcPr>
          <w:p w14:paraId="67223F66" w14:textId="77777777" w:rsidR="00263F21" w:rsidRDefault="00263F21" w:rsidP="00BC3648">
            <w:pPr>
              <w:pStyle w:val="TableText"/>
            </w:pPr>
            <w:r>
              <w:t>5</w:t>
            </w:r>
          </w:p>
        </w:tc>
        <w:tc>
          <w:tcPr>
            <w:tcW w:w="8580" w:type="dxa"/>
          </w:tcPr>
          <w:p w14:paraId="27E70DB0" w14:textId="77777777" w:rsidR="00263F21" w:rsidRDefault="00263F21" w:rsidP="00BC3648">
            <w:pPr>
              <w:pStyle w:val="TableText"/>
            </w:pPr>
            <w:r>
              <w:rPr>
                <w:rFonts w:cs="Arial"/>
                <w:vanish/>
                <w:szCs w:val="22"/>
              </w:rPr>
              <w:t xml:space="preserve">BR_73.16 </w:t>
            </w:r>
            <w:r>
              <w:t xml:space="preserve">For an Rh negative, unknown, or inconclusive patient, the user may enter and confirm Rh positive </w:t>
            </w:r>
            <w:r w:rsidR="00BA5BE4">
              <w:t xml:space="preserve">and Rh pooled </w:t>
            </w:r>
            <w:r>
              <w:t xml:space="preserve">units from the WHOLE BLOOD, RED BLOOD CELLS, PLATELETS, and OTHER VBECS component classes. </w:t>
            </w:r>
            <w:r w:rsidR="001D0217" w:rsidRPr="000921F1">
              <w:t>VBECS emits an audible alert, warns that the patient is Rh negative and the selected unit is Rh positive, instructs the user to check the patient sex and hospital policy before continuing, and asks whether the user wishes to continue to select the unit.</w:t>
            </w:r>
            <w:r>
              <w:t xml:space="preserve">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r w:rsidR="001D0217" w:rsidRPr="001D0217">
              <w:rPr>
                <w:vanish/>
              </w:rPr>
              <w:t xml:space="preserve"> DR 4508</w:t>
            </w:r>
          </w:p>
        </w:tc>
      </w:tr>
      <w:tr w:rsidR="00263F21" w14:paraId="5293BBD2" w14:textId="77777777" w:rsidTr="004A7B44">
        <w:trPr>
          <w:cantSplit/>
        </w:trPr>
        <w:tc>
          <w:tcPr>
            <w:tcW w:w="780" w:type="dxa"/>
          </w:tcPr>
          <w:p w14:paraId="6508434D" w14:textId="77777777" w:rsidR="00263F21" w:rsidRDefault="00263F21" w:rsidP="00BC3648">
            <w:pPr>
              <w:pStyle w:val="TableText"/>
            </w:pPr>
            <w:r>
              <w:t>5</w:t>
            </w:r>
          </w:p>
        </w:tc>
        <w:tc>
          <w:tcPr>
            <w:tcW w:w="8580" w:type="dxa"/>
          </w:tcPr>
          <w:p w14:paraId="090AD62A" w14:textId="77777777" w:rsidR="00263F21" w:rsidRDefault="00263F21" w:rsidP="00BC3648">
            <w:pPr>
              <w:pStyle w:val="TableText"/>
            </w:pPr>
            <w:r>
              <w:rPr>
                <w:rFonts w:cs="Arial"/>
                <w:vanish/>
              </w:rPr>
              <w:t xml:space="preserve">BR_73.04 </w:t>
            </w:r>
            <w:r>
              <w:t>When the user attempts to issue an expired unit, VBECS emits an audible alert and warns him. There is no override.</w:t>
            </w:r>
          </w:p>
          <w:p w14:paraId="7FC6C007" w14:textId="77777777" w:rsidR="00263F21" w:rsidRDefault="00263F21" w:rsidP="00BC3648">
            <w:pPr>
              <w:pStyle w:val="TableText"/>
            </w:pPr>
          </w:p>
          <w:p w14:paraId="06C1C448"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63F21" w14:paraId="08030156" w14:textId="77777777" w:rsidTr="004A7B44">
        <w:trPr>
          <w:cantSplit/>
        </w:trPr>
        <w:tc>
          <w:tcPr>
            <w:tcW w:w="780" w:type="dxa"/>
          </w:tcPr>
          <w:p w14:paraId="089953F0" w14:textId="77777777" w:rsidR="00263F21" w:rsidRDefault="00263F21" w:rsidP="00BC3648">
            <w:pPr>
              <w:pStyle w:val="TableText"/>
            </w:pPr>
            <w:r>
              <w:t>5</w:t>
            </w:r>
          </w:p>
        </w:tc>
        <w:tc>
          <w:tcPr>
            <w:tcW w:w="8580" w:type="dxa"/>
          </w:tcPr>
          <w:p w14:paraId="7D35E032" w14:textId="77777777" w:rsidR="00263F21" w:rsidRDefault="00263F21" w:rsidP="00BC3648">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16E6DF58" w14:textId="77777777" w:rsidR="00263F21" w:rsidRDefault="00263F21" w:rsidP="00BC3648">
            <w:pPr>
              <w:pStyle w:val="TableText"/>
            </w:pPr>
          </w:p>
          <w:p w14:paraId="3212EC24"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VBECS emits an audible alert and warns that he does not have the proper security level to issue the unit. There is no override. </w:t>
            </w:r>
          </w:p>
          <w:p w14:paraId="1AF9EB42" w14:textId="77777777" w:rsidR="00263F21" w:rsidRDefault="00263F21" w:rsidP="00BC3648">
            <w:pPr>
              <w:pStyle w:val="TableText"/>
            </w:pPr>
          </w:p>
          <w:p w14:paraId="00C31614" w14:textId="77777777" w:rsidR="00685A5F" w:rsidRDefault="00263F21" w:rsidP="00685A5F">
            <w:pPr>
              <w:pStyle w:val="TableText"/>
              <w:rPr>
                <w:szCs w:val="18"/>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r w:rsidR="00685A5F" w:rsidRPr="00F14A86">
              <w:rPr>
                <w:szCs w:val="18"/>
              </w:rPr>
              <w:t xml:space="preserve"> Additional details to be included in the exception report when the u</w:t>
            </w:r>
            <w:r w:rsidR="00685A5F">
              <w:rPr>
                <w:szCs w:val="18"/>
              </w:rPr>
              <w:t>ser overrides:</w:t>
            </w:r>
          </w:p>
          <w:p w14:paraId="57329B3C" w14:textId="36CABF12" w:rsidR="00685A5F" w:rsidRPr="00FB5425" w:rsidRDefault="00D77462" w:rsidP="00925CAD">
            <w:pPr>
              <w:pStyle w:val="TableText"/>
              <w:numPr>
                <w:ilvl w:val="0"/>
                <w:numId w:val="59"/>
              </w:numPr>
              <w:tabs>
                <w:tab w:val="clear" w:pos="720"/>
                <w:tab w:val="num" w:pos="252"/>
              </w:tabs>
              <w:ind w:left="252" w:hanging="198"/>
              <w:rPr>
                <w:szCs w:val="18"/>
              </w:rPr>
            </w:pPr>
            <w:r>
              <w:rPr>
                <w:szCs w:val="18"/>
              </w:rPr>
              <w:t>Exception</w:t>
            </w:r>
            <w:r w:rsidR="00685A5F" w:rsidRPr="00FB5425">
              <w:rPr>
                <w:szCs w:val="18"/>
              </w:rPr>
              <w:t xml:space="preserve"> Type: Antigen-positive/untested units issued</w:t>
            </w:r>
          </w:p>
          <w:p w14:paraId="4B7A3FD0" w14:textId="77777777" w:rsidR="00685A5F" w:rsidRPr="008A3C45" w:rsidRDefault="00685A5F" w:rsidP="00925CAD">
            <w:pPr>
              <w:pStyle w:val="TableText"/>
              <w:numPr>
                <w:ilvl w:val="0"/>
                <w:numId w:val="59"/>
              </w:numPr>
              <w:tabs>
                <w:tab w:val="clear" w:pos="720"/>
                <w:tab w:val="num" w:pos="252"/>
              </w:tabs>
              <w:ind w:left="252" w:hanging="198"/>
              <w:rPr>
                <w:szCs w:val="18"/>
              </w:rPr>
            </w:pPr>
            <w:r w:rsidRPr="008A3C45">
              <w:rPr>
                <w:szCs w:val="18"/>
              </w:rPr>
              <w:t>Patient Antibody(ies) Identified</w:t>
            </w:r>
          </w:p>
          <w:p w14:paraId="2BEEECE6" w14:textId="77777777" w:rsidR="00263F21" w:rsidRDefault="00685A5F" w:rsidP="00925CAD">
            <w:pPr>
              <w:pStyle w:val="TableText"/>
              <w:numPr>
                <w:ilvl w:val="0"/>
                <w:numId w:val="59"/>
              </w:numPr>
              <w:tabs>
                <w:tab w:val="clear" w:pos="720"/>
                <w:tab w:val="num" w:pos="252"/>
              </w:tabs>
              <w:ind w:left="252" w:hanging="198"/>
            </w:pPr>
            <w:r w:rsidRPr="004A6FB8">
              <w:rPr>
                <w:szCs w:val="18"/>
              </w:rPr>
              <w:t>Unit Antigen Phenotype Result or “untested”</w:t>
            </w:r>
          </w:p>
        </w:tc>
      </w:tr>
      <w:tr w:rsidR="00263F21" w14:paraId="13F3F5EE" w14:textId="77777777" w:rsidTr="004A7B44">
        <w:trPr>
          <w:cantSplit/>
        </w:trPr>
        <w:tc>
          <w:tcPr>
            <w:tcW w:w="780" w:type="dxa"/>
          </w:tcPr>
          <w:p w14:paraId="7656E22F" w14:textId="77777777" w:rsidR="00263F21" w:rsidRDefault="00263F21" w:rsidP="00BC3648">
            <w:pPr>
              <w:pStyle w:val="TableText"/>
            </w:pPr>
            <w:r>
              <w:t>5</w:t>
            </w:r>
          </w:p>
        </w:tc>
        <w:tc>
          <w:tcPr>
            <w:tcW w:w="8580" w:type="dxa"/>
          </w:tcPr>
          <w:p w14:paraId="7E3009C6" w14:textId="77777777" w:rsidR="00263F21" w:rsidRDefault="00263F21" w:rsidP="00BC3648">
            <w:pPr>
              <w:pStyle w:val="TableText"/>
            </w:pPr>
            <w:r>
              <w:rPr>
                <w:rFonts w:cs="Arial"/>
                <w:vanish/>
              </w:rPr>
              <w:t xml:space="preserve">BR_73.05 </w:t>
            </w:r>
            <w:r>
              <w:t xml:space="preserve">VBECS compares the ABO/Rh of the current specimen to the historic ABO/Rh. When the unit was electronically crossmatched, the current and historic ABO/Rh results must have been recorded in the login user’s division. 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Emergency issue may continue for qualifying units.</w:t>
            </w:r>
          </w:p>
        </w:tc>
      </w:tr>
      <w:tr w:rsidR="00263F21" w14:paraId="3ED1815C" w14:textId="77777777" w:rsidTr="004A7B44">
        <w:trPr>
          <w:cantSplit/>
        </w:trPr>
        <w:tc>
          <w:tcPr>
            <w:tcW w:w="780" w:type="dxa"/>
          </w:tcPr>
          <w:p w14:paraId="112E6ED3" w14:textId="77777777" w:rsidR="00263F21" w:rsidRDefault="00263F21" w:rsidP="00BC3648">
            <w:pPr>
              <w:pStyle w:val="TableText"/>
            </w:pPr>
            <w:r>
              <w:lastRenderedPageBreak/>
              <w:t>5</w:t>
            </w:r>
          </w:p>
        </w:tc>
        <w:tc>
          <w:tcPr>
            <w:tcW w:w="8580" w:type="dxa"/>
          </w:tcPr>
          <w:p w14:paraId="3D5E5371" w14:textId="77777777" w:rsidR="00263F21" w:rsidRDefault="00263F21" w:rsidP="00BC3648">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66B3F821" w14:textId="77777777" w:rsidR="00263F21" w:rsidRDefault="00263F21" w:rsidP="00BC3648">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21430147" w14:textId="77777777" w:rsidR="00263F21" w:rsidRDefault="00263F21" w:rsidP="00BC3648">
            <w:pPr>
              <w:pStyle w:val="TableTextBullet"/>
              <w:tabs>
                <w:tab w:val="clear" w:pos="288"/>
              </w:tabs>
            </w:pPr>
            <w:r>
              <w:t>For FFP order only: group AB, Rh positive or Rh negative.</w:t>
            </w:r>
          </w:p>
          <w:p w14:paraId="2294BADD" w14:textId="77777777" w:rsidR="00263F21" w:rsidRDefault="00263F21" w:rsidP="00BC3648">
            <w:pPr>
              <w:pStyle w:val="TableTextBullet"/>
              <w:tabs>
                <w:tab w:val="clear" w:pos="288"/>
              </w:tabs>
            </w:pPr>
            <w:r>
              <w:t>For PLT, CRYO, or OTHER order, all available units are selectable.</w:t>
            </w:r>
          </w:p>
        </w:tc>
      </w:tr>
      <w:tr w:rsidR="00113B6A" w14:paraId="1AAD4681" w14:textId="77777777" w:rsidTr="004A7B44">
        <w:trPr>
          <w:cantSplit/>
        </w:trPr>
        <w:tc>
          <w:tcPr>
            <w:tcW w:w="780" w:type="dxa"/>
          </w:tcPr>
          <w:p w14:paraId="065C6E6F" w14:textId="77777777" w:rsidR="00113B6A" w:rsidRDefault="00173BDA" w:rsidP="00303708">
            <w:pPr>
              <w:pStyle w:val="TableText"/>
            </w:pPr>
            <w:r>
              <w:t>5</w:t>
            </w:r>
          </w:p>
        </w:tc>
        <w:tc>
          <w:tcPr>
            <w:tcW w:w="8580" w:type="dxa"/>
          </w:tcPr>
          <w:p w14:paraId="23053ACB" w14:textId="77777777" w:rsidR="00113B6A" w:rsidRDefault="00113B6A" w:rsidP="00303708">
            <w:pPr>
              <w:pStyle w:val="TableText"/>
            </w:pPr>
            <w:r w:rsidRPr="00DC6BEF">
              <w:rPr>
                <w:rFonts w:cs="Arial"/>
                <w:vanish/>
                <w:color w:val="0000FF"/>
              </w:rPr>
              <w:t>BR_3.12</w:t>
            </w:r>
            <w:r>
              <w:rPr>
                <w:rFonts w:cs="Arial"/>
                <w:vanish/>
              </w:rPr>
              <w:t xml:space="preserve"> </w:t>
            </w:r>
            <w:r>
              <w:rPr>
                <w:szCs w:val="22"/>
              </w:rPr>
              <w:t></w:t>
            </w:r>
            <w:r>
              <w:t>When the user selects blood components from the frozen product types for a patient, VBECS emits an audible alert and warns that the selected blood unit must be thawed and may require addition</w:t>
            </w:r>
            <w:r w:rsidR="00CD635A">
              <w:t>al processing prior to issue.</w:t>
            </w:r>
            <w:r>
              <w:t xml:space="preserve"> VBECS updates the blood unit status to “assigned” and the unit is no longer available for issue.</w:t>
            </w:r>
          </w:p>
        </w:tc>
      </w:tr>
      <w:tr w:rsidR="00113B6A" w14:paraId="7CD02ACF"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047684A7" w14:textId="77777777" w:rsidR="00113B6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51CBC093" w14:textId="77777777" w:rsidR="00113B6A" w:rsidRDefault="00113B6A" w:rsidP="00173BDA">
            <w:pPr>
              <w:pStyle w:val="TableText"/>
            </w:pPr>
            <w:r>
              <w:rPr>
                <w:rFonts w:cs="Arial"/>
                <w:vanish/>
              </w:rPr>
              <w:t xml:space="preserve">BR_43.04 </w:t>
            </w:r>
            <w:r>
              <w:t xml:space="preserve">When a Caution Tag or BTRF is printed for an emergency-issued unit, “Emergency Issue” is included on the form. </w:t>
            </w:r>
          </w:p>
          <w:p w14:paraId="10A7B34D" w14:textId="77777777" w:rsidR="00113B6A" w:rsidRDefault="00113B6A" w:rsidP="00173BDA">
            <w:pPr>
              <w:pStyle w:val="TableText"/>
            </w:pPr>
          </w:p>
          <w:p w14:paraId="0C965A08" w14:textId="77777777" w:rsidR="00113B6A" w:rsidRDefault="00113B6A" w:rsidP="00173BDA">
            <w:pPr>
              <w:pStyle w:val="TableText"/>
            </w:pPr>
            <w:r>
              <w:t xml:space="preserve">The recipient ABO/Rh prints as “Unk” or “Unknown” during emergency issue when no current specimen results are on file; VBECS may </w:t>
            </w:r>
            <w:r>
              <w:rPr>
                <w:iCs/>
              </w:rPr>
              <w:t>not</w:t>
            </w:r>
            <w:r>
              <w:t xml:space="preserve"> use a historic record blood type (from any source) for the typing printed on the tag/form.</w:t>
            </w:r>
          </w:p>
          <w:p w14:paraId="7F089C33" w14:textId="77777777" w:rsidR="00113B6A" w:rsidRDefault="00113B6A" w:rsidP="00173BDA">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tblGrid>
            <w:tr w:rsidR="00113B6A" w14:paraId="61619FB9" w14:textId="77777777">
              <w:trPr>
                <w:tblHeader/>
              </w:trPr>
              <w:tc>
                <w:tcPr>
                  <w:tcW w:w="2880" w:type="dxa"/>
                  <w:shd w:val="clear" w:color="auto" w:fill="B3B3B3"/>
                  <w:vAlign w:val="bottom"/>
                </w:tcPr>
                <w:p w14:paraId="085D52AE" w14:textId="77777777" w:rsidR="00113B6A" w:rsidRDefault="00113B6A" w:rsidP="00173BDA">
                  <w:pPr>
                    <w:pStyle w:val="TableText"/>
                    <w:rPr>
                      <w:b/>
                    </w:rPr>
                  </w:pPr>
                  <w:r>
                    <w:rPr>
                      <w:b/>
                    </w:rPr>
                    <w:t>Compatibility Interpretation</w:t>
                  </w:r>
                </w:p>
              </w:tc>
              <w:tc>
                <w:tcPr>
                  <w:tcW w:w="2880" w:type="dxa"/>
                  <w:shd w:val="clear" w:color="auto" w:fill="B3B3B3"/>
                  <w:vAlign w:val="bottom"/>
                </w:tcPr>
                <w:p w14:paraId="7F39A450" w14:textId="77777777" w:rsidR="00113B6A" w:rsidRDefault="00113B6A" w:rsidP="00173BDA">
                  <w:pPr>
                    <w:pStyle w:val="TableText"/>
                    <w:rPr>
                      <w:b/>
                    </w:rPr>
                  </w:pPr>
                  <w:r>
                    <w:rPr>
                      <w:b/>
                    </w:rPr>
                    <w:t>Text on BTRF</w:t>
                  </w:r>
                </w:p>
              </w:tc>
            </w:tr>
            <w:tr w:rsidR="00113B6A" w14:paraId="5E26A936" w14:textId="77777777">
              <w:tc>
                <w:tcPr>
                  <w:tcW w:w="2880" w:type="dxa"/>
                  <w:vAlign w:val="bottom"/>
                </w:tcPr>
                <w:p w14:paraId="79397669" w14:textId="77777777" w:rsidR="00113B6A" w:rsidRDefault="00113B6A" w:rsidP="00173BDA">
                  <w:pPr>
                    <w:pStyle w:val="TableText"/>
                  </w:pPr>
                  <w:r>
                    <w:t>Crossmatch</w:t>
                  </w:r>
                </w:p>
              </w:tc>
              <w:tc>
                <w:tcPr>
                  <w:tcW w:w="2880" w:type="dxa"/>
                  <w:vAlign w:val="bottom"/>
                </w:tcPr>
                <w:p w14:paraId="2C80A42A" w14:textId="77777777" w:rsidR="00113B6A" w:rsidRDefault="00113B6A" w:rsidP="00173BDA">
                  <w:pPr>
                    <w:pStyle w:val="TableText"/>
                  </w:pPr>
                  <w:r>
                    <w:t>TESTING INCOMPLETE</w:t>
                  </w:r>
                </w:p>
              </w:tc>
            </w:tr>
            <w:tr w:rsidR="00113B6A" w14:paraId="6DF2F619" w14:textId="77777777">
              <w:tc>
                <w:tcPr>
                  <w:tcW w:w="2880" w:type="dxa"/>
                  <w:vAlign w:val="bottom"/>
                </w:tcPr>
                <w:p w14:paraId="0C36612D" w14:textId="77777777" w:rsidR="00113B6A" w:rsidRDefault="00113B6A" w:rsidP="00173BDA">
                  <w:pPr>
                    <w:pStyle w:val="TableText"/>
                  </w:pPr>
                  <w:r>
                    <w:t>Crossmatch Not Required</w:t>
                  </w:r>
                </w:p>
              </w:tc>
              <w:tc>
                <w:tcPr>
                  <w:tcW w:w="2880" w:type="dxa"/>
                  <w:vAlign w:val="bottom"/>
                </w:tcPr>
                <w:p w14:paraId="1D3AA5AF" w14:textId="77777777" w:rsidR="00113B6A" w:rsidRDefault="00113B6A" w:rsidP="00173BDA">
                  <w:pPr>
                    <w:pStyle w:val="TableText"/>
                  </w:pPr>
                  <w:r>
                    <w:t>Not Required</w:t>
                  </w:r>
                </w:p>
              </w:tc>
            </w:tr>
          </w:tbl>
          <w:p w14:paraId="1CD820E2" w14:textId="77777777" w:rsidR="00113B6A" w:rsidRDefault="00113B6A" w:rsidP="00173BDA">
            <w:pPr>
              <w:pStyle w:val="TableText"/>
            </w:pPr>
          </w:p>
          <w:p w14:paraId="2A72450F" w14:textId="77777777" w:rsidR="00113B6A" w:rsidRPr="00113B6A" w:rsidRDefault="00113B6A" w:rsidP="00303708">
            <w:pPr>
              <w:pStyle w:val="TableText"/>
              <w:rPr>
                <w:rFonts w:cs="Arial"/>
                <w:vanish/>
                <w:color w:val="0000FF"/>
              </w:rPr>
            </w:pPr>
            <w:r>
              <w:t>VBECS prints “Emergency Issue” in the TR section of the form.</w:t>
            </w:r>
          </w:p>
        </w:tc>
      </w:tr>
      <w:tr w:rsidR="00173BDA" w14:paraId="4F85980F"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590749A6"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07A1484A" w14:textId="77777777" w:rsidR="00173BDA" w:rsidRDefault="00173BDA" w:rsidP="00173BDA">
            <w:pPr>
              <w:pStyle w:val="TableText"/>
            </w:pPr>
            <w:r w:rsidRPr="00C82886">
              <w:rPr>
                <w:vanish/>
                <w:szCs w:val="18"/>
              </w:rPr>
              <w:t xml:space="preserve">BR_44.05 </w:t>
            </w:r>
            <w:r>
              <w:t>When blood products are emergency issued (</w:t>
            </w:r>
            <w:r w:rsidR="00C82886">
              <w:t xml:space="preserve">units has an </w:t>
            </w:r>
            <w:r w:rsidR="00CF2D0E">
              <w:t>emergency issue” order indicator</w:t>
            </w:r>
            <w:r w:rsidR="00C82886">
              <w:t xml:space="preserve">, </w:t>
            </w:r>
            <w:r>
              <w:t>or the testing is incomplete or inconclusive on the current specimen), the remarks section of the Blood Transfusion Record Form</w:t>
            </w:r>
            <w:r w:rsidR="00C82886">
              <w:t xml:space="preserve"> includes</w:t>
            </w:r>
            <w:r>
              <w:t xml:space="preserve">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515EF056" w14:textId="77777777" w:rsidR="00173BDA" w:rsidRDefault="00173BDA" w:rsidP="00C82886">
            <w:pPr>
              <w:pStyle w:val="TableText"/>
            </w:pPr>
          </w:p>
          <w:p w14:paraId="4236E896" w14:textId="77777777" w:rsidR="00173BDA" w:rsidRDefault="00C82886" w:rsidP="00C82886">
            <w:pPr>
              <w:pStyle w:val="TableText"/>
              <w:rPr>
                <w:rFonts w:cs="Arial"/>
                <w:vanish/>
              </w:rPr>
            </w:pPr>
            <w:r>
              <w:t>When</w:t>
            </w:r>
            <w:r w:rsidR="00173BDA">
              <w:t xml:space="preserve"> “***” prints for the patient ABO/Rh and crossmatch, </w:t>
            </w:r>
            <w:r w:rsidR="002036D0">
              <w:t>the form includes</w:t>
            </w:r>
            <w:r w:rsidR="00173BDA">
              <w:t xml:space="preserve"> “Specimen testing incomplete at time of issue</w:t>
            </w:r>
            <w:r>
              <w:t>.</w:t>
            </w:r>
            <w:r w:rsidR="00173BDA">
              <w:t>”</w:t>
            </w:r>
          </w:p>
        </w:tc>
      </w:tr>
      <w:tr w:rsidR="00173BDA" w14:paraId="5FFCD5B3"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532761EC"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28E478D9" w14:textId="77777777" w:rsidR="00173BDA" w:rsidRPr="00173BDA" w:rsidRDefault="00173BDA" w:rsidP="00003BE9">
            <w:pPr>
              <w:pStyle w:val="TableText"/>
            </w:pPr>
            <w:r w:rsidRPr="00CF2D0E">
              <w:rPr>
                <w:vanish/>
                <w:szCs w:val="18"/>
              </w:rPr>
              <w:t xml:space="preserve">BR_56.29 </w:t>
            </w:r>
            <w:r w:rsidRPr="00173BDA">
              <w:t xml:space="preserve">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 </w:t>
            </w:r>
          </w:p>
        </w:tc>
      </w:tr>
      <w:tr w:rsidR="00173BDA" w14:paraId="0B6E93BF"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019F2F10" w14:textId="77777777" w:rsidR="00173BDA" w:rsidRDefault="00173BDA" w:rsidP="00303708">
            <w:pPr>
              <w:pStyle w:val="TableText"/>
            </w:pPr>
            <w:r>
              <w:t>7</w:t>
            </w:r>
          </w:p>
        </w:tc>
        <w:tc>
          <w:tcPr>
            <w:tcW w:w="8580" w:type="dxa"/>
            <w:tcBorders>
              <w:top w:val="single" w:sz="4" w:space="0" w:color="auto"/>
              <w:left w:val="single" w:sz="4" w:space="0" w:color="auto"/>
              <w:bottom w:val="single" w:sz="4" w:space="0" w:color="auto"/>
              <w:right w:val="single" w:sz="4" w:space="0" w:color="auto"/>
            </w:tcBorders>
          </w:tcPr>
          <w:p w14:paraId="52DD3607" w14:textId="77777777" w:rsidR="00173BDA" w:rsidRDefault="00173BDA" w:rsidP="00303708">
            <w:pPr>
              <w:pStyle w:val="TableText"/>
            </w:pPr>
            <w:r w:rsidRPr="00651291">
              <w:rPr>
                <w:vanish/>
                <w:szCs w:val="18"/>
              </w:rPr>
              <w:t xml:space="preserve">BR_73.33 </w:t>
            </w:r>
            <w:r>
              <w:t xml:space="preserve">When the division is “full service” and a blood unit is ABO incompatible at issue based on the system interpretation of the current patient specimen’s ABO test result, VBECS emits an audible alert and warns that the unit is not ABO compatible with the patient’s current specimen results and asks whether he wishes to continue. </w:t>
            </w:r>
            <w:r w:rsidRPr="00173BDA">
              <w:t>No</w:t>
            </w:r>
            <w:r>
              <w:t xml:space="preserve"> clears the screen and allows the user to select another unit. </w:t>
            </w:r>
            <w:r w:rsidRPr="00173BDA">
              <w:t>Yes</w:t>
            </w:r>
            <w:r>
              <w:t xml:space="preserve"> requires a comment and </w:t>
            </w:r>
            <w:r w:rsidRPr="00014921">
              <w:t xml:space="preserve">captures details for inclusion in an Exception Report (exception type: </w:t>
            </w:r>
            <w:r>
              <w:t>ABO discrepant unit issue</w:t>
            </w:r>
            <w:r w:rsidRPr="00014921">
              <w:t>).</w:t>
            </w:r>
          </w:p>
        </w:tc>
      </w:tr>
    </w:tbl>
    <w:p w14:paraId="2C26C63A" w14:textId="77777777" w:rsidR="007A4F14" w:rsidRDefault="007A4F14">
      <w:pPr>
        <w:pStyle w:val="Heading2"/>
      </w:pPr>
    </w:p>
    <w:p w14:paraId="668F6F9E" w14:textId="77777777" w:rsidR="002A21AE" w:rsidRDefault="007A4F14">
      <w:pPr>
        <w:pStyle w:val="Heading2"/>
      </w:pPr>
      <w:r>
        <w:br w:type="page"/>
      </w:r>
      <w:bookmarkStart w:id="387" w:name="_Toc163644926"/>
      <w:r w:rsidR="002A21AE">
        <w:lastRenderedPageBreak/>
        <w:t>Return Issued Units To Blood Bank</w:t>
      </w:r>
      <w:bookmarkEnd w:id="387"/>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Return Issued Units To Blood Bank</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UC_59</w:t>
      </w:r>
    </w:p>
    <w:p w14:paraId="27B9E45B" w14:textId="6BA1296E" w:rsidR="002A21AE" w:rsidRDefault="00783596" w:rsidP="00FA7E65">
      <w:pPr>
        <w:pStyle w:val="BodyText"/>
      </w:pPr>
      <w:r>
        <w:t xml:space="preserve">An issued </w:t>
      </w:r>
      <w:r w:rsidR="00A30DD1">
        <w:t xml:space="preserve">unit </w:t>
      </w:r>
      <w:r>
        <w:t>was returned to the blood bank in satisfactory condition after issue to a valid hospital location.</w:t>
      </w:r>
    </w:p>
    <w:p w14:paraId="20BF4B96" w14:textId="57A94386" w:rsidR="006A2DFC" w:rsidRPr="006F799E" w:rsidRDefault="006A2DFC" w:rsidP="00FA7E65">
      <w:pPr>
        <w:pStyle w:val="BodyText"/>
        <w:rPr>
          <w:vanish/>
        </w:rPr>
      </w:pPr>
      <w:r>
        <w:t>The user may enter a comment in the ‘Unit Return' comment context and a free text comment. The comment will be displayed in the Unit History Report, Issue Information section and the Issued/Returned Report.</w:t>
      </w:r>
      <w:r w:rsidR="002D072F">
        <w:rPr>
          <w:vanish/>
        </w:rPr>
        <w:t xml:space="preserve"> BR_59.15</w:t>
      </w:r>
    </w:p>
    <w:p w14:paraId="217A3660" w14:textId="77777777" w:rsidR="002A21AE" w:rsidRDefault="002A21AE">
      <w:pPr>
        <w:pStyle w:val="Heading4"/>
      </w:pPr>
      <w:r>
        <w:t>Assumptions</w:t>
      </w:r>
      <w:r>
        <w:rPr>
          <w:b w:val="0"/>
        </w:rPr>
        <w:t xml:space="preserve"> </w:t>
      </w:r>
    </w:p>
    <w:p w14:paraId="6884C701" w14:textId="77777777" w:rsidR="002A21AE" w:rsidRDefault="002A21AE">
      <w:pPr>
        <w:pStyle w:val="ListBullet"/>
      </w:pPr>
      <w:r>
        <w:t>The user is logged into the division that contains the unit.</w:t>
      </w:r>
    </w:p>
    <w:p w14:paraId="48D3722A" w14:textId="77777777" w:rsidR="002A21AE" w:rsidRDefault="002A21AE">
      <w:pPr>
        <w:pStyle w:val="ListBullet"/>
      </w:pPr>
      <w:r>
        <w:t>The blood unit is in the “issued” status.</w:t>
      </w:r>
    </w:p>
    <w:p w14:paraId="72CF984F" w14:textId="77777777" w:rsidR="002A21AE" w:rsidRDefault="002A21AE">
      <w:pPr>
        <w:pStyle w:val="ListBullet"/>
      </w:pPr>
      <w:r>
        <w:t xml:space="preserve">The connection to </w:t>
      </w:r>
      <w:r w:rsidR="00CA0045" w:rsidRPr="00CA0045">
        <w:rPr>
          <w:bCs/>
        </w:rPr>
        <w:t>VistA</w:t>
      </w:r>
      <w:r>
        <w:t xml:space="preserve"> is active.</w:t>
      </w:r>
    </w:p>
    <w:p w14:paraId="211313D9" w14:textId="77777777" w:rsidR="002A21AE" w:rsidRDefault="002A21AE">
      <w:pPr>
        <w:pStyle w:val="Heading4"/>
      </w:pPr>
      <w:r>
        <w:t xml:space="preserve">Outcome </w:t>
      </w:r>
    </w:p>
    <w:p w14:paraId="73ED3D20" w14:textId="77777777" w:rsidR="002A21AE" w:rsidRDefault="002A21AE">
      <w:pPr>
        <w:pStyle w:val="ListBullet"/>
      </w:pPr>
      <w:r>
        <w:t xml:space="preserve">The unit is returned to a hospital location of a blood bank. </w:t>
      </w:r>
    </w:p>
    <w:p w14:paraId="6F4EF7E6" w14:textId="77777777" w:rsidR="002A21AE" w:rsidRDefault="002A21AE">
      <w:pPr>
        <w:pStyle w:val="ListBullet"/>
      </w:pPr>
      <w:r>
        <w:t>The unit retains its patient assignment at the time of issue when returned in satisfactory condition.</w:t>
      </w:r>
    </w:p>
    <w:p w14:paraId="43891563" w14:textId="77777777" w:rsidR="002A21AE" w:rsidRDefault="002A21AE">
      <w:pPr>
        <w:pStyle w:val="ListBullet"/>
      </w:pPr>
      <w:r>
        <w:t>The user may mark the unit “unsatisfactory” and quarantine the unit to generate an Exception Report, if needed per hospital policy.</w:t>
      </w:r>
    </w:p>
    <w:p w14:paraId="7D0640EA" w14:textId="77777777" w:rsidR="002A21AE" w:rsidRDefault="002A21AE">
      <w:pPr>
        <w:pStyle w:val="Heading4"/>
        <w:rPr>
          <w:b w:val="0"/>
        </w:rPr>
      </w:pPr>
      <w:r>
        <w:t>Limitations and Restrictions</w:t>
      </w:r>
      <w:r>
        <w:rPr>
          <w:b w:val="0"/>
        </w:rPr>
        <w:t xml:space="preserve"> </w:t>
      </w:r>
    </w:p>
    <w:p w14:paraId="73F55BEC" w14:textId="77777777" w:rsidR="002A21AE" w:rsidRDefault="002A21AE">
      <w:pPr>
        <w:pStyle w:val="ListBullet"/>
      </w:pPr>
      <w:r>
        <w:t>None</w:t>
      </w:r>
    </w:p>
    <w:p w14:paraId="26D463F2" w14:textId="77777777" w:rsidR="002A21AE" w:rsidRDefault="002A21AE">
      <w:pPr>
        <w:pStyle w:val="Heading4"/>
      </w:pPr>
      <w:r>
        <w:t xml:space="preserve">Additional Information </w:t>
      </w:r>
    </w:p>
    <w:p w14:paraId="3D0B1474" w14:textId="77777777" w:rsidR="002A21AE" w:rsidRDefault="002A21AE">
      <w:pPr>
        <w:pStyle w:val="ListBullet"/>
      </w:pPr>
      <w:r>
        <w:t>None</w:t>
      </w:r>
    </w:p>
    <w:p w14:paraId="6D1C824D" w14:textId="77777777" w:rsidR="002A21AE" w:rsidRDefault="002A21AE">
      <w:pPr>
        <w:pStyle w:val="Heading4"/>
        <w:rPr>
          <w:b w:val="0"/>
        </w:rPr>
      </w:pPr>
      <w:r>
        <w:t>User Roles with Access to This Option</w:t>
      </w:r>
      <w:r>
        <w:rPr>
          <w:b w:val="0"/>
        </w:rPr>
        <w:t xml:space="preserve"> </w:t>
      </w:r>
    </w:p>
    <w:p w14:paraId="79BFADD8" w14:textId="77777777" w:rsidR="002A21AE" w:rsidRDefault="00CF29CE">
      <w:pPr>
        <w:pStyle w:val="Roles"/>
        <w:rPr>
          <w:snapToGrid w:val="0"/>
        </w:rPr>
      </w:pPr>
      <w:r>
        <w:rPr>
          <w:snapToGrid w:val="0"/>
        </w:rPr>
        <w:t>All users</w:t>
      </w:r>
    </w:p>
    <w:p w14:paraId="497D2AA2" w14:textId="03509E88" w:rsidR="002A21AE" w:rsidRDefault="002A21AE">
      <w:pPr>
        <w:pStyle w:val="Heading4"/>
      </w:pPr>
      <w:r>
        <w:t>Return Issued Units To Blood Bank</w:t>
      </w:r>
    </w:p>
    <w:p w14:paraId="61D969BB" w14:textId="77777777" w:rsidR="002A21AE" w:rsidRDefault="00C41CB0" w:rsidP="00FA7E65">
      <w:pPr>
        <w:pStyle w:val="BodyText"/>
      </w:pPr>
      <w:r>
        <w:t xml:space="preserve">An issued </w:t>
      </w:r>
      <w:r w:rsidR="00932948">
        <w:t xml:space="preserve">unit </w:t>
      </w:r>
      <w:r w:rsidR="002A21AE">
        <w:t xml:space="preserve">was returned to the blood bank </w:t>
      </w:r>
      <w:r>
        <w:t xml:space="preserve">in satisfactory condition </w:t>
      </w:r>
      <w:r w:rsidR="002A21AE">
        <w:t xml:space="preserve">after issue to a valid hospital location. The user </w:t>
      </w:r>
      <w:r>
        <w:t xml:space="preserve">updates </w:t>
      </w:r>
      <w:r w:rsidR="008E55B7">
        <w:t xml:space="preserve">VBECS </w:t>
      </w:r>
      <w:r>
        <w:t>to reflect the change in location</w:t>
      </w:r>
      <w:r w:rsidR="002A21AE">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E6EE431" w14:textId="77777777">
        <w:trPr>
          <w:cantSplit/>
          <w:tblHeader/>
        </w:trPr>
        <w:tc>
          <w:tcPr>
            <w:tcW w:w="3240" w:type="dxa"/>
            <w:shd w:val="pct30" w:color="auto" w:fill="FFFFFF"/>
            <w:vAlign w:val="bottom"/>
          </w:tcPr>
          <w:p w14:paraId="6CBA25D0" w14:textId="77777777" w:rsidR="002A21AE" w:rsidRDefault="002A21AE">
            <w:pPr>
              <w:pStyle w:val="TableText"/>
              <w:rPr>
                <w:b/>
              </w:rPr>
            </w:pPr>
            <w:r>
              <w:rPr>
                <w:b/>
              </w:rPr>
              <w:t>User Action</w:t>
            </w:r>
          </w:p>
        </w:tc>
        <w:tc>
          <w:tcPr>
            <w:tcW w:w="6120" w:type="dxa"/>
            <w:shd w:val="pct30" w:color="auto" w:fill="FFFFFF"/>
            <w:vAlign w:val="bottom"/>
          </w:tcPr>
          <w:p w14:paraId="3C499892" w14:textId="77777777" w:rsidR="002A21AE" w:rsidRDefault="002A21AE">
            <w:pPr>
              <w:pStyle w:val="TableText"/>
              <w:rPr>
                <w:b/>
              </w:rPr>
            </w:pPr>
            <w:r>
              <w:rPr>
                <w:b/>
              </w:rPr>
              <w:t>VBECS</w:t>
            </w:r>
          </w:p>
        </w:tc>
      </w:tr>
      <w:tr w:rsidR="002A21AE" w14:paraId="127657F8" w14:textId="77777777">
        <w:tc>
          <w:tcPr>
            <w:tcW w:w="3240" w:type="dxa"/>
          </w:tcPr>
          <w:p w14:paraId="2F350CC2" w14:textId="77777777" w:rsidR="002A21AE" w:rsidRDefault="002A21AE">
            <w:pPr>
              <w:pStyle w:val="TableTextNumbers"/>
            </w:pPr>
            <w:r>
              <w:t xml:space="preserve">Select </w:t>
            </w:r>
            <w:r>
              <w:rPr>
                <w:b/>
              </w:rPr>
              <w:t>Blood Units</w:t>
            </w:r>
            <w:r>
              <w:t xml:space="preserve"> or </w:t>
            </w:r>
            <w:r>
              <w:rPr>
                <w:b/>
              </w:rPr>
              <w:t>Patients</w:t>
            </w:r>
            <w:r>
              <w:t xml:space="preserve"> from the main menu. </w:t>
            </w:r>
          </w:p>
          <w:p w14:paraId="21374A1E" w14:textId="77777777" w:rsidR="002A21AE" w:rsidRDefault="002A21AE">
            <w:pPr>
              <w:pStyle w:val="TableTextNumbersContinued"/>
            </w:pPr>
          </w:p>
          <w:p w14:paraId="62AB720C" w14:textId="2E60CFB3" w:rsidR="002A21AE" w:rsidRDefault="002A21AE" w:rsidP="006F799E">
            <w:pPr>
              <w:pStyle w:val="TableTextNumbersContinued"/>
            </w:pPr>
            <w:r>
              <w:t xml:space="preserve">Select </w:t>
            </w:r>
            <w:r>
              <w:rPr>
                <w:b/>
              </w:rPr>
              <w:t>Return Issued Units To Blood Bank</w:t>
            </w:r>
            <w:r>
              <w:t>.</w:t>
            </w:r>
          </w:p>
        </w:tc>
        <w:tc>
          <w:tcPr>
            <w:tcW w:w="6120" w:type="dxa"/>
          </w:tcPr>
          <w:p w14:paraId="3568D9C0" w14:textId="106FDC3D" w:rsidR="002A21AE" w:rsidRDefault="002A21AE" w:rsidP="006F799E">
            <w:pPr>
              <w:pStyle w:val="TableTextBullet"/>
            </w:pPr>
            <w:r>
              <w:t>Displays options for processing blood units or for processing patient-related functions.</w:t>
            </w:r>
          </w:p>
        </w:tc>
      </w:tr>
      <w:tr w:rsidR="002A21AE" w14:paraId="53079801" w14:textId="77777777" w:rsidTr="006F799E">
        <w:trPr>
          <w:cantSplit/>
        </w:trPr>
        <w:tc>
          <w:tcPr>
            <w:tcW w:w="3240" w:type="dxa"/>
            <w:tcBorders>
              <w:top w:val="single" w:sz="4" w:space="0" w:color="auto"/>
              <w:left w:val="single" w:sz="4" w:space="0" w:color="auto"/>
              <w:bottom w:val="single" w:sz="4" w:space="0" w:color="auto"/>
              <w:right w:val="single" w:sz="4" w:space="0" w:color="auto"/>
            </w:tcBorders>
          </w:tcPr>
          <w:p w14:paraId="7E50E004" w14:textId="77777777" w:rsidR="002A21AE" w:rsidRDefault="002A21AE">
            <w:pPr>
              <w:pStyle w:val="TableTextNumbers"/>
            </w:pPr>
            <w:r>
              <w:t xml:space="preserve">Enter the patient data. </w:t>
            </w:r>
          </w:p>
        </w:tc>
        <w:tc>
          <w:tcPr>
            <w:tcW w:w="6120" w:type="dxa"/>
            <w:tcBorders>
              <w:top w:val="single" w:sz="4" w:space="0" w:color="auto"/>
              <w:left w:val="single" w:sz="4" w:space="0" w:color="auto"/>
              <w:bottom w:val="single" w:sz="4" w:space="0" w:color="auto"/>
              <w:right w:val="single" w:sz="4" w:space="0" w:color="auto"/>
            </w:tcBorders>
          </w:tcPr>
          <w:p w14:paraId="7FAEF29C" w14:textId="77777777" w:rsidR="002A21AE" w:rsidRDefault="002A21AE">
            <w:pPr>
              <w:pStyle w:val="TableTextBullet"/>
            </w:pPr>
            <w:r>
              <w:t>Prompts the user to enter the unit ID and product code or enter patient data to retrieve the records for the units issued.</w:t>
            </w:r>
          </w:p>
          <w:p w14:paraId="759E3FEF" w14:textId="77777777" w:rsidR="002A21AE" w:rsidRDefault="002A21AE">
            <w:pPr>
              <w:pStyle w:val="TableTextBullet"/>
              <w:rPr>
                <w:rFonts w:cs="Arial"/>
                <w:szCs w:val="18"/>
              </w:rPr>
            </w:pPr>
            <w:r>
              <w:t>Displays an option to search for or enter a patient or unit based on the original menu option selected.</w:t>
            </w:r>
          </w:p>
        </w:tc>
      </w:tr>
      <w:tr w:rsidR="002A21AE" w14:paraId="4C8775CB" w14:textId="77777777">
        <w:tc>
          <w:tcPr>
            <w:tcW w:w="3240" w:type="dxa"/>
            <w:tcBorders>
              <w:top w:val="single" w:sz="4" w:space="0" w:color="auto"/>
              <w:left w:val="single" w:sz="4" w:space="0" w:color="auto"/>
              <w:bottom w:val="single" w:sz="4" w:space="0" w:color="auto"/>
              <w:right w:val="single" w:sz="4" w:space="0" w:color="auto"/>
            </w:tcBorders>
          </w:tcPr>
          <w:p w14:paraId="655F32A8" w14:textId="77777777" w:rsidR="002A21AE" w:rsidRDefault="002A21AE">
            <w:pPr>
              <w:pStyle w:val="TableTextNumbers"/>
            </w:pPr>
            <w:r>
              <w:t>Select a patient or unit.</w:t>
            </w:r>
          </w:p>
        </w:tc>
        <w:tc>
          <w:tcPr>
            <w:tcW w:w="6120" w:type="dxa"/>
            <w:tcBorders>
              <w:top w:val="single" w:sz="4" w:space="0" w:color="auto"/>
              <w:left w:val="single" w:sz="4" w:space="0" w:color="auto"/>
              <w:bottom w:val="single" w:sz="4" w:space="0" w:color="auto"/>
              <w:right w:val="single" w:sz="4" w:space="0" w:color="auto"/>
            </w:tcBorders>
          </w:tcPr>
          <w:p w14:paraId="10273E23" w14:textId="77777777" w:rsidR="002A21AE" w:rsidRDefault="002A21AE">
            <w:pPr>
              <w:pStyle w:val="TableTextBullet"/>
              <w:rPr>
                <w:rFonts w:cs="Arial"/>
                <w:szCs w:val="18"/>
              </w:rPr>
            </w:pPr>
            <w:r>
              <w:t>Lists the units in “issued” status that are assigned to the patient.</w:t>
            </w:r>
          </w:p>
        </w:tc>
      </w:tr>
      <w:tr w:rsidR="003F62EC" w14:paraId="01E19BE1" w14:textId="77777777" w:rsidTr="006C058D">
        <w:trPr>
          <w:cantSplit/>
        </w:trPr>
        <w:tc>
          <w:tcPr>
            <w:tcW w:w="3240" w:type="dxa"/>
            <w:tcBorders>
              <w:top w:val="single" w:sz="4" w:space="0" w:color="auto"/>
              <w:left w:val="single" w:sz="4" w:space="0" w:color="auto"/>
              <w:bottom w:val="single" w:sz="4" w:space="0" w:color="auto"/>
              <w:right w:val="single" w:sz="4" w:space="0" w:color="auto"/>
            </w:tcBorders>
          </w:tcPr>
          <w:p w14:paraId="26CAA917" w14:textId="520099B8" w:rsidR="003F62EC" w:rsidRDefault="003F62EC">
            <w:pPr>
              <w:pStyle w:val="TableTextNumbers"/>
            </w:pPr>
            <w:r>
              <w:lastRenderedPageBreak/>
              <w:t>Enters a return date and time (or accepts the default) and selects a returned by user (or accepts the default).</w:t>
            </w:r>
          </w:p>
        </w:tc>
        <w:tc>
          <w:tcPr>
            <w:tcW w:w="6120" w:type="dxa"/>
            <w:tcBorders>
              <w:top w:val="single" w:sz="4" w:space="0" w:color="auto"/>
              <w:left w:val="single" w:sz="4" w:space="0" w:color="auto"/>
              <w:bottom w:val="single" w:sz="4" w:space="0" w:color="auto"/>
              <w:right w:val="single" w:sz="4" w:space="0" w:color="auto"/>
            </w:tcBorders>
          </w:tcPr>
          <w:p w14:paraId="2096B4C4" w14:textId="77777777" w:rsidR="003F62EC" w:rsidRDefault="003F62EC" w:rsidP="003F62EC">
            <w:pPr>
              <w:pStyle w:val="TableTextBullet"/>
            </w:pPr>
            <w:r>
              <w:t>Displays the return date and time and the name of the user who returned the issued unit.</w:t>
            </w:r>
          </w:p>
          <w:p w14:paraId="50A1787A" w14:textId="77777777" w:rsidR="003F62EC" w:rsidRDefault="003F62EC" w:rsidP="003F62EC">
            <w:pPr>
              <w:pStyle w:val="TableText"/>
            </w:pPr>
          </w:p>
          <w:p w14:paraId="5D97CB47" w14:textId="77777777" w:rsidR="003F62EC" w:rsidRDefault="003F62EC" w:rsidP="003F62EC">
            <w:pPr>
              <w:pStyle w:val="TableText"/>
              <w:rPr>
                <w:b/>
                <w:bCs/>
                <w:szCs w:val="18"/>
              </w:rPr>
            </w:pPr>
            <w:r>
              <w:rPr>
                <w:b/>
                <w:bCs/>
                <w:szCs w:val="18"/>
              </w:rPr>
              <w:t>NOTES</w:t>
            </w:r>
          </w:p>
          <w:p w14:paraId="235E5AFB" w14:textId="77777777" w:rsidR="003F62EC" w:rsidRDefault="003F62EC" w:rsidP="003F62EC">
            <w:pPr>
              <w:pStyle w:val="NotesText"/>
            </w:pPr>
          </w:p>
          <w:p w14:paraId="665563BA" w14:textId="77777777" w:rsidR="003F62EC" w:rsidRDefault="003F62EC" w:rsidP="003F62EC">
            <w:pPr>
              <w:pStyle w:val="NotesText"/>
            </w:pPr>
            <w:r>
              <w:t>The user may edit the return date and time (default: current date and time) to a past date and time.</w:t>
            </w:r>
          </w:p>
          <w:p w14:paraId="4A369BFD" w14:textId="77777777" w:rsidR="003F62EC" w:rsidRDefault="003F62EC" w:rsidP="003F62EC">
            <w:pPr>
              <w:pStyle w:val="NotesText"/>
            </w:pPr>
          </w:p>
          <w:p w14:paraId="47C59493" w14:textId="74DFD68C" w:rsidR="003F62EC" w:rsidRDefault="003F62EC" w:rsidP="006F799E">
            <w:pPr>
              <w:pStyle w:val="NotesText"/>
            </w:pPr>
            <w:r>
              <w:rPr>
                <w:rFonts w:cs="Arial"/>
                <w:vanish/>
              </w:rPr>
              <w:t xml:space="preserve">BR_59.01 </w:t>
            </w:r>
            <w:r>
              <w:t>VBECS assigns the same return date and time to all units processed in a batch.</w:t>
            </w:r>
          </w:p>
        </w:tc>
      </w:tr>
      <w:tr w:rsidR="002A21AE" w14:paraId="09F4DB35" w14:textId="77777777">
        <w:tc>
          <w:tcPr>
            <w:tcW w:w="3240" w:type="dxa"/>
          </w:tcPr>
          <w:p w14:paraId="7ECE39E4" w14:textId="085570D2" w:rsidR="00323155" w:rsidRDefault="005A68EB" w:rsidP="00323155">
            <w:pPr>
              <w:pStyle w:val="TableTextNumbers"/>
            </w:pPr>
            <w:r>
              <w:t>Select one or more units to return from issue.</w:t>
            </w:r>
            <w:r>
              <w:br/>
            </w:r>
            <w:r>
              <w:br/>
            </w:r>
            <w:r w:rsidR="00323155">
              <w:t>Scan the unit ID and product code, or click one or more check boxes to select units to return from issue.</w:t>
            </w:r>
          </w:p>
        </w:tc>
        <w:tc>
          <w:tcPr>
            <w:tcW w:w="6120" w:type="dxa"/>
          </w:tcPr>
          <w:p w14:paraId="1B8F9EE1" w14:textId="6FCEE42B" w:rsidR="005A68EB" w:rsidRPr="005A68EB" w:rsidRDefault="005A68EB">
            <w:pPr>
              <w:pStyle w:val="TableTextBullet"/>
              <w:rPr>
                <w:rFonts w:cs="Arial"/>
              </w:rPr>
            </w:pPr>
            <w:r>
              <w:t>Displays the units selected for return for review and allows the user to select or deselect additional units.</w:t>
            </w:r>
          </w:p>
          <w:p w14:paraId="488FD95D" w14:textId="3277088C" w:rsidR="002A21AE" w:rsidRDefault="002A21AE">
            <w:pPr>
              <w:pStyle w:val="TableTextBullet"/>
              <w:rPr>
                <w:rFonts w:cs="Arial"/>
              </w:rPr>
            </w:pPr>
            <w:r>
              <w:t>Displays the data entered and allows the user to enter additional units and indicate that he completed the entry for this transaction.</w:t>
            </w:r>
          </w:p>
          <w:p w14:paraId="5192903D" w14:textId="2F1C2D12" w:rsidR="002A21AE" w:rsidRDefault="002A21AE">
            <w:pPr>
              <w:pStyle w:val="TableTextBullet"/>
              <w:rPr>
                <w:rFonts w:cs="Arial"/>
              </w:rPr>
            </w:pPr>
            <w:r>
              <w:rPr>
                <w:rFonts w:cs="Arial"/>
              </w:rPr>
              <w:t>Displays data for each unit entered.</w:t>
            </w:r>
          </w:p>
          <w:p w14:paraId="66F9DC62" w14:textId="3075813A" w:rsidR="005A68EB" w:rsidRDefault="005A68EB">
            <w:pPr>
              <w:pStyle w:val="TableTextBullet"/>
              <w:rPr>
                <w:rFonts w:cs="Arial"/>
              </w:rPr>
            </w:pPr>
            <w:r>
              <w:rPr>
                <w:rFonts w:cs="Arial"/>
              </w:rPr>
              <w:t>Allows the user to enter a comment per unit.</w:t>
            </w:r>
          </w:p>
          <w:p w14:paraId="7EB44AA0" w14:textId="77777777" w:rsidR="002A21AE" w:rsidRDefault="002A21AE">
            <w:pPr>
              <w:pStyle w:val="TableText"/>
            </w:pPr>
          </w:p>
          <w:p w14:paraId="659FCD7D" w14:textId="2AEFCD0D" w:rsidR="002A21AE" w:rsidRDefault="002A21AE">
            <w:pPr>
              <w:pStyle w:val="TableText"/>
              <w:rPr>
                <w:b/>
                <w:bCs/>
                <w:szCs w:val="18"/>
              </w:rPr>
            </w:pPr>
            <w:r>
              <w:rPr>
                <w:b/>
                <w:bCs/>
                <w:szCs w:val="18"/>
              </w:rPr>
              <w:t>NOTES</w:t>
            </w:r>
          </w:p>
          <w:p w14:paraId="3E9B2DDF" w14:textId="77777777" w:rsidR="002A21AE" w:rsidRDefault="002A21AE">
            <w:pPr>
              <w:pStyle w:val="NotesText"/>
            </w:pPr>
          </w:p>
          <w:p w14:paraId="623B8858" w14:textId="77777777" w:rsidR="002A21AE" w:rsidRDefault="002A21AE">
            <w:pPr>
              <w:pStyle w:val="NotesText"/>
            </w:pPr>
            <w:r w:rsidRPr="0017641A">
              <w:rPr>
                <w:rFonts w:cs="Arial"/>
                <w:vanish/>
                <w:color w:val="0000FF"/>
              </w:rPr>
              <w:t>BR_59.03</w:t>
            </w:r>
            <w:r>
              <w:rPr>
                <w:rFonts w:cs="Arial"/>
                <w:vanish/>
              </w:rPr>
              <w:t xml:space="preserve"> </w:t>
            </w:r>
            <w:r>
              <w:t>When a selected unit is not in “issued” status, VBECS warns the user, clears the unit field, and allows the user to enter a different unit number.</w:t>
            </w:r>
          </w:p>
          <w:p w14:paraId="20EA8AFC" w14:textId="77777777" w:rsidR="002A21AE" w:rsidRDefault="002A21AE">
            <w:pPr>
              <w:pStyle w:val="NotesText"/>
            </w:pPr>
          </w:p>
          <w:p w14:paraId="60E2B86A" w14:textId="77777777" w:rsidR="002A21AE" w:rsidRDefault="002A21AE">
            <w:pPr>
              <w:pStyle w:val="NotesText"/>
            </w:pPr>
            <w:r>
              <w:rPr>
                <w:rFonts w:cs="Arial"/>
                <w:vanish/>
              </w:rPr>
              <w:t xml:space="preserve">BR_59.14 </w:t>
            </w:r>
            <w:r>
              <w:t>VBECS allows the user to select multiple units to create a worklist for simultaneous processing.</w:t>
            </w:r>
          </w:p>
          <w:p w14:paraId="74C9B6A9" w14:textId="77777777" w:rsidR="002A21AE" w:rsidRDefault="002A21AE">
            <w:pPr>
              <w:pStyle w:val="NotesText"/>
            </w:pPr>
          </w:p>
          <w:p w14:paraId="797170C5" w14:textId="77777777" w:rsidR="002A21AE" w:rsidRDefault="002A21AE">
            <w:pPr>
              <w:pStyle w:val="NotesText"/>
            </w:pPr>
            <w:r>
              <w:rPr>
                <w:rFonts w:cs="Arial"/>
                <w:vanish/>
              </w:rPr>
              <w:t xml:space="preserve">BR_59.06 </w:t>
            </w:r>
            <w:r>
              <w:t xml:space="preserve">VBECS requires the user to enter a “returned-from” location (default: “issue-to” location) and allows the user to change this location to a different valid hospital location. To do this, click the </w:t>
            </w:r>
            <w:r w:rsidR="00A6373D">
              <w:rPr>
                <w:b/>
              </w:rPr>
              <w:t>find</w:t>
            </w:r>
            <w:r>
              <w:rPr>
                <w:b/>
              </w:rPr>
              <w:t xml:space="preserve"> </w:t>
            </w:r>
            <w:r w:rsidRPr="00D1100E">
              <w:t>button</w:t>
            </w:r>
            <w:r>
              <w:t xml:space="preserve"> and select a hospital location.</w:t>
            </w:r>
          </w:p>
          <w:p w14:paraId="10002DAE" w14:textId="77777777" w:rsidR="00990103" w:rsidRDefault="00990103">
            <w:pPr>
              <w:pStyle w:val="NotesText"/>
              <w:rPr>
                <w:rFonts w:cs="Arial"/>
              </w:rPr>
            </w:pPr>
          </w:p>
          <w:p w14:paraId="71E52647" w14:textId="77777777" w:rsidR="00990103" w:rsidRPr="00990103" w:rsidRDefault="00990103" w:rsidP="00990103">
            <w:pPr>
              <w:pStyle w:val="NotesText"/>
            </w:pPr>
            <w:r w:rsidRPr="00990103">
              <w:rPr>
                <w:vanish/>
              </w:rPr>
              <w:t xml:space="preserve">BR_59.04 </w:t>
            </w:r>
            <w:r w:rsidRPr="00990103">
              <w:t xml:space="preserve">The system provides an audible alert and displays a warning message to the user for each unit returned after issue to a non-remote storage location: "Unit has been out of controlled storage. Check division policy for unit acceptability." The system will require the user to enter a comment regarding the return ("unit return" context). The system will create an exception report entry for the unit accepted from prolonged issue in uncontrolled storage. Exception report entry details include:  </w:t>
            </w:r>
          </w:p>
          <w:p w14:paraId="7EFA693A" w14:textId="0D86AAC0" w:rsidR="00990103" w:rsidRPr="001C1687" w:rsidRDefault="00D77462" w:rsidP="00925CAD">
            <w:pPr>
              <w:pStyle w:val="ListParagraph"/>
              <w:numPr>
                <w:ilvl w:val="0"/>
                <w:numId w:val="55"/>
              </w:numPr>
              <w:spacing w:after="0"/>
              <w:rPr>
                <w:rFonts w:ascii="Arial" w:hAnsi="Arial" w:cs="Arial"/>
                <w:sz w:val="18"/>
                <w:szCs w:val="18"/>
              </w:rPr>
            </w:pPr>
            <w:r>
              <w:rPr>
                <w:rFonts w:ascii="Arial" w:hAnsi="Arial" w:cs="Arial"/>
                <w:sz w:val="18"/>
                <w:szCs w:val="18"/>
              </w:rPr>
              <w:t>Exception</w:t>
            </w:r>
            <w:r w:rsidR="00990103" w:rsidRPr="001C1687">
              <w:rPr>
                <w:rFonts w:ascii="Arial" w:hAnsi="Arial" w:cs="Arial"/>
                <w:sz w:val="18"/>
                <w:szCs w:val="18"/>
              </w:rPr>
              <w:t xml:space="preserve"> Type: Unit out of controlled storage found acceptable</w:t>
            </w:r>
          </w:p>
          <w:p w14:paraId="67A3C496" w14:textId="530CE110"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Patient Name</w:t>
            </w:r>
          </w:p>
          <w:p w14:paraId="10B9ABB3" w14:textId="30231741" w:rsidR="00990103"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Patient ID</w:t>
            </w:r>
          </w:p>
          <w:p w14:paraId="3DFCB982" w14:textId="4D3FD66E"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Patient ABO/Rh</w:t>
            </w:r>
          </w:p>
          <w:p w14:paraId="23659502" w14:textId="25120E2F" w:rsidR="00990103"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Returned Unit ID</w:t>
            </w:r>
          </w:p>
          <w:p w14:paraId="0B122CF8" w14:textId="40B6DAD8"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Returned Unit Product Short Name</w:t>
            </w:r>
          </w:p>
          <w:p w14:paraId="5353E542" w14:textId="41F66C08"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Returned Unit ABO/Rh</w:t>
            </w:r>
          </w:p>
          <w:p w14:paraId="548EF389" w14:textId="259B4766"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Returned Unit Expiration Date</w:t>
            </w:r>
          </w:p>
          <w:p w14:paraId="0B21B174" w14:textId="510EDB63"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Issue-to Location</w:t>
            </w:r>
          </w:p>
          <w:p w14:paraId="26A16B16" w14:textId="42033BCF" w:rsidR="00990103" w:rsidRPr="00456819"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Visual Inspection Information</w:t>
            </w:r>
            <w:r w:rsidR="005B025F">
              <w:rPr>
                <w:rFonts w:ascii="Arial" w:hAnsi="Arial" w:cs="Arial"/>
                <w:sz w:val="18"/>
                <w:szCs w:val="18"/>
              </w:rPr>
              <w:t xml:space="preserve"> (Note that </w:t>
            </w:r>
            <w:r w:rsidR="00456819">
              <w:rPr>
                <w:rFonts w:ascii="Arial" w:hAnsi="Arial" w:cs="Arial"/>
                <w:sz w:val="18"/>
                <w:szCs w:val="18"/>
              </w:rPr>
              <w:t>although the exception type display on the report is “</w:t>
            </w:r>
            <w:r w:rsidR="00456819" w:rsidRPr="001C1687">
              <w:rPr>
                <w:rFonts w:ascii="Arial" w:hAnsi="Arial" w:cs="Arial"/>
                <w:sz w:val="18"/>
                <w:szCs w:val="18"/>
              </w:rPr>
              <w:t>Unit out of controlled storage found acceptable</w:t>
            </w:r>
            <w:r w:rsidR="00456819">
              <w:rPr>
                <w:rFonts w:ascii="Arial" w:hAnsi="Arial" w:cs="Arial"/>
                <w:sz w:val="18"/>
                <w:szCs w:val="18"/>
              </w:rPr>
              <w:t>”, the Visual Inspection Information will display “Unsatisfactory” if entered by the user in the comment field.</w:t>
            </w:r>
          </w:p>
          <w:p w14:paraId="1995EA76" w14:textId="111A3BAF"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lastRenderedPageBreak/>
              <w:t>Required Comment</w:t>
            </w:r>
          </w:p>
          <w:p w14:paraId="27505E93" w14:textId="367066FE"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Processing Tech Name</w:t>
            </w:r>
          </w:p>
          <w:p w14:paraId="5148FF99" w14:textId="112BDD84"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Log-in Tech Name</w:t>
            </w:r>
          </w:p>
          <w:p w14:paraId="78827462" w14:textId="5ADDD01E"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Division </w:t>
            </w:r>
          </w:p>
          <w:p w14:paraId="2E46669B" w14:textId="0A85ED76" w:rsidR="00990103" w:rsidRPr="006F799E" w:rsidRDefault="00990103" w:rsidP="00925CAD">
            <w:pPr>
              <w:pStyle w:val="ListParagraph"/>
              <w:numPr>
                <w:ilvl w:val="0"/>
                <w:numId w:val="55"/>
              </w:numPr>
              <w:spacing w:after="0"/>
              <w:rPr>
                <w:rFonts w:cs="Arial"/>
              </w:rPr>
            </w:pPr>
            <w:r w:rsidRPr="001C1687">
              <w:rPr>
                <w:rFonts w:ascii="Arial" w:hAnsi="Arial" w:cs="Arial"/>
                <w:sz w:val="18"/>
                <w:szCs w:val="18"/>
              </w:rPr>
              <w:t>Date/Time of Transaction</w:t>
            </w:r>
          </w:p>
          <w:p w14:paraId="1475FA5A" w14:textId="77777777" w:rsidR="005A68EB" w:rsidRDefault="005A68EB" w:rsidP="005A68EB">
            <w:pPr>
              <w:rPr>
                <w:rFonts w:cs="Arial"/>
              </w:rPr>
            </w:pPr>
          </w:p>
          <w:p w14:paraId="3FB7D1B5" w14:textId="59EAED40" w:rsidR="005A68EB" w:rsidRPr="005A68EB" w:rsidRDefault="005A68EB" w:rsidP="006F799E">
            <w:pPr>
              <w:pStyle w:val="NotesText"/>
              <w:rPr>
                <w:rFonts w:cs="Arial"/>
              </w:rPr>
            </w:pPr>
            <w:r>
              <w:rPr>
                <w:vanish/>
                <w:szCs w:val="18"/>
              </w:rPr>
              <w:t xml:space="preserve">BR_59.15 </w:t>
            </w:r>
            <w:r w:rsidRPr="0030088C">
              <w:rPr>
                <w:rFonts w:cs="Arial"/>
                <w:szCs w:val="18"/>
              </w:rPr>
              <w:t xml:space="preserve">The </w:t>
            </w:r>
            <w:r>
              <w:rPr>
                <w:rFonts w:cs="Arial"/>
                <w:szCs w:val="18"/>
              </w:rPr>
              <w:t>user may enter a comment in the "Unit Return" comment context and a free text comment</w:t>
            </w:r>
            <w:r w:rsidRPr="0030088C">
              <w:rPr>
                <w:rFonts w:cs="Arial"/>
                <w:szCs w:val="18"/>
              </w:rPr>
              <w:t>.</w:t>
            </w:r>
            <w:r>
              <w:rPr>
                <w:rFonts w:cs="Arial"/>
                <w:szCs w:val="18"/>
              </w:rPr>
              <w:t xml:space="preserve"> </w:t>
            </w:r>
            <w:r w:rsidRPr="006E30BA">
              <w:rPr>
                <w:rFonts w:cs="Arial"/>
                <w:szCs w:val="18"/>
              </w:rPr>
              <w:t xml:space="preserve">The comment will be </w:t>
            </w:r>
            <w:r w:rsidRPr="005A68EB">
              <w:t>displayed</w:t>
            </w:r>
            <w:r w:rsidRPr="006E30BA">
              <w:rPr>
                <w:rFonts w:cs="Arial"/>
                <w:szCs w:val="18"/>
              </w:rPr>
              <w:t xml:space="preserve"> in the Unit History Report, </w:t>
            </w:r>
            <w:r>
              <w:rPr>
                <w:rFonts w:cs="Arial"/>
                <w:szCs w:val="18"/>
              </w:rPr>
              <w:t>Issue Information</w:t>
            </w:r>
            <w:r w:rsidRPr="006E30BA">
              <w:rPr>
                <w:rFonts w:cs="Arial"/>
                <w:szCs w:val="18"/>
              </w:rPr>
              <w:t xml:space="preserve"> section and </w:t>
            </w:r>
            <w:r>
              <w:rPr>
                <w:rFonts w:cs="Arial"/>
                <w:szCs w:val="18"/>
              </w:rPr>
              <w:t>the Issued/Returned Report</w:t>
            </w:r>
            <w:r>
              <w:t>.</w:t>
            </w:r>
          </w:p>
        </w:tc>
      </w:tr>
      <w:tr w:rsidR="002A21AE" w14:paraId="3CD8DA06" w14:textId="77777777">
        <w:tc>
          <w:tcPr>
            <w:tcW w:w="3240" w:type="dxa"/>
          </w:tcPr>
          <w:p w14:paraId="118A3A8D" w14:textId="0C0C8B45" w:rsidR="002A21AE" w:rsidRDefault="00CF47D5">
            <w:pPr>
              <w:pStyle w:val="TableTextNumbers"/>
            </w:pPr>
            <w:r>
              <w:lastRenderedPageBreak/>
              <w:t>Respond to the warnings and messages</w:t>
            </w:r>
            <w:r w:rsidR="009F35E5">
              <w:t xml:space="preserve"> (</w:t>
            </w:r>
            <w:r w:rsidR="00EE455E">
              <w:t xml:space="preserve">Figure </w:t>
            </w:r>
            <w:r w:rsidR="00EE455E">
              <w:rPr>
                <w:noProof/>
              </w:rPr>
              <w:t>76</w:t>
            </w:r>
            <w:r w:rsidR="009F35E5">
              <w:t>)</w:t>
            </w:r>
            <w:r w:rsidR="002A21AE">
              <w:t>.</w:t>
            </w:r>
          </w:p>
        </w:tc>
        <w:tc>
          <w:tcPr>
            <w:tcW w:w="6120" w:type="dxa"/>
          </w:tcPr>
          <w:p w14:paraId="1614DDC0" w14:textId="6F22E161" w:rsidR="002A21AE" w:rsidRDefault="002A21AE" w:rsidP="006F799E">
            <w:pPr>
              <w:pStyle w:val="TableTextBullet"/>
            </w:pPr>
            <w:r>
              <w:t>Allows the user to indicate that each unit or batch of units was visually inspected and marked satisfactory or unsatisfactory.</w:t>
            </w:r>
          </w:p>
          <w:p w14:paraId="548DB016" w14:textId="77777777" w:rsidR="006F799E" w:rsidRDefault="006F799E">
            <w:pPr>
              <w:pStyle w:val="TableText"/>
              <w:rPr>
                <w:b/>
                <w:bCs/>
                <w:szCs w:val="18"/>
              </w:rPr>
            </w:pPr>
          </w:p>
          <w:p w14:paraId="398BD8B4" w14:textId="4748F28C" w:rsidR="002A21AE" w:rsidRDefault="002A21AE">
            <w:pPr>
              <w:pStyle w:val="TableText"/>
              <w:rPr>
                <w:b/>
                <w:bCs/>
                <w:szCs w:val="18"/>
              </w:rPr>
            </w:pPr>
            <w:r>
              <w:rPr>
                <w:b/>
                <w:bCs/>
                <w:szCs w:val="18"/>
              </w:rPr>
              <w:t>NOTES</w:t>
            </w:r>
          </w:p>
          <w:p w14:paraId="450555F2" w14:textId="77777777" w:rsidR="002A21AE" w:rsidRDefault="002A21AE">
            <w:pPr>
              <w:pStyle w:val="NotesText"/>
            </w:pPr>
          </w:p>
          <w:p w14:paraId="78BEF59C" w14:textId="77777777" w:rsidR="002A21AE" w:rsidRDefault="002A21AE">
            <w:pPr>
              <w:pStyle w:val="NotesText"/>
            </w:pPr>
            <w:r w:rsidRPr="00896F17">
              <w:rPr>
                <w:vanish/>
                <w:szCs w:val="18"/>
              </w:rPr>
              <w:t>BR_59.08</w:t>
            </w:r>
            <w:r w:rsidR="00F92F72" w:rsidRPr="00896F17">
              <w:rPr>
                <w:rStyle w:val="BullhornChar"/>
              </w:rPr>
              <w:t></w:t>
            </w:r>
            <w:r w:rsidR="00F92F72">
              <w:rPr>
                <w:rFonts w:ascii="Webdings" w:hAnsi="Webdings"/>
              </w:rPr>
              <w:t></w:t>
            </w:r>
            <w:r w:rsidR="00F92F72" w:rsidRPr="00263B24">
              <w:t>Wh</w:t>
            </w:r>
            <w:r w:rsidR="00F92F72">
              <w:t>en</w:t>
            </w:r>
            <w:r>
              <w:t xml:space="preserve"> the user indicates that the unit is unsatisfactory, VBECS emits an audible alert and quarantines the unit, relocates it to the hospital location of the blood bank, and captures details for inclusion in an Exception Report (exception type: unit unsatisfactory upon return from issue). Upon quarantining the unit, VBECS releases it from assignment and requires a comment regarding the return. </w:t>
            </w:r>
          </w:p>
          <w:p w14:paraId="50E15390" w14:textId="77777777" w:rsidR="002A21AE" w:rsidRDefault="002A21AE">
            <w:pPr>
              <w:pStyle w:val="NotesText"/>
            </w:pPr>
          </w:p>
          <w:p w14:paraId="6F4F98BF" w14:textId="77777777" w:rsidR="002A21AE" w:rsidRDefault="002A21AE">
            <w:pPr>
              <w:pStyle w:val="NotesText"/>
            </w:pPr>
            <w:r>
              <w:rPr>
                <w:rFonts w:cs="Arial"/>
                <w:vanish/>
              </w:rPr>
              <w:t xml:space="preserve">BR_27.15 </w:t>
            </w:r>
            <w:r w:rsidR="00DC63E8">
              <w:t>When a unit has had a quarantine indicator assigned, VBECS releases any patient assignments. Patient restrictions associated with the unit remain intact.</w:t>
            </w:r>
          </w:p>
          <w:p w14:paraId="5BA3C4A1" w14:textId="77777777" w:rsidR="00DC63E8" w:rsidRDefault="00DC63E8">
            <w:pPr>
              <w:pStyle w:val="NotesText"/>
            </w:pPr>
          </w:p>
          <w:p w14:paraId="34BB4E66" w14:textId="77777777" w:rsidR="002A21AE" w:rsidRDefault="002A21AE">
            <w:pPr>
              <w:pStyle w:val="NotesText"/>
            </w:pPr>
            <w:r>
              <w:rPr>
                <w:rFonts w:cs="Arial"/>
                <w:vanish/>
              </w:rPr>
              <w:t xml:space="preserve">BR_59.11 </w:t>
            </w:r>
            <w:r>
              <w:t>VBECS places units returned from issue to the blood bank in satisfactory condition in the status they had prior to issue.</w:t>
            </w:r>
          </w:p>
          <w:p w14:paraId="10BB66D7" w14:textId="77777777" w:rsidR="002A21AE" w:rsidRDefault="002A21AE">
            <w:pPr>
              <w:pStyle w:val="NotesText"/>
            </w:pPr>
          </w:p>
          <w:p w14:paraId="0064FA09" w14:textId="7AE93707" w:rsidR="002A21AE" w:rsidRDefault="002A21AE" w:rsidP="00EA3A1F">
            <w:pPr>
              <w:pStyle w:val="NotesText"/>
              <w:rPr>
                <w:rFonts w:cs="Arial"/>
              </w:rPr>
            </w:pPr>
            <w:r>
              <w:rPr>
                <w:vanish/>
                <w:szCs w:val="18"/>
              </w:rPr>
              <w:t>BR_59.12</w:t>
            </w:r>
            <w:r w:rsidR="00CE3961">
              <w:rPr>
                <w:vanish/>
                <w:szCs w:val="18"/>
              </w:rPr>
              <w:t>,</w:t>
            </w:r>
            <w:r>
              <w:rPr>
                <w:vanish/>
                <w:szCs w:val="18"/>
              </w:rPr>
              <w:t xml:space="preserve"> BR_59.13 </w:t>
            </w:r>
            <w:r>
              <w:t>When the unit returned and/or the specimen used for assignment or crossmatch is expired, VBECS warns the user.</w:t>
            </w:r>
          </w:p>
        </w:tc>
      </w:tr>
      <w:tr w:rsidR="002A21AE" w14:paraId="4289EC3B" w14:textId="77777777">
        <w:tc>
          <w:tcPr>
            <w:tcW w:w="3240" w:type="dxa"/>
          </w:tcPr>
          <w:p w14:paraId="6630FF35" w14:textId="77777777" w:rsidR="002A21AE" w:rsidRDefault="002A21AE">
            <w:pPr>
              <w:pStyle w:val="TableTextNumbers"/>
            </w:pPr>
            <w:r>
              <w:t xml:space="preserve">Click </w:t>
            </w:r>
            <w:r>
              <w:rPr>
                <w:b/>
              </w:rPr>
              <w:t xml:space="preserve">OK </w:t>
            </w:r>
            <w:r>
              <w:t xml:space="preserve">to accept the entries, and complete the unit return. </w:t>
            </w:r>
          </w:p>
          <w:p w14:paraId="00BB731E" w14:textId="77777777" w:rsidR="002A21AE" w:rsidRDefault="002A21AE">
            <w:pPr>
              <w:pStyle w:val="TableTextNumbersContinued"/>
            </w:pPr>
          </w:p>
          <w:p w14:paraId="323BF7B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419B6C65" w14:textId="77777777" w:rsidR="001F6288" w:rsidRDefault="002A21AE" w:rsidP="001F6288">
            <w:pPr>
              <w:pStyle w:val="TableTextBullet"/>
            </w:pPr>
            <w:r>
              <w:t>Saves the data.</w:t>
            </w:r>
          </w:p>
          <w:p w14:paraId="029A2B29" w14:textId="77777777" w:rsidR="001F6288" w:rsidRDefault="001F6288" w:rsidP="001F6288">
            <w:pPr>
              <w:pStyle w:val="TableTextBullet"/>
            </w:pPr>
            <w:r w:rsidRPr="001F6288">
              <w:rPr>
                <w:rFonts w:cs="Arial"/>
                <w:vanish/>
                <w:szCs w:val="18"/>
              </w:rPr>
              <w:t xml:space="preserve">UC_109 </w:t>
            </w:r>
            <w:r w:rsidRPr="001F6288">
              <w:rPr>
                <w:rFonts w:cs="Arial"/>
                <w:szCs w:val="18"/>
              </w:rPr>
              <w:t>Sends update to the BCE COTS system via an HL7 message to remove the unit from the system</w:t>
            </w:r>
            <w:r>
              <w:rPr>
                <w:rFonts w:cs="Arial"/>
                <w:szCs w:val="18"/>
              </w:rPr>
              <w:t>.</w:t>
            </w:r>
          </w:p>
          <w:p w14:paraId="6F767233" w14:textId="77777777" w:rsidR="002A21AE" w:rsidRDefault="002A21AE">
            <w:pPr>
              <w:pStyle w:val="TableText"/>
            </w:pPr>
          </w:p>
          <w:p w14:paraId="2E07F21C" w14:textId="526ED962" w:rsidR="002A21AE" w:rsidRDefault="002A21AE">
            <w:pPr>
              <w:pStyle w:val="TableText"/>
              <w:rPr>
                <w:b/>
                <w:bCs/>
                <w:szCs w:val="18"/>
              </w:rPr>
            </w:pPr>
            <w:r>
              <w:rPr>
                <w:b/>
                <w:bCs/>
                <w:szCs w:val="18"/>
              </w:rPr>
              <w:t>NOTES</w:t>
            </w:r>
          </w:p>
          <w:p w14:paraId="01DFF604" w14:textId="77777777" w:rsidR="002A21AE" w:rsidRDefault="002A21AE">
            <w:pPr>
              <w:pStyle w:val="NotesText"/>
            </w:pPr>
          </w:p>
          <w:p w14:paraId="07EDA2C4" w14:textId="77777777" w:rsidR="002A21AE" w:rsidRDefault="002A21AE">
            <w:pPr>
              <w:pStyle w:val="NotesText"/>
            </w:pPr>
            <w:r>
              <w:rPr>
                <w:rFonts w:cs="Arial"/>
                <w:vanish/>
              </w:rPr>
              <w:t xml:space="preserve">BR_59.10 </w:t>
            </w:r>
            <w:r>
              <w:t>VBECS returns units to the blood bank location within the division.</w:t>
            </w:r>
          </w:p>
        </w:tc>
      </w:tr>
    </w:tbl>
    <w:p w14:paraId="403878A7" w14:textId="77A1BFDB" w:rsidR="009F35E5" w:rsidRDefault="009F35E5" w:rsidP="009F35E5">
      <w:pPr>
        <w:pStyle w:val="Caption"/>
      </w:pPr>
      <w:bookmarkStart w:id="388" w:name="_Ref12709445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77</w:t>
      </w:r>
      <w:r w:rsidR="004E20BD">
        <w:rPr>
          <w:noProof/>
        </w:rPr>
        <w:fldChar w:fldCharType="end"/>
      </w:r>
      <w:bookmarkEnd w:id="388"/>
      <w:r>
        <w:t>: Return Issued Units</w:t>
      </w:r>
    </w:p>
    <w:p w14:paraId="5179786E" w14:textId="086621B9" w:rsidR="00857A1A" w:rsidRDefault="00756E5A" w:rsidP="009F35E5">
      <w:pPr>
        <w:pStyle w:val="BodyText"/>
      </w:pPr>
      <w:r>
        <w:rPr>
          <w:noProof/>
        </w:rPr>
        <w:drawing>
          <wp:inline distT="0" distB="0" distL="0" distR="0" wp14:anchorId="51AEAD74" wp14:editId="0215DC61">
            <wp:extent cx="5943600" cy="4333240"/>
            <wp:effectExtent l="0" t="0" r="0" b="0"/>
            <wp:docPr id="46" name="Picture 46" descr="Example of Return Issued Uni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xample of Return Issued Units screen captur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4333240"/>
                    </a:xfrm>
                    <a:prstGeom prst="rect">
                      <a:avLst/>
                    </a:prstGeom>
                    <a:noFill/>
                    <a:ln>
                      <a:noFill/>
                    </a:ln>
                  </pic:spPr>
                </pic:pic>
              </a:graphicData>
            </a:graphic>
          </wp:inline>
        </w:drawing>
      </w:r>
    </w:p>
    <w:p w14:paraId="3C0E0507" w14:textId="77777777" w:rsidR="002A21AE" w:rsidRDefault="002A21AE" w:rsidP="00857A1A">
      <w:pPr>
        <w:pStyle w:val="Heading2"/>
      </w:pPr>
      <w:r>
        <w:br w:type="page"/>
      </w:r>
      <w:bookmarkStart w:id="389" w:name="_Toc163644927"/>
      <w:r>
        <w:lastRenderedPageBreak/>
        <w:t>Release Units From Patient Assignment</w:t>
      </w:r>
      <w:bookmarkEnd w:id="389"/>
      <w:r w:rsidRPr="00857A1A">
        <w:rPr>
          <w:rFonts w:ascii="Arial Bold" w:hAnsi="Arial Bold"/>
          <w:vanish/>
        </w:rPr>
        <w:fldChar w:fldCharType="begin"/>
      </w:r>
      <w:r w:rsidRPr="00857A1A">
        <w:rPr>
          <w:rFonts w:ascii="Arial Bold" w:hAnsi="Arial Bold"/>
          <w:vanish/>
        </w:rPr>
        <w:instrText xml:space="preserve"> XE </w:instrText>
      </w:r>
      <w:r w:rsidR="00FA7E65" w:rsidRPr="00857A1A">
        <w:rPr>
          <w:rFonts w:ascii="Arial Bold" w:hAnsi="Arial Bold"/>
          <w:vanish/>
        </w:rPr>
        <w:instrText>“</w:instrText>
      </w:r>
      <w:r w:rsidRPr="00857A1A">
        <w:rPr>
          <w:rFonts w:ascii="Arial Bold" w:hAnsi="Arial Bold"/>
          <w:vanish/>
        </w:rPr>
        <w:instrText>Release Units From Patient Assignment</w:instrText>
      </w:r>
      <w:r w:rsidR="00FA7E65" w:rsidRPr="00857A1A">
        <w:rPr>
          <w:rFonts w:ascii="Arial Bold" w:hAnsi="Arial Bold"/>
          <w:vanish/>
        </w:rPr>
        <w:instrText>”</w:instrText>
      </w:r>
      <w:r w:rsidRPr="00857A1A">
        <w:rPr>
          <w:rFonts w:ascii="Arial Bold" w:hAnsi="Arial Bold"/>
          <w:vanish/>
        </w:rPr>
        <w:instrText xml:space="preserve"> </w:instrText>
      </w:r>
      <w:r w:rsidRPr="00857A1A">
        <w:rPr>
          <w:rFonts w:ascii="Arial Bold" w:hAnsi="Arial Bold"/>
          <w:vanish/>
        </w:rPr>
        <w:fldChar w:fldCharType="end"/>
      </w:r>
      <w:r w:rsidRPr="00857A1A">
        <w:rPr>
          <w:rFonts w:ascii="Arial Bold" w:hAnsi="Arial Bold"/>
          <w:vanish/>
        </w:rPr>
        <w:t xml:space="preserve"> UC_47</w:t>
      </w:r>
    </w:p>
    <w:p w14:paraId="00E3BB0F" w14:textId="77777777" w:rsidR="002A21AE" w:rsidRDefault="002A21AE" w:rsidP="00FA7E65">
      <w:pPr>
        <w:pStyle w:val="BodyText"/>
        <w:rPr>
          <w:b/>
        </w:rPr>
      </w:pPr>
      <w:r>
        <w:t xml:space="preserve">The user releases crossmatched and assigned blood units not issued after a period determined by regulatory standards and by internal policy. </w:t>
      </w:r>
    </w:p>
    <w:p w14:paraId="3B8BD5F0" w14:textId="77777777" w:rsidR="002A21AE" w:rsidRDefault="002A21AE">
      <w:pPr>
        <w:pStyle w:val="Heading4"/>
      </w:pPr>
      <w:r>
        <w:t>Assumptions</w:t>
      </w:r>
      <w:r>
        <w:rPr>
          <w:b w:val="0"/>
        </w:rPr>
        <w:t xml:space="preserve"> </w:t>
      </w:r>
    </w:p>
    <w:p w14:paraId="7E9B2776" w14:textId="77777777" w:rsidR="002A21AE" w:rsidRDefault="002A21AE">
      <w:pPr>
        <w:pStyle w:val="ListBullet"/>
      </w:pPr>
      <w:r>
        <w:t xml:space="preserve">The blood unit is assigned or crossmatched to at least one patient. </w:t>
      </w:r>
    </w:p>
    <w:p w14:paraId="2145C5EA" w14:textId="77777777" w:rsidR="002A21AE" w:rsidRDefault="002A21AE">
      <w:pPr>
        <w:pStyle w:val="Heading4"/>
      </w:pPr>
      <w:r>
        <w:t>Outcome</w:t>
      </w:r>
    </w:p>
    <w:p w14:paraId="0CC67927" w14:textId="77777777" w:rsidR="002A21AE" w:rsidRDefault="002A21AE">
      <w:pPr>
        <w:pStyle w:val="ListBullet"/>
      </w:pPr>
      <w:r>
        <w:t>Patient restrictions still apply to a unit even after it is released from assignment and made available.</w:t>
      </w:r>
    </w:p>
    <w:p w14:paraId="35228A29" w14:textId="77777777" w:rsidR="002A21AE" w:rsidRDefault="002A21AE">
      <w:pPr>
        <w:pStyle w:val="Heading4"/>
      </w:pPr>
      <w:r>
        <w:t>Limitations and Restrictions</w:t>
      </w:r>
      <w:r>
        <w:rPr>
          <w:b w:val="0"/>
        </w:rPr>
        <w:t xml:space="preserve"> </w:t>
      </w:r>
    </w:p>
    <w:p w14:paraId="091B1B31" w14:textId="77777777" w:rsidR="002A21AE" w:rsidRDefault="002A21AE">
      <w:pPr>
        <w:pStyle w:val="ListBullet"/>
      </w:pPr>
      <w:r>
        <w:t>This option does not apply to the release of patient restrictions (autologous and directed).</w:t>
      </w:r>
    </w:p>
    <w:p w14:paraId="6FEEE789" w14:textId="606B88FF" w:rsidR="002A21AE" w:rsidRDefault="002A21AE">
      <w:pPr>
        <w:pStyle w:val="ListBullet"/>
      </w:pPr>
      <w:r>
        <w:t>When a patient, specimen</w:t>
      </w:r>
      <w:r w:rsidR="00112C24">
        <w:t>,</w:t>
      </w:r>
      <w:r w:rsidR="00D40FAE">
        <w:t xml:space="preserve"> </w:t>
      </w:r>
      <w:r>
        <w:t>or blood unit expires, VBECS does not automatically release an assigned blood unit: a user must release the unit.</w:t>
      </w:r>
    </w:p>
    <w:p w14:paraId="0C2C9059" w14:textId="0297C7EB" w:rsidR="002A21AE" w:rsidRDefault="002A21AE" w:rsidP="005B025F">
      <w:pPr>
        <w:pStyle w:val="Heading4"/>
      </w:pPr>
      <w:r>
        <w:t>Additional Information</w:t>
      </w:r>
    </w:p>
    <w:p w14:paraId="24AA4AC0" w14:textId="77777777" w:rsidR="000D6CA6" w:rsidRDefault="002A21AE" w:rsidP="000D6CA6">
      <w:pPr>
        <w:pStyle w:val="ListBullet"/>
      </w:pPr>
      <w:r>
        <w:t>A user may release units from assignment as a group or individually from a patient’s list of units.</w:t>
      </w:r>
    </w:p>
    <w:p w14:paraId="340265DE" w14:textId="77777777" w:rsidR="002A21AE" w:rsidRDefault="002A21AE">
      <w:pPr>
        <w:pStyle w:val="Heading4"/>
        <w:rPr>
          <w:b w:val="0"/>
        </w:rPr>
      </w:pPr>
      <w:r>
        <w:t>User Roles with Access to This Option</w:t>
      </w:r>
      <w:r>
        <w:rPr>
          <w:b w:val="0"/>
        </w:rPr>
        <w:t xml:space="preserve"> </w:t>
      </w:r>
    </w:p>
    <w:p w14:paraId="5B0ABF60" w14:textId="77777777" w:rsidR="002A21AE" w:rsidRDefault="00516048">
      <w:pPr>
        <w:pStyle w:val="Roles"/>
        <w:rPr>
          <w:snapToGrid w:val="0"/>
        </w:rPr>
      </w:pPr>
      <w:r>
        <w:t>All users</w:t>
      </w:r>
    </w:p>
    <w:p w14:paraId="465CBBE3" w14:textId="77777777" w:rsidR="002A21AE" w:rsidRDefault="002A21AE">
      <w:pPr>
        <w:pStyle w:val="Heading4"/>
      </w:pPr>
      <w:r>
        <w:t>Release Units From Patient Assignment</w:t>
      </w:r>
    </w:p>
    <w:p w14:paraId="6EA0D086" w14:textId="77777777" w:rsidR="002A21AE" w:rsidRDefault="002A21AE" w:rsidP="00FA7E65">
      <w:pPr>
        <w:pStyle w:val="BodyText"/>
      </w:pPr>
      <w:r>
        <w:t xml:space="preserve">A user may select one or more blood units for release from patient assignment and return to “available” status. A user may release one of multiple patient assignments without affecting other patient assignments on a unit.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CD486B7" w14:textId="77777777">
        <w:trPr>
          <w:cantSplit/>
          <w:tblHeader/>
        </w:trPr>
        <w:tc>
          <w:tcPr>
            <w:tcW w:w="3240" w:type="dxa"/>
            <w:shd w:val="pct30" w:color="auto" w:fill="FFFFFF"/>
            <w:vAlign w:val="bottom"/>
          </w:tcPr>
          <w:p w14:paraId="2A6C9573" w14:textId="77777777" w:rsidR="002A21AE" w:rsidRDefault="002A21AE">
            <w:pPr>
              <w:pStyle w:val="TableText"/>
              <w:rPr>
                <w:b/>
              </w:rPr>
            </w:pPr>
            <w:r>
              <w:rPr>
                <w:b/>
              </w:rPr>
              <w:t>User Action</w:t>
            </w:r>
          </w:p>
        </w:tc>
        <w:tc>
          <w:tcPr>
            <w:tcW w:w="6120" w:type="dxa"/>
            <w:shd w:val="pct30" w:color="auto" w:fill="FFFFFF"/>
            <w:vAlign w:val="bottom"/>
          </w:tcPr>
          <w:p w14:paraId="22AE1E7E" w14:textId="77777777" w:rsidR="002A21AE" w:rsidRDefault="002A21AE">
            <w:pPr>
              <w:pStyle w:val="TableText"/>
              <w:rPr>
                <w:b/>
              </w:rPr>
            </w:pPr>
            <w:r>
              <w:rPr>
                <w:b/>
              </w:rPr>
              <w:t>VBECS</w:t>
            </w:r>
          </w:p>
        </w:tc>
      </w:tr>
      <w:tr w:rsidR="002A21AE" w14:paraId="35C562E4" w14:textId="77777777">
        <w:trPr>
          <w:trHeight w:val="314"/>
        </w:trPr>
        <w:tc>
          <w:tcPr>
            <w:tcW w:w="3240" w:type="dxa"/>
          </w:tcPr>
          <w:p w14:paraId="5040E422" w14:textId="77777777" w:rsidR="002A21AE" w:rsidRDefault="002A21AE">
            <w:pPr>
              <w:pStyle w:val="TableTextNumbers"/>
            </w:pPr>
            <w:r>
              <w:t xml:space="preserve">To release units by patient, select </w:t>
            </w:r>
            <w:r>
              <w:rPr>
                <w:b/>
              </w:rPr>
              <w:t>Patients</w:t>
            </w:r>
            <w:r>
              <w:t xml:space="preserve"> from the main menu.</w:t>
            </w:r>
          </w:p>
          <w:p w14:paraId="647CDB65" w14:textId="77777777" w:rsidR="002A21AE" w:rsidRDefault="002A21AE">
            <w:pPr>
              <w:pStyle w:val="TableTextNumbersContinued"/>
            </w:pPr>
          </w:p>
          <w:p w14:paraId="24F992E0" w14:textId="77777777" w:rsidR="002A21AE" w:rsidRDefault="002A21AE">
            <w:pPr>
              <w:pStyle w:val="TableTextNumbersContinued"/>
            </w:pPr>
            <w:r>
              <w:t xml:space="preserve">To release units by unit, select </w:t>
            </w:r>
            <w:r>
              <w:rPr>
                <w:b/>
              </w:rPr>
              <w:t>Blood Units</w:t>
            </w:r>
            <w:r>
              <w:t xml:space="preserve"> from the main menu.</w:t>
            </w:r>
          </w:p>
          <w:p w14:paraId="15846568" w14:textId="77777777" w:rsidR="002A21AE" w:rsidRDefault="002A21AE">
            <w:pPr>
              <w:pStyle w:val="TableTextNumbersContinued"/>
            </w:pPr>
          </w:p>
          <w:p w14:paraId="13330BF1" w14:textId="77777777" w:rsidR="002A21AE" w:rsidRDefault="002A21AE">
            <w:pPr>
              <w:pStyle w:val="TableTextNumbersContinued"/>
            </w:pPr>
            <w:r>
              <w:t xml:space="preserve">Select </w:t>
            </w:r>
            <w:r>
              <w:rPr>
                <w:b/>
              </w:rPr>
              <w:t>Release Units From Patient Assignment</w:t>
            </w:r>
            <w:r>
              <w:t>.</w:t>
            </w:r>
          </w:p>
        </w:tc>
        <w:tc>
          <w:tcPr>
            <w:tcW w:w="6120" w:type="dxa"/>
          </w:tcPr>
          <w:p w14:paraId="285DE921" w14:textId="77777777" w:rsidR="002A21AE" w:rsidRDefault="002A21AE">
            <w:pPr>
              <w:pStyle w:val="TableTextBullet"/>
            </w:pPr>
            <w:r>
              <w:t>Displays options for processing patient-related functions or for processing units.</w:t>
            </w:r>
          </w:p>
        </w:tc>
      </w:tr>
      <w:tr w:rsidR="002A21AE" w14:paraId="27C02B96" w14:textId="77777777" w:rsidTr="001A459B">
        <w:trPr>
          <w:cantSplit/>
        </w:trPr>
        <w:tc>
          <w:tcPr>
            <w:tcW w:w="3240" w:type="dxa"/>
          </w:tcPr>
          <w:p w14:paraId="706F9EBD" w14:textId="77777777" w:rsidR="002A21AE" w:rsidRDefault="002A21AE">
            <w:pPr>
              <w:pStyle w:val="TableTextNumbers"/>
            </w:pPr>
            <w:r>
              <w:lastRenderedPageBreak/>
              <w:t>Scan or enter a unit ID or select a patient to release units from patient assignment and/or crossmatch (XM).</w:t>
            </w:r>
          </w:p>
        </w:tc>
        <w:tc>
          <w:tcPr>
            <w:tcW w:w="6120" w:type="dxa"/>
          </w:tcPr>
          <w:p w14:paraId="0529B7AB" w14:textId="77777777" w:rsidR="002A21AE" w:rsidRDefault="002A21AE">
            <w:pPr>
              <w:pStyle w:val="TableTextBullet"/>
            </w:pPr>
            <w:r>
              <w:t>Allows the user to edit the date and time and the user who released the units.</w:t>
            </w:r>
          </w:p>
          <w:p w14:paraId="2C77CA1A" w14:textId="77777777" w:rsidR="002A21AE" w:rsidRDefault="002A21AE">
            <w:pPr>
              <w:pStyle w:val="TableTextBullet"/>
            </w:pPr>
            <w:r>
              <w:t xml:space="preserve">Lists currently assigned units. </w:t>
            </w:r>
          </w:p>
          <w:p w14:paraId="0A911D04" w14:textId="77777777" w:rsidR="002A21AE" w:rsidRDefault="002A21AE">
            <w:pPr>
              <w:pStyle w:val="TableTextBullet"/>
            </w:pPr>
            <w:r>
              <w:t>Allows the user to list assigned units by patient, by unit ID, or by unit expiration date.</w:t>
            </w:r>
          </w:p>
          <w:p w14:paraId="7C12E68F" w14:textId="77777777" w:rsidR="002A21AE" w:rsidRDefault="002A21AE">
            <w:pPr>
              <w:pStyle w:val="TableText"/>
            </w:pPr>
          </w:p>
          <w:p w14:paraId="7C24006B" w14:textId="01967406" w:rsidR="002A21AE" w:rsidRDefault="002A21AE">
            <w:pPr>
              <w:pStyle w:val="TableText"/>
              <w:rPr>
                <w:b/>
                <w:bCs/>
                <w:szCs w:val="18"/>
              </w:rPr>
            </w:pPr>
            <w:r>
              <w:rPr>
                <w:b/>
                <w:bCs/>
                <w:szCs w:val="18"/>
              </w:rPr>
              <w:t>NOTES</w:t>
            </w:r>
          </w:p>
          <w:p w14:paraId="0C310E79" w14:textId="77777777" w:rsidR="002A21AE" w:rsidRDefault="002A21AE">
            <w:pPr>
              <w:pStyle w:val="NotesText"/>
            </w:pPr>
          </w:p>
          <w:p w14:paraId="5104E656" w14:textId="77777777" w:rsidR="002A21AE" w:rsidRDefault="002A21AE">
            <w:pPr>
              <w:pStyle w:val="NotesText"/>
            </w:pPr>
            <w:r>
              <w:rPr>
                <w:rFonts w:cs="Arial"/>
                <w:vanish/>
              </w:rPr>
              <w:t xml:space="preserve">BR_47.03 </w:t>
            </w:r>
            <w:r>
              <w:t>VBECS indicates which specimens and units are expired.</w:t>
            </w:r>
          </w:p>
          <w:p w14:paraId="44055BCA" w14:textId="77777777" w:rsidR="002A21AE" w:rsidRDefault="002A21AE">
            <w:pPr>
              <w:pStyle w:val="NotesText"/>
            </w:pPr>
          </w:p>
          <w:p w14:paraId="1C9F3977" w14:textId="77777777" w:rsidR="002A21AE" w:rsidRDefault="002A21AE">
            <w:pPr>
              <w:pStyle w:val="NotesText"/>
            </w:pPr>
            <w:r>
              <w:rPr>
                <w:rFonts w:cs="Arial"/>
                <w:vanish/>
              </w:rPr>
              <w:t xml:space="preserve">BR_47.04 </w:t>
            </w:r>
            <w:r>
              <w:t>VBECS displays a unit’s donation type only when it is restricted.</w:t>
            </w:r>
          </w:p>
          <w:p w14:paraId="236C3EFB" w14:textId="77777777" w:rsidR="002A21AE" w:rsidRDefault="002A21AE">
            <w:pPr>
              <w:pStyle w:val="NotesText"/>
            </w:pPr>
          </w:p>
          <w:p w14:paraId="0AB8F83B" w14:textId="77777777" w:rsidR="002A21AE" w:rsidRDefault="002A21AE">
            <w:pPr>
              <w:pStyle w:val="NotesText"/>
            </w:pPr>
            <w:r>
              <w:rPr>
                <w:rFonts w:cs="Arial"/>
                <w:vanish/>
              </w:rPr>
              <w:t xml:space="preserve">BR_47.01 </w:t>
            </w:r>
            <w:r>
              <w:t>VBECS displays all currently assigned/crossmatched units located in the blood bank. When the user enters a unit ID that is not currently in the blood bank location, VBECS warns the user, clears the unit ID entry, and allows the user to enter another unit or patient.</w:t>
            </w:r>
          </w:p>
          <w:p w14:paraId="7517A920" w14:textId="77777777" w:rsidR="000D6CA6" w:rsidRDefault="000D6CA6" w:rsidP="00410012">
            <w:pPr>
              <w:pStyle w:val="NotesText"/>
            </w:pPr>
          </w:p>
        </w:tc>
      </w:tr>
      <w:tr w:rsidR="002A21AE" w14:paraId="52ADE71F" w14:textId="77777777">
        <w:tc>
          <w:tcPr>
            <w:tcW w:w="3240" w:type="dxa"/>
          </w:tcPr>
          <w:p w14:paraId="1254CFD1" w14:textId="77777777" w:rsidR="002A21AE" w:rsidRDefault="002A21AE">
            <w:pPr>
              <w:pStyle w:val="TableTextNumbers"/>
            </w:pPr>
            <w:r>
              <w:t>Indicate which units to release.</w:t>
            </w:r>
          </w:p>
          <w:p w14:paraId="5AB552DA" w14:textId="77777777" w:rsidR="005E1395" w:rsidRDefault="005E1395" w:rsidP="005E1395">
            <w:pPr>
              <w:pStyle w:val="TableTextNumbers"/>
              <w:numPr>
                <w:ilvl w:val="0"/>
                <w:numId w:val="0"/>
              </w:numPr>
              <w:ind w:left="288" w:hanging="288"/>
            </w:pPr>
          </w:p>
          <w:p w14:paraId="79384B6F" w14:textId="77777777" w:rsidR="005E1395" w:rsidRDefault="005E1395" w:rsidP="005E1395">
            <w:pPr>
              <w:pStyle w:val="TableTextNumbersContinued"/>
            </w:pPr>
            <w:r>
              <w:t xml:space="preserve">Click </w:t>
            </w:r>
            <w:r w:rsidRPr="005E1395">
              <w:rPr>
                <w:b/>
              </w:rPr>
              <w:t>OK</w:t>
            </w:r>
            <w:r>
              <w:t>.</w:t>
            </w:r>
          </w:p>
          <w:p w14:paraId="7FB2E425" w14:textId="77777777" w:rsidR="002A21AE" w:rsidRDefault="002A21AE">
            <w:pPr>
              <w:pStyle w:val="TableTextNumbersContinued"/>
            </w:pPr>
          </w:p>
          <w:p w14:paraId="0CE76557" w14:textId="4686642D" w:rsidR="002A21AE" w:rsidRDefault="002A21AE">
            <w:pPr>
              <w:pStyle w:val="TableTextNumbersContinued"/>
            </w:pPr>
            <w:r>
              <w:t>Indicate a reason for release of units</w:t>
            </w:r>
            <w:r w:rsidR="005E1395">
              <w:t xml:space="preserve"> (</w:t>
            </w:r>
            <w:r w:rsidR="00EE455E">
              <w:t xml:space="preserve">Figure </w:t>
            </w:r>
            <w:r w:rsidR="00EE455E">
              <w:rPr>
                <w:noProof/>
              </w:rPr>
              <w:t>77</w:t>
            </w:r>
            <w:r w:rsidR="005E1395">
              <w:t>)</w:t>
            </w:r>
            <w:r>
              <w:t>.</w:t>
            </w:r>
          </w:p>
        </w:tc>
        <w:tc>
          <w:tcPr>
            <w:tcW w:w="6120" w:type="dxa"/>
          </w:tcPr>
          <w:p w14:paraId="242784DD" w14:textId="77777777" w:rsidR="002A21AE" w:rsidRDefault="002A21AE">
            <w:pPr>
              <w:pStyle w:val="TableTextBullet"/>
            </w:pPr>
            <w:r>
              <w:t>Allows the user to enter a reason for releasing for an individual unit.</w:t>
            </w:r>
          </w:p>
          <w:p w14:paraId="1B20C5FD" w14:textId="77777777" w:rsidR="002A21AE" w:rsidRDefault="002A21AE">
            <w:pPr>
              <w:pStyle w:val="TableTextBullet"/>
            </w:pPr>
            <w:r>
              <w:t>Allows the user to review the selections, select additional units, and deselect units before saving.</w:t>
            </w:r>
          </w:p>
          <w:p w14:paraId="53583B1F" w14:textId="77777777" w:rsidR="002A21AE" w:rsidRDefault="002A21AE">
            <w:pPr>
              <w:pStyle w:val="TableText"/>
            </w:pPr>
          </w:p>
          <w:p w14:paraId="7AE107A6" w14:textId="03EDC17B" w:rsidR="002A21AE" w:rsidRDefault="002A21AE">
            <w:pPr>
              <w:pStyle w:val="TableText"/>
              <w:rPr>
                <w:b/>
                <w:bCs/>
                <w:szCs w:val="18"/>
              </w:rPr>
            </w:pPr>
            <w:r>
              <w:rPr>
                <w:b/>
                <w:bCs/>
                <w:szCs w:val="18"/>
              </w:rPr>
              <w:t>NOTES</w:t>
            </w:r>
          </w:p>
          <w:p w14:paraId="25EF6105" w14:textId="77777777" w:rsidR="002A21AE" w:rsidRDefault="002A21AE">
            <w:pPr>
              <w:pStyle w:val="NotesText"/>
            </w:pPr>
          </w:p>
          <w:p w14:paraId="6B69BE14" w14:textId="77777777" w:rsidR="002A21AE" w:rsidRDefault="002A21AE">
            <w:pPr>
              <w:pStyle w:val="NotesText"/>
            </w:pPr>
            <w:r>
              <w:rPr>
                <w:rFonts w:cs="Arial"/>
                <w:vanish/>
              </w:rPr>
              <w:t xml:space="preserve">BR_47.06 </w:t>
            </w:r>
            <w:r>
              <w:t>VBECS allows the user to select no units or one or more units for each patient on the list.</w:t>
            </w:r>
          </w:p>
        </w:tc>
      </w:tr>
      <w:tr w:rsidR="002A21AE" w14:paraId="7542C03B" w14:textId="77777777">
        <w:tc>
          <w:tcPr>
            <w:tcW w:w="3240" w:type="dxa"/>
          </w:tcPr>
          <w:p w14:paraId="748872CA" w14:textId="77777777" w:rsidR="002A21AE" w:rsidRDefault="002A21AE">
            <w:pPr>
              <w:pStyle w:val="TableTextNumbers"/>
            </w:pPr>
            <w:r>
              <w:t xml:space="preserve">Review the entered information and click </w:t>
            </w:r>
            <w:r>
              <w:rPr>
                <w:b/>
              </w:rPr>
              <w:t>OK</w:t>
            </w:r>
            <w:r>
              <w:t xml:space="preserve"> to save.</w:t>
            </w:r>
          </w:p>
          <w:p w14:paraId="31A8AA1E" w14:textId="77777777" w:rsidR="002A21AE" w:rsidRDefault="002A21AE">
            <w:pPr>
              <w:pStyle w:val="TableTextNumbersContinued"/>
            </w:pPr>
          </w:p>
          <w:p w14:paraId="2E9308C2" w14:textId="77777777" w:rsidR="002A21AE" w:rsidRDefault="002A21AE">
            <w:pPr>
              <w:pStyle w:val="TableTextNumbersContinued"/>
            </w:pPr>
            <w:r>
              <w:t xml:space="preserve">Click </w:t>
            </w:r>
            <w:r>
              <w:rPr>
                <w:b/>
              </w:rPr>
              <w:t>OK</w:t>
            </w:r>
            <w:r>
              <w:t xml:space="preserve"> to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9C3B55E" w14:textId="77777777" w:rsidR="002A21AE" w:rsidRDefault="002A21AE">
            <w:pPr>
              <w:pStyle w:val="TableTextBullet"/>
            </w:pPr>
            <w:r>
              <w:t>Updates the patient record, the unit record, and the status.</w:t>
            </w:r>
          </w:p>
          <w:p w14:paraId="4411CE82" w14:textId="77777777" w:rsidR="009434C7" w:rsidRDefault="009434C7" w:rsidP="009434C7">
            <w:pPr>
              <w:pStyle w:val="TableTextBullet"/>
            </w:pPr>
            <w:r w:rsidRPr="009434C7">
              <w:rPr>
                <w:rFonts w:cs="Arial"/>
                <w:vanish/>
                <w:szCs w:val="18"/>
              </w:rPr>
              <w:t xml:space="preserve">UC_109 </w:t>
            </w:r>
            <w:r w:rsidRPr="009434C7">
              <w:rPr>
                <w:rFonts w:cs="Arial"/>
                <w:szCs w:val="18"/>
              </w:rPr>
              <w:t>Sends</w:t>
            </w:r>
            <w:r w:rsidRPr="001F6288">
              <w:rPr>
                <w:rFonts w:cs="Arial"/>
                <w:szCs w:val="18"/>
              </w:rPr>
              <w:t xml:space="preserve"> update to the BCE COTS system via an HL7 message to remove the unit from the system</w:t>
            </w:r>
            <w:r>
              <w:rPr>
                <w:rFonts w:cs="Arial"/>
                <w:szCs w:val="18"/>
              </w:rPr>
              <w:t>.</w:t>
            </w:r>
          </w:p>
          <w:p w14:paraId="7A2C38A0" w14:textId="77777777" w:rsidR="002A21AE" w:rsidRDefault="002A21AE">
            <w:pPr>
              <w:pStyle w:val="TableText"/>
            </w:pPr>
          </w:p>
          <w:p w14:paraId="0D854571" w14:textId="5324411C" w:rsidR="002A21AE" w:rsidRDefault="002A21AE">
            <w:pPr>
              <w:pStyle w:val="TableText"/>
              <w:rPr>
                <w:b/>
                <w:bCs/>
                <w:szCs w:val="18"/>
              </w:rPr>
            </w:pPr>
            <w:r>
              <w:rPr>
                <w:b/>
                <w:bCs/>
                <w:szCs w:val="18"/>
              </w:rPr>
              <w:t>NOTES</w:t>
            </w:r>
          </w:p>
          <w:p w14:paraId="4CC5C882" w14:textId="77777777" w:rsidR="002A21AE" w:rsidRDefault="002A21AE">
            <w:pPr>
              <w:pStyle w:val="NotesText"/>
            </w:pPr>
          </w:p>
          <w:p w14:paraId="5AA9EF81" w14:textId="77777777" w:rsidR="002A21AE" w:rsidRDefault="002A21AE">
            <w:pPr>
              <w:pStyle w:val="NotesText"/>
            </w:pPr>
            <w:r>
              <w:rPr>
                <w:rFonts w:cs="Arial"/>
                <w:vanish/>
              </w:rPr>
              <w:t xml:space="preserve">BR_47.07 </w:t>
            </w:r>
            <w:r>
              <w:t>When a unit has a future expiration date and holds no other assignments, VBECS updates the unit to “available” status. When a unit is assigned to a different patient, it remains assigned to that patient.</w:t>
            </w:r>
          </w:p>
          <w:p w14:paraId="4455FE41" w14:textId="77777777" w:rsidR="002A21AE" w:rsidRDefault="002A21AE">
            <w:pPr>
              <w:pStyle w:val="NotesText"/>
            </w:pPr>
          </w:p>
          <w:p w14:paraId="3207EE03" w14:textId="77777777" w:rsidR="002A21AE" w:rsidRDefault="002A21AE" w:rsidP="00DA7212">
            <w:pPr>
              <w:pStyle w:val="NotesText"/>
            </w:pPr>
            <w:r>
              <w:t>VBECS alerts the user when the unit is expired and reminds him to remove additional patient assignments and the unit from the available inventory according to local policies. VBECS instructs the user to release the unit from all assignments and remove it from the available inventory</w:t>
            </w:r>
            <w:r w:rsidR="00DA7212">
              <w:t xml:space="preserve"> per hospital policy.</w:t>
            </w:r>
          </w:p>
        </w:tc>
      </w:tr>
    </w:tbl>
    <w:p w14:paraId="1CD57ACA" w14:textId="107BFF15" w:rsidR="005E1395" w:rsidRDefault="005E1395" w:rsidP="005E1395">
      <w:pPr>
        <w:pStyle w:val="Caption"/>
      </w:pPr>
      <w:bookmarkStart w:id="390" w:name="_Ref12715907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78</w:t>
      </w:r>
      <w:r w:rsidR="004E20BD">
        <w:rPr>
          <w:noProof/>
        </w:rPr>
        <w:fldChar w:fldCharType="end"/>
      </w:r>
      <w:bookmarkEnd w:id="390"/>
      <w:r>
        <w:t>: Confirm Release</w:t>
      </w:r>
    </w:p>
    <w:p w14:paraId="44D46BD4" w14:textId="32900A7F" w:rsidR="005E1395" w:rsidRDefault="009227D1">
      <w:pPr>
        <w:pStyle w:val="BodyText"/>
      </w:pPr>
      <w:r>
        <w:rPr>
          <w:noProof/>
        </w:rPr>
        <w:drawing>
          <wp:inline distT="0" distB="0" distL="0" distR="0" wp14:anchorId="21CB87B9" wp14:editId="68DB041B">
            <wp:extent cx="5943600" cy="4650105"/>
            <wp:effectExtent l="0" t="0" r="0" b="0"/>
            <wp:docPr id="184" name="Picture 184" descr="Example of Confirm Releas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Example of Confirm Release screen capt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4650105"/>
                    </a:xfrm>
                    <a:prstGeom prst="rect">
                      <a:avLst/>
                    </a:prstGeom>
                    <a:noFill/>
                    <a:ln>
                      <a:noFill/>
                    </a:ln>
                  </pic:spPr>
                </pic:pic>
              </a:graphicData>
            </a:graphic>
          </wp:inline>
        </w:drawing>
      </w:r>
    </w:p>
    <w:p w14:paraId="243972B1" w14:textId="77777777" w:rsidR="002A21AE" w:rsidRDefault="002A21AE">
      <w:pPr>
        <w:pStyle w:val="Heading2"/>
      </w:pPr>
      <w:r>
        <w:br w:type="page"/>
      </w:r>
      <w:bookmarkStart w:id="391" w:name="_Toc163644928"/>
      <w:r>
        <w:lastRenderedPageBreak/>
        <w:t>Print Unit Caution Tag &amp; Transfusion Record Form</w:t>
      </w:r>
      <w:bookmarkEnd w:id="391"/>
      <w:r w:rsidRPr="007716F7">
        <w:rPr>
          <w:vanish/>
        </w:rPr>
        <w:fldChar w:fldCharType="begin"/>
      </w:r>
      <w:r w:rsidRPr="007716F7">
        <w:rPr>
          <w:vanish/>
        </w:rPr>
        <w:instrText xml:space="preserve"> XE </w:instrText>
      </w:r>
      <w:r w:rsidR="00FA7E65" w:rsidRPr="007716F7">
        <w:rPr>
          <w:vanish/>
        </w:rPr>
        <w:instrText>“</w:instrText>
      </w:r>
      <w:r w:rsidRPr="007716F7">
        <w:rPr>
          <w:vanish/>
        </w:rPr>
        <w:instrText>Print Unit Caution Tag &amp; Transfusion Record Form</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UC_43, UC_44</w:t>
      </w:r>
    </w:p>
    <w:p w14:paraId="4AF1BF80" w14:textId="77777777" w:rsidR="00AD5827" w:rsidRDefault="002A21AE" w:rsidP="00FA7E65">
      <w:pPr>
        <w:pStyle w:val="BodyText"/>
      </w:pPr>
      <w:r>
        <w:t>The user may print a Caution Tag and/or a Blood Transfusion Record Form (BTRF) when crossmatch compatibility, assignment, or emergency issue are completed or as an independent action.</w:t>
      </w:r>
    </w:p>
    <w:p w14:paraId="374C6B1D" w14:textId="77777777" w:rsidR="002A21AE" w:rsidRDefault="002A21AE">
      <w:pPr>
        <w:pStyle w:val="Heading4"/>
      </w:pPr>
      <w:r>
        <w:t>Assumptions</w:t>
      </w:r>
      <w:r>
        <w:rPr>
          <w:b w:val="0"/>
        </w:rPr>
        <w:t xml:space="preserve"> </w:t>
      </w:r>
    </w:p>
    <w:p w14:paraId="09B61AAB" w14:textId="77777777" w:rsidR="002A21AE" w:rsidRDefault="002A21AE">
      <w:pPr>
        <w:pStyle w:val="ListBullet"/>
      </w:pPr>
      <w:r>
        <w:t>The blood unit, patient order, and user are in the same division.</w:t>
      </w:r>
    </w:p>
    <w:p w14:paraId="2A29D183" w14:textId="77777777" w:rsidR="002A21AE" w:rsidRDefault="002A21AE">
      <w:pPr>
        <w:pStyle w:val="ListBullet"/>
      </w:pPr>
      <w:r>
        <w:t>There is a current component class or emergency issue order for the patient, and the blood unit printed on the Caution Tag fulfills the patient order requirements.</w:t>
      </w:r>
    </w:p>
    <w:p w14:paraId="21575BB1" w14:textId="77777777" w:rsidR="002A21AE" w:rsidRDefault="002A21AE">
      <w:pPr>
        <w:pStyle w:val="ListBullet"/>
      </w:pPr>
      <w:r>
        <w:t>When the blood unit belongs to a component class that does not require crossmatch, it has a status of “assigned” (non-emergency issue only).</w:t>
      </w:r>
    </w:p>
    <w:p w14:paraId="2F656B9F" w14:textId="77777777" w:rsidR="002A21AE" w:rsidRDefault="002A21AE">
      <w:pPr>
        <w:pStyle w:val="ListBullet"/>
      </w:pPr>
      <w:r>
        <w:t>For non-emergency issue, the blood unit meets all patient Transfusion Requirements (TRs).</w:t>
      </w:r>
    </w:p>
    <w:p w14:paraId="60DE6FD4" w14:textId="77777777" w:rsidR="002A21AE" w:rsidRDefault="002A21AE">
      <w:pPr>
        <w:pStyle w:val="Heading4"/>
      </w:pPr>
      <w:r>
        <w:t>Outcome</w:t>
      </w:r>
    </w:p>
    <w:p w14:paraId="5074F347" w14:textId="77777777" w:rsidR="002A21AE" w:rsidRDefault="002A21AE">
      <w:pPr>
        <w:pStyle w:val="ListBullet"/>
      </w:pPr>
      <w:r>
        <w:t xml:space="preserve">The barcode generated on the Caution Tag </w:t>
      </w:r>
      <w:r w:rsidR="005C6950">
        <w:t>may</w:t>
      </w:r>
      <w:r>
        <w:t xml:space="preserve"> be used in bedside verification procedures</w:t>
      </w:r>
      <w:r w:rsidR="005C6950">
        <w:t>, in accordance with local policy and procedures</w:t>
      </w:r>
      <w:r>
        <w:t>.</w:t>
      </w:r>
    </w:p>
    <w:p w14:paraId="31A5CDC6" w14:textId="77777777" w:rsidR="002A21AE" w:rsidRDefault="002A21AE">
      <w:pPr>
        <w:pStyle w:val="ListBullet"/>
      </w:pPr>
      <w:r>
        <w:t>A user may reprint a BTRF and Caution Tag.</w:t>
      </w:r>
    </w:p>
    <w:p w14:paraId="40D3FCBF" w14:textId="77777777" w:rsidR="002A21AE" w:rsidRDefault="002A21AE">
      <w:pPr>
        <w:pStyle w:val="Heading4"/>
      </w:pPr>
      <w:r>
        <w:t>Limitations and Restrictions</w:t>
      </w:r>
      <w:r>
        <w:rPr>
          <w:b w:val="0"/>
        </w:rPr>
        <w:t xml:space="preserve"> </w:t>
      </w:r>
    </w:p>
    <w:p w14:paraId="1F9400BB" w14:textId="77777777" w:rsidR="002A21AE" w:rsidRDefault="002A21AE">
      <w:pPr>
        <w:pStyle w:val="ListBullet"/>
      </w:pPr>
      <w:bookmarkStart w:id="392" w:name="OLE_LINK23"/>
      <w:r>
        <w:t xml:space="preserve">VBECS cannot reprint a Caution Tag on an expired unit or </w:t>
      </w:r>
      <w:r w:rsidR="00FE1BEB">
        <w:t xml:space="preserve">expired </w:t>
      </w:r>
      <w:r>
        <w:t>patient order.</w:t>
      </w:r>
    </w:p>
    <w:p w14:paraId="0BECDB81" w14:textId="12B33EE4" w:rsidR="003226D0" w:rsidRDefault="003226D0" w:rsidP="003226D0">
      <w:pPr>
        <w:pStyle w:val="ListBullet"/>
      </w:pPr>
      <w:r>
        <w:t xml:space="preserve">VBECS does not print a unit’s </w:t>
      </w:r>
      <w:r w:rsidRPr="00D47D4A">
        <w:t>biohazardous</w:t>
      </w:r>
      <w:r>
        <w:t xml:space="preserve"> status on the BTRF or Caution Tag</w:t>
      </w:r>
      <w:r w:rsidRPr="00D47D4A">
        <w:t xml:space="preserve">. </w:t>
      </w:r>
    </w:p>
    <w:p w14:paraId="018072C5" w14:textId="3BED1957" w:rsidR="007114A4" w:rsidRDefault="009556B9" w:rsidP="003226D0">
      <w:pPr>
        <w:pStyle w:val="ListBullet"/>
      </w:pPr>
      <w:r>
        <w:t xml:space="preserve">If a unit has been crossmatched by two different technologists, the Compatibility Interpretation section of the BTRF displays the technologist that performed the earlier XM testing. </w:t>
      </w:r>
      <w:r w:rsidR="002B29EA">
        <w:t>Handwrite the missing current</w:t>
      </w:r>
      <w:r w:rsidR="00F34EA6">
        <w:t xml:space="preserve"> technologist initials on the printed BTRF. </w:t>
      </w:r>
      <w:r w:rsidRPr="00F34EA6">
        <w:rPr>
          <w:vanish/>
        </w:rPr>
        <w:t>Defect 210195</w:t>
      </w:r>
    </w:p>
    <w:bookmarkEnd w:id="392"/>
    <w:p w14:paraId="18ADA7FA" w14:textId="77777777" w:rsidR="002A21AE" w:rsidRDefault="002A21AE">
      <w:pPr>
        <w:pStyle w:val="Heading4"/>
      </w:pPr>
      <w:r>
        <w:t>Additional Information</w:t>
      </w:r>
    </w:p>
    <w:p w14:paraId="5911D991" w14:textId="77777777" w:rsidR="002A21AE" w:rsidRDefault="002A21AE">
      <w:pPr>
        <w:pStyle w:val="ListBullet"/>
      </w:pPr>
      <w:r>
        <w:rPr>
          <w:rFonts w:ascii="Arial" w:hAnsi="Arial" w:cs="Arial"/>
          <w:vanish/>
          <w:spacing w:val="0"/>
          <w:sz w:val="18"/>
        </w:rPr>
        <w:t xml:space="preserve">BR_43.10 </w:t>
      </w:r>
      <w:r>
        <w:t>The informational barcode printed on the Caution Tag includes only the patient and unit IDs and the unit product code.</w:t>
      </w:r>
    </w:p>
    <w:p w14:paraId="1CD46EEA" w14:textId="77777777" w:rsidR="002A21AE" w:rsidRDefault="002A21AE">
      <w:pPr>
        <w:pStyle w:val="ListBullet"/>
      </w:pPr>
      <w:r>
        <w:t>A user may print multiple Caution Tags and BTRFs for a blood unit when it is assigned to multiple patients.</w:t>
      </w:r>
    </w:p>
    <w:p w14:paraId="1CAFB551" w14:textId="77777777" w:rsidR="002A21AE" w:rsidRDefault="00FE1BEB">
      <w:pPr>
        <w:pStyle w:val="ListBullet"/>
      </w:pPr>
      <w:r>
        <w:t>A</w:t>
      </w:r>
      <w:r w:rsidR="002A21AE">
        <w:t>ttach the Caution Tag</w:t>
      </w:r>
      <w:r>
        <w:t xml:space="preserve"> labels to blood bags in accordance with local policy and procedures</w:t>
      </w:r>
      <w:r w:rsidR="002A21AE">
        <w:t>.</w:t>
      </w:r>
    </w:p>
    <w:p w14:paraId="1BCBA1A5" w14:textId="77777777" w:rsidR="002A21AE" w:rsidRDefault="002A21AE">
      <w:pPr>
        <w:pStyle w:val="Heading4"/>
        <w:rPr>
          <w:b w:val="0"/>
        </w:rPr>
      </w:pPr>
      <w:r>
        <w:t>User Roles with Access to This Option</w:t>
      </w:r>
      <w:r>
        <w:rPr>
          <w:b w:val="0"/>
        </w:rPr>
        <w:t xml:space="preserve"> </w:t>
      </w:r>
    </w:p>
    <w:p w14:paraId="6E04F9C6" w14:textId="77777777" w:rsidR="00396D65" w:rsidRDefault="00396D65" w:rsidP="00396D65">
      <w:pPr>
        <w:pStyle w:val="Roles"/>
        <w:rPr>
          <w:snapToGrid w:val="0"/>
        </w:rPr>
      </w:pPr>
      <w:r>
        <w:t>All users</w:t>
      </w:r>
      <w:r>
        <w:rPr>
          <w:snapToGrid w:val="0"/>
        </w:rPr>
        <w:t xml:space="preserve"> </w:t>
      </w:r>
    </w:p>
    <w:p w14:paraId="4FEF2208" w14:textId="77777777" w:rsidR="002A21AE" w:rsidRDefault="002A21AE">
      <w:pPr>
        <w:pStyle w:val="Heading4"/>
      </w:pPr>
      <w:r>
        <w:t xml:space="preserve">Print </w:t>
      </w:r>
      <w:r w:rsidR="004B2F32">
        <w:t>Backup</w:t>
      </w:r>
      <w:r>
        <w:t xml:space="preserve"> Caution Tags and Blood Transfusion Record Forms</w:t>
      </w:r>
      <w:r>
        <w:fldChar w:fldCharType="begin"/>
      </w:r>
      <w:r>
        <w:instrText xml:space="preserve"> XE </w:instrText>
      </w:r>
      <w:r w:rsidR="00FA7E65">
        <w:instrText>“</w:instrText>
      </w:r>
      <w:r>
        <w:instrText xml:space="preserve">Print </w:instrText>
      </w:r>
      <w:r w:rsidR="004B2F32">
        <w:instrText>Backup</w:instrText>
      </w:r>
      <w:r>
        <w:instrText xml:space="preserve"> Caution Tags and Blood Transfusion Record Forms</w:instrText>
      </w:r>
      <w:r w:rsidR="00FA7E65">
        <w:instrText>”</w:instrText>
      </w:r>
      <w:r>
        <w:instrText xml:space="preserve"> </w:instrText>
      </w:r>
      <w:r>
        <w:fldChar w:fldCharType="end"/>
      </w:r>
      <w:r>
        <w:t xml:space="preserve"> </w:t>
      </w:r>
    </w:p>
    <w:p w14:paraId="23F9658C" w14:textId="77777777" w:rsidR="002A21AE" w:rsidRDefault="002A21AE" w:rsidP="00FA7E65">
      <w:pPr>
        <w:pStyle w:val="BodyText"/>
      </w:pPr>
      <w:r>
        <w:t>It is recommend</w:t>
      </w:r>
      <w:r w:rsidR="00164C0F">
        <w:t>ed</w:t>
      </w:r>
      <w:r>
        <w:t xml:space="preserve"> that </w:t>
      </w:r>
      <w:r w:rsidR="004B2F32">
        <w:t>b</w:t>
      </w:r>
      <w:r>
        <w:t>lank Caution Tags and BTRFs be kept on hand in case the system or printer is not available to generate them.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0F97216" w14:textId="77777777">
        <w:trPr>
          <w:cantSplit/>
          <w:tblHeader/>
        </w:trPr>
        <w:tc>
          <w:tcPr>
            <w:tcW w:w="3240" w:type="dxa"/>
            <w:shd w:val="pct30" w:color="auto" w:fill="FFFFFF"/>
            <w:vAlign w:val="bottom"/>
          </w:tcPr>
          <w:p w14:paraId="31B98121" w14:textId="77777777" w:rsidR="002A21AE" w:rsidRDefault="002A21AE">
            <w:pPr>
              <w:pStyle w:val="TableText"/>
              <w:rPr>
                <w:b/>
              </w:rPr>
            </w:pPr>
            <w:bookmarkStart w:id="393" w:name="_Toc48708314"/>
            <w:bookmarkStart w:id="394" w:name="_Toc48708326"/>
            <w:bookmarkStart w:id="395" w:name="_Toc77663248"/>
            <w:r>
              <w:rPr>
                <w:b/>
              </w:rPr>
              <w:t>User Action</w:t>
            </w:r>
          </w:p>
        </w:tc>
        <w:tc>
          <w:tcPr>
            <w:tcW w:w="6120" w:type="dxa"/>
            <w:shd w:val="pct30" w:color="auto" w:fill="FFFFFF"/>
            <w:vAlign w:val="bottom"/>
          </w:tcPr>
          <w:p w14:paraId="349B9D97" w14:textId="77777777" w:rsidR="002A21AE" w:rsidRDefault="002A21AE">
            <w:pPr>
              <w:pStyle w:val="TableText"/>
              <w:rPr>
                <w:b/>
              </w:rPr>
            </w:pPr>
            <w:r>
              <w:rPr>
                <w:b/>
              </w:rPr>
              <w:t>VBECS</w:t>
            </w:r>
          </w:p>
        </w:tc>
      </w:tr>
      <w:tr w:rsidR="002A21AE" w14:paraId="27913D74" w14:textId="77777777">
        <w:tc>
          <w:tcPr>
            <w:tcW w:w="3240" w:type="dxa"/>
          </w:tcPr>
          <w:p w14:paraId="0C9A93BB" w14:textId="77777777" w:rsidR="002A21AE" w:rsidRDefault="002A21AE">
            <w:pPr>
              <w:pStyle w:val="TableTextNumbers"/>
            </w:pPr>
            <w:r>
              <w:t xml:space="preserve">Select </w:t>
            </w:r>
            <w:r>
              <w:rPr>
                <w:b/>
              </w:rPr>
              <w:t>Tools</w:t>
            </w:r>
            <w:r>
              <w:t xml:space="preserve"> from the main menu.</w:t>
            </w:r>
          </w:p>
          <w:p w14:paraId="21222954" w14:textId="77777777" w:rsidR="002A21AE" w:rsidRDefault="002A21AE">
            <w:pPr>
              <w:pStyle w:val="TableTextNumbersContinued"/>
              <w:rPr>
                <w:b/>
                <w:bCs/>
              </w:rPr>
            </w:pPr>
          </w:p>
          <w:p w14:paraId="36983E6D" w14:textId="77777777" w:rsidR="002A21AE" w:rsidRDefault="002A21AE">
            <w:pPr>
              <w:pStyle w:val="TableTextNumbersContinued"/>
            </w:pPr>
            <w:r>
              <w:t xml:space="preserve">Select </w:t>
            </w:r>
            <w:r>
              <w:rPr>
                <w:b/>
              </w:rPr>
              <w:t>Print Backup Forms</w:t>
            </w:r>
            <w:r>
              <w:t>.</w:t>
            </w:r>
          </w:p>
          <w:p w14:paraId="099FBD4F" w14:textId="77777777" w:rsidR="002A21AE" w:rsidRDefault="002A21AE">
            <w:pPr>
              <w:pStyle w:val="TableTextNumbersContinued"/>
            </w:pPr>
          </w:p>
          <w:p w14:paraId="502E2DC8" w14:textId="26B0E71B" w:rsidR="002A21AE" w:rsidRDefault="002A21AE">
            <w:pPr>
              <w:pStyle w:val="TableTextNumbersContinued"/>
            </w:pPr>
            <w:r>
              <w:t>Enter or select the number of blank tags or forms to print</w:t>
            </w:r>
            <w:r w:rsidR="009B102E">
              <w:t xml:space="preserve"> (</w:t>
            </w:r>
            <w:r w:rsidR="00EE455E">
              <w:t xml:space="preserve">Figure </w:t>
            </w:r>
            <w:r w:rsidR="00EE455E">
              <w:rPr>
                <w:noProof/>
              </w:rPr>
              <w:t>78</w:t>
            </w:r>
            <w:r w:rsidR="009B102E">
              <w:t>)</w:t>
            </w:r>
            <w:r>
              <w:t>.</w:t>
            </w:r>
          </w:p>
          <w:p w14:paraId="169F2055" w14:textId="77777777" w:rsidR="002A21AE" w:rsidRDefault="002A21AE">
            <w:pPr>
              <w:pStyle w:val="TableTextNumbersContinued"/>
            </w:pPr>
          </w:p>
          <w:p w14:paraId="71A82C13" w14:textId="77777777" w:rsidR="002A21AE" w:rsidRDefault="002A21AE">
            <w:pPr>
              <w:pStyle w:val="TableTextNumbersContinued"/>
            </w:pPr>
            <w:r>
              <w:lastRenderedPageBreak/>
              <w:t xml:space="preserve">Click </w:t>
            </w:r>
            <w:r>
              <w:rPr>
                <w:b/>
              </w:rPr>
              <w:t>OK</w:t>
            </w:r>
            <w:r>
              <w:t xml:space="preserve"> to print and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BAFD4E1" w14:textId="77777777" w:rsidR="002A21AE" w:rsidRDefault="002A21AE">
            <w:pPr>
              <w:pStyle w:val="TableTextBullet"/>
              <w:ind w:left="0" w:firstLine="0"/>
            </w:pPr>
            <w:r>
              <w:lastRenderedPageBreak/>
              <w:t>Displays options for processing administrative functions.</w:t>
            </w:r>
          </w:p>
          <w:p w14:paraId="03869EDF" w14:textId="77777777" w:rsidR="002A21AE" w:rsidRDefault="002A21AE">
            <w:pPr>
              <w:pStyle w:val="TableTextBullet"/>
              <w:ind w:left="0" w:firstLine="0"/>
            </w:pPr>
            <w:r>
              <w:t>Prompts the user to enter the number of Caution Tags to be printed.</w:t>
            </w:r>
          </w:p>
          <w:p w14:paraId="5E899066" w14:textId="77777777" w:rsidR="002A21AE" w:rsidRDefault="002A21AE">
            <w:pPr>
              <w:pStyle w:val="TableTextBullet"/>
              <w:ind w:left="0" w:firstLine="0"/>
            </w:pPr>
            <w:r>
              <w:t>Prints the blank Caution Tags.</w:t>
            </w:r>
          </w:p>
          <w:p w14:paraId="5E758C85" w14:textId="77777777" w:rsidR="002A21AE" w:rsidRDefault="002A21AE">
            <w:pPr>
              <w:pStyle w:val="TableText"/>
              <w:rPr>
                <w:b/>
                <w:bCs/>
                <w:szCs w:val="18"/>
              </w:rPr>
            </w:pPr>
          </w:p>
          <w:p w14:paraId="5E9CA0A2" w14:textId="30E2A1B4" w:rsidR="002A21AE" w:rsidRDefault="002A21AE">
            <w:pPr>
              <w:pStyle w:val="TableText"/>
              <w:rPr>
                <w:b/>
                <w:bCs/>
                <w:szCs w:val="18"/>
              </w:rPr>
            </w:pPr>
            <w:r>
              <w:rPr>
                <w:b/>
                <w:bCs/>
                <w:szCs w:val="18"/>
              </w:rPr>
              <w:t>NOTES</w:t>
            </w:r>
          </w:p>
          <w:p w14:paraId="39CB4A48" w14:textId="77777777" w:rsidR="002A21AE" w:rsidRDefault="002A21AE">
            <w:pPr>
              <w:pStyle w:val="NotesText"/>
            </w:pPr>
          </w:p>
          <w:p w14:paraId="46ED876B" w14:textId="77777777" w:rsidR="002A21AE" w:rsidRDefault="002A21AE">
            <w:pPr>
              <w:pStyle w:val="NotesText"/>
            </w:pPr>
            <w:r>
              <w:rPr>
                <w:rFonts w:cs="Arial"/>
                <w:vanish/>
              </w:rPr>
              <w:t xml:space="preserve">BR_43.22 </w:t>
            </w:r>
            <w:r>
              <w:t>VBECS displays an option to print a Caution Tag or a BTRF when the user selects a unit or a patient.</w:t>
            </w:r>
          </w:p>
          <w:p w14:paraId="2170F6DB" w14:textId="77777777" w:rsidR="002A21AE" w:rsidRDefault="002A21AE">
            <w:pPr>
              <w:pStyle w:val="NotesText"/>
            </w:pPr>
          </w:p>
          <w:p w14:paraId="05BAE104" w14:textId="77777777" w:rsidR="002A21AE" w:rsidRDefault="002A21AE">
            <w:pPr>
              <w:pStyle w:val="NotesText"/>
            </w:pPr>
            <w:r>
              <w:rPr>
                <w:rFonts w:cs="Arial"/>
                <w:vanish/>
                <w:szCs w:val="18"/>
              </w:rPr>
              <w:t>BR_43.15</w:t>
            </w:r>
            <w:r w:rsidR="00CE3961">
              <w:rPr>
                <w:rFonts w:cs="Arial"/>
                <w:vanish/>
                <w:szCs w:val="18"/>
              </w:rPr>
              <w:t>,</w:t>
            </w:r>
            <w:r>
              <w:rPr>
                <w:rFonts w:cs="Arial"/>
                <w:vanish/>
                <w:szCs w:val="18"/>
              </w:rPr>
              <w:t xml:space="preserve"> </w:t>
            </w:r>
            <w:r>
              <w:rPr>
                <w:vanish/>
                <w:szCs w:val="18"/>
              </w:rPr>
              <w:t xml:space="preserve">BR_43.11 </w:t>
            </w:r>
            <w:r w:rsidR="00A90257">
              <w:t xml:space="preserve">The user may print </w:t>
            </w:r>
            <w:r>
              <w:t>blank Caution Tags and BT</w:t>
            </w:r>
            <w:r w:rsidR="004F7C13">
              <w:t>RFs</w:t>
            </w:r>
            <w:r w:rsidR="00A72710">
              <w:t xml:space="preserve"> </w:t>
            </w:r>
            <w:r w:rsidR="00AB6515">
              <w:t>to use in case of downtime.</w:t>
            </w:r>
            <w:r w:rsidR="00AB6515" w:rsidRPr="00812458">
              <w:rPr>
                <w:vanish/>
              </w:rPr>
              <w:t xml:space="preserve"> Task 440471</w:t>
            </w:r>
          </w:p>
          <w:p w14:paraId="6D57056E" w14:textId="77777777" w:rsidR="002A21AE" w:rsidRDefault="002A21AE">
            <w:pPr>
              <w:pStyle w:val="TableText"/>
            </w:pPr>
          </w:p>
          <w:p w14:paraId="3E7848E5" w14:textId="77777777" w:rsidR="002A21AE" w:rsidRDefault="002A21AE">
            <w:pPr>
              <w:pStyle w:val="NotesText"/>
            </w:pPr>
            <w:r>
              <w:rPr>
                <w:rFonts w:cs="Arial"/>
                <w:vanish/>
              </w:rPr>
              <w:t xml:space="preserve">BR_43.12 </w:t>
            </w:r>
            <w:r>
              <w:t>VBECS interrupts or cancels a print job to accommodate the printing of an emergency issue tag. VBECS notifies the user of the number of tags printed and instructs the user to enter a new request to print more tags.</w:t>
            </w:r>
          </w:p>
        </w:tc>
      </w:tr>
    </w:tbl>
    <w:p w14:paraId="09EF50D4" w14:textId="62C213D0" w:rsidR="009B102E" w:rsidRDefault="009B102E" w:rsidP="009B102E">
      <w:pPr>
        <w:pStyle w:val="Caption"/>
      </w:pPr>
      <w:bookmarkStart w:id="396" w:name="_Ref127005506"/>
      <w:bookmarkEnd w:id="393"/>
      <w:bookmarkEnd w:id="394"/>
      <w:bookmarkEnd w:id="395"/>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79</w:t>
      </w:r>
      <w:r w:rsidR="004E20BD">
        <w:rPr>
          <w:noProof/>
        </w:rPr>
        <w:fldChar w:fldCharType="end"/>
      </w:r>
      <w:bookmarkEnd w:id="396"/>
      <w:r>
        <w:t>: Print Backup Forms</w:t>
      </w:r>
    </w:p>
    <w:p w14:paraId="3CFC85A5" w14:textId="77777777" w:rsidR="009B102E" w:rsidRPr="009B102E" w:rsidRDefault="00057948" w:rsidP="009B102E">
      <w:pPr>
        <w:pStyle w:val="BodyText"/>
      </w:pPr>
      <w:r>
        <w:rPr>
          <w:noProof/>
        </w:rPr>
        <w:drawing>
          <wp:inline distT="0" distB="0" distL="0" distR="0" wp14:anchorId="6E52F909" wp14:editId="6F5DF677">
            <wp:extent cx="3546475" cy="2133600"/>
            <wp:effectExtent l="0" t="0" r="0" b="0"/>
            <wp:docPr id="198" name="Picture 198" descr="Example of Print Backup Form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Example of Print Backup Forms screen captur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46475" cy="2133600"/>
                    </a:xfrm>
                    <a:prstGeom prst="rect">
                      <a:avLst/>
                    </a:prstGeom>
                    <a:noFill/>
                    <a:ln>
                      <a:noFill/>
                    </a:ln>
                  </pic:spPr>
                </pic:pic>
              </a:graphicData>
            </a:graphic>
          </wp:inline>
        </w:drawing>
      </w:r>
    </w:p>
    <w:p w14:paraId="3E9FE05C" w14:textId="77777777" w:rsidR="002A21AE" w:rsidRDefault="002A21AE">
      <w:pPr>
        <w:pStyle w:val="Heading4"/>
      </w:pPr>
      <w:r>
        <w:t>Print Unit Caution Tag &amp; Transfusion Record Form</w:t>
      </w:r>
    </w:p>
    <w:p w14:paraId="166F05F6" w14:textId="77777777" w:rsidR="002A21AE" w:rsidRDefault="002A21AE" w:rsidP="00FA7E65">
      <w:pPr>
        <w:pStyle w:val="BodyText"/>
      </w:pPr>
      <w:r>
        <w:t xml:space="preserve">The user may need to generate Caution Tags when they were not printed immediately after unit selection and crossmatch data entry, emergency issue, or when there is a problem with the printed Caution Tag. According to local </w:t>
      </w:r>
      <w:r w:rsidR="00A10483">
        <w:t>policy,</w:t>
      </w:r>
      <w:r>
        <w:t xml:space="preserve"> the user selects a current patient order and one or more units to print from the VBECS-generated list of units eligible for immediate transfusion. </w:t>
      </w:r>
    </w:p>
    <w:p w14:paraId="3C446E5B" w14:textId="77777777" w:rsidR="002A21AE" w:rsidRDefault="002A21AE" w:rsidP="00FA7E65">
      <w:pPr>
        <w:pStyle w:val="BodyText"/>
      </w:pPr>
      <w:r>
        <w:t>VBECS does not allow a user to print a Caution Tag unless the unit is satisfactory for immediate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C436AE" w14:textId="77777777">
        <w:trPr>
          <w:cantSplit/>
          <w:tblHeader/>
        </w:trPr>
        <w:tc>
          <w:tcPr>
            <w:tcW w:w="3240" w:type="dxa"/>
            <w:shd w:val="pct30" w:color="auto" w:fill="FFFFFF"/>
            <w:vAlign w:val="bottom"/>
          </w:tcPr>
          <w:p w14:paraId="284A778C" w14:textId="77777777" w:rsidR="002A21AE" w:rsidRDefault="002A21AE">
            <w:pPr>
              <w:pStyle w:val="TableText"/>
              <w:rPr>
                <w:b/>
              </w:rPr>
            </w:pPr>
            <w:r>
              <w:rPr>
                <w:b/>
              </w:rPr>
              <w:t>User Action</w:t>
            </w:r>
          </w:p>
        </w:tc>
        <w:tc>
          <w:tcPr>
            <w:tcW w:w="6120" w:type="dxa"/>
            <w:shd w:val="pct30" w:color="auto" w:fill="FFFFFF"/>
            <w:vAlign w:val="bottom"/>
          </w:tcPr>
          <w:p w14:paraId="4BD8EB35" w14:textId="77777777" w:rsidR="002A21AE" w:rsidRDefault="002A21AE">
            <w:pPr>
              <w:pStyle w:val="TableText"/>
              <w:rPr>
                <w:b/>
              </w:rPr>
            </w:pPr>
            <w:r>
              <w:rPr>
                <w:b/>
              </w:rPr>
              <w:t>VBECS</w:t>
            </w:r>
          </w:p>
        </w:tc>
      </w:tr>
      <w:tr w:rsidR="002A21AE" w14:paraId="13FFBFB7" w14:textId="77777777">
        <w:tc>
          <w:tcPr>
            <w:tcW w:w="3240" w:type="dxa"/>
          </w:tcPr>
          <w:p w14:paraId="117296AB" w14:textId="77777777" w:rsidR="002A21AE" w:rsidRDefault="002A21AE">
            <w:pPr>
              <w:pStyle w:val="TableTextNumbers"/>
            </w:pPr>
            <w:r>
              <w:t xml:space="preserve">Select </w:t>
            </w:r>
            <w:r>
              <w:rPr>
                <w:b/>
              </w:rPr>
              <w:t>Patients</w:t>
            </w:r>
            <w:r>
              <w:t xml:space="preserve"> or </w:t>
            </w:r>
            <w:r>
              <w:rPr>
                <w:b/>
                <w:bCs/>
              </w:rPr>
              <w:t>Blood Units</w:t>
            </w:r>
            <w:r>
              <w:t xml:space="preserve"> from the main menu.</w:t>
            </w:r>
          </w:p>
          <w:p w14:paraId="740ACF59" w14:textId="77777777" w:rsidR="002A21AE" w:rsidRDefault="002A21AE">
            <w:pPr>
              <w:pStyle w:val="TableTextNumbersContinued"/>
            </w:pPr>
          </w:p>
          <w:p w14:paraId="5DC17022" w14:textId="77777777" w:rsidR="002A21AE" w:rsidRDefault="002A21AE">
            <w:pPr>
              <w:pStyle w:val="TableTextNumbersContinued"/>
              <w:rPr>
                <w:b/>
                <w:bCs/>
              </w:rPr>
            </w:pPr>
            <w:r>
              <w:t xml:space="preserve">Select </w:t>
            </w:r>
            <w:r>
              <w:rPr>
                <w:b/>
              </w:rPr>
              <w:t>Print Unit Caution Tag &amp; Transfusion Record Form</w:t>
            </w:r>
            <w:r>
              <w:t>.</w:t>
            </w:r>
          </w:p>
        </w:tc>
        <w:tc>
          <w:tcPr>
            <w:tcW w:w="6120" w:type="dxa"/>
          </w:tcPr>
          <w:p w14:paraId="60F7AA48" w14:textId="77777777" w:rsidR="002A21AE" w:rsidRDefault="002A21AE">
            <w:pPr>
              <w:pStyle w:val="TableTextBullet"/>
            </w:pPr>
            <w:r>
              <w:t>Displays options for processing patient-related functions or for processing units.</w:t>
            </w:r>
          </w:p>
          <w:p w14:paraId="184C7582" w14:textId="77777777" w:rsidR="002A21AE" w:rsidRDefault="002A21AE">
            <w:pPr>
              <w:pStyle w:val="TableTextBullet"/>
            </w:pPr>
            <w:r>
              <w:t>Displays the option to select a patient, if one is not already selected.</w:t>
            </w:r>
          </w:p>
          <w:p w14:paraId="4844BE8A" w14:textId="77777777" w:rsidR="002A21AE" w:rsidRDefault="002A21AE">
            <w:pPr>
              <w:pStyle w:val="TableTextNumbersContinued"/>
            </w:pPr>
          </w:p>
          <w:p w14:paraId="104E8476" w14:textId="01623868" w:rsidR="002F53E0" w:rsidRDefault="002F53E0" w:rsidP="002F53E0">
            <w:pPr>
              <w:pStyle w:val="TableText"/>
              <w:rPr>
                <w:b/>
                <w:bCs/>
                <w:szCs w:val="18"/>
              </w:rPr>
            </w:pPr>
            <w:r>
              <w:rPr>
                <w:b/>
                <w:bCs/>
                <w:szCs w:val="18"/>
              </w:rPr>
              <w:t>NOTES</w:t>
            </w:r>
          </w:p>
          <w:p w14:paraId="2F3C4B8E" w14:textId="77777777" w:rsidR="002F53E0" w:rsidRDefault="002F53E0" w:rsidP="002F53E0">
            <w:pPr>
              <w:pStyle w:val="NotesText"/>
            </w:pPr>
          </w:p>
          <w:p w14:paraId="372B5244" w14:textId="77777777" w:rsidR="002F53E0" w:rsidRDefault="002F53E0">
            <w:pPr>
              <w:pStyle w:val="TableTextNumbersContinued"/>
            </w:pPr>
            <w:r w:rsidRPr="002F53E0">
              <w:rPr>
                <w:vanish/>
              </w:rPr>
              <w:t xml:space="preserve">BR_43.23 </w:t>
            </w:r>
            <w:r w:rsidRPr="007246D5">
              <w:t xml:space="preserve">For </w:t>
            </w:r>
            <w:r>
              <w:t xml:space="preserve">patient with </w:t>
            </w:r>
            <w:r w:rsidRPr="007246D5">
              <w:t>an Rh</w:t>
            </w:r>
            <w:r>
              <w:t xml:space="preserve"> that is</w:t>
            </w:r>
            <w:r w:rsidRPr="007246D5">
              <w:t xml:space="preserve"> </w:t>
            </w:r>
            <w:r>
              <w:t>not Positive (</w:t>
            </w:r>
            <w:r w:rsidRPr="007246D5">
              <w:t>neg</w:t>
            </w:r>
            <w:r>
              <w:t>ative, unknown, or inconclusive): W</w:t>
            </w:r>
            <w:r w:rsidRPr="00C26359">
              <w:t>hen</w:t>
            </w:r>
            <w:r w:rsidRPr="00C26359">
              <w:rPr>
                <w:b/>
              </w:rPr>
              <w:t xml:space="preserve"> Rh “Positive” or Rh “Pooled”</w:t>
            </w:r>
            <w:r>
              <w:rPr>
                <w:b/>
              </w:rPr>
              <w:t xml:space="preserve"> </w:t>
            </w:r>
            <w:r w:rsidRPr="00912031">
              <w:rPr>
                <w:rFonts w:cs="Arial"/>
              </w:rPr>
              <w:t xml:space="preserve">units from the WHOLE BLOOD, RED BLOOD CELLS, PLATELETS, and OTHER VBECS component classes are individually entered and confirmed by the user, the system provides an audible alert </w:t>
            </w:r>
            <w:r w:rsidRPr="0019397F">
              <w:t>and displays the alert: "Patient is an Rh negative and the selected unit is Rh positive. Check patient sex and hospital policy before continuing. Proceed?" The user will click OK to continue.</w:t>
            </w:r>
          </w:p>
        </w:tc>
      </w:tr>
      <w:tr w:rsidR="002A21AE" w14:paraId="2EF7DAC9" w14:textId="77777777" w:rsidTr="001A459B">
        <w:trPr>
          <w:cantSplit/>
        </w:trPr>
        <w:tc>
          <w:tcPr>
            <w:tcW w:w="3240" w:type="dxa"/>
          </w:tcPr>
          <w:p w14:paraId="556A8E1F" w14:textId="77777777" w:rsidR="002A21AE" w:rsidRDefault="002A21AE">
            <w:pPr>
              <w:pStyle w:val="TableTextNumbers"/>
            </w:pPr>
            <w:r>
              <w:lastRenderedPageBreak/>
              <w:t xml:space="preserve">Enter the patient name or ID and click </w:t>
            </w:r>
            <w:r>
              <w:rPr>
                <w:b/>
                <w:bCs/>
              </w:rPr>
              <w:t xml:space="preserve">Search </w:t>
            </w:r>
            <w:r>
              <w:t xml:space="preserve">to select a patient, or </w:t>
            </w:r>
          </w:p>
          <w:p w14:paraId="73DB0F67" w14:textId="77777777" w:rsidR="002A21AE" w:rsidRDefault="002A21AE">
            <w:pPr>
              <w:pStyle w:val="TableTextNumbersContinued"/>
            </w:pPr>
          </w:p>
          <w:p w14:paraId="35EAE1F2" w14:textId="07FD4BA0" w:rsidR="002A21AE" w:rsidRDefault="002A21AE">
            <w:pPr>
              <w:pStyle w:val="TableTextNumbersContinued"/>
            </w:pPr>
            <w:r>
              <w:t xml:space="preserve">Click </w:t>
            </w:r>
            <w:r>
              <w:rPr>
                <w:b/>
              </w:rPr>
              <w:t>Search by Unit</w:t>
            </w:r>
            <w:r w:rsidR="00EB7F52">
              <w:rPr>
                <w:b/>
              </w:rPr>
              <w:t xml:space="preserve"> </w:t>
            </w:r>
            <w:r w:rsidR="00CD3C64" w:rsidRPr="00CD3C64">
              <w:t>(</w:t>
            </w:r>
            <w:r w:rsidR="00EE455E">
              <w:t xml:space="preserve">Figure </w:t>
            </w:r>
            <w:r w:rsidR="00EE455E">
              <w:rPr>
                <w:noProof/>
              </w:rPr>
              <w:t>79</w:t>
            </w:r>
            <w:r w:rsidR="00CD3C64" w:rsidRPr="00CD3C64">
              <w:t>)</w:t>
            </w:r>
            <w:r>
              <w:t>.</w:t>
            </w:r>
          </w:p>
          <w:p w14:paraId="0EEAE0C0" w14:textId="77777777" w:rsidR="002A21AE" w:rsidRDefault="002A21AE">
            <w:pPr>
              <w:pStyle w:val="TableTextNumbersContinued"/>
            </w:pPr>
          </w:p>
          <w:p w14:paraId="63BCE570" w14:textId="77777777" w:rsidR="002A21AE" w:rsidRDefault="002A21AE">
            <w:pPr>
              <w:pStyle w:val="TableTextNumbersContinued"/>
            </w:pPr>
            <w:r>
              <w:t>Enter the unit ID and/or product.</w:t>
            </w:r>
          </w:p>
        </w:tc>
        <w:tc>
          <w:tcPr>
            <w:tcW w:w="6120" w:type="dxa"/>
          </w:tcPr>
          <w:p w14:paraId="60BAE2A9" w14:textId="77777777" w:rsidR="002A21AE" w:rsidRDefault="002A21AE">
            <w:pPr>
              <w:pStyle w:val="TableTextBullet"/>
            </w:pPr>
            <w:r>
              <w:t>Requests that the user select a Caution Tag and/or a BTRF to print by unit ID or by patient.</w:t>
            </w:r>
          </w:p>
          <w:p w14:paraId="7C965996" w14:textId="77777777" w:rsidR="002A21AE" w:rsidRDefault="002A21AE">
            <w:pPr>
              <w:pStyle w:val="TableTextBullet"/>
            </w:pPr>
            <w:r>
              <w:t>Displays an informational message, when appropriate.</w:t>
            </w:r>
          </w:p>
        </w:tc>
      </w:tr>
      <w:tr w:rsidR="002A21AE" w14:paraId="5634CFA0" w14:textId="77777777">
        <w:tc>
          <w:tcPr>
            <w:tcW w:w="3240" w:type="dxa"/>
            <w:tcBorders>
              <w:top w:val="single" w:sz="4" w:space="0" w:color="auto"/>
              <w:left w:val="single" w:sz="4" w:space="0" w:color="auto"/>
              <w:bottom w:val="single" w:sz="4" w:space="0" w:color="auto"/>
              <w:right w:val="single" w:sz="4" w:space="0" w:color="auto"/>
            </w:tcBorders>
          </w:tcPr>
          <w:p w14:paraId="75911E45" w14:textId="77777777" w:rsidR="002A21AE" w:rsidRDefault="002A21AE">
            <w:pPr>
              <w:pStyle w:val="TableTextNumbers"/>
            </w:pPr>
            <w:r>
              <w:t>Select a patient, or</w:t>
            </w:r>
          </w:p>
          <w:p w14:paraId="5B432152" w14:textId="77777777" w:rsidR="002A21AE" w:rsidRDefault="002A21AE">
            <w:pPr>
              <w:pStyle w:val="TableTextNumbersContinued"/>
            </w:pPr>
          </w:p>
          <w:p w14:paraId="39622221" w14:textId="77777777" w:rsidR="002A21AE" w:rsidRDefault="002A21AE">
            <w:pPr>
              <w:pStyle w:val="TableTextNumbersContinued"/>
            </w:pPr>
            <w:r>
              <w:t>Select or scan a blood unit.</w:t>
            </w:r>
          </w:p>
        </w:tc>
        <w:tc>
          <w:tcPr>
            <w:tcW w:w="6120" w:type="dxa"/>
            <w:tcBorders>
              <w:top w:val="single" w:sz="4" w:space="0" w:color="auto"/>
              <w:left w:val="single" w:sz="4" w:space="0" w:color="auto"/>
              <w:bottom w:val="single" w:sz="4" w:space="0" w:color="auto"/>
              <w:right w:val="single" w:sz="4" w:space="0" w:color="auto"/>
            </w:tcBorders>
          </w:tcPr>
          <w:p w14:paraId="04C40F94" w14:textId="77777777" w:rsidR="002A21AE" w:rsidRDefault="002A21AE">
            <w:pPr>
              <w:pStyle w:val="TableTextBullet"/>
            </w:pPr>
            <w:r>
              <w:t>Compiles and displays the information associated with the user’s selection.</w:t>
            </w:r>
          </w:p>
          <w:p w14:paraId="70964E18" w14:textId="77777777" w:rsidR="002A21AE" w:rsidRDefault="002A21AE">
            <w:pPr>
              <w:pStyle w:val="TableTextBullet"/>
            </w:pPr>
            <w:r>
              <w:t>Displays the patient’s name, ID, date of birth, the unit ID, and the long product name of units to appear on the Caution Tags.</w:t>
            </w:r>
          </w:p>
          <w:p w14:paraId="513EEACD" w14:textId="77777777" w:rsidR="002A21AE" w:rsidRDefault="002A21AE">
            <w:pPr>
              <w:pStyle w:val="TableTextBullet"/>
            </w:pPr>
            <w:r>
              <w:t xml:space="preserve">Prompts the user to select the units when selecting by patient. </w:t>
            </w:r>
          </w:p>
          <w:p w14:paraId="75C28C84" w14:textId="77777777" w:rsidR="002A21AE" w:rsidRDefault="002A21AE">
            <w:pPr>
              <w:pStyle w:val="TableTextBullet"/>
            </w:pPr>
            <w:r>
              <w:t>Allows the user to select and deselect blood units to print.</w:t>
            </w:r>
          </w:p>
          <w:p w14:paraId="4395A02F" w14:textId="07A76C87" w:rsidR="002A21AE" w:rsidRDefault="00896F17">
            <w:pPr>
              <w:pStyle w:val="TableTextBullet"/>
              <w:ind w:left="0" w:firstLine="0"/>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EE455E">
              <w:t xml:space="preserve">Table </w:t>
            </w:r>
            <w:r w:rsidR="00EE455E">
              <w:rPr>
                <w:noProof/>
              </w:rPr>
              <w:t>9</w:t>
            </w:r>
            <w:r w:rsidR="002A21AE">
              <w:rPr>
                <w:rFonts w:cs="Arial"/>
                <w:szCs w:val="22"/>
              </w:rPr>
              <w:t xml:space="preserve"> for alerts that may occur during this option.</w:t>
            </w:r>
          </w:p>
          <w:p w14:paraId="5E2F0B35" w14:textId="77777777" w:rsidR="002A21AE" w:rsidRDefault="002A21AE">
            <w:pPr>
              <w:pStyle w:val="TableText"/>
              <w:rPr>
                <w:b/>
                <w:bCs/>
                <w:szCs w:val="18"/>
              </w:rPr>
            </w:pPr>
          </w:p>
          <w:p w14:paraId="4DCDCBD1" w14:textId="301AA23B" w:rsidR="002A21AE" w:rsidRDefault="002A21AE">
            <w:pPr>
              <w:pStyle w:val="TableText"/>
              <w:rPr>
                <w:b/>
                <w:bCs/>
                <w:szCs w:val="18"/>
              </w:rPr>
            </w:pPr>
            <w:r>
              <w:rPr>
                <w:b/>
                <w:bCs/>
                <w:szCs w:val="18"/>
              </w:rPr>
              <w:t>NOTES</w:t>
            </w:r>
          </w:p>
          <w:p w14:paraId="6B10E96A" w14:textId="77777777" w:rsidR="002A21AE" w:rsidRDefault="002A21AE">
            <w:pPr>
              <w:pStyle w:val="NotesText"/>
            </w:pPr>
          </w:p>
          <w:p w14:paraId="02D77535" w14:textId="77777777" w:rsidR="001710A2" w:rsidRDefault="001710A2" w:rsidP="001710A2">
            <w:pPr>
              <w:pStyle w:val="NotesText"/>
            </w:pPr>
            <w:r>
              <w:rPr>
                <w:rFonts w:cs="Arial"/>
                <w:vanish/>
              </w:rPr>
              <w:t xml:space="preserve">BR_43.21 </w:t>
            </w:r>
            <w:r>
              <w:t>VBECS retrieves the most recent crossmatch result (original or repeat) to determine unit availability and compatibility status to allow printing the Caution Tag and/or BTRF and to allow the unit to be issued.</w:t>
            </w:r>
          </w:p>
          <w:p w14:paraId="1EB822BC" w14:textId="77777777" w:rsidR="001710A2" w:rsidRDefault="001710A2" w:rsidP="001710A2">
            <w:pPr>
              <w:pStyle w:val="NotesText"/>
            </w:pPr>
          </w:p>
          <w:p w14:paraId="19194DC9" w14:textId="77777777" w:rsidR="00AE36CC" w:rsidRDefault="00AE36CC" w:rsidP="00AE36CC">
            <w:pPr>
              <w:pStyle w:val="NotesText"/>
              <w:rPr>
                <w:szCs w:val="18"/>
              </w:rPr>
            </w:pPr>
            <w:r w:rsidRPr="00496E08">
              <w:rPr>
                <w:rFonts w:cs="Arial"/>
                <w:vanish/>
                <w:szCs w:val="18"/>
              </w:rPr>
              <w:t>BR_43.20</w:t>
            </w:r>
            <w:r w:rsidRPr="00496E08">
              <w:rPr>
                <w:vanish/>
                <w:szCs w:val="18"/>
              </w:rPr>
              <w:t xml:space="preserve"> </w:t>
            </w:r>
            <w:r w:rsidRPr="00496E08">
              <w:rPr>
                <w:szCs w:val="18"/>
              </w:rPr>
              <w:t xml:space="preserve">When </w:t>
            </w:r>
            <w:r w:rsidR="002249B4">
              <w:rPr>
                <w:szCs w:val="18"/>
              </w:rPr>
              <w:t>the “Emergency Issue” indicator is present and/or the required ABO/Rh specimen testing is incomplete or inconclusive, enforce the following:</w:t>
            </w:r>
          </w:p>
          <w:p w14:paraId="7AC9C712" w14:textId="77777777" w:rsidR="002249B4" w:rsidRDefault="002249B4" w:rsidP="002249B4">
            <w:pPr>
              <w:pStyle w:val="NotesTextBullet"/>
            </w:pPr>
            <w:r>
              <w:t xml:space="preserve">For RBC or WB order: </w:t>
            </w:r>
          </w:p>
          <w:p w14:paraId="29E70071" w14:textId="77777777" w:rsidR="002249B4" w:rsidRDefault="002249B4" w:rsidP="002249B4">
            <w:pPr>
              <w:pStyle w:val="NotesTextBullet1"/>
            </w:pPr>
            <w:r>
              <w:t>Group O, Rh positive or O Rh negative RBC</w:t>
            </w:r>
          </w:p>
          <w:p w14:paraId="1E08AF1E" w14:textId="77777777" w:rsidR="002249B4" w:rsidRDefault="002249B4" w:rsidP="002249B4">
            <w:pPr>
              <w:pStyle w:val="NotesTextBullet1"/>
            </w:pPr>
            <w:r>
              <w:t>WHOLE BLOOD is not selectable</w:t>
            </w:r>
          </w:p>
          <w:p w14:paraId="4E32D0FD" w14:textId="77777777" w:rsidR="002249B4" w:rsidRDefault="002249B4" w:rsidP="002249B4">
            <w:pPr>
              <w:pStyle w:val="NotesTextBullet"/>
            </w:pPr>
            <w:r>
              <w:t>For FFP order:</w:t>
            </w:r>
          </w:p>
          <w:p w14:paraId="0E885181" w14:textId="77777777" w:rsidR="002249B4" w:rsidRDefault="002249B4" w:rsidP="002249B4">
            <w:pPr>
              <w:pStyle w:val="NotesTextBullet1"/>
            </w:pPr>
            <w:r>
              <w:t>Group AB, Rh positive or Rh negative, or not specified.</w:t>
            </w:r>
          </w:p>
          <w:p w14:paraId="1EAB824E" w14:textId="77777777" w:rsidR="002249B4" w:rsidRDefault="002249B4" w:rsidP="002249B4">
            <w:pPr>
              <w:pStyle w:val="NotesTextBullet"/>
            </w:pPr>
            <w:r>
              <w:t>For PLT order:</w:t>
            </w:r>
          </w:p>
          <w:p w14:paraId="34B2A5E8" w14:textId="77777777" w:rsidR="002249B4" w:rsidRDefault="002249B4" w:rsidP="002249B4">
            <w:pPr>
              <w:pStyle w:val="NotesTextBullet1"/>
            </w:pPr>
            <w:r>
              <w:t>All units with &lt; 2 ML RBC containment are available</w:t>
            </w:r>
          </w:p>
          <w:p w14:paraId="44937844" w14:textId="77777777" w:rsidR="002249B4" w:rsidRDefault="002249B4" w:rsidP="002249B4">
            <w:pPr>
              <w:pStyle w:val="NotesTextBullet1"/>
            </w:pPr>
            <w:r>
              <w:t>Units</w:t>
            </w:r>
            <w:r w:rsidRPr="001A5BC5">
              <w:t xml:space="preserve"> with </w:t>
            </w:r>
            <w:r w:rsidRPr="001A5BC5">
              <w:rPr>
                <w:u w:val="single"/>
              </w:rPr>
              <w:t>&gt;</w:t>
            </w:r>
            <w:r w:rsidRPr="001A5BC5">
              <w:t xml:space="preserve"> 2 mL RBC contamination are not available</w:t>
            </w:r>
          </w:p>
          <w:p w14:paraId="6879B160" w14:textId="77777777" w:rsidR="002249B4" w:rsidRDefault="002249B4" w:rsidP="002249B4">
            <w:pPr>
              <w:pStyle w:val="NotesTextBullet"/>
            </w:pPr>
            <w:r>
              <w:t>For CRYO order:</w:t>
            </w:r>
          </w:p>
          <w:p w14:paraId="1F96A690" w14:textId="77777777" w:rsidR="002249B4" w:rsidRDefault="002249B4" w:rsidP="002249B4">
            <w:pPr>
              <w:pStyle w:val="NotesTextBullet1"/>
            </w:pPr>
            <w:r>
              <w:t>All available units are selectable</w:t>
            </w:r>
          </w:p>
          <w:p w14:paraId="7180B15C" w14:textId="77777777" w:rsidR="002249B4" w:rsidRDefault="002249B4" w:rsidP="002249B4">
            <w:pPr>
              <w:pStyle w:val="NotesTextBullet1"/>
              <w:numPr>
                <w:ilvl w:val="0"/>
                <w:numId w:val="0"/>
              </w:numPr>
              <w:ind w:left="1296" w:hanging="288"/>
            </w:pPr>
            <w:r>
              <w:t>For OTHER order:</w:t>
            </w:r>
          </w:p>
          <w:p w14:paraId="71210876" w14:textId="77777777" w:rsidR="002249B4" w:rsidRDefault="002249B4" w:rsidP="002249B4">
            <w:pPr>
              <w:pStyle w:val="NotesTextBullet1"/>
            </w:pPr>
            <w:r>
              <w:t>All units with &lt; 2 mL contamination are available</w:t>
            </w:r>
          </w:p>
          <w:p w14:paraId="1B4E8264" w14:textId="77777777" w:rsidR="002249B4" w:rsidRDefault="002249B4" w:rsidP="002249B4">
            <w:pPr>
              <w:pStyle w:val="NotesTextBullet1"/>
              <w:rPr>
                <w:szCs w:val="18"/>
              </w:rPr>
            </w:pPr>
            <w:r>
              <w:t xml:space="preserve">Units with </w:t>
            </w:r>
            <w:r w:rsidRPr="001A5BC5">
              <w:rPr>
                <w:u w:val="single"/>
              </w:rPr>
              <w:t>&gt;</w:t>
            </w:r>
            <w:r w:rsidRPr="001A5BC5">
              <w:t xml:space="preserve"> 2 mL RBC contamination are not available</w:t>
            </w:r>
          </w:p>
          <w:p w14:paraId="2DED02FB" w14:textId="77777777" w:rsidR="002249B4" w:rsidRPr="00496E08" w:rsidRDefault="002249B4" w:rsidP="00AE36CC">
            <w:pPr>
              <w:pStyle w:val="NotesText"/>
              <w:rPr>
                <w:szCs w:val="18"/>
              </w:rPr>
            </w:pPr>
          </w:p>
          <w:p w14:paraId="78982A0D" w14:textId="77777777" w:rsidR="001710A2" w:rsidRPr="00496E08" w:rsidRDefault="00496E08" w:rsidP="001710A2">
            <w:pPr>
              <w:pStyle w:val="NotesText"/>
              <w:rPr>
                <w:szCs w:val="18"/>
              </w:rPr>
            </w:pPr>
            <w:r w:rsidRPr="00496E08">
              <w:rPr>
                <w:vanish/>
                <w:szCs w:val="18"/>
              </w:rPr>
              <w:t xml:space="preserve">BR_43.13 </w:t>
            </w:r>
            <w:r w:rsidRPr="00496E08">
              <w:rPr>
                <w:szCs w:val="18"/>
              </w:rPr>
              <w:t xml:space="preserve">When a user selects a Caution Tag and/or BTRF from the Blood Unit Menu and the units are assigned or </w:t>
            </w:r>
            <w:r w:rsidR="00A2206D">
              <w:rPr>
                <w:szCs w:val="18"/>
              </w:rPr>
              <w:t xml:space="preserve">have been assigned and/or </w:t>
            </w:r>
            <w:r w:rsidRPr="00496E08">
              <w:rPr>
                <w:szCs w:val="18"/>
              </w:rPr>
              <w:t>crossmatched to multiple patients, the selected form may be printed for only one patient during that session. The message will display that the form cannot be printed again for another assigned patient. VBECS must be closed and re-opened to print a tag for one of the other patients. If you need to print tags on the same unit for multiple assigned patients, access the option from the Patient Menu.</w:t>
            </w:r>
            <w:r w:rsidR="00A2206D">
              <w:rPr>
                <w:szCs w:val="18"/>
              </w:rPr>
              <w:t xml:space="preserve"> </w:t>
            </w:r>
            <w:r w:rsidR="00A2206D" w:rsidRPr="00A2206D">
              <w:rPr>
                <w:vanish/>
                <w:szCs w:val="18"/>
              </w:rPr>
              <w:t>INC000000997296</w:t>
            </w:r>
          </w:p>
          <w:p w14:paraId="009230E2" w14:textId="77777777" w:rsidR="00496E08" w:rsidRDefault="00496E08" w:rsidP="001710A2">
            <w:pPr>
              <w:pStyle w:val="NotesText"/>
            </w:pPr>
          </w:p>
          <w:p w14:paraId="036A00D5" w14:textId="77777777" w:rsidR="001710A2" w:rsidRDefault="001710A2" w:rsidP="001710A2">
            <w:pPr>
              <w:pStyle w:val="NotesText"/>
            </w:pPr>
            <w:r>
              <w:rPr>
                <w:rFonts w:cs="Arial"/>
                <w:vanish/>
              </w:rPr>
              <w:t xml:space="preserve">BR_43.01 </w:t>
            </w:r>
            <w:r>
              <w:t>When VBECS searches for units available for a patient name, it makes available for printing only units considered available for issue (standard processing or emergency issue).</w:t>
            </w:r>
          </w:p>
          <w:p w14:paraId="14AE9DBC" w14:textId="77777777" w:rsidR="001710A2" w:rsidRDefault="001710A2" w:rsidP="001710A2">
            <w:pPr>
              <w:pStyle w:val="NotesText"/>
            </w:pPr>
          </w:p>
          <w:p w14:paraId="09E5F6AC" w14:textId="7F0BC190" w:rsidR="002A21AE" w:rsidRDefault="001710A2" w:rsidP="001710A2">
            <w:pPr>
              <w:pStyle w:val="NotesText"/>
            </w:pPr>
            <w:r>
              <w:t xml:space="preserve">See </w:t>
            </w:r>
            <w:r w:rsidR="00EE455E">
              <w:t xml:space="preserve">Appendix </w:t>
            </w:r>
            <w:r w:rsidR="00EE455E">
              <w:rPr>
                <w:noProof/>
              </w:rPr>
              <w:t>B</w:t>
            </w:r>
            <w:r>
              <w:t xml:space="preserve">: </w:t>
            </w:r>
            <w:r w:rsidR="00EE455E">
              <w:t xml:space="preserve">Table </w:t>
            </w:r>
            <w:r w:rsidR="00EE455E">
              <w:rPr>
                <w:noProof/>
              </w:rPr>
              <w:t>22</w:t>
            </w:r>
            <w:r w:rsidR="00EE455E">
              <w:t xml:space="preserve">: </w:t>
            </w:r>
            <w:r w:rsidR="00EE455E">
              <w:rPr>
                <w:vanish/>
              </w:rPr>
              <w:t xml:space="preserve">TT_3.05 </w:t>
            </w:r>
            <w:r w:rsidR="00EE455E">
              <w:t>Rules for Electronic and Serologic Crossmatch</w:t>
            </w:r>
            <w:r w:rsidR="004E5EEE">
              <w:t xml:space="preserve"> </w:t>
            </w:r>
            <w:r>
              <w:rPr>
                <w:vanish/>
              </w:rPr>
              <w:t>and BR_5.03</w:t>
            </w:r>
            <w:r>
              <w:t xml:space="preserve">. The user may select only active units and those not in an inactive or final status. See </w:t>
            </w:r>
            <w:r w:rsidR="00EE455E">
              <w:t xml:space="preserve">Appendix </w:t>
            </w:r>
            <w:r w:rsidR="00EE455E">
              <w:rPr>
                <w:noProof/>
              </w:rPr>
              <w:t>B</w:t>
            </w:r>
            <w:r>
              <w:t xml:space="preserve">: </w:t>
            </w:r>
            <w:r w:rsidR="00EE455E">
              <w:t xml:space="preserve">Figure </w:t>
            </w:r>
            <w:r w:rsidR="00EE455E">
              <w:rPr>
                <w:noProof/>
              </w:rPr>
              <w:t>118</w:t>
            </w:r>
            <w:r>
              <w:t xml:space="preserve">: </w:t>
            </w:r>
            <w:r>
              <w:rPr>
                <w:vanish/>
                <w:szCs w:val="18"/>
              </w:rPr>
              <w:t xml:space="preserve">TT_27.01 </w:t>
            </w:r>
            <w:r>
              <w:t>Unit Status Flowchart.</w:t>
            </w:r>
          </w:p>
        </w:tc>
      </w:tr>
      <w:tr w:rsidR="002A21AE" w14:paraId="64892D3C" w14:textId="77777777">
        <w:tc>
          <w:tcPr>
            <w:tcW w:w="3240" w:type="dxa"/>
          </w:tcPr>
          <w:p w14:paraId="430E006D" w14:textId="77777777" w:rsidR="002A21AE" w:rsidRDefault="002A21AE">
            <w:pPr>
              <w:pStyle w:val="TableTextNumbers"/>
            </w:pPr>
            <w:r>
              <w:lastRenderedPageBreak/>
              <w:t>Acknowledge the selected patient and blood units for printing.</w:t>
            </w:r>
          </w:p>
          <w:p w14:paraId="0B3336B5" w14:textId="77777777" w:rsidR="002A21AE" w:rsidRDefault="002A21AE">
            <w:pPr>
              <w:pStyle w:val="TableTextNumbersContinued"/>
              <w:rPr>
                <w:b/>
                <w:bCs/>
              </w:rPr>
            </w:pPr>
          </w:p>
          <w:p w14:paraId="46C680D1" w14:textId="77777777" w:rsidR="002A21AE" w:rsidRDefault="002A21AE">
            <w:pPr>
              <w:pStyle w:val="TableTextNumbersContinued"/>
            </w:pPr>
            <w:r>
              <w:t xml:space="preserve">Click </w:t>
            </w:r>
            <w:r>
              <w:rPr>
                <w:b/>
              </w:rPr>
              <w:t>Print Unit Caution Tag</w:t>
            </w:r>
            <w:r>
              <w:t xml:space="preserve">, </w:t>
            </w:r>
            <w:r>
              <w:rPr>
                <w:b/>
              </w:rPr>
              <w:t>Print Transfusion Record Form</w:t>
            </w:r>
            <w:r>
              <w:t xml:space="preserve">, or </w:t>
            </w:r>
            <w:r>
              <w:rPr>
                <w:b/>
              </w:rPr>
              <w:t>Print Both</w:t>
            </w:r>
            <w:r>
              <w:t>.</w:t>
            </w:r>
          </w:p>
          <w:p w14:paraId="48489B35" w14:textId="77777777" w:rsidR="002A21AE" w:rsidRDefault="002A21AE">
            <w:pPr>
              <w:pStyle w:val="TableTextNumbersContinued"/>
            </w:pPr>
          </w:p>
          <w:p w14:paraId="24770C75" w14:textId="77777777" w:rsidR="002A21AE" w:rsidRDefault="002A21AE">
            <w:pPr>
              <w:pStyle w:val="TableTextNumbersContinued"/>
            </w:pPr>
            <w:r>
              <w:t xml:space="preserve">Click </w:t>
            </w:r>
            <w:r>
              <w:rPr>
                <w:b/>
              </w:rPr>
              <w:t>OK</w:t>
            </w:r>
            <w:r>
              <w:t xml:space="preserve"> to confirm and exit.</w:t>
            </w:r>
          </w:p>
        </w:tc>
        <w:tc>
          <w:tcPr>
            <w:tcW w:w="6120" w:type="dxa"/>
          </w:tcPr>
          <w:p w14:paraId="0625B3EF" w14:textId="77777777" w:rsidR="002A21AE" w:rsidRDefault="002A21AE">
            <w:pPr>
              <w:pStyle w:val="TableTextBullet"/>
            </w:pPr>
            <w:r>
              <w:t>Displays an option to print the Caution Tag and BTRF for units with a patient assignment.</w:t>
            </w:r>
          </w:p>
          <w:p w14:paraId="6F74799D" w14:textId="77777777" w:rsidR="002A21AE" w:rsidRDefault="002A21AE">
            <w:pPr>
              <w:pStyle w:val="TableTextBullet"/>
            </w:pPr>
            <w:r>
              <w:rPr>
                <w:rFonts w:cs="Arial"/>
                <w:vanish/>
              </w:rPr>
              <w:t xml:space="preserve">BR_43.05 </w:t>
            </w:r>
            <w:r>
              <w:t xml:space="preserve">Generates a separate Caution Tag and BTRF for each blood unit. </w:t>
            </w:r>
          </w:p>
          <w:p w14:paraId="626A792A" w14:textId="77777777" w:rsidR="002A21AE" w:rsidRDefault="002A21AE">
            <w:pPr>
              <w:pStyle w:val="TableText"/>
            </w:pPr>
          </w:p>
          <w:p w14:paraId="29B72749" w14:textId="08CE90F9" w:rsidR="002A21AE" w:rsidRDefault="002A21AE">
            <w:pPr>
              <w:pStyle w:val="TableText"/>
              <w:rPr>
                <w:b/>
                <w:bCs/>
                <w:szCs w:val="18"/>
              </w:rPr>
            </w:pPr>
            <w:r>
              <w:rPr>
                <w:b/>
                <w:bCs/>
                <w:szCs w:val="18"/>
              </w:rPr>
              <w:t>NOTES</w:t>
            </w:r>
          </w:p>
          <w:p w14:paraId="726AEBFD" w14:textId="0845F029" w:rsidR="002A21AE" w:rsidRPr="002B3455" w:rsidRDefault="006911FF" w:rsidP="00202A1E">
            <w:pPr>
              <w:pStyle w:val="NotesText"/>
            </w:pPr>
            <w:r w:rsidRPr="00737DBB">
              <w:t xml:space="preserve">If a VBECS system error occurs when a Caution Tag is requested, the printer may not be correctly configured. Configure the printer as detailed in the </w:t>
            </w:r>
            <w:r w:rsidR="00B03BDD" w:rsidRPr="00B03BDD">
              <w:rPr>
                <w:i/>
              </w:rPr>
              <w:t>VBECS 2.</w:t>
            </w:r>
            <w:r w:rsidR="00397587">
              <w:rPr>
                <w:i/>
              </w:rPr>
              <w:t>4.0</w:t>
            </w:r>
            <w:r w:rsidR="00392837" w:rsidRPr="00B03BDD">
              <w:rPr>
                <w:i/>
              </w:rPr>
              <w:t xml:space="preserve"> Technical Manual-Security Guide</w:t>
            </w:r>
            <w:r w:rsidR="00E36641">
              <w:t>,</w:t>
            </w:r>
            <w:r w:rsidR="00392837" w:rsidRPr="002B3455">
              <w:t xml:space="preserve"> </w:t>
            </w:r>
            <w:r w:rsidRPr="002B3455">
              <w:t>with subsequent</w:t>
            </w:r>
            <w:r w:rsidR="00392837" w:rsidRPr="002B3455">
              <w:t xml:space="preserve"> testing</w:t>
            </w:r>
            <w:r w:rsidRPr="002B3455">
              <w:t>.</w:t>
            </w:r>
            <w:r w:rsidR="00730CAA">
              <w:t xml:space="preserve"> </w:t>
            </w:r>
            <w:r w:rsidR="00730CAA" w:rsidRPr="00730CAA">
              <w:rPr>
                <w:vanish/>
              </w:rPr>
              <w:t>Defect 208592</w:t>
            </w:r>
          </w:p>
          <w:p w14:paraId="0AEC4C43" w14:textId="77777777" w:rsidR="00392837" w:rsidRDefault="00392837">
            <w:pPr>
              <w:pStyle w:val="NotesText"/>
            </w:pPr>
          </w:p>
          <w:p w14:paraId="263669DA" w14:textId="77777777" w:rsidR="002A21AE" w:rsidRDefault="002A21AE">
            <w:pPr>
              <w:pStyle w:val="NotesText"/>
            </w:pPr>
            <w:r>
              <w:rPr>
                <w:rFonts w:cs="Arial"/>
                <w:vanish/>
              </w:rPr>
              <w:t xml:space="preserve">BR_43.04 </w:t>
            </w:r>
            <w:r>
              <w:t xml:space="preserve">When a Caution Tag or BTRF is printed for an emergency-issued unit, “Emergency Issue” is included on the form. </w:t>
            </w:r>
          </w:p>
          <w:p w14:paraId="10879CED" w14:textId="77777777" w:rsidR="002A21AE" w:rsidRDefault="002A21AE">
            <w:pPr>
              <w:pStyle w:val="NotesText"/>
            </w:pPr>
          </w:p>
          <w:p w14:paraId="3D9BE393" w14:textId="77777777" w:rsidR="002A21AE" w:rsidRDefault="002A21AE">
            <w:pPr>
              <w:pStyle w:val="NotesText"/>
            </w:pPr>
            <w:r>
              <w:t>The recipient ABO/Rh prints as “</w:t>
            </w:r>
            <w:r w:rsidR="00F81F1E">
              <w:t>Unk</w:t>
            </w:r>
            <w:r>
              <w:t>”</w:t>
            </w:r>
            <w:r w:rsidR="00F81F1E">
              <w:t xml:space="preserve"> or “Unknown”</w:t>
            </w:r>
            <w:r>
              <w:t xml:space="preserve"> during emergency issue when no current specimen results are on file; VBECS may </w:t>
            </w:r>
            <w:r>
              <w:rPr>
                <w:iCs/>
              </w:rPr>
              <w:t>not</w:t>
            </w:r>
            <w:r>
              <w:t xml:space="preserve"> use a historic record blood type (from any source) for the typing printed on the tag/form.</w:t>
            </w:r>
          </w:p>
          <w:p w14:paraId="20765014" w14:textId="77777777" w:rsidR="002A21AE" w:rsidRDefault="002A21AE">
            <w:pPr>
              <w:pStyle w:val="NotesTex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2A21AE" w14:paraId="29093EB6" w14:textId="77777777">
              <w:trPr>
                <w:tblHeader/>
              </w:trPr>
              <w:tc>
                <w:tcPr>
                  <w:tcW w:w="2335" w:type="dxa"/>
                  <w:shd w:val="clear" w:color="auto" w:fill="B3B3B3"/>
                  <w:vAlign w:val="bottom"/>
                </w:tcPr>
                <w:p w14:paraId="75EAC24A" w14:textId="77777777" w:rsidR="002A21AE" w:rsidRDefault="002A21AE">
                  <w:pPr>
                    <w:pStyle w:val="TableText"/>
                    <w:jc w:val="center"/>
                    <w:rPr>
                      <w:b/>
                    </w:rPr>
                  </w:pPr>
                  <w:r>
                    <w:rPr>
                      <w:b/>
                    </w:rPr>
                    <w:t>Compatibility Interpretation</w:t>
                  </w:r>
                </w:p>
              </w:tc>
              <w:tc>
                <w:tcPr>
                  <w:tcW w:w="2705" w:type="dxa"/>
                  <w:shd w:val="clear" w:color="auto" w:fill="B3B3B3"/>
                  <w:vAlign w:val="bottom"/>
                </w:tcPr>
                <w:p w14:paraId="4A2C8579" w14:textId="77777777" w:rsidR="002A21AE" w:rsidRDefault="002A21AE">
                  <w:pPr>
                    <w:pStyle w:val="TableText"/>
                    <w:jc w:val="center"/>
                    <w:rPr>
                      <w:b/>
                    </w:rPr>
                  </w:pPr>
                  <w:r>
                    <w:rPr>
                      <w:b/>
                    </w:rPr>
                    <w:t>Text on BTRF</w:t>
                  </w:r>
                </w:p>
              </w:tc>
            </w:tr>
            <w:tr w:rsidR="002A21AE" w14:paraId="57743577" w14:textId="77777777">
              <w:tc>
                <w:tcPr>
                  <w:tcW w:w="2335" w:type="dxa"/>
                  <w:vAlign w:val="bottom"/>
                </w:tcPr>
                <w:p w14:paraId="62B79818" w14:textId="77777777" w:rsidR="002A21AE" w:rsidRDefault="002A21AE">
                  <w:pPr>
                    <w:pStyle w:val="TableText"/>
                  </w:pPr>
                  <w:r>
                    <w:t>Crossmatch</w:t>
                  </w:r>
                </w:p>
              </w:tc>
              <w:tc>
                <w:tcPr>
                  <w:tcW w:w="2705" w:type="dxa"/>
                  <w:vAlign w:val="bottom"/>
                </w:tcPr>
                <w:p w14:paraId="3852B19A" w14:textId="77777777" w:rsidR="002A21AE" w:rsidRDefault="000664AE">
                  <w:pPr>
                    <w:pStyle w:val="TableText"/>
                  </w:pPr>
                  <w:r>
                    <w:t>TESTING INCOMPLETE</w:t>
                  </w:r>
                </w:p>
              </w:tc>
            </w:tr>
            <w:tr w:rsidR="002A21AE" w14:paraId="4EE02B21" w14:textId="77777777">
              <w:tc>
                <w:tcPr>
                  <w:tcW w:w="2335" w:type="dxa"/>
                  <w:vAlign w:val="bottom"/>
                </w:tcPr>
                <w:p w14:paraId="2033EBE0" w14:textId="77777777" w:rsidR="002A21AE" w:rsidRDefault="002A21AE">
                  <w:pPr>
                    <w:pStyle w:val="TableText"/>
                  </w:pPr>
                  <w:r>
                    <w:t>Crossmatch Not Required</w:t>
                  </w:r>
                </w:p>
              </w:tc>
              <w:tc>
                <w:tcPr>
                  <w:tcW w:w="2705" w:type="dxa"/>
                  <w:vAlign w:val="bottom"/>
                </w:tcPr>
                <w:p w14:paraId="02ECBB75" w14:textId="77777777" w:rsidR="002A21AE" w:rsidRDefault="002A21AE">
                  <w:pPr>
                    <w:pStyle w:val="TableText"/>
                  </w:pPr>
                  <w:r>
                    <w:t>Not Required</w:t>
                  </w:r>
                </w:p>
              </w:tc>
            </w:tr>
          </w:tbl>
          <w:p w14:paraId="08E3709A" w14:textId="77777777" w:rsidR="002A21AE" w:rsidRDefault="002A21AE">
            <w:pPr>
              <w:pStyle w:val="NotesText"/>
            </w:pPr>
          </w:p>
          <w:p w14:paraId="186385BC" w14:textId="77777777" w:rsidR="002A21AE" w:rsidRDefault="002A21AE">
            <w:pPr>
              <w:pStyle w:val="NotesText"/>
            </w:pPr>
            <w:r>
              <w:t>VBECS prints “Emergency Issue” in the TR section of the form.</w:t>
            </w:r>
          </w:p>
          <w:p w14:paraId="3D0E4335" w14:textId="77777777" w:rsidR="002A21AE" w:rsidRDefault="002A21AE">
            <w:pPr>
              <w:pStyle w:val="NotesText"/>
              <w:ind w:left="0"/>
            </w:pPr>
          </w:p>
          <w:p w14:paraId="67350DC9" w14:textId="77777777" w:rsidR="002A21AE" w:rsidRDefault="002A21AE">
            <w:pPr>
              <w:pStyle w:val="NotesText"/>
            </w:pPr>
            <w:r>
              <w:rPr>
                <w:rFonts w:cs="Arial"/>
                <w:vanish/>
              </w:rPr>
              <w:t xml:space="preserve">BR_43.03 </w:t>
            </w:r>
            <w:r>
              <w:t>The text that appears in the compatibility section is based on the crossmatch interpretation applied.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B752FE" w14:paraId="18D8BF46" w14:textId="77777777" w:rsidTr="00DD6A38">
              <w:trPr>
                <w:tblHeader/>
              </w:trPr>
              <w:tc>
                <w:tcPr>
                  <w:tcW w:w="2335" w:type="dxa"/>
                  <w:shd w:val="clear" w:color="auto" w:fill="B3B3B3"/>
                  <w:vAlign w:val="bottom"/>
                </w:tcPr>
                <w:p w14:paraId="795EC76F" w14:textId="77777777" w:rsidR="00B752FE" w:rsidRDefault="00B752FE" w:rsidP="00DD6A38">
                  <w:pPr>
                    <w:pStyle w:val="TableText"/>
                    <w:jc w:val="center"/>
                    <w:rPr>
                      <w:b/>
                    </w:rPr>
                  </w:pPr>
                  <w:r>
                    <w:rPr>
                      <w:b/>
                    </w:rPr>
                    <w:t>Compatibility Interpretation</w:t>
                  </w:r>
                </w:p>
              </w:tc>
              <w:tc>
                <w:tcPr>
                  <w:tcW w:w="2705" w:type="dxa"/>
                  <w:shd w:val="clear" w:color="auto" w:fill="B3B3B3"/>
                  <w:vAlign w:val="bottom"/>
                </w:tcPr>
                <w:p w14:paraId="4415F159" w14:textId="77777777" w:rsidR="00B752FE" w:rsidRDefault="00B752FE" w:rsidP="00DD6A38">
                  <w:pPr>
                    <w:pStyle w:val="TableText"/>
                    <w:jc w:val="center"/>
                    <w:rPr>
                      <w:b/>
                    </w:rPr>
                  </w:pPr>
                  <w:r>
                    <w:rPr>
                      <w:b/>
                    </w:rPr>
                    <w:t>Text on BTRF</w:t>
                  </w:r>
                </w:p>
              </w:tc>
            </w:tr>
            <w:tr w:rsidR="00B752FE" w14:paraId="7DD01322" w14:textId="77777777" w:rsidTr="00DD6A38">
              <w:tc>
                <w:tcPr>
                  <w:tcW w:w="2335" w:type="dxa"/>
                  <w:vAlign w:val="bottom"/>
                </w:tcPr>
                <w:p w14:paraId="4E2E8F09" w14:textId="77777777" w:rsidR="00B752FE" w:rsidRDefault="00B752FE" w:rsidP="00DD6A38">
                  <w:pPr>
                    <w:pStyle w:val="TableText"/>
                  </w:pPr>
                  <w:r>
                    <w:t>Crossmatch Compatible</w:t>
                  </w:r>
                </w:p>
              </w:tc>
              <w:tc>
                <w:tcPr>
                  <w:tcW w:w="2705" w:type="dxa"/>
                  <w:vAlign w:val="bottom"/>
                </w:tcPr>
                <w:p w14:paraId="6B32255B" w14:textId="77777777" w:rsidR="00B752FE" w:rsidRDefault="00B752FE" w:rsidP="00DD6A38">
                  <w:pPr>
                    <w:pStyle w:val="TableText"/>
                  </w:pPr>
                  <w:r>
                    <w:t>Compatible</w:t>
                  </w:r>
                </w:p>
              </w:tc>
            </w:tr>
            <w:tr w:rsidR="00B752FE" w14:paraId="00D525BE" w14:textId="77777777" w:rsidTr="00DD6A38">
              <w:tc>
                <w:tcPr>
                  <w:tcW w:w="2335" w:type="dxa"/>
                  <w:vAlign w:val="bottom"/>
                </w:tcPr>
                <w:p w14:paraId="327B01F4" w14:textId="77777777" w:rsidR="00B752FE" w:rsidRDefault="00B752FE" w:rsidP="00DD6A38">
                  <w:pPr>
                    <w:pStyle w:val="TableText"/>
                  </w:pPr>
                  <w:r>
                    <w:t>Compatible: Electronically Crossmatched</w:t>
                  </w:r>
                </w:p>
              </w:tc>
              <w:tc>
                <w:tcPr>
                  <w:tcW w:w="2705" w:type="dxa"/>
                  <w:vAlign w:val="bottom"/>
                </w:tcPr>
                <w:p w14:paraId="3406B832" w14:textId="77777777" w:rsidR="00B752FE" w:rsidRDefault="00B752FE" w:rsidP="00DD6A38">
                  <w:pPr>
                    <w:pStyle w:val="TableText"/>
                  </w:pPr>
                  <w:r>
                    <w:t>Compatible</w:t>
                  </w:r>
                </w:p>
              </w:tc>
            </w:tr>
            <w:tr w:rsidR="00B752FE" w14:paraId="40D41358" w14:textId="77777777" w:rsidTr="00DD6A38">
              <w:tc>
                <w:tcPr>
                  <w:tcW w:w="2335" w:type="dxa"/>
                  <w:vAlign w:val="bottom"/>
                </w:tcPr>
                <w:p w14:paraId="0C1599C2" w14:textId="77777777" w:rsidR="00B752FE" w:rsidRDefault="00B752FE" w:rsidP="00DD6A38">
                  <w:pPr>
                    <w:pStyle w:val="TableText"/>
                  </w:pPr>
                  <w:r>
                    <w:t>Crossmatch Not Required</w:t>
                  </w:r>
                </w:p>
              </w:tc>
              <w:tc>
                <w:tcPr>
                  <w:tcW w:w="2705" w:type="dxa"/>
                  <w:vAlign w:val="bottom"/>
                </w:tcPr>
                <w:p w14:paraId="33B84FA4" w14:textId="77777777" w:rsidR="00B752FE" w:rsidRDefault="00B752FE" w:rsidP="00DD6A38">
                  <w:pPr>
                    <w:pStyle w:val="TableText"/>
                  </w:pPr>
                  <w:r>
                    <w:t>Not Applicable</w:t>
                  </w:r>
                </w:p>
              </w:tc>
            </w:tr>
            <w:tr w:rsidR="00B752FE" w14:paraId="10505A60" w14:textId="77777777" w:rsidTr="00DD6A38">
              <w:tc>
                <w:tcPr>
                  <w:tcW w:w="2335" w:type="dxa"/>
                  <w:vAlign w:val="bottom"/>
                </w:tcPr>
                <w:p w14:paraId="22F6E11D" w14:textId="77777777" w:rsidR="00B752FE" w:rsidRDefault="00B752FE" w:rsidP="00DD6A38">
                  <w:pPr>
                    <w:pStyle w:val="TableText"/>
                  </w:pPr>
                  <w:r>
                    <w:t>Crossmatch Incompatible: Give only with Medical Director Approval</w:t>
                  </w:r>
                </w:p>
              </w:tc>
              <w:tc>
                <w:tcPr>
                  <w:tcW w:w="2705" w:type="dxa"/>
                  <w:vAlign w:val="bottom"/>
                </w:tcPr>
                <w:p w14:paraId="7426D1ED" w14:textId="77777777" w:rsidR="00B752FE" w:rsidRDefault="00B752FE" w:rsidP="00DD6A38">
                  <w:pPr>
                    <w:pStyle w:val="TableText"/>
                  </w:pPr>
                  <w:r>
                    <w:t>Incompatible: Given with Medical Director Approval</w:t>
                  </w:r>
                </w:p>
              </w:tc>
            </w:tr>
          </w:tbl>
          <w:p w14:paraId="75A7D04A" w14:textId="77777777" w:rsidR="00B752FE" w:rsidRDefault="00B752FE">
            <w:pPr>
              <w:pStyle w:val="NotesText"/>
            </w:pPr>
          </w:p>
          <w:p w14:paraId="41EEA8A9" w14:textId="77777777" w:rsidR="00B752FE" w:rsidRDefault="00B752FE" w:rsidP="00B752FE">
            <w:pPr>
              <w:pStyle w:val="NotesText"/>
            </w:pPr>
            <w:r w:rsidRPr="00B752FE">
              <w:rPr>
                <w:vanish/>
              </w:rPr>
              <w:t xml:space="preserve">BR_44.01 </w:t>
            </w:r>
            <w:r>
              <w:t xml:space="preserve">The printed form has two general areas, one for patient and unit identification, and another to document the transfusion. </w:t>
            </w:r>
          </w:p>
          <w:p w14:paraId="7BC925F2" w14:textId="77777777" w:rsidR="00B752FE" w:rsidRDefault="00B752FE" w:rsidP="00B752FE">
            <w:pPr>
              <w:pStyle w:val="NotesText"/>
            </w:pPr>
          </w:p>
          <w:p w14:paraId="6EC1AAD9" w14:textId="77777777" w:rsidR="00B752FE" w:rsidRDefault="00B752FE" w:rsidP="00B752FE">
            <w:pPr>
              <w:pStyle w:val="NotesText"/>
            </w:pPr>
            <w:r w:rsidRPr="00B752FE">
              <w:rPr>
                <w:vanish/>
              </w:rPr>
              <w:t xml:space="preserve">BR_44.01 </w:t>
            </w:r>
            <w:r>
              <w:t>Information that appears on the form follows. All information is provided by VBECS unless stated. Information matching the caution tag will be printed to look alike for the users on both forms.</w:t>
            </w:r>
          </w:p>
          <w:p w14:paraId="16C44371" w14:textId="77777777" w:rsidR="00B752FE" w:rsidRPr="00152053" w:rsidRDefault="00B752FE" w:rsidP="00925CAD">
            <w:pPr>
              <w:pStyle w:val="TableText"/>
              <w:numPr>
                <w:ilvl w:val="0"/>
                <w:numId w:val="53"/>
              </w:numPr>
              <w:rPr>
                <w:szCs w:val="18"/>
              </w:rPr>
            </w:pPr>
            <w:r w:rsidRPr="00152053">
              <w:rPr>
                <w:szCs w:val="18"/>
              </w:rPr>
              <w:t>Transfusion Division Name, City, State</w:t>
            </w:r>
          </w:p>
          <w:p w14:paraId="025BFC3A" w14:textId="78B7F3F6" w:rsidR="00B752FE" w:rsidRPr="00152053" w:rsidRDefault="00B752FE" w:rsidP="00925CAD">
            <w:pPr>
              <w:pStyle w:val="TableText"/>
              <w:numPr>
                <w:ilvl w:val="0"/>
                <w:numId w:val="53"/>
              </w:numPr>
              <w:rPr>
                <w:szCs w:val="18"/>
              </w:rPr>
            </w:pPr>
            <w:r w:rsidRPr="00152053">
              <w:rPr>
                <w:szCs w:val="18"/>
              </w:rPr>
              <w:t xml:space="preserve">Patient ID </w:t>
            </w:r>
          </w:p>
          <w:p w14:paraId="1DE7FD10" w14:textId="77777777" w:rsidR="00B752FE" w:rsidRPr="00152053" w:rsidRDefault="00B752FE" w:rsidP="00925CAD">
            <w:pPr>
              <w:pStyle w:val="TableText"/>
              <w:numPr>
                <w:ilvl w:val="0"/>
                <w:numId w:val="53"/>
              </w:numPr>
              <w:rPr>
                <w:szCs w:val="18"/>
              </w:rPr>
            </w:pPr>
            <w:r w:rsidRPr="00152053">
              <w:rPr>
                <w:szCs w:val="18"/>
              </w:rPr>
              <w:t>Patient Name (Last, First MI)</w:t>
            </w:r>
          </w:p>
          <w:p w14:paraId="67E406EF" w14:textId="77777777" w:rsidR="00B752FE" w:rsidRPr="00152053" w:rsidRDefault="00B752FE" w:rsidP="00925CAD">
            <w:pPr>
              <w:pStyle w:val="TableText"/>
              <w:numPr>
                <w:ilvl w:val="0"/>
                <w:numId w:val="53"/>
              </w:numPr>
              <w:rPr>
                <w:szCs w:val="18"/>
              </w:rPr>
            </w:pPr>
            <w:r w:rsidRPr="00152053">
              <w:rPr>
                <w:szCs w:val="18"/>
              </w:rPr>
              <w:t>Patient DOB</w:t>
            </w:r>
          </w:p>
          <w:p w14:paraId="31EAF18A" w14:textId="77777777" w:rsidR="00B752FE" w:rsidRPr="00152053" w:rsidRDefault="00B752FE" w:rsidP="00925CAD">
            <w:pPr>
              <w:pStyle w:val="TableText"/>
              <w:numPr>
                <w:ilvl w:val="0"/>
                <w:numId w:val="53"/>
              </w:numPr>
              <w:rPr>
                <w:szCs w:val="18"/>
              </w:rPr>
            </w:pPr>
            <w:r w:rsidRPr="00152053">
              <w:rPr>
                <w:szCs w:val="18"/>
              </w:rPr>
              <w:t>Unit/Pool ID</w:t>
            </w:r>
          </w:p>
          <w:p w14:paraId="1D41187F" w14:textId="77777777" w:rsidR="00B752FE" w:rsidRPr="00152053" w:rsidRDefault="007A7D97" w:rsidP="00925CAD">
            <w:pPr>
              <w:pStyle w:val="TableText"/>
              <w:numPr>
                <w:ilvl w:val="0"/>
                <w:numId w:val="53"/>
              </w:numPr>
              <w:rPr>
                <w:szCs w:val="18"/>
              </w:rPr>
            </w:pPr>
            <w:r>
              <w:rPr>
                <w:szCs w:val="18"/>
              </w:rPr>
              <w:t>Recipient (Patient) Blood Type</w:t>
            </w:r>
          </w:p>
          <w:p w14:paraId="6555800C" w14:textId="77777777" w:rsidR="00B752FE" w:rsidRDefault="00B752FE" w:rsidP="00925CAD">
            <w:pPr>
              <w:pStyle w:val="TableText"/>
              <w:numPr>
                <w:ilvl w:val="0"/>
                <w:numId w:val="53"/>
              </w:numPr>
            </w:pPr>
            <w:r>
              <w:t xml:space="preserve">Unit Blood Type </w:t>
            </w:r>
          </w:p>
          <w:p w14:paraId="1C1E4A3E" w14:textId="77777777" w:rsidR="00B752FE" w:rsidRDefault="00B752FE" w:rsidP="00925CAD">
            <w:pPr>
              <w:pStyle w:val="TableText"/>
              <w:numPr>
                <w:ilvl w:val="0"/>
                <w:numId w:val="53"/>
              </w:numPr>
            </w:pPr>
            <w:r>
              <w:t xml:space="preserve">Compatibility Interpretation, Tech name, Date/time </w:t>
            </w:r>
          </w:p>
          <w:p w14:paraId="5112E5FE" w14:textId="77777777" w:rsidR="00B752FE" w:rsidRDefault="00B752FE" w:rsidP="00925CAD">
            <w:pPr>
              <w:pStyle w:val="TableText"/>
              <w:numPr>
                <w:ilvl w:val="0"/>
                <w:numId w:val="53"/>
              </w:numPr>
            </w:pPr>
            <w:r>
              <w:t>Assigned Date/Time</w:t>
            </w:r>
          </w:p>
          <w:p w14:paraId="5D0E2753" w14:textId="46B4C8DB" w:rsidR="00B752FE" w:rsidRDefault="00B752FE" w:rsidP="00925CAD">
            <w:pPr>
              <w:pStyle w:val="TableText"/>
              <w:numPr>
                <w:ilvl w:val="0"/>
                <w:numId w:val="53"/>
              </w:numPr>
            </w:pPr>
            <w:r>
              <w:t>Technologist Initials (This is the Assigning/Crossmatching Blood Bank Technologist Name.)</w:t>
            </w:r>
          </w:p>
          <w:p w14:paraId="208A4F21" w14:textId="4FD80301" w:rsidR="00504EBA" w:rsidRDefault="00504EBA" w:rsidP="00925CAD">
            <w:pPr>
              <w:pStyle w:val="TableText"/>
              <w:numPr>
                <w:ilvl w:val="0"/>
                <w:numId w:val="53"/>
              </w:numPr>
            </w:pPr>
            <w:r>
              <w:lastRenderedPageBreak/>
              <w:t>Transfusion Requirements</w:t>
            </w:r>
          </w:p>
          <w:p w14:paraId="2CF82EE2" w14:textId="39F0D17F" w:rsidR="00504EBA" w:rsidRDefault="00504EBA" w:rsidP="00925CAD">
            <w:pPr>
              <w:pStyle w:val="TableText"/>
              <w:numPr>
                <w:ilvl w:val="0"/>
                <w:numId w:val="53"/>
              </w:numPr>
            </w:pPr>
            <w:r>
              <w:t>Blood Product Component Class</w:t>
            </w:r>
          </w:p>
          <w:p w14:paraId="03078422" w14:textId="77777777" w:rsidR="00B752FE" w:rsidRDefault="00B752FE" w:rsidP="00925CAD">
            <w:pPr>
              <w:pStyle w:val="TableText"/>
              <w:numPr>
                <w:ilvl w:val="0"/>
                <w:numId w:val="53"/>
              </w:numPr>
            </w:pPr>
            <w:r>
              <w:t>Blood Component selected (the unit’s blood product long name)</w:t>
            </w:r>
          </w:p>
          <w:p w14:paraId="5264ABD2" w14:textId="77777777" w:rsidR="00B752FE" w:rsidRDefault="00B752FE" w:rsidP="00925CAD">
            <w:pPr>
              <w:pStyle w:val="TableText"/>
              <w:numPr>
                <w:ilvl w:val="0"/>
                <w:numId w:val="53"/>
              </w:numPr>
            </w:pPr>
            <w:r>
              <w:t>Product Code (Full, Eye-readable)</w:t>
            </w:r>
          </w:p>
          <w:p w14:paraId="7B207C37" w14:textId="77777777" w:rsidR="00B752FE" w:rsidRDefault="00B752FE" w:rsidP="00925CAD">
            <w:pPr>
              <w:pStyle w:val="TableText"/>
              <w:numPr>
                <w:ilvl w:val="0"/>
                <w:numId w:val="53"/>
              </w:numPr>
            </w:pPr>
            <w:r>
              <w:t>Donation type</w:t>
            </w:r>
          </w:p>
          <w:p w14:paraId="284A5486" w14:textId="77777777" w:rsidR="00B752FE" w:rsidRDefault="00B752FE" w:rsidP="00925CAD">
            <w:pPr>
              <w:pStyle w:val="TableText"/>
              <w:numPr>
                <w:ilvl w:val="0"/>
                <w:numId w:val="53"/>
              </w:numPr>
            </w:pPr>
            <w:r>
              <w:t xml:space="preserve">Unit Expiration Date/Time </w:t>
            </w:r>
          </w:p>
          <w:p w14:paraId="46996CF9" w14:textId="77777777" w:rsidR="00B752FE" w:rsidRDefault="00B752FE" w:rsidP="00925CAD">
            <w:pPr>
              <w:pStyle w:val="TableText"/>
              <w:numPr>
                <w:ilvl w:val="0"/>
                <w:numId w:val="53"/>
              </w:numPr>
            </w:pPr>
            <w:r>
              <w:t>Number of Units in Pool</w:t>
            </w:r>
          </w:p>
          <w:p w14:paraId="06F67390" w14:textId="77777777" w:rsidR="00B752FE" w:rsidRDefault="00B752FE" w:rsidP="00925CAD">
            <w:pPr>
              <w:pStyle w:val="TableText"/>
              <w:numPr>
                <w:ilvl w:val="0"/>
                <w:numId w:val="53"/>
              </w:numPr>
            </w:pPr>
            <w:r>
              <w:t xml:space="preserve">Specimen UID Number, </w:t>
            </w:r>
            <w:r w:rsidRPr="00EE4FB5">
              <w:t>expiration date and time</w:t>
            </w:r>
            <w:r>
              <w:t xml:space="preserve"> </w:t>
            </w:r>
          </w:p>
          <w:p w14:paraId="37BC0C64" w14:textId="1582A3F1" w:rsidR="00B752FE" w:rsidRPr="00830A63" w:rsidRDefault="00504EBA" w:rsidP="00925CAD">
            <w:pPr>
              <w:pStyle w:val="TableText"/>
              <w:numPr>
                <w:ilvl w:val="0"/>
                <w:numId w:val="53"/>
              </w:numPr>
            </w:pPr>
            <w:r>
              <w:t xml:space="preserve">Order </w:t>
            </w:r>
            <w:r w:rsidR="00B752FE">
              <w:t>Location</w:t>
            </w:r>
          </w:p>
          <w:p w14:paraId="44343131" w14:textId="77777777" w:rsidR="00B752FE" w:rsidRDefault="00B752FE" w:rsidP="00B752FE">
            <w:pPr>
              <w:pStyle w:val="TableText"/>
            </w:pPr>
          </w:p>
          <w:p w14:paraId="21500EFA" w14:textId="77777777" w:rsidR="00B752FE" w:rsidRDefault="00B752FE" w:rsidP="00B752FE">
            <w:pPr>
              <w:pStyle w:val="NotesText"/>
            </w:pPr>
            <w:r w:rsidRPr="00B752FE">
              <w:rPr>
                <w:vanish/>
              </w:rPr>
              <w:t xml:space="preserve">BR_44.01 </w:t>
            </w:r>
            <w:r>
              <w:t>Transfusion documentation section: This section of the form provides prompts/placeholders for information to be entered at the bedside during the transfusion. Each listed item must provide adequate room for a transfusionist to manually record the appropriate, required information:</w:t>
            </w:r>
          </w:p>
          <w:p w14:paraId="175B4F0F" w14:textId="77777777" w:rsidR="00B752FE" w:rsidRDefault="00B752FE" w:rsidP="00925CAD">
            <w:pPr>
              <w:pStyle w:val="TableText"/>
              <w:numPr>
                <w:ilvl w:val="0"/>
                <w:numId w:val="54"/>
              </w:numPr>
              <w:ind w:left="1440"/>
            </w:pPr>
            <w:r>
              <w:t>First identifier (signature)</w:t>
            </w:r>
          </w:p>
          <w:p w14:paraId="24F4BBCE" w14:textId="77777777" w:rsidR="00B752FE" w:rsidRDefault="00B752FE" w:rsidP="00925CAD">
            <w:pPr>
              <w:pStyle w:val="TableText"/>
              <w:numPr>
                <w:ilvl w:val="0"/>
                <w:numId w:val="54"/>
              </w:numPr>
              <w:ind w:left="1440"/>
            </w:pPr>
            <w:r>
              <w:t>Second identifier (signature)</w:t>
            </w:r>
          </w:p>
          <w:p w14:paraId="5BD5A101" w14:textId="77777777" w:rsidR="00B752FE" w:rsidRDefault="00B752FE" w:rsidP="00925CAD">
            <w:pPr>
              <w:pStyle w:val="TableText"/>
              <w:numPr>
                <w:ilvl w:val="0"/>
                <w:numId w:val="54"/>
              </w:numPr>
              <w:ind w:left="1440"/>
            </w:pPr>
            <w:r>
              <w:t xml:space="preserve">Date/time transfusion was started </w:t>
            </w:r>
          </w:p>
          <w:p w14:paraId="2D8E9508" w14:textId="77777777" w:rsidR="00B752FE" w:rsidRDefault="00B752FE" w:rsidP="00925CAD">
            <w:pPr>
              <w:pStyle w:val="TableText"/>
              <w:numPr>
                <w:ilvl w:val="0"/>
                <w:numId w:val="54"/>
              </w:numPr>
              <w:ind w:left="1440"/>
            </w:pPr>
            <w:r>
              <w:t>Respiration</w:t>
            </w:r>
          </w:p>
          <w:p w14:paraId="51F81C70" w14:textId="77777777" w:rsidR="00B752FE" w:rsidRDefault="00B752FE" w:rsidP="00925CAD">
            <w:pPr>
              <w:pStyle w:val="TableText"/>
              <w:numPr>
                <w:ilvl w:val="0"/>
                <w:numId w:val="54"/>
              </w:numPr>
              <w:ind w:left="1440"/>
            </w:pPr>
            <w:r>
              <w:t>Pretransfusion temperature</w:t>
            </w:r>
          </w:p>
          <w:p w14:paraId="3667C7EF" w14:textId="77777777" w:rsidR="00B752FE" w:rsidRDefault="00B752FE" w:rsidP="00925CAD">
            <w:pPr>
              <w:pStyle w:val="TableText"/>
              <w:numPr>
                <w:ilvl w:val="0"/>
                <w:numId w:val="54"/>
              </w:numPr>
              <w:ind w:left="1440"/>
            </w:pPr>
            <w:r>
              <w:t>Pretransfusion pulse</w:t>
            </w:r>
          </w:p>
          <w:p w14:paraId="466DEE18" w14:textId="77777777" w:rsidR="00B752FE" w:rsidRDefault="00B752FE" w:rsidP="00925CAD">
            <w:pPr>
              <w:pStyle w:val="TableText"/>
              <w:numPr>
                <w:ilvl w:val="0"/>
                <w:numId w:val="54"/>
              </w:numPr>
              <w:ind w:left="1440"/>
            </w:pPr>
            <w:r>
              <w:t>Pretransfusion blood pressure</w:t>
            </w:r>
          </w:p>
          <w:p w14:paraId="0253F97F" w14:textId="77777777" w:rsidR="00B752FE" w:rsidRDefault="00B752FE" w:rsidP="00925CAD">
            <w:pPr>
              <w:pStyle w:val="TableText"/>
              <w:numPr>
                <w:ilvl w:val="0"/>
                <w:numId w:val="54"/>
              </w:numPr>
              <w:ind w:left="1440"/>
            </w:pPr>
            <w:r>
              <w:t>15-minute temperature</w:t>
            </w:r>
          </w:p>
          <w:p w14:paraId="6A972A64" w14:textId="77777777" w:rsidR="00B752FE" w:rsidRDefault="00B752FE" w:rsidP="00925CAD">
            <w:pPr>
              <w:pStyle w:val="TableText"/>
              <w:numPr>
                <w:ilvl w:val="0"/>
                <w:numId w:val="54"/>
              </w:numPr>
              <w:ind w:left="1440"/>
            </w:pPr>
            <w:r>
              <w:t>15-minute pulse</w:t>
            </w:r>
          </w:p>
          <w:p w14:paraId="44423372" w14:textId="77777777" w:rsidR="00B752FE" w:rsidRDefault="00B752FE" w:rsidP="00925CAD">
            <w:pPr>
              <w:pStyle w:val="TableText"/>
              <w:numPr>
                <w:ilvl w:val="0"/>
                <w:numId w:val="54"/>
              </w:numPr>
              <w:ind w:left="1440"/>
            </w:pPr>
            <w:r>
              <w:t>15-minute blood pressure</w:t>
            </w:r>
          </w:p>
          <w:p w14:paraId="3ABC6339" w14:textId="77777777" w:rsidR="00B752FE" w:rsidRDefault="00B752FE" w:rsidP="00925CAD">
            <w:pPr>
              <w:pStyle w:val="TableText"/>
              <w:numPr>
                <w:ilvl w:val="0"/>
                <w:numId w:val="54"/>
              </w:numPr>
              <w:ind w:left="1440"/>
            </w:pPr>
            <w:r>
              <w:t>Mid-transfusion temperature</w:t>
            </w:r>
          </w:p>
          <w:p w14:paraId="68374E22" w14:textId="77777777" w:rsidR="00B752FE" w:rsidRDefault="00B752FE" w:rsidP="00925CAD">
            <w:pPr>
              <w:pStyle w:val="TableText"/>
              <w:numPr>
                <w:ilvl w:val="0"/>
                <w:numId w:val="54"/>
              </w:numPr>
              <w:ind w:left="1440"/>
            </w:pPr>
            <w:r>
              <w:t>Mid-transfusion pulse</w:t>
            </w:r>
          </w:p>
          <w:p w14:paraId="2CBD52AF" w14:textId="77777777" w:rsidR="00B752FE" w:rsidRDefault="00B752FE" w:rsidP="00925CAD">
            <w:pPr>
              <w:pStyle w:val="TableText"/>
              <w:numPr>
                <w:ilvl w:val="0"/>
                <w:numId w:val="54"/>
              </w:numPr>
              <w:ind w:left="1440"/>
            </w:pPr>
            <w:r>
              <w:t>Mid-transfusion blood pressure</w:t>
            </w:r>
          </w:p>
          <w:p w14:paraId="7619BF5D" w14:textId="77777777" w:rsidR="00B752FE" w:rsidRDefault="00B752FE" w:rsidP="00925CAD">
            <w:pPr>
              <w:pStyle w:val="TableText"/>
              <w:numPr>
                <w:ilvl w:val="0"/>
                <w:numId w:val="54"/>
              </w:numPr>
              <w:ind w:left="1440"/>
            </w:pPr>
            <w:r>
              <w:t>Post-transfusion temp</w:t>
            </w:r>
          </w:p>
          <w:p w14:paraId="54CF510A" w14:textId="77777777" w:rsidR="00B752FE" w:rsidRDefault="00B752FE" w:rsidP="00925CAD">
            <w:pPr>
              <w:pStyle w:val="TableText"/>
              <w:numPr>
                <w:ilvl w:val="0"/>
                <w:numId w:val="54"/>
              </w:numPr>
              <w:ind w:left="1440"/>
            </w:pPr>
            <w:r>
              <w:t>Post-transfusion pulse</w:t>
            </w:r>
          </w:p>
          <w:p w14:paraId="3064C905" w14:textId="77777777" w:rsidR="00B752FE" w:rsidRDefault="00B752FE" w:rsidP="00925CAD">
            <w:pPr>
              <w:pStyle w:val="TableText"/>
              <w:numPr>
                <w:ilvl w:val="0"/>
                <w:numId w:val="54"/>
              </w:numPr>
              <w:ind w:left="1440"/>
            </w:pPr>
            <w:r>
              <w:t>Post-transfusion blood pressure</w:t>
            </w:r>
          </w:p>
          <w:p w14:paraId="25809D3C" w14:textId="77777777" w:rsidR="00B752FE" w:rsidRDefault="00B752FE" w:rsidP="00925CAD">
            <w:pPr>
              <w:pStyle w:val="TableText"/>
              <w:numPr>
                <w:ilvl w:val="0"/>
                <w:numId w:val="54"/>
              </w:numPr>
              <w:ind w:left="1440"/>
            </w:pPr>
            <w:r>
              <w:t>Amount given (mL)</w:t>
            </w:r>
          </w:p>
          <w:p w14:paraId="521CC729" w14:textId="77777777" w:rsidR="00B752FE" w:rsidRDefault="00B752FE" w:rsidP="00925CAD">
            <w:pPr>
              <w:pStyle w:val="TableText"/>
              <w:numPr>
                <w:ilvl w:val="0"/>
                <w:numId w:val="54"/>
              </w:numPr>
              <w:ind w:left="1440"/>
            </w:pPr>
            <w:r>
              <w:t>Date/time transfusion was completed or interrupted</w:t>
            </w:r>
          </w:p>
          <w:p w14:paraId="35114ADC" w14:textId="77777777" w:rsidR="00B752FE" w:rsidRDefault="00B752FE" w:rsidP="00925CAD">
            <w:pPr>
              <w:pStyle w:val="TableText"/>
              <w:numPr>
                <w:ilvl w:val="0"/>
                <w:numId w:val="54"/>
              </w:numPr>
              <w:ind w:left="1440"/>
            </w:pPr>
            <w:r>
              <w:t>Completing transfusionist (place for wet signature)</w:t>
            </w:r>
          </w:p>
          <w:p w14:paraId="7371A107" w14:textId="77777777" w:rsidR="00B752FE" w:rsidRDefault="00B752FE" w:rsidP="00925CAD">
            <w:pPr>
              <w:pStyle w:val="TableText"/>
              <w:numPr>
                <w:ilvl w:val="0"/>
                <w:numId w:val="54"/>
              </w:numPr>
              <w:ind w:left="1440"/>
            </w:pPr>
            <w:r>
              <w:t>Reverification of patient area</w:t>
            </w:r>
          </w:p>
          <w:p w14:paraId="693B71D7" w14:textId="77777777" w:rsidR="00B752FE" w:rsidRDefault="00B752FE" w:rsidP="00925CAD">
            <w:pPr>
              <w:pStyle w:val="TableText"/>
              <w:numPr>
                <w:ilvl w:val="0"/>
                <w:numId w:val="54"/>
              </w:numPr>
              <w:ind w:left="1440"/>
            </w:pPr>
            <w:r>
              <w:t>Transfusion reaction indicator (No reaction/Reaction suspected)</w:t>
            </w:r>
          </w:p>
          <w:p w14:paraId="288B3F51" w14:textId="77777777" w:rsidR="00B752FE" w:rsidRDefault="00B752FE" w:rsidP="00925CAD">
            <w:pPr>
              <w:pStyle w:val="TableText"/>
              <w:numPr>
                <w:ilvl w:val="0"/>
                <w:numId w:val="54"/>
              </w:numPr>
              <w:ind w:left="1440"/>
            </w:pPr>
            <w:r>
              <w:t>Description of Reaction (includes Urticaria, Chill, Pain, Fever, Dyspnea, Other)</w:t>
            </w:r>
          </w:p>
          <w:p w14:paraId="0108C3B9" w14:textId="77777777" w:rsidR="00B752FE" w:rsidRDefault="00B752FE" w:rsidP="00925CAD">
            <w:pPr>
              <w:pStyle w:val="TableText"/>
              <w:numPr>
                <w:ilvl w:val="0"/>
                <w:numId w:val="54"/>
              </w:numPr>
              <w:ind w:left="1440"/>
            </w:pPr>
            <w:r>
              <w:t>Other difficulties</w:t>
            </w:r>
          </w:p>
          <w:p w14:paraId="484933A6" w14:textId="77777777" w:rsidR="00B752FE" w:rsidRDefault="00B752FE" w:rsidP="00925CAD">
            <w:pPr>
              <w:pStyle w:val="TableText"/>
              <w:numPr>
                <w:ilvl w:val="0"/>
                <w:numId w:val="54"/>
              </w:numPr>
              <w:ind w:left="1440"/>
            </w:pPr>
            <w:r>
              <w:t>Signature of person noting the transfusion reaction</w:t>
            </w:r>
          </w:p>
          <w:p w14:paraId="3B4F3DEC" w14:textId="77777777" w:rsidR="00B752FE" w:rsidRDefault="00B752FE" w:rsidP="00925CAD">
            <w:pPr>
              <w:pStyle w:val="TableText"/>
              <w:numPr>
                <w:ilvl w:val="0"/>
                <w:numId w:val="54"/>
              </w:numPr>
              <w:ind w:left="1440"/>
            </w:pPr>
            <w:r>
              <w:t>Instructions for suspected transfusion reaction immediate response (see sample form for text)</w:t>
            </w:r>
          </w:p>
          <w:p w14:paraId="6A076B23" w14:textId="77777777" w:rsidR="00B752FE" w:rsidRDefault="00B752FE" w:rsidP="00B752FE">
            <w:pPr>
              <w:pStyle w:val="NotesText"/>
              <w:ind w:left="1440"/>
            </w:pPr>
            <w:r>
              <w:t>Bedside verification statement (see sample form for text)</w:t>
            </w:r>
          </w:p>
          <w:p w14:paraId="39A606D7" w14:textId="77777777" w:rsidR="00292F47" w:rsidRDefault="00292F47">
            <w:pPr>
              <w:pStyle w:val="NotesText"/>
            </w:pPr>
          </w:p>
          <w:p w14:paraId="316139E0" w14:textId="77777777" w:rsidR="002A21AE" w:rsidRDefault="00292F47">
            <w:pPr>
              <w:pStyle w:val="NotesText"/>
            </w:pPr>
            <w:r w:rsidRPr="00292F47">
              <w:rPr>
                <w:vanish/>
              </w:rPr>
              <w:t xml:space="preserve">BR_44.02 </w:t>
            </w:r>
            <w:r>
              <w:t>Facility Name is the name and address of the compatibility testing facility. If a full-service facility, “Facility Name” is the user’s current division. If a transfusion-only facility, “Facility Name” is the testing facility entered. For a transfusion-only facility, both the testing facility and the current division must appear on the form.</w:t>
            </w:r>
          </w:p>
          <w:p w14:paraId="79F6230F" w14:textId="77777777" w:rsidR="00292F47" w:rsidRDefault="00292F47">
            <w:pPr>
              <w:pStyle w:val="NotesText"/>
            </w:pPr>
          </w:p>
          <w:p w14:paraId="72ABEABC" w14:textId="77777777" w:rsidR="00292F47" w:rsidRDefault="00292F47">
            <w:pPr>
              <w:pStyle w:val="NotesText"/>
            </w:pPr>
            <w:r w:rsidRPr="00292F47">
              <w:rPr>
                <w:vanish/>
              </w:rPr>
              <w:lastRenderedPageBreak/>
              <w:t xml:space="preserve">BR_44.03 </w:t>
            </w:r>
            <w:r>
              <w:t>Patient Special Instructions and patient Transfusion Requirements do not print on the Blood Transfusion Record Form when the requirement isn’t appropriate (listed as “NA”) for the blood product.</w:t>
            </w:r>
          </w:p>
          <w:p w14:paraId="48592AE7" w14:textId="77777777" w:rsidR="00292F47" w:rsidRDefault="00292F47">
            <w:pPr>
              <w:pStyle w:val="NotesText"/>
            </w:pPr>
          </w:p>
          <w:p w14:paraId="1FCFBC75" w14:textId="77777777" w:rsidR="00292F47" w:rsidRDefault="00292F47" w:rsidP="00292F47">
            <w:pPr>
              <w:pStyle w:val="NotesText"/>
            </w:pPr>
            <w:r w:rsidRPr="00292F47">
              <w:rPr>
                <w:vanish/>
              </w:rPr>
              <w:t xml:space="preserve">BR_44.05 </w:t>
            </w:r>
            <w:r>
              <w:t>When blood products are emergency issued (indicator or the testing is incomplete or inconclusive on the current specimen), print in the remarks section of the Blood Transfusion Record Form: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7F7D947D" w14:textId="77777777" w:rsidR="00292F47" w:rsidRDefault="00292F47" w:rsidP="00292F47">
            <w:pPr>
              <w:pStyle w:val="TableText"/>
            </w:pPr>
          </w:p>
          <w:p w14:paraId="0FB68443" w14:textId="77777777" w:rsidR="00292F47" w:rsidRDefault="00276485" w:rsidP="00292F47">
            <w:pPr>
              <w:pStyle w:val="NotesText"/>
            </w:pPr>
            <w:r>
              <w:t>When</w:t>
            </w:r>
            <w:r w:rsidR="00292F47" w:rsidRPr="00292F47">
              <w:rPr>
                <w:vanish/>
              </w:rPr>
              <w:t xml:space="preserve">BR_44.05 </w:t>
            </w:r>
            <w:r>
              <w:rPr>
                <w:vanish/>
              </w:rPr>
              <w:t>When</w:t>
            </w:r>
            <w:r w:rsidR="00292F47">
              <w:t xml:space="preserve"> “***” prints for the patient ABO/Rh and crossmatch, include “Specimen testing incomplete at time of issue” in the printout.</w:t>
            </w:r>
          </w:p>
          <w:p w14:paraId="67FCB3C3" w14:textId="77777777" w:rsidR="002A21AE" w:rsidRDefault="002A21AE">
            <w:pPr>
              <w:pStyle w:val="NotesText"/>
              <w:tabs>
                <w:tab w:val="left" w:pos="4140"/>
              </w:tabs>
              <w:ind w:left="0"/>
            </w:pPr>
          </w:p>
        </w:tc>
      </w:tr>
      <w:tr w:rsidR="002A21AE" w14:paraId="18227113" w14:textId="77777777">
        <w:tc>
          <w:tcPr>
            <w:tcW w:w="3240" w:type="dxa"/>
          </w:tcPr>
          <w:p w14:paraId="7D993820" w14:textId="77777777" w:rsidR="002A21AE" w:rsidRDefault="002A21AE">
            <w:pPr>
              <w:pStyle w:val="TableTextNumbers"/>
            </w:pPr>
            <w:r>
              <w:lastRenderedPageBreak/>
              <w:t xml:space="preserve">Print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A0B21F3" w14:textId="77777777" w:rsidR="002A21AE" w:rsidRDefault="002A21AE">
            <w:pPr>
              <w:pStyle w:val="TableText"/>
            </w:pPr>
          </w:p>
        </w:tc>
      </w:tr>
    </w:tbl>
    <w:p w14:paraId="7C589AE0" w14:textId="01C30F38" w:rsidR="00CD3C64" w:rsidRDefault="00CD3C64" w:rsidP="00CD3C64">
      <w:pPr>
        <w:pStyle w:val="Caption"/>
      </w:pPr>
      <w:bookmarkStart w:id="397" w:name="_Ref12700608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80</w:t>
      </w:r>
      <w:r w:rsidR="004E20BD">
        <w:rPr>
          <w:noProof/>
        </w:rPr>
        <w:fldChar w:fldCharType="end"/>
      </w:r>
      <w:bookmarkEnd w:id="397"/>
      <w:r>
        <w:t>: Print Unit Caution Tag and Transfusion Record Form</w:t>
      </w:r>
    </w:p>
    <w:p w14:paraId="6E3A6D52" w14:textId="77777777" w:rsidR="00CF47D5" w:rsidRDefault="00057948" w:rsidP="00936CE0">
      <w:pPr>
        <w:pStyle w:val="BodyText"/>
        <w:rPr>
          <w:rStyle w:val="BullhornChar"/>
        </w:rPr>
      </w:pPr>
      <w:r>
        <w:rPr>
          <w:rFonts w:ascii="Webdings" w:hAnsi="Webdings"/>
          <w:noProof/>
          <w:sz w:val="40"/>
          <w:szCs w:val="24"/>
        </w:rPr>
        <w:drawing>
          <wp:inline distT="0" distB="0" distL="0" distR="0" wp14:anchorId="6174C32B" wp14:editId="19DE3E8E">
            <wp:extent cx="3657600" cy="2706370"/>
            <wp:effectExtent l="0" t="0" r="0" b="0"/>
            <wp:docPr id="199" name="Picture 199" descr="Example of Print Unit Caution Tag and Transfusion Record Form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Example of Print Unit Caution Tag and Transfusion Record Form screen captur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57600" cy="2706370"/>
                    </a:xfrm>
                    <a:prstGeom prst="rect">
                      <a:avLst/>
                    </a:prstGeom>
                    <a:noFill/>
                    <a:ln>
                      <a:noFill/>
                    </a:ln>
                  </pic:spPr>
                </pic:pic>
              </a:graphicData>
            </a:graphic>
          </wp:inline>
        </w:drawing>
      </w:r>
    </w:p>
    <w:p w14:paraId="5280DCFF" w14:textId="77777777" w:rsidR="002A21AE" w:rsidRDefault="00CF47D5" w:rsidP="00CD3C64">
      <w:pPr>
        <w:pStyle w:val="BodyText"/>
      </w:pPr>
      <w:r>
        <w:rPr>
          <w:rStyle w:val="BullhornChar"/>
        </w:rPr>
        <w:br w:type="page"/>
      </w:r>
      <w:r w:rsidR="00896F17" w:rsidRPr="00896F17">
        <w:rPr>
          <w:rStyle w:val="BullhornChar"/>
        </w:rPr>
        <w:lastRenderedPageBreak/>
        <w:t></w:t>
      </w:r>
      <w:r w:rsidR="00896F17" w:rsidRPr="00896F17">
        <w:rPr>
          <w:rStyle w:val="Heading4Char"/>
        </w:rPr>
        <w:t xml:space="preserve"> </w:t>
      </w:r>
      <w:r w:rsidR="002A21AE" w:rsidRPr="00896F17">
        <w:rPr>
          <w:rStyle w:val="Heading4Char"/>
        </w:rPr>
        <w:t>Alerts</w:t>
      </w:r>
    </w:p>
    <w:p w14:paraId="34AB065E" w14:textId="263071ED" w:rsidR="002A21AE" w:rsidRDefault="002A21AE">
      <w:pPr>
        <w:pStyle w:val="Caption"/>
      </w:pPr>
      <w:bookmarkStart w:id="398" w:name="_Ref126504208"/>
      <w:bookmarkStart w:id="399" w:name="_Toc97523620"/>
      <w:bookmarkStart w:id="400" w:name="_Toc9752759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9</w:t>
      </w:r>
      <w:r w:rsidR="004E20BD">
        <w:rPr>
          <w:noProof/>
        </w:rPr>
        <w:fldChar w:fldCharType="end"/>
      </w:r>
      <w:bookmarkEnd w:id="398"/>
      <w:r>
        <w:t xml:space="preserve">: Alerts That May Occur in </w:t>
      </w:r>
      <w:r w:rsidR="005D42CA">
        <w:t>Print Unit Caution Tag &amp; Transfusion Record Form</w:t>
      </w:r>
      <w:r>
        <w:t xml:space="preserve"> (Step 3)</w:t>
      </w:r>
      <w:bookmarkEnd w:id="399"/>
      <w:bookmarkEnd w:id="400"/>
      <w:r>
        <w:fldChar w:fldCharType="begin"/>
      </w:r>
      <w:r>
        <w:instrText xml:space="preserve"> XE </w:instrText>
      </w:r>
      <w:r w:rsidR="00FA7E65">
        <w:instrText>“</w:instrText>
      </w:r>
      <w:r>
        <w:instrText xml:space="preserve">Tables:Alerts That May Occur in </w:instrText>
      </w:r>
      <w:r w:rsidR="005D42CA">
        <w:instrText>Print Unit Caution Tag &amp; Transfusion Record Form</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4"/>
        <w:gridCol w:w="3818"/>
        <w:gridCol w:w="1588"/>
      </w:tblGrid>
      <w:tr w:rsidR="00F77995" w14:paraId="12B09103" w14:textId="77777777">
        <w:trPr>
          <w:tblHeader/>
        </w:trPr>
        <w:tc>
          <w:tcPr>
            <w:tcW w:w="5311" w:type="dxa"/>
            <w:shd w:val="clear" w:color="auto" w:fill="B3B3B3"/>
            <w:vAlign w:val="bottom"/>
          </w:tcPr>
          <w:p w14:paraId="202014EC" w14:textId="77777777" w:rsidR="000B56AE" w:rsidRDefault="000B56AE">
            <w:pPr>
              <w:pStyle w:val="TableText"/>
              <w:rPr>
                <w:b/>
              </w:rPr>
            </w:pPr>
            <w:r>
              <w:rPr>
                <w:b/>
              </w:rPr>
              <w:t>User Action Step 3: When This Condition Exists …</w:t>
            </w:r>
          </w:p>
        </w:tc>
        <w:tc>
          <w:tcPr>
            <w:tcW w:w="5253" w:type="dxa"/>
            <w:shd w:val="clear" w:color="auto" w:fill="B3B3B3"/>
            <w:vAlign w:val="bottom"/>
          </w:tcPr>
          <w:p w14:paraId="09CF743C" w14:textId="77777777" w:rsidR="000B56AE" w:rsidRDefault="000B56AE">
            <w:pPr>
              <w:pStyle w:val="TableText"/>
              <w:rPr>
                <w:b/>
              </w:rPr>
            </w:pPr>
            <w:r>
              <w:rPr>
                <w:b/>
              </w:rPr>
              <w:t xml:space="preserve">… </w:t>
            </w:r>
            <w:r w:rsidRPr="00896F17">
              <w:rPr>
                <w:rStyle w:val="BullhornChar"/>
              </w:rPr>
              <w:t></w:t>
            </w:r>
            <w:r>
              <w:rPr>
                <w:rFonts w:ascii="Webdings" w:hAnsi="Webdings"/>
              </w:rPr>
              <w:t></w:t>
            </w:r>
            <w:r>
              <w:rPr>
                <w:b/>
              </w:rPr>
              <w:t>VBECS Emits</w:t>
            </w:r>
            <w:r>
              <w:rPr>
                <w:b/>
                <w:noProof/>
              </w:rPr>
              <w:t xml:space="preserve"> an Audible Alert </w:t>
            </w:r>
            <w:r>
              <w:rPr>
                <w:b/>
              </w:rPr>
              <w:t>and Warns the User:</w:t>
            </w:r>
          </w:p>
        </w:tc>
        <w:tc>
          <w:tcPr>
            <w:tcW w:w="1793" w:type="dxa"/>
            <w:shd w:val="clear" w:color="auto" w:fill="B3B3B3"/>
            <w:vAlign w:val="bottom"/>
          </w:tcPr>
          <w:p w14:paraId="76AAD4BF" w14:textId="77777777" w:rsidR="000B56AE" w:rsidRDefault="000B56AE">
            <w:pPr>
              <w:pStyle w:val="TableText"/>
              <w:rPr>
                <w:b/>
              </w:rPr>
            </w:pPr>
            <w:r>
              <w:rPr>
                <w:b/>
              </w:rPr>
              <w:t>User Role</w:t>
            </w:r>
          </w:p>
        </w:tc>
      </w:tr>
      <w:tr w:rsidR="00F77995" w14:paraId="72374AAA" w14:textId="77777777">
        <w:trPr>
          <w:hidden/>
        </w:trPr>
        <w:tc>
          <w:tcPr>
            <w:tcW w:w="5311" w:type="dxa"/>
            <w:vMerge w:val="restart"/>
            <w:vAlign w:val="center"/>
          </w:tcPr>
          <w:p w14:paraId="1AB7C9AD" w14:textId="77777777" w:rsidR="000B56AE" w:rsidRDefault="000B56AE">
            <w:pPr>
              <w:pStyle w:val="TableText"/>
            </w:pPr>
            <w:r>
              <w:rPr>
                <w:rFonts w:cs="Arial"/>
                <w:vanish/>
              </w:rPr>
              <w:t xml:space="preserve">BR_43.18 </w:t>
            </w:r>
            <w:r>
              <w:t xml:space="preserve">VBECS determines whether the patient has a calculated or persistent antigen negative requirement (except when selecting autologous units). The selected unit was antigen typed and is positive for the corresponding antigen or is untested for the antigen. </w:t>
            </w:r>
          </w:p>
        </w:tc>
        <w:tc>
          <w:tcPr>
            <w:tcW w:w="5253" w:type="dxa"/>
            <w:vAlign w:val="bottom"/>
          </w:tcPr>
          <w:p w14:paraId="17C0C46C" w14:textId="77777777" w:rsidR="000B56AE" w:rsidRDefault="000B56AE">
            <w:pPr>
              <w:pStyle w:val="TableText"/>
            </w:pPr>
            <w:r>
              <w:t>The patient has a history of a clinically significant antibody, the unit is positive or untested for the corresponding antigen, the user does not have the proper security level. There is no override.</w:t>
            </w:r>
          </w:p>
        </w:tc>
        <w:tc>
          <w:tcPr>
            <w:tcW w:w="1793" w:type="dxa"/>
            <w:vAlign w:val="bottom"/>
          </w:tcPr>
          <w:p w14:paraId="593C1D27" w14:textId="77777777" w:rsidR="000B56AE" w:rsidRDefault="000B56AE">
            <w:pPr>
              <w:pStyle w:val="TableText"/>
            </w:pPr>
            <w:r>
              <w:t>Enhanced Technologist or below</w:t>
            </w:r>
          </w:p>
        </w:tc>
      </w:tr>
      <w:tr w:rsidR="00F77995" w14:paraId="00FF8758" w14:textId="77777777">
        <w:tc>
          <w:tcPr>
            <w:tcW w:w="5311" w:type="dxa"/>
            <w:vMerge/>
            <w:vAlign w:val="center"/>
          </w:tcPr>
          <w:p w14:paraId="4E38525E" w14:textId="77777777" w:rsidR="000B56AE" w:rsidRDefault="000B56AE">
            <w:pPr>
              <w:pStyle w:val="TableText"/>
            </w:pPr>
          </w:p>
        </w:tc>
        <w:tc>
          <w:tcPr>
            <w:tcW w:w="5253" w:type="dxa"/>
            <w:vAlign w:val="bottom"/>
          </w:tcPr>
          <w:p w14:paraId="61BCCEAA" w14:textId="77777777" w:rsidR="000B56AE" w:rsidRDefault="000B56AE">
            <w:pPr>
              <w:pStyle w:val="TableText"/>
              <w:rPr>
                <w:noProof/>
              </w:rPr>
            </w:pPr>
            <w:r>
              <w:t xml:space="preserve">The patient has a history of an antibody(s) and the unit ID is positive or untested for the corresponding antigen(s).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or BTRF printed for antigen positive or untested unit).</w:t>
            </w:r>
          </w:p>
        </w:tc>
        <w:tc>
          <w:tcPr>
            <w:tcW w:w="1793" w:type="dxa"/>
            <w:vAlign w:val="bottom"/>
          </w:tcPr>
          <w:p w14:paraId="23514CE4" w14:textId="77777777" w:rsidR="000B56AE" w:rsidRDefault="000B56AE">
            <w:pPr>
              <w:pStyle w:val="TableText"/>
            </w:pPr>
            <w:r>
              <w:t xml:space="preserve">Lead Technologist </w:t>
            </w:r>
          </w:p>
        </w:tc>
      </w:tr>
      <w:tr w:rsidR="00F77995" w14:paraId="7EE6B8DE" w14:textId="77777777">
        <w:trPr>
          <w:hidden/>
        </w:trPr>
        <w:tc>
          <w:tcPr>
            <w:tcW w:w="5311" w:type="dxa"/>
            <w:vMerge w:val="restart"/>
            <w:vAlign w:val="center"/>
          </w:tcPr>
          <w:p w14:paraId="65F7FD81" w14:textId="77777777" w:rsidR="000B56AE" w:rsidRDefault="000B56AE">
            <w:pPr>
              <w:pStyle w:val="TableText"/>
            </w:pPr>
            <w:r>
              <w:rPr>
                <w:rFonts w:cs="Arial"/>
                <w:vanish/>
              </w:rPr>
              <w:t xml:space="preserve">BR_43.19 </w:t>
            </w:r>
            <w:r>
              <w:t>When the patient has TRs, VBECS evaluates the selected unit to see whether a TR was satisfied based on system rules</w:t>
            </w:r>
            <w:r>
              <w:rPr>
                <w:vanish/>
                <w:szCs w:val="18"/>
              </w:rPr>
              <w:t>TT_3.04</w:t>
            </w:r>
            <w:r>
              <w:t xml:space="preserve">, including emergency issue. </w:t>
            </w:r>
          </w:p>
        </w:tc>
        <w:tc>
          <w:tcPr>
            <w:tcW w:w="5253" w:type="dxa"/>
            <w:vAlign w:val="bottom"/>
          </w:tcPr>
          <w:p w14:paraId="75C52317" w14:textId="77777777" w:rsidR="000B56AE" w:rsidRDefault="000B56AE">
            <w:pPr>
              <w:pStyle w:val="TableText"/>
            </w:pPr>
            <w:r>
              <w:t>The patient has</w:t>
            </w:r>
            <w:r>
              <w:rPr>
                <w:noProof/>
              </w:rPr>
              <w:t xml:space="preserve"> </w:t>
            </w:r>
            <w:r>
              <w:t xml:space="preserve">at least one </w:t>
            </w:r>
            <w:r>
              <w:rPr>
                <w:noProof/>
              </w:rPr>
              <w:t xml:space="preserve">TR that is not satisfied, the user does </w:t>
            </w:r>
            <w:r>
              <w:t>not have the proper security level to print the Caution Tag or BTRF for this unit. Further processing is needed and must be documented in VBECS. There is no override.</w:t>
            </w:r>
          </w:p>
        </w:tc>
        <w:tc>
          <w:tcPr>
            <w:tcW w:w="1793" w:type="dxa"/>
            <w:vAlign w:val="bottom"/>
          </w:tcPr>
          <w:p w14:paraId="26E01DDF" w14:textId="77777777" w:rsidR="000B56AE" w:rsidRDefault="000B56AE">
            <w:pPr>
              <w:pStyle w:val="TableText"/>
            </w:pPr>
            <w:r>
              <w:t>Enhanced Technologist or below</w:t>
            </w:r>
          </w:p>
        </w:tc>
      </w:tr>
      <w:tr w:rsidR="00F77995" w14:paraId="4C793802" w14:textId="77777777">
        <w:tc>
          <w:tcPr>
            <w:tcW w:w="5311" w:type="dxa"/>
            <w:vMerge/>
            <w:vAlign w:val="center"/>
          </w:tcPr>
          <w:p w14:paraId="744F1A13" w14:textId="77777777" w:rsidR="000B56AE" w:rsidRDefault="000B56AE">
            <w:pPr>
              <w:pStyle w:val="TableText"/>
            </w:pPr>
          </w:p>
        </w:tc>
        <w:tc>
          <w:tcPr>
            <w:tcW w:w="5253" w:type="dxa"/>
            <w:vAlign w:val="bottom"/>
          </w:tcPr>
          <w:p w14:paraId="19A84DCE" w14:textId="77777777" w:rsidR="000B56AE" w:rsidRDefault="000B56AE">
            <w:pPr>
              <w:pStyle w:val="TableText"/>
            </w:pPr>
            <w:r>
              <w:t xml:space="preserve">The patient has at least one </w:t>
            </w:r>
            <w:r>
              <w:rPr>
                <w:noProof/>
              </w:rPr>
              <w:t>TR that is not satisfied</w:t>
            </w:r>
            <w:r>
              <w:t xml:space="preserve">.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printed with unsatisfied TR).</w:t>
            </w:r>
          </w:p>
        </w:tc>
        <w:tc>
          <w:tcPr>
            <w:tcW w:w="1793" w:type="dxa"/>
            <w:vAlign w:val="bottom"/>
          </w:tcPr>
          <w:p w14:paraId="68BD97E6" w14:textId="77777777" w:rsidR="000B56AE" w:rsidRDefault="000B56AE">
            <w:pPr>
              <w:pStyle w:val="TableText"/>
            </w:pPr>
            <w:r>
              <w:t xml:space="preserve">Lead Technologist </w:t>
            </w:r>
          </w:p>
        </w:tc>
      </w:tr>
      <w:tr w:rsidR="00F77995" w14:paraId="0AA0965A" w14:textId="77777777">
        <w:trPr>
          <w:hidden/>
        </w:trPr>
        <w:tc>
          <w:tcPr>
            <w:tcW w:w="5311" w:type="dxa"/>
            <w:vMerge w:val="restart"/>
            <w:vAlign w:val="center"/>
          </w:tcPr>
          <w:p w14:paraId="61667C51" w14:textId="77777777" w:rsidR="000B56AE" w:rsidRDefault="000B56AE">
            <w:pPr>
              <w:pStyle w:val="TableText"/>
            </w:pPr>
            <w:r>
              <w:rPr>
                <w:rFonts w:cs="Arial"/>
                <w:vanish/>
              </w:rPr>
              <w:t xml:space="preserve">BR_43.16 </w:t>
            </w:r>
            <w:r>
              <w:t>The patient specimen is expired.</w:t>
            </w:r>
          </w:p>
        </w:tc>
        <w:tc>
          <w:tcPr>
            <w:tcW w:w="5253" w:type="dxa"/>
            <w:vAlign w:val="bottom"/>
          </w:tcPr>
          <w:p w14:paraId="33BC163A" w14:textId="77777777" w:rsidR="000B56AE" w:rsidRDefault="000B56AE">
            <w:pPr>
              <w:pStyle w:val="TableText"/>
            </w:pPr>
            <w:r>
              <w:t>The patient specimen is expired. There is no override.</w:t>
            </w:r>
          </w:p>
        </w:tc>
        <w:tc>
          <w:tcPr>
            <w:tcW w:w="1793" w:type="dxa"/>
            <w:vAlign w:val="bottom"/>
          </w:tcPr>
          <w:p w14:paraId="51AD9100" w14:textId="77777777" w:rsidR="000B56AE" w:rsidRDefault="000B56AE">
            <w:pPr>
              <w:pStyle w:val="TableText"/>
            </w:pPr>
            <w:r>
              <w:t>Technologist</w:t>
            </w:r>
          </w:p>
        </w:tc>
      </w:tr>
      <w:tr w:rsidR="00F77995" w14:paraId="2E110A9C" w14:textId="77777777">
        <w:tc>
          <w:tcPr>
            <w:tcW w:w="5311" w:type="dxa"/>
            <w:vMerge/>
            <w:vAlign w:val="center"/>
          </w:tcPr>
          <w:p w14:paraId="4DB4BD02" w14:textId="77777777" w:rsidR="000B56AE" w:rsidRDefault="000B56AE">
            <w:pPr>
              <w:pStyle w:val="TableText"/>
            </w:pPr>
          </w:p>
        </w:tc>
        <w:tc>
          <w:tcPr>
            <w:tcW w:w="5253" w:type="dxa"/>
            <w:vAlign w:val="bottom"/>
          </w:tcPr>
          <w:p w14:paraId="29C3C60D" w14:textId="77777777" w:rsidR="000B56AE" w:rsidRDefault="000B56AE">
            <w:pPr>
              <w:pStyle w:val="TableText"/>
            </w:pPr>
            <w:r>
              <w:t xml:space="preserve">The patient specimen is expired. Continue to print the Caution Tag and/or the BTRF? </w:t>
            </w:r>
            <w:r>
              <w:rPr>
                <w:b/>
                <w:bCs/>
              </w:rPr>
              <w:t>No</w:t>
            </w:r>
            <w:r>
              <w:t xml:space="preserve"> clears the screen. </w:t>
            </w:r>
            <w:r>
              <w:rPr>
                <w:b/>
                <w:bCs/>
              </w:rPr>
              <w:t>Yes</w:t>
            </w:r>
            <w:r>
              <w:t xml:space="preserve"> requires a comment and captures details for inclusion in an Exception Report (exception type: Caution Tag printed on expired specimen).</w:t>
            </w:r>
          </w:p>
        </w:tc>
        <w:tc>
          <w:tcPr>
            <w:tcW w:w="1793" w:type="dxa"/>
            <w:vAlign w:val="bottom"/>
          </w:tcPr>
          <w:p w14:paraId="5691AFC5" w14:textId="77777777" w:rsidR="000B56AE" w:rsidRDefault="000B56AE">
            <w:pPr>
              <w:pStyle w:val="TableText"/>
            </w:pPr>
            <w:r>
              <w:t xml:space="preserve">Enhanced Technologist </w:t>
            </w:r>
          </w:p>
        </w:tc>
      </w:tr>
      <w:tr w:rsidR="00F77995" w14:paraId="59530D7D" w14:textId="77777777">
        <w:trPr>
          <w:hidden/>
        </w:trPr>
        <w:tc>
          <w:tcPr>
            <w:tcW w:w="5311" w:type="dxa"/>
            <w:vAlign w:val="center"/>
          </w:tcPr>
          <w:p w14:paraId="5ED0C7AE" w14:textId="77777777" w:rsidR="00F77995" w:rsidRDefault="00C3145B">
            <w:pPr>
              <w:pStyle w:val="TableText"/>
              <w:rPr>
                <w:szCs w:val="18"/>
              </w:rPr>
            </w:pPr>
            <w:r w:rsidRPr="00693D9B">
              <w:rPr>
                <w:vanish/>
                <w:szCs w:val="18"/>
              </w:rPr>
              <w:t>BR_3.05</w:t>
            </w:r>
            <w:r>
              <w:rPr>
                <w:vanish/>
                <w:szCs w:val="18"/>
              </w:rPr>
              <w:t xml:space="preserve"> </w:t>
            </w:r>
            <w:r w:rsidR="00F77995">
              <w:rPr>
                <w:szCs w:val="18"/>
              </w:rPr>
              <w:t>The user attempts to print Caution Tags for emergency issue and:</w:t>
            </w:r>
          </w:p>
          <w:p w14:paraId="0A894338" w14:textId="77777777" w:rsidR="00F77995" w:rsidRDefault="00C3145B" w:rsidP="00F77995">
            <w:pPr>
              <w:pStyle w:val="TableTextBullet"/>
            </w:pPr>
            <w:r>
              <w:rPr>
                <w:szCs w:val="18"/>
              </w:rPr>
              <w:t>The c</w:t>
            </w:r>
            <w:r w:rsidR="00F77995">
              <w:t xml:space="preserve">urrent specimen has an </w:t>
            </w:r>
            <w:r w:rsidR="000B56AE">
              <w:t>“Emergency Issue” order</w:t>
            </w:r>
            <w:r>
              <w:t>.</w:t>
            </w:r>
          </w:p>
          <w:p w14:paraId="4EE46920" w14:textId="77777777" w:rsidR="00C3145B" w:rsidRDefault="00C3145B" w:rsidP="00F77995">
            <w:pPr>
              <w:pStyle w:val="TableTextBullet"/>
            </w:pPr>
            <w:r>
              <w:t>The patient has no record of ABO/Rh typing.</w:t>
            </w:r>
          </w:p>
          <w:p w14:paraId="2BA1C9CB" w14:textId="77777777" w:rsidR="00C3145B" w:rsidRDefault="00C3145B" w:rsidP="00C3145B">
            <w:pPr>
              <w:pStyle w:val="TableTextBullet"/>
            </w:pPr>
            <w:r>
              <w:t>The r</w:t>
            </w:r>
            <w:r w:rsidR="000B56AE">
              <w:t>equired ABO/Rh specimen testing</w:t>
            </w:r>
            <w:r w:rsidR="000B56AE">
              <w:rPr>
                <w:color w:val="000000"/>
              </w:rPr>
              <w:t xml:space="preserve"> is</w:t>
            </w:r>
            <w:r w:rsidR="000B56AE">
              <w:t xml:space="preserve"> incomplete</w:t>
            </w:r>
            <w:r>
              <w:t>.</w:t>
            </w:r>
          </w:p>
          <w:p w14:paraId="78C72A10" w14:textId="77777777" w:rsidR="00C3145B" w:rsidRDefault="00C3145B" w:rsidP="00C3145B">
            <w:pPr>
              <w:pStyle w:val="TableText"/>
            </w:pPr>
          </w:p>
          <w:p w14:paraId="0BA5A64C" w14:textId="77777777" w:rsidR="00F77995" w:rsidRDefault="00C3145B" w:rsidP="00C3145B">
            <w:pPr>
              <w:pStyle w:val="TableText"/>
            </w:pPr>
            <w:r>
              <w:t>The u</w:t>
            </w:r>
            <w:r w:rsidR="00F77995">
              <w:t>ser may select:</w:t>
            </w:r>
          </w:p>
          <w:p w14:paraId="6CE95619" w14:textId="77777777" w:rsidR="00F77995" w:rsidRDefault="00F77995" w:rsidP="00C3145B">
            <w:pPr>
              <w:pStyle w:val="TableTextBullet"/>
            </w:pPr>
            <w:r>
              <w:t xml:space="preserve">For WB or RBC order only: </w:t>
            </w:r>
            <w:r w:rsidR="00093181">
              <w:t>group</w:t>
            </w:r>
            <w:r w:rsidR="000014DD">
              <w:t xml:space="preserve"> </w:t>
            </w:r>
            <w:r>
              <w:t xml:space="preserve">O, Rh positive or O Rh negative </w:t>
            </w:r>
            <w:r w:rsidR="00C3145B">
              <w:t>(</w:t>
            </w:r>
            <w:r w:rsidR="000B56AE">
              <w:t>WHOLE BLOOD is not available</w:t>
            </w:r>
            <w:r w:rsidR="00C3145B">
              <w:t>).</w:t>
            </w:r>
          </w:p>
          <w:p w14:paraId="4E98E887" w14:textId="77777777" w:rsidR="00F77995" w:rsidRDefault="00626C6A" w:rsidP="00C3145B">
            <w:pPr>
              <w:pStyle w:val="TableTextBullet"/>
            </w:pPr>
            <w:r>
              <w:t>F</w:t>
            </w:r>
            <w:r w:rsidR="000B56AE">
              <w:t>or FFP order only:</w:t>
            </w:r>
            <w:r w:rsidR="00D5161F">
              <w:t xml:space="preserve"> g</w:t>
            </w:r>
            <w:r w:rsidR="000B56AE">
              <w:t>roup AB, Rh positive or Rh negative</w:t>
            </w:r>
            <w:r>
              <w:t>.</w:t>
            </w:r>
          </w:p>
          <w:p w14:paraId="5B1D6F2A" w14:textId="77777777" w:rsidR="000B56AE" w:rsidRDefault="000B56AE" w:rsidP="00C3145B">
            <w:pPr>
              <w:pStyle w:val="TableTextBullet"/>
            </w:pPr>
            <w:r>
              <w:t>For PLT order:</w:t>
            </w:r>
            <w:r w:rsidR="00D5161F">
              <w:t xml:space="preserve"> a</w:t>
            </w:r>
            <w:r>
              <w:t>ll available units are issuable.</w:t>
            </w:r>
          </w:p>
        </w:tc>
        <w:tc>
          <w:tcPr>
            <w:tcW w:w="5253" w:type="dxa"/>
            <w:vAlign w:val="bottom"/>
          </w:tcPr>
          <w:p w14:paraId="133E7C39" w14:textId="77777777" w:rsidR="000B56AE" w:rsidRDefault="000B56AE">
            <w:pPr>
              <w:pStyle w:val="TableText"/>
            </w:pPr>
            <w:r>
              <w:t>The unit does not meet these requirements. Testing is incomplete and this unit is not eligible for emergency issue. The Caution Tag cannot be printed. There is no override.</w:t>
            </w:r>
          </w:p>
        </w:tc>
        <w:tc>
          <w:tcPr>
            <w:tcW w:w="1793" w:type="dxa"/>
            <w:vAlign w:val="bottom"/>
          </w:tcPr>
          <w:p w14:paraId="5F3041A4" w14:textId="77777777" w:rsidR="000B56AE" w:rsidRDefault="000B56AE">
            <w:pPr>
              <w:pStyle w:val="TableText"/>
            </w:pPr>
            <w:r>
              <w:t>All users</w:t>
            </w:r>
          </w:p>
        </w:tc>
      </w:tr>
      <w:tr w:rsidR="00F77995" w14:paraId="217CDBFA" w14:textId="77777777">
        <w:trPr>
          <w:hidden/>
        </w:trPr>
        <w:tc>
          <w:tcPr>
            <w:tcW w:w="5311" w:type="dxa"/>
            <w:vAlign w:val="center"/>
          </w:tcPr>
          <w:p w14:paraId="6239573D" w14:textId="77777777" w:rsidR="000B56AE" w:rsidRDefault="000B56AE">
            <w:pPr>
              <w:pStyle w:val="TableText"/>
            </w:pPr>
            <w:r>
              <w:rPr>
                <w:rFonts w:cs="Arial"/>
                <w:vanish/>
              </w:rPr>
              <w:lastRenderedPageBreak/>
              <w:t xml:space="preserve">BR_43.02 </w:t>
            </w:r>
            <w:r>
              <w:t>VBECS determines whether a blood unit that does require crossmatch (electronic or serologic) is ready for issue based on the following rules:</w:t>
            </w:r>
          </w:p>
          <w:p w14:paraId="4CD4AF67" w14:textId="77777777" w:rsidR="000B56AE" w:rsidRDefault="000B56AE" w:rsidP="00BE2D19">
            <w:pPr>
              <w:pStyle w:val="TableTextBullet"/>
            </w:pPr>
            <w:r>
              <w:t xml:space="preserve">Unit is not in a frozen state. </w:t>
            </w:r>
          </w:p>
          <w:p w14:paraId="1659E002" w14:textId="77777777" w:rsidR="000B56AE" w:rsidRDefault="000B56AE" w:rsidP="00BE2D19">
            <w:pPr>
              <w:pStyle w:val="TableTextBullet"/>
            </w:pPr>
            <w:r>
              <w:t>The unit is crossmatched to the patient (eXM, or serologic XM).</w:t>
            </w:r>
          </w:p>
          <w:p w14:paraId="10F35B2F" w14:textId="77777777" w:rsidR="000B56AE" w:rsidRDefault="000B56AE" w:rsidP="00BE2D19">
            <w:pPr>
              <w:pStyle w:val="TableTextBullet"/>
            </w:pPr>
            <w:r>
              <w:t xml:space="preserve">TAS Specimen testing is complete and valid (ABO/Rh and </w:t>
            </w:r>
            <w:r w:rsidR="004E2F2D">
              <w:t>ABS</w:t>
            </w:r>
            <w:r>
              <w:t xml:space="preserve"> results are entered).</w:t>
            </w:r>
          </w:p>
          <w:p w14:paraId="62FDE53A" w14:textId="77777777" w:rsidR="000B56AE" w:rsidRDefault="000B56AE">
            <w:pPr>
              <w:pStyle w:val="TableText"/>
            </w:pPr>
            <w:r>
              <w:t>One of these crossmatch interpretations was entered:</w:t>
            </w:r>
          </w:p>
          <w:p w14:paraId="414FC307" w14:textId="77777777" w:rsidR="000B56AE" w:rsidRDefault="000B56AE" w:rsidP="00BE2D19">
            <w:pPr>
              <w:pStyle w:val="TableTextBullet"/>
            </w:pPr>
            <w:r>
              <w:t xml:space="preserve">Crossmatch Compatible </w:t>
            </w:r>
          </w:p>
          <w:p w14:paraId="2BF9BF08" w14:textId="77777777" w:rsidR="000B56AE" w:rsidRDefault="000B56AE" w:rsidP="00BE2D19">
            <w:pPr>
              <w:pStyle w:val="TableTextBullet"/>
            </w:pPr>
            <w:r>
              <w:t>Compatible: Electronically crossmatched</w:t>
            </w:r>
          </w:p>
          <w:p w14:paraId="2722676E" w14:textId="77777777" w:rsidR="000B56AE" w:rsidRDefault="000B56AE" w:rsidP="00BE2D19">
            <w:pPr>
              <w:pStyle w:val="TableTextBullet"/>
            </w:pPr>
            <w:r>
              <w:t>Crossmatch Incompatible: Give only with Medical Director approval</w:t>
            </w:r>
          </w:p>
        </w:tc>
        <w:tc>
          <w:tcPr>
            <w:tcW w:w="5253" w:type="dxa"/>
            <w:vAlign w:val="bottom"/>
          </w:tcPr>
          <w:p w14:paraId="6DE6B269" w14:textId="77777777" w:rsidR="000B56AE" w:rsidRDefault="000B56AE">
            <w:pPr>
              <w:pStyle w:val="TableText"/>
            </w:pPr>
            <w:r>
              <w:t xml:space="preserve">All of the conditions for the unit are met but an emergency issue order indicator is in place or the testing is incomplete or inconclusive on the current specimen and units were selected. Do you want to print emergency issue tags/forms for the unit/patient? </w:t>
            </w:r>
            <w:r>
              <w:rPr>
                <w:b/>
                <w:bCs/>
              </w:rPr>
              <w:t>Yes</w:t>
            </w:r>
            <w:r>
              <w:t xml:space="preserve"> prints the emergency issue tags and forms. </w:t>
            </w:r>
            <w:r>
              <w:rPr>
                <w:b/>
                <w:bCs/>
              </w:rPr>
              <w:t>No</w:t>
            </w:r>
            <w:r>
              <w:t xml:space="preserve"> does not allow the user to continue.</w:t>
            </w:r>
          </w:p>
        </w:tc>
        <w:tc>
          <w:tcPr>
            <w:tcW w:w="1793" w:type="dxa"/>
            <w:vAlign w:val="bottom"/>
          </w:tcPr>
          <w:p w14:paraId="465762FA" w14:textId="77777777" w:rsidR="000B56AE" w:rsidRDefault="000B56AE">
            <w:pPr>
              <w:pStyle w:val="TableText"/>
            </w:pPr>
            <w:r>
              <w:t>All users</w:t>
            </w:r>
          </w:p>
        </w:tc>
      </w:tr>
      <w:tr w:rsidR="00F77995" w14:paraId="2834FD59" w14:textId="77777777">
        <w:trPr>
          <w:hidden/>
        </w:trPr>
        <w:tc>
          <w:tcPr>
            <w:tcW w:w="5311" w:type="dxa"/>
            <w:tcBorders>
              <w:bottom w:val="single" w:sz="4" w:space="0" w:color="auto"/>
            </w:tcBorders>
            <w:vAlign w:val="center"/>
          </w:tcPr>
          <w:p w14:paraId="4E0FC06A" w14:textId="77777777" w:rsidR="000B56AE" w:rsidRDefault="000B56AE" w:rsidP="00AC7151">
            <w:pPr>
              <w:pStyle w:val="TableText"/>
            </w:pPr>
            <w:r>
              <w:rPr>
                <w:rFonts w:cs="Arial"/>
                <w:vanish/>
              </w:rPr>
              <w:t xml:space="preserve">BR_43.07 </w:t>
            </w:r>
            <w:r>
              <w:t xml:space="preserve">For blood units that </w:t>
            </w:r>
            <w:r>
              <w:rPr>
                <w:iCs/>
              </w:rPr>
              <w:t>do not require crossmatch</w:t>
            </w:r>
            <w:r>
              <w:t xml:space="preserve"> when the unit is assigned to the patient and is not in a frozen state, VBECS determines when a blood unit is ready for issue. </w:t>
            </w:r>
          </w:p>
        </w:tc>
        <w:tc>
          <w:tcPr>
            <w:tcW w:w="5253" w:type="dxa"/>
            <w:tcBorders>
              <w:bottom w:val="single" w:sz="4" w:space="0" w:color="auto"/>
            </w:tcBorders>
            <w:vAlign w:val="bottom"/>
          </w:tcPr>
          <w:p w14:paraId="4D557DFF" w14:textId="77777777" w:rsidR="000B56AE" w:rsidRDefault="000B56AE">
            <w:pPr>
              <w:pStyle w:val="TableText"/>
            </w:pPr>
            <w:r>
              <w:t>All of the conditions for the unit are</w:t>
            </w:r>
            <w:r>
              <w:rPr>
                <w:i/>
              </w:rPr>
              <w:t xml:space="preserve"> </w:t>
            </w:r>
            <w:r>
              <w:rPr>
                <w:iCs/>
              </w:rPr>
              <w:t>not</w:t>
            </w:r>
            <w:r>
              <w:t xml:space="preserve"> met. The Caution Tag and/or the BTRF cannot be printed at this time and the reason they </w:t>
            </w:r>
            <w:r w:rsidR="00A10483">
              <w:t>cannot</w:t>
            </w:r>
            <w:r>
              <w:t xml:space="preserve"> be printed. Additional patient testing or unit processing must be performed.</w:t>
            </w:r>
          </w:p>
        </w:tc>
        <w:tc>
          <w:tcPr>
            <w:tcW w:w="1793" w:type="dxa"/>
            <w:tcBorders>
              <w:bottom w:val="single" w:sz="4" w:space="0" w:color="auto"/>
            </w:tcBorders>
            <w:vAlign w:val="bottom"/>
          </w:tcPr>
          <w:p w14:paraId="63CF7128" w14:textId="77777777" w:rsidR="000B56AE" w:rsidRDefault="000B56AE">
            <w:pPr>
              <w:pStyle w:val="TableText"/>
            </w:pPr>
            <w:r>
              <w:t>All users</w:t>
            </w:r>
          </w:p>
        </w:tc>
      </w:tr>
    </w:tbl>
    <w:p w14:paraId="13E815CD" w14:textId="73354FD5" w:rsidR="002A21AE" w:rsidRDefault="002A21AE">
      <w:pPr>
        <w:pStyle w:val="Caption"/>
      </w:pPr>
      <w:bookmarkStart w:id="401" w:name="_Toc97523621"/>
      <w:bookmarkStart w:id="402" w:name="_Toc9752759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81</w:t>
      </w:r>
      <w:r w:rsidR="004E20BD">
        <w:rPr>
          <w:noProof/>
        </w:rPr>
        <w:fldChar w:fldCharType="end"/>
      </w:r>
      <w:r>
        <w:t>: Caution Tag</w:t>
      </w:r>
      <w:bookmarkEnd w:id="401"/>
      <w:bookmarkEnd w:id="402"/>
      <w:r w:rsidR="00CC006F">
        <w:t xml:space="preserve"> </w:t>
      </w:r>
      <w:r w:rsidR="00CC006F" w:rsidRPr="00CC006F">
        <w:rPr>
          <w:vanish/>
        </w:rPr>
        <w:t>DR 4848</w:t>
      </w:r>
      <w:r>
        <w:fldChar w:fldCharType="begin"/>
      </w:r>
      <w:r>
        <w:instrText xml:space="preserve"> XE </w:instrText>
      </w:r>
      <w:r w:rsidR="00FA7E65">
        <w:instrText>“</w:instrText>
      </w:r>
      <w:r>
        <w:instrText>Figures:Caution Tag</w:instrText>
      </w:r>
      <w:r w:rsidR="00FA7E65">
        <w:instrText>”</w:instrText>
      </w:r>
      <w:r>
        <w:instrText xml:space="preserve"> </w:instrText>
      </w:r>
      <w:r>
        <w:fldChar w:fldCharType="end"/>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800"/>
      </w:tblGrid>
      <w:tr w:rsidR="002A21AE" w14:paraId="4BA5CFF3" w14:textId="77777777" w:rsidTr="00FD28CB">
        <w:trPr>
          <w:cantSplit/>
          <w:trHeight w:val="350"/>
        </w:trPr>
        <w:tc>
          <w:tcPr>
            <w:tcW w:w="5760" w:type="dxa"/>
            <w:gridSpan w:val="3"/>
            <w:vMerge w:val="restart"/>
          </w:tcPr>
          <w:p w14:paraId="4999247A" w14:textId="77777777" w:rsidR="002A21AE" w:rsidRPr="0071550C" w:rsidRDefault="0071550C">
            <w:pPr>
              <w:rPr>
                <w:rFonts w:ascii="Arial" w:hAnsi="Arial"/>
                <w:sz w:val="18"/>
                <w:szCs w:val="18"/>
              </w:rPr>
            </w:pPr>
            <w:r w:rsidRPr="0071550C">
              <w:rPr>
                <w:rFonts w:ascii="Arial" w:hAnsi="Arial"/>
                <w:sz w:val="18"/>
                <w:szCs w:val="18"/>
              </w:rPr>
              <w:t>Product Code                                            2D Barcode</w:t>
            </w:r>
          </w:p>
          <w:p w14:paraId="13192F58" w14:textId="77777777" w:rsidR="0071550C" w:rsidRPr="0071550C" w:rsidRDefault="0071550C">
            <w:pPr>
              <w:rPr>
                <w:rFonts w:ascii="Arial" w:hAnsi="Arial"/>
                <w:sz w:val="18"/>
                <w:szCs w:val="18"/>
              </w:rPr>
            </w:pPr>
          </w:p>
          <w:p w14:paraId="483A0056" w14:textId="77777777" w:rsidR="0071550C" w:rsidRPr="0071550C" w:rsidRDefault="002A21AE">
            <w:pPr>
              <w:rPr>
                <w:rFonts w:ascii="Arial" w:hAnsi="Arial"/>
                <w:sz w:val="18"/>
                <w:szCs w:val="18"/>
              </w:rPr>
            </w:pPr>
            <w:r w:rsidRPr="0071550C">
              <w:rPr>
                <w:rFonts w:ascii="Arial" w:hAnsi="Arial"/>
                <w:sz w:val="18"/>
                <w:szCs w:val="18"/>
              </w:rPr>
              <w:t>Division Name</w:t>
            </w:r>
          </w:p>
          <w:p w14:paraId="742BB403" w14:textId="77777777" w:rsidR="002A21AE" w:rsidRDefault="002A21AE">
            <w:pPr>
              <w:rPr>
                <w:rFonts w:ascii="Arial" w:hAnsi="Arial"/>
                <w:sz w:val="20"/>
              </w:rPr>
            </w:pPr>
            <w:r w:rsidRPr="0071550C">
              <w:rPr>
                <w:rFonts w:ascii="Arial" w:hAnsi="Arial"/>
                <w:sz w:val="18"/>
                <w:szCs w:val="18"/>
              </w:rPr>
              <w:t>City, State</w:t>
            </w:r>
          </w:p>
        </w:tc>
      </w:tr>
      <w:tr w:rsidR="002A21AE" w14:paraId="0C004C5A" w14:textId="77777777" w:rsidTr="00FD28CB">
        <w:trPr>
          <w:cantSplit/>
          <w:trHeight w:val="230"/>
        </w:trPr>
        <w:tc>
          <w:tcPr>
            <w:tcW w:w="5760" w:type="dxa"/>
            <w:gridSpan w:val="3"/>
            <w:vMerge/>
          </w:tcPr>
          <w:p w14:paraId="332776AB" w14:textId="77777777" w:rsidR="002A21AE" w:rsidRDefault="002A21AE">
            <w:pPr>
              <w:rPr>
                <w:rFonts w:ascii="Arial" w:hAnsi="Arial"/>
                <w:sz w:val="20"/>
              </w:rPr>
            </w:pPr>
          </w:p>
        </w:tc>
      </w:tr>
      <w:tr w:rsidR="002A21AE" w14:paraId="5F7493FA" w14:textId="77777777" w:rsidTr="00FD28CB">
        <w:trPr>
          <w:cantSplit/>
        </w:trPr>
        <w:tc>
          <w:tcPr>
            <w:tcW w:w="5760" w:type="dxa"/>
            <w:gridSpan w:val="3"/>
          </w:tcPr>
          <w:p w14:paraId="027DBE17" w14:textId="77777777" w:rsidR="002A21AE" w:rsidRPr="0071550C" w:rsidRDefault="002A21AE" w:rsidP="0071550C">
            <w:pPr>
              <w:rPr>
                <w:rFonts w:ascii="Arial" w:hAnsi="Arial"/>
                <w:sz w:val="20"/>
                <w:vertAlign w:val="superscript"/>
              </w:rPr>
            </w:pPr>
            <w:r w:rsidRPr="0071550C">
              <w:rPr>
                <w:rFonts w:ascii="Arial" w:hAnsi="Arial"/>
                <w:sz w:val="20"/>
                <w:vertAlign w:val="superscript"/>
              </w:rPr>
              <w:t xml:space="preserve">Patient </w:t>
            </w:r>
            <w:r w:rsidR="0071550C" w:rsidRPr="0071550C">
              <w:rPr>
                <w:rFonts w:ascii="Arial" w:hAnsi="Arial"/>
                <w:sz w:val="20"/>
                <w:vertAlign w:val="superscript"/>
              </w:rPr>
              <w:t>Name</w:t>
            </w:r>
            <w:r w:rsidRPr="0071550C">
              <w:rPr>
                <w:rFonts w:ascii="Arial" w:hAnsi="Arial"/>
                <w:sz w:val="20"/>
                <w:vertAlign w:val="superscript"/>
              </w:rPr>
              <w:t>:</w:t>
            </w:r>
          </w:p>
          <w:p w14:paraId="2CF21DF9" w14:textId="77777777" w:rsidR="002A21AE" w:rsidRDefault="002A21AE">
            <w:pPr>
              <w:rPr>
                <w:rFonts w:ascii="Arial" w:hAnsi="Arial"/>
                <w:sz w:val="20"/>
                <w:vertAlign w:val="superscript"/>
              </w:rPr>
            </w:pPr>
          </w:p>
        </w:tc>
      </w:tr>
      <w:tr w:rsidR="002A21AE" w14:paraId="55A2C9C1" w14:textId="77777777" w:rsidTr="00FD28CB">
        <w:trPr>
          <w:cantSplit/>
        </w:trPr>
        <w:tc>
          <w:tcPr>
            <w:tcW w:w="3960" w:type="dxa"/>
            <w:gridSpan w:val="2"/>
            <w:tcBorders>
              <w:bottom w:val="single" w:sz="4" w:space="0" w:color="auto"/>
            </w:tcBorders>
          </w:tcPr>
          <w:p w14:paraId="165DC958" w14:textId="77777777" w:rsidR="002A21AE" w:rsidRDefault="002A21AE">
            <w:pPr>
              <w:rPr>
                <w:rFonts w:ascii="Arial" w:hAnsi="Arial"/>
                <w:b/>
                <w:sz w:val="20"/>
                <w:vertAlign w:val="superscript"/>
              </w:rPr>
            </w:pPr>
            <w:r>
              <w:rPr>
                <w:rFonts w:ascii="Arial" w:hAnsi="Arial"/>
                <w:sz w:val="20"/>
                <w:vertAlign w:val="superscript"/>
              </w:rPr>
              <w:t xml:space="preserve">Patient </w:t>
            </w:r>
            <w:r w:rsidR="0071550C">
              <w:rPr>
                <w:rFonts w:ascii="Arial" w:hAnsi="Arial"/>
                <w:sz w:val="20"/>
                <w:vertAlign w:val="superscript"/>
              </w:rPr>
              <w:t>ID</w:t>
            </w:r>
            <w:r>
              <w:rPr>
                <w:rFonts w:ascii="Arial" w:hAnsi="Arial"/>
                <w:sz w:val="20"/>
                <w:vertAlign w:val="superscript"/>
              </w:rPr>
              <w:t>:</w:t>
            </w:r>
          </w:p>
          <w:p w14:paraId="2702018C" w14:textId="77777777" w:rsidR="002A21AE" w:rsidRDefault="002A21AE">
            <w:pPr>
              <w:rPr>
                <w:rFonts w:ascii="Arial" w:hAnsi="Arial"/>
                <w:sz w:val="20"/>
                <w:vertAlign w:val="superscript"/>
              </w:rPr>
            </w:pPr>
          </w:p>
        </w:tc>
        <w:tc>
          <w:tcPr>
            <w:tcW w:w="1800" w:type="dxa"/>
            <w:tcBorders>
              <w:bottom w:val="single" w:sz="4" w:space="0" w:color="auto"/>
            </w:tcBorders>
          </w:tcPr>
          <w:p w14:paraId="130223C4" w14:textId="77777777" w:rsidR="002A21AE" w:rsidRDefault="002A21AE">
            <w:pPr>
              <w:rPr>
                <w:rFonts w:ascii="Arial" w:hAnsi="Arial"/>
                <w:sz w:val="20"/>
                <w:vertAlign w:val="superscript"/>
              </w:rPr>
            </w:pPr>
            <w:r>
              <w:rPr>
                <w:rFonts w:ascii="Arial" w:hAnsi="Arial"/>
                <w:sz w:val="20"/>
                <w:vertAlign w:val="superscript"/>
              </w:rPr>
              <w:t>Recipient Blood Type:</w:t>
            </w:r>
          </w:p>
          <w:p w14:paraId="5422C9C1" w14:textId="77777777" w:rsidR="002A21AE" w:rsidRDefault="002A21AE">
            <w:pPr>
              <w:pStyle w:val="Heading4"/>
              <w:rPr>
                <w:sz w:val="20"/>
                <w:vertAlign w:val="superscript"/>
              </w:rPr>
            </w:pPr>
          </w:p>
        </w:tc>
      </w:tr>
      <w:tr w:rsidR="002A21AE" w14:paraId="5856B5FF" w14:textId="77777777" w:rsidTr="00FD28CB">
        <w:trPr>
          <w:cantSplit/>
          <w:trHeight w:val="230"/>
        </w:trPr>
        <w:tc>
          <w:tcPr>
            <w:tcW w:w="3960" w:type="dxa"/>
            <w:gridSpan w:val="2"/>
            <w:vMerge w:val="restart"/>
          </w:tcPr>
          <w:p w14:paraId="6122C661" w14:textId="77777777" w:rsidR="002A21AE" w:rsidRDefault="002A21AE">
            <w:pPr>
              <w:rPr>
                <w:rFonts w:ascii="Arial" w:hAnsi="Arial"/>
                <w:sz w:val="20"/>
                <w:vertAlign w:val="superscript"/>
              </w:rPr>
            </w:pPr>
            <w:r>
              <w:rPr>
                <w:rFonts w:ascii="Arial" w:hAnsi="Arial"/>
                <w:sz w:val="20"/>
                <w:vertAlign w:val="superscript"/>
              </w:rPr>
              <w:t>Unit/Pool ID:</w:t>
            </w:r>
          </w:p>
        </w:tc>
        <w:tc>
          <w:tcPr>
            <w:tcW w:w="1800" w:type="dxa"/>
            <w:vMerge w:val="restart"/>
          </w:tcPr>
          <w:p w14:paraId="0E216C34" w14:textId="77777777" w:rsidR="002A21AE" w:rsidRDefault="002A21AE">
            <w:pPr>
              <w:rPr>
                <w:rFonts w:ascii="Arial" w:hAnsi="Arial"/>
                <w:sz w:val="20"/>
                <w:vertAlign w:val="superscript"/>
              </w:rPr>
            </w:pPr>
            <w:r>
              <w:rPr>
                <w:rFonts w:ascii="Arial" w:hAnsi="Arial"/>
                <w:sz w:val="20"/>
                <w:vertAlign w:val="superscript"/>
              </w:rPr>
              <w:t>Donor Blood Type:</w:t>
            </w:r>
          </w:p>
          <w:p w14:paraId="3340CF1F" w14:textId="77777777" w:rsidR="002A21AE" w:rsidRDefault="002A21AE">
            <w:pPr>
              <w:rPr>
                <w:rFonts w:ascii="Arial" w:hAnsi="Arial"/>
                <w:sz w:val="20"/>
                <w:vertAlign w:val="superscript"/>
              </w:rPr>
            </w:pPr>
          </w:p>
        </w:tc>
      </w:tr>
      <w:tr w:rsidR="002A21AE" w14:paraId="79F150A6" w14:textId="77777777" w:rsidTr="00FD28CB">
        <w:trPr>
          <w:cantSplit/>
          <w:trHeight w:val="230"/>
        </w:trPr>
        <w:tc>
          <w:tcPr>
            <w:tcW w:w="3960" w:type="dxa"/>
            <w:gridSpan w:val="2"/>
            <w:vMerge/>
          </w:tcPr>
          <w:p w14:paraId="1190DA65" w14:textId="77777777" w:rsidR="002A21AE" w:rsidRDefault="002A21AE">
            <w:pPr>
              <w:rPr>
                <w:rFonts w:ascii="Arial" w:hAnsi="Arial"/>
                <w:sz w:val="20"/>
                <w:vertAlign w:val="superscript"/>
              </w:rPr>
            </w:pPr>
          </w:p>
        </w:tc>
        <w:tc>
          <w:tcPr>
            <w:tcW w:w="1800" w:type="dxa"/>
            <w:vMerge/>
          </w:tcPr>
          <w:p w14:paraId="7D171799" w14:textId="77777777" w:rsidR="002A21AE" w:rsidRDefault="002A21AE">
            <w:pPr>
              <w:rPr>
                <w:rFonts w:ascii="Arial" w:hAnsi="Arial"/>
                <w:sz w:val="20"/>
                <w:vertAlign w:val="superscript"/>
              </w:rPr>
            </w:pPr>
          </w:p>
        </w:tc>
      </w:tr>
      <w:tr w:rsidR="002A21AE" w14:paraId="7CBB74AF" w14:textId="77777777" w:rsidTr="00FD28CB">
        <w:trPr>
          <w:cantSplit/>
        </w:trPr>
        <w:tc>
          <w:tcPr>
            <w:tcW w:w="5760" w:type="dxa"/>
            <w:gridSpan w:val="3"/>
            <w:tcBorders>
              <w:bottom w:val="single" w:sz="4" w:space="0" w:color="auto"/>
            </w:tcBorders>
          </w:tcPr>
          <w:p w14:paraId="39AFEB1D" w14:textId="77777777" w:rsidR="002A21AE" w:rsidRPr="0071550C" w:rsidRDefault="002A21AE">
            <w:pPr>
              <w:rPr>
                <w:rFonts w:ascii="Arial" w:hAnsi="Arial"/>
                <w:sz w:val="20"/>
                <w:vertAlign w:val="superscript"/>
              </w:rPr>
            </w:pPr>
            <w:r w:rsidRPr="0071550C">
              <w:rPr>
                <w:rFonts w:ascii="Arial" w:hAnsi="Arial"/>
                <w:sz w:val="20"/>
                <w:vertAlign w:val="superscript"/>
              </w:rPr>
              <w:t>Compatibility Interpretation:</w:t>
            </w:r>
          </w:p>
          <w:p w14:paraId="2CDB8649" w14:textId="77777777" w:rsidR="002A21AE" w:rsidRDefault="002A21AE">
            <w:pPr>
              <w:rPr>
                <w:vertAlign w:val="superscript"/>
              </w:rPr>
            </w:pPr>
          </w:p>
        </w:tc>
      </w:tr>
      <w:tr w:rsidR="002A21AE" w14:paraId="2A0BB48B" w14:textId="77777777" w:rsidTr="00FD28CB">
        <w:trPr>
          <w:cantSplit/>
          <w:trHeight w:val="276"/>
        </w:trPr>
        <w:tc>
          <w:tcPr>
            <w:tcW w:w="5760" w:type="dxa"/>
            <w:gridSpan w:val="3"/>
            <w:vMerge w:val="restart"/>
          </w:tcPr>
          <w:p w14:paraId="3E78596E" w14:textId="77777777" w:rsidR="002A21AE" w:rsidRDefault="002A21AE">
            <w:pPr>
              <w:rPr>
                <w:rFonts w:ascii="Arial" w:hAnsi="Arial"/>
                <w:sz w:val="18"/>
              </w:rPr>
            </w:pPr>
            <w:r>
              <w:rPr>
                <w:rFonts w:ascii="Arial" w:hAnsi="Arial"/>
                <w:b/>
                <w:snapToGrid w:val="0"/>
                <w:sz w:val="18"/>
              </w:rPr>
              <w:t>CAUTION:</w:t>
            </w:r>
            <w:r>
              <w:rPr>
                <w:rFonts w:ascii="Arial" w:hAnsi="Arial"/>
                <w:snapToGrid w:val="0"/>
                <w:sz w:val="18"/>
              </w:rPr>
              <w:t xml:space="preserve"> </w:t>
            </w:r>
            <w:r>
              <w:rPr>
                <w:rFonts w:ascii="Arial" w:hAnsi="Arial"/>
                <w:b/>
                <w:snapToGrid w:val="0"/>
                <w:sz w:val="18"/>
              </w:rPr>
              <w:t>Before transfusing this blood component, perform bedside verification of the patient</w:t>
            </w:r>
            <w:r w:rsidR="00FA7E65">
              <w:rPr>
                <w:rFonts w:ascii="Arial" w:hAnsi="Arial"/>
                <w:b/>
                <w:snapToGrid w:val="0"/>
                <w:sz w:val="18"/>
              </w:rPr>
              <w:t>’</w:t>
            </w:r>
            <w:r>
              <w:rPr>
                <w:rFonts w:ascii="Arial" w:hAnsi="Arial"/>
                <w:b/>
                <w:snapToGrid w:val="0"/>
                <w:sz w:val="18"/>
              </w:rPr>
              <w:t xml:space="preserve">s identity </w:t>
            </w:r>
            <w:r>
              <w:rPr>
                <w:rFonts w:ascii="Arial" w:hAnsi="Arial"/>
                <w:snapToGrid w:val="0"/>
                <w:sz w:val="18"/>
              </w:rPr>
              <w:t>by matching the patient identification on this tag with the patient wristband and the Blood Transfusion Record Form.</w:t>
            </w:r>
          </w:p>
        </w:tc>
      </w:tr>
      <w:tr w:rsidR="002A21AE" w14:paraId="65CBC69D" w14:textId="77777777" w:rsidTr="00FD28CB">
        <w:trPr>
          <w:cantSplit/>
          <w:trHeight w:val="276"/>
        </w:trPr>
        <w:tc>
          <w:tcPr>
            <w:tcW w:w="5760" w:type="dxa"/>
            <w:gridSpan w:val="3"/>
            <w:vMerge/>
          </w:tcPr>
          <w:p w14:paraId="1E19FB56" w14:textId="77777777" w:rsidR="002A21AE" w:rsidRDefault="002A21AE">
            <w:pPr>
              <w:rPr>
                <w:rFonts w:ascii="Arial" w:hAnsi="Arial"/>
                <w:sz w:val="18"/>
              </w:rPr>
            </w:pPr>
          </w:p>
        </w:tc>
      </w:tr>
      <w:tr w:rsidR="002A21AE" w14:paraId="7B609907" w14:textId="77777777" w:rsidTr="00FD28CB">
        <w:trPr>
          <w:cantSplit/>
          <w:trHeight w:val="207"/>
        </w:trPr>
        <w:tc>
          <w:tcPr>
            <w:tcW w:w="5760" w:type="dxa"/>
            <w:gridSpan w:val="3"/>
            <w:vMerge/>
            <w:tcBorders>
              <w:bottom w:val="single" w:sz="4" w:space="0" w:color="auto"/>
            </w:tcBorders>
          </w:tcPr>
          <w:p w14:paraId="558F73F6" w14:textId="77777777" w:rsidR="002A21AE" w:rsidRDefault="002A21AE">
            <w:pPr>
              <w:rPr>
                <w:rFonts w:ascii="Arial" w:hAnsi="Arial"/>
                <w:sz w:val="18"/>
              </w:rPr>
            </w:pPr>
          </w:p>
        </w:tc>
      </w:tr>
      <w:tr w:rsidR="002A21AE" w14:paraId="6E674893" w14:textId="77777777" w:rsidTr="00FD28CB">
        <w:trPr>
          <w:cantSplit/>
        </w:trPr>
        <w:tc>
          <w:tcPr>
            <w:tcW w:w="2880" w:type="dxa"/>
          </w:tcPr>
          <w:p w14:paraId="43DB9AA1" w14:textId="77777777" w:rsidR="002A21AE" w:rsidRDefault="002A21AE">
            <w:pPr>
              <w:rPr>
                <w:rFonts w:ascii="Arial" w:hAnsi="Arial"/>
                <w:sz w:val="18"/>
                <w:vertAlign w:val="superscript"/>
              </w:rPr>
            </w:pPr>
            <w:r>
              <w:rPr>
                <w:rFonts w:ascii="Arial" w:hAnsi="Arial"/>
                <w:sz w:val="18"/>
                <w:vertAlign w:val="superscript"/>
              </w:rPr>
              <w:t>Assigned Date/Time:</w:t>
            </w:r>
          </w:p>
          <w:p w14:paraId="5AC7DA58" w14:textId="77777777" w:rsidR="002A21AE" w:rsidRDefault="002A21AE">
            <w:pPr>
              <w:rPr>
                <w:rFonts w:ascii="Arial" w:hAnsi="Arial"/>
                <w:sz w:val="20"/>
              </w:rPr>
            </w:pPr>
          </w:p>
        </w:tc>
        <w:tc>
          <w:tcPr>
            <w:tcW w:w="2880" w:type="dxa"/>
            <w:gridSpan w:val="2"/>
          </w:tcPr>
          <w:p w14:paraId="4010433A" w14:textId="77777777" w:rsidR="002A21AE" w:rsidRDefault="00CC006F">
            <w:pPr>
              <w:rPr>
                <w:rFonts w:ascii="Arial" w:hAnsi="Arial"/>
                <w:sz w:val="20"/>
                <w:vertAlign w:val="superscript"/>
              </w:rPr>
            </w:pPr>
            <w:r>
              <w:rPr>
                <w:rFonts w:ascii="Arial" w:hAnsi="Arial"/>
                <w:sz w:val="20"/>
                <w:vertAlign w:val="superscript"/>
              </w:rPr>
              <w:t>Assigning Tech/ Crossmatch Tech:</w:t>
            </w:r>
          </w:p>
          <w:p w14:paraId="4AEFD911" w14:textId="77777777" w:rsidR="002A21AE" w:rsidRDefault="002A21AE">
            <w:pPr>
              <w:rPr>
                <w:rFonts w:ascii="Arial" w:hAnsi="Arial"/>
              </w:rPr>
            </w:pPr>
          </w:p>
        </w:tc>
      </w:tr>
    </w:tbl>
    <w:p w14:paraId="4F38B54C" w14:textId="68218B17" w:rsidR="002A21AE" w:rsidRDefault="002A21AE">
      <w:pPr>
        <w:pStyle w:val="Caption"/>
      </w:pPr>
      <w:r>
        <w:br w:type="page"/>
      </w:r>
      <w:bookmarkStart w:id="403" w:name="_Toc97523622"/>
      <w:bookmarkStart w:id="404" w:name="_Toc9752759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82</w:t>
      </w:r>
      <w:r w:rsidR="004E20BD">
        <w:rPr>
          <w:noProof/>
        </w:rPr>
        <w:fldChar w:fldCharType="end"/>
      </w:r>
      <w:r>
        <w:t>: Blood Transfusion Record Form</w:t>
      </w:r>
      <w:bookmarkEnd w:id="403"/>
      <w:bookmarkEnd w:id="404"/>
      <w:r>
        <w:fldChar w:fldCharType="begin"/>
      </w:r>
      <w:r>
        <w:instrText xml:space="preserve"> XE </w:instrText>
      </w:r>
      <w:r w:rsidR="00FA7E65">
        <w:instrText>“</w:instrText>
      </w:r>
      <w:r>
        <w:instrText>Figures:Blood Transfusion Record Form</w:instrText>
      </w:r>
      <w:r w:rsidR="00FA7E65">
        <w:instrText>”</w:instrText>
      </w:r>
      <w:r>
        <w:instrText xml:space="preserve"> </w:instrText>
      </w:r>
      <w:r>
        <w:fldChar w:fldCharType="end"/>
      </w:r>
    </w:p>
    <w:p w14:paraId="2BD8C8A5" w14:textId="7C1D5E7B" w:rsidR="00A00904" w:rsidRDefault="00405F70" w:rsidP="00716890">
      <w:pPr>
        <w:pStyle w:val="TableText"/>
        <w:tabs>
          <w:tab w:val="left" w:leader="underscore" w:pos="2880"/>
          <w:tab w:val="left" w:leader="underscore" w:pos="5040"/>
          <w:tab w:val="left" w:leader="underscore" w:pos="7200"/>
        </w:tabs>
        <w:rPr>
          <w:color w:val="1F497D"/>
        </w:rPr>
      </w:pPr>
      <w:r>
        <w:rPr>
          <w:noProof/>
        </w:rPr>
        <w:drawing>
          <wp:inline distT="0" distB="0" distL="0" distR="0" wp14:anchorId="1E443647" wp14:editId="40A3949B">
            <wp:extent cx="5943600" cy="4635500"/>
            <wp:effectExtent l="0" t="0" r="0" b="0"/>
            <wp:docPr id="164" name="Picture 164" descr="Example of Blood Transfusion Record Form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xample of Blood Transfusion Record Form screen captur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3600" cy="4635500"/>
                    </a:xfrm>
                    <a:prstGeom prst="rect">
                      <a:avLst/>
                    </a:prstGeom>
                    <a:noFill/>
                    <a:ln>
                      <a:noFill/>
                    </a:ln>
                  </pic:spPr>
                </pic:pic>
              </a:graphicData>
            </a:graphic>
          </wp:inline>
        </w:drawing>
      </w:r>
    </w:p>
    <w:p w14:paraId="4FCB57DF" w14:textId="77777777" w:rsidR="00A00904" w:rsidRDefault="00A00904" w:rsidP="00716890">
      <w:pPr>
        <w:pStyle w:val="TableText"/>
        <w:tabs>
          <w:tab w:val="left" w:leader="underscore" w:pos="2880"/>
          <w:tab w:val="left" w:leader="underscore" w:pos="5040"/>
          <w:tab w:val="left" w:leader="underscore" w:pos="7200"/>
        </w:tabs>
      </w:pPr>
    </w:p>
    <w:p w14:paraId="6ABB9E46" w14:textId="77777777" w:rsidR="00405F70" w:rsidRDefault="00405F70" w:rsidP="00716890">
      <w:pPr>
        <w:pStyle w:val="TableText"/>
        <w:tabs>
          <w:tab w:val="left" w:leader="underscore" w:pos="2880"/>
          <w:tab w:val="left" w:leader="underscore" w:pos="5040"/>
          <w:tab w:val="left" w:leader="underscore" w:pos="7200"/>
        </w:tabs>
      </w:pPr>
    </w:p>
    <w:p w14:paraId="369625FA" w14:textId="639CDE98" w:rsidR="00405F70" w:rsidRDefault="00405F70" w:rsidP="00716890">
      <w:pPr>
        <w:pStyle w:val="TableText"/>
        <w:tabs>
          <w:tab w:val="left" w:leader="underscore" w:pos="2880"/>
          <w:tab w:val="left" w:leader="underscore" w:pos="5040"/>
          <w:tab w:val="left" w:leader="underscore" w:pos="7200"/>
        </w:tabs>
        <w:sectPr w:rsidR="00405F70" w:rsidSect="00EE771C">
          <w:headerReference w:type="default" r:id="rId170"/>
          <w:pgSz w:w="12240" w:h="15840" w:code="1"/>
          <w:pgMar w:top="1440" w:right="1440" w:bottom="1440" w:left="1440" w:header="720" w:footer="720" w:gutter="0"/>
          <w:cols w:space="720"/>
          <w:docGrid w:linePitch="360"/>
        </w:sectPr>
      </w:pPr>
      <w:r>
        <w:rPr>
          <w:noProof/>
        </w:rPr>
        <w:lastRenderedPageBreak/>
        <w:drawing>
          <wp:inline distT="0" distB="0" distL="0" distR="0" wp14:anchorId="14144A48" wp14:editId="4223E3A0">
            <wp:extent cx="5943600" cy="3687445"/>
            <wp:effectExtent l="19050" t="19050" r="19050" b="27305"/>
            <wp:docPr id="160" name="Picture 160" descr="Example of Transfusion Data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Example of Transfusion Data screen captur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3600" cy="3687445"/>
                    </a:xfrm>
                    <a:prstGeom prst="rect">
                      <a:avLst/>
                    </a:prstGeom>
                    <a:noFill/>
                    <a:ln w="6350" cmpd="sng">
                      <a:solidFill>
                        <a:srgbClr val="000000"/>
                      </a:solidFill>
                      <a:miter lim="800000"/>
                      <a:headEnd/>
                      <a:tailEnd/>
                    </a:ln>
                    <a:effectLst/>
                  </pic:spPr>
                </pic:pic>
              </a:graphicData>
            </a:graphic>
          </wp:inline>
        </w:drawing>
      </w:r>
    </w:p>
    <w:p w14:paraId="393BBEF6" w14:textId="77777777" w:rsidR="002A21AE" w:rsidRDefault="002A21AE">
      <w:pPr>
        <w:pStyle w:val="Heading2"/>
      </w:pPr>
      <w:bookmarkStart w:id="405" w:name="_Toc163644929"/>
      <w:r>
        <w:lastRenderedPageBreak/>
        <w:t>Invalidate Test Results</w:t>
      </w:r>
      <w:bookmarkEnd w:id="405"/>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Invalidate Test Results</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UC_94</w:t>
      </w:r>
    </w:p>
    <w:p w14:paraId="4419C6B9" w14:textId="77777777" w:rsidR="002A21AE" w:rsidRDefault="002A21AE" w:rsidP="00FA7E65">
      <w:pPr>
        <w:pStyle w:val="BodyText"/>
      </w:pPr>
      <w:r>
        <w:t>The user invalidates incorrectly entered patient test results and reenters correct patient test results and interpretations.</w:t>
      </w:r>
    </w:p>
    <w:p w14:paraId="2BE97B81" w14:textId="77777777" w:rsidR="002A21AE" w:rsidRDefault="002A21AE">
      <w:pPr>
        <w:pStyle w:val="Heading4"/>
      </w:pPr>
      <w:r>
        <w:t>Assumptions</w:t>
      </w:r>
      <w:r>
        <w:rPr>
          <w:b w:val="0"/>
        </w:rPr>
        <w:t xml:space="preserve"> </w:t>
      </w:r>
    </w:p>
    <w:p w14:paraId="3733C49A" w14:textId="77777777" w:rsidR="002A21AE" w:rsidRDefault="002A21AE">
      <w:pPr>
        <w:pStyle w:val="ListBullet"/>
      </w:pPr>
      <w:r>
        <w:t>A completed patient order exists in VBECS.</w:t>
      </w:r>
    </w:p>
    <w:p w14:paraId="580A1F63" w14:textId="77777777" w:rsidR="002A21AE" w:rsidRDefault="002A21AE">
      <w:pPr>
        <w:pStyle w:val="Heading4"/>
      </w:pPr>
      <w:r>
        <w:t xml:space="preserve">Outcome </w:t>
      </w:r>
    </w:p>
    <w:p w14:paraId="1762F1D5" w14:textId="77777777" w:rsidR="002A21AE" w:rsidRDefault="002A21AE">
      <w:pPr>
        <w:pStyle w:val="ListBullet"/>
      </w:pPr>
      <w:r>
        <w:t>Test results are invalidated.</w:t>
      </w:r>
    </w:p>
    <w:p w14:paraId="49E43C30" w14:textId="77777777" w:rsidR="002A21AE" w:rsidRDefault="002A21AE">
      <w:pPr>
        <w:pStyle w:val="ListBullet"/>
      </w:pPr>
      <w:r>
        <w:t xml:space="preserve">VBECS may assign “correction” status to a task to allow the user to repeat a test and add it to the Pending Task List (PTL). </w:t>
      </w:r>
    </w:p>
    <w:p w14:paraId="53E5E609" w14:textId="77777777" w:rsidR="002A21AE" w:rsidRDefault="002A21AE">
      <w:pPr>
        <w:pStyle w:val="Heading4"/>
      </w:pPr>
      <w:r>
        <w:t>Limitations and Restrictions</w:t>
      </w:r>
      <w:r>
        <w:rPr>
          <w:b w:val="0"/>
        </w:rPr>
        <w:t xml:space="preserve"> </w:t>
      </w:r>
    </w:p>
    <w:p w14:paraId="35B6D6FD" w14:textId="77777777" w:rsidR="002A21AE" w:rsidRDefault="002A21AE">
      <w:pPr>
        <w:pStyle w:val="ListBullet"/>
      </w:pPr>
      <w:r>
        <w:t>A user may not inactivate a component task in this option.</w:t>
      </w:r>
    </w:p>
    <w:p w14:paraId="42627B15" w14:textId="77777777" w:rsidR="002A21AE" w:rsidRDefault="002A21AE">
      <w:pPr>
        <w:pStyle w:val="ListBullet"/>
      </w:pPr>
      <w:r>
        <w:t>This option does not release units from patient assignment. The user must release “assigned” units before invalidating the test results.</w:t>
      </w:r>
    </w:p>
    <w:p w14:paraId="57189FEE" w14:textId="77777777" w:rsidR="001B2013" w:rsidRDefault="001B2013" w:rsidP="001B2013">
      <w:pPr>
        <w:pStyle w:val="ListBullet"/>
      </w:pPr>
      <w:r>
        <w:t>T</w:t>
      </w:r>
      <w:r w:rsidRPr="001B2013">
        <w:t xml:space="preserve">o </w:t>
      </w:r>
      <w:r>
        <w:t>maintain</w:t>
      </w:r>
      <w:r w:rsidRPr="001B2013">
        <w:t xml:space="preserve"> a clear record</w:t>
      </w:r>
      <w:r>
        <w:t xml:space="preserve"> and system checks, the user must invalidate both original and repeat ABO/Rh tests</w:t>
      </w:r>
      <w:r w:rsidR="00C17389">
        <w:t>.</w:t>
      </w:r>
    </w:p>
    <w:p w14:paraId="66BC5C5A" w14:textId="77777777" w:rsidR="00C17389" w:rsidRPr="001B2013" w:rsidRDefault="00AB786F" w:rsidP="001B2013">
      <w:pPr>
        <w:pStyle w:val="ListBullet"/>
      </w:pPr>
      <w:r>
        <w:t>Do not invalidate part of the configured test. Doing this will put</w:t>
      </w:r>
      <w:r w:rsidR="003D719C">
        <w:t xml:space="preserve"> the specimen into a </w:t>
      </w:r>
      <w:r w:rsidR="00E037D2">
        <w:t>state where it cannot be processed</w:t>
      </w:r>
      <w:r w:rsidR="0055788D">
        <w:t>. I</w:t>
      </w:r>
      <w:r w:rsidR="00C17389">
        <w:t xml:space="preserve">nvalidate </w:t>
      </w:r>
      <w:r w:rsidR="00A87E0D">
        <w:t>all tests configured as</w:t>
      </w:r>
      <w:r w:rsidR="00C17389">
        <w:t xml:space="preserve"> part of the TAS </w:t>
      </w:r>
      <w:r w:rsidR="00A87E0D">
        <w:t>regardless of which sub test (</w:t>
      </w:r>
      <w:r w:rsidR="00C17389">
        <w:t>ABO/Rh</w:t>
      </w:r>
      <w:r w:rsidR="00E037D2">
        <w:t>, ABS or DAT) is the</w:t>
      </w:r>
      <w:r w:rsidR="00A87E0D">
        <w:t xml:space="preserve"> </w:t>
      </w:r>
      <w:r w:rsidR="00942363">
        <w:t>problem</w:t>
      </w:r>
      <w:r w:rsidR="00C17389">
        <w:t xml:space="preserve">. </w:t>
      </w:r>
      <w:r w:rsidR="00C17389" w:rsidRPr="00C17389">
        <w:rPr>
          <w:vanish/>
        </w:rPr>
        <w:t>DR 4685</w:t>
      </w:r>
      <w:r w:rsidR="00942363">
        <w:rPr>
          <w:vanish/>
        </w:rPr>
        <w:t xml:space="preserve"> DR 4854</w:t>
      </w:r>
    </w:p>
    <w:p w14:paraId="632FE24D" w14:textId="77777777" w:rsidR="002A21AE" w:rsidRDefault="002A21AE">
      <w:pPr>
        <w:pStyle w:val="Heading4"/>
      </w:pPr>
      <w:r>
        <w:t xml:space="preserve">Additional Information </w:t>
      </w:r>
    </w:p>
    <w:p w14:paraId="3F099C9C" w14:textId="77777777" w:rsidR="002A21AE" w:rsidRDefault="002A21AE">
      <w:pPr>
        <w:pStyle w:val="ListBullet"/>
      </w:pPr>
      <w:r>
        <w:t>VBECS invalidates the entire test group during this option. The user must reenter results to replace the invalidated results.</w:t>
      </w:r>
    </w:p>
    <w:p w14:paraId="6EC9D114" w14:textId="77777777" w:rsidR="002A21AE" w:rsidRDefault="002A21AE">
      <w:pPr>
        <w:pStyle w:val="ListBullet"/>
      </w:pPr>
      <w:r>
        <w:t>Workload and billing are inactivated or rescinded from the inactivated testing.</w:t>
      </w:r>
    </w:p>
    <w:p w14:paraId="4F66E640" w14:textId="77777777" w:rsidR="002A21AE" w:rsidRDefault="002A21AE">
      <w:pPr>
        <w:pStyle w:val="ListBullet"/>
      </w:pPr>
      <w:r>
        <w:rPr>
          <w:rFonts w:ascii="Arial" w:hAnsi="Arial" w:cs="Arial"/>
          <w:vanish/>
          <w:spacing w:val="0"/>
          <w:sz w:val="18"/>
        </w:rPr>
        <w:t xml:space="preserve">BR_94.09 </w:t>
      </w:r>
      <w:r>
        <w:t>VBECS invali</w:t>
      </w:r>
      <w:r w:rsidR="00113E2C">
        <w:t>dates t</w:t>
      </w:r>
      <w:r>
        <w:t xml:space="preserve">ransfusion </w:t>
      </w:r>
      <w:r w:rsidR="00113E2C">
        <w:t>r</w:t>
      </w:r>
      <w:r>
        <w:t xml:space="preserve">eaction </w:t>
      </w:r>
      <w:r w:rsidR="00113E2C">
        <w:t>w</w:t>
      </w:r>
      <w:r>
        <w:t>orkups (TRWs) in total and crossmatches (XMs) by unit.</w:t>
      </w:r>
    </w:p>
    <w:p w14:paraId="399BF400" w14:textId="77777777" w:rsidR="002A21AE" w:rsidRDefault="002A21AE">
      <w:pPr>
        <w:pStyle w:val="ListBullet"/>
      </w:pPr>
      <w:r>
        <w:rPr>
          <w:rFonts w:ascii="Arial" w:hAnsi="Arial" w:cs="Arial"/>
          <w:vanish/>
          <w:spacing w:val="0"/>
          <w:sz w:val="18"/>
        </w:rPr>
        <w:t xml:space="preserve">BR_94.10 </w:t>
      </w:r>
      <w:r>
        <w:t>Invalidation of an antibody identification (ABID) task invalidates all antibody spec</w:t>
      </w:r>
      <w:r w:rsidR="006E3236">
        <w:t>ificities entered in that task.</w:t>
      </w:r>
    </w:p>
    <w:p w14:paraId="2EEC7A2B" w14:textId="77777777" w:rsidR="002A21AE" w:rsidRDefault="002A21AE">
      <w:pPr>
        <w:pStyle w:val="ListBullet"/>
      </w:pPr>
      <w:r>
        <w:t>VBECS displays results and interpretations of the tests but not any QC performed with the tests.</w:t>
      </w:r>
    </w:p>
    <w:p w14:paraId="4117991D" w14:textId="7508FDEF" w:rsidR="002A21AE" w:rsidRDefault="002A21AE">
      <w:pPr>
        <w:pStyle w:val="ListBullet"/>
      </w:pPr>
      <w:r>
        <w:rPr>
          <w:rFonts w:ascii="Arial" w:hAnsi="Arial" w:cs="Arial"/>
          <w:vanish/>
          <w:spacing w:val="0"/>
          <w:sz w:val="18"/>
        </w:rPr>
        <w:t xml:space="preserve">BR_94.04 </w:t>
      </w:r>
      <w:r>
        <w:t xml:space="preserve">VBECS </w:t>
      </w:r>
      <w:r w:rsidR="00202A1E">
        <w:t>flags invalidated results with a message describing the reason for invalidation</w:t>
      </w:r>
      <w:r>
        <w:t>.</w:t>
      </w:r>
    </w:p>
    <w:p w14:paraId="4159D10A" w14:textId="77777777" w:rsidR="002A21AE" w:rsidRDefault="002A21AE">
      <w:pPr>
        <w:pStyle w:val="Heading4"/>
        <w:rPr>
          <w:b w:val="0"/>
        </w:rPr>
      </w:pPr>
      <w:r>
        <w:t>User Roles with Access to This Option</w:t>
      </w:r>
      <w:r>
        <w:rPr>
          <w:b w:val="0"/>
        </w:rPr>
        <w:t xml:space="preserve"> </w:t>
      </w:r>
    </w:p>
    <w:p w14:paraId="2DB54EDE" w14:textId="77777777" w:rsidR="002A21AE" w:rsidRDefault="000F12D4">
      <w:pPr>
        <w:pStyle w:val="Roles"/>
      </w:pPr>
      <w:r w:rsidRPr="00EC7489">
        <w:rPr>
          <w:rFonts w:ascii="Wingdings 3" w:hAnsi="Wingdings 3" w:cs="Wingdings"/>
        </w:rPr>
        <w:t></w:t>
      </w:r>
      <w:r w:rsidRPr="00EC7489">
        <w:rPr>
          <w:rFonts w:ascii="Wingdings 3" w:hAnsi="Wingdings 3" w:cs="Wingdings"/>
        </w:rPr>
        <w:t></w:t>
      </w:r>
      <w:r>
        <w:t xml:space="preserve"> Enhanced Technologist</w:t>
      </w:r>
    </w:p>
    <w:p w14:paraId="1F9F5326" w14:textId="77777777" w:rsidR="002A21AE" w:rsidRDefault="002A21AE">
      <w:pPr>
        <w:pStyle w:val="Heading4"/>
      </w:pPr>
      <w:r>
        <w:t>Invalidate Test Results</w:t>
      </w:r>
    </w:p>
    <w:p w14:paraId="3E458AA2" w14:textId="77777777" w:rsidR="002A21AE" w:rsidRPr="009660C3" w:rsidRDefault="002A21AE" w:rsidP="00FA7E65">
      <w:pPr>
        <w:pStyle w:val="BodyText"/>
        <w:rPr>
          <w:color w:val="FFFFFF"/>
        </w:rPr>
      </w:pPr>
      <w:r>
        <w:t>The use</w:t>
      </w:r>
      <w:r w:rsidR="00CF47D5">
        <w:t xml:space="preserve">r </w:t>
      </w:r>
      <w:r>
        <w:t>may invalidate one or more previously entered test results and replace them with corrected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9EA548C" w14:textId="77777777">
        <w:trPr>
          <w:cantSplit/>
          <w:tblHeader/>
        </w:trPr>
        <w:tc>
          <w:tcPr>
            <w:tcW w:w="3240" w:type="dxa"/>
            <w:shd w:val="pct30" w:color="auto" w:fill="FFFFFF"/>
            <w:vAlign w:val="bottom"/>
          </w:tcPr>
          <w:p w14:paraId="0CE43AAD" w14:textId="77777777" w:rsidR="002A21AE" w:rsidRPr="00B75AA9" w:rsidRDefault="002A21AE" w:rsidP="00B75AA9">
            <w:pPr>
              <w:pStyle w:val="TableText"/>
              <w:tabs>
                <w:tab w:val="left" w:leader="underscore" w:pos="2880"/>
                <w:tab w:val="left" w:leader="underscore" w:pos="5040"/>
                <w:tab w:val="left" w:leader="underscore" w:pos="7200"/>
              </w:tabs>
            </w:pPr>
            <w:r>
              <w:rPr>
                <w:b/>
              </w:rPr>
              <w:t>User Action</w:t>
            </w:r>
            <w:r w:rsidR="00B75AA9">
              <w:rPr>
                <w:b/>
              </w:rPr>
              <w:t xml:space="preserve"> </w:t>
            </w:r>
          </w:p>
        </w:tc>
        <w:tc>
          <w:tcPr>
            <w:tcW w:w="6120" w:type="dxa"/>
            <w:shd w:val="pct30" w:color="auto" w:fill="FFFFFF"/>
            <w:vAlign w:val="bottom"/>
          </w:tcPr>
          <w:p w14:paraId="2AABBFD0" w14:textId="77777777" w:rsidR="002A21AE" w:rsidRDefault="002A21AE">
            <w:pPr>
              <w:pStyle w:val="TableText"/>
              <w:rPr>
                <w:b/>
              </w:rPr>
            </w:pPr>
            <w:r>
              <w:rPr>
                <w:b/>
              </w:rPr>
              <w:t>VBECS</w:t>
            </w:r>
          </w:p>
        </w:tc>
      </w:tr>
      <w:tr w:rsidR="002A21AE" w14:paraId="6CC0C721" w14:textId="77777777">
        <w:tc>
          <w:tcPr>
            <w:tcW w:w="3240" w:type="dxa"/>
            <w:tcBorders>
              <w:top w:val="single" w:sz="4" w:space="0" w:color="auto"/>
              <w:left w:val="single" w:sz="4" w:space="0" w:color="auto"/>
              <w:bottom w:val="single" w:sz="4" w:space="0" w:color="auto"/>
              <w:right w:val="single" w:sz="4" w:space="0" w:color="auto"/>
            </w:tcBorders>
          </w:tcPr>
          <w:p w14:paraId="4DBA4B5C" w14:textId="77777777" w:rsidR="002A21AE" w:rsidRDefault="002A21AE" w:rsidP="00B75AA9">
            <w:pPr>
              <w:pStyle w:val="TableTextNumbers"/>
            </w:pPr>
            <w:r>
              <w:t xml:space="preserve">Select </w:t>
            </w:r>
            <w:r>
              <w:rPr>
                <w:b/>
              </w:rPr>
              <w:t>Patients</w:t>
            </w:r>
            <w:r>
              <w:t xml:space="preserve"> from the main menu.</w:t>
            </w:r>
          </w:p>
          <w:p w14:paraId="7EE9F3B7" w14:textId="77777777" w:rsidR="002A21AE" w:rsidRDefault="002A21AE">
            <w:pPr>
              <w:pStyle w:val="TableTextNumbersContinued"/>
            </w:pPr>
          </w:p>
          <w:p w14:paraId="7037B7E0" w14:textId="77777777" w:rsidR="002A21AE" w:rsidRDefault="002A21AE">
            <w:pPr>
              <w:pStyle w:val="TableTextNumbersContinued"/>
            </w:pPr>
            <w:r>
              <w:t xml:space="preserve">Select </w:t>
            </w:r>
            <w:r>
              <w:rPr>
                <w:b/>
              </w:rPr>
              <w:t>Invalidate Test Results</w:t>
            </w:r>
            <w:r>
              <w:t>.</w:t>
            </w:r>
          </w:p>
        </w:tc>
        <w:tc>
          <w:tcPr>
            <w:tcW w:w="6120" w:type="dxa"/>
            <w:tcBorders>
              <w:top w:val="single" w:sz="4" w:space="0" w:color="auto"/>
              <w:left w:val="single" w:sz="4" w:space="0" w:color="auto"/>
              <w:bottom w:val="single" w:sz="4" w:space="0" w:color="auto"/>
              <w:right w:val="single" w:sz="4" w:space="0" w:color="auto"/>
            </w:tcBorders>
          </w:tcPr>
          <w:p w14:paraId="24960B15" w14:textId="77777777" w:rsidR="002A21AE" w:rsidRDefault="002A21AE">
            <w:pPr>
              <w:pStyle w:val="TableTextBullet"/>
            </w:pPr>
            <w:r>
              <w:t>Displays options for processing patient-related functions.</w:t>
            </w:r>
          </w:p>
          <w:p w14:paraId="2B33DE1A" w14:textId="77777777" w:rsidR="002A21AE" w:rsidRDefault="002A21AE">
            <w:pPr>
              <w:pStyle w:val="NotesText"/>
            </w:pPr>
          </w:p>
          <w:p w14:paraId="7FDC4B21" w14:textId="779C4FC5" w:rsidR="002A21AE" w:rsidRDefault="002A21AE">
            <w:pPr>
              <w:pStyle w:val="TableText"/>
              <w:rPr>
                <w:b/>
                <w:bCs/>
                <w:szCs w:val="18"/>
              </w:rPr>
            </w:pPr>
            <w:r>
              <w:rPr>
                <w:b/>
                <w:bCs/>
                <w:szCs w:val="18"/>
              </w:rPr>
              <w:t>NOTES</w:t>
            </w:r>
          </w:p>
          <w:p w14:paraId="413B4054" w14:textId="77777777" w:rsidR="002A21AE" w:rsidRDefault="002A21AE">
            <w:pPr>
              <w:pStyle w:val="NotesText"/>
            </w:pPr>
          </w:p>
          <w:p w14:paraId="191F9C6D"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1728C2F5" w14:textId="77777777">
        <w:tc>
          <w:tcPr>
            <w:tcW w:w="3240" w:type="dxa"/>
          </w:tcPr>
          <w:p w14:paraId="3AA42C68" w14:textId="77777777" w:rsidR="002A21AE" w:rsidRDefault="002A21AE">
            <w:pPr>
              <w:pStyle w:val="TableTextNumbers"/>
            </w:pPr>
            <w:r>
              <w:lastRenderedPageBreak/>
              <w:t>Enter the patient name and/or specimen UID.</w:t>
            </w:r>
          </w:p>
          <w:p w14:paraId="47486F84" w14:textId="77777777" w:rsidR="002A21AE" w:rsidRDefault="002A21AE">
            <w:pPr>
              <w:pStyle w:val="TableTextNumbersContinued"/>
            </w:pPr>
          </w:p>
          <w:p w14:paraId="40EAFDB5" w14:textId="77777777" w:rsidR="002A21AE" w:rsidRDefault="002A21AE">
            <w:pPr>
              <w:pStyle w:val="TableTextNumbersContinued"/>
            </w:pPr>
            <w:r>
              <w:t xml:space="preserve">Edit the “expires after” date, if required. </w:t>
            </w:r>
          </w:p>
          <w:p w14:paraId="1213F208" w14:textId="77777777" w:rsidR="002A21AE" w:rsidRDefault="002A21AE">
            <w:pPr>
              <w:pStyle w:val="TableTextNumbersContinued"/>
            </w:pPr>
          </w:p>
          <w:p w14:paraId="2238D840" w14:textId="77777777" w:rsidR="002A21AE" w:rsidRDefault="002A21AE">
            <w:pPr>
              <w:pStyle w:val="TableTextNumbersContinued"/>
            </w:pPr>
            <w:r>
              <w:t xml:space="preserve">Click </w:t>
            </w:r>
            <w:r>
              <w:rPr>
                <w:b/>
              </w:rPr>
              <w:t>Search</w:t>
            </w:r>
            <w:r>
              <w:t>, if needed.</w:t>
            </w:r>
          </w:p>
        </w:tc>
        <w:tc>
          <w:tcPr>
            <w:tcW w:w="6120" w:type="dxa"/>
          </w:tcPr>
          <w:p w14:paraId="79CCE3B1" w14:textId="77777777" w:rsidR="002A21AE" w:rsidRDefault="002A21AE">
            <w:pPr>
              <w:pStyle w:val="TableTextBullet"/>
            </w:pPr>
            <w:r>
              <w:rPr>
                <w:rFonts w:cs="Arial"/>
                <w:vanish/>
              </w:rPr>
              <w:t xml:space="preserve">BR_94.01 </w:t>
            </w:r>
            <w:r>
              <w:t>Displays an option to enter a specimen UID or a patient for a specific date or for a range of dates.</w:t>
            </w:r>
          </w:p>
          <w:p w14:paraId="4447F257" w14:textId="77777777" w:rsidR="002A21AE" w:rsidRDefault="002A21AE">
            <w:pPr>
              <w:pStyle w:val="TableTextBullet"/>
            </w:pPr>
            <w:r>
              <w:rPr>
                <w:rFonts w:cs="Arial"/>
                <w:vanish/>
              </w:rPr>
              <w:t xml:space="preserve">BR_94.02 </w:t>
            </w:r>
            <w:r>
              <w:t xml:space="preserve">Displays the complete diagnostic tests associated with the entry. </w:t>
            </w:r>
          </w:p>
        </w:tc>
      </w:tr>
      <w:tr w:rsidR="002A21AE" w14:paraId="244AB07F" w14:textId="77777777">
        <w:tc>
          <w:tcPr>
            <w:tcW w:w="3240" w:type="dxa"/>
          </w:tcPr>
          <w:p w14:paraId="11CBF232" w14:textId="77777777" w:rsidR="002A21AE" w:rsidRDefault="002A21AE">
            <w:pPr>
              <w:pStyle w:val="TableTextNumbers"/>
            </w:pPr>
            <w:r>
              <w:t>Select a test result from the Specimen Test Results list.</w:t>
            </w:r>
          </w:p>
        </w:tc>
        <w:tc>
          <w:tcPr>
            <w:tcW w:w="6120" w:type="dxa"/>
          </w:tcPr>
          <w:p w14:paraId="58171CB0" w14:textId="77777777" w:rsidR="002A21AE" w:rsidRDefault="002A21AE">
            <w:pPr>
              <w:pStyle w:val="TableTextBullet"/>
            </w:pPr>
            <w:r>
              <w:t>Displays the original results for the user to review.</w:t>
            </w:r>
            <w:r>
              <w:rPr>
                <w:vanish/>
                <w:szCs w:val="18"/>
              </w:rPr>
              <w:t xml:space="preserve"> BR_94.06</w:t>
            </w:r>
          </w:p>
          <w:p w14:paraId="09B47271" w14:textId="77777777" w:rsidR="002A21AE" w:rsidRDefault="002A21AE">
            <w:pPr>
              <w:pStyle w:val="TableText"/>
            </w:pPr>
          </w:p>
          <w:p w14:paraId="6A971F1B" w14:textId="42AD40AC" w:rsidR="002A21AE" w:rsidRDefault="002A21AE">
            <w:pPr>
              <w:pStyle w:val="TableText"/>
              <w:rPr>
                <w:b/>
                <w:bCs/>
                <w:szCs w:val="18"/>
              </w:rPr>
            </w:pPr>
            <w:r>
              <w:rPr>
                <w:b/>
                <w:bCs/>
                <w:szCs w:val="18"/>
              </w:rPr>
              <w:t>NOTES</w:t>
            </w:r>
          </w:p>
          <w:p w14:paraId="429148A4" w14:textId="77777777" w:rsidR="002A21AE" w:rsidRDefault="002A21AE">
            <w:pPr>
              <w:pStyle w:val="NotesText"/>
            </w:pPr>
          </w:p>
          <w:p w14:paraId="5A9CA2C1" w14:textId="77777777" w:rsidR="002A21AE" w:rsidRDefault="002A21AE">
            <w:pPr>
              <w:pStyle w:val="NotesText"/>
            </w:pPr>
            <w:r>
              <w:rPr>
                <w:rFonts w:cs="Arial"/>
                <w:vanish/>
              </w:rPr>
              <w:t xml:space="preserve">BR_94.10 </w:t>
            </w:r>
            <w:r>
              <w:t>When the user chooses to invalidate an ABID, VBECS warns that the invalidation of the antibody specificity also invalidates the corresponding calculated antigen negative requirements. No user action is required.</w:t>
            </w:r>
          </w:p>
          <w:p w14:paraId="461CA486" w14:textId="77777777" w:rsidR="002A21AE" w:rsidRDefault="002A21AE">
            <w:pPr>
              <w:pStyle w:val="NotesText"/>
            </w:pPr>
          </w:p>
          <w:p w14:paraId="53E07D6C" w14:textId="77777777" w:rsidR="002A21AE" w:rsidRDefault="002A21AE">
            <w:pPr>
              <w:pStyle w:val="NotesText"/>
            </w:pPr>
            <w:r>
              <w:rPr>
                <w:rFonts w:cs="Arial"/>
                <w:vanish/>
              </w:rPr>
              <w:t xml:space="preserve">BR_94.12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When the user is a Traditional Supervisor and the selected specimen is the most recent specimen tested for the selected patient, the user may invalidate a previously justified ABO/Rh test result. When the specimen ABO/Rh test associated with a justification is invalidated, VBECS removes the justification information from the patient record. </w:t>
            </w:r>
          </w:p>
          <w:p w14:paraId="663882C8" w14:textId="77777777" w:rsidR="002A21AE" w:rsidRDefault="002A21AE" w:rsidP="0055373D">
            <w:pPr>
              <w:pStyle w:val="NotesText"/>
            </w:pPr>
          </w:p>
          <w:p w14:paraId="20FE17BD" w14:textId="77777777" w:rsidR="0055373D" w:rsidRDefault="002A21AE" w:rsidP="0055373D">
            <w:pPr>
              <w:pStyle w:val="NotesText"/>
            </w:pPr>
            <w:r>
              <w:rPr>
                <w:rFonts w:cs="Arial"/>
                <w:vanish/>
              </w:rPr>
              <w:t xml:space="preserve">BR_94.03 </w:t>
            </w:r>
            <w:r w:rsidR="0055373D">
              <w:t>When the user attempts to invalidate a non-</w:t>
            </w:r>
            <w:r w:rsidR="00A76142">
              <w:t>XM</w:t>
            </w:r>
            <w:r w:rsidR="0055373D">
              <w:t xml:space="preserve"> test for a patient specimen and blood units are currently associated with the specimen (assigned, electronically or serologically crossmatched, issued or transfused), </w:t>
            </w:r>
            <w:r w:rsidR="00B80F86">
              <w:t>VBECS warns that b</w:t>
            </w:r>
            <w:r w:rsidR="0055373D">
              <w:t>lood components are associated to this specimen</w:t>
            </w:r>
            <w:r w:rsidR="00B80F86">
              <w:t xml:space="preserve"> and that the associated unit</w:t>
            </w:r>
            <w:r w:rsidR="0055373D">
              <w:t>s must be removed before testing can be invalidated. The user may not continue to invalidate the test.</w:t>
            </w:r>
          </w:p>
          <w:p w14:paraId="4EE16269" w14:textId="77777777" w:rsidR="0055373D" w:rsidRDefault="0055373D" w:rsidP="0055373D">
            <w:pPr>
              <w:pStyle w:val="NotesText"/>
            </w:pPr>
          </w:p>
          <w:p w14:paraId="37892B30" w14:textId="77777777" w:rsidR="002A21AE" w:rsidRDefault="0055373D" w:rsidP="0055373D">
            <w:pPr>
              <w:pStyle w:val="NotesText"/>
            </w:pPr>
            <w:r>
              <w:t xml:space="preserve">When the user attempts to invalidate a </w:t>
            </w:r>
            <w:r w:rsidR="00A76142">
              <w:t>XM</w:t>
            </w:r>
            <w:r>
              <w:t xml:space="preserve"> test for a patient specimen and the associated blood unit</w:t>
            </w:r>
            <w:r w:rsidR="00A76142">
              <w:t>s are</w:t>
            </w:r>
            <w:r>
              <w:t xml:space="preserve"> currently issued or transfused, </w:t>
            </w:r>
            <w:r w:rsidR="00A76142">
              <w:t>VBECS warns the user that t</w:t>
            </w:r>
            <w:r>
              <w:t xml:space="preserve">he selected test cannot be invalidated because the unit </w:t>
            </w:r>
            <w:r w:rsidR="00A76142">
              <w:t>was</w:t>
            </w:r>
            <w:r>
              <w:t xml:space="preserve"> issued based on the </w:t>
            </w:r>
            <w:r w:rsidR="00A76142">
              <w:t>XM</w:t>
            </w:r>
            <w:r>
              <w:t xml:space="preserve"> result. The user may not continue to invalidate the </w:t>
            </w:r>
            <w:r w:rsidR="00A76142">
              <w:t>XM</w:t>
            </w:r>
            <w:r>
              <w:t xml:space="preserve"> test.</w:t>
            </w:r>
          </w:p>
        </w:tc>
      </w:tr>
      <w:tr w:rsidR="002A21AE" w14:paraId="7279444B" w14:textId="77777777">
        <w:tc>
          <w:tcPr>
            <w:tcW w:w="3240" w:type="dxa"/>
          </w:tcPr>
          <w:p w14:paraId="6061CCBB" w14:textId="37DC2F88" w:rsidR="002A21AE" w:rsidRDefault="002A21AE">
            <w:pPr>
              <w:pStyle w:val="TableTextNumbers"/>
            </w:pPr>
            <w:r>
              <w:t>Verify the accuracy of the selected patient specimen and patient information</w:t>
            </w:r>
            <w:r w:rsidR="004C67AB">
              <w:t xml:space="preserve"> (</w:t>
            </w:r>
            <w:r w:rsidR="00EE455E">
              <w:t xml:space="preserve">Figure </w:t>
            </w:r>
            <w:r w:rsidR="00EE455E">
              <w:rPr>
                <w:noProof/>
              </w:rPr>
              <w:t>82</w:t>
            </w:r>
            <w:r w:rsidR="004C67AB">
              <w:t>)</w:t>
            </w:r>
            <w:r>
              <w:t>.</w:t>
            </w:r>
          </w:p>
          <w:p w14:paraId="22F7FE8C" w14:textId="77777777" w:rsidR="002A21AE" w:rsidRDefault="002A21AE">
            <w:pPr>
              <w:pStyle w:val="TableTextNumbersContinued"/>
            </w:pPr>
          </w:p>
          <w:p w14:paraId="1EED07D2" w14:textId="77777777" w:rsidR="002A21AE" w:rsidRDefault="002A21AE">
            <w:pPr>
              <w:pStyle w:val="TableTextNumbersContinued"/>
            </w:pPr>
            <w:r>
              <w:t xml:space="preserve">Click </w:t>
            </w:r>
            <w:r>
              <w:rPr>
                <w:b/>
              </w:rPr>
              <w:t>OK</w:t>
            </w:r>
            <w:r>
              <w:t xml:space="preserve"> to accept the results.</w:t>
            </w:r>
          </w:p>
        </w:tc>
        <w:tc>
          <w:tcPr>
            <w:tcW w:w="6120" w:type="dxa"/>
          </w:tcPr>
          <w:p w14:paraId="0651B74B" w14:textId="77777777" w:rsidR="002A21AE" w:rsidRDefault="002A21AE">
            <w:pPr>
              <w:pStyle w:val="TableTextBullet"/>
            </w:pPr>
            <w:r>
              <w:t>Marks these test results as “invalid” and asks the user whether he needs to replace the invalidated results with new test results.</w:t>
            </w:r>
          </w:p>
          <w:p w14:paraId="07F16DF9" w14:textId="77777777" w:rsidR="002A21AE" w:rsidRDefault="002A21AE">
            <w:pPr>
              <w:pStyle w:val="TableTextBullet1"/>
            </w:pPr>
            <w:r>
              <w:rPr>
                <w:b/>
              </w:rPr>
              <w:t>Yes</w:t>
            </w:r>
            <w:r>
              <w:t xml:space="preserve"> (test result replacement is needed) changes the task status to “correction” to return the task to the PTL for completion.</w:t>
            </w:r>
          </w:p>
          <w:p w14:paraId="5414A600" w14:textId="77777777" w:rsidR="002A21AE" w:rsidRDefault="002A21AE">
            <w:pPr>
              <w:pStyle w:val="TableTextBullet1"/>
            </w:pPr>
            <w:r>
              <w:rPr>
                <w:b/>
              </w:rPr>
              <w:t>No</w:t>
            </w:r>
            <w:r>
              <w:t xml:space="preserve"> (test replacement is not needed) marks the erroneous test results as “Test Result Invalidated”; the task status does not change.</w:t>
            </w:r>
          </w:p>
          <w:p w14:paraId="37311ED9" w14:textId="77777777" w:rsidR="002A21AE" w:rsidRDefault="002A21AE" w:rsidP="002277BE">
            <w:pPr>
              <w:pStyle w:val="TableTextBullet"/>
            </w:pPr>
            <w:r>
              <w:t>When the user selects all the diagnostic tests associated with a specimen, displays an option to mark the specimen unacceptable and invalidate the tests.</w:t>
            </w:r>
          </w:p>
        </w:tc>
      </w:tr>
      <w:tr w:rsidR="002A21AE" w14:paraId="48448C6F" w14:textId="77777777" w:rsidTr="006C058D">
        <w:trPr>
          <w:cantSplit/>
        </w:trPr>
        <w:tc>
          <w:tcPr>
            <w:tcW w:w="3240" w:type="dxa"/>
          </w:tcPr>
          <w:p w14:paraId="313DECCE" w14:textId="77777777" w:rsidR="002A21AE" w:rsidRDefault="002A21AE">
            <w:pPr>
              <w:pStyle w:val="TableTextNumbers"/>
            </w:pPr>
            <w:r>
              <w:lastRenderedPageBreak/>
              <w:t>Select the test to invalidate from the Patient Test Results list.</w:t>
            </w:r>
          </w:p>
          <w:p w14:paraId="2FB2628B" w14:textId="77777777" w:rsidR="002A21AE" w:rsidRDefault="002A21AE">
            <w:pPr>
              <w:pStyle w:val="TableTextNumbersContinued"/>
            </w:pPr>
          </w:p>
          <w:p w14:paraId="697B41D0" w14:textId="32F448EC" w:rsidR="002A21AE" w:rsidRDefault="002A21AE">
            <w:pPr>
              <w:pStyle w:val="TableTextNumbersContinued"/>
            </w:pPr>
            <w:r>
              <w:t xml:space="preserve">Click </w:t>
            </w:r>
            <w:r>
              <w:rPr>
                <w:b/>
              </w:rPr>
              <w:t>Invalidate Results</w:t>
            </w:r>
            <w:r w:rsidR="004C67AB" w:rsidRPr="004C67AB">
              <w:t xml:space="preserve"> (</w:t>
            </w:r>
            <w:r w:rsidR="00EE455E">
              <w:t xml:space="preserve">Figure </w:t>
            </w:r>
            <w:r w:rsidR="00EE455E">
              <w:rPr>
                <w:noProof/>
              </w:rPr>
              <w:t>83</w:t>
            </w:r>
            <w:r w:rsidR="004C67AB" w:rsidRPr="004C67AB">
              <w:t>)</w:t>
            </w:r>
            <w:r>
              <w:t>.</w:t>
            </w:r>
          </w:p>
          <w:p w14:paraId="3898C82B" w14:textId="77777777" w:rsidR="002A21AE" w:rsidRDefault="002A21AE">
            <w:pPr>
              <w:pStyle w:val="TableTextNumbersContinued"/>
            </w:pPr>
          </w:p>
          <w:p w14:paraId="5843D9E9" w14:textId="77777777" w:rsidR="002A21AE" w:rsidRDefault="002A21AE">
            <w:pPr>
              <w:pStyle w:val="TableTextNumbersContinued"/>
            </w:pPr>
            <w:r>
              <w:t>Enter a comment.</w:t>
            </w:r>
          </w:p>
          <w:p w14:paraId="3E0B93A4" w14:textId="77777777" w:rsidR="002A21AE" w:rsidRDefault="002A21AE">
            <w:pPr>
              <w:pStyle w:val="TableTextNumbersContinued"/>
            </w:pPr>
          </w:p>
          <w:p w14:paraId="5D2BC5CE" w14:textId="77777777" w:rsidR="002A21AE" w:rsidRDefault="002A21AE">
            <w:pPr>
              <w:pStyle w:val="TableTextNumbersContinued"/>
            </w:pPr>
            <w:r>
              <w:t xml:space="preserve">Click the </w:t>
            </w:r>
            <w:r>
              <w:rPr>
                <w:b/>
              </w:rPr>
              <w:t xml:space="preserve">Add test to the Pending Task List to allow for replacement results </w:t>
            </w:r>
            <w:r w:rsidRPr="00D1100E">
              <w:t>check box</w:t>
            </w:r>
            <w:r>
              <w:t>, if appropriate.</w:t>
            </w:r>
          </w:p>
          <w:p w14:paraId="735057C2" w14:textId="77777777" w:rsidR="002A21AE" w:rsidRDefault="002A21AE">
            <w:pPr>
              <w:pStyle w:val="TableTextNumbersContinued"/>
            </w:pPr>
          </w:p>
          <w:p w14:paraId="6C43AB34" w14:textId="77777777" w:rsidR="002A21AE" w:rsidRDefault="002A21AE">
            <w:pPr>
              <w:pStyle w:val="TableTextNumbersContinued"/>
            </w:pPr>
            <w:r>
              <w:t xml:space="preserve">Click </w:t>
            </w:r>
            <w:r w:rsidRPr="003B3B94">
              <w:rPr>
                <w:b/>
              </w:rPr>
              <w:t>OK</w:t>
            </w:r>
            <w:r>
              <w:t>.</w:t>
            </w:r>
          </w:p>
        </w:tc>
        <w:tc>
          <w:tcPr>
            <w:tcW w:w="6120" w:type="dxa"/>
          </w:tcPr>
          <w:p w14:paraId="7B0BE24C" w14:textId="77777777" w:rsidR="002A21AE" w:rsidRDefault="002A21AE">
            <w:pPr>
              <w:pStyle w:val="TableTextBullet"/>
            </w:pPr>
            <w:r>
              <w:t>Asks the user whether he wishes to change the specimen status to “unacceptable.”</w:t>
            </w:r>
          </w:p>
          <w:p w14:paraId="11F579EB" w14:textId="77777777" w:rsidR="002A21AE" w:rsidRDefault="002A21AE">
            <w:pPr>
              <w:pStyle w:val="TableText"/>
            </w:pPr>
          </w:p>
          <w:p w14:paraId="1152ED0A" w14:textId="0B96F1B6" w:rsidR="002A21AE" w:rsidRDefault="002A21AE">
            <w:pPr>
              <w:pStyle w:val="TableText"/>
              <w:rPr>
                <w:b/>
                <w:bCs/>
                <w:szCs w:val="18"/>
              </w:rPr>
            </w:pPr>
            <w:r>
              <w:rPr>
                <w:b/>
                <w:bCs/>
                <w:szCs w:val="18"/>
              </w:rPr>
              <w:t>NOTES</w:t>
            </w:r>
          </w:p>
          <w:p w14:paraId="355C42BE" w14:textId="77777777" w:rsidR="002A21AE" w:rsidRDefault="002A21AE">
            <w:pPr>
              <w:pStyle w:val="NotesText"/>
            </w:pPr>
          </w:p>
          <w:p w14:paraId="2F795003" w14:textId="77777777" w:rsidR="001B2013" w:rsidRPr="001B2013" w:rsidRDefault="001B2013">
            <w:pPr>
              <w:pStyle w:val="NotesText"/>
              <w:rPr>
                <w:rFonts w:cs="Arial"/>
              </w:rPr>
            </w:pPr>
            <w:r>
              <w:rPr>
                <w:rFonts w:cs="Arial"/>
              </w:rPr>
              <w:t>T</w:t>
            </w:r>
            <w:r w:rsidRPr="001B2013">
              <w:rPr>
                <w:rFonts w:cs="Arial"/>
              </w:rPr>
              <w:t xml:space="preserve">o </w:t>
            </w:r>
            <w:r>
              <w:rPr>
                <w:rFonts w:cs="Arial"/>
              </w:rPr>
              <w:t>maintain</w:t>
            </w:r>
            <w:r w:rsidRPr="001B2013">
              <w:rPr>
                <w:rFonts w:cs="Arial"/>
              </w:rPr>
              <w:t xml:space="preserve"> a clear record</w:t>
            </w:r>
            <w:r>
              <w:rPr>
                <w:rFonts w:cs="Arial"/>
              </w:rPr>
              <w:t xml:space="preserve"> and system checks, invalidate both original and repeat ABO/Rh tests</w:t>
            </w:r>
            <w:r w:rsidRPr="001B2013">
              <w:rPr>
                <w:rFonts w:cs="Arial"/>
              </w:rPr>
              <w:t xml:space="preserve">. </w:t>
            </w:r>
          </w:p>
          <w:p w14:paraId="5BFF4686" w14:textId="77777777" w:rsidR="001B2013" w:rsidRDefault="001B2013">
            <w:pPr>
              <w:pStyle w:val="NotesText"/>
              <w:rPr>
                <w:rFonts w:cs="Arial"/>
              </w:rPr>
            </w:pPr>
          </w:p>
          <w:p w14:paraId="6B416ECD" w14:textId="705C98F3" w:rsidR="002A21AE" w:rsidRDefault="002A21AE">
            <w:pPr>
              <w:pStyle w:val="NotesText"/>
            </w:pPr>
            <w:r>
              <w:rPr>
                <w:rFonts w:cs="Arial"/>
                <w:vanish/>
              </w:rPr>
              <w:t xml:space="preserve">BR_94.05 </w:t>
            </w:r>
            <w:r>
              <w:t xml:space="preserve">When the user invalidated all of the diagnostic tests associated with a given specimen, VBECS asks whether the user wishes to change the specimen to “unacceptable.” </w:t>
            </w:r>
            <w:r>
              <w:rPr>
                <w:b/>
              </w:rPr>
              <w:t>No</w:t>
            </w:r>
            <w:r>
              <w:t xml:space="preserve"> allows the user to invalidate the test results without making the specimen unacceptable. </w:t>
            </w:r>
            <w:r>
              <w:rPr>
                <w:b/>
              </w:rPr>
              <w:t>Yes</w:t>
            </w:r>
            <w:r>
              <w:t xml:space="preserve"> changes the specimen to “unacceptable” and requires a comment.</w:t>
            </w:r>
          </w:p>
        </w:tc>
      </w:tr>
      <w:tr w:rsidR="002A21AE" w14:paraId="75E47418" w14:textId="77777777">
        <w:tc>
          <w:tcPr>
            <w:tcW w:w="3240" w:type="dxa"/>
          </w:tcPr>
          <w:p w14:paraId="08CC4FC6"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11D236B" w14:textId="77777777" w:rsidR="002A21AE" w:rsidRDefault="002A21AE">
            <w:pPr>
              <w:pStyle w:val="NotesText"/>
            </w:pPr>
          </w:p>
        </w:tc>
      </w:tr>
    </w:tbl>
    <w:p w14:paraId="5846ADB6" w14:textId="30046C9A" w:rsidR="004C67AB" w:rsidRDefault="004C67AB" w:rsidP="004C67AB">
      <w:pPr>
        <w:pStyle w:val="Caption"/>
      </w:pPr>
      <w:bookmarkStart w:id="406" w:name="_Ref1271595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83</w:t>
      </w:r>
      <w:r w:rsidR="004E20BD">
        <w:rPr>
          <w:noProof/>
        </w:rPr>
        <w:fldChar w:fldCharType="end"/>
      </w:r>
      <w:bookmarkEnd w:id="406"/>
      <w:r>
        <w:t>: Invalidate Patient Test Results</w:t>
      </w:r>
    </w:p>
    <w:p w14:paraId="2A82F5A9" w14:textId="77777777" w:rsidR="004C67AB" w:rsidRDefault="00057948" w:rsidP="004C67AB">
      <w:pPr>
        <w:pStyle w:val="BodyText"/>
      </w:pPr>
      <w:r>
        <w:rPr>
          <w:noProof/>
        </w:rPr>
        <w:drawing>
          <wp:inline distT="0" distB="0" distL="0" distR="0" wp14:anchorId="1891CACF" wp14:editId="39EE6D2B">
            <wp:extent cx="5948045" cy="3537585"/>
            <wp:effectExtent l="0" t="0" r="0" b="5715"/>
            <wp:docPr id="202" name="Picture 202" descr="Example of Invalidate Patient Test Resul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Example of Invalidate Patient Test Results screen captur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8045" cy="3537585"/>
                    </a:xfrm>
                    <a:prstGeom prst="rect">
                      <a:avLst/>
                    </a:prstGeom>
                    <a:noFill/>
                    <a:ln>
                      <a:noFill/>
                    </a:ln>
                  </pic:spPr>
                </pic:pic>
              </a:graphicData>
            </a:graphic>
          </wp:inline>
        </w:drawing>
      </w:r>
    </w:p>
    <w:p w14:paraId="7C27B30B" w14:textId="43AEF415" w:rsidR="004C67AB" w:rsidRDefault="004C67AB" w:rsidP="004C67AB">
      <w:pPr>
        <w:pStyle w:val="Caption"/>
      </w:pPr>
      <w:bookmarkStart w:id="407" w:name="_Ref12715986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84</w:t>
      </w:r>
      <w:r w:rsidR="004E20BD">
        <w:rPr>
          <w:noProof/>
        </w:rPr>
        <w:fldChar w:fldCharType="end"/>
      </w:r>
      <w:bookmarkEnd w:id="407"/>
      <w:r>
        <w:t>: Confirm Invalidation</w:t>
      </w:r>
    </w:p>
    <w:p w14:paraId="1A0CB78B" w14:textId="77777777" w:rsidR="004C67AB" w:rsidRDefault="00057948" w:rsidP="004C67AB">
      <w:pPr>
        <w:pStyle w:val="BodyText"/>
      </w:pPr>
      <w:r>
        <w:rPr>
          <w:noProof/>
        </w:rPr>
        <w:drawing>
          <wp:inline distT="0" distB="0" distL="0" distR="0" wp14:anchorId="1BDDBA68" wp14:editId="5D963E05">
            <wp:extent cx="5939155" cy="3759200"/>
            <wp:effectExtent l="0" t="0" r="4445" b="0"/>
            <wp:docPr id="203" name="Picture 203" descr="Example of Confirm Invalid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Example of Confirm Invalidation screen captur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39155" cy="3759200"/>
                    </a:xfrm>
                    <a:prstGeom prst="rect">
                      <a:avLst/>
                    </a:prstGeom>
                    <a:noFill/>
                    <a:ln>
                      <a:noFill/>
                    </a:ln>
                  </pic:spPr>
                </pic:pic>
              </a:graphicData>
            </a:graphic>
          </wp:inline>
        </w:drawing>
      </w:r>
    </w:p>
    <w:p w14:paraId="74E9FD6D" w14:textId="77777777" w:rsidR="002A21AE" w:rsidRDefault="002A21AE" w:rsidP="004C67AB">
      <w:pPr>
        <w:pStyle w:val="Heading2"/>
      </w:pPr>
      <w:r>
        <w:br w:type="page"/>
      </w:r>
      <w:bookmarkStart w:id="408" w:name="_Toc163644930"/>
      <w:r>
        <w:lastRenderedPageBreak/>
        <w:t>Remove Final Status</w:t>
      </w:r>
      <w:bookmarkEnd w:id="408"/>
      <w:r w:rsidRPr="007B1B11">
        <w:rPr>
          <w:rFonts w:ascii="Arial Bold" w:hAnsi="Arial Bold"/>
          <w:vanish/>
        </w:rPr>
        <w:fldChar w:fldCharType="begin"/>
      </w:r>
      <w:r w:rsidRPr="007B1B11">
        <w:rPr>
          <w:rFonts w:ascii="Arial Bold" w:hAnsi="Arial Bold"/>
          <w:vanish/>
        </w:rPr>
        <w:instrText xml:space="preserve"> XE </w:instrText>
      </w:r>
      <w:r w:rsidR="00FA7E65" w:rsidRPr="007B1B11">
        <w:rPr>
          <w:rFonts w:ascii="Arial Bold" w:hAnsi="Arial Bold"/>
          <w:vanish/>
        </w:rPr>
        <w:instrText>“</w:instrText>
      </w:r>
      <w:r w:rsidRPr="007B1B11">
        <w:rPr>
          <w:rFonts w:ascii="Arial Bold" w:hAnsi="Arial Bold"/>
          <w:vanish/>
        </w:rPr>
        <w:instrText>Remove Final Status</w:instrText>
      </w:r>
      <w:r w:rsidR="00FA7E65" w:rsidRPr="007B1B11">
        <w:rPr>
          <w:rFonts w:ascii="Arial Bold" w:hAnsi="Arial Bold"/>
          <w:vanish/>
        </w:rPr>
        <w:instrText>”</w:instrText>
      </w:r>
      <w:r w:rsidRPr="007B1B11">
        <w:rPr>
          <w:rFonts w:ascii="Arial Bold" w:hAnsi="Arial Bold"/>
          <w:vanish/>
        </w:rPr>
        <w:instrText xml:space="preserve"> </w:instrText>
      </w:r>
      <w:r w:rsidRPr="007B1B11">
        <w:rPr>
          <w:rFonts w:ascii="Arial Bold" w:hAnsi="Arial Bold"/>
          <w:vanish/>
        </w:rPr>
        <w:fldChar w:fldCharType="end"/>
      </w:r>
      <w:r w:rsidRPr="007B1B11">
        <w:rPr>
          <w:rFonts w:ascii="Arial Bold" w:hAnsi="Arial Bold"/>
          <w:vanish/>
        </w:rPr>
        <w:t xml:space="preserve"> UC_13</w:t>
      </w:r>
    </w:p>
    <w:p w14:paraId="4FAC25B3" w14:textId="77777777" w:rsidR="002A21AE" w:rsidRDefault="002A21AE" w:rsidP="00FA7E65">
      <w:pPr>
        <w:pStyle w:val="BodyText"/>
      </w:pPr>
      <w:r>
        <w:t xml:space="preserve">The user removes a final status from a unit. All other statuses are manipulated through normal system rules and practices. </w:t>
      </w:r>
    </w:p>
    <w:p w14:paraId="1A2F1B79" w14:textId="77777777" w:rsidR="002A21AE" w:rsidRDefault="002A21AE">
      <w:pPr>
        <w:pStyle w:val="Heading4"/>
      </w:pPr>
      <w:r>
        <w:t>Assumptions</w:t>
      </w:r>
      <w:r>
        <w:rPr>
          <w:b w:val="0"/>
        </w:rPr>
        <w:t xml:space="preserve"> </w:t>
      </w:r>
    </w:p>
    <w:p w14:paraId="1C3DA376" w14:textId="77777777" w:rsidR="002A21AE" w:rsidRDefault="002A21AE">
      <w:pPr>
        <w:pStyle w:val="ListBullet"/>
      </w:pPr>
      <w:r>
        <w:t>The user is logged into the division containing the unit record.</w:t>
      </w:r>
    </w:p>
    <w:p w14:paraId="03B4A9AE" w14:textId="77777777" w:rsidR="002A21AE" w:rsidRDefault="002A21AE">
      <w:pPr>
        <w:pStyle w:val="ListBullet"/>
      </w:pPr>
      <w:r>
        <w:t>The unit is in a final (transfused, transferred, modified, discarded) status.</w:t>
      </w:r>
    </w:p>
    <w:p w14:paraId="44DE3A73" w14:textId="77777777" w:rsidR="002A21AE" w:rsidRDefault="002A21AE">
      <w:pPr>
        <w:pStyle w:val="ListBullet"/>
      </w:pPr>
      <w:r>
        <w:t xml:space="preserve">The user must invalidate the modification status of the split </w:t>
      </w:r>
      <w:r w:rsidR="0071792D">
        <w:t xml:space="preserve">or pooled </w:t>
      </w:r>
      <w:r>
        <w:t xml:space="preserve">units, and then the original unit or pool. </w:t>
      </w:r>
    </w:p>
    <w:p w14:paraId="1C751722" w14:textId="77777777" w:rsidR="002A21AE" w:rsidRDefault="002A21AE">
      <w:pPr>
        <w:pStyle w:val="Heading4"/>
      </w:pPr>
      <w:r>
        <w:t>Outcome</w:t>
      </w:r>
    </w:p>
    <w:p w14:paraId="53054685" w14:textId="77777777" w:rsidR="002A21AE" w:rsidRDefault="002A21AE">
      <w:pPr>
        <w:pStyle w:val="ListBullet"/>
      </w:pPr>
      <w:r>
        <w:t xml:space="preserve">The new information was saved with the unit’s </w:t>
      </w:r>
      <w:r w:rsidR="0051757B">
        <w:t>historic</w:t>
      </w:r>
      <w:r>
        <w:t xml:space="preserve"> record.</w:t>
      </w:r>
    </w:p>
    <w:p w14:paraId="0C6F4DFC" w14:textId="77777777" w:rsidR="002A21AE" w:rsidRDefault="002A21AE">
      <w:pPr>
        <w:pStyle w:val="ListBullet"/>
      </w:pPr>
      <w:r>
        <w:t xml:space="preserve">The unit is in the status immediately prior to the final status. </w:t>
      </w:r>
    </w:p>
    <w:p w14:paraId="250F8514" w14:textId="77777777" w:rsidR="002A21AE" w:rsidRDefault="002A21AE">
      <w:pPr>
        <w:pStyle w:val="Heading4"/>
      </w:pPr>
      <w:r>
        <w:t>Limitations and Restrictions</w:t>
      </w:r>
      <w:r>
        <w:rPr>
          <w:b w:val="0"/>
        </w:rPr>
        <w:t xml:space="preserve"> </w:t>
      </w:r>
    </w:p>
    <w:p w14:paraId="5F712382" w14:textId="77777777" w:rsidR="002A21AE" w:rsidRDefault="002A21AE">
      <w:pPr>
        <w:pStyle w:val="ListBullet"/>
      </w:pPr>
      <w:r>
        <w:t>This option applies only to the release of units in final statuses.</w:t>
      </w:r>
    </w:p>
    <w:p w14:paraId="126C2ADD" w14:textId="77777777" w:rsidR="002A21AE" w:rsidRDefault="002A21AE">
      <w:pPr>
        <w:pStyle w:val="Heading4"/>
      </w:pPr>
      <w:r>
        <w:t>Additional Information</w:t>
      </w:r>
      <w:r>
        <w:rPr>
          <w:rFonts w:ascii="Times New Roman" w:hAnsi="Times New Roman"/>
          <w:i/>
          <w:sz w:val="24"/>
        </w:rPr>
        <w:t xml:space="preserve"> </w:t>
      </w:r>
    </w:p>
    <w:p w14:paraId="5AB524B2" w14:textId="77777777" w:rsidR="002A21AE" w:rsidRDefault="002A21AE">
      <w:pPr>
        <w:pStyle w:val="ListBullet"/>
      </w:pPr>
      <w:r>
        <w:t>This option allows a user to restore a unit to inventory from a final status. It may be used to begin undoing a transfusion episode (step by step in reverse order) or correct a unit modification record.</w:t>
      </w:r>
    </w:p>
    <w:p w14:paraId="724D9448" w14:textId="77777777" w:rsidR="002A21AE" w:rsidRDefault="002A21AE">
      <w:pPr>
        <w:pStyle w:val="ListBullet"/>
      </w:pPr>
      <w:r>
        <w:t>“Issued” is not a final unit status.</w:t>
      </w:r>
    </w:p>
    <w:p w14:paraId="253E8345" w14:textId="77777777" w:rsidR="002A21AE" w:rsidRDefault="002A21AE">
      <w:pPr>
        <w:pStyle w:val="ListBullet"/>
      </w:pPr>
      <w:r>
        <w:t xml:space="preserve">This option is not used to add units to or remove them from a pool. </w:t>
      </w:r>
    </w:p>
    <w:p w14:paraId="6A3EC44E" w14:textId="77777777" w:rsidR="002A21AE" w:rsidRDefault="002A21AE">
      <w:pPr>
        <w:pStyle w:val="Heading4"/>
        <w:rPr>
          <w:b w:val="0"/>
        </w:rPr>
      </w:pPr>
      <w:r>
        <w:t>User Roles with Access to This Option</w:t>
      </w:r>
      <w:r>
        <w:rPr>
          <w:b w:val="0"/>
        </w:rPr>
        <w:t xml:space="preserve"> </w:t>
      </w:r>
    </w:p>
    <w:p w14:paraId="04FDE72A" w14:textId="77777777" w:rsidR="002A21AE" w:rsidRDefault="002A21AE" w:rsidP="00EE665E">
      <w:pPr>
        <w:pStyle w:val="BodyText"/>
      </w:pP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t xml:space="preserve"> </w:t>
      </w:r>
      <w:r w:rsidRPr="00EE665E">
        <w:t>Traditional Supervisor</w:t>
      </w:r>
      <w:r>
        <w:t xml:space="preserve"> </w:t>
      </w:r>
    </w:p>
    <w:p w14:paraId="1B99EF48" w14:textId="77777777" w:rsidR="002A21AE" w:rsidRDefault="002A21AE">
      <w:pPr>
        <w:pStyle w:val="Heading4"/>
      </w:pPr>
      <w:r>
        <w:t>Remove Final Status</w:t>
      </w:r>
    </w:p>
    <w:p w14:paraId="7B7D5965" w14:textId="77777777" w:rsidR="00B25F6C" w:rsidRDefault="002A21AE" w:rsidP="00FA7E65">
      <w:pPr>
        <w:pStyle w:val="BodyText"/>
      </w:pPr>
      <w:r>
        <w:t>The user corrects a clerical error: a unit was processed and moved to a final status in the computer incorrectly.</w:t>
      </w:r>
    </w:p>
    <w:p w14:paraId="12DB7965" w14:textId="77777777" w:rsidR="00B25F6C" w:rsidRPr="00D93651" w:rsidRDefault="002A21AE" w:rsidP="00B25F6C">
      <w:pPr>
        <w:pStyle w:val="Caution"/>
        <w:ind w:right="180"/>
      </w:pPr>
      <w:r>
        <w:t xml:space="preserve"> </w:t>
      </w:r>
      <w:r w:rsidR="00057948">
        <w:rPr>
          <w:noProof/>
        </w:rPr>
        <w:drawing>
          <wp:inline distT="0" distB="0" distL="0" distR="0" wp14:anchorId="042B7BA8" wp14:editId="5FDD1853">
            <wp:extent cx="267970" cy="221615"/>
            <wp:effectExtent l="0" t="0" r="0" b="6985"/>
            <wp:docPr id="204" name="Picture 20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25F6C">
        <w:t>Removing final status of a unit reported as transfused by the Transfusion Verification application will create a discrepancy between the systems. Changes or updates to a transfusion record must be made in the Transfusion Verification application first.</w:t>
      </w:r>
      <w:r w:rsidR="00B25F6C">
        <w:rPr>
          <w:vanish/>
        </w:rPr>
        <w:t xml:space="preserve"> DR 4134</w:t>
      </w:r>
      <w:r w:rsidR="00B25F6C">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1D2904" w14:textId="77777777">
        <w:trPr>
          <w:cantSplit/>
          <w:tblHeader/>
        </w:trPr>
        <w:tc>
          <w:tcPr>
            <w:tcW w:w="3240" w:type="dxa"/>
            <w:shd w:val="pct30" w:color="auto" w:fill="FFFFFF"/>
            <w:vAlign w:val="bottom"/>
          </w:tcPr>
          <w:p w14:paraId="08CCDB5B" w14:textId="77777777" w:rsidR="002A21AE" w:rsidRDefault="002A21AE">
            <w:pPr>
              <w:pStyle w:val="TableText"/>
              <w:rPr>
                <w:b/>
              </w:rPr>
            </w:pPr>
            <w:r>
              <w:rPr>
                <w:b/>
              </w:rPr>
              <w:t>User Action</w:t>
            </w:r>
          </w:p>
        </w:tc>
        <w:tc>
          <w:tcPr>
            <w:tcW w:w="6120" w:type="dxa"/>
            <w:shd w:val="pct30" w:color="auto" w:fill="FFFFFF"/>
            <w:vAlign w:val="bottom"/>
          </w:tcPr>
          <w:p w14:paraId="3607E65C" w14:textId="77777777" w:rsidR="002A21AE" w:rsidRDefault="002A21AE">
            <w:pPr>
              <w:pStyle w:val="TableText"/>
              <w:rPr>
                <w:b/>
              </w:rPr>
            </w:pPr>
            <w:r>
              <w:rPr>
                <w:b/>
              </w:rPr>
              <w:t>VBECS</w:t>
            </w:r>
          </w:p>
        </w:tc>
      </w:tr>
      <w:tr w:rsidR="002A21AE" w14:paraId="2797C24D" w14:textId="77777777">
        <w:tc>
          <w:tcPr>
            <w:tcW w:w="3240" w:type="dxa"/>
          </w:tcPr>
          <w:p w14:paraId="41BB773D" w14:textId="77777777" w:rsidR="002A21AE" w:rsidRDefault="002A21AE">
            <w:pPr>
              <w:pStyle w:val="TableTextNumbers"/>
            </w:pPr>
            <w:r>
              <w:t xml:space="preserve">Select </w:t>
            </w:r>
            <w:r>
              <w:rPr>
                <w:b/>
              </w:rPr>
              <w:t>Supervisor</w:t>
            </w:r>
            <w:r>
              <w:t xml:space="preserve"> from the main menu. </w:t>
            </w:r>
          </w:p>
          <w:p w14:paraId="4FDA3181" w14:textId="77777777" w:rsidR="002A21AE" w:rsidRDefault="002A21AE">
            <w:pPr>
              <w:pStyle w:val="TableTextNumbersContinued"/>
            </w:pPr>
          </w:p>
          <w:p w14:paraId="00AA139C" w14:textId="77777777" w:rsidR="002A21AE" w:rsidRDefault="002A21AE">
            <w:pPr>
              <w:pStyle w:val="TableTextNumbersContinued"/>
            </w:pPr>
            <w:r>
              <w:t xml:space="preserve">Select </w:t>
            </w:r>
            <w:r>
              <w:rPr>
                <w:b/>
              </w:rPr>
              <w:t>Remove Final Status</w:t>
            </w:r>
            <w:r>
              <w:t>.</w:t>
            </w:r>
          </w:p>
        </w:tc>
        <w:tc>
          <w:tcPr>
            <w:tcW w:w="6120" w:type="dxa"/>
          </w:tcPr>
          <w:p w14:paraId="17BEF0CF" w14:textId="77777777" w:rsidR="002A21AE" w:rsidRDefault="002A21AE">
            <w:pPr>
              <w:pStyle w:val="TableTextBullet"/>
            </w:pPr>
            <w:r>
              <w:t>Displays options available to supervisors</w:t>
            </w:r>
            <w:r w:rsidR="00922AD8">
              <w:t>.</w:t>
            </w:r>
          </w:p>
          <w:p w14:paraId="13290454" w14:textId="77777777" w:rsidR="002A21AE" w:rsidRDefault="002A21AE">
            <w:pPr>
              <w:pStyle w:val="TableTextBullet"/>
            </w:pPr>
            <w:r>
              <w:t>Displays fields for selecting a unit and removing its final status.</w:t>
            </w:r>
          </w:p>
        </w:tc>
      </w:tr>
      <w:tr w:rsidR="002A21AE" w14:paraId="0F9E0FD2" w14:textId="77777777" w:rsidTr="00774B1B">
        <w:trPr>
          <w:cantSplit/>
          <w:tblHeader/>
        </w:trPr>
        <w:tc>
          <w:tcPr>
            <w:tcW w:w="3240" w:type="dxa"/>
          </w:tcPr>
          <w:p w14:paraId="0405D383" w14:textId="77777777" w:rsidR="002A21AE" w:rsidRDefault="002A21AE">
            <w:pPr>
              <w:pStyle w:val="TableTextNumbers"/>
            </w:pPr>
            <w:r>
              <w:lastRenderedPageBreak/>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6E900804" w14:textId="77777777" w:rsidR="002A21AE" w:rsidRDefault="002A21AE">
            <w:pPr>
              <w:pStyle w:val="TableTextBullet"/>
            </w:pPr>
            <w:r>
              <w:t>Displays unit data,</w:t>
            </w:r>
            <w:r>
              <w:rPr>
                <w:rFonts w:cs="Arial"/>
              </w:rPr>
              <w:t xml:space="preserve"> including the previous and current unit statuses.</w:t>
            </w:r>
          </w:p>
          <w:p w14:paraId="26906539" w14:textId="77777777" w:rsidR="002A21AE" w:rsidRDefault="00123ED4">
            <w:pPr>
              <w:pStyle w:val="TableTextBullet"/>
            </w:pPr>
            <w:r w:rsidRPr="00123ED4">
              <w:rPr>
                <w:vanish/>
                <w:szCs w:val="18"/>
              </w:rPr>
              <w:t>BR_13.01</w:t>
            </w:r>
            <w:r w:rsidR="008F079B">
              <w:rPr>
                <w:vanish/>
                <w:szCs w:val="18"/>
              </w:rPr>
              <w:t xml:space="preserve"> </w:t>
            </w:r>
            <w:r w:rsidR="002A21AE">
              <w:t>Warns the user to proceed with caution.</w:t>
            </w:r>
          </w:p>
          <w:p w14:paraId="0C87FCD3" w14:textId="77777777" w:rsidR="002A21AE" w:rsidRDefault="002A21AE">
            <w:pPr>
              <w:pStyle w:val="TableText"/>
            </w:pPr>
          </w:p>
          <w:p w14:paraId="57FAD835" w14:textId="38C383D2" w:rsidR="002A21AE" w:rsidRDefault="002A21AE">
            <w:pPr>
              <w:pStyle w:val="TableText"/>
              <w:rPr>
                <w:b/>
                <w:bCs/>
                <w:szCs w:val="18"/>
              </w:rPr>
            </w:pPr>
            <w:r>
              <w:rPr>
                <w:b/>
                <w:bCs/>
                <w:szCs w:val="18"/>
              </w:rPr>
              <w:t>NOTES</w:t>
            </w:r>
          </w:p>
          <w:p w14:paraId="4D4553E0" w14:textId="77777777" w:rsidR="002A21AE" w:rsidRDefault="002A21AE">
            <w:pPr>
              <w:pStyle w:val="NotesText"/>
            </w:pPr>
          </w:p>
          <w:p w14:paraId="77AFA46B" w14:textId="77777777" w:rsidR="002A21AE" w:rsidRDefault="002A21AE">
            <w:pPr>
              <w:pStyle w:val="NotesText"/>
              <w:rPr>
                <w:rFonts w:cs="Arial"/>
              </w:rPr>
            </w:pPr>
            <w:r>
              <w:rPr>
                <w:rFonts w:cs="Arial"/>
                <w:vanish/>
              </w:rPr>
              <w:t xml:space="preserve">BR_13.04 </w:t>
            </w:r>
            <w:r>
              <w:t>VBECS warns the user</w:t>
            </w:r>
            <w:r>
              <w:rPr>
                <w:rFonts w:cs="Arial"/>
              </w:rPr>
              <w:t xml:space="preserve"> when the unit does not have a final status</w:t>
            </w:r>
            <w:r w:rsidR="002E2AAE">
              <w:rPr>
                <w:rFonts w:cs="Arial"/>
              </w:rPr>
              <w:t xml:space="preserve"> or was not modified</w:t>
            </w:r>
            <w:r w:rsidR="00295AB3">
              <w:rPr>
                <w:rFonts w:cs="Arial"/>
              </w:rPr>
              <w:t xml:space="preserve"> (other than pool, thaw/pool, and split)</w:t>
            </w:r>
            <w:r>
              <w:t>. The user may select another unit.</w:t>
            </w:r>
          </w:p>
          <w:p w14:paraId="28439A3A" w14:textId="77777777" w:rsidR="002A21AE" w:rsidRDefault="002A21AE">
            <w:pPr>
              <w:pStyle w:val="NotesText"/>
              <w:rPr>
                <w:rFonts w:cs="Arial"/>
              </w:rPr>
            </w:pPr>
          </w:p>
          <w:p w14:paraId="44807890" w14:textId="77777777" w:rsidR="002A21AE" w:rsidRDefault="002A21AE">
            <w:pPr>
              <w:pStyle w:val="NotesText"/>
            </w:pPr>
            <w:r>
              <w:rPr>
                <w:rFonts w:cs="Arial"/>
                <w:vanish/>
              </w:rPr>
              <w:t xml:space="preserve">BR_13.05 </w:t>
            </w:r>
            <w:r>
              <w:t>When the final status is “modified” (</w:t>
            </w:r>
            <w:r w:rsidR="00690E42">
              <w:rPr>
                <w:rFonts w:cs="Arial"/>
              </w:rPr>
              <w:t>pooled, thaw/pooled, or split</w:t>
            </w:r>
            <w:r>
              <w:t>), VBECS verifies that the target unit is invalidated. When the target unit was not invalidated, the user may not continue.</w:t>
            </w:r>
          </w:p>
        </w:tc>
      </w:tr>
      <w:tr w:rsidR="002A21AE" w14:paraId="11A72B07" w14:textId="77777777">
        <w:trPr>
          <w:cantSplit/>
        </w:trPr>
        <w:tc>
          <w:tcPr>
            <w:tcW w:w="3240" w:type="dxa"/>
          </w:tcPr>
          <w:p w14:paraId="3DD1A728" w14:textId="77777777" w:rsidR="002A21AE" w:rsidRDefault="002A21AE">
            <w:pPr>
              <w:pStyle w:val="TableTextNumbers"/>
            </w:pPr>
            <w:r>
              <w:t>Verify that the unit selected is the desired unit.</w:t>
            </w:r>
          </w:p>
          <w:p w14:paraId="2F068864" w14:textId="77777777" w:rsidR="000B79B3" w:rsidRDefault="000B79B3" w:rsidP="000B79B3">
            <w:pPr>
              <w:pStyle w:val="TableTextNumbersContinued"/>
            </w:pPr>
          </w:p>
          <w:p w14:paraId="28AB3C85" w14:textId="77777777" w:rsidR="000B79B3" w:rsidRDefault="000B79B3" w:rsidP="000B79B3">
            <w:pPr>
              <w:pStyle w:val="TableTextNumbersContinued"/>
            </w:pPr>
            <w:r>
              <w:t xml:space="preserve">Click </w:t>
            </w:r>
            <w:r w:rsidRPr="000B79B3">
              <w:rPr>
                <w:b/>
              </w:rPr>
              <w:t>OK</w:t>
            </w:r>
            <w:r>
              <w:t>.</w:t>
            </w:r>
          </w:p>
          <w:p w14:paraId="4C3D8C23" w14:textId="77777777" w:rsidR="002A21AE" w:rsidRDefault="002A21AE" w:rsidP="000B79B3">
            <w:pPr>
              <w:pStyle w:val="TableTextNumbersContinued"/>
            </w:pPr>
          </w:p>
          <w:p w14:paraId="7036020A" w14:textId="34923210" w:rsidR="002A21AE" w:rsidRDefault="002A21AE">
            <w:pPr>
              <w:pStyle w:val="TableTextNumbersContinued"/>
            </w:pPr>
            <w:r>
              <w:t>Enter a comment</w:t>
            </w:r>
            <w:r w:rsidR="007F4644">
              <w:t xml:space="preserve"> (</w:t>
            </w:r>
            <w:r w:rsidR="00EE455E">
              <w:t xml:space="preserve">Figure </w:t>
            </w:r>
            <w:r w:rsidR="00EE455E">
              <w:rPr>
                <w:noProof/>
              </w:rPr>
              <w:t>84</w:t>
            </w:r>
            <w:r w:rsidR="007F4644">
              <w:t>)</w:t>
            </w:r>
            <w:r>
              <w:t>.</w:t>
            </w:r>
          </w:p>
        </w:tc>
        <w:tc>
          <w:tcPr>
            <w:tcW w:w="6120" w:type="dxa"/>
          </w:tcPr>
          <w:p w14:paraId="62F925FA" w14:textId="77777777" w:rsidR="002A21AE" w:rsidRDefault="002A21AE">
            <w:pPr>
              <w:pStyle w:val="TableTextBullet"/>
            </w:pPr>
            <w:r>
              <w:t>Asks the user if he would like to remove the final status.</w:t>
            </w:r>
          </w:p>
          <w:p w14:paraId="0B32DAD7" w14:textId="77777777" w:rsidR="002A21AE" w:rsidRDefault="002A21AE">
            <w:pPr>
              <w:pStyle w:val="TableTextBullet"/>
            </w:pPr>
            <w:r>
              <w:rPr>
                <w:rFonts w:cs="Arial"/>
                <w:vanish/>
              </w:rPr>
              <w:t xml:space="preserve">BR_13.02 </w:t>
            </w:r>
            <w:r>
              <w:t>Requires the user to enter an explanatory comment.</w:t>
            </w:r>
          </w:p>
          <w:p w14:paraId="3902169D" w14:textId="77777777" w:rsidR="002A21AE" w:rsidRDefault="002A21AE">
            <w:pPr>
              <w:pStyle w:val="TableText"/>
            </w:pPr>
          </w:p>
          <w:p w14:paraId="202A5AD5" w14:textId="3FA4EBAD" w:rsidR="002A21AE" w:rsidRDefault="002A21AE">
            <w:pPr>
              <w:pStyle w:val="TableText"/>
              <w:rPr>
                <w:b/>
                <w:bCs/>
                <w:szCs w:val="18"/>
              </w:rPr>
            </w:pPr>
            <w:r>
              <w:rPr>
                <w:b/>
                <w:bCs/>
                <w:szCs w:val="18"/>
              </w:rPr>
              <w:t>NOTES</w:t>
            </w:r>
          </w:p>
          <w:p w14:paraId="13EB5009" w14:textId="77777777" w:rsidR="002A21AE" w:rsidRDefault="002A21AE">
            <w:pPr>
              <w:pStyle w:val="NotesText"/>
            </w:pPr>
          </w:p>
          <w:p w14:paraId="456A14A7" w14:textId="77777777" w:rsidR="002A21AE" w:rsidRDefault="002A21AE">
            <w:pPr>
              <w:pStyle w:val="NotesText"/>
              <w:rPr>
                <w:rFonts w:cs="Arial"/>
              </w:rPr>
            </w:pPr>
            <w:r>
              <w:rPr>
                <w:rFonts w:cs="Arial"/>
                <w:vanish/>
              </w:rPr>
              <w:t xml:space="preserve">BR_13.03 </w:t>
            </w:r>
            <w:r>
              <w:rPr>
                <w:color w:val="000000"/>
                <w:szCs w:val="18"/>
              </w:rPr>
              <w:t>VBECS updates the unit status to the previous status and maintains restrictions on the original unit.</w:t>
            </w:r>
          </w:p>
        </w:tc>
      </w:tr>
      <w:tr w:rsidR="002A21AE" w14:paraId="1F30D5AA" w14:textId="77777777">
        <w:trPr>
          <w:cantSplit/>
        </w:trPr>
        <w:tc>
          <w:tcPr>
            <w:tcW w:w="3240" w:type="dxa"/>
          </w:tcPr>
          <w:p w14:paraId="552A75A5" w14:textId="77777777" w:rsidR="002A21AE" w:rsidRDefault="007F4644" w:rsidP="007F4644">
            <w:pPr>
              <w:pStyle w:val="TableTextNumbers"/>
            </w:pPr>
            <w:r>
              <w:t xml:space="preserve">Review the data, click </w:t>
            </w:r>
            <w:r>
              <w:rPr>
                <w:b/>
              </w:rPr>
              <w:t xml:space="preserve">OK </w:t>
            </w:r>
            <w:r>
              <w:t xml:space="preserve">to save, and click </w:t>
            </w:r>
            <w:r>
              <w:rPr>
                <w:b/>
              </w:rPr>
              <w:t>OK</w:t>
            </w:r>
            <w:r>
              <w:t xml:space="preserve"> again to confirm the save.</w:t>
            </w:r>
            <w:r w:rsidR="00602AD7">
              <w:rPr>
                <w:vanish/>
                <w:color w:val="FFFFFF"/>
                <w:szCs w:val="18"/>
              </w:rPr>
              <w:t xml:space="preserve"> </w:t>
            </w:r>
            <w:r w:rsidR="00602AD7">
              <w:rPr>
                <w:vanish/>
                <w:color w:val="FFFFFF"/>
                <w:szCs w:val="18"/>
              </w:rPr>
              <w:fldChar w:fldCharType="begin"/>
            </w:r>
            <w:r w:rsidR="00602AD7">
              <w:rPr>
                <w:vanish/>
                <w:color w:val="FFFFFF"/>
                <w:szCs w:val="18"/>
              </w:rPr>
              <w:instrText xml:space="preserve"> LISTNUM \l 1 \s 0 </w:instrText>
            </w:r>
            <w:r w:rsidR="00602AD7">
              <w:rPr>
                <w:vanish/>
                <w:color w:val="FFFFFF"/>
                <w:szCs w:val="18"/>
              </w:rPr>
              <w:fldChar w:fldCharType="end"/>
            </w:r>
          </w:p>
        </w:tc>
        <w:tc>
          <w:tcPr>
            <w:tcW w:w="6120" w:type="dxa"/>
          </w:tcPr>
          <w:p w14:paraId="58F02D6E" w14:textId="77777777" w:rsidR="002A21AE" w:rsidRDefault="002A21AE">
            <w:pPr>
              <w:pStyle w:val="TableTextBullet"/>
            </w:pPr>
            <w:r>
              <w:t>Displays the unit data and asks the</w:t>
            </w:r>
            <w:r w:rsidR="008614C5">
              <w:t xml:space="preserve"> user to</w:t>
            </w:r>
            <w:r>
              <w:t xml:space="preserve"> verify the return to the previous status. </w:t>
            </w:r>
          </w:p>
          <w:p w14:paraId="110BC3C8" w14:textId="77777777" w:rsidR="002A21AE" w:rsidRDefault="002A21AE">
            <w:pPr>
              <w:pStyle w:val="TableTextBullet"/>
            </w:pPr>
            <w:r>
              <w:t>Allows the user to review his entries and choices and save the correction to the unit record or exit without saving.</w:t>
            </w:r>
          </w:p>
          <w:p w14:paraId="0B629BF0" w14:textId="77777777" w:rsidR="007F4644" w:rsidRDefault="007F4644" w:rsidP="007F4644">
            <w:pPr>
              <w:pStyle w:val="TableTextBullet"/>
            </w:pPr>
            <w:r>
              <w:t>Updates the unit record.</w:t>
            </w:r>
          </w:p>
          <w:p w14:paraId="6104F637" w14:textId="77777777" w:rsidR="007F4644" w:rsidRDefault="007F4644" w:rsidP="007F4644">
            <w:pPr>
              <w:pStyle w:val="TableText"/>
            </w:pPr>
          </w:p>
          <w:p w14:paraId="16668662" w14:textId="34F22444" w:rsidR="007F4644" w:rsidRDefault="007F4644" w:rsidP="007F4644">
            <w:pPr>
              <w:pStyle w:val="TableText"/>
              <w:rPr>
                <w:b/>
                <w:bCs/>
                <w:szCs w:val="18"/>
              </w:rPr>
            </w:pPr>
            <w:r>
              <w:rPr>
                <w:b/>
                <w:bCs/>
                <w:szCs w:val="18"/>
              </w:rPr>
              <w:t>NOTES</w:t>
            </w:r>
          </w:p>
          <w:p w14:paraId="763E0E60" w14:textId="77777777" w:rsidR="007F4644" w:rsidRDefault="007F4644" w:rsidP="007F4644">
            <w:pPr>
              <w:pStyle w:val="NotesText"/>
            </w:pPr>
          </w:p>
          <w:p w14:paraId="45BA8298" w14:textId="77777777" w:rsidR="007F4644" w:rsidRDefault="007F4644" w:rsidP="007F4644">
            <w:pPr>
              <w:pStyle w:val="NotesText"/>
            </w:pPr>
            <w:r>
              <w:rPr>
                <w:rFonts w:cs="Arial"/>
                <w:vanish/>
              </w:rPr>
              <w:t xml:space="preserve">BR_13.06 </w:t>
            </w:r>
            <w:r>
              <w:t>When VBECS removes a final status of “discard” or “transfer,” it also removes return credits previously assigned to the unit.</w:t>
            </w:r>
          </w:p>
        </w:tc>
      </w:tr>
    </w:tbl>
    <w:p w14:paraId="2F81A96F" w14:textId="4FDF8E32" w:rsidR="00772DD7" w:rsidRDefault="00772DD7" w:rsidP="00772DD7">
      <w:pPr>
        <w:pStyle w:val="Caption"/>
      </w:pPr>
      <w:bookmarkStart w:id="409" w:name="_Ref128468634"/>
      <w:bookmarkStart w:id="410" w:name="_Ref12846860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85</w:t>
      </w:r>
      <w:r w:rsidR="004E20BD">
        <w:rPr>
          <w:noProof/>
        </w:rPr>
        <w:fldChar w:fldCharType="end"/>
      </w:r>
      <w:bookmarkEnd w:id="409"/>
      <w:r>
        <w:t>:</w:t>
      </w:r>
      <w:r w:rsidR="007F4644">
        <w:t xml:space="preserve"> Remove Final Unit Status</w:t>
      </w:r>
      <w:bookmarkEnd w:id="410"/>
    </w:p>
    <w:p w14:paraId="1C4DD687" w14:textId="77777777" w:rsidR="00E661A1" w:rsidRDefault="00057948" w:rsidP="00772DD7">
      <w:pPr>
        <w:pStyle w:val="BodyText"/>
      </w:pPr>
      <w:r>
        <w:rPr>
          <w:noProof/>
        </w:rPr>
        <w:drawing>
          <wp:inline distT="0" distB="0" distL="0" distR="0" wp14:anchorId="18FB9A64" wp14:editId="5533CCE2">
            <wp:extent cx="5939155" cy="4415155"/>
            <wp:effectExtent l="0" t="0" r="4445" b="4445"/>
            <wp:docPr id="205" name="Picture 205" descr="Example of Remove Final Unit Statu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Example of Remove Final Unit Status screen captur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9155" cy="4415155"/>
                    </a:xfrm>
                    <a:prstGeom prst="rect">
                      <a:avLst/>
                    </a:prstGeom>
                    <a:noFill/>
                    <a:ln>
                      <a:noFill/>
                    </a:ln>
                  </pic:spPr>
                </pic:pic>
              </a:graphicData>
            </a:graphic>
          </wp:inline>
        </w:drawing>
      </w:r>
    </w:p>
    <w:p w14:paraId="53DC9C95" w14:textId="5F3220C7" w:rsidR="00A84E55" w:rsidRDefault="00A84E55">
      <w:bookmarkStart w:id="411" w:name="_Toc63680365"/>
      <w:bookmarkStart w:id="412" w:name="_Toc79560666"/>
      <w:bookmarkStart w:id="413" w:name="OLE_LINK20"/>
      <w:bookmarkStart w:id="414" w:name="_Toc75225469"/>
      <w:r>
        <w:br w:type="page"/>
      </w:r>
    </w:p>
    <w:p w14:paraId="337D9C61" w14:textId="4100DC4F" w:rsidR="00E659AB" w:rsidRDefault="00E659AB" w:rsidP="00ED6B65">
      <w:pPr>
        <w:pStyle w:val="Heading1"/>
      </w:pPr>
      <w:bookmarkStart w:id="415" w:name="_Toc163644931"/>
      <w:r>
        <w:lastRenderedPageBreak/>
        <w:t>P</w:t>
      </w:r>
      <w:r w:rsidR="004675B3">
        <w:t>rocessing Orders</w:t>
      </w:r>
      <w:bookmarkEnd w:id="415"/>
      <w:r w:rsidR="004675B3">
        <w:fldChar w:fldCharType="begin"/>
      </w:r>
      <w:r w:rsidR="004675B3">
        <w:instrText xml:space="preserve"> XE “Processing Orders” </w:instrText>
      </w:r>
      <w:r w:rsidR="004675B3">
        <w:fldChar w:fldCharType="end"/>
      </w:r>
    </w:p>
    <w:p w14:paraId="74E4F4B3" w14:textId="77777777" w:rsidR="002A21AE" w:rsidRDefault="002A21AE">
      <w:pPr>
        <w:pStyle w:val="Heading2"/>
      </w:pPr>
      <w:bookmarkStart w:id="416" w:name="_Toc163644932"/>
      <w:r>
        <w:t>Accept Orders: Accept an Order</w:t>
      </w:r>
      <w:bookmarkEnd w:id="411"/>
      <w:bookmarkEnd w:id="412"/>
      <w:bookmarkEnd w:id="413"/>
      <w:bookmarkEnd w:id="416"/>
      <w:r>
        <w:fldChar w:fldCharType="begin"/>
      </w:r>
      <w:r>
        <w:instrText xml:space="preserve"> XE </w:instrText>
      </w:r>
      <w:r w:rsidR="00FA7E65">
        <w:instrText>“</w:instrText>
      </w:r>
      <w:r>
        <w:instrText>Accept Orders\: Accept an Order</w:instrText>
      </w:r>
      <w:r w:rsidR="00FA7E65">
        <w:instrText>”</w:instrText>
      </w:r>
      <w:r>
        <w:instrText xml:space="preserve"> </w:instrText>
      </w:r>
      <w:r>
        <w:fldChar w:fldCharType="end"/>
      </w:r>
      <w:r>
        <w:t xml:space="preserve"> </w:t>
      </w:r>
      <w:r>
        <w:rPr>
          <w:rFonts w:ascii="Geneva" w:hAnsi="Geneva"/>
          <w:vanish/>
        </w:rPr>
        <w:t>UC_16</w:t>
      </w:r>
    </w:p>
    <w:p w14:paraId="0E8C7177" w14:textId="77777777" w:rsidR="002A21AE" w:rsidRDefault="002A21AE" w:rsidP="00FA7E65">
      <w:pPr>
        <w:pStyle w:val="BodyText"/>
      </w:pPr>
      <w:r>
        <w:t>The user accepts the receipt of an order.</w:t>
      </w:r>
    </w:p>
    <w:p w14:paraId="3CE98E37" w14:textId="77777777" w:rsidR="002A21AE" w:rsidRDefault="002A21AE">
      <w:pPr>
        <w:pStyle w:val="Heading4"/>
      </w:pPr>
      <w:r>
        <w:t>Assumptions</w:t>
      </w:r>
    </w:p>
    <w:p w14:paraId="67019F5B" w14:textId="77777777" w:rsidR="002A21AE" w:rsidRDefault="00A36582">
      <w:pPr>
        <w:pStyle w:val="ListBullet"/>
      </w:pPr>
      <w:r>
        <w:t>Orders were placed in CPRS for a patient and a</w:t>
      </w:r>
      <w:r w:rsidR="002A21AE">
        <w:t xml:space="preserve"> VBECS order number was generated. </w:t>
      </w:r>
    </w:p>
    <w:p w14:paraId="444B5BEC" w14:textId="77777777" w:rsidR="002A21AE" w:rsidRDefault="002A21AE">
      <w:pPr>
        <w:pStyle w:val="ListBullet"/>
      </w:pPr>
      <w:r>
        <w:t>When a specimen is required, the user located it.</w:t>
      </w:r>
    </w:p>
    <w:p w14:paraId="1A123BDC" w14:textId="77777777" w:rsidR="002A21AE" w:rsidRDefault="002A21AE">
      <w:pPr>
        <w:pStyle w:val="ListBullet"/>
      </w:pPr>
      <w:r>
        <w:t>Inappropriate Transfusion Request parameters are defined for orderable component classes.</w:t>
      </w:r>
    </w:p>
    <w:p w14:paraId="488F3991" w14:textId="77777777" w:rsidR="002A21AE" w:rsidRDefault="002A21AE" w:rsidP="00A36582">
      <w:pPr>
        <w:pStyle w:val="ListBullet"/>
      </w:pPr>
      <w:r>
        <w:t xml:space="preserve">The connection to </w:t>
      </w:r>
      <w:r w:rsidR="00CA0045" w:rsidRPr="00CA0045">
        <w:rPr>
          <w:bCs/>
        </w:rPr>
        <w:t>VistA</w:t>
      </w:r>
      <w:r>
        <w:t xml:space="preserve"> is active.</w:t>
      </w:r>
    </w:p>
    <w:p w14:paraId="39A056ED" w14:textId="77777777" w:rsidR="002A21AE" w:rsidRDefault="002A21AE">
      <w:pPr>
        <w:pStyle w:val="Heading4"/>
      </w:pPr>
      <w:r>
        <w:t>Outcome</w:t>
      </w:r>
    </w:p>
    <w:p w14:paraId="5733A779" w14:textId="77777777" w:rsidR="002A21AE" w:rsidRDefault="002A21AE">
      <w:pPr>
        <w:pStyle w:val="ListBullet"/>
      </w:pPr>
      <w:r>
        <w:t xml:space="preserve">Ordered tests may be </w:t>
      </w:r>
      <w:r w:rsidRPr="00BC4AB6">
        <w:t xml:space="preserve">processed and are </w:t>
      </w:r>
      <w:r>
        <w:t>available to various worklists.</w:t>
      </w:r>
    </w:p>
    <w:p w14:paraId="73ACC3F1" w14:textId="77777777" w:rsidR="002A21AE" w:rsidRDefault="002A21AE">
      <w:pPr>
        <w:pStyle w:val="Heading4"/>
      </w:pPr>
      <w:r>
        <w:t xml:space="preserve">Limitations and Restrictions </w:t>
      </w:r>
    </w:p>
    <w:p w14:paraId="45E5DF79" w14:textId="77777777" w:rsidR="00A87E0D" w:rsidRPr="00BF73DF" w:rsidRDefault="00A87E0D" w:rsidP="00A87E0D">
      <w:pPr>
        <w:pStyle w:val="ListBullet"/>
        <w:rPr>
          <w:u w:val="single"/>
        </w:rPr>
      </w:pPr>
      <w:r>
        <w:t>An order for TAS must be accepted before the component order if the user wants to include the component request to the Inappropriate Transfusion Re</w:t>
      </w:r>
      <w:r w:rsidR="00E037D2">
        <w:t xml:space="preserve">quest Report. Accepting the TAS after the component order is marked inappropriate and accepted </w:t>
      </w:r>
      <w:r>
        <w:t>clears</w:t>
      </w:r>
      <w:r w:rsidR="006C34C0">
        <w:t xml:space="preserve"> the user’s </w:t>
      </w:r>
      <w:r w:rsidR="009F6F64">
        <w:t>indication that this is an inappropriate request</w:t>
      </w:r>
      <w:r w:rsidR="00B348B5">
        <w:t>.</w:t>
      </w:r>
      <w:r w:rsidR="00E46422">
        <w:rPr>
          <w:vanish/>
        </w:rPr>
        <w:t xml:space="preserve"> </w:t>
      </w:r>
      <w:r w:rsidR="00E46422" w:rsidRPr="00E46422">
        <w:rPr>
          <w:vanish/>
        </w:rPr>
        <w:t>DR 4854</w:t>
      </w:r>
    </w:p>
    <w:p w14:paraId="1EBB0697" w14:textId="5EC94A3D" w:rsidR="002A21AE" w:rsidRPr="00282037" w:rsidRDefault="002A21AE" w:rsidP="0057063D">
      <w:pPr>
        <w:pStyle w:val="ListBullet"/>
      </w:pPr>
      <w:r w:rsidRPr="00282037">
        <w:t xml:space="preserve">When no CPRS order exists, the user processes the </w:t>
      </w:r>
      <w:r w:rsidR="00AC406E" w:rsidRPr="00282037">
        <w:t>specimen</w:t>
      </w:r>
      <w:r w:rsidRPr="00282037">
        <w:t xml:space="preserve"> offline.</w:t>
      </w:r>
      <w:r w:rsidR="00730CAA" w:rsidRPr="00282037">
        <w:t xml:space="preserve"> </w:t>
      </w:r>
      <w:r w:rsidR="0057063D" w:rsidRPr="00282037">
        <w:t>The emergency order check box is not enabled unless there is a CPRS order and a patient specimen accessioned in VistA. If necessary, process the emergency issue of units manually, per local policy, until the specimen is received and accessioned</w:t>
      </w:r>
      <w:r w:rsidR="00E36641" w:rsidRPr="00282037">
        <w:t>.</w:t>
      </w:r>
      <w:r w:rsidR="00730CAA" w:rsidRPr="00282037">
        <w:t xml:space="preserve"> </w:t>
      </w:r>
      <w:r w:rsidR="00730CAA" w:rsidRPr="00282037">
        <w:rPr>
          <w:vanish/>
        </w:rPr>
        <w:t>Defect 2</w:t>
      </w:r>
      <w:r w:rsidR="005D686E">
        <w:rPr>
          <w:vanish/>
        </w:rPr>
        <w:t>13679</w:t>
      </w:r>
    </w:p>
    <w:p w14:paraId="07F89C56" w14:textId="77777777" w:rsidR="00A67B62" w:rsidRDefault="009E2EF4" w:rsidP="00A67B62">
      <w:pPr>
        <w:pStyle w:val="ListBullet"/>
      </w:pPr>
      <w:r w:rsidRPr="009E2EF4">
        <w:rPr>
          <w:vanish/>
        </w:rPr>
        <w:t>DR 2,811</w:t>
      </w:r>
      <w:r w:rsidR="00A67B62">
        <w:t>The user must accept the Type &amp; Screen (TAS) before he accepts other diagnostic tests or component orders.</w:t>
      </w:r>
    </w:p>
    <w:p w14:paraId="67923BAC" w14:textId="77777777" w:rsidR="00B26E41" w:rsidRDefault="00B2513B">
      <w:pPr>
        <w:pStyle w:val="ListBullet"/>
      </w:pPr>
      <w:r>
        <w:t>T</w:t>
      </w:r>
      <w:r w:rsidR="00B26E41" w:rsidRPr="00AB4ABB">
        <w:t>he</w:t>
      </w:r>
      <w:r w:rsidR="003254B7">
        <w:t xml:space="preserve"> user cannot click </w:t>
      </w:r>
      <w:r w:rsidR="00057948">
        <w:rPr>
          <w:noProof/>
        </w:rPr>
        <w:drawing>
          <wp:inline distT="0" distB="0" distL="0" distR="0" wp14:anchorId="5782EA33" wp14:editId="648505B3">
            <wp:extent cx="156845" cy="156845"/>
            <wp:effectExtent l="0" t="0" r="0" b="0"/>
            <wp:docPr id="206" name="Picture 206" descr="Restricted or Assigned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Restricted or Assigned Units ic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54B7">
        <w:t xml:space="preserve"> </w:t>
      </w:r>
      <w:r w:rsidR="00B82472">
        <w:t xml:space="preserve">(Restricted or Assigned Units) </w:t>
      </w:r>
      <w:r w:rsidR="003254B7">
        <w:t>to access information on autologous or directed units that may be restricted to a patient</w:t>
      </w:r>
      <w:r>
        <w:t>.</w:t>
      </w:r>
    </w:p>
    <w:p w14:paraId="70082AAB" w14:textId="77777777" w:rsidR="008B0C9A" w:rsidRDefault="0055788D" w:rsidP="00A87E0D">
      <w:pPr>
        <w:pStyle w:val="ListBullet"/>
      </w:pPr>
      <w:r>
        <w:t>Orders placed for patient</w:t>
      </w:r>
      <w:r w:rsidR="009412D6">
        <w:t>s with names that exceed the database standard for File #2 (30 characters) or do not have a last name in VistA are rejected</w:t>
      </w:r>
      <w:r w:rsidR="00551EF1">
        <w:t xml:space="preserve"> and do not appear in VBECS</w:t>
      </w:r>
      <w:r w:rsidR="009412D6">
        <w:t>. The VBECS System Administrator is notified of each rejection via an email to the address entered in VBECS Administrator “</w:t>
      </w:r>
      <w:r w:rsidR="00276DAA">
        <w:t>Email Alerts</w:t>
      </w:r>
      <w:r w:rsidR="009412D6">
        <w:t>” field.</w:t>
      </w:r>
    </w:p>
    <w:p w14:paraId="07CAD636" w14:textId="77777777" w:rsidR="002A21AE" w:rsidRDefault="002A21AE">
      <w:pPr>
        <w:pStyle w:val="Heading4"/>
      </w:pPr>
      <w:r>
        <w:t>Additional Information</w:t>
      </w:r>
    </w:p>
    <w:p w14:paraId="0B889A1B" w14:textId="77777777" w:rsidR="002A21AE" w:rsidRDefault="002A21AE">
      <w:pPr>
        <w:pStyle w:val="ListBullet"/>
      </w:pPr>
      <w:r>
        <w:t xml:space="preserve">VBECS automatically cancels </w:t>
      </w:r>
      <w:r w:rsidR="000318FD">
        <w:t xml:space="preserve">previously accepted </w:t>
      </w:r>
      <w:r>
        <w:t>orders the day after they expire.</w:t>
      </w:r>
      <w:r w:rsidR="000318FD" w:rsidRPr="000318FD">
        <w:rPr>
          <w:vanish/>
        </w:rPr>
        <w:t xml:space="preserve"> DR 4519</w:t>
      </w:r>
    </w:p>
    <w:p w14:paraId="128CB209" w14:textId="77777777" w:rsidR="000318FD" w:rsidRDefault="000318FD">
      <w:pPr>
        <w:pStyle w:val="ListBullet"/>
      </w:pPr>
      <w:r>
        <w:t>To maintain a specimen with a TAS and diagnostic test orders, the TAS must be processed first, before any diagnostic test order (see Maintain Specimen).</w:t>
      </w:r>
      <w:r w:rsidRPr="000318FD">
        <w:rPr>
          <w:vanish/>
        </w:rPr>
        <w:t xml:space="preserve"> DR 4519</w:t>
      </w:r>
    </w:p>
    <w:p w14:paraId="3A96CDE6" w14:textId="77777777" w:rsidR="00CE51B0" w:rsidRDefault="002A21AE" w:rsidP="00CE51B0">
      <w:pPr>
        <w:pStyle w:val="ListBullet"/>
      </w:pPr>
      <w:r>
        <w:t xml:space="preserve">The user </w:t>
      </w:r>
      <w:r w:rsidR="000850E3">
        <w:t>may investigate</w:t>
      </w:r>
      <w:r>
        <w:t xml:space="preserve"> patient clinical information using </w:t>
      </w:r>
      <w:r w:rsidR="00CA0045" w:rsidRPr="00CA0045">
        <w:rPr>
          <w:bCs/>
        </w:rPr>
        <w:t>VistA</w:t>
      </w:r>
      <w:r>
        <w:t xml:space="preserve"> and CPRS. </w:t>
      </w:r>
    </w:p>
    <w:p w14:paraId="4665C719" w14:textId="77777777" w:rsidR="00D905FE" w:rsidRDefault="00D905FE" w:rsidP="00CE51B0">
      <w:pPr>
        <w:pStyle w:val="ListBullet"/>
      </w:pPr>
      <w:r w:rsidRPr="00D905FE">
        <w:t>A facility may capture the phlebotomist's signature</w:t>
      </w:r>
      <w:r w:rsidR="00B97078">
        <w:t xml:space="preserve"> and the date </w:t>
      </w:r>
      <w:r w:rsidRPr="00D905FE">
        <w:t xml:space="preserve">and time of specimen collection on a </w:t>
      </w:r>
      <w:r w:rsidR="00B97078">
        <w:t>printed</w:t>
      </w:r>
      <w:r w:rsidRPr="00D905FE">
        <w:t xml:space="preserve"> order from CPRS. </w:t>
      </w:r>
      <w:r w:rsidR="006F1B1A">
        <w:t>[</w:t>
      </w:r>
      <w:r w:rsidRPr="00D905FE">
        <w:t xml:space="preserve">Local IRM personnel </w:t>
      </w:r>
      <w:r w:rsidR="00FB1DC1">
        <w:t>may</w:t>
      </w:r>
      <w:r w:rsidRPr="00D905FE">
        <w:t xml:space="preserve"> configure CPRS to </w:t>
      </w:r>
      <w:r>
        <w:t xml:space="preserve">print </w:t>
      </w:r>
      <w:r w:rsidR="00B97078">
        <w:t xml:space="preserve">the </w:t>
      </w:r>
      <w:r>
        <w:t>b</w:t>
      </w:r>
      <w:r w:rsidRPr="00D905FE">
        <w:t xml:space="preserve">lood </w:t>
      </w:r>
      <w:r>
        <w:t>bank order</w:t>
      </w:r>
      <w:r w:rsidR="006F1B1A">
        <w:t>: r</w:t>
      </w:r>
      <w:r w:rsidRPr="00D905FE">
        <w:t xml:space="preserve">efer </w:t>
      </w:r>
      <w:r w:rsidR="00BC4AB6">
        <w:t xml:space="preserve">to </w:t>
      </w:r>
      <w:r w:rsidR="00BC4AB6" w:rsidRPr="00BC4AB6">
        <w:rPr>
          <w:i/>
        </w:rPr>
        <w:t>Setup Guide</w:t>
      </w:r>
      <w:r w:rsidR="00BC4AB6" w:rsidRPr="00BC4AB6">
        <w:t xml:space="preserve"> (August 2000) </w:t>
      </w:r>
      <w:r w:rsidR="005C0559">
        <w:t xml:space="preserve">in </w:t>
      </w:r>
      <w:r w:rsidRPr="00D905FE">
        <w:t>VistA Document Library</w:t>
      </w:r>
      <w:r w:rsidR="00B97078">
        <w:t>,</w:t>
      </w:r>
      <w:r w:rsidR="00B97078" w:rsidRPr="00B97078">
        <w:t xml:space="preserve"> </w:t>
      </w:r>
      <w:r w:rsidR="00B97078">
        <w:t>Computerized Patient Record System (CPRS)</w:t>
      </w:r>
      <w:r w:rsidR="006F1B1A">
        <w:t>]</w:t>
      </w:r>
      <w:r w:rsidRPr="00D905FE">
        <w:t>.</w:t>
      </w:r>
    </w:p>
    <w:p w14:paraId="4993DC0E" w14:textId="77777777" w:rsidR="002A21AE" w:rsidRDefault="002A21AE">
      <w:pPr>
        <w:pStyle w:val="Heading4"/>
      </w:pPr>
      <w:r>
        <w:t>User Roles with Access to This Option</w:t>
      </w:r>
    </w:p>
    <w:p w14:paraId="486DD3FC" w14:textId="77777777" w:rsidR="002A21AE" w:rsidRDefault="000F12D4">
      <w:pPr>
        <w:pStyle w:val="Roles"/>
        <w:rPr>
          <w:snapToGrid w:val="0"/>
        </w:rPr>
      </w:pPr>
      <w:r>
        <w:t>All users</w:t>
      </w:r>
    </w:p>
    <w:bookmarkEnd w:id="414"/>
    <w:p w14:paraId="386A4EA7" w14:textId="77777777" w:rsidR="002A21AE" w:rsidRDefault="002A21AE">
      <w:pPr>
        <w:pStyle w:val="Heading4"/>
      </w:pPr>
      <w:r>
        <w:lastRenderedPageBreak/>
        <w:t>Accept Orders: Accept an Order</w:t>
      </w:r>
    </w:p>
    <w:p w14:paraId="3B1DD550" w14:textId="4D02F836" w:rsidR="002A21AE" w:rsidRDefault="002A21AE" w:rsidP="00FA7E65">
      <w:pPr>
        <w:pStyle w:val="BodyText"/>
      </w:pPr>
      <w:r>
        <w:t>The user reviews the list of pending orders and the specimen, determines that local policy requirements are satisfied, and accepts all or part of a routine order. The user accepts the VBECS order and associates the Laboratory generated specimen UID number with the order.</w:t>
      </w:r>
    </w:p>
    <w:p w14:paraId="028D3A14" w14:textId="600423FA" w:rsidR="00FE7547" w:rsidRPr="006F5EC8" w:rsidRDefault="00057948" w:rsidP="00FE7547">
      <w:pPr>
        <w:pStyle w:val="Caution"/>
      </w:pPr>
      <w:r>
        <w:rPr>
          <w:i w:val="0"/>
          <w:noProof/>
        </w:rPr>
        <w:drawing>
          <wp:inline distT="0" distB="0" distL="0" distR="0" wp14:anchorId="729ADBFA" wp14:editId="1DFDC2A0">
            <wp:extent cx="267970" cy="221615"/>
            <wp:effectExtent l="0" t="0" r="0" b="6985"/>
            <wp:docPr id="207" name="Picture 20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61247">
        <w:t xml:space="preserve">Changes made in the VBECS Administrator option </w:t>
      </w:r>
      <w:r w:rsidR="009602CB">
        <w:t>mapping</w:t>
      </w:r>
      <w:r w:rsidR="00161247">
        <w:t xml:space="preserve"> orders to anoth</w:t>
      </w:r>
      <w:r w:rsidR="00CD6D3C">
        <w:t>er VBECS division do not a</w:t>
      </w:r>
      <w:r w:rsidR="009602CB">
        <w:t>ffect</w:t>
      </w:r>
      <w:r w:rsidR="00161247">
        <w:t xml:space="preserve"> delivered</w:t>
      </w:r>
      <w:r w:rsidR="009602CB">
        <w:t xml:space="preserve"> orders</w:t>
      </w:r>
      <w:r w:rsidR="00161247">
        <w:t xml:space="preserve">. </w:t>
      </w:r>
      <w:r w:rsidR="009602CB">
        <w:t>O</w:t>
      </w:r>
      <w:r w:rsidR="00161247">
        <w:t>rders delivered to a</w:t>
      </w:r>
      <w:r w:rsidR="009602CB">
        <w:t xml:space="preserve"> </w:t>
      </w:r>
      <w:r w:rsidR="00161247">
        <w:t>VBECS division must be completed, rejected, or cance</w:t>
      </w:r>
      <w:r w:rsidR="002F7E19">
        <w:t>l</w:t>
      </w:r>
      <w:r w:rsidR="00161247">
        <w:t>led in that division. Resubmit orders after</w:t>
      </w:r>
      <w:r w:rsidR="009602CB">
        <w:t xml:space="preserve"> mapping is completed to send an order to another VBECS division.</w:t>
      </w:r>
      <w:r w:rsidR="009602CB" w:rsidRPr="009602CB">
        <w:rPr>
          <w:vanish/>
        </w:rPr>
        <w:t>DR 2,896</w:t>
      </w:r>
    </w:p>
    <w:p w14:paraId="7EF9C6D6" w14:textId="77777777" w:rsidR="00FE7547" w:rsidRDefault="00FE7547"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32AA128" w14:textId="77777777">
        <w:trPr>
          <w:cantSplit/>
          <w:tblHeader/>
        </w:trPr>
        <w:tc>
          <w:tcPr>
            <w:tcW w:w="3240" w:type="dxa"/>
            <w:shd w:val="pct30" w:color="auto" w:fill="FFFFFF"/>
            <w:vAlign w:val="bottom"/>
          </w:tcPr>
          <w:p w14:paraId="4F4DFB13" w14:textId="77777777" w:rsidR="002A21AE" w:rsidRDefault="002A21AE">
            <w:pPr>
              <w:pStyle w:val="TableText"/>
              <w:rPr>
                <w:b/>
              </w:rPr>
            </w:pPr>
            <w:bookmarkStart w:id="417" w:name="_Toc34528152"/>
            <w:bookmarkStart w:id="418" w:name="_Toc34721750"/>
            <w:bookmarkEnd w:id="417"/>
            <w:bookmarkEnd w:id="418"/>
            <w:r>
              <w:rPr>
                <w:b/>
              </w:rPr>
              <w:t>User Action</w:t>
            </w:r>
          </w:p>
        </w:tc>
        <w:tc>
          <w:tcPr>
            <w:tcW w:w="6120" w:type="dxa"/>
            <w:shd w:val="pct30" w:color="auto" w:fill="FFFFFF"/>
            <w:vAlign w:val="bottom"/>
          </w:tcPr>
          <w:p w14:paraId="7DA5F811" w14:textId="77777777" w:rsidR="002A21AE" w:rsidRDefault="002A21AE">
            <w:pPr>
              <w:pStyle w:val="TableText"/>
              <w:rPr>
                <w:b/>
              </w:rPr>
            </w:pPr>
            <w:r>
              <w:rPr>
                <w:b/>
              </w:rPr>
              <w:t>VBECS</w:t>
            </w:r>
          </w:p>
        </w:tc>
      </w:tr>
      <w:tr w:rsidR="002A21AE" w14:paraId="0D0D3F8F" w14:textId="77777777">
        <w:tc>
          <w:tcPr>
            <w:tcW w:w="3240" w:type="dxa"/>
          </w:tcPr>
          <w:p w14:paraId="75755478" w14:textId="77777777" w:rsidR="002A21AE" w:rsidRDefault="002A21AE">
            <w:pPr>
              <w:pStyle w:val="TableTextNumbers"/>
            </w:pPr>
            <w:r>
              <w:t xml:space="preserve">Select </w:t>
            </w:r>
            <w:r>
              <w:rPr>
                <w:b/>
              </w:rPr>
              <w:t>Orders</w:t>
            </w:r>
            <w:r>
              <w:t xml:space="preserve"> from the main menu.</w:t>
            </w:r>
          </w:p>
          <w:p w14:paraId="313670BD" w14:textId="77777777" w:rsidR="002A21AE" w:rsidRDefault="002A21AE">
            <w:pPr>
              <w:pStyle w:val="TableTextNumbersContinued"/>
            </w:pPr>
          </w:p>
          <w:p w14:paraId="108FC0EE" w14:textId="77777777" w:rsidR="002A21AE" w:rsidRDefault="002A21AE">
            <w:pPr>
              <w:pStyle w:val="TableTextNumbersContinued"/>
            </w:pPr>
            <w:r>
              <w:t xml:space="preserve">Select </w:t>
            </w:r>
            <w:r>
              <w:rPr>
                <w:b/>
              </w:rPr>
              <w:t>Accept Orders</w:t>
            </w:r>
            <w:r>
              <w:t>.</w:t>
            </w:r>
          </w:p>
        </w:tc>
        <w:tc>
          <w:tcPr>
            <w:tcW w:w="6120" w:type="dxa"/>
          </w:tcPr>
          <w:p w14:paraId="75E91BC3" w14:textId="77777777" w:rsidR="002A21AE" w:rsidRDefault="002A21AE">
            <w:pPr>
              <w:pStyle w:val="TableTextBullet"/>
            </w:pPr>
            <w:r>
              <w:t>Displays options for processing orders.</w:t>
            </w:r>
          </w:p>
          <w:p w14:paraId="0ADAF59D" w14:textId="77777777" w:rsidR="002A21AE" w:rsidRDefault="002A21AE">
            <w:pPr>
              <w:pStyle w:val="TableTextBullet"/>
            </w:pPr>
            <w:r>
              <w:t>Displays the POL and POL search criteria.</w:t>
            </w:r>
          </w:p>
        </w:tc>
      </w:tr>
      <w:tr w:rsidR="002A21AE" w14:paraId="3F9D9158" w14:textId="77777777">
        <w:tc>
          <w:tcPr>
            <w:tcW w:w="3240" w:type="dxa"/>
          </w:tcPr>
          <w:p w14:paraId="504C1B47" w14:textId="5C04C1A0" w:rsidR="002A21AE" w:rsidRDefault="002A21AE">
            <w:pPr>
              <w:pStyle w:val="TableTextNumbers"/>
            </w:pPr>
            <w:r>
              <w:t>Select an order to accept from the POL</w:t>
            </w:r>
            <w:r w:rsidR="00F3761C">
              <w:t xml:space="preserve"> (</w:t>
            </w:r>
            <w:r w:rsidR="00EE455E">
              <w:t xml:space="preserve">Figure </w:t>
            </w:r>
            <w:r w:rsidR="00EE455E">
              <w:rPr>
                <w:noProof/>
              </w:rPr>
              <w:t>85</w:t>
            </w:r>
            <w:r w:rsidR="00F3761C">
              <w:t>)</w:t>
            </w:r>
            <w:r>
              <w:t xml:space="preserve">, or </w:t>
            </w:r>
          </w:p>
          <w:p w14:paraId="12BF53D4" w14:textId="77777777" w:rsidR="002A21AE" w:rsidRDefault="002A21AE">
            <w:pPr>
              <w:pStyle w:val="TableTextNumbersContinued"/>
            </w:pPr>
          </w:p>
          <w:p w14:paraId="50FFA81B" w14:textId="77777777" w:rsidR="002A21AE" w:rsidRDefault="002A21AE">
            <w:pPr>
              <w:pStyle w:val="TableTextNumbersContinued"/>
            </w:pPr>
            <w:r>
              <w:t xml:space="preserve">In the Pending Order List Search Criteria area, enter the known </w:t>
            </w:r>
            <w:r w:rsidR="00C47144">
              <w:t>data, including the date wanted.</w:t>
            </w:r>
          </w:p>
          <w:p w14:paraId="7AE10792" w14:textId="77777777" w:rsidR="002A21AE" w:rsidRDefault="002A21AE">
            <w:pPr>
              <w:pStyle w:val="TableTextNumbersContinued"/>
            </w:pPr>
          </w:p>
          <w:p w14:paraId="25EC5E3B" w14:textId="77777777" w:rsidR="002A21AE" w:rsidRDefault="002A21AE">
            <w:pPr>
              <w:pStyle w:val="TableTextNumbersContinued"/>
            </w:pPr>
            <w:r>
              <w:t xml:space="preserve">Click </w:t>
            </w:r>
            <w:r>
              <w:rPr>
                <w:b/>
              </w:rPr>
              <w:t>Search</w:t>
            </w:r>
            <w:r>
              <w:t xml:space="preserve"> to find an order.</w:t>
            </w:r>
          </w:p>
        </w:tc>
        <w:tc>
          <w:tcPr>
            <w:tcW w:w="6120" w:type="dxa"/>
          </w:tcPr>
          <w:p w14:paraId="77E7D060" w14:textId="77777777" w:rsidR="002A21AE" w:rsidRDefault="002A21AE">
            <w:pPr>
              <w:pStyle w:val="TableTextBullet"/>
            </w:pPr>
            <w:r>
              <w:t>Displays options for selecting, reviewing, and processing patient data and pending orders.</w:t>
            </w:r>
          </w:p>
          <w:p w14:paraId="1331F601" w14:textId="77777777" w:rsidR="002A21AE" w:rsidRDefault="002A21AE">
            <w:pPr>
              <w:pStyle w:val="TableTextBullet"/>
            </w:pPr>
            <w:r>
              <w:t>Allows the user to associate a specimen with an order.</w:t>
            </w:r>
          </w:p>
          <w:p w14:paraId="7EB7330A" w14:textId="77777777" w:rsidR="002A21AE" w:rsidRDefault="002A21AE" w:rsidP="00DE0F15">
            <w:pPr>
              <w:pStyle w:val="TableTextBullet"/>
            </w:pPr>
            <w:r>
              <w:t>Displays the Patient Information Toolbar that allows the user to review.</w:t>
            </w:r>
          </w:p>
          <w:p w14:paraId="552E0D0E" w14:textId="77777777" w:rsidR="002A21AE" w:rsidRDefault="002A21AE">
            <w:pPr>
              <w:pStyle w:val="TableText"/>
            </w:pPr>
          </w:p>
          <w:p w14:paraId="62B7A6D4" w14:textId="48660511" w:rsidR="002A21AE" w:rsidRDefault="002A21AE">
            <w:pPr>
              <w:pStyle w:val="TableText"/>
              <w:rPr>
                <w:b/>
                <w:bCs/>
                <w:szCs w:val="18"/>
              </w:rPr>
            </w:pPr>
            <w:r>
              <w:rPr>
                <w:b/>
                <w:bCs/>
                <w:szCs w:val="18"/>
              </w:rPr>
              <w:t>NOTES</w:t>
            </w:r>
          </w:p>
          <w:p w14:paraId="3A87FD90" w14:textId="77777777" w:rsidR="002A21AE" w:rsidRPr="00C2360C" w:rsidRDefault="002A21AE" w:rsidP="00C2360C">
            <w:pPr>
              <w:pStyle w:val="NotesText"/>
            </w:pPr>
          </w:p>
          <w:p w14:paraId="0E176265" w14:textId="77777777" w:rsidR="00C2360C" w:rsidRDefault="00C2360C" w:rsidP="00C2360C">
            <w:pPr>
              <w:pStyle w:val="NotesText"/>
              <w:rPr>
                <w:szCs w:val="18"/>
              </w:rPr>
            </w:pPr>
            <w:r w:rsidRPr="00C2360C">
              <w:rPr>
                <w:szCs w:val="18"/>
              </w:rPr>
              <w:t>S</w:t>
            </w:r>
            <w:r w:rsidRPr="00C2360C">
              <w:t>elect an order</w:t>
            </w:r>
            <w:r w:rsidR="0023261D">
              <w:t xml:space="preserve"> </w:t>
            </w:r>
            <w:r w:rsidRPr="00C2360C">
              <w:t>for TAS before selecting a cor</w:t>
            </w:r>
            <w:r w:rsidRPr="00C2360C">
              <w:rPr>
                <w:szCs w:val="18"/>
              </w:rPr>
              <w:t xml:space="preserve">responding order for </w:t>
            </w:r>
            <w:r w:rsidR="006361BC">
              <w:rPr>
                <w:szCs w:val="18"/>
              </w:rPr>
              <w:t xml:space="preserve">diagnostic tests or </w:t>
            </w:r>
            <w:r w:rsidRPr="00C2360C">
              <w:rPr>
                <w:szCs w:val="18"/>
              </w:rPr>
              <w:t>components.</w:t>
            </w:r>
          </w:p>
          <w:p w14:paraId="32267171" w14:textId="77777777" w:rsidR="00090B78" w:rsidRPr="00C2360C" w:rsidRDefault="00090B78" w:rsidP="00C2360C">
            <w:pPr>
              <w:pStyle w:val="NotesText"/>
              <w:rPr>
                <w:szCs w:val="18"/>
              </w:rPr>
            </w:pPr>
          </w:p>
          <w:p w14:paraId="07DAD119" w14:textId="77777777" w:rsidR="002A21AE" w:rsidRDefault="002A21AE">
            <w:pPr>
              <w:pStyle w:val="NotesText"/>
            </w:pPr>
            <w:r w:rsidRPr="00896F17">
              <w:rPr>
                <w:vanish/>
                <w:szCs w:val="18"/>
              </w:rPr>
              <w:t>BR_16.01</w:t>
            </w:r>
            <w:r w:rsidR="00ED1076" w:rsidRPr="00896F17">
              <w:rPr>
                <w:rStyle w:val="BullhornChar"/>
              </w:rPr>
              <w:t></w:t>
            </w:r>
            <w:r w:rsidR="00ED1076">
              <w:rPr>
                <w:rFonts w:ascii="Webdings" w:hAnsi="Webdings"/>
              </w:rPr>
              <w:t></w:t>
            </w:r>
            <w:r>
              <w:t>VBECS emits an audible alert when there are patient Special Instructions or Transfusion Requirements.</w:t>
            </w:r>
          </w:p>
          <w:p w14:paraId="709465C6" w14:textId="77777777" w:rsidR="00DE0F15" w:rsidRDefault="00DE0F15">
            <w:pPr>
              <w:pStyle w:val="NotesText"/>
            </w:pPr>
          </w:p>
          <w:p w14:paraId="081157E4" w14:textId="77777777" w:rsidR="000568BA" w:rsidRDefault="000568BA">
            <w:pPr>
              <w:pStyle w:val="NotesText"/>
              <w:rPr>
                <w:vanish/>
                <w:szCs w:val="18"/>
              </w:rPr>
            </w:pPr>
            <w:r>
              <w:rPr>
                <w:vanish/>
                <w:szCs w:val="18"/>
              </w:rPr>
              <w:t xml:space="preserve">BR_16.02, BR_88.06 </w:t>
            </w:r>
            <w:r w:rsidRPr="000568BA">
              <w:rPr>
                <w:szCs w:val="18"/>
              </w:rPr>
              <w:t>VBECS alert</w:t>
            </w:r>
            <w:r w:rsidR="00B93577">
              <w:rPr>
                <w:szCs w:val="18"/>
              </w:rPr>
              <w:t>s the user</w:t>
            </w:r>
            <w:r>
              <w:t xml:space="preserve"> when the component class ordered requires a specimen. The status may be REQ (specimen required)</w:t>
            </w:r>
            <w:r w:rsidR="00E14736">
              <w:t xml:space="preserve"> or</w:t>
            </w:r>
            <w:r>
              <w:t xml:space="preserve"> NRQ (no specimen required). The user may not continue until specimen information is added. </w:t>
            </w:r>
          </w:p>
          <w:p w14:paraId="1C657C27" w14:textId="77777777" w:rsidR="000568BA" w:rsidRDefault="000568BA">
            <w:pPr>
              <w:pStyle w:val="NotesText"/>
              <w:rPr>
                <w:vanish/>
                <w:szCs w:val="18"/>
              </w:rPr>
            </w:pPr>
          </w:p>
          <w:p w14:paraId="7C58B217" w14:textId="77777777" w:rsidR="00DE0F15" w:rsidRDefault="00DE0F15">
            <w:pPr>
              <w:pStyle w:val="NotesText"/>
            </w:pPr>
            <w:r w:rsidRPr="00DE0F15">
              <w:rPr>
                <w:vanish/>
                <w:szCs w:val="18"/>
              </w:rPr>
              <w:t xml:space="preserve">BR_16.21 </w:t>
            </w:r>
            <w:r w:rsidRPr="00896F17">
              <w:rPr>
                <w:rStyle w:val="BullhornChar"/>
              </w:rPr>
              <w:t></w:t>
            </w:r>
            <w:r>
              <w:rPr>
                <w:rFonts w:ascii="Webdings" w:hAnsi="Webdings"/>
              </w:rPr>
              <w:t></w:t>
            </w:r>
            <w:r>
              <w:t>When modifiers are included in the physician's component order, VBECS provides visual and audible alerts to remind the user to evaluate the request. VBECS does not monitor subsequent action.</w:t>
            </w:r>
          </w:p>
          <w:p w14:paraId="71B518F5" w14:textId="77777777" w:rsidR="002A21AE" w:rsidRDefault="002A21AE">
            <w:pPr>
              <w:pStyle w:val="NotesText"/>
            </w:pPr>
          </w:p>
          <w:p w14:paraId="4B8B71E7" w14:textId="77777777" w:rsidR="002A21AE" w:rsidRDefault="002A21AE">
            <w:pPr>
              <w:pStyle w:val="NotesText"/>
            </w:pPr>
            <w:r>
              <w:rPr>
                <w:rFonts w:cs="Arial"/>
                <w:vanish/>
              </w:rPr>
              <w:t xml:space="preserve">BR_16.03 </w:t>
            </w:r>
            <w:r>
              <w:t>VBECS alerts the user when units</w:t>
            </w:r>
            <w:r w:rsidR="009A7994">
              <w:t xml:space="preserve"> (autologous, directed, or assigned/crossmatched)</w:t>
            </w:r>
            <w:r>
              <w:t xml:space="preserve"> with a future expiration date are associated with the patient in any division in the database.</w:t>
            </w:r>
          </w:p>
        </w:tc>
      </w:tr>
      <w:tr w:rsidR="002A21AE" w14:paraId="534AF894" w14:textId="77777777">
        <w:tc>
          <w:tcPr>
            <w:tcW w:w="3240" w:type="dxa"/>
          </w:tcPr>
          <w:p w14:paraId="1ADDC26D" w14:textId="6C6904C3" w:rsidR="002A21AE" w:rsidRDefault="00AE3C64" w:rsidP="00F51906">
            <w:pPr>
              <w:pStyle w:val="TableTextNumbers"/>
            </w:pPr>
            <w:r>
              <w:t>Scan or enter the specimen UID</w:t>
            </w:r>
            <w:r w:rsidR="00AA6C54">
              <w:t xml:space="preserve"> </w:t>
            </w:r>
            <w:r>
              <w:t>in the Specimen UID field.</w:t>
            </w:r>
            <w:r w:rsidR="007A68B6">
              <w:t xml:space="preserve"> (See Maintain Specimen.)</w:t>
            </w:r>
            <w:r w:rsidR="0057318C">
              <w:t xml:space="preserve"> (</w:t>
            </w:r>
            <w:r w:rsidR="00EE455E">
              <w:t xml:space="preserve">Figure </w:t>
            </w:r>
            <w:r w:rsidR="00EE455E">
              <w:rPr>
                <w:noProof/>
              </w:rPr>
              <w:t>86</w:t>
            </w:r>
            <w:r w:rsidR="0057318C">
              <w:t>)</w:t>
            </w:r>
          </w:p>
          <w:p w14:paraId="487880D3" w14:textId="77777777" w:rsidR="00F51906" w:rsidRDefault="00F51906" w:rsidP="00F51906">
            <w:pPr>
              <w:pStyle w:val="TableTextNumbersContinued"/>
            </w:pPr>
          </w:p>
          <w:p w14:paraId="51F30574" w14:textId="77777777" w:rsidR="008E5063" w:rsidRDefault="00F35EF5" w:rsidP="00F51906">
            <w:pPr>
              <w:pStyle w:val="TableTextNumbersContinued"/>
            </w:pPr>
            <w:r>
              <w:rPr>
                <w:rFonts w:cs="Arial"/>
                <w:vanish/>
              </w:rPr>
              <w:t xml:space="preserve">BR_16.23 </w:t>
            </w:r>
            <w:r w:rsidR="00F51906">
              <w:t xml:space="preserve">When the component requires a current specimen and a valid sample is not available, click the </w:t>
            </w:r>
            <w:r w:rsidR="00F51906" w:rsidRPr="00F51906">
              <w:rPr>
                <w:b/>
              </w:rPr>
              <w:t xml:space="preserve">Emergency Order </w:t>
            </w:r>
            <w:r w:rsidR="00F51906" w:rsidRPr="00D1100E">
              <w:t>check box</w:t>
            </w:r>
            <w:r w:rsidR="008E5063" w:rsidRPr="008E5063">
              <w:t>.</w:t>
            </w:r>
            <w:r w:rsidR="00F51906">
              <w:t xml:space="preserve"> </w:t>
            </w:r>
          </w:p>
          <w:p w14:paraId="73251512" w14:textId="77777777" w:rsidR="008E5063" w:rsidRDefault="008E5063" w:rsidP="00F51906">
            <w:pPr>
              <w:pStyle w:val="TableTextNumbersContinued"/>
            </w:pPr>
          </w:p>
          <w:p w14:paraId="70A63CE3" w14:textId="77777777" w:rsidR="00F51906" w:rsidRDefault="008E5063" w:rsidP="00F51906">
            <w:pPr>
              <w:pStyle w:val="TableTextNumbersContinued"/>
            </w:pPr>
            <w:r>
              <w:lastRenderedPageBreak/>
              <w:t xml:space="preserve">Click </w:t>
            </w:r>
            <w:r w:rsidRPr="008E5063">
              <w:rPr>
                <w:b/>
              </w:rPr>
              <w:t>Accept</w:t>
            </w:r>
            <w:r>
              <w:t xml:space="preserve"> </w:t>
            </w:r>
            <w:r w:rsidR="00F51906">
              <w:t>to accept the order without an associated specimen.</w:t>
            </w:r>
          </w:p>
        </w:tc>
        <w:tc>
          <w:tcPr>
            <w:tcW w:w="6120" w:type="dxa"/>
          </w:tcPr>
          <w:p w14:paraId="347AB94A" w14:textId="77777777" w:rsidR="002A21AE" w:rsidRDefault="002A21AE">
            <w:pPr>
              <w:pStyle w:val="TableTextBullet"/>
            </w:pPr>
            <w:r>
              <w:lastRenderedPageBreak/>
              <w:t>Allows the user to enter new specimen information or correct problems with an existing specimen with the current VBECS order.</w:t>
            </w:r>
          </w:p>
          <w:p w14:paraId="63232A37" w14:textId="77777777" w:rsidR="00BD6594" w:rsidRDefault="00BD6594">
            <w:pPr>
              <w:pStyle w:val="TableTextBullet"/>
            </w:pPr>
            <w:r>
              <w:t>Allows the user to process an order without an associated specimen for emergency issue and retroactively associate a specimen with the order.</w:t>
            </w:r>
          </w:p>
          <w:p w14:paraId="5717741E" w14:textId="77777777" w:rsidR="002A21AE" w:rsidRDefault="002A21AE">
            <w:pPr>
              <w:pStyle w:val="TableText"/>
            </w:pPr>
          </w:p>
          <w:p w14:paraId="39CE9191" w14:textId="0CDD3824" w:rsidR="002A21AE" w:rsidRDefault="002A21AE">
            <w:pPr>
              <w:pStyle w:val="TableText"/>
              <w:rPr>
                <w:b/>
                <w:bCs/>
                <w:szCs w:val="18"/>
              </w:rPr>
            </w:pPr>
            <w:r>
              <w:rPr>
                <w:b/>
                <w:bCs/>
                <w:szCs w:val="18"/>
              </w:rPr>
              <w:t>NOTES</w:t>
            </w:r>
          </w:p>
          <w:p w14:paraId="44B34C61" w14:textId="77777777" w:rsidR="002A21AE" w:rsidRDefault="002A21AE">
            <w:pPr>
              <w:pStyle w:val="NotesText"/>
            </w:pPr>
          </w:p>
          <w:p w14:paraId="2D8603E0" w14:textId="77777777" w:rsidR="00513A28" w:rsidRDefault="00513A28">
            <w:pPr>
              <w:pStyle w:val="NotesText"/>
              <w:rPr>
                <w:rFonts w:cs="Arial"/>
              </w:rPr>
            </w:pPr>
            <w:r>
              <w:rPr>
                <w:rFonts w:cs="Arial"/>
              </w:rPr>
              <w:t>Alphabetical characters in specimen UIDs must be capitalized: VBECS recognizes only uppercase letters.</w:t>
            </w:r>
          </w:p>
          <w:p w14:paraId="094F6BAA" w14:textId="77777777" w:rsidR="00055FD7" w:rsidRDefault="00055FD7">
            <w:pPr>
              <w:pStyle w:val="NotesText"/>
              <w:rPr>
                <w:rFonts w:cs="Arial"/>
              </w:rPr>
            </w:pPr>
          </w:p>
          <w:p w14:paraId="46E21094" w14:textId="77777777" w:rsidR="00055FD7" w:rsidRDefault="00055FD7">
            <w:pPr>
              <w:pStyle w:val="NotesText"/>
              <w:rPr>
                <w:rFonts w:cs="Arial"/>
              </w:rPr>
            </w:pPr>
            <w:r>
              <w:rPr>
                <w:rFonts w:cs="Arial"/>
              </w:rPr>
              <w:t>A specimen must be processed in Maintain Specimen prior to selecting for a component order.</w:t>
            </w:r>
          </w:p>
          <w:p w14:paraId="69A2E3F7" w14:textId="77777777" w:rsidR="00CA7E0B" w:rsidRDefault="00CA7E0B">
            <w:pPr>
              <w:pStyle w:val="NotesText"/>
              <w:rPr>
                <w:rFonts w:cs="Arial"/>
              </w:rPr>
            </w:pPr>
          </w:p>
          <w:p w14:paraId="291071A5" w14:textId="77777777" w:rsidR="00CA7E0B" w:rsidRDefault="00C50F88">
            <w:pPr>
              <w:pStyle w:val="NotesText"/>
              <w:rPr>
                <w:rFonts w:cs="Arial"/>
              </w:rPr>
            </w:pPr>
            <w:r w:rsidRPr="00C50F88">
              <w:rPr>
                <w:rFonts w:cs="Arial"/>
                <w:vanish/>
              </w:rPr>
              <w:t xml:space="preserve">BR_16.20 </w:t>
            </w:r>
            <w:r w:rsidR="00CA7E0B">
              <w:rPr>
                <w:rFonts w:cs="Arial"/>
              </w:rPr>
              <w:t>When the order status is “In BloodBank”, a specimen was associated with the order; when the status is “Specimen Required”, the user must identify a specimen by its UID and enter specimen details according to Maintain Specimen.</w:t>
            </w:r>
          </w:p>
          <w:p w14:paraId="76E48488" w14:textId="77777777" w:rsidR="00513A28" w:rsidRDefault="00513A28">
            <w:pPr>
              <w:pStyle w:val="NotesText"/>
              <w:rPr>
                <w:rFonts w:cs="Arial"/>
              </w:rPr>
            </w:pPr>
          </w:p>
          <w:p w14:paraId="37BD3B16" w14:textId="77777777" w:rsidR="002A21AE" w:rsidRDefault="002A21AE">
            <w:pPr>
              <w:pStyle w:val="NotesText"/>
            </w:pPr>
            <w:r>
              <w:rPr>
                <w:rFonts w:cs="Arial"/>
                <w:vanish/>
              </w:rPr>
              <w:t xml:space="preserve">BR_35.04 </w:t>
            </w:r>
            <w:r>
              <w:t>Specimens collected for diagnostic tests only are to be used for performing the specifically ordered tests and are not available for pro</w:t>
            </w:r>
            <w:r w:rsidR="00900A79">
              <w:t>cessing blood component orders.</w:t>
            </w:r>
          </w:p>
          <w:p w14:paraId="71908133" w14:textId="77777777" w:rsidR="00900A79" w:rsidRDefault="00900A79">
            <w:pPr>
              <w:pStyle w:val="NotesText"/>
            </w:pPr>
          </w:p>
          <w:p w14:paraId="4FB962EF" w14:textId="77777777" w:rsidR="00900A79" w:rsidRDefault="00C50F88">
            <w:pPr>
              <w:pStyle w:val="NotesText"/>
            </w:pPr>
            <w:r w:rsidRPr="00C50F88">
              <w:rPr>
                <w:vanish/>
              </w:rPr>
              <w:t xml:space="preserve">BR_35.19 </w:t>
            </w:r>
            <w:r w:rsidR="00900A79">
              <w:t>Within an order group containing orders for blood components and the Type &amp; Screen (TAS) test, the specimen associated with the TAS test applies to the TAS test and to all blood component orders contained in the order group.</w:t>
            </w:r>
          </w:p>
          <w:p w14:paraId="161549C3" w14:textId="77777777" w:rsidR="002A21AE" w:rsidRDefault="002A21AE">
            <w:pPr>
              <w:pStyle w:val="NotesText"/>
            </w:pPr>
          </w:p>
          <w:p w14:paraId="49BB76A3" w14:textId="77777777" w:rsidR="002A21AE" w:rsidRDefault="002A21AE">
            <w:pPr>
              <w:pStyle w:val="NotesText"/>
            </w:pPr>
            <w:r>
              <w:rPr>
                <w:rFonts w:cs="Arial"/>
                <w:vanish/>
              </w:rPr>
              <w:t xml:space="preserve">BR_16.19 </w:t>
            </w:r>
            <w:r>
              <w:t>For all orders requiring a specimen, VBECS queries VistALink to verify that the lab order numbers are consistent with the specimen. If they are not consistent, VBECS notifies the user that the specimen</w:t>
            </w:r>
            <w:r w:rsidR="00FA7E65">
              <w:t>’</w:t>
            </w:r>
            <w:r>
              <w:t xml:space="preserve">s lab number </w:t>
            </w:r>
            <w:r w:rsidR="00A10483">
              <w:t>does not</w:t>
            </w:r>
            <w:r>
              <w:t xml:space="preserve"> match the number associated with the order. VBECS does not accept the order until the user identifies a specimen with a matching lab order number.</w:t>
            </w:r>
          </w:p>
          <w:p w14:paraId="37C318EB" w14:textId="77777777" w:rsidR="002A21AE" w:rsidRDefault="002A21AE">
            <w:pPr>
              <w:pStyle w:val="NotesText"/>
            </w:pPr>
          </w:p>
          <w:p w14:paraId="529FB0B5" w14:textId="77777777" w:rsidR="002A21AE" w:rsidRDefault="002A21AE" w:rsidP="00C50F88">
            <w:pPr>
              <w:pStyle w:val="NotesText"/>
            </w:pPr>
            <w:r>
              <w:rPr>
                <w:rFonts w:cs="Arial"/>
                <w:vanish/>
              </w:rPr>
              <w:t>BR_16.0</w:t>
            </w:r>
            <w:r w:rsidRPr="00FF6514">
              <w:rPr>
                <w:vanish/>
                <w:szCs w:val="18"/>
              </w:rPr>
              <w:t>6</w:t>
            </w:r>
            <w:r w:rsidR="00ED1076" w:rsidRPr="00263B24">
              <w:t>Wh</w:t>
            </w:r>
            <w:r w:rsidR="00ED1076">
              <w:t xml:space="preserve">en </w:t>
            </w:r>
            <w:r>
              <w:t xml:space="preserve">an order for a component class requires a specimen (WHOLE BLOOD and RED BLOOD CELLS component classes, and, optionally, based on Setting Component Classes) the user must select this function and replace the existing specimen with a new one. However, when VBECS displays the “emergency issue” order indicator, the user may continue without identifying an associated specimen. VBECS captures details for inclusion in an Exception Report [exception type: Emergency </w:t>
            </w:r>
            <w:r w:rsidR="00445B34">
              <w:t>order accepted</w:t>
            </w:r>
            <w:r>
              <w:t xml:space="preserve"> (no specimen)]. </w:t>
            </w:r>
          </w:p>
        </w:tc>
      </w:tr>
      <w:tr w:rsidR="002A21AE" w14:paraId="39093433" w14:textId="77777777">
        <w:tc>
          <w:tcPr>
            <w:tcW w:w="3240" w:type="dxa"/>
          </w:tcPr>
          <w:p w14:paraId="7E2F2406" w14:textId="77777777" w:rsidR="002A21AE" w:rsidRDefault="00844381">
            <w:pPr>
              <w:pStyle w:val="TableTextNumbers"/>
            </w:pPr>
            <w:r>
              <w:lastRenderedPageBreak/>
              <w:t xml:space="preserve">Click </w:t>
            </w:r>
            <w:r w:rsidR="00057948">
              <w:rPr>
                <w:noProof/>
              </w:rPr>
              <w:drawing>
                <wp:inline distT="0" distB="0" distL="0" distR="0" wp14:anchorId="6124B40C" wp14:editId="581C1D01">
                  <wp:extent cx="156845" cy="156845"/>
                  <wp:effectExtent l="0" t="0" r="0" b="0"/>
                  <wp:docPr id="208" name="Picture 208" descr="small_view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mall_view_orde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6A0A4A">
              <w:t xml:space="preserve"> </w:t>
            </w:r>
            <w:r>
              <w:t>to r</w:t>
            </w:r>
            <w:r w:rsidR="002A21AE">
              <w:t>eview order details.</w:t>
            </w:r>
          </w:p>
        </w:tc>
        <w:tc>
          <w:tcPr>
            <w:tcW w:w="6120" w:type="dxa"/>
          </w:tcPr>
          <w:p w14:paraId="7185E759" w14:textId="77777777" w:rsidR="002A21AE" w:rsidRDefault="002A21AE" w:rsidP="0083673C">
            <w:pPr>
              <w:pStyle w:val="TableTextBullet"/>
            </w:pPr>
            <w:r>
              <w:t>Displays order details that may not be edited</w:t>
            </w:r>
            <w:r w:rsidR="0083673C">
              <w:t>.</w:t>
            </w:r>
            <w:r>
              <w:t xml:space="preserve"> </w:t>
            </w:r>
          </w:p>
        </w:tc>
      </w:tr>
      <w:tr w:rsidR="002A21AE" w14:paraId="45242069" w14:textId="77777777">
        <w:tc>
          <w:tcPr>
            <w:tcW w:w="3240" w:type="dxa"/>
          </w:tcPr>
          <w:p w14:paraId="31244D8A" w14:textId="77777777" w:rsidR="002A21AE" w:rsidRDefault="002A21AE">
            <w:pPr>
              <w:pStyle w:val="TableTextNumbers"/>
            </w:pPr>
            <w:r>
              <w:t xml:space="preserve"> When the</w:t>
            </w:r>
            <w:r w:rsidR="007A68B6">
              <w:t xml:space="preserve"> urgency is “P</w:t>
            </w:r>
            <w:r>
              <w:t>re-</w:t>
            </w:r>
            <w:r w:rsidR="007A68B6">
              <w:t>O</w:t>
            </w:r>
            <w:r>
              <w:t>p</w:t>
            </w:r>
            <w:r w:rsidR="007A68B6">
              <w:t>,”</w:t>
            </w:r>
            <w:r w:rsidR="00AA6C54">
              <w:t xml:space="preserve"> </w:t>
            </w:r>
            <w:r w:rsidR="0032011A">
              <w:t xml:space="preserve">click </w:t>
            </w:r>
            <w:r w:rsidR="00057948">
              <w:rPr>
                <w:noProof/>
              </w:rPr>
              <w:drawing>
                <wp:inline distT="0" distB="0" distL="0" distR="0" wp14:anchorId="499197BD" wp14:editId="71770878">
                  <wp:extent cx="156845" cy="156845"/>
                  <wp:effectExtent l="0" t="0" r="0" b="0"/>
                  <wp:docPr id="209" name="Picture 209" descr="small_ms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mall_msbos"/>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011A">
              <w:t xml:space="preserve"> </w:t>
            </w:r>
            <w:r w:rsidR="006C4777">
              <w:t xml:space="preserve">in the Patient Information Toolbar </w:t>
            </w:r>
            <w:r w:rsidR="0032011A">
              <w:t xml:space="preserve">to </w:t>
            </w:r>
            <w:r w:rsidR="007A68B6">
              <w:t>r</w:t>
            </w:r>
            <w:r>
              <w:t>eview the MSBOS information for the division.</w:t>
            </w:r>
          </w:p>
          <w:p w14:paraId="58BF65C6" w14:textId="77777777" w:rsidR="002A21AE" w:rsidRDefault="002A21AE">
            <w:pPr>
              <w:pStyle w:val="TableTextNumbersContinued"/>
            </w:pPr>
          </w:p>
          <w:p w14:paraId="41B03113" w14:textId="77777777" w:rsidR="002A21AE" w:rsidRDefault="002A21AE">
            <w:pPr>
              <w:pStyle w:val="TableTextNumbersContinued"/>
            </w:pPr>
            <w:r>
              <w:t>View and/or search entries in the MSBOS for possible matches with the patient surgery.</w:t>
            </w:r>
          </w:p>
        </w:tc>
        <w:tc>
          <w:tcPr>
            <w:tcW w:w="6120" w:type="dxa"/>
          </w:tcPr>
          <w:p w14:paraId="1F577F12" w14:textId="77777777" w:rsidR="002A21AE" w:rsidRDefault="002A21AE">
            <w:pPr>
              <w:pStyle w:val="TableTextBullet"/>
            </w:pPr>
            <w:r>
              <w:t>Allows the user to review current MSBOS settings.</w:t>
            </w:r>
          </w:p>
          <w:p w14:paraId="7AB28EDB" w14:textId="77777777" w:rsidR="002A21AE" w:rsidRDefault="002A21AE">
            <w:pPr>
              <w:pStyle w:val="TableTextBullet"/>
            </w:pPr>
            <w:r>
              <w:t>Lists the current MSBOS site parameters, based on generic surgery types.</w:t>
            </w:r>
          </w:p>
          <w:p w14:paraId="2F1F660A" w14:textId="77777777" w:rsidR="002A21AE" w:rsidRDefault="002A21AE">
            <w:pPr>
              <w:pStyle w:val="TableText"/>
            </w:pPr>
          </w:p>
          <w:p w14:paraId="629A587C" w14:textId="1DBF8430" w:rsidR="002A21AE" w:rsidRDefault="002A21AE">
            <w:pPr>
              <w:pStyle w:val="TableText"/>
              <w:rPr>
                <w:b/>
                <w:bCs/>
                <w:szCs w:val="18"/>
              </w:rPr>
            </w:pPr>
            <w:r>
              <w:rPr>
                <w:b/>
                <w:bCs/>
                <w:szCs w:val="18"/>
              </w:rPr>
              <w:t>NOTES</w:t>
            </w:r>
          </w:p>
          <w:p w14:paraId="5641787E" w14:textId="77777777" w:rsidR="002A21AE" w:rsidRDefault="002A21AE">
            <w:pPr>
              <w:pStyle w:val="NotesText"/>
            </w:pPr>
          </w:p>
          <w:p w14:paraId="28B865BF" w14:textId="48AB5BF2" w:rsidR="002A21AE" w:rsidRDefault="002A21AE" w:rsidP="003D73A0">
            <w:pPr>
              <w:pStyle w:val="NotesText"/>
            </w:pPr>
            <w:r>
              <w:rPr>
                <w:rFonts w:cs="Arial"/>
                <w:vanish/>
              </w:rPr>
              <w:t xml:space="preserve">BR_16.11 </w:t>
            </w:r>
            <w:r>
              <w:t xml:space="preserve">When the pre-op indicator is “Yes,” the user may access the MSBOS to determine whether to include details of the </w:t>
            </w:r>
            <w:r w:rsidR="008C69A0">
              <w:t xml:space="preserve">component </w:t>
            </w:r>
            <w:r>
              <w:t>order in the Inappropriate Request Report.</w:t>
            </w:r>
          </w:p>
        </w:tc>
      </w:tr>
      <w:tr w:rsidR="002A21AE" w14:paraId="7660A096" w14:textId="77777777" w:rsidTr="003362FE">
        <w:trPr>
          <w:cantSplit/>
        </w:trPr>
        <w:tc>
          <w:tcPr>
            <w:tcW w:w="3240" w:type="dxa"/>
            <w:tcBorders>
              <w:top w:val="single" w:sz="4" w:space="0" w:color="auto"/>
              <w:left w:val="single" w:sz="4" w:space="0" w:color="auto"/>
              <w:bottom w:val="single" w:sz="4" w:space="0" w:color="auto"/>
              <w:right w:val="single" w:sz="4" w:space="0" w:color="auto"/>
            </w:tcBorders>
          </w:tcPr>
          <w:p w14:paraId="15FC35B0" w14:textId="77777777" w:rsidR="002A21AE" w:rsidRDefault="002A21AE">
            <w:pPr>
              <w:pStyle w:val="TableTextNumbers"/>
            </w:pPr>
            <w:r>
              <w:t xml:space="preserve">Based on the review of the MSBOS parameter associated with the surgery type and the details of the current order, click the </w:t>
            </w:r>
            <w:r>
              <w:rPr>
                <w:b/>
              </w:rPr>
              <w:t>Include In Inappropriate Transfusion Request Report</w:t>
            </w:r>
            <w:r>
              <w:t xml:space="preserve"> check box, according to local policy.</w:t>
            </w:r>
          </w:p>
        </w:tc>
        <w:tc>
          <w:tcPr>
            <w:tcW w:w="6120" w:type="dxa"/>
            <w:tcBorders>
              <w:top w:val="single" w:sz="4" w:space="0" w:color="auto"/>
              <w:left w:val="single" w:sz="4" w:space="0" w:color="auto"/>
              <w:bottom w:val="single" w:sz="4" w:space="0" w:color="auto"/>
              <w:right w:val="single" w:sz="4" w:space="0" w:color="auto"/>
            </w:tcBorders>
          </w:tcPr>
          <w:p w14:paraId="07A456BD" w14:textId="77777777" w:rsidR="002A21AE" w:rsidRDefault="002A21AE">
            <w:pPr>
              <w:pStyle w:val="TableTextBullet"/>
            </w:pPr>
            <w:r>
              <w:t>Adds the details of the order to the Inappropriate Transfusion Request Report when the user completes Accept Orders: Accept an Order.</w:t>
            </w:r>
          </w:p>
          <w:p w14:paraId="46A0542C" w14:textId="77777777" w:rsidR="00FF6514" w:rsidRDefault="00FF6514" w:rsidP="00FF6514">
            <w:pPr>
              <w:pStyle w:val="TableText"/>
            </w:pPr>
          </w:p>
          <w:p w14:paraId="0FC9E8B7" w14:textId="573EE760" w:rsidR="00FF6514" w:rsidRDefault="00FF6514" w:rsidP="00FF6514">
            <w:pPr>
              <w:pStyle w:val="TableText"/>
              <w:rPr>
                <w:b/>
                <w:bCs/>
                <w:szCs w:val="18"/>
              </w:rPr>
            </w:pPr>
            <w:r>
              <w:rPr>
                <w:b/>
                <w:bCs/>
                <w:szCs w:val="18"/>
              </w:rPr>
              <w:t>NOTES</w:t>
            </w:r>
          </w:p>
          <w:p w14:paraId="4FF167F5" w14:textId="77777777" w:rsidR="00FF6514" w:rsidRPr="00000CF1" w:rsidRDefault="00FF6514" w:rsidP="00FF6514">
            <w:pPr>
              <w:pStyle w:val="NotesText"/>
            </w:pPr>
          </w:p>
          <w:p w14:paraId="7B2DF3AC" w14:textId="77777777" w:rsidR="00FF6514" w:rsidRDefault="00FF6514" w:rsidP="00FF6514">
            <w:pPr>
              <w:pStyle w:val="NotesText"/>
            </w:pPr>
            <w:r>
              <w:t xml:space="preserve">To display a list of available autologous and/or directed units in the system for the selected patient, see </w:t>
            </w:r>
            <w:r w:rsidRPr="00FF6514">
              <w:t>Blood Availability</w:t>
            </w:r>
            <w:r>
              <w:t>.</w:t>
            </w:r>
          </w:p>
          <w:p w14:paraId="2CEA0D3D" w14:textId="77777777" w:rsidR="008B0C9A" w:rsidRDefault="008B0C9A" w:rsidP="00FF6514">
            <w:pPr>
              <w:pStyle w:val="NotesText"/>
            </w:pPr>
          </w:p>
          <w:p w14:paraId="2A0AAB76" w14:textId="77777777" w:rsidR="008B0C9A" w:rsidRDefault="008B0C9A" w:rsidP="00FF6514">
            <w:pPr>
              <w:pStyle w:val="NotesText"/>
            </w:pPr>
            <w:r>
              <w:t>A user must accept the corresponding TAS order before including a component order in Inappropriate Transfusion Request Report.</w:t>
            </w:r>
          </w:p>
        </w:tc>
      </w:tr>
      <w:tr w:rsidR="002A21AE" w14:paraId="75A6098D" w14:textId="77777777">
        <w:tc>
          <w:tcPr>
            <w:tcW w:w="3240" w:type="dxa"/>
          </w:tcPr>
          <w:p w14:paraId="73FD88B5" w14:textId="77777777" w:rsidR="002A21AE" w:rsidRDefault="002A21AE">
            <w:pPr>
              <w:pStyle w:val="TableTextNumbers"/>
            </w:pPr>
            <w:r>
              <w:lastRenderedPageBreak/>
              <w:t xml:space="preserve">Click </w:t>
            </w:r>
            <w:r w:rsidR="00057948">
              <w:rPr>
                <w:noProof/>
              </w:rPr>
              <w:drawing>
                <wp:inline distT="0" distB="0" distL="0" distR="0" wp14:anchorId="09D6E642" wp14:editId="2D1B99F1">
                  <wp:extent cx="156845" cy="156845"/>
                  <wp:effectExtent l="0" t="0" r="0" b="0"/>
                  <wp:docPr id="210" name="Picture 210"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to review patient data</w:t>
            </w:r>
            <w:r w:rsidR="006C4777">
              <w:t>,</w:t>
            </w:r>
            <w:r>
              <w:t xml:space="preserve"> Transfusion Requirements and Special Instructions. </w:t>
            </w:r>
          </w:p>
        </w:tc>
        <w:tc>
          <w:tcPr>
            <w:tcW w:w="6120" w:type="dxa"/>
          </w:tcPr>
          <w:p w14:paraId="60728F73" w14:textId="77777777" w:rsidR="002A21AE" w:rsidRDefault="002A21AE">
            <w:pPr>
              <w:pStyle w:val="TableTextBullet"/>
            </w:pPr>
            <w:r>
              <w:t xml:space="preserve">Displays read-only </w:t>
            </w:r>
            <w:r w:rsidR="00F01B32">
              <w:t xml:space="preserve">TR and SI </w:t>
            </w:r>
            <w:r>
              <w:t>patient VBECS data.</w:t>
            </w:r>
          </w:p>
          <w:p w14:paraId="25F606D2" w14:textId="77777777" w:rsidR="002A21AE" w:rsidRDefault="002A21AE">
            <w:pPr>
              <w:pStyle w:val="TableText"/>
            </w:pPr>
          </w:p>
          <w:p w14:paraId="6A706A2C" w14:textId="77777777" w:rsidR="002A21AE" w:rsidRDefault="002A21AE">
            <w:pPr>
              <w:pStyle w:val="NotesText"/>
            </w:pPr>
          </w:p>
        </w:tc>
      </w:tr>
      <w:tr w:rsidR="002A21AE" w14:paraId="37F35091" w14:textId="77777777">
        <w:tc>
          <w:tcPr>
            <w:tcW w:w="3240" w:type="dxa"/>
          </w:tcPr>
          <w:p w14:paraId="7DC951D1" w14:textId="77777777" w:rsidR="002A21AE" w:rsidRDefault="002A21AE">
            <w:pPr>
              <w:pStyle w:val="TableTextNumbers"/>
            </w:pPr>
            <w:r>
              <w:t xml:space="preserve">Click </w:t>
            </w:r>
            <w:r>
              <w:rPr>
                <w:b/>
              </w:rPr>
              <w:t>Accept</w:t>
            </w:r>
            <w:r>
              <w:t xml:space="preserve"> or </w:t>
            </w:r>
            <w:r>
              <w:rPr>
                <w:b/>
              </w:rPr>
              <w:t>Reject</w:t>
            </w:r>
            <w:r>
              <w:t xml:space="preserve"> for each order. </w:t>
            </w:r>
          </w:p>
        </w:tc>
        <w:tc>
          <w:tcPr>
            <w:tcW w:w="6120" w:type="dxa"/>
          </w:tcPr>
          <w:p w14:paraId="2F54B8D6" w14:textId="77777777" w:rsidR="002A21AE" w:rsidRDefault="002A21AE">
            <w:pPr>
              <w:pStyle w:val="TableTextBullet"/>
            </w:pPr>
            <w:r>
              <w:t>For each order accepted, updates the:</w:t>
            </w:r>
          </w:p>
          <w:p w14:paraId="6043B199" w14:textId="77777777" w:rsidR="002A21AE" w:rsidRDefault="002A21AE">
            <w:pPr>
              <w:pStyle w:val="TableTextBullet1"/>
            </w:pPr>
            <w:r>
              <w:t xml:space="preserve">Status to “accepted” and adds it to the PTL for further processing. </w:t>
            </w:r>
          </w:p>
          <w:p w14:paraId="20011BD7" w14:textId="77777777" w:rsidR="002A21AE" w:rsidRDefault="002A21AE">
            <w:pPr>
              <w:pStyle w:val="TableTextBullet1"/>
            </w:pPr>
            <w:r>
              <w:t>Existing lab accession number to collect data associated with every order.</w:t>
            </w:r>
          </w:p>
          <w:p w14:paraId="6595D81A" w14:textId="77777777" w:rsidR="002A21AE" w:rsidRDefault="002A21AE">
            <w:pPr>
              <w:pStyle w:val="TableText"/>
            </w:pPr>
          </w:p>
          <w:p w14:paraId="409044D9" w14:textId="233F21B9" w:rsidR="002A21AE" w:rsidRDefault="002A21AE">
            <w:pPr>
              <w:pStyle w:val="TableText"/>
              <w:rPr>
                <w:b/>
                <w:bCs/>
                <w:szCs w:val="18"/>
              </w:rPr>
            </w:pPr>
            <w:r>
              <w:rPr>
                <w:b/>
                <w:bCs/>
                <w:szCs w:val="18"/>
              </w:rPr>
              <w:t>NOTES</w:t>
            </w:r>
          </w:p>
          <w:p w14:paraId="79AE05C8" w14:textId="77777777" w:rsidR="002A21AE" w:rsidRDefault="002A21AE">
            <w:pPr>
              <w:pStyle w:val="NotesText"/>
            </w:pPr>
          </w:p>
          <w:p w14:paraId="2420B867" w14:textId="77777777" w:rsidR="002A21AE" w:rsidRDefault="002A21AE">
            <w:pPr>
              <w:pStyle w:val="NotesText"/>
            </w:pPr>
            <w:r>
              <w:t xml:space="preserve">When a user rejects an order, VBECS acknowledges the order and cancels it through Accept Orders: Cancel a Pending Order. </w:t>
            </w:r>
          </w:p>
          <w:p w14:paraId="164F0CE1" w14:textId="77777777" w:rsidR="002A21AE" w:rsidRDefault="002A21AE">
            <w:pPr>
              <w:pStyle w:val="TableText"/>
            </w:pPr>
          </w:p>
          <w:p w14:paraId="71ADD5D3" w14:textId="1F2A481D" w:rsidR="002A21AE" w:rsidRDefault="002A21AE">
            <w:pPr>
              <w:pStyle w:val="NotesText"/>
            </w:pPr>
            <w:r>
              <w:rPr>
                <w:rFonts w:cs="Arial"/>
                <w:vanish/>
              </w:rPr>
              <w:t xml:space="preserve">BR_16.16 </w:t>
            </w:r>
            <w:r w:rsidR="0060312C">
              <w:t>When there is</w:t>
            </w:r>
            <w:r w:rsidR="0060312C" w:rsidRPr="00374A4B">
              <w:t xml:space="preserve"> no specimen required for the component order, an order expiration date is assigned to ten days in the future, with the date the component order </w:t>
            </w:r>
            <w:r w:rsidR="0060312C">
              <w:t>as</w:t>
            </w:r>
            <w:r w:rsidR="0060312C" w:rsidRPr="00374A4B">
              <w:t xml:space="preserve"> accepted and moved to the Pending Task List being day 0. If a specimen is required, the order expiration date is the same as the associated specimen. The system needs to automatically expire the associated component order when the specimen is expired.</w:t>
            </w:r>
          </w:p>
          <w:p w14:paraId="34F0E16F" w14:textId="77777777" w:rsidR="002A21AE" w:rsidRDefault="002A21AE">
            <w:pPr>
              <w:pStyle w:val="NotesText"/>
            </w:pPr>
          </w:p>
          <w:p w14:paraId="18053AD0" w14:textId="3522A0C5" w:rsidR="002A21AE" w:rsidRDefault="002A21AE">
            <w:pPr>
              <w:pStyle w:val="NotesText"/>
            </w:pPr>
            <w:r>
              <w:t xml:space="preserve">When a specimen is required, the order expiration date is the same as the associated specimen. VBECS automatically expires the associated component order when the specimen is expired. </w:t>
            </w:r>
            <w:r w:rsidR="00AF5D80">
              <w:t xml:space="preserve">(See </w:t>
            </w:r>
            <w:r w:rsidR="00EE455E">
              <w:t xml:space="preserve">Appendix </w:t>
            </w:r>
            <w:r w:rsidR="00EE455E">
              <w:rPr>
                <w:noProof/>
              </w:rPr>
              <w:t>B</w:t>
            </w:r>
            <w:r w:rsidR="00AF5D80">
              <w:t>:</w:t>
            </w:r>
            <w:r w:rsidR="00A4315F">
              <w:t xml:space="preserve"> </w:t>
            </w:r>
            <w:r w:rsidR="00EE455E">
              <w:t xml:space="preserve">Figure </w:t>
            </w:r>
            <w:r w:rsidR="00EE455E">
              <w:rPr>
                <w:noProof/>
              </w:rPr>
              <w:t>117:</w:t>
            </w:r>
            <w:r w:rsidR="00EE455E">
              <w:t xml:space="preserve"> </w:t>
            </w:r>
            <w:r w:rsidR="00EE455E">
              <w:rPr>
                <w:vanish/>
              </w:rPr>
              <w:t xml:space="preserve">TT_92.01 </w:t>
            </w:r>
            <w:r w:rsidR="00EE455E" w:rsidRPr="00EE455E">
              <w:t>Order</w:t>
            </w:r>
            <w:r w:rsidR="00EE455E">
              <w:t xml:space="preserve"> Status Flowchart</w:t>
            </w:r>
            <w:r>
              <w:t>.)</w:t>
            </w:r>
          </w:p>
          <w:p w14:paraId="1BAE0F16" w14:textId="77777777" w:rsidR="002A21AE" w:rsidRDefault="002A21AE">
            <w:pPr>
              <w:pStyle w:val="NotesText"/>
            </w:pPr>
          </w:p>
          <w:p w14:paraId="7F858A71" w14:textId="77777777" w:rsidR="002A21AE" w:rsidRDefault="002A21AE">
            <w:pPr>
              <w:pStyle w:val="NotesText"/>
            </w:pPr>
            <w:r>
              <w:rPr>
                <w:rFonts w:cs="Arial"/>
                <w:vanish/>
              </w:rPr>
              <w:t xml:space="preserve">BR_16.14 </w:t>
            </w:r>
            <w:r>
              <w:t>The user evaluates each diagnostic test and component order separately.</w:t>
            </w:r>
          </w:p>
          <w:p w14:paraId="411D0DE2" w14:textId="77777777" w:rsidR="002A21AE" w:rsidRDefault="002A21AE">
            <w:pPr>
              <w:pStyle w:val="NotesText"/>
            </w:pPr>
          </w:p>
          <w:p w14:paraId="12AA6242" w14:textId="77777777" w:rsidR="002A21AE" w:rsidRDefault="002A21AE">
            <w:pPr>
              <w:pStyle w:val="NotesText"/>
            </w:pPr>
            <w:r>
              <w:rPr>
                <w:rFonts w:cs="Arial"/>
                <w:vanish/>
              </w:rPr>
              <w:t xml:space="preserve">BR_16.04 </w:t>
            </w:r>
            <w:r>
              <w:t xml:space="preserve">When the pre-op indicator is “No,” VBECS compares the Laboratory test values included in the order message from CPRS to the threshold values defined for the ordered component class requirements in Configure ICCBBA Component Classes Inappropriate Request Parameters setting (see Component Classes). When the threshold values were exceeded for one or more ordered component classes, VBECS notifies the user that the Laboratory test value exceeds site parameters for the component class orders and asks whether to add the order to the Inappropriate Transfusion Request report. </w:t>
            </w:r>
            <w:r>
              <w:rPr>
                <w:b/>
              </w:rPr>
              <w:t>Yes</w:t>
            </w:r>
            <w:r>
              <w:t xml:space="preserve"> adds the details of the order to the Inappropriate Request Report. </w:t>
            </w:r>
            <w:r>
              <w:rPr>
                <w:b/>
              </w:rPr>
              <w:t>No</w:t>
            </w:r>
            <w:r>
              <w:t xml:space="preserve"> requires a comment to be associated with the order.</w:t>
            </w:r>
          </w:p>
          <w:p w14:paraId="2D883892" w14:textId="77777777" w:rsidR="002A21AE" w:rsidRDefault="002A21AE">
            <w:pPr>
              <w:pStyle w:val="NotesText"/>
            </w:pPr>
          </w:p>
          <w:p w14:paraId="2F8C5768" w14:textId="77777777" w:rsidR="00F358AF" w:rsidRDefault="002A21AE" w:rsidP="00F358AF">
            <w:pPr>
              <w:pStyle w:val="NotesText"/>
            </w:pPr>
            <w:r>
              <w:t xml:space="preserve">The user may cancel one or more components of an order through Accept Orders: Cancel a Pending Order to cancel while working in Accept Orders: Accept an Order. When this occurs, VBECS sends a message to CPRS and notifies the </w:t>
            </w:r>
            <w:r w:rsidR="00E71B91">
              <w:t xml:space="preserve">VistA </w:t>
            </w:r>
            <w:r>
              <w:t>Laboratory</w:t>
            </w:r>
            <w:r w:rsidR="00E71B91">
              <w:t xml:space="preserve"> </w:t>
            </w:r>
            <w:r w:rsidR="004654F5">
              <w:t>application</w:t>
            </w:r>
            <w:r>
              <w:t xml:space="preserve"> that the order was cancel</w:t>
            </w:r>
            <w:r w:rsidR="002F7E19">
              <w:t>l</w:t>
            </w:r>
            <w:r>
              <w:t>ed.</w:t>
            </w:r>
          </w:p>
          <w:p w14:paraId="3601FBC9" w14:textId="77777777" w:rsidR="00F358AF" w:rsidRDefault="00F358AF" w:rsidP="00F358AF">
            <w:pPr>
              <w:pStyle w:val="NotesText"/>
            </w:pPr>
          </w:p>
          <w:p w14:paraId="5DEF1486" w14:textId="717D9A51" w:rsidR="002A21AE" w:rsidRDefault="00F358AF" w:rsidP="00F358AF">
            <w:pPr>
              <w:pStyle w:val="NotesText"/>
            </w:pPr>
            <w:r>
              <w:rPr>
                <w:rFonts w:cs="Arial"/>
                <w:vanish/>
              </w:rPr>
              <w:t xml:space="preserve">BR_16.24 </w:t>
            </w:r>
            <w:r w:rsidRPr="00F358AF">
              <w:t>The confirmation message presented when accepting an order states: “Are you sure you want to accept this order, by clicking Yes, you acknowledge that you performed a patient historical data check.”</w:t>
            </w:r>
            <w:r>
              <w:t xml:space="preserve"> </w:t>
            </w:r>
            <w:r w:rsidRPr="00F358AF">
              <w:t xml:space="preserve">When the user clicks yes, the order is accepted. The HL7 order acceptance message is sent to CPRS. When the user clicks no, the order remains pending. The patient historical </w:t>
            </w:r>
            <w:r w:rsidRPr="00F358AF">
              <w:lastRenderedPageBreak/>
              <w:t>data check indicator will be displayed in the Order History Report (single and multiple) and the Patient History Report</w:t>
            </w:r>
            <w:r>
              <w:t xml:space="preserve"> .</w:t>
            </w:r>
          </w:p>
        </w:tc>
      </w:tr>
      <w:tr w:rsidR="002A21AE" w14:paraId="778DC181" w14:textId="77777777">
        <w:tc>
          <w:tcPr>
            <w:tcW w:w="3240" w:type="dxa"/>
          </w:tcPr>
          <w:p w14:paraId="0C669622" w14:textId="77777777" w:rsidR="002A21AE" w:rsidRDefault="009644D4">
            <w:pPr>
              <w:pStyle w:val="TableTextNumbers"/>
            </w:pPr>
            <w:r>
              <w:lastRenderedPageBreak/>
              <w:t>Repeat Steps 2</w:t>
            </w:r>
            <w:r w:rsidR="00694B70">
              <w:t xml:space="preserve"> through 8</w:t>
            </w:r>
            <w:r w:rsidR="002A21AE">
              <w:t xml:space="preserve"> to accept another order, or click </w:t>
            </w:r>
            <w:r w:rsidR="002A21AE">
              <w:rPr>
                <w:b/>
              </w:rPr>
              <w:t>Close</w:t>
            </w:r>
            <w:r w:rsidR="002A21AE">
              <w:t xml:space="preserve"> to exit.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569A4674" w14:textId="77777777" w:rsidR="002A21AE" w:rsidRDefault="002A21AE">
            <w:pPr>
              <w:pStyle w:val="TableText"/>
            </w:pPr>
          </w:p>
        </w:tc>
      </w:tr>
    </w:tbl>
    <w:p w14:paraId="14456B40" w14:textId="0F0865A4" w:rsidR="002A21AE" w:rsidRDefault="002118B0" w:rsidP="002118B0">
      <w:pPr>
        <w:pStyle w:val="Caption"/>
      </w:pPr>
      <w:bookmarkStart w:id="419" w:name="_Ref126723121"/>
      <w:bookmarkStart w:id="420" w:name="_Ref1267223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86</w:t>
      </w:r>
      <w:r w:rsidR="004E20BD">
        <w:rPr>
          <w:noProof/>
        </w:rPr>
        <w:fldChar w:fldCharType="end"/>
      </w:r>
      <w:bookmarkEnd w:id="419"/>
      <w:r>
        <w:t xml:space="preserve">: </w:t>
      </w:r>
      <w:r w:rsidR="00050BB7">
        <w:t>Accept Orders</w:t>
      </w:r>
      <w:bookmarkEnd w:id="420"/>
    </w:p>
    <w:p w14:paraId="4630339E" w14:textId="6DCB2BC6" w:rsidR="00050BB7" w:rsidRPr="00050BB7" w:rsidRDefault="00570C93" w:rsidP="007810A1">
      <w:pPr>
        <w:pStyle w:val="BodyText"/>
      </w:pPr>
      <w:r>
        <w:rPr>
          <w:noProof/>
        </w:rPr>
        <w:drawing>
          <wp:inline distT="0" distB="0" distL="0" distR="0" wp14:anchorId="72D3D8BD" wp14:editId="50C8D58E">
            <wp:extent cx="5937250" cy="3054350"/>
            <wp:effectExtent l="0" t="0" r="6350" b="0"/>
            <wp:docPr id="73" name="Picture 73" descr="Example of Accept Order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Example of Accept Orders screen captur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7250" cy="3054350"/>
                    </a:xfrm>
                    <a:prstGeom prst="rect">
                      <a:avLst/>
                    </a:prstGeom>
                    <a:noFill/>
                    <a:ln>
                      <a:noFill/>
                    </a:ln>
                  </pic:spPr>
                </pic:pic>
              </a:graphicData>
            </a:graphic>
          </wp:inline>
        </w:drawing>
      </w:r>
    </w:p>
    <w:p w14:paraId="4239052C" w14:textId="06CBF3BB" w:rsidR="0057318C" w:rsidRDefault="0057318C" w:rsidP="0057318C">
      <w:pPr>
        <w:pStyle w:val="Caption"/>
      </w:pPr>
      <w:bookmarkStart w:id="421" w:name="_Ref126722649"/>
      <w:bookmarkStart w:id="422" w:name="_Ref12672260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87</w:t>
      </w:r>
      <w:r w:rsidR="004E20BD">
        <w:rPr>
          <w:noProof/>
        </w:rPr>
        <w:fldChar w:fldCharType="end"/>
      </w:r>
      <w:bookmarkEnd w:id="421"/>
      <w:r>
        <w:t>: Maintain Specimen</w:t>
      </w:r>
      <w:bookmarkEnd w:id="422"/>
    </w:p>
    <w:p w14:paraId="20883B7C" w14:textId="77777777" w:rsidR="007810A1" w:rsidRDefault="00057948" w:rsidP="007810A1">
      <w:pPr>
        <w:pStyle w:val="BodyText"/>
      </w:pPr>
      <w:r>
        <w:rPr>
          <w:noProof/>
        </w:rPr>
        <w:drawing>
          <wp:inline distT="0" distB="0" distL="0" distR="0" wp14:anchorId="404E292C" wp14:editId="1BA3035F">
            <wp:extent cx="5597525" cy="3676015"/>
            <wp:effectExtent l="0" t="0" r="3175" b="635"/>
            <wp:docPr id="212" name="Picture 212" descr="Example of Maintain Specim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Example of Maintain Specimen screen captur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97525" cy="3676015"/>
                    </a:xfrm>
                    <a:prstGeom prst="rect">
                      <a:avLst/>
                    </a:prstGeom>
                    <a:noFill/>
                    <a:ln>
                      <a:noFill/>
                    </a:ln>
                  </pic:spPr>
                </pic:pic>
              </a:graphicData>
            </a:graphic>
          </wp:inline>
        </w:drawing>
      </w:r>
    </w:p>
    <w:p w14:paraId="255EB700" w14:textId="77777777" w:rsidR="002A21AE" w:rsidRDefault="002A21AE">
      <w:pPr>
        <w:pStyle w:val="Heading3"/>
      </w:pPr>
      <w:r>
        <w:br w:type="page"/>
      </w:r>
      <w:bookmarkStart w:id="423" w:name="_Toc163644933"/>
      <w:r>
        <w:lastRenderedPageBreak/>
        <w:t>Accept Orders: Pending Order List</w:t>
      </w:r>
      <w:bookmarkEnd w:id="423"/>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Accept Orders\: Pending Order List</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UC_88</w:t>
      </w:r>
    </w:p>
    <w:p w14:paraId="3D9F4242" w14:textId="77777777" w:rsidR="002A21AE" w:rsidRDefault="002A21AE" w:rsidP="00FA7E65">
      <w:pPr>
        <w:pStyle w:val="BodyText"/>
      </w:pPr>
      <w:bookmarkStart w:id="424" w:name="_Toc74835890"/>
      <w:r>
        <w:t>The Pending Order List (POL) lists pending blood bank orders.</w:t>
      </w:r>
    </w:p>
    <w:p w14:paraId="21BDADDA" w14:textId="77777777" w:rsidR="002A21AE" w:rsidRDefault="002A21AE">
      <w:pPr>
        <w:pStyle w:val="Heading4"/>
      </w:pPr>
      <w:r>
        <w:t>Assumptions</w:t>
      </w:r>
    </w:p>
    <w:p w14:paraId="04C34FCD" w14:textId="77777777" w:rsidR="002A21AE" w:rsidRDefault="002A21AE">
      <w:pPr>
        <w:pStyle w:val="ListBullet"/>
      </w:pPr>
      <w:r>
        <w:t>A CPRS order is acknowledged by VBECS.</w:t>
      </w:r>
    </w:p>
    <w:p w14:paraId="53D92983" w14:textId="77777777" w:rsidR="002A21AE" w:rsidRDefault="002A21AE">
      <w:pPr>
        <w:pStyle w:val="ListBullet"/>
      </w:pPr>
      <w:r>
        <w:t xml:space="preserve">An order is printed or an alert is issued per site parameters. </w:t>
      </w:r>
    </w:p>
    <w:p w14:paraId="4D1A6FB7" w14:textId="77777777" w:rsidR="002A21AE" w:rsidRDefault="002A21AE">
      <w:pPr>
        <w:pStyle w:val="ListBullet"/>
      </w:pPr>
      <w:r>
        <w:t xml:space="preserve">The connection to </w:t>
      </w:r>
      <w:r w:rsidR="00CA0045" w:rsidRPr="00CA0045">
        <w:rPr>
          <w:bCs/>
        </w:rPr>
        <w:t>VistA</w:t>
      </w:r>
      <w:r>
        <w:t xml:space="preserve"> is active.</w:t>
      </w:r>
    </w:p>
    <w:p w14:paraId="0A3C9341" w14:textId="77777777" w:rsidR="002A21AE" w:rsidRDefault="002A21AE">
      <w:pPr>
        <w:pStyle w:val="Heading4"/>
      </w:pPr>
      <w:r>
        <w:t>Outcome</w:t>
      </w:r>
    </w:p>
    <w:p w14:paraId="50E9DAF0" w14:textId="77777777" w:rsidR="002A21AE" w:rsidRDefault="002A21AE">
      <w:pPr>
        <w:pStyle w:val="ListBullet"/>
      </w:pPr>
      <w:r>
        <w:t>A list of pending</w:t>
      </w:r>
      <w:r w:rsidR="00E46E21">
        <w:t xml:space="preserve"> orders displays and may be sorted and searched.</w:t>
      </w:r>
    </w:p>
    <w:p w14:paraId="3680F71D" w14:textId="77777777" w:rsidR="00E46E21" w:rsidRDefault="00E46E21">
      <w:pPr>
        <w:pStyle w:val="ListBullet"/>
      </w:pPr>
      <w:r>
        <w:t>A list of pending orders may be printed in the default sort presentation.</w:t>
      </w:r>
    </w:p>
    <w:p w14:paraId="0C94E9C8" w14:textId="77777777" w:rsidR="002A21AE" w:rsidRDefault="002A21AE">
      <w:pPr>
        <w:pStyle w:val="Heading4"/>
      </w:pPr>
      <w:r>
        <w:t>Limitations and Restrictions</w:t>
      </w:r>
    </w:p>
    <w:p w14:paraId="47D953C1" w14:textId="77777777" w:rsidR="00DD022C" w:rsidRDefault="00DD022C" w:rsidP="00DD022C">
      <w:pPr>
        <w:pStyle w:val="ListBullet"/>
      </w:pPr>
      <w:r>
        <w:t xml:space="preserve">Orders placed for </w:t>
      </w:r>
      <w:r w:rsidR="00922AD8">
        <w:t>patients</w:t>
      </w:r>
      <w:r>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t>” field.</w:t>
      </w:r>
    </w:p>
    <w:p w14:paraId="776EF27E" w14:textId="77777777" w:rsidR="00C50F88" w:rsidRDefault="00C50F88" w:rsidP="00DD022C">
      <w:pPr>
        <w:pStyle w:val="ListBullet"/>
      </w:pPr>
      <w:r>
        <w:t>TAS must be accepted prior to any diagnostic test associated with the same specimen UID to allow the specimen to be used for the TAS.</w:t>
      </w:r>
    </w:p>
    <w:p w14:paraId="7659D4BD" w14:textId="77777777" w:rsidR="002A21AE" w:rsidRDefault="002A21AE">
      <w:pPr>
        <w:pStyle w:val="Heading4"/>
      </w:pPr>
      <w:r>
        <w:t>Additional Information</w:t>
      </w:r>
    </w:p>
    <w:p w14:paraId="6F43585C" w14:textId="77777777" w:rsidR="00E079D4" w:rsidRDefault="00E079D4">
      <w:pPr>
        <w:pStyle w:val="ListBullet"/>
      </w:pPr>
      <w:r>
        <w:t>This option is used for diagnostic and blood component test orders.</w:t>
      </w:r>
    </w:p>
    <w:p w14:paraId="05A1AB73" w14:textId="77777777" w:rsidR="00C50F88" w:rsidRDefault="00C50F88">
      <w:pPr>
        <w:pStyle w:val="ListBullet"/>
      </w:pPr>
      <w:r>
        <w:t>Blood derivatives, for example: Octoplas, are processed using CPRS FFP order.</w:t>
      </w:r>
    </w:p>
    <w:p w14:paraId="263B0F27" w14:textId="77777777" w:rsidR="002A21AE" w:rsidRDefault="002A21AE">
      <w:pPr>
        <w:pStyle w:val="Heading4"/>
      </w:pPr>
      <w:r>
        <w:t>User Roles with Access to This Option</w:t>
      </w:r>
    </w:p>
    <w:p w14:paraId="42C123BC" w14:textId="77777777" w:rsidR="002A21AE" w:rsidRDefault="000F12D4">
      <w:pPr>
        <w:pStyle w:val="Roles"/>
        <w:rPr>
          <w:snapToGrid w:val="0"/>
        </w:rPr>
      </w:pPr>
      <w:r>
        <w:t>All users</w:t>
      </w:r>
    </w:p>
    <w:bookmarkEnd w:id="424"/>
    <w:p w14:paraId="0684B19A" w14:textId="77777777" w:rsidR="002A21AE" w:rsidRDefault="002A21AE">
      <w:pPr>
        <w:pStyle w:val="Heading4"/>
      </w:pPr>
      <w:r>
        <w:t>Accept Orders: Pending Order List</w:t>
      </w:r>
    </w:p>
    <w:p w14:paraId="2B9E0D4E" w14:textId="77777777" w:rsidR="002A21AE" w:rsidRDefault="002A21AE" w:rsidP="00FA7E65">
      <w:pPr>
        <w:pStyle w:val="BodyText"/>
      </w:pPr>
      <w:r>
        <w:t>VBECS displays the POL with search criteria, which allows the user to limit the number of viewable items. The user may review details of an order without taking action on 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EA3E72" w14:textId="77777777" w:rsidTr="003362FE">
        <w:trPr>
          <w:cantSplit/>
          <w:tblHeader/>
        </w:trPr>
        <w:tc>
          <w:tcPr>
            <w:tcW w:w="3240" w:type="dxa"/>
            <w:shd w:val="pct30" w:color="auto" w:fill="FFFFFF"/>
            <w:vAlign w:val="bottom"/>
          </w:tcPr>
          <w:p w14:paraId="69713131" w14:textId="77777777" w:rsidR="002A21AE" w:rsidRDefault="002A21AE">
            <w:pPr>
              <w:pStyle w:val="TableText"/>
              <w:rPr>
                <w:b/>
              </w:rPr>
            </w:pPr>
            <w:r>
              <w:rPr>
                <w:b/>
              </w:rPr>
              <w:lastRenderedPageBreak/>
              <w:t>User Action</w:t>
            </w:r>
          </w:p>
        </w:tc>
        <w:tc>
          <w:tcPr>
            <w:tcW w:w="6120" w:type="dxa"/>
            <w:shd w:val="pct30" w:color="auto" w:fill="FFFFFF"/>
            <w:vAlign w:val="bottom"/>
          </w:tcPr>
          <w:p w14:paraId="3679060F" w14:textId="77777777" w:rsidR="002A21AE" w:rsidRDefault="002A21AE">
            <w:pPr>
              <w:pStyle w:val="TableText"/>
              <w:rPr>
                <w:b/>
              </w:rPr>
            </w:pPr>
            <w:r>
              <w:rPr>
                <w:b/>
              </w:rPr>
              <w:t>VBECS</w:t>
            </w:r>
          </w:p>
        </w:tc>
      </w:tr>
      <w:tr w:rsidR="002A21AE" w14:paraId="7F8028FF" w14:textId="77777777" w:rsidTr="003362FE">
        <w:trPr>
          <w:cantSplit/>
        </w:trPr>
        <w:tc>
          <w:tcPr>
            <w:tcW w:w="3240" w:type="dxa"/>
          </w:tcPr>
          <w:p w14:paraId="446A82D1" w14:textId="77777777" w:rsidR="002A21AE" w:rsidRDefault="002A21AE">
            <w:pPr>
              <w:pStyle w:val="TableTextNumbers"/>
            </w:pPr>
            <w:r>
              <w:t xml:space="preserve">Select </w:t>
            </w:r>
            <w:r>
              <w:rPr>
                <w:b/>
              </w:rPr>
              <w:t>Orders</w:t>
            </w:r>
            <w:r>
              <w:t xml:space="preserve"> from the main menu.</w:t>
            </w:r>
          </w:p>
          <w:p w14:paraId="452958E1" w14:textId="77777777" w:rsidR="002A21AE" w:rsidRDefault="002A21AE">
            <w:pPr>
              <w:pStyle w:val="TableTextNumbersContinued"/>
            </w:pPr>
          </w:p>
          <w:p w14:paraId="5E43781E" w14:textId="77777777" w:rsidR="002A21AE" w:rsidRDefault="002A21AE">
            <w:pPr>
              <w:pStyle w:val="TableTextNumbersContinued"/>
            </w:pPr>
            <w:r>
              <w:t xml:space="preserve">Select </w:t>
            </w:r>
            <w:r>
              <w:rPr>
                <w:b/>
              </w:rPr>
              <w:t>Accept Orders</w:t>
            </w:r>
            <w:r>
              <w:t>, or</w:t>
            </w:r>
          </w:p>
          <w:p w14:paraId="5D640292" w14:textId="77777777" w:rsidR="002A21AE" w:rsidRDefault="002A21AE">
            <w:pPr>
              <w:pStyle w:val="TableTextNumbersContinued"/>
            </w:pPr>
          </w:p>
          <w:p w14:paraId="60C3758D" w14:textId="5A9F6342" w:rsidR="002A21AE" w:rsidRDefault="002A21AE">
            <w:pPr>
              <w:pStyle w:val="TableTextNumbersContinued"/>
            </w:pPr>
            <w:r>
              <w:t xml:space="preserve">Click the </w:t>
            </w:r>
            <w:r>
              <w:rPr>
                <w:b/>
              </w:rPr>
              <w:t>Pending Orders alert icon</w:t>
            </w:r>
            <w:r>
              <w:t>, if available, in the status bar at the bottom of the screen</w:t>
            </w:r>
            <w:r w:rsidR="007B4959">
              <w:t xml:space="preserve"> (</w:t>
            </w:r>
            <w:r w:rsidR="00EE455E">
              <w:t xml:space="preserve">Figure </w:t>
            </w:r>
            <w:r w:rsidR="00EE455E">
              <w:rPr>
                <w:noProof/>
              </w:rPr>
              <w:t>85</w:t>
            </w:r>
            <w:r w:rsidR="007B4959">
              <w:t>)</w:t>
            </w:r>
            <w:r>
              <w:t>.</w:t>
            </w:r>
          </w:p>
        </w:tc>
        <w:tc>
          <w:tcPr>
            <w:tcW w:w="6120" w:type="dxa"/>
          </w:tcPr>
          <w:p w14:paraId="45818C3F" w14:textId="77777777" w:rsidR="002A21AE" w:rsidRDefault="002A21AE">
            <w:pPr>
              <w:pStyle w:val="TableTextBullet"/>
            </w:pPr>
            <w:r>
              <w:t>Displays options for processing orders.</w:t>
            </w:r>
          </w:p>
          <w:p w14:paraId="15EE278E" w14:textId="77777777" w:rsidR="002A21AE" w:rsidRDefault="002A21AE">
            <w:pPr>
              <w:pStyle w:val="TableTextBullet"/>
            </w:pPr>
            <w:r>
              <w:t>Displays the Pending Order List and Pending Order List search criteria.</w:t>
            </w:r>
          </w:p>
          <w:p w14:paraId="6C701DD1" w14:textId="77777777" w:rsidR="002A21AE" w:rsidRDefault="002A21AE">
            <w:pPr>
              <w:pStyle w:val="TableTextBullet"/>
            </w:pPr>
            <w:r>
              <w:t xml:space="preserve">Allows the user to search for specific orders. </w:t>
            </w:r>
          </w:p>
          <w:p w14:paraId="2434D3B6" w14:textId="77777777" w:rsidR="002A21AE" w:rsidRDefault="002A21AE">
            <w:pPr>
              <w:pStyle w:val="TableTextBullet"/>
            </w:pPr>
            <w:r>
              <w:t xml:space="preserve">Provides the criteria to limit the search and subsequent presentation and processing. </w:t>
            </w:r>
          </w:p>
          <w:p w14:paraId="19AABF77" w14:textId="77777777" w:rsidR="002A21AE" w:rsidRDefault="002A21AE">
            <w:pPr>
              <w:pStyle w:val="TableTextBullet"/>
            </w:pPr>
            <w:r>
              <w:t>Allows acceptance of an order.</w:t>
            </w:r>
          </w:p>
          <w:p w14:paraId="4680039C" w14:textId="77777777" w:rsidR="002A21AE" w:rsidRDefault="002A21AE">
            <w:pPr>
              <w:pStyle w:val="TableText"/>
            </w:pPr>
          </w:p>
          <w:p w14:paraId="3817472C" w14:textId="47FD7380" w:rsidR="002A21AE" w:rsidRDefault="002A21AE">
            <w:pPr>
              <w:pStyle w:val="TableText"/>
              <w:rPr>
                <w:b/>
                <w:bCs/>
                <w:szCs w:val="18"/>
              </w:rPr>
            </w:pPr>
            <w:r>
              <w:rPr>
                <w:b/>
                <w:bCs/>
                <w:szCs w:val="18"/>
              </w:rPr>
              <w:t>NOTES</w:t>
            </w:r>
          </w:p>
          <w:p w14:paraId="7012321B" w14:textId="77777777" w:rsidR="002A21AE" w:rsidRDefault="00E21E67">
            <w:pPr>
              <w:pStyle w:val="NotesText"/>
            </w:pPr>
            <w:r w:rsidRPr="00424EF8">
              <w:rPr>
                <w:vanish/>
              </w:rPr>
              <w:t xml:space="preserve">BR_88.10 </w:t>
            </w:r>
            <w:r w:rsidRPr="00274F6D">
              <w:t xml:space="preserve">VBECS </w:t>
            </w:r>
            <w:r>
              <w:t xml:space="preserve">displays orders directed to the division by </w:t>
            </w:r>
            <w:r w:rsidR="00424EF8">
              <w:t>a</w:t>
            </w:r>
            <w:r>
              <w:t xml:space="preserve"> user during system configuration.</w:t>
            </w:r>
            <w:r w:rsidR="00892C58" w:rsidRPr="00892C58">
              <w:rPr>
                <w:vanish/>
              </w:rPr>
              <w:t>DR 2,889</w:t>
            </w:r>
          </w:p>
          <w:p w14:paraId="05192ED2" w14:textId="77777777" w:rsidR="00E21E67" w:rsidRDefault="00E21E67">
            <w:pPr>
              <w:pStyle w:val="NotesText"/>
            </w:pPr>
          </w:p>
          <w:p w14:paraId="3225EF41" w14:textId="622DCAF1" w:rsidR="002A21AE" w:rsidRDefault="002A21AE">
            <w:pPr>
              <w:pStyle w:val="NotesText"/>
            </w:pPr>
            <w:r w:rsidRPr="00A4315F">
              <w:t xml:space="preserve">See </w:t>
            </w:r>
            <w:r w:rsidR="00EE455E">
              <w:t xml:space="preserve">Appendix </w:t>
            </w:r>
            <w:r w:rsidR="00EE455E">
              <w:rPr>
                <w:noProof/>
              </w:rPr>
              <w:t>B</w:t>
            </w:r>
            <w:r w:rsidRPr="00A4315F">
              <w:t>:</w:t>
            </w:r>
            <w:r w:rsidR="00A4315F" w:rsidRPr="00A4315F">
              <w:t xml:space="preserve"> </w:t>
            </w:r>
            <w:r w:rsidR="00EE455E">
              <w:t xml:space="preserve">Figure 117: </w:t>
            </w:r>
            <w:r w:rsidR="00EE455E" w:rsidRPr="00EE455E">
              <w:rPr>
                <w:vanish/>
                <w:szCs w:val="18"/>
              </w:rPr>
              <w:t xml:space="preserve">TT_92.01 </w:t>
            </w:r>
            <w:r w:rsidR="00EE455E" w:rsidRPr="00EE455E">
              <w:t>Order</w:t>
            </w:r>
            <w:r w:rsidR="00EE455E">
              <w:t xml:space="preserve"> Status Flowchart</w:t>
            </w:r>
            <w:r>
              <w:t>.</w:t>
            </w:r>
          </w:p>
          <w:p w14:paraId="74585698" w14:textId="77777777" w:rsidR="002A21AE" w:rsidRDefault="002A21AE">
            <w:pPr>
              <w:pStyle w:val="NotesText"/>
            </w:pPr>
          </w:p>
          <w:p w14:paraId="7BFEF815" w14:textId="77777777" w:rsidR="002A21AE" w:rsidRDefault="002A21AE" w:rsidP="008941EC">
            <w:pPr>
              <w:pStyle w:val="NotesText"/>
            </w:pPr>
            <w:r>
              <w:rPr>
                <w:rFonts w:cs="Arial"/>
                <w:vanish/>
              </w:rPr>
              <w:t xml:space="preserve">BR_88.04 </w:t>
            </w:r>
            <w:r>
              <w:t xml:space="preserve">When searching for pending orders based on patient name, the system displays all pending and current accepted orders for the patient. A current order is a previously accepted order with a future order/specimen expiration date. </w:t>
            </w:r>
          </w:p>
        </w:tc>
      </w:tr>
      <w:tr w:rsidR="002A21AE" w14:paraId="7CE17BCF" w14:textId="77777777" w:rsidTr="003362FE">
        <w:trPr>
          <w:cantSplit/>
          <w:trHeight w:val="575"/>
        </w:trPr>
        <w:tc>
          <w:tcPr>
            <w:tcW w:w="3240" w:type="dxa"/>
          </w:tcPr>
          <w:p w14:paraId="72B1CA13" w14:textId="77777777" w:rsidR="002A21AE" w:rsidRDefault="002A21AE">
            <w:pPr>
              <w:pStyle w:val="TableTextNumbers"/>
            </w:pPr>
            <w:r>
              <w:t>Change the selection criteria, as needed, to prepare the list or to accept the default presentation.</w:t>
            </w:r>
          </w:p>
        </w:tc>
        <w:tc>
          <w:tcPr>
            <w:tcW w:w="6120" w:type="dxa"/>
          </w:tcPr>
          <w:p w14:paraId="29A23C74" w14:textId="77777777" w:rsidR="002A21AE" w:rsidRDefault="002A21AE">
            <w:pPr>
              <w:pStyle w:val="TableTextBullet"/>
            </w:pPr>
            <w:r>
              <w:t xml:space="preserve">Displays the POL requested by user’s selection(s). </w:t>
            </w:r>
          </w:p>
          <w:p w14:paraId="4FF60A3A" w14:textId="77777777" w:rsidR="002A21AE" w:rsidRDefault="002A21AE">
            <w:pPr>
              <w:pStyle w:val="TableText"/>
            </w:pPr>
          </w:p>
          <w:p w14:paraId="2CF335FA" w14:textId="6144BF4D" w:rsidR="002A21AE" w:rsidRDefault="002A21AE">
            <w:pPr>
              <w:pStyle w:val="TableText"/>
              <w:rPr>
                <w:b/>
                <w:bCs/>
                <w:szCs w:val="18"/>
              </w:rPr>
            </w:pPr>
            <w:r>
              <w:rPr>
                <w:b/>
                <w:bCs/>
                <w:szCs w:val="18"/>
              </w:rPr>
              <w:t>NOTES</w:t>
            </w:r>
          </w:p>
          <w:p w14:paraId="096A88AC" w14:textId="77777777" w:rsidR="002A21AE" w:rsidRDefault="002A21AE">
            <w:pPr>
              <w:pStyle w:val="TableText"/>
            </w:pPr>
          </w:p>
          <w:p w14:paraId="5709E196" w14:textId="77777777" w:rsidR="002A21AE" w:rsidRDefault="002A21AE">
            <w:pPr>
              <w:pStyle w:val="NotesText"/>
            </w:pPr>
            <w:r>
              <w:rPr>
                <w:rFonts w:cs="Arial"/>
                <w:vanish/>
              </w:rPr>
              <w:t xml:space="preserve">BR_88.09 </w:t>
            </w:r>
            <w:r>
              <w:t>The POL can be sorted by Patient, Procedure, Urgency, Date/time received or date/time wanted.</w:t>
            </w:r>
          </w:p>
          <w:p w14:paraId="31200CB0" w14:textId="77777777" w:rsidR="002A21AE" w:rsidRDefault="002A21AE">
            <w:pPr>
              <w:pStyle w:val="NotesText"/>
            </w:pPr>
          </w:p>
          <w:p w14:paraId="35938392" w14:textId="77777777" w:rsidR="002A21AE" w:rsidRDefault="002A21AE">
            <w:pPr>
              <w:pStyle w:val="NotesText"/>
            </w:pPr>
            <w:r>
              <w:rPr>
                <w:rFonts w:cs="Arial"/>
                <w:vanish/>
              </w:rPr>
              <w:t xml:space="preserve">BR_88.07 </w:t>
            </w:r>
            <w:r>
              <w:t>The user may select an entry on the POL to view additional details for the order, including:</w:t>
            </w:r>
          </w:p>
          <w:p w14:paraId="772B4463" w14:textId="77777777" w:rsidR="002A21AE" w:rsidRDefault="002A21AE">
            <w:pPr>
              <w:pStyle w:val="NotesTextBullet"/>
            </w:pPr>
            <w:r>
              <w:t>Patient Name</w:t>
            </w:r>
          </w:p>
          <w:p w14:paraId="51EB8DB0" w14:textId="77777777" w:rsidR="002A21AE" w:rsidRDefault="002A21AE">
            <w:pPr>
              <w:pStyle w:val="NotesTextBullet"/>
            </w:pPr>
            <w:r>
              <w:t>Patient ID</w:t>
            </w:r>
          </w:p>
          <w:p w14:paraId="54A77F5D" w14:textId="77777777" w:rsidR="002A21AE" w:rsidRDefault="002A21AE">
            <w:pPr>
              <w:pStyle w:val="NotesTextBullet"/>
            </w:pPr>
            <w:r>
              <w:t xml:space="preserve">Additional component class or diagnostic tests included in the same order group as the selected order. (These are displayed whether they are </w:t>
            </w:r>
            <w:r w:rsidR="00191CFE">
              <w:t>“</w:t>
            </w:r>
            <w:r>
              <w:t>in progress</w:t>
            </w:r>
            <w:r w:rsidR="00191CFE">
              <w:t>”</w:t>
            </w:r>
            <w:r>
              <w:t xml:space="preserve"> or still on the POL. There should be some indication to distinguish those that are already in progress.)</w:t>
            </w:r>
          </w:p>
          <w:p w14:paraId="38CDF83D" w14:textId="77777777" w:rsidR="002A21AE" w:rsidRDefault="002A21AE">
            <w:pPr>
              <w:pStyle w:val="NotesTextBullet"/>
            </w:pPr>
            <w:r>
              <w:t>Order comments (additional requirements from CPRS)</w:t>
            </w:r>
          </w:p>
          <w:p w14:paraId="50B913C0" w14:textId="77777777" w:rsidR="002A21AE" w:rsidRDefault="002A21AE">
            <w:pPr>
              <w:pStyle w:val="NotesTextBullet"/>
            </w:pPr>
            <w:r>
              <w:t>Quantity (component class orders only)</w:t>
            </w:r>
          </w:p>
          <w:p w14:paraId="6737938D" w14:textId="77777777" w:rsidR="002A21AE" w:rsidRDefault="002A21AE">
            <w:pPr>
              <w:pStyle w:val="NotesTextBullet"/>
            </w:pPr>
            <w:r>
              <w:t>Patient hospital location</w:t>
            </w:r>
          </w:p>
          <w:p w14:paraId="5A246A27" w14:textId="77777777" w:rsidR="002A21AE" w:rsidRDefault="002A21AE">
            <w:pPr>
              <w:pStyle w:val="NotesTextBullet"/>
            </w:pPr>
            <w:r>
              <w:t>Lab order #</w:t>
            </w:r>
          </w:p>
          <w:p w14:paraId="42094384" w14:textId="77777777" w:rsidR="002A21AE" w:rsidRDefault="002A21AE">
            <w:pPr>
              <w:pStyle w:val="NotesTextBullet"/>
            </w:pPr>
            <w:r>
              <w:t>Patient ABO/Rh (if known)</w:t>
            </w:r>
          </w:p>
          <w:p w14:paraId="787007A0" w14:textId="77777777" w:rsidR="000F29F3" w:rsidRDefault="0070432F" w:rsidP="00735422">
            <w:pPr>
              <w:pStyle w:val="NotesTextBullet"/>
            </w:pPr>
            <w:r>
              <w:t xml:space="preserve">The </w:t>
            </w:r>
            <w:r w:rsidR="00F83BC3">
              <w:t>CPRS Order ID</w:t>
            </w:r>
            <w:r w:rsidR="00735422">
              <w:t>, Group Order ID for all diagnostic tests and component orders placed in one CPRS</w:t>
            </w:r>
            <w:r>
              <w:t xml:space="preserve"> </w:t>
            </w:r>
            <w:r w:rsidR="00E33ACF">
              <w:t xml:space="preserve">order </w:t>
            </w:r>
            <w:r w:rsidR="005B6F39">
              <w:t xml:space="preserve">is </w:t>
            </w:r>
            <w:r w:rsidR="00E33ACF">
              <w:t xml:space="preserve">the CPRS Order ID </w:t>
            </w:r>
            <w:r>
              <w:t xml:space="preserve">used by VBECS on the Order History Report and the Pending Task Lists. </w:t>
            </w:r>
            <w:r w:rsidR="00F83BC3" w:rsidRPr="00F83BC3">
              <w:rPr>
                <w:vanish/>
              </w:rPr>
              <w:t>DR 4938</w:t>
            </w:r>
          </w:p>
        </w:tc>
      </w:tr>
      <w:tr w:rsidR="002A21AE" w14:paraId="60D55A56" w14:textId="77777777" w:rsidTr="003362FE">
        <w:trPr>
          <w:cantSplit/>
        </w:trPr>
        <w:tc>
          <w:tcPr>
            <w:tcW w:w="3240" w:type="dxa"/>
          </w:tcPr>
          <w:p w14:paraId="7157A99C" w14:textId="77777777" w:rsidR="002A21AE" w:rsidRDefault="002A21AE">
            <w:pPr>
              <w:pStyle w:val="TableTextNumbers"/>
            </w:pPr>
            <w:r>
              <w:t xml:space="preserve">To continue processing the POL, review the displayed list, print the list, or go to Accept Orders: Accept an Order. </w:t>
            </w:r>
          </w:p>
        </w:tc>
        <w:tc>
          <w:tcPr>
            <w:tcW w:w="6120" w:type="dxa"/>
          </w:tcPr>
          <w:p w14:paraId="4B12B7CA" w14:textId="77777777" w:rsidR="002A21AE" w:rsidRDefault="002A21AE">
            <w:pPr>
              <w:pStyle w:val="TableTextBullet"/>
            </w:pPr>
            <w:r>
              <w:t xml:space="preserve">Allows the user to return to Step 1 to change the presentation of the list, review details of pending orders, print the list, or select an order or proceed to Accept Orders: Accept an Order. </w:t>
            </w:r>
          </w:p>
          <w:p w14:paraId="28218C70" w14:textId="77777777" w:rsidR="002A21AE" w:rsidRDefault="002A21AE">
            <w:pPr>
              <w:pStyle w:val="TableText"/>
            </w:pPr>
          </w:p>
          <w:p w14:paraId="2A15662D" w14:textId="256BE9F4" w:rsidR="002A21AE" w:rsidRDefault="002A21AE">
            <w:pPr>
              <w:pStyle w:val="TableText"/>
              <w:rPr>
                <w:b/>
                <w:bCs/>
                <w:szCs w:val="18"/>
              </w:rPr>
            </w:pPr>
            <w:r>
              <w:rPr>
                <w:b/>
                <w:bCs/>
                <w:szCs w:val="18"/>
              </w:rPr>
              <w:t>NOTES</w:t>
            </w:r>
          </w:p>
          <w:p w14:paraId="11FD9CC0" w14:textId="77777777" w:rsidR="002A21AE" w:rsidRDefault="002A21AE">
            <w:pPr>
              <w:pStyle w:val="NotesText"/>
            </w:pPr>
          </w:p>
          <w:p w14:paraId="49732167" w14:textId="77777777" w:rsidR="002A21AE" w:rsidRDefault="002A21AE">
            <w:pPr>
              <w:pStyle w:val="NotesText"/>
            </w:pPr>
            <w:r>
              <w:rPr>
                <w:rFonts w:cs="Arial"/>
                <w:vanish/>
              </w:rPr>
              <w:t xml:space="preserve">BR_92.07 </w:t>
            </w:r>
            <w:r>
              <w:t>When a user requests a POL report and VBECS does not find any information, VBECS notifies the user and asks whether he wishes to continue to print. The user may cancel or print the report, which will include “No pending orders found.”</w:t>
            </w:r>
          </w:p>
        </w:tc>
      </w:tr>
      <w:tr w:rsidR="002A21AE" w14:paraId="4D85214E" w14:textId="77777777" w:rsidTr="003362FE">
        <w:trPr>
          <w:cantSplit/>
        </w:trPr>
        <w:tc>
          <w:tcPr>
            <w:tcW w:w="3240" w:type="dxa"/>
          </w:tcPr>
          <w:p w14:paraId="73F780FC" w14:textId="77777777" w:rsidR="002A21AE" w:rsidRDefault="002A21AE">
            <w:pPr>
              <w:pStyle w:val="TableTextNumbers"/>
            </w:pPr>
            <w:r>
              <w:t>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91C4B64" w14:textId="77777777" w:rsidR="002A21AE" w:rsidRDefault="002A21AE">
            <w:pPr>
              <w:pStyle w:val="TableText"/>
            </w:pPr>
          </w:p>
        </w:tc>
      </w:tr>
    </w:tbl>
    <w:p w14:paraId="075B8F6C" w14:textId="77777777" w:rsidR="002A21AE" w:rsidRDefault="0072673B" w:rsidP="008A3222">
      <w:pPr>
        <w:pStyle w:val="Heading3"/>
      </w:pPr>
      <w:r>
        <w:br w:type="page"/>
      </w:r>
      <w:bookmarkStart w:id="425" w:name="_Toc163644934"/>
      <w:r w:rsidR="00057948">
        <w:rPr>
          <w:noProof/>
        </w:rPr>
        <w:lastRenderedPageBreak/>
        <w:drawing>
          <wp:inline distT="0" distB="0" distL="0" distR="0" wp14:anchorId="58F7FD67" wp14:editId="04D401B9">
            <wp:extent cx="156845" cy="156845"/>
            <wp:effectExtent l="0" t="0" r="0" b="0"/>
            <wp:docPr id="213" name="Picture 213" descr="Order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Order Ale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w:t>
      </w:r>
      <w:r w:rsidR="002A21AE" w:rsidRPr="008A3222">
        <w:t>Display Order Alerts</w:t>
      </w:r>
      <w:bookmarkEnd w:id="425"/>
      <w:r w:rsidR="002A21AE" w:rsidRPr="008A3222">
        <w:fldChar w:fldCharType="begin"/>
      </w:r>
      <w:r w:rsidR="002A21AE" w:rsidRPr="008A3222">
        <w:instrText xml:space="preserve"> XE </w:instrText>
      </w:r>
      <w:r w:rsidR="00FA7E65" w:rsidRPr="008A3222">
        <w:instrText>“</w:instrText>
      </w:r>
      <w:r w:rsidR="002A21AE" w:rsidRPr="008A3222">
        <w:instrText>Display Order Alerts</w:instrText>
      </w:r>
      <w:r w:rsidR="00FA7E65" w:rsidRPr="008A3222">
        <w:instrText>”</w:instrText>
      </w:r>
      <w:r w:rsidR="002A21AE" w:rsidRPr="008A3222">
        <w:instrText xml:space="preserve"> </w:instrText>
      </w:r>
      <w:r w:rsidR="002A21AE" w:rsidRPr="008A3222">
        <w:fldChar w:fldCharType="end"/>
      </w:r>
      <w:r w:rsidR="002A21AE">
        <w:t xml:space="preserve"> </w:t>
      </w:r>
      <w:r w:rsidR="002A21AE">
        <w:rPr>
          <w:vanish/>
          <w:sz w:val="22"/>
        </w:rPr>
        <w:t>UC_84</w:t>
      </w:r>
    </w:p>
    <w:p w14:paraId="5E99CCCB" w14:textId="77777777" w:rsidR="002A21AE" w:rsidRDefault="002A21AE" w:rsidP="00FA7E65">
      <w:pPr>
        <w:pStyle w:val="BodyText"/>
      </w:pPr>
      <w:r>
        <w:t>VBECS notifies the user of new and updated patient orders.</w:t>
      </w:r>
    </w:p>
    <w:p w14:paraId="4D52682E" w14:textId="77777777" w:rsidR="002A21AE" w:rsidRDefault="002A21AE">
      <w:pPr>
        <w:pStyle w:val="Heading4"/>
      </w:pPr>
      <w:r>
        <w:t>Assumptions</w:t>
      </w:r>
      <w:r>
        <w:rPr>
          <w:b w:val="0"/>
        </w:rPr>
        <w:t xml:space="preserve"> </w:t>
      </w:r>
    </w:p>
    <w:p w14:paraId="6D737DC8" w14:textId="77777777" w:rsidR="002A21AE" w:rsidRDefault="002A21AE">
      <w:pPr>
        <w:pStyle w:val="ListBullet"/>
      </w:pPr>
      <w:r>
        <w:t xml:space="preserve">VBECS receives a new order or an order update message from </w:t>
      </w:r>
      <w:r w:rsidR="00CA0045" w:rsidRPr="00CA0045">
        <w:rPr>
          <w:bCs/>
        </w:rPr>
        <w:t>VistA</w:t>
      </w:r>
      <w:r>
        <w:t xml:space="preserve"> for the user’s division.</w:t>
      </w:r>
    </w:p>
    <w:p w14:paraId="02AD5008" w14:textId="77777777" w:rsidR="002A21AE" w:rsidRDefault="002A21AE">
      <w:pPr>
        <w:pStyle w:val="Heading4"/>
      </w:pPr>
      <w:r>
        <w:t xml:space="preserve">Outcome </w:t>
      </w:r>
    </w:p>
    <w:p w14:paraId="4DE3E573" w14:textId="77777777" w:rsidR="002A21AE" w:rsidRPr="000975BF" w:rsidRDefault="002A21AE">
      <w:pPr>
        <w:pStyle w:val="ListBullet"/>
        <w:rPr>
          <w:strike/>
        </w:rPr>
      </w:pPr>
      <w:r>
        <w:t>VBECS displays notification icons only to users logged into VBECS.</w:t>
      </w:r>
    </w:p>
    <w:p w14:paraId="3AE63C81" w14:textId="77777777" w:rsidR="002A21AE" w:rsidRDefault="002A21AE">
      <w:pPr>
        <w:pStyle w:val="Heading4"/>
      </w:pPr>
      <w:r>
        <w:t>Limitations and Restrictions</w:t>
      </w:r>
      <w:r>
        <w:rPr>
          <w:b w:val="0"/>
        </w:rPr>
        <w:t xml:space="preserve"> </w:t>
      </w:r>
    </w:p>
    <w:p w14:paraId="2DABF589" w14:textId="77777777" w:rsidR="00325067" w:rsidRDefault="002A21AE" w:rsidP="00971715">
      <w:pPr>
        <w:pStyle w:val="ListBullet"/>
      </w:pPr>
      <w:r>
        <w:t xml:space="preserve">VBECS </w:t>
      </w:r>
      <w:r w:rsidR="005B2BDB">
        <w:t>issues</w:t>
      </w:r>
      <w:r>
        <w:t xml:space="preserve"> no notifications </w:t>
      </w:r>
      <w:r w:rsidR="00B306AF">
        <w:t>for</w:t>
      </w:r>
      <w:r>
        <w:t xml:space="preserve"> order cancellations.</w:t>
      </w:r>
    </w:p>
    <w:p w14:paraId="5824E539" w14:textId="38F325B1" w:rsidR="00D40E35" w:rsidRPr="00C32C1A" w:rsidRDefault="008D7106" w:rsidP="00971715">
      <w:pPr>
        <w:pStyle w:val="ListBullet"/>
      </w:pPr>
      <w:r w:rsidRPr="00C32C1A">
        <w:t xml:space="preserve">The Order alert notification icon and functionality is disabled when VBECS is set to </w:t>
      </w:r>
      <w:r w:rsidR="005633D8">
        <w:t>Read-Only</w:t>
      </w:r>
      <w:r w:rsidRPr="00C32C1A">
        <w:t xml:space="preserve">. </w:t>
      </w:r>
    </w:p>
    <w:p w14:paraId="38F745FD" w14:textId="77777777" w:rsidR="002A21AE" w:rsidRDefault="002A21AE">
      <w:pPr>
        <w:pStyle w:val="Heading4"/>
      </w:pPr>
      <w:r>
        <w:t xml:space="preserve">Additional Information </w:t>
      </w:r>
    </w:p>
    <w:p w14:paraId="0144BDC0" w14:textId="77777777" w:rsidR="002A21AE" w:rsidRDefault="002A21AE">
      <w:pPr>
        <w:pStyle w:val="ListBullet"/>
      </w:pPr>
      <w:r>
        <w:rPr>
          <w:rFonts w:ascii="Arial" w:hAnsi="Arial" w:cs="Arial"/>
          <w:vanish/>
          <w:spacing w:val="0"/>
          <w:sz w:val="18"/>
        </w:rPr>
        <w:t xml:space="preserve">BR_84.12 </w:t>
      </w:r>
      <w:r>
        <w:t xml:space="preserve">The user may set VBECS to automatically print an order alert </w:t>
      </w:r>
      <w:r w:rsidR="00BC62B7">
        <w:t xml:space="preserve">with limited information </w:t>
      </w:r>
      <w:r>
        <w:t>on the designated printer when VBECS acknowledges the order.</w:t>
      </w:r>
    </w:p>
    <w:p w14:paraId="45302320" w14:textId="0F6D7995" w:rsidR="00DA5187" w:rsidRPr="008E2778" w:rsidRDefault="00DA5187">
      <w:pPr>
        <w:pStyle w:val="ListBullet"/>
      </w:pPr>
      <w:r w:rsidRPr="00971715">
        <w:rPr>
          <w:spacing w:val="0"/>
        </w:rPr>
        <w:t xml:space="preserve">The alert displays the individual test’s </w:t>
      </w:r>
      <w:r w:rsidR="00D059AF">
        <w:rPr>
          <w:spacing w:val="0"/>
        </w:rPr>
        <w:t xml:space="preserve">(child) </w:t>
      </w:r>
      <w:r w:rsidRPr="00971715">
        <w:rPr>
          <w:spacing w:val="0"/>
        </w:rPr>
        <w:t xml:space="preserve">CPRS </w:t>
      </w:r>
      <w:r w:rsidR="00177E10">
        <w:rPr>
          <w:spacing w:val="0"/>
        </w:rPr>
        <w:t xml:space="preserve">ID. The </w:t>
      </w:r>
      <w:r w:rsidR="004D735A">
        <w:rPr>
          <w:spacing w:val="0"/>
        </w:rPr>
        <w:t>individual test’s (</w:t>
      </w:r>
      <w:r w:rsidR="008C69E2">
        <w:rPr>
          <w:spacing w:val="0"/>
        </w:rPr>
        <w:t>child</w:t>
      </w:r>
      <w:r w:rsidR="004D735A">
        <w:rPr>
          <w:spacing w:val="0"/>
        </w:rPr>
        <w:t>)</w:t>
      </w:r>
      <w:r w:rsidR="008C69E2">
        <w:rPr>
          <w:spacing w:val="0"/>
        </w:rPr>
        <w:t xml:space="preserve"> </w:t>
      </w:r>
      <w:r w:rsidR="00177E10">
        <w:rPr>
          <w:spacing w:val="0"/>
        </w:rPr>
        <w:t xml:space="preserve">CPRS ID is not displayed </w:t>
      </w:r>
      <w:r w:rsidR="004D735A">
        <w:rPr>
          <w:spacing w:val="0"/>
        </w:rPr>
        <w:t xml:space="preserve">on the Pending Order List, </w:t>
      </w:r>
      <w:r w:rsidR="00177E10">
        <w:rPr>
          <w:spacing w:val="0"/>
        </w:rPr>
        <w:t>elsewhere in VBECS or on reports and is not usable in search functions</w:t>
      </w:r>
      <w:r w:rsidRPr="00971715">
        <w:rPr>
          <w:spacing w:val="0"/>
        </w:rPr>
        <w:t xml:space="preserve">. </w:t>
      </w:r>
      <w:r w:rsidRPr="00971715">
        <w:rPr>
          <w:vanish/>
          <w:spacing w:val="0"/>
        </w:rPr>
        <w:t>DR 4938</w:t>
      </w:r>
      <w:r w:rsidR="00282037">
        <w:rPr>
          <w:vanish/>
          <w:spacing w:val="0"/>
        </w:rPr>
        <w:t xml:space="preserve"> </w:t>
      </w:r>
      <w:r w:rsidR="00282037">
        <w:rPr>
          <w:spacing w:val="0"/>
        </w:rPr>
        <w:t xml:space="preserve">(See </w:t>
      </w:r>
      <w:r w:rsidR="00282037" w:rsidRPr="00423A7F">
        <w:rPr>
          <w:i/>
          <w:iCs/>
          <w:spacing w:val="0"/>
        </w:rPr>
        <w:t>FAQ CPRS VBECS Order Details</w:t>
      </w:r>
      <w:r w:rsidR="00282037">
        <w:rPr>
          <w:spacing w:val="0"/>
        </w:rPr>
        <w:t>)</w:t>
      </w:r>
    </w:p>
    <w:p w14:paraId="62C05B31" w14:textId="77777777" w:rsidR="002A21AE" w:rsidRDefault="002A21AE">
      <w:pPr>
        <w:pStyle w:val="Heading4"/>
        <w:rPr>
          <w:b w:val="0"/>
        </w:rPr>
      </w:pPr>
      <w:r>
        <w:t>User Roles with Access to This Option</w:t>
      </w:r>
      <w:r>
        <w:rPr>
          <w:b w:val="0"/>
        </w:rPr>
        <w:t xml:space="preserve"> </w:t>
      </w:r>
    </w:p>
    <w:p w14:paraId="08774092" w14:textId="77777777" w:rsidR="002A21AE" w:rsidRDefault="000F12D4">
      <w:pPr>
        <w:pStyle w:val="Roles"/>
        <w:rPr>
          <w:snapToGrid w:val="0"/>
        </w:rPr>
      </w:pPr>
      <w:r>
        <w:t>All users</w:t>
      </w:r>
    </w:p>
    <w:p w14:paraId="61F4C561" w14:textId="77777777" w:rsidR="002A21AE" w:rsidRDefault="002A21AE">
      <w:pPr>
        <w:pStyle w:val="Heading4"/>
      </w:pPr>
      <w:r>
        <w:t>Display Order Alerts</w:t>
      </w:r>
    </w:p>
    <w:p w14:paraId="0644F7C1" w14:textId="77777777" w:rsidR="002A21AE" w:rsidRDefault="002A21AE" w:rsidP="00FA7E65">
      <w:pPr>
        <w:pStyle w:val="BodyText"/>
      </w:pPr>
      <w:r>
        <w:t>VBECS notifies the user that order updates occurred and allows him to accept the new orders.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4CF9EE" w14:textId="77777777" w:rsidTr="003362FE">
        <w:trPr>
          <w:cantSplit/>
          <w:tblHeader/>
        </w:trPr>
        <w:tc>
          <w:tcPr>
            <w:tcW w:w="3240" w:type="dxa"/>
            <w:shd w:val="pct30" w:color="auto" w:fill="FFFFFF"/>
            <w:vAlign w:val="bottom"/>
          </w:tcPr>
          <w:p w14:paraId="1EE14E9A" w14:textId="77777777" w:rsidR="002A21AE" w:rsidRDefault="002A21AE">
            <w:pPr>
              <w:pStyle w:val="TableText"/>
              <w:rPr>
                <w:b/>
              </w:rPr>
            </w:pPr>
            <w:r>
              <w:rPr>
                <w:b/>
              </w:rPr>
              <w:lastRenderedPageBreak/>
              <w:t>User Action</w:t>
            </w:r>
          </w:p>
        </w:tc>
        <w:tc>
          <w:tcPr>
            <w:tcW w:w="6120" w:type="dxa"/>
            <w:shd w:val="pct30" w:color="auto" w:fill="FFFFFF"/>
            <w:vAlign w:val="bottom"/>
          </w:tcPr>
          <w:p w14:paraId="44913938" w14:textId="77777777" w:rsidR="002A21AE" w:rsidRDefault="002A21AE">
            <w:pPr>
              <w:pStyle w:val="TableText"/>
              <w:rPr>
                <w:b/>
              </w:rPr>
            </w:pPr>
            <w:r>
              <w:rPr>
                <w:b/>
              </w:rPr>
              <w:t>VBECS</w:t>
            </w:r>
          </w:p>
        </w:tc>
      </w:tr>
      <w:tr w:rsidR="002A21AE" w14:paraId="5183E467" w14:textId="77777777" w:rsidTr="003362FE">
        <w:trPr>
          <w:cantSplit/>
          <w:trHeight w:val="403"/>
        </w:trPr>
        <w:tc>
          <w:tcPr>
            <w:tcW w:w="3240" w:type="dxa"/>
          </w:tcPr>
          <w:p w14:paraId="2E1CD81C" w14:textId="77777777" w:rsidR="002A21AE" w:rsidRDefault="002A21AE">
            <w:pPr>
              <w:pStyle w:val="TableTextNumbers"/>
            </w:pPr>
            <w:r>
              <w:t xml:space="preserve">Hold the </w:t>
            </w:r>
            <w:r w:rsidRPr="003F3122">
              <w:rPr>
                <w:szCs w:val="18"/>
              </w:rPr>
              <w:t>mouse</w:t>
            </w:r>
            <w:r>
              <w:t xml:space="preserve"> over the </w:t>
            </w:r>
            <w:r w:rsidR="00DB3E37">
              <w:t>i</w:t>
            </w:r>
            <w:r>
              <w:t xml:space="preserve">con to view a tool tip, or </w:t>
            </w:r>
          </w:p>
          <w:p w14:paraId="239B69F0" w14:textId="77777777" w:rsidR="002A21AE" w:rsidRDefault="002A21AE">
            <w:pPr>
              <w:pStyle w:val="TableTextNumbersContinued"/>
            </w:pPr>
          </w:p>
          <w:p w14:paraId="1C3BE5C5" w14:textId="77777777" w:rsidR="002A21AE" w:rsidRDefault="002A21AE">
            <w:pPr>
              <w:pStyle w:val="TableTextNumbersContinued"/>
            </w:pPr>
            <w:r>
              <w:t xml:space="preserve">Click </w:t>
            </w:r>
            <w:r w:rsidR="00057948">
              <w:rPr>
                <w:noProof/>
              </w:rPr>
              <w:drawing>
                <wp:inline distT="0" distB="0" distL="0" distR="0" wp14:anchorId="5F46AAE2" wp14:editId="055E03C7">
                  <wp:extent cx="156845" cy="156845"/>
                  <wp:effectExtent l="0" t="0" r="0" b="0"/>
                  <wp:docPr id="214" name="Picture 214" descr="Order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Order Ale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a panel showing new or updated orders and hide the icon. </w:t>
            </w:r>
          </w:p>
          <w:p w14:paraId="40EA7847" w14:textId="77777777" w:rsidR="002A21AE" w:rsidRDefault="002A21AE">
            <w:pPr>
              <w:pStyle w:val="TableTextNumbersContinued"/>
            </w:pPr>
          </w:p>
          <w:p w14:paraId="7E152118" w14:textId="77777777" w:rsidR="002A21AE" w:rsidRDefault="002A21AE">
            <w:pPr>
              <w:pStyle w:val="TableTextNumbersContinued"/>
            </w:pPr>
            <w:r>
              <w:t xml:space="preserve">Click </w:t>
            </w:r>
            <w:r w:rsidR="00057948">
              <w:rPr>
                <w:noProof/>
              </w:rPr>
              <w:drawing>
                <wp:inline distT="0" distB="0" distL="0" distR="0" wp14:anchorId="3B3C999E" wp14:editId="26959567">
                  <wp:extent cx="156845" cy="156845"/>
                  <wp:effectExtent l="0" t="0" r="0" b="0"/>
                  <wp:docPr id="215" name="Picture 215" descr="Order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Order Ale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again to hide the panel.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BA385BD" w14:textId="77777777" w:rsidR="002A21AE" w:rsidRDefault="002A21AE">
            <w:pPr>
              <w:pStyle w:val="TableTextBullet"/>
            </w:pPr>
            <w:r>
              <w:t>Acknowledges a new or updated patient order.</w:t>
            </w:r>
          </w:p>
          <w:p w14:paraId="1B4E6C6B" w14:textId="77777777" w:rsidR="002A21AE" w:rsidRDefault="002A21AE">
            <w:pPr>
              <w:pStyle w:val="TableTextBullet"/>
            </w:pPr>
            <w:r>
              <w:t xml:space="preserve">Displays </w:t>
            </w:r>
            <w:r w:rsidR="00922AD8">
              <w:t>an</w:t>
            </w:r>
            <w:r>
              <w:t xml:space="preserve"> order notification icon in the status bar when new orders are received, according to local settings.</w:t>
            </w:r>
          </w:p>
          <w:p w14:paraId="2AA206A9" w14:textId="77777777" w:rsidR="002A21AE" w:rsidRDefault="002A21AE">
            <w:pPr>
              <w:pStyle w:val="TableTextBullet"/>
            </w:pPr>
            <w:r>
              <w:t>Displays information regarding new orders and order updates and allows the user to accept them.</w:t>
            </w:r>
          </w:p>
          <w:p w14:paraId="24E6474E" w14:textId="77777777" w:rsidR="002A21AE" w:rsidRDefault="002A21AE">
            <w:pPr>
              <w:pStyle w:val="TableText"/>
            </w:pPr>
          </w:p>
          <w:p w14:paraId="314A40DF" w14:textId="37FB0E95" w:rsidR="002A21AE" w:rsidRDefault="002A21AE">
            <w:pPr>
              <w:pStyle w:val="TableText"/>
              <w:rPr>
                <w:b/>
                <w:bCs/>
                <w:szCs w:val="18"/>
              </w:rPr>
            </w:pPr>
            <w:r>
              <w:rPr>
                <w:b/>
                <w:bCs/>
                <w:szCs w:val="18"/>
              </w:rPr>
              <w:t>NOTES</w:t>
            </w:r>
          </w:p>
          <w:p w14:paraId="08A77412" w14:textId="77777777" w:rsidR="002A21AE" w:rsidRDefault="002A21AE">
            <w:pPr>
              <w:pStyle w:val="NotesText"/>
            </w:pPr>
          </w:p>
          <w:p w14:paraId="1B1C8DD7" w14:textId="77777777" w:rsidR="002A21AE" w:rsidRDefault="002A21AE">
            <w:pPr>
              <w:pStyle w:val="NotesText"/>
            </w:pPr>
            <w:r>
              <w:rPr>
                <w:rFonts w:cs="Arial"/>
                <w:vanish/>
                <w:szCs w:val="18"/>
              </w:rPr>
              <w:t>BR_84.01</w:t>
            </w:r>
            <w:r w:rsidR="00CE3961">
              <w:rPr>
                <w:rFonts w:cs="Arial"/>
                <w:vanish/>
                <w:szCs w:val="18"/>
              </w:rPr>
              <w:t>,</w:t>
            </w:r>
            <w:r>
              <w:rPr>
                <w:rFonts w:cs="Arial"/>
                <w:vanish/>
                <w:szCs w:val="18"/>
              </w:rPr>
              <w:t xml:space="preserve"> </w:t>
            </w:r>
            <w:r>
              <w:rPr>
                <w:vanish/>
                <w:szCs w:val="18"/>
              </w:rPr>
              <w:t xml:space="preserve">BR_84.02 </w:t>
            </w:r>
            <w:r>
              <w:t>When the division is configured to alert the user of orders received by VBECS, VBECS notifies the user of ordered components or ordered tests that were:</w:t>
            </w:r>
          </w:p>
          <w:p w14:paraId="317A2688" w14:textId="77777777" w:rsidR="002A21AE" w:rsidRDefault="002A21AE">
            <w:pPr>
              <w:pStyle w:val="NotesTextBullet"/>
              <w:tabs>
                <w:tab w:val="clear" w:pos="1008"/>
                <w:tab w:val="num" w:pos="288"/>
              </w:tabs>
            </w:pPr>
            <w:r>
              <w:t>Directed to the user’s division.</w:t>
            </w:r>
          </w:p>
          <w:p w14:paraId="3624F670" w14:textId="77777777" w:rsidR="002A21AE" w:rsidRDefault="002A21AE">
            <w:pPr>
              <w:pStyle w:val="NotesTextBullet"/>
              <w:tabs>
                <w:tab w:val="clear" w:pos="1008"/>
                <w:tab w:val="num" w:pos="288"/>
              </w:tabs>
            </w:pPr>
            <w:r>
              <w:t xml:space="preserve">Added or updated in </w:t>
            </w:r>
            <w:r w:rsidR="00CA0045" w:rsidRPr="00CA0045">
              <w:rPr>
                <w:bCs/>
              </w:rPr>
              <w:t>VistA</w:t>
            </w:r>
            <w:r w:rsidR="001F3AD5">
              <w:rPr>
                <w:bCs/>
              </w:rPr>
              <w:t xml:space="preserve"> since the system last checked</w:t>
            </w:r>
            <w:r>
              <w:t>.</w:t>
            </w:r>
          </w:p>
          <w:p w14:paraId="430F0805" w14:textId="77777777" w:rsidR="002A21AE" w:rsidRDefault="002A21AE">
            <w:pPr>
              <w:pStyle w:val="NotesText"/>
            </w:pPr>
          </w:p>
          <w:p w14:paraId="32B37FC9" w14:textId="77777777" w:rsidR="002A21AE" w:rsidRDefault="002A21AE">
            <w:pPr>
              <w:pStyle w:val="NotesText"/>
            </w:pPr>
            <w:r>
              <w:t xml:space="preserve">When the division is configured to alert the user of orders needed in the next </w:t>
            </w:r>
            <w:r w:rsidR="00D923F9">
              <w:t>specified</w:t>
            </w:r>
            <w:r>
              <w:t xml:space="preserve"> number of hours, VBECS also notifies the user of ordered components or ordered tests with a required time less than a </w:t>
            </w:r>
            <w:r w:rsidR="00D923F9">
              <w:t xml:space="preserve">specified </w:t>
            </w:r>
            <w:r>
              <w:t>number of hours in the future.</w:t>
            </w:r>
          </w:p>
          <w:p w14:paraId="2B39FEF0" w14:textId="77777777" w:rsidR="00B46D6D" w:rsidRDefault="00B46D6D">
            <w:pPr>
              <w:pStyle w:val="NotesText"/>
            </w:pPr>
          </w:p>
          <w:p w14:paraId="6AF60A83" w14:textId="77777777" w:rsidR="00B46D6D" w:rsidRDefault="00B46D6D" w:rsidP="00B46D6D">
            <w:pPr>
              <w:pStyle w:val="TableText"/>
              <w:ind w:left="720"/>
            </w:pPr>
            <w:r w:rsidRPr="00B46D6D">
              <w:rPr>
                <w:vanish/>
              </w:rPr>
              <w:t>BR_84.04</w:t>
            </w:r>
            <w:r w:rsidR="00EA5FF4">
              <w:rPr>
                <w:vanish/>
              </w:rPr>
              <w:t xml:space="preserve"> </w:t>
            </w:r>
            <w:r>
              <w:t>The system displays the following information for each entry in the summary:</w:t>
            </w:r>
          </w:p>
          <w:p w14:paraId="7BFE2ECF" w14:textId="77777777" w:rsidR="00B46D6D" w:rsidRDefault="00B46D6D" w:rsidP="00925CAD">
            <w:pPr>
              <w:pStyle w:val="TableText"/>
              <w:numPr>
                <w:ilvl w:val="0"/>
                <w:numId w:val="52"/>
              </w:numPr>
              <w:ind w:left="1440"/>
            </w:pPr>
            <w:r>
              <w:t>Urgency</w:t>
            </w:r>
          </w:p>
          <w:p w14:paraId="6156B8B4" w14:textId="77777777" w:rsidR="00B46D6D" w:rsidRDefault="00B46D6D" w:rsidP="00925CAD">
            <w:pPr>
              <w:pStyle w:val="TableText"/>
              <w:numPr>
                <w:ilvl w:val="0"/>
                <w:numId w:val="52"/>
              </w:numPr>
              <w:ind w:left="1440"/>
            </w:pPr>
            <w:r>
              <w:t>Patient Name</w:t>
            </w:r>
          </w:p>
          <w:p w14:paraId="56F8B4D2" w14:textId="77777777" w:rsidR="00B46D6D" w:rsidRDefault="00B46D6D" w:rsidP="00925CAD">
            <w:pPr>
              <w:pStyle w:val="TableText"/>
              <w:numPr>
                <w:ilvl w:val="0"/>
                <w:numId w:val="52"/>
              </w:numPr>
              <w:ind w:left="1440"/>
            </w:pPr>
            <w:r>
              <w:t>Patient ID</w:t>
            </w:r>
          </w:p>
          <w:p w14:paraId="1E3DB78E" w14:textId="77777777" w:rsidR="00B46D6D" w:rsidRDefault="00B46D6D" w:rsidP="00925CAD">
            <w:pPr>
              <w:pStyle w:val="TableText"/>
              <w:numPr>
                <w:ilvl w:val="0"/>
                <w:numId w:val="52"/>
              </w:numPr>
              <w:ind w:left="1440"/>
            </w:pPr>
            <w:r>
              <w:t>Ordered Item</w:t>
            </w:r>
          </w:p>
          <w:p w14:paraId="40B77F34" w14:textId="77777777" w:rsidR="00B46D6D" w:rsidRDefault="00B46D6D" w:rsidP="00925CAD">
            <w:pPr>
              <w:pStyle w:val="TableText"/>
              <w:numPr>
                <w:ilvl w:val="0"/>
                <w:numId w:val="52"/>
              </w:numPr>
              <w:ind w:left="1440"/>
            </w:pPr>
            <w:r>
              <w:t>Wanted Date</w:t>
            </w:r>
          </w:p>
          <w:p w14:paraId="5A97C5B5" w14:textId="77777777" w:rsidR="00B46D6D" w:rsidRDefault="00B46D6D" w:rsidP="00925CAD">
            <w:pPr>
              <w:pStyle w:val="TableText"/>
              <w:numPr>
                <w:ilvl w:val="0"/>
                <w:numId w:val="52"/>
              </w:numPr>
              <w:ind w:left="1440"/>
            </w:pPr>
            <w:r>
              <w:t>Lab Order ID</w:t>
            </w:r>
          </w:p>
          <w:p w14:paraId="0B88861A" w14:textId="77777777" w:rsidR="00B46D6D" w:rsidRDefault="00B46D6D" w:rsidP="00925CAD">
            <w:pPr>
              <w:pStyle w:val="TableText"/>
              <w:numPr>
                <w:ilvl w:val="0"/>
                <w:numId w:val="52"/>
              </w:numPr>
              <w:ind w:left="1440"/>
            </w:pPr>
            <w:r>
              <w:t>CPRS Order ID</w:t>
            </w:r>
          </w:p>
          <w:p w14:paraId="0F8D42A7" w14:textId="77777777" w:rsidR="00B46D6D" w:rsidRDefault="00B46D6D" w:rsidP="00B46D6D">
            <w:pPr>
              <w:pStyle w:val="NotesText"/>
            </w:pPr>
          </w:p>
          <w:p w14:paraId="3942C4C7" w14:textId="77777777" w:rsidR="00B46D6D" w:rsidRDefault="00B46D6D" w:rsidP="00B46D6D">
            <w:pPr>
              <w:pStyle w:val="NotesText"/>
            </w:pPr>
            <w:r w:rsidRPr="00B46D6D">
              <w:rPr>
                <w:vanish/>
              </w:rPr>
              <w:t>BR_84.05</w:t>
            </w:r>
            <w:r w:rsidR="00EA5FF4">
              <w:rPr>
                <w:vanish/>
              </w:rPr>
              <w:t xml:space="preserve"> </w:t>
            </w:r>
            <w:r>
              <w:t>If the notification icon was already visible, the system appends new notification information to the summary. If it was not visible, the system displays only the new notification information in the summary.</w:t>
            </w:r>
          </w:p>
        </w:tc>
      </w:tr>
    </w:tbl>
    <w:p w14:paraId="6082CB31" w14:textId="77777777" w:rsidR="00A47414" w:rsidRDefault="00A47414" w:rsidP="0072673B">
      <w:pPr>
        <w:pStyle w:val="Heading3"/>
      </w:pPr>
    </w:p>
    <w:p w14:paraId="3E7C5C4A" w14:textId="77777777" w:rsidR="00A47414" w:rsidRDefault="00A47414">
      <w:pPr>
        <w:rPr>
          <w:rFonts w:ascii="Arial" w:hAnsi="Arial" w:cs="Arial"/>
          <w:b/>
          <w:bCs/>
          <w:sz w:val="26"/>
          <w:szCs w:val="26"/>
        </w:rPr>
      </w:pPr>
      <w:r>
        <w:br w:type="page"/>
      </w:r>
    </w:p>
    <w:p w14:paraId="6CDA990F" w14:textId="19312039" w:rsidR="00A47414" w:rsidRDefault="00A47414" w:rsidP="00A47414">
      <w:pPr>
        <w:pStyle w:val="Heading3"/>
      </w:pPr>
      <w:bookmarkStart w:id="426" w:name="_Toc163644935"/>
      <w:r w:rsidRPr="00A47414">
        <w:lastRenderedPageBreak/>
        <w:t>CPRS Order Status Alert</w:t>
      </w:r>
      <w:bookmarkEnd w:id="426"/>
      <w:r w:rsidRPr="00A47414">
        <w:fldChar w:fldCharType="begin"/>
      </w:r>
      <w:r w:rsidRPr="00A47414">
        <w:instrText xml:space="preserve"> XE “</w:instrText>
      </w:r>
      <w:r>
        <w:instrText>CPRS</w:instrText>
      </w:r>
      <w:r w:rsidRPr="00A47414">
        <w:instrText xml:space="preserve"> Order </w:instrText>
      </w:r>
      <w:r>
        <w:instrText xml:space="preserve">Status </w:instrText>
      </w:r>
      <w:r w:rsidRPr="00A47414">
        <w:instrText xml:space="preserve">Alert” </w:instrText>
      </w:r>
      <w:r w:rsidRPr="00A47414">
        <w:fldChar w:fldCharType="end"/>
      </w:r>
      <w:r w:rsidR="00CD5A0C">
        <w:t xml:space="preserve"> </w:t>
      </w:r>
      <w:r w:rsidR="00CD5A0C" w:rsidRPr="00CD5A0C">
        <w:rPr>
          <w:rFonts w:ascii="Arial Bold" w:hAnsi="Arial Bold"/>
          <w:vanish/>
        </w:rPr>
        <w:t>UC_84</w:t>
      </w:r>
    </w:p>
    <w:p w14:paraId="192EB795" w14:textId="2D871563" w:rsidR="00A47414" w:rsidRDefault="00A47414" w:rsidP="00A47414">
      <w:pPr>
        <w:pStyle w:val="BodyText"/>
      </w:pPr>
      <w:r>
        <w:t>An order’s status changes when it is a</w:t>
      </w:r>
      <w:r w:rsidRPr="0096379E">
        <w:t>ccepted, completed or cance</w:t>
      </w:r>
      <w:r w:rsidR="002F7E19">
        <w:t>l</w:t>
      </w:r>
      <w:r w:rsidRPr="0096379E">
        <w:t>led</w:t>
      </w:r>
      <w:r>
        <w:t xml:space="preserve">. </w:t>
      </w:r>
      <w:r w:rsidRPr="0096379E">
        <w:t xml:space="preserve">VBECS </w:t>
      </w:r>
      <w:r>
        <w:t xml:space="preserve">transmits these status changes to CPRS using a message queueing system so that CPRS reflects the same order status as VBECS. If the status transmission is successful, that message is removed from the queue, otherwise it stays for additional attempts. The </w:t>
      </w:r>
      <w:r w:rsidRPr="00796543">
        <w:rPr>
          <w:i/>
        </w:rPr>
        <w:t>CPRS Order Status Alert</w:t>
      </w:r>
      <w:r w:rsidRPr="00796543">
        <w:t xml:space="preserve"> (</w:t>
      </w:r>
      <w:r w:rsidR="00EE455E">
        <w:t xml:space="preserve">Figure </w:t>
      </w:r>
      <w:r w:rsidR="00EE455E">
        <w:rPr>
          <w:noProof/>
        </w:rPr>
        <w:t>87</w:t>
      </w:r>
      <w:r w:rsidRPr="00796543">
        <w:t>)</w:t>
      </w:r>
      <w:r>
        <w:t xml:space="preserve"> indicates the current transmission status by displaying one of the following icons:</w:t>
      </w:r>
    </w:p>
    <w:p w14:paraId="30458E98" w14:textId="77777777" w:rsidR="00A47414" w:rsidRDefault="00A47414" w:rsidP="00A47414">
      <w:pPr>
        <w:pStyle w:val="BodyText"/>
      </w:pPr>
      <w:r w:rsidRPr="00CE404D">
        <w:rPr>
          <w:b/>
          <w:noProof/>
        </w:rPr>
        <w:drawing>
          <wp:inline distT="0" distB="0" distL="0" distR="0" wp14:anchorId="1B5A36B3" wp14:editId="16F86638">
            <wp:extent cx="161925" cy="161925"/>
            <wp:effectExtent l="0" t="0" r="9525" b="9525"/>
            <wp:docPr id="22" name="Picture 3" descr="CPRS Communication 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CPRS Communication Error ic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E404D">
        <w:rPr>
          <w:b/>
        </w:rPr>
        <w:t xml:space="preserve"> </w:t>
      </w:r>
      <w:r>
        <w:rPr>
          <w:b/>
        </w:rPr>
        <w:t>CPRS Communications Error</w:t>
      </w:r>
      <w:r w:rsidRPr="00C81B15">
        <w:t>.</w:t>
      </w:r>
      <w:r>
        <w:t xml:space="preserve"> Some orders in CPRS will not reflect the same status as VBECS. Contact Customer Support to have the issue investigated and resolved. Most problems can typically be resolved by restarting the VBECS-OERR HL7 link in VistA.</w:t>
      </w:r>
    </w:p>
    <w:p w14:paraId="777C3149" w14:textId="40B305D3" w:rsidR="00A47414" w:rsidRDefault="00A47414" w:rsidP="00A47414">
      <w:pPr>
        <w:pStyle w:val="BodyText"/>
      </w:pPr>
      <w:r w:rsidRPr="00CE404D">
        <w:rPr>
          <w:b/>
          <w:noProof/>
        </w:rPr>
        <w:drawing>
          <wp:inline distT="0" distB="0" distL="0" distR="0" wp14:anchorId="36066409" wp14:editId="0AF20113">
            <wp:extent cx="152400" cy="152400"/>
            <wp:effectExtent l="0" t="0" r="0" b="0"/>
            <wp:docPr id="34" name="Picture 34" descr="CPRS Communication Go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PRS Communication Good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E404D">
        <w:rPr>
          <w:b/>
        </w:rPr>
        <w:t xml:space="preserve"> </w:t>
      </w:r>
      <w:r>
        <w:rPr>
          <w:b/>
        </w:rPr>
        <w:t>CPRS Communications Good</w:t>
      </w:r>
      <w:r w:rsidRPr="00CE404D">
        <w:t>.</w:t>
      </w:r>
      <w:r>
        <w:rPr>
          <w:b/>
        </w:rPr>
        <w:t xml:space="preserve"> </w:t>
      </w:r>
      <w:r w:rsidRPr="00CE404D">
        <w:t>All VBECS order</w:t>
      </w:r>
      <w:r>
        <w:t xml:space="preserve"> status message</w:t>
      </w:r>
      <w:r w:rsidR="00C96CC3">
        <w:t>s</w:t>
      </w:r>
      <w:r>
        <w:t xml:space="preserve"> have been sent to CPRS.</w:t>
      </w:r>
    </w:p>
    <w:p w14:paraId="0F050126" w14:textId="32DF4268" w:rsidR="00A47414" w:rsidRDefault="00A47414" w:rsidP="00A47414">
      <w:pPr>
        <w:pStyle w:val="Caption"/>
      </w:pPr>
      <w:bookmarkStart w:id="427" w:name="_Ref18050663"/>
      <w:r>
        <w:t xml:space="preserve">Figure </w:t>
      </w:r>
      <w:r>
        <w:rPr>
          <w:noProof/>
        </w:rPr>
        <w:fldChar w:fldCharType="begin"/>
      </w:r>
      <w:r>
        <w:rPr>
          <w:noProof/>
        </w:rPr>
        <w:instrText xml:space="preserve"> SEQ Figure \* ARABIC </w:instrText>
      </w:r>
      <w:r>
        <w:rPr>
          <w:noProof/>
        </w:rPr>
        <w:fldChar w:fldCharType="separate"/>
      </w:r>
      <w:r w:rsidR="00E2140B">
        <w:rPr>
          <w:noProof/>
        </w:rPr>
        <w:t>88</w:t>
      </w:r>
      <w:r>
        <w:rPr>
          <w:noProof/>
        </w:rPr>
        <w:fldChar w:fldCharType="end"/>
      </w:r>
      <w:bookmarkEnd w:id="427"/>
      <w:r>
        <w:t>: Example of the CPRS Order Status Alert</w:t>
      </w:r>
    </w:p>
    <w:p w14:paraId="4E09C73A" w14:textId="77777777" w:rsidR="00A47414" w:rsidRDefault="00A47414" w:rsidP="00A47414">
      <w:pPr>
        <w:pStyle w:val="BodyText"/>
      </w:pPr>
      <w:r>
        <w:rPr>
          <w:noProof/>
        </w:rPr>
        <w:drawing>
          <wp:inline distT="0" distB="0" distL="0" distR="0" wp14:anchorId="45993D67" wp14:editId="733FC2EA">
            <wp:extent cx="5943600" cy="1752600"/>
            <wp:effectExtent l="0" t="0" r="0" b="0"/>
            <wp:docPr id="36" name="Picture 36" descr="Example of CPRS Order Status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of CPRS Order Status Alert screen captur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19CC8C31" w14:textId="77777777" w:rsidR="00A47414" w:rsidRDefault="00A47414" w:rsidP="00A47414">
      <w:pPr>
        <w:pStyle w:val="Heading4"/>
      </w:pPr>
      <w:r>
        <w:t xml:space="preserve">Additional Information </w:t>
      </w:r>
    </w:p>
    <w:p w14:paraId="572AF463" w14:textId="77777777" w:rsidR="00A47414" w:rsidRPr="00341658" w:rsidRDefault="00A47414" w:rsidP="00A47414">
      <w:pPr>
        <w:pStyle w:val="ListBullet"/>
      </w:pPr>
      <w:r>
        <w:rPr>
          <w:rFonts w:ascii="Arial" w:hAnsi="Arial" w:cs="Arial"/>
          <w:vanish/>
          <w:spacing w:val="0"/>
          <w:sz w:val="18"/>
        </w:rPr>
        <w:t xml:space="preserve">BR_84.12 </w:t>
      </w:r>
      <w:r w:rsidRPr="00341658">
        <w:rPr>
          <w:spacing w:val="0"/>
        </w:rPr>
        <w:t xml:space="preserve">The </w:t>
      </w:r>
      <w:r w:rsidRPr="00796543">
        <w:rPr>
          <w:i/>
          <w:spacing w:val="0"/>
        </w:rPr>
        <w:t>CPRS Order Status Alert</w:t>
      </w:r>
      <w:r w:rsidRPr="00341658">
        <w:rPr>
          <w:spacing w:val="0"/>
        </w:rPr>
        <w:t xml:space="preserve"> checks for pending transmission messages when VBECS is started and </w:t>
      </w:r>
      <w:r>
        <w:rPr>
          <w:spacing w:val="0"/>
        </w:rPr>
        <w:t>will then refresh/recheck e</w:t>
      </w:r>
      <w:r w:rsidRPr="00341658">
        <w:rPr>
          <w:spacing w:val="0"/>
        </w:rPr>
        <w:t xml:space="preserve">very 10 minutes. The </w:t>
      </w:r>
      <w:r>
        <w:rPr>
          <w:spacing w:val="0"/>
        </w:rPr>
        <w:t xml:space="preserve">10-minute </w:t>
      </w:r>
      <w:r w:rsidRPr="00341658">
        <w:rPr>
          <w:spacing w:val="0"/>
        </w:rPr>
        <w:t>refresh interval is not configurable.</w:t>
      </w:r>
    </w:p>
    <w:p w14:paraId="25EE69D6" w14:textId="77777777" w:rsidR="00A47414" w:rsidRPr="00341658" w:rsidRDefault="00A47414" w:rsidP="00A47414">
      <w:pPr>
        <w:pStyle w:val="ListBullet"/>
      </w:pPr>
      <w:r>
        <w:t xml:space="preserve">Hovering over the alert icon will display a tooltip indicating </w:t>
      </w:r>
      <w:r w:rsidRPr="00341658">
        <w:t xml:space="preserve">how many messages (if any) </w:t>
      </w:r>
      <w:r>
        <w:t>were pending at the time of the last refresh,</w:t>
      </w:r>
      <w:r w:rsidRPr="00341658">
        <w:t xml:space="preserve"> as well as the </w:t>
      </w:r>
      <w:r>
        <w:t>time of the n</w:t>
      </w:r>
      <w:r w:rsidRPr="00341658">
        <w:t xml:space="preserve">ext </w:t>
      </w:r>
      <w:r>
        <w:t>refresh.</w:t>
      </w:r>
    </w:p>
    <w:p w14:paraId="465EF17C" w14:textId="77777777" w:rsidR="00A47414" w:rsidRPr="00341658" w:rsidRDefault="00A47414" w:rsidP="00A47414">
      <w:pPr>
        <w:pStyle w:val="ListBullet"/>
      </w:pPr>
      <w:r w:rsidRPr="00341658">
        <w:rPr>
          <w:vanish/>
          <w:spacing w:val="0"/>
        </w:rPr>
        <w:t>HoHover</w:t>
      </w:r>
      <w:r w:rsidRPr="00341658">
        <w:t>Order status messages are processed by the following service</w:t>
      </w:r>
      <w:r>
        <w:t>s:</w:t>
      </w:r>
    </w:p>
    <w:p w14:paraId="43630B79" w14:textId="77777777" w:rsidR="00A47414" w:rsidRPr="00341658" w:rsidRDefault="00A47414" w:rsidP="00A47414">
      <w:pPr>
        <w:pStyle w:val="ListBullet"/>
        <w:numPr>
          <w:ilvl w:val="1"/>
          <w:numId w:val="15"/>
        </w:numPr>
      </w:pPr>
      <w:r w:rsidRPr="00341658">
        <w:rPr>
          <w:vanish/>
          <w:spacing w:val="0"/>
        </w:rPr>
        <w:t>Se</w:t>
      </w:r>
      <w:r w:rsidRPr="00341658">
        <w:rPr>
          <w:b/>
          <w:spacing w:val="0"/>
        </w:rPr>
        <w:t>Sender</w:t>
      </w:r>
      <w:r w:rsidRPr="00341658">
        <w:rPr>
          <w:spacing w:val="0"/>
        </w:rPr>
        <w:t>: CPRS HL7 OERR (VBECS Interface</w:t>
      </w:r>
      <w:r>
        <w:rPr>
          <w:spacing w:val="0"/>
        </w:rPr>
        <w:t xml:space="preserve"> / Windows Service</w:t>
      </w:r>
      <w:r w:rsidRPr="00341658">
        <w:rPr>
          <w:spacing w:val="0"/>
        </w:rPr>
        <w:t>)</w:t>
      </w:r>
    </w:p>
    <w:p w14:paraId="49BBEA3D" w14:textId="77777777" w:rsidR="00A47414" w:rsidRDefault="00A47414" w:rsidP="00A47414">
      <w:pPr>
        <w:pStyle w:val="ListBullet"/>
        <w:numPr>
          <w:ilvl w:val="1"/>
          <w:numId w:val="15"/>
        </w:numPr>
      </w:pPr>
      <w:r w:rsidRPr="00341658">
        <w:rPr>
          <w:b/>
        </w:rPr>
        <w:t>Listener</w:t>
      </w:r>
      <w:r w:rsidRPr="00341658">
        <w:t>: VBECS-OERR (VistA HL7 Logical Link)</w:t>
      </w:r>
    </w:p>
    <w:p w14:paraId="4915F25D" w14:textId="77777777" w:rsidR="00A47414" w:rsidRPr="00341658" w:rsidRDefault="00A47414" w:rsidP="00A47414">
      <w:pPr>
        <w:pStyle w:val="ListBullet"/>
        <w:numPr>
          <w:ilvl w:val="0"/>
          <w:numId w:val="0"/>
        </w:numPr>
        <w:ind w:left="648" w:hanging="360"/>
      </w:pPr>
      <w:r>
        <w:t xml:space="preserve">Refer to the </w:t>
      </w:r>
      <w:r w:rsidRPr="00CE404D">
        <w:rPr>
          <w:i/>
        </w:rPr>
        <w:t>VBECS Administrator User Guide</w:t>
      </w:r>
      <w:r>
        <w:t xml:space="preserve"> for additional information on VBECS interfaces.</w:t>
      </w:r>
    </w:p>
    <w:p w14:paraId="69FFA935" w14:textId="77777777" w:rsidR="00A47414" w:rsidRDefault="00A47414" w:rsidP="00A47414">
      <w:pPr>
        <w:pStyle w:val="Heading4"/>
        <w:rPr>
          <w:b w:val="0"/>
        </w:rPr>
      </w:pPr>
      <w:r>
        <w:t>User Roles with Access to This Option</w:t>
      </w:r>
      <w:r>
        <w:rPr>
          <w:b w:val="0"/>
        </w:rPr>
        <w:t xml:space="preserve"> </w:t>
      </w:r>
    </w:p>
    <w:p w14:paraId="100B44C7" w14:textId="77777777" w:rsidR="00A47414" w:rsidRDefault="00A47414" w:rsidP="00A47414">
      <w:pPr>
        <w:pStyle w:val="Roles"/>
        <w:rPr>
          <w:snapToGrid w:val="0"/>
        </w:rPr>
      </w:pPr>
      <w:r>
        <w:t>All users</w:t>
      </w:r>
    </w:p>
    <w:p w14:paraId="4BDE22A7" w14:textId="14B9FF1B" w:rsidR="002A21AE" w:rsidRDefault="0072673B" w:rsidP="0072673B">
      <w:pPr>
        <w:pStyle w:val="Heading3"/>
      </w:pPr>
      <w:r>
        <w:br w:type="page"/>
      </w:r>
      <w:bookmarkStart w:id="428" w:name="_Toc163644936"/>
      <w:r w:rsidR="00057948">
        <w:rPr>
          <w:noProof/>
        </w:rPr>
        <w:lastRenderedPageBreak/>
        <w:drawing>
          <wp:inline distT="0" distB="0" distL="0" distR="0" wp14:anchorId="48474372" wp14:editId="2E536154">
            <wp:extent cx="166370" cy="156845"/>
            <wp:effectExtent l="0" t="0" r="5080" b="0"/>
            <wp:docPr id="216" name="Picture 216"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Display Patient Update Alerts</w:t>
      </w:r>
      <w:bookmarkEnd w:id="428"/>
      <w:r w:rsidR="002A21AE">
        <w:fldChar w:fldCharType="begin"/>
      </w:r>
      <w:r w:rsidR="002A21AE">
        <w:instrText xml:space="preserve"> XE </w:instrText>
      </w:r>
      <w:r w:rsidR="00FA7E65">
        <w:instrText>“</w:instrText>
      </w:r>
      <w:r w:rsidR="002A21AE">
        <w:instrText>Display Patient Update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23E43557" w14:textId="77777777" w:rsidR="002A21AE" w:rsidRDefault="002A21AE" w:rsidP="00FA7E65">
      <w:pPr>
        <w:pStyle w:val="BodyText"/>
      </w:pPr>
      <w:r>
        <w:t xml:space="preserve">VBECS notifies the user of patient update, death, and merge events. </w:t>
      </w:r>
    </w:p>
    <w:p w14:paraId="04DF07D3" w14:textId="77777777" w:rsidR="002A21AE" w:rsidRDefault="002A21AE">
      <w:pPr>
        <w:pStyle w:val="Heading4"/>
      </w:pPr>
      <w:r>
        <w:t>Assumptions</w:t>
      </w:r>
      <w:r>
        <w:rPr>
          <w:b w:val="0"/>
        </w:rPr>
        <w:t xml:space="preserve"> </w:t>
      </w:r>
    </w:p>
    <w:p w14:paraId="7B3BEC7C" w14:textId="77777777" w:rsidR="002A21AE" w:rsidRDefault="002A21AE">
      <w:pPr>
        <w:pStyle w:val="ListBullet"/>
      </w:pPr>
      <w:r>
        <w:t xml:space="preserve">A patient demographic update is received from </w:t>
      </w:r>
      <w:r w:rsidR="00CA0045" w:rsidRPr="00CA0045">
        <w:rPr>
          <w:bCs/>
        </w:rPr>
        <w:t>VistA</w:t>
      </w:r>
      <w:r>
        <w:t xml:space="preserve"> for the user’s division for a VBECS patient with an active order.</w:t>
      </w:r>
    </w:p>
    <w:p w14:paraId="44EC5226" w14:textId="77777777" w:rsidR="002A21AE" w:rsidRDefault="002A21AE">
      <w:pPr>
        <w:pStyle w:val="Heading4"/>
      </w:pPr>
      <w:r>
        <w:t xml:space="preserve">Outcome </w:t>
      </w:r>
    </w:p>
    <w:p w14:paraId="39185472" w14:textId="77777777" w:rsidR="002A21AE" w:rsidRDefault="002A21AE">
      <w:pPr>
        <w:pStyle w:val="ListBullet"/>
      </w:pPr>
      <w:r>
        <w:t>The patient demographics are updated in VBECS.</w:t>
      </w:r>
    </w:p>
    <w:p w14:paraId="756C6EAE" w14:textId="77777777" w:rsidR="002A21AE" w:rsidRDefault="002A21AE">
      <w:pPr>
        <w:pStyle w:val="Heading4"/>
        <w:rPr>
          <w:b w:val="0"/>
        </w:rPr>
      </w:pPr>
      <w:r>
        <w:t>Limitations and Restrictions</w:t>
      </w:r>
      <w:r>
        <w:rPr>
          <w:b w:val="0"/>
        </w:rPr>
        <w:t xml:space="preserve"> </w:t>
      </w:r>
    </w:p>
    <w:p w14:paraId="5BDEFE2C" w14:textId="77777777" w:rsidR="00425BC3" w:rsidRDefault="00425BC3" w:rsidP="00425BC3">
      <w:pPr>
        <w:pStyle w:val="ListBulle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p w14:paraId="14C9CCA8" w14:textId="77777777" w:rsidR="00562E66" w:rsidRDefault="00562E66" w:rsidP="00562E66">
      <w:pPr>
        <w:pStyle w:val="ListBulle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1CBD0760" w14:textId="77777777" w:rsidR="001C13FD" w:rsidRPr="003A360F" w:rsidRDefault="001C13FD" w:rsidP="00562E66">
      <w:pPr>
        <w:pStyle w:val="ListBullet"/>
      </w:pPr>
      <w:r w:rsidRPr="003A360F">
        <w:t xml:space="preserve">Patient update alerts only display when </w:t>
      </w:r>
      <w:r w:rsidR="001F1E91">
        <w:t xml:space="preserve">active </w:t>
      </w:r>
      <w:r w:rsidRPr="003A360F">
        <w:t xml:space="preserve">component </w:t>
      </w:r>
      <w:r w:rsidR="001F1E91">
        <w:t xml:space="preserve">or diagnostic test </w:t>
      </w:r>
      <w:r w:rsidRPr="003A360F">
        <w:t xml:space="preserve">orders are </w:t>
      </w:r>
      <w:r w:rsidR="00802EE9">
        <w:t xml:space="preserve">pending or </w:t>
      </w:r>
      <w:r w:rsidRPr="003A360F">
        <w:t>active</w:t>
      </w:r>
      <w:r w:rsidR="00F60A24">
        <w:rPr>
          <w:rStyle w:val="FootnoteReference"/>
        </w:rPr>
        <w:footnoteReference w:id="3"/>
      </w:r>
      <w:r w:rsidRPr="003A360F">
        <w:t xml:space="preserve"> at the time the update occurs.</w:t>
      </w:r>
      <w:r w:rsidR="00F15743" w:rsidRPr="003A360F">
        <w:t xml:space="preserve"> </w:t>
      </w:r>
      <w:r w:rsidR="00F15743" w:rsidRPr="003A360F">
        <w:rPr>
          <w:vanish/>
        </w:rPr>
        <w:t>DR 4323</w:t>
      </w:r>
      <w:r w:rsidR="001F1E91">
        <w:rPr>
          <w:vanish/>
        </w:rPr>
        <w:t xml:space="preserve"> BR_68.02</w:t>
      </w:r>
    </w:p>
    <w:p w14:paraId="1AD0A626" w14:textId="77777777" w:rsidR="002A21AE" w:rsidRDefault="002A21AE">
      <w:pPr>
        <w:pStyle w:val="Heading4"/>
      </w:pPr>
      <w:r>
        <w:t xml:space="preserve">Additional Information </w:t>
      </w:r>
    </w:p>
    <w:p w14:paraId="5182C317" w14:textId="77777777" w:rsidR="002A21AE" w:rsidRDefault="002A21AE">
      <w:pPr>
        <w:pStyle w:val="ListBullet"/>
      </w:pPr>
      <w:r>
        <w:t>None</w:t>
      </w:r>
    </w:p>
    <w:p w14:paraId="2083278B" w14:textId="77777777" w:rsidR="002A21AE" w:rsidRDefault="002A21AE">
      <w:pPr>
        <w:pStyle w:val="Heading4"/>
        <w:rPr>
          <w:b w:val="0"/>
        </w:rPr>
      </w:pPr>
      <w:r>
        <w:t>User Roles with Access to This Option</w:t>
      </w:r>
      <w:r>
        <w:rPr>
          <w:b w:val="0"/>
        </w:rPr>
        <w:t xml:space="preserve"> </w:t>
      </w:r>
    </w:p>
    <w:p w14:paraId="6290BF55" w14:textId="77777777" w:rsidR="002A21AE" w:rsidRDefault="00DF031C">
      <w:pPr>
        <w:pStyle w:val="Roles"/>
        <w:rPr>
          <w:snapToGrid w:val="0"/>
        </w:rPr>
      </w:pPr>
      <w:r>
        <w:t>All users</w:t>
      </w:r>
    </w:p>
    <w:p w14:paraId="660916CA" w14:textId="3AC294DF" w:rsidR="002A21AE" w:rsidRDefault="002A21AE">
      <w:pPr>
        <w:pStyle w:val="Heading4"/>
      </w:pPr>
      <w:r>
        <w:t>Display Patient Update Alerts</w:t>
      </w:r>
    </w:p>
    <w:p w14:paraId="05BC2757" w14:textId="77777777" w:rsidR="002A21AE" w:rsidRDefault="002A21AE" w:rsidP="00FA7E65">
      <w:pPr>
        <w:pStyle w:val="BodyText"/>
      </w:pPr>
      <w:r>
        <w:t xml:space="preserve">VBECS notifies the user that patient updates occurred and allows him to view additional details.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E7A116" w14:textId="77777777">
        <w:trPr>
          <w:cantSplit/>
          <w:tblHeader/>
        </w:trPr>
        <w:tc>
          <w:tcPr>
            <w:tcW w:w="3240" w:type="dxa"/>
            <w:shd w:val="pct30" w:color="auto" w:fill="FFFFFF"/>
            <w:vAlign w:val="bottom"/>
          </w:tcPr>
          <w:p w14:paraId="1E3DF3EC" w14:textId="77777777" w:rsidR="002A21AE" w:rsidRDefault="002A21AE">
            <w:pPr>
              <w:pStyle w:val="TableText"/>
              <w:rPr>
                <w:b/>
              </w:rPr>
            </w:pPr>
            <w:r>
              <w:rPr>
                <w:b/>
              </w:rPr>
              <w:t>User Action</w:t>
            </w:r>
          </w:p>
        </w:tc>
        <w:tc>
          <w:tcPr>
            <w:tcW w:w="6120" w:type="dxa"/>
            <w:shd w:val="pct30" w:color="auto" w:fill="FFFFFF"/>
            <w:vAlign w:val="bottom"/>
          </w:tcPr>
          <w:p w14:paraId="49C36ADE" w14:textId="77777777" w:rsidR="002A21AE" w:rsidRDefault="002A21AE">
            <w:pPr>
              <w:pStyle w:val="TableText"/>
              <w:rPr>
                <w:b/>
              </w:rPr>
            </w:pPr>
            <w:r>
              <w:rPr>
                <w:b/>
              </w:rPr>
              <w:t>VBECS</w:t>
            </w:r>
          </w:p>
        </w:tc>
      </w:tr>
      <w:tr w:rsidR="002A21AE" w14:paraId="572FD4A9" w14:textId="77777777">
        <w:trPr>
          <w:trHeight w:val="403"/>
        </w:trPr>
        <w:tc>
          <w:tcPr>
            <w:tcW w:w="3240" w:type="dxa"/>
          </w:tcPr>
          <w:p w14:paraId="191BAC0D" w14:textId="77777777" w:rsidR="002A21AE" w:rsidRDefault="002A21AE">
            <w:pPr>
              <w:pStyle w:val="TableTextNumbers"/>
            </w:pPr>
            <w:r>
              <w:t xml:space="preserve">Hold the mouse over the </w:t>
            </w:r>
            <w:r w:rsidR="00D57F25">
              <w:t>Patient Alert icon</w:t>
            </w:r>
            <w:r>
              <w:t xml:space="preserve"> to view a tool tip, or </w:t>
            </w:r>
          </w:p>
          <w:p w14:paraId="55A42725" w14:textId="77777777" w:rsidR="002A21AE" w:rsidRDefault="002A21AE">
            <w:pPr>
              <w:pStyle w:val="TableTextNumbersContinued"/>
            </w:pPr>
          </w:p>
          <w:p w14:paraId="157E87AB"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40EEF0DF" wp14:editId="079367A8">
                  <wp:extent cx="166370" cy="156845"/>
                  <wp:effectExtent l="0" t="0" r="5080" b="0"/>
                  <wp:docPr id="217" name="Picture 217"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32275AB4" w14:textId="77777777" w:rsidR="002A21AE" w:rsidRDefault="002A21AE">
            <w:pPr>
              <w:pStyle w:val="TableTextNumbersContinued"/>
            </w:pPr>
          </w:p>
          <w:p w14:paraId="2ACF6BFB" w14:textId="77777777" w:rsidR="002A21AE" w:rsidRDefault="002A21AE">
            <w:pPr>
              <w:pStyle w:val="TableTextNumbersContinued"/>
            </w:pPr>
            <w:r>
              <w:t xml:space="preserve">Click </w:t>
            </w:r>
            <w:r w:rsidR="00057948">
              <w:rPr>
                <w:noProof/>
              </w:rPr>
              <w:drawing>
                <wp:inline distT="0" distB="0" distL="0" distR="0" wp14:anchorId="4A073614" wp14:editId="35906FE9">
                  <wp:extent cx="166370" cy="156845"/>
                  <wp:effectExtent l="0" t="0" r="5080" b="0"/>
                  <wp:docPr id="218" name="Picture 218"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26E45AF" w14:textId="77777777" w:rsidR="002A21AE" w:rsidRDefault="002A21AE">
            <w:pPr>
              <w:pStyle w:val="TableTextBullet"/>
            </w:pPr>
            <w:r>
              <w:rPr>
                <w:rFonts w:cs="Arial"/>
                <w:vanish/>
              </w:rPr>
              <w:t xml:space="preserve">BR_84.06 </w:t>
            </w:r>
            <w:r>
              <w:t xml:space="preserve">Displays a </w:t>
            </w:r>
            <w:r w:rsidR="00D57F25">
              <w:t>Patient Alert icon</w:t>
            </w:r>
            <w:r>
              <w:t xml:space="preserve"> in the status bar when it receives a patient update</w:t>
            </w:r>
            <w:r w:rsidR="008D6720">
              <w:t xml:space="preserve"> or </w:t>
            </w:r>
            <w:r>
              <w:t>death</w:t>
            </w:r>
            <w:r w:rsidR="008D6720">
              <w:t xml:space="preserve"> event message</w:t>
            </w:r>
            <w:r>
              <w:rPr>
                <w:b/>
                <w:bCs/>
              </w:rPr>
              <w:t xml:space="preserve"> </w:t>
            </w:r>
            <w:r>
              <w:t>and the patient has active or pending orders in the user’s VBECS division.</w:t>
            </w:r>
          </w:p>
          <w:p w14:paraId="0B74520C" w14:textId="77777777" w:rsidR="008B7F48" w:rsidRPr="00B46D6D" w:rsidRDefault="008B7F48">
            <w:pPr>
              <w:pStyle w:val="TableTextBullet"/>
            </w:pPr>
            <w:r>
              <w:rPr>
                <w:rFonts w:cs="Arial"/>
              </w:rPr>
              <w:t xml:space="preserve">Displays a </w:t>
            </w:r>
            <w:r w:rsidR="00D57F25">
              <w:rPr>
                <w:rFonts w:cs="Arial"/>
              </w:rPr>
              <w:t>Patient Alert icon</w:t>
            </w:r>
            <w:r>
              <w:rPr>
                <w:rFonts w:cs="Arial"/>
              </w:rPr>
              <w:t xml:space="preserve"> in the status bar when it receives a merge event message from VistA.</w:t>
            </w:r>
          </w:p>
          <w:p w14:paraId="087C596D" w14:textId="77777777" w:rsidR="00B46D6D" w:rsidRDefault="00B46D6D">
            <w:pPr>
              <w:pStyle w:val="TableTextBullet"/>
            </w:pPr>
            <w:r w:rsidRPr="00B46D6D">
              <w:rPr>
                <w:vanish/>
              </w:rPr>
              <w:t>BR_84.10</w:t>
            </w:r>
            <w:r>
              <w:t>The system displays a patient update or merge icon alert to all users until all merge events are cleared and all updates, including death notices are viewed.</w:t>
            </w:r>
          </w:p>
          <w:p w14:paraId="257F4D84" w14:textId="77777777" w:rsidR="002A21AE" w:rsidRDefault="002A21AE" w:rsidP="005E431D">
            <w:pPr>
              <w:pStyle w:val="TableText"/>
            </w:pPr>
          </w:p>
          <w:p w14:paraId="1FCD8D28" w14:textId="356B34E9" w:rsidR="002A21AE" w:rsidRDefault="002A21AE">
            <w:pPr>
              <w:pStyle w:val="TableText"/>
              <w:rPr>
                <w:b/>
                <w:bCs/>
                <w:szCs w:val="18"/>
              </w:rPr>
            </w:pPr>
            <w:r>
              <w:rPr>
                <w:b/>
                <w:bCs/>
                <w:szCs w:val="18"/>
              </w:rPr>
              <w:t>NOTES</w:t>
            </w:r>
          </w:p>
          <w:p w14:paraId="2BAD06F5" w14:textId="77777777" w:rsidR="002A21AE" w:rsidRDefault="002A21AE">
            <w:pPr>
              <w:pStyle w:val="NotesText"/>
            </w:pPr>
          </w:p>
          <w:p w14:paraId="27F0AD29"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Updated Patients</w:t>
            </w:r>
            <w:r>
              <w:t xml:space="preserve">, </w:t>
            </w:r>
            <w:r>
              <w:rPr>
                <w:b/>
              </w:rPr>
              <w:t>Deceased Patients</w:t>
            </w:r>
            <w:r>
              <w:t xml:space="preserve">, or </w:t>
            </w:r>
            <w:r>
              <w:rPr>
                <w:b/>
              </w:rPr>
              <w:t xml:space="preserve">Patient Merge </w:t>
            </w:r>
            <w:r>
              <w:t>to view the updates.</w:t>
            </w:r>
          </w:p>
        </w:tc>
      </w:tr>
    </w:tbl>
    <w:p w14:paraId="60FE3E45" w14:textId="77777777" w:rsidR="002A21AE" w:rsidRDefault="0072673B" w:rsidP="0072673B">
      <w:pPr>
        <w:pStyle w:val="Heading3"/>
      </w:pPr>
      <w:r>
        <w:br w:type="page"/>
      </w:r>
      <w:bookmarkStart w:id="429" w:name="_Toc163644937"/>
      <w:r w:rsidR="00057948">
        <w:rPr>
          <w:noProof/>
        </w:rPr>
        <w:lastRenderedPageBreak/>
        <w:drawing>
          <wp:inline distT="0" distB="0" distL="0" distR="0" wp14:anchorId="70C05E2A" wp14:editId="10F72750">
            <wp:extent cx="166370" cy="156845"/>
            <wp:effectExtent l="0" t="0" r="5080" b="0"/>
            <wp:docPr id="219" name="Picture 219"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w:t>
      </w:r>
      <w:bookmarkStart w:id="430" w:name="there"/>
      <w:bookmarkEnd w:id="430"/>
      <w:r w:rsidR="002A21AE">
        <w:t>Display Patient Merge Alerts</w:t>
      </w:r>
      <w:bookmarkEnd w:id="429"/>
      <w:r w:rsidR="002A21AE">
        <w:fldChar w:fldCharType="begin"/>
      </w:r>
      <w:r w:rsidR="002A21AE">
        <w:instrText xml:space="preserve"> XE </w:instrText>
      </w:r>
      <w:r w:rsidR="00FA7E65">
        <w:instrText>“</w:instrText>
      </w:r>
      <w:r w:rsidR="002A21AE">
        <w:instrText>Display Patient Merge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14A7C5F8" w14:textId="77777777" w:rsidR="002A21AE" w:rsidRDefault="002A21AE" w:rsidP="00FA7E65">
      <w:pPr>
        <w:pStyle w:val="BodyText"/>
      </w:pPr>
      <w:r>
        <w:t xml:space="preserve">VBECS notifies the user of </w:t>
      </w:r>
      <w:r w:rsidR="003549BA">
        <w:t xml:space="preserve">VistA </w:t>
      </w:r>
      <w:r>
        <w:t>patient merges.</w:t>
      </w:r>
    </w:p>
    <w:p w14:paraId="036279F6" w14:textId="77777777" w:rsidR="002A21AE" w:rsidRDefault="002A21AE">
      <w:pPr>
        <w:pStyle w:val="Heading4"/>
      </w:pPr>
      <w:r>
        <w:t>Assumptions</w:t>
      </w:r>
      <w:r>
        <w:rPr>
          <w:b w:val="0"/>
        </w:rPr>
        <w:t xml:space="preserve"> </w:t>
      </w:r>
    </w:p>
    <w:p w14:paraId="73ED950D" w14:textId="77777777" w:rsidR="002A21AE" w:rsidRDefault="002A21AE">
      <w:pPr>
        <w:pStyle w:val="ListBullet"/>
      </w:pPr>
      <w:r>
        <w:t xml:space="preserve">A patient demographic merge alert is received from </w:t>
      </w:r>
      <w:r w:rsidR="00CA0045" w:rsidRPr="00CA0045">
        <w:rPr>
          <w:bCs/>
        </w:rPr>
        <w:t>VistA</w:t>
      </w:r>
      <w:r>
        <w:t xml:space="preserve"> for the user’s division for a VBECS patient.</w:t>
      </w:r>
    </w:p>
    <w:p w14:paraId="7C7C06E2" w14:textId="77777777" w:rsidR="002A21AE" w:rsidRDefault="002A21AE">
      <w:pPr>
        <w:pStyle w:val="Heading4"/>
      </w:pPr>
      <w:r>
        <w:t xml:space="preserve">Outcome </w:t>
      </w:r>
    </w:p>
    <w:p w14:paraId="3D211359" w14:textId="77777777" w:rsidR="002A21AE" w:rsidRDefault="008A1BFD">
      <w:pPr>
        <w:pStyle w:val="ListBullet"/>
      </w:pPr>
      <w:r>
        <w:t>VBECS notified the user that</w:t>
      </w:r>
      <w:r w:rsidR="00BF053B">
        <w:t xml:space="preserve"> </w:t>
      </w:r>
      <w:r w:rsidR="002A21AE">
        <w:t xml:space="preserve">patient </w:t>
      </w:r>
      <w:r>
        <w:t>records were</w:t>
      </w:r>
      <w:r w:rsidR="002A21AE">
        <w:t xml:space="preserve"> merged in </w:t>
      </w:r>
      <w:r>
        <w:t xml:space="preserve">VistA and that </w:t>
      </w:r>
      <w:r w:rsidR="008D6720">
        <w:t>the user must take action</w:t>
      </w:r>
      <w:r>
        <w:t xml:space="preserve"> to match the records in VBECS</w:t>
      </w:r>
      <w:r w:rsidR="002A21AE">
        <w:t>.</w:t>
      </w:r>
    </w:p>
    <w:p w14:paraId="38F011ED" w14:textId="77777777" w:rsidR="002A21AE" w:rsidRDefault="002A21AE">
      <w:pPr>
        <w:pStyle w:val="Heading4"/>
        <w:rPr>
          <w:b w:val="0"/>
        </w:rPr>
      </w:pPr>
      <w:r>
        <w:t>Limitations and Restrictions</w:t>
      </w:r>
      <w:r>
        <w:rPr>
          <w:b w:val="0"/>
        </w:rPr>
        <w:t xml:space="preserve"> </w:t>
      </w:r>
    </w:p>
    <w:p w14:paraId="6CEC8DB5" w14:textId="77777777" w:rsidR="00132178" w:rsidRDefault="00F10EB3" w:rsidP="00132178">
      <w:pPr>
        <w:pStyle w:val="ListBullet"/>
      </w:pPr>
      <w:r>
        <w:t xml:space="preserve">VBECS does not notify users of additional VistA patient updates or merges while the icon is displayed. </w:t>
      </w:r>
      <w:r w:rsidR="00132178">
        <w:rPr>
          <w:rFonts w:cs="Arial"/>
          <w:vanish/>
        </w:rPr>
        <w:t xml:space="preserve">DR 2,525 </w:t>
      </w:r>
      <w:r w:rsidR="00132178">
        <w:t>When a user views an update and there is a</w:t>
      </w:r>
      <w:r w:rsidR="008B31EE">
        <w:t>n unprocessed VistA</w:t>
      </w:r>
      <w:r w:rsidR="00132178">
        <w:t xml:space="preserve"> patient merge, the </w:t>
      </w:r>
      <w:r w:rsidR="00D57F25">
        <w:t>Patient Alert icon</w:t>
      </w:r>
      <w:r w:rsidR="00132178">
        <w:t xml:space="preserve"> remains on the screen until the Traditional Supervisor </w:t>
      </w:r>
      <w:r w:rsidR="008B31EE">
        <w:t>updates the patient records</w:t>
      </w:r>
      <w:r w:rsidR="00132178">
        <w:t xml:space="preserve"> and clears the icon. </w:t>
      </w:r>
    </w:p>
    <w:p w14:paraId="4A054613" w14:textId="77777777" w:rsidR="002A21AE" w:rsidRDefault="002A21AE">
      <w:pPr>
        <w:pStyle w:val="Heading4"/>
      </w:pPr>
      <w:r>
        <w:t xml:space="preserve">Additional Information </w:t>
      </w:r>
    </w:p>
    <w:p w14:paraId="475E2157" w14:textId="77777777" w:rsidR="002A21AE" w:rsidRDefault="00B473F5">
      <w:pPr>
        <w:pStyle w:val="ListBullet"/>
      </w:pPr>
      <w:r w:rsidRPr="00B473F5">
        <w:rPr>
          <w:vanish/>
        </w:rPr>
        <w:t xml:space="preserve">DR 2,527 </w:t>
      </w:r>
      <w:r>
        <w:t xml:space="preserve">VBECS notifies users of </w:t>
      </w:r>
      <w:r w:rsidR="000319CE">
        <w:t xml:space="preserve">VistA </w:t>
      </w:r>
      <w:r>
        <w:t xml:space="preserve">patient merges until a Traditional Supervisor clears the </w:t>
      </w:r>
      <w:r w:rsidR="000319CE">
        <w:t>Patient Alert icon</w:t>
      </w:r>
      <w:r>
        <w:t xml:space="preserve">. </w:t>
      </w:r>
      <w:r w:rsidR="008D12CC">
        <w:t>See Patient Merge for instructions.</w:t>
      </w:r>
    </w:p>
    <w:p w14:paraId="0131E9AA" w14:textId="77777777" w:rsidR="00BA4D88" w:rsidRDefault="00BA4D88">
      <w:pPr>
        <w:pStyle w:val="ListBullet"/>
      </w:pPr>
      <w:r>
        <w:rPr>
          <w:vanish/>
        </w:rPr>
        <w:t xml:space="preserve">BR_84.07 </w:t>
      </w:r>
      <w:r>
        <w:t>VBECS displays an alert to users for a VistA patient merge event if either the merge-from or merge-to patient exists in the VBECS system when the merge message is received.</w:t>
      </w:r>
    </w:p>
    <w:p w14:paraId="72DDD72D" w14:textId="77777777" w:rsidR="002A21AE" w:rsidRDefault="002A21AE">
      <w:pPr>
        <w:pStyle w:val="Heading4"/>
        <w:rPr>
          <w:b w:val="0"/>
        </w:rPr>
      </w:pPr>
      <w:r>
        <w:t>User Roles with Access to This Option</w:t>
      </w:r>
      <w:r>
        <w:rPr>
          <w:b w:val="0"/>
        </w:rPr>
        <w:t xml:space="preserve"> </w:t>
      </w:r>
    </w:p>
    <w:p w14:paraId="4394D0EF" w14:textId="77777777" w:rsidR="002A21AE" w:rsidRDefault="005E431D">
      <w:pPr>
        <w:pStyle w:val="Roles"/>
        <w:rPr>
          <w:snapToGrid w:val="0"/>
        </w:rPr>
      </w:pPr>
      <w:r>
        <w:t>All users</w:t>
      </w:r>
    </w:p>
    <w:p w14:paraId="3F20424E" w14:textId="77777777" w:rsidR="002A21AE" w:rsidRDefault="002A21AE">
      <w:pPr>
        <w:pStyle w:val="Heading4"/>
      </w:pPr>
      <w:r>
        <w:t>Display Patient Merge Alerts</w:t>
      </w:r>
    </w:p>
    <w:p w14:paraId="539C903D" w14:textId="77777777" w:rsidR="002A21AE" w:rsidRDefault="002A21AE" w:rsidP="00FA7E65">
      <w:pPr>
        <w:pStyle w:val="BodyText"/>
      </w:pPr>
      <w:r>
        <w:t xml:space="preserve">VBECS notifies the user that patient merges occurred in </w:t>
      </w:r>
      <w:r w:rsidR="00CA0045" w:rsidRPr="00CA0045">
        <w:rPr>
          <w:bCs/>
        </w:rPr>
        <w:t>VistA</w:t>
      </w:r>
      <w:r>
        <w:t xml:space="preserve"> and allows him to view additional update details.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94691F" w14:textId="77777777">
        <w:trPr>
          <w:cantSplit/>
          <w:tblHeader/>
        </w:trPr>
        <w:tc>
          <w:tcPr>
            <w:tcW w:w="3240" w:type="dxa"/>
            <w:shd w:val="pct30" w:color="auto" w:fill="FFFFFF"/>
            <w:vAlign w:val="bottom"/>
          </w:tcPr>
          <w:p w14:paraId="38564F33" w14:textId="77777777" w:rsidR="002A21AE" w:rsidRDefault="002A21AE">
            <w:pPr>
              <w:pStyle w:val="TableText"/>
              <w:rPr>
                <w:b/>
              </w:rPr>
            </w:pPr>
            <w:r>
              <w:rPr>
                <w:b/>
              </w:rPr>
              <w:t>User Action</w:t>
            </w:r>
          </w:p>
        </w:tc>
        <w:tc>
          <w:tcPr>
            <w:tcW w:w="6120" w:type="dxa"/>
            <w:shd w:val="pct30" w:color="auto" w:fill="FFFFFF"/>
            <w:vAlign w:val="bottom"/>
          </w:tcPr>
          <w:p w14:paraId="6229259A" w14:textId="77777777" w:rsidR="002A21AE" w:rsidRDefault="002A21AE">
            <w:pPr>
              <w:pStyle w:val="TableText"/>
              <w:rPr>
                <w:b/>
              </w:rPr>
            </w:pPr>
            <w:r>
              <w:rPr>
                <w:b/>
              </w:rPr>
              <w:t>VBECS</w:t>
            </w:r>
          </w:p>
        </w:tc>
      </w:tr>
      <w:tr w:rsidR="002A21AE" w14:paraId="1901820C" w14:textId="77777777">
        <w:trPr>
          <w:trHeight w:val="403"/>
        </w:trPr>
        <w:tc>
          <w:tcPr>
            <w:tcW w:w="3240" w:type="dxa"/>
          </w:tcPr>
          <w:p w14:paraId="5B91C4D8" w14:textId="77777777" w:rsidR="002A21AE" w:rsidRDefault="002A21AE">
            <w:pPr>
              <w:pStyle w:val="TableTextNumbers"/>
            </w:pPr>
            <w:r>
              <w:t xml:space="preserve">Hold the mouse over the </w:t>
            </w:r>
            <w:r w:rsidR="00D57F25">
              <w:t>Patient Alert icon</w:t>
            </w:r>
            <w:r>
              <w:t xml:space="preserve"> to view a tool tip, or </w:t>
            </w:r>
          </w:p>
          <w:p w14:paraId="0239729B" w14:textId="77777777" w:rsidR="002A21AE" w:rsidRDefault="002A21AE">
            <w:pPr>
              <w:pStyle w:val="TableTextNumbersContinued"/>
            </w:pPr>
          </w:p>
          <w:p w14:paraId="70EE5981"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7DB541F9" wp14:editId="09BDD027">
                  <wp:extent cx="166370" cy="156845"/>
                  <wp:effectExtent l="0" t="0" r="5080" b="0"/>
                  <wp:docPr id="220" name="Picture 220"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02ECA8B9" w14:textId="77777777" w:rsidR="002A21AE" w:rsidRDefault="002A21AE">
            <w:pPr>
              <w:pStyle w:val="TableTextNumbersContinued"/>
            </w:pPr>
          </w:p>
          <w:p w14:paraId="4C11792E" w14:textId="77777777" w:rsidR="002A21AE" w:rsidRDefault="002A21AE">
            <w:pPr>
              <w:pStyle w:val="TableTextNumbersContinued"/>
            </w:pPr>
            <w:r>
              <w:t xml:space="preserve">Click </w:t>
            </w:r>
            <w:r w:rsidR="00057948">
              <w:rPr>
                <w:noProof/>
              </w:rPr>
              <w:drawing>
                <wp:inline distT="0" distB="0" distL="0" distR="0" wp14:anchorId="74BD3F0B" wp14:editId="27A9B6CF">
                  <wp:extent cx="166370" cy="156845"/>
                  <wp:effectExtent l="0" t="0" r="5080" b="0"/>
                  <wp:docPr id="221" name="Picture 221"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562A77D" w14:textId="77777777" w:rsidR="002A21AE" w:rsidRDefault="002A21AE">
            <w:pPr>
              <w:pStyle w:val="TableTextBullet"/>
            </w:pPr>
            <w:r>
              <w:rPr>
                <w:rFonts w:cs="Arial"/>
                <w:vanish/>
              </w:rPr>
              <w:t xml:space="preserve">BR_84.06 </w:t>
            </w:r>
            <w:r>
              <w:t>When it receives a patient update</w:t>
            </w:r>
            <w:r w:rsidR="008D6720">
              <w:t xml:space="preserve"> or</w:t>
            </w:r>
            <w:r>
              <w:t xml:space="preserve"> death</w:t>
            </w:r>
            <w:r w:rsidR="008D6720">
              <w:t xml:space="preserve"> event message</w:t>
            </w:r>
            <w:r>
              <w:t xml:space="preserve"> </w:t>
            </w:r>
            <w:r w:rsidR="008A1BFD">
              <w:t xml:space="preserve">and the patient has active or pending orders in the user’s VBECS division, </w:t>
            </w:r>
            <w:r>
              <w:t xml:space="preserve">displays a </w:t>
            </w:r>
            <w:r w:rsidR="00D57F25">
              <w:t>Patient Alert icon</w:t>
            </w:r>
            <w:r>
              <w:t xml:space="preserve"> in the status bar.</w:t>
            </w:r>
          </w:p>
          <w:p w14:paraId="44C045B8" w14:textId="77777777" w:rsidR="008A1BFD" w:rsidRDefault="008A1BFD">
            <w:pPr>
              <w:pStyle w:val="TableTextBullet"/>
            </w:pPr>
            <w:r>
              <w:t xml:space="preserve">When it receives a merge event message from VistA, displays a </w:t>
            </w:r>
            <w:r w:rsidR="00D57F25">
              <w:t>Patient Alert icon</w:t>
            </w:r>
            <w:r>
              <w:t xml:space="preserve"> in the status bar.</w:t>
            </w:r>
          </w:p>
          <w:p w14:paraId="1F3F7F7C" w14:textId="77777777" w:rsidR="002A21AE" w:rsidRDefault="002A21AE" w:rsidP="002232A3">
            <w:pPr>
              <w:pStyle w:val="TableText"/>
            </w:pPr>
          </w:p>
          <w:p w14:paraId="620A7124" w14:textId="6CD98CC2" w:rsidR="002A21AE" w:rsidRDefault="002A21AE">
            <w:pPr>
              <w:pStyle w:val="TableText"/>
              <w:rPr>
                <w:b/>
                <w:bCs/>
                <w:szCs w:val="18"/>
              </w:rPr>
            </w:pPr>
            <w:r>
              <w:rPr>
                <w:b/>
                <w:bCs/>
                <w:szCs w:val="18"/>
              </w:rPr>
              <w:t>NOTES</w:t>
            </w:r>
          </w:p>
          <w:p w14:paraId="45A35BA7" w14:textId="77777777" w:rsidR="002A21AE" w:rsidRDefault="002A21AE">
            <w:pPr>
              <w:pStyle w:val="NotesText"/>
            </w:pPr>
          </w:p>
          <w:p w14:paraId="26FFECE3"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 xml:space="preserve">Patient Merge </w:t>
            </w:r>
            <w:r>
              <w:t>to view the updates.</w:t>
            </w:r>
          </w:p>
          <w:p w14:paraId="432F846D" w14:textId="77777777" w:rsidR="002A21AE" w:rsidRDefault="002A21AE">
            <w:pPr>
              <w:pStyle w:val="NotesText"/>
            </w:pPr>
          </w:p>
          <w:p w14:paraId="10F819C6" w14:textId="77777777" w:rsidR="004B557B" w:rsidRDefault="002A21AE" w:rsidP="001E72D4">
            <w:pPr>
              <w:pStyle w:val="NotesText"/>
            </w:pPr>
            <w:r>
              <w:rPr>
                <w:rFonts w:cs="Arial"/>
                <w:vanish/>
              </w:rPr>
              <w:t xml:space="preserve">BR_84.10 </w:t>
            </w:r>
            <w:r>
              <w:t xml:space="preserve">VBECS displays a </w:t>
            </w:r>
            <w:r w:rsidR="004B557B">
              <w:t>patient update or merge icon a</w:t>
            </w:r>
            <w:r w:rsidR="00D57F25">
              <w:t xml:space="preserve">lert </w:t>
            </w:r>
            <w:r w:rsidR="004B557B">
              <w:t>to all users until all merge events are cleared and all updates, including death notices are viewed.</w:t>
            </w:r>
            <w:r w:rsidR="006B6C5C" w:rsidRPr="006B6C5C">
              <w:rPr>
                <w:vanish/>
              </w:rPr>
              <w:t>DR 2,525</w:t>
            </w:r>
          </w:p>
        </w:tc>
      </w:tr>
    </w:tbl>
    <w:p w14:paraId="18C18E5D" w14:textId="77777777" w:rsidR="008A3222" w:rsidRDefault="008A3222" w:rsidP="00834667">
      <w:pPr>
        <w:pStyle w:val="Heading2"/>
        <w:rPr>
          <w:i w:val="0"/>
          <w:iCs w:val="0"/>
          <w:sz w:val="26"/>
          <w:szCs w:val="26"/>
        </w:rPr>
      </w:pPr>
    </w:p>
    <w:p w14:paraId="3325CA16" w14:textId="77777777" w:rsidR="008A3222" w:rsidRDefault="008A3222">
      <w:pPr>
        <w:rPr>
          <w:rFonts w:ascii="Arial" w:hAnsi="Arial" w:cs="Arial"/>
          <w:b/>
          <w:bCs/>
          <w:sz w:val="26"/>
          <w:szCs w:val="26"/>
        </w:rPr>
      </w:pPr>
      <w:r>
        <w:rPr>
          <w:i/>
          <w:iCs/>
          <w:sz w:val="26"/>
          <w:szCs w:val="26"/>
        </w:rPr>
        <w:br w:type="page"/>
      </w:r>
    </w:p>
    <w:p w14:paraId="529102A1" w14:textId="547F4FD0" w:rsidR="00834667" w:rsidRPr="008818F2" w:rsidRDefault="00411372" w:rsidP="00834667">
      <w:pPr>
        <w:pStyle w:val="Heading2"/>
        <w:rPr>
          <w:i w:val="0"/>
          <w:iCs w:val="0"/>
          <w:sz w:val="26"/>
          <w:szCs w:val="26"/>
        </w:rPr>
      </w:pPr>
      <w:bookmarkStart w:id="431" w:name="_Toc163644938"/>
      <w:r>
        <w:rPr>
          <w:i w:val="0"/>
          <w:iCs w:val="0"/>
          <w:sz w:val="26"/>
          <w:szCs w:val="26"/>
        </w:rPr>
        <w:lastRenderedPageBreak/>
        <w:t xml:space="preserve">Emergency </w:t>
      </w:r>
      <w:r w:rsidR="00834667" w:rsidRPr="008818F2">
        <w:rPr>
          <w:i w:val="0"/>
          <w:iCs w:val="0"/>
          <w:sz w:val="26"/>
          <w:szCs w:val="26"/>
        </w:rPr>
        <w:t>Transfusion Order</w:t>
      </w:r>
      <w:r>
        <w:rPr>
          <w:i w:val="0"/>
          <w:iCs w:val="0"/>
          <w:sz w:val="26"/>
          <w:szCs w:val="26"/>
        </w:rPr>
        <w:t xml:space="preserve"> Processing</w:t>
      </w:r>
      <w:bookmarkEnd w:id="431"/>
      <w:r w:rsidR="00834667" w:rsidRPr="008818F2">
        <w:rPr>
          <w:i w:val="0"/>
          <w:iCs w:val="0"/>
          <w:sz w:val="26"/>
          <w:szCs w:val="26"/>
        </w:rPr>
        <w:fldChar w:fldCharType="begin"/>
      </w:r>
      <w:r w:rsidR="00834667" w:rsidRPr="008818F2">
        <w:rPr>
          <w:i w:val="0"/>
          <w:iCs w:val="0"/>
          <w:sz w:val="26"/>
          <w:szCs w:val="26"/>
        </w:rPr>
        <w:instrText xml:space="preserve"> XE “Processing an Emergency Transfusion Order” </w:instrText>
      </w:r>
      <w:r w:rsidR="00834667" w:rsidRPr="008818F2">
        <w:rPr>
          <w:i w:val="0"/>
          <w:iCs w:val="0"/>
          <w:sz w:val="26"/>
          <w:szCs w:val="26"/>
        </w:rPr>
        <w:fldChar w:fldCharType="end"/>
      </w:r>
    </w:p>
    <w:p w14:paraId="201EC68A" w14:textId="77777777" w:rsidR="008818F2" w:rsidRPr="008818F2" w:rsidRDefault="008818F2" w:rsidP="008818F2">
      <w:pPr>
        <w:rPr>
          <w:sz w:val="22"/>
          <w:szCs w:val="22"/>
        </w:rPr>
      </w:pPr>
      <w:r>
        <w:rPr>
          <w:b/>
          <w:sz w:val="22"/>
          <w:szCs w:val="22"/>
        </w:rPr>
        <w:t>Question</w:t>
      </w:r>
      <w:r w:rsidRPr="008818F2">
        <w:rPr>
          <w:b/>
          <w:sz w:val="22"/>
          <w:szCs w:val="22"/>
        </w:rPr>
        <w:t>:</w:t>
      </w:r>
      <w:r w:rsidRPr="008818F2">
        <w:rPr>
          <w:sz w:val="22"/>
          <w:szCs w:val="22"/>
        </w:rPr>
        <w:t xml:space="preserve">  How do I Process an Emergency Transfusion Order for red blood cells when no specimen is collected?</w:t>
      </w:r>
    </w:p>
    <w:p w14:paraId="57B34CC3" w14:textId="77777777" w:rsidR="008818F2" w:rsidRPr="008818F2" w:rsidRDefault="008818F2" w:rsidP="008818F2">
      <w:pPr>
        <w:rPr>
          <w:sz w:val="22"/>
          <w:szCs w:val="22"/>
        </w:rPr>
      </w:pPr>
      <w:r w:rsidRPr="008818F2">
        <w:rPr>
          <w:b/>
          <w:sz w:val="22"/>
          <w:szCs w:val="22"/>
        </w:rPr>
        <w:t>Important Note:</w:t>
      </w:r>
      <w:r w:rsidRPr="008818F2">
        <w:rPr>
          <w:sz w:val="22"/>
          <w:szCs w:val="22"/>
        </w:rPr>
        <w:t xml:space="preserve"> If </w:t>
      </w:r>
      <w:r w:rsidR="009E6385">
        <w:rPr>
          <w:sz w:val="22"/>
          <w:szCs w:val="22"/>
        </w:rPr>
        <w:t>the patient is not found in Vist</w:t>
      </w:r>
      <w:r w:rsidRPr="008818F2">
        <w:rPr>
          <w:sz w:val="22"/>
          <w:szCs w:val="22"/>
        </w:rPr>
        <w:t>A, you must process the request manually. When the patient’s CPRS order is placed, enter your testing results and unit processing information with correct dates and times recreating the record as retrospective data entry.</w:t>
      </w:r>
    </w:p>
    <w:p w14:paraId="1494AA43" w14:textId="77777777" w:rsidR="008818F2" w:rsidRPr="008818F2" w:rsidRDefault="008818F2" w:rsidP="008818F2">
      <w:pPr>
        <w:rPr>
          <w:sz w:val="22"/>
          <w:szCs w:val="22"/>
        </w:rPr>
      </w:pPr>
      <w:r w:rsidRPr="008818F2">
        <w:rPr>
          <w:b/>
          <w:sz w:val="22"/>
          <w:szCs w:val="22"/>
        </w:rPr>
        <w:t xml:space="preserve">Answer: No Specimen Available: </w:t>
      </w:r>
      <w:r w:rsidRPr="008818F2">
        <w:rPr>
          <w:sz w:val="22"/>
          <w:szCs w:val="22"/>
        </w:rPr>
        <w:t>Below are the steps for processing a component order when no specimen is available but required. This example is for a Red Blood Cell order.</w:t>
      </w:r>
    </w:p>
    <w:p w14:paraId="26548284" w14:textId="26822B97" w:rsidR="008818F2" w:rsidRPr="008818F2" w:rsidRDefault="008818F2" w:rsidP="001055DF">
      <w:pPr>
        <w:numPr>
          <w:ilvl w:val="0"/>
          <w:numId w:val="70"/>
        </w:numPr>
        <w:spacing w:before="60" w:after="120"/>
        <w:ind w:left="360"/>
        <w:rPr>
          <w:sz w:val="22"/>
          <w:szCs w:val="22"/>
        </w:rPr>
      </w:pPr>
      <w:r w:rsidRPr="008818F2">
        <w:rPr>
          <w:sz w:val="22"/>
          <w:szCs w:val="22"/>
        </w:rPr>
        <w:t>A CPRS order for a TAS and RBC must be placed to process the order in VBECS.</w:t>
      </w:r>
    </w:p>
    <w:p w14:paraId="131FC1F2" w14:textId="48259365" w:rsidR="008818F2" w:rsidRDefault="008818F2" w:rsidP="001055DF">
      <w:pPr>
        <w:numPr>
          <w:ilvl w:val="0"/>
          <w:numId w:val="70"/>
        </w:numPr>
        <w:spacing w:before="60" w:after="120"/>
        <w:ind w:left="360"/>
        <w:rPr>
          <w:sz w:val="22"/>
          <w:szCs w:val="22"/>
        </w:rPr>
      </w:pPr>
      <w:r w:rsidRPr="008818F2">
        <w:rPr>
          <w:sz w:val="22"/>
          <w:szCs w:val="22"/>
        </w:rPr>
        <w:t>Accession</w:t>
      </w:r>
      <w:r w:rsidRPr="008818F2">
        <w:rPr>
          <w:sz w:val="22"/>
          <w:szCs w:val="22"/>
          <w:u w:val="single"/>
        </w:rPr>
        <w:t xml:space="preserve"> only</w:t>
      </w:r>
      <w:r w:rsidRPr="008818F2">
        <w:rPr>
          <w:sz w:val="22"/>
          <w:szCs w:val="22"/>
        </w:rPr>
        <w:t xml:space="preserve"> the RBC order in the VistA LAB package</w:t>
      </w:r>
      <w:r w:rsidRPr="008818F2">
        <w:rPr>
          <w:noProof/>
          <w:sz w:val="22"/>
          <w:szCs w:val="22"/>
        </w:rPr>
        <w:t>. If the TAS is accessioned but not physically available, it will no</w:t>
      </w:r>
      <w:r w:rsidR="00910216">
        <w:rPr>
          <w:noProof/>
          <w:sz w:val="22"/>
          <w:szCs w:val="22"/>
        </w:rPr>
        <w:t>t interfere with the next ste</w:t>
      </w:r>
      <w:r w:rsidR="00910216" w:rsidRPr="00910216">
        <w:rPr>
          <w:noProof/>
          <w:sz w:val="22"/>
          <w:szCs w:val="22"/>
        </w:rPr>
        <w:t>p (</w:t>
      </w:r>
      <w:r w:rsidR="00EE455E" w:rsidRPr="00EE455E">
        <w:rPr>
          <w:sz w:val="22"/>
          <w:szCs w:val="22"/>
        </w:rPr>
        <w:t xml:space="preserve">Figure </w:t>
      </w:r>
      <w:r w:rsidR="00EE455E" w:rsidRPr="00EE455E">
        <w:rPr>
          <w:noProof/>
          <w:sz w:val="22"/>
          <w:szCs w:val="22"/>
        </w:rPr>
        <w:t>88</w:t>
      </w:r>
      <w:r w:rsidR="00910216" w:rsidRPr="00910216">
        <w:rPr>
          <w:noProof/>
          <w:sz w:val="22"/>
          <w:szCs w:val="22"/>
        </w:rPr>
        <w:t>).</w:t>
      </w:r>
    </w:p>
    <w:p w14:paraId="44601909" w14:textId="504FCE40" w:rsidR="00910216" w:rsidRPr="008818F2" w:rsidRDefault="00910216" w:rsidP="00910216">
      <w:pPr>
        <w:pStyle w:val="Caption"/>
      </w:pPr>
      <w:bookmarkStart w:id="432" w:name="_Ref50707958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89</w:t>
      </w:r>
      <w:r w:rsidR="004E20BD">
        <w:rPr>
          <w:noProof/>
        </w:rPr>
        <w:fldChar w:fldCharType="end"/>
      </w:r>
      <w:bookmarkEnd w:id="432"/>
      <w:r>
        <w:t>: Example of Red Blood Cells Accession</w:t>
      </w:r>
    </w:p>
    <w:p w14:paraId="35AD49FC" w14:textId="77777777" w:rsidR="008818F2" w:rsidRDefault="00057948" w:rsidP="000026FF">
      <w:pPr>
        <w:pStyle w:val="BodyText"/>
      </w:pPr>
      <w:r>
        <w:rPr>
          <w:noProof/>
        </w:rPr>
        <mc:AlternateContent>
          <mc:Choice Requires="wps">
            <w:drawing>
              <wp:anchor distT="0" distB="0" distL="114300" distR="114300" simplePos="0" relativeHeight="252087808" behindDoc="0" locked="0" layoutInCell="1" allowOverlap="1" wp14:anchorId="493E4540" wp14:editId="666AB022">
                <wp:simplePos x="0" y="0"/>
                <wp:positionH relativeFrom="column">
                  <wp:posOffset>38100</wp:posOffset>
                </wp:positionH>
                <wp:positionV relativeFrom="paragraph">
                  <wp:posOffset>2461260</wp:posOffset>
                </wp:positionV>
                <wp:extent cx="5419725" cy="438150"/>
                <wp:effectExtent l="19050" t="13335" r="19050" b="15240"/>
                <wp:wrapNone/>
                <wp:docPr id="403" name="Rectangle 1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4381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667AD" id="Rectangle 1313" o:spid="_x0000_s1026" alt="&quot;&quot;" style="position:absolute;margin-left:3pt;margin-top:193.8pt;width:426.75pt;height:34.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" filled="f" strokecolor="red" strokeweight="2pt"/>
            </w:pict>
          </mc:Fallback>
        </mc:AlternateContent>
      </w:r>
      <w:r>
        <w:rPr>
          <w:noProof/>
        </w:rPr>
        <w:drawing>
          <wp:inline distT="0" distB="0" distL="0" distR="0" wp14:anchorId="3D7C1666" wp14:editId="3551A299">
            <wp:extent cx="7278370" cy="4673600"/>
            <wp:effectExtent l="0" t="0" r="0" b="0"/>
            <wp:docPr id="222" name="Picture 222" descr="Example of Red Blood Cells Access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Example of Red Blood Cells Accession screen captur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278370" cy="4673600"/>
                    </a:xfrm>
                    <a:prstGeom prst="rect">
                      <a:avLst/>
                    </a:prstGeom>
                    <a:noFill/>
                    <a:ln>
                      <a:noFill/>
                    </a:ln>
                  </pic:spPr>
                </pic:pic>
              </a:graphicData>
            </a:graphic>
          </wp:inline>
        </w:drawing>
      </w:r>
    </w:p>
    <w:p w14:paraId="53FC089C" w14:textId="30EC33E3" w:rsidR="008818F2" w:rsidRDefault="00910216" w:rsidP="001055DF">
      <w:pPr>
        <w:numPr>
          <w:ilvl w:val="0"/>
          <w:numId w:val="70"/>
        </w:numPr>
        <w:spacing w:before="60" w:after="120"/>
        <w:ind w:left="360"/>
        <w:rPr>
          <w:sz w:val="22"/>
          <w:szCs w:val="22"/>
        </w:rPr>
      </w:pPr>
      <w:r>
        <w:rPr>
          <w:sz w:val="22"/>
          <w:szCs w:val="22"/>
        </w:rPr>
        <w:br w:type="page"/>
      </w:r>
      <w:r w:rsidR="008818F2" w:rsidRPr="000026FF">
        <w:rPr>
          <w:sz w:val="22"/>
          <w:szCs w:val="22"/>
        </w:rPr>
        <w:lastRenderedPageBreak/>
        <w:t>Accept the RB</w:t>
      </w:r>
      <w:r w:rsidR="008818F2" w:rsidRPr="00910216">
        <w:rPr>
          <w:sz w:val="22"/>
          <w:szCs w:val="22"/>
        </w:rPr>
        <w:t>C order in VBECS b</w:t>
      </w:r>
      <w:r w:rsidR="00070C25" w:rsidRPr="00910216">
        <w:rPr>
          <w:sz w:val="22"/>
          <w:szCs w:val="22"/>
        </w:rPr>
        <w:t>y checking the Emergency Order checkbox</w:t>
      </w:r>
      <w:r w:rsidR="008818F2" w:rsidRPr="00910216">
        <w:rPr>
          <w:sz w:val="22"/>
          <w:szCs w:val="22"/>
        </w:rPr>
        <w:t xml:space="preserve"> </w:t>
      </w:r>
      <w:r w:rsidRPr="00910216">
        <w:rPr>
          <w:sz w:val="22"/>
          <w:szCs w:val="22"/>
        </w:rPr>
        <w:t>[</w:t>
      </w:r>
      <w:r w:rsidR="008818F2" w:rsidRPr="00910216">
        <w:rPr>
          <w:b/>
          <w:sz w:val="22"/>
          <w:szCs w:val="22"/>
        </w:rPr>
        <w:t>Orders</w:t>
      </w:r>
      <w:r w:rsidR="008818F2" w:rsidRPr="00910216">
        <w:rPr>
          <w:sz w:val="22"/>
          <w:szCs w:val="22"/>
        </w:rPr>
        <w:t xml:space="preserve">, </w:t>
      </w:r>
      <w:r w:rsidR="008818F2" w:rsidRPr="00910216">
        <w:rPr>
          <w:b/>
          <w:sz w:val="22"/>
          <w:szCs w:val="22"/>
        </w:rPr>
        <w:t>Accept Orders</w:t>
      </w:r>
      <w:r w:rsidRPr="00910216">
        <w:rPr>
          <w:sz w:val="22"/>
          <w:szCs w:val="22"/>
        </w:rPr>
        <w:t xml:space="preserve"> (</w:t>
      </w:r>
      <w:r w:rsidR="00EE455E" w:rsidRPr="00EE455E">
        <w:rPr>
          <w:sz w:val="22"/>
          <w:szCs w:val="22"/>
        </w:rPr>
        <w:t xml:space="preserve">Figure </w:t>
      </w:r>
      <w:r w:rsidR="00EE455E" w:rsidRPr="00EE455E">
        <w:rPr>
          <w:noProof/>
          <w:sz w:val="22"/>
          <w:szCs w:val="22"/>
        </w:rPr>
        <w:t>89</w:t>
      </w:r>
      <w:r w:rsidRPr="00910216">
        <w:rPr>
          <w:sz w:val="22"/>
          <w:szCs w:val="22"/>
        </w:rPr>
        <w:t>)]</w:t>
      </w:r>
      <w:r w:rsidR="008818F2" w:rsidRPr="00910216">
        <w:rPr>
          <w:sz w:val="22"/>
          <w:szCs w:val="22"/>
        </w:rPr>
        <w:t xml:space="preserve">. </w:t>
      </w:r>
    </w:p>
    <w:p w14:paraId="06E32E21" w14:textId="2F7F0887" w:rsidR="00910216" w:rsidRPr="000026FF" w:rsidRDefault="00910216" w:rsidP="00910216">
      <w:pPr>
        <w:pStyle w:val="Caption"/>
      </w:pPr>
      <w:bookmarkStart w:id="433" w:name="_Ref50707962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90</w:t>
      </w:r>
      <w:r w:rsidR="004E20BD">
        <w:rPr>
          <w:noProof/>
        </w:rPr>
        <w:fldChar w:fldCharType="end"/>
      </w:r>
      <w:bookmarkEnd w:id="433"/>
      <w:r>
        <w:t>: Example of Emergency Order checkbox</w:t>
      </w:r>
    </w:p>
    <w:p w14:paraId="546D5937" w14:textId="48A29154" w:rsidR="008818F2" w:rsidRDefault="00C84A5E" w:rsidP="000026FF">
      <w:pPr>
        <w:pStyle w:val="BodyText"/>
      </w:pPr>
      <w:r>
        <w:rPr>
          <w:noProof/>
        </w:rPr>
        <mc:AlternateContent>
          <mc:Choice Requires="wps">
            <w:drawing>
              <wp:anchor distT="0" distB="0" distL="114300" distR="114300" simplePos="0" relativeHeight="252093952" behindDoc="0" locked="0" layoutInCell="1" allowOverlap="1" wp14:anchorId="6C1F19E2" wp14:editId="25F40269">
                <wp:simplePos x="0" y="0"/>
                <wp:positionH relativeFrom="column">
                  <wp:posOffset>2000250</wp:posOffset>
                </wp:positionH>
                <wp:positionV relativeFrom="paragraph">
                  <wp:posOffset>2533650</wp:posOffset>
                </wp:positionV>
                <wp:extent cx="1209675" cy="190500"/>
                <wp:effectExtent l="38100" t="19050" r="9525" b="38100"/>
                <wp:wrapNone/>
                <wp:docPr id="402" name="AutoShape 1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F0EA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16" o:spid="_x0000_s1026" type="#_x0000_t66" alt="&quot;&quot;" style="position:absolute;margin-left:157.5pt;margin-top:199.5pt;width:95.25pt;height: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" fillcolor="red"/>
            </w:pict>
          </mc:Fallback>
        </mc:AlternateContent>
      </w:r>
      <w:r w:rsidR="00570C93">
        <w:rPr>
          <w:noProof/>
        </w:rPr>
        <mc:AlternateContent>
          <mc:Choice Requires="wps">
            <w:drawing>
              <wp:anchor distT="0" distB="0" distL="114300" distR="114300" simplePos="0" relativeHeight="252090880" behindDoc="0" locked="0" layoutInCell="1" allowOverlap="1" wp14:anchorId="6BD4040E" wp14:editId="1D0D4BDD">
                <wp:simplePos x="0" y="0"/>
                <wp:positionH relativeFrom="column">
                  <wp:posOffset>1104900</wp:posOffset>
                </wp:positionH>
                <wp:positionV relativeFrom="paragraph">
                  <wp:posOffset>2533650</wp:posOffset>
                </wp:positionV>
                <wp:extent cx="838200" cy="190500"/>
                <wp:effectExtent l="0" t="0" r="19050" b="19050"/>
                <wp:wrapNone/>
                <wp:docPr id="401" name="Rectangl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C0EC9" id="Rectangle 1315" o:spid="_x0000_s1026" alt="&quot;&quot;" style="position:absolute;margin-left:87pt;margin-top:199.5pt;width:66pt;height: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" filled="f" strokecolor="red" strokeweight="2pt"/>
            </w:pict>
          </mc:Fallback>
        </mc:AlternateContent>
      </w:r>
      <w:r w:rsidR="00570C93">
        <w:rPr>
          <w:noProof/>
        </w:rPr>
        <w:drawing>
          <wp:inline distT="0" distB="0" distL="0" distR="0" wp14:anchorId="31F0D70D" wp14:editId="0014734B">
            <wp:extent cx="5943600" cy="3004185"/>
            <wp:effectExtent l="0" t="0" r="0" b="5715"/>
            <wp:docPr id="95" name="Picture 95" descr="Example of Emergency Order checkbox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Example of Emergency Order checkbox screen capt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3600" cy="3004185"/>
                    </a:xfrm>
                    <a:prstGeom prst="rect">
                      <a:avLst/>
                    </a:prstGeom>
                    <a:noFill/>
                    <a:ln>
                      <a:noFill/>
                    </a:ln>
                  </pic:spPr>
                </pic:pic>
              </a:graphicData>
            </a:graphic>
          </wp:inline>
        </w:drawing>
      </w:r>
    </w:p>
    <w:p w14:paraId="020479C9" w14:textId="77777777" w:rsidR="008818F2" w:rsidRPr="000026FF" w:rsidRDefault="008818F2" w:rsidP="001055DF">
      <w:pPr>
        <w:numPr>
          <w:ilvl w:val="0"/>
          <w:numId w:val="70"/>
        </w:numPr>
        <w:spacing w:before="60" w:after="120"/>
        <w:ind w:left="360"/>
        <w:rPr>
          <w:sz w:val="22"/>
          <w:szCs w:val="22"/>
        </w:rPr>
      </w:pPr>
      <w:r w:rsidRPr="000026FF">
        <w:rPr>
          <w:sz w:val="22"/>
          <w:szCs w:val="22"/>
        </w:rPr>
        <w:t>Select Units and issue from the Emergency Issue tab until a specimen is received.</w:t>
      </w:r>
    </w:p>
    <w:p w14:paraId="00C0CF97" w14:textId="228EB29F" w:rsidR="00910216" w:rsidRDefault="00910216" w:rsidP="001055DF">
      <w:pPr>
        <w:numPr>
          <w:ilvl w:val="0"/>
          <w:numId w:val="70"/>
        </w:numPr>
        <w:spacing w:before="60" w:after="120"/>
        <w:ind w:left="360"/>
        <w:rPr>
          <w:sz w:val="22"/>
          <w:szCs w:val="22"/>
        </w:rPr>
      </w:pPr>
      <w:r>
        <w:rPr>
          <w:sz w:val="22"/>
          <w:szCs w:val="22"/>
        </w:rPr>
        <w:br w:type="page"/>
      </w:r>
      <w:r w:rsidR="008818F2" w:rsidRPr="000026FF">
        <w:rPr>
          <w:sz w:val="22"/>
          <w:szCs w:val="22"/>
        </w:rPr>
        <w:lastRenderedPageBreak/>
        <w:t xml:space="preserve">Associate the specimen with the RBC order in Select Units by selecting one of the ISSUED units to perform retrospective crossmatch testing. Click the </w:t>
      </w:r>
      <w:r w:rsidR="004D44ED">
        <w:rPr>
          <w:sz w:val="22"/>
          <w:szCs w:val="22"/>
        </w:rPr>
        <w:t>Find</w:t>
      </w:r>
      <w:r w:rsidR="008818F2" w:rsidRPr="000026FF">
        <w:rPr>
          <w:sz w:val="22"/>
          <w:szCs w:val="22"/>
        </w:rPr>
        <w:t xml:space="preserve"> button to search for </w:t>
      </w:r>
      <w:r w:rsidR="00070C25">
        <w:rPr>
          <w:sz w:val="22"/>
          <w:szCs w:val="22"/>
        </w:rPr>
        <w:t xml:space="preserve">an </w:t>
      </w:r>
      <w:r w:rsidR="008818F2" w:rsidRPr="000026FF">
        <w:rPr>
          <w:sz w:val="22"/>
          <w:szCs w:val="22"/>
        </w:rPr>
        <w:t>available specimen UID</w:t>
      </w:r>
      <w:r w:rsidR="009219F9">
        <w:rPr>
          <w:sz w:val="22"/>
          <w:szCs w:val="22"/>
        </w:rPr>
        <w:t xml:space="preserve"> (</w:t>
      </w:r>
      <w:r w:rsidR="00EE455E" w:rsidRPr="00EE455E">
        <w:rPr>
          <w:sz w:val="22"/>
          <w:szCs w:val="22"/>
        </w:rPr>
        <w:t xml:space="preserve">Figure </w:t>
      </w:r>
      <w:r w:rsidR="00EE455E" w:rsidRPr="00EE455E">
        <w:rPr>
          <w:noProof/>
          <w:sz w:val="22"/>
          <w:szCs w:val="22"/>
        </w:rPr>
        <w:t>90</w:t>
      </w:r>
      <w:r w:rsidR="009219F9" w:rsidRPr="009219F9">
        <w:rPr>
          <w:sz w:val="22"/>
          <w:szCs w:val="22"/>
        </w:rPr>
        <w:t>)</w:t>
      </w:r>
      <w:r w:rsidR="008818F2" w:rsidRPr="009219F9">
        <w:rPr>
          <w:sz w:val="22"/>
          <w:szCs w:val="22"/>
        </w:rPr>
        <w:t xml:space="preserve">. See the </w:t>
      </w:r>
      <w:r w:rsidR="00EE455E">
        <w:t>Select Units</w:t>
      </w:r>
      <w:r w:rsidR="009219F9">
        <w:rPr>
          <w:sz w:val="22"/>
          <w:szCs w:val="22"/>
        </w:rPr>
        <w:t xml:space="preserve"> section</w:t>
      </w:r>
      <w:r w:rsidR="008818F2" w:rsidRPr="000026FF">
        <w:rPr>
          <w:sz w:val="22"/>
          <w:szCs w:val="22"/>
        </w:rPr>
        <w:t xml:space="preserve"> for </w:t>
      </w:r>
      <w:r w:rsidR="00E90A01">
        <w:rPr>
          <w:sz w:val="22"/>
          <w:szCs w:val="22"/>
        </w:rPr>
        <w:t>additional</w:t>
      </w:r>
      <w:r w:rsidR="008818F2" w:rsidRPr="000026FF">
        <w:rPr>
          <w:sz w:val="22"/>
          <w:szCs w:val="22"/>
        </w:rPr>
        <w:t xml:space="preserve"> information.</w:t>
      </w:r>
    </w:p>
    <w:p w14:paraId="7FE896D7" w14:textId="1A665033" w:rsidR="008818F2" w:rsidRPr="000026FF" w:rsidRDefault="00910216" w:rsidP="00910216">
      <w:pPr>
        <w:pStyle w:val="Caption"/>
      </w:pPr>
      <w:bookmarkStart w:id="434" w:name="_Ref5070798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91</w:t>
      </w:r>
      <w:r w:rsidR="004E20BD">
        <w:rPr>
          <w:noProof/>
        </w:rPr>
        <w:fldChar w:fldCharType="end"/>
      </w:r>
      <w:bookmarkEnd w:id="434"/>
      <w:r>
        <w:t>: Example of Specimen UID</w:t>
      </w:r>
    </w:p>
    <w:p w14:paraId="18EFB5C8" w14:textId="29070385" w:rsidR="008818F2" w:rsidRDefault="00057948" w:rsidP="000026FF">
      <w:pPr>
        <w:pStyle w:val="BodyText"/>
      </w:pPr>
      <w:r>
        <w:rPr>
          <w:noProof/>
        </w:rPr>
        <mc:AlternateContent>
          <mc:Choice Requires="wps">
            <w:drawing>
              <wp:anchor distT="0" distB="0" distL="114300" distR="114300" simplePos="0" relativeHeight="252097024" behindDoc="0" locked="0" layoutInCell="1" allowOverlap="1" wp14:anchorId="6FA79141" wp14:editId="22242F55">
                <wp:simplePos x="0" y="0"/>
                <wp:positionH relativeFrom="column">
                  <wp:posOffset>4305300</wp:posOffset>
                </wp:positionH>
                <wp:positionV relativeFrom="paragraph">
                  <wp:posOffset>2019935</wp:posOffset>
                </wp:positionV>
                <wp:extent cx="1209675" cy="190500"/>
                <wp:effectExtent l="28575" t="19685" r="9525" b="8890"/>
                <wp:wrapNone/>
                <wp:docPr id="400" name="AutoShape 1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495B" id="AutoShape 1317" o:spid="_x0000_s1026" type="#_x0000_t66" alt="&quot;&quot;" style="position:absolute;margin-left:339pt;margin-top:159.05pt;width:95.25pt;height:1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" fillcolor="red"/>
            </w:pict>
          </mc:Fallback>
        </mc:AlternateContent>
      </w:r>
      <w:r w:rsidR="000D602C">
        <w:rPr>
          <w:noProof/>
        </w:rPr>
        <w:drawing>
          <wp:inline distT="0" distB="0" distL="0" distR="0" wp14:anchorId="52DA02C1" wp14:editId="57A5A8AD">
            <wp:extent cx="5943600" cy="3526790"/>
            <wp:effectExtent l="0" t="0" r="0" b="0"/>
            <wp:docPr id="153" name="Picture 153" descr="Example of Specimen UID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Example of Specimen UID screen capt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inline>
        </w:drawing>
      </w:r>
    </w:p>
    <w:p w14:paraId="3F1D6DE2" w14:textId="77777777" w:rsidR="0073493B" w:rsidRDefault="00AC2D9E" w:rsidP="0073493B">
      <w:pPr>
        <w:pStyle w:val="Heading2"/>
      </w:pPr>
      <w:r>
        <w:br w:type="page"/>
      </w:r>
      <w:bookmarkStart w:id="435" w:name="_Toc163644939"/>
      <w:r w:rsidR="0073493B">
        <w:lastRenderedPageBreak/>
        <w:t>Maintain Specimen</w:t>
      </w:r>
      <w:bookmarkEnd w:id="435"/>
      <w:r w:rsidR="0073493B">
        <w:fldChar w:fldCharType="begin"/>
      </w:r>
      <w:r w:rsidR="0073493B">
        <w:instrText xml:space="preserve"> XE “Maintain Specimen” </w:instrText>
      </w:r>
      <w:r w:rsidR="0073493B">
        <w:fldChar w:fldCharType="end"/>
      </w:r>
      <w:r w:rsidR="0073493B">
        <w:t xml:space="preserve"> </w:t>
      </w:r>
      <w:r w:rsidR="0073493B">
        <w:rPr>
          <w:rFonts w:ascii="Times New Roman" w:hAnsi="Times New Roman" w:cs="Times New Roman"/>
          <w:b w:val="0"/>
          <w:i w:val="0"/>
          <w:vanish/>
          <w:sz w:val="22"/>
        </w:rPr>
        <w:t>UC_35</w:t>
      </w:r>
    </w:p>
    <w:p w14:paraId="670D41BA"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29F797B" w14:textId="77777777" w:rsidR="0073493B" w:rsidRDefault="0073493B" w:rsidP="0073493B">
      <w:pPr>
        <w:pStyle w:val="Heading4"/>
      </w:pPr>
      <w:r>
        <w:t>Assumptions</w:t>
      </w:r>
      <w:r>
        <w:rPr>
          <w:b w:val="0"/>
        </w:rPr>
        <w:t xml:space="preserve"> </w:t>
      </w:r>
    </w:p>
    <w:p w14:paraId="3B040F4B" w14:textId="77777777" w:rsidR="0073493B" w:rsidRDefault="0073493B" w:rsidP="0073493B">
      <w:pPr>
        <w:pStyle w:val="ListBullet"/>
      </w:pPr>
      <w:r>
        <w:t>Pending CPRS orders and active orders require an acceptable specimen.</w:t>
      </w:r>
    </w:p>
    <w:p w14:paraId="25CB7F26" w14:textId="77777777" w:rsidR="0073493B" w:rsidRDefault="0073493B" w:rsidP="0073493B">
      <w:pPr>
        <w:pStyle w:val="ListBullet"/>
      </w:pPr>
      <w:r>
        <w:t xml:space="preserve">A specimen was collected and previously accessioned in the </w:t>
      </w:r>
      <w:r w:rsidRPr="00CA6E27">
        <w:rPr>
          <w:bCs/>
        </w:rPr>
        <w:t>VistA</w:t>
      </w:r>
      <w:r>
        <w:rPr>
          <w:b/>
          <w:bCs/>
        </w:rPr>
        <w:t xml:space="preserve"> </w:t>
      </w:r>
      <w:r>
        <w:rPr>
          <w:bCs/>
        </w:rPr>
        <w:t>Laboratory system, which generated</w:t>
      </w:r>
      <w:r>
        <w:t xml:space="preserve"> the specimen’s universal ID (UID). </w:t>
      </w:r>
    </w:p>
    <w:p w14:paraId="0AD9A98D" w14:textId="77777777" w:rsidR="0073493B" w:rsidRDefault="0073493B" w:rsidP="0073493B">
      <w:pPr>
        <w:pStyle w:val="Heading4"/>
      </w:pPr>
      <w:r>
        <w:t xml:space="preserve">Outcome </w:t>
      </w:r>
    </w:p>
    <w:p w14:paraId="5B4A4A68" w14:textId="77777777" w:rsidR="0073493B" w:rsidRDefault="0073493B" w:rsidP="0073493B">
      <w:pPr>
        <w:pStyle w:val="ListBullet"/>
      </w:pPr>
      <w:r>
        <w:t>The user accepted or rejected a specimen.</w:t>
      </w:r>
    </w:p>
    <w:p w14:paraId="4C155CDC" w14:textId="77777777" w:rsidR="0073493B" w:rsidRDefault="0073493B" w:rsidP="0073493B">
      <w:pPr>
        <w:pStyle w:val="Heading4"/>
      </w:pPr>
      <w:r>
        <w:t>Limitations and Restrictions</w:t>
      </w:r>
      <w:r>
        <w:rPr>
          <w:b w:val="0"/>
        </w:rPr>
        <w:t xml:space="preserve"> </w:t>
      </w:r>
    </w:p>
    <w:p w14:paraId="6A983F08" w14:textId="77777777" w:rsidR="00597E97" w:rsidRDefault="00597E97" w:rsidP="0073493B">
      <w:pPr>
        <w:pStyle w:val="ListBullet"/>
      </w:pPr>
      <w:r>
        <w:t>When a search by UID causes VBECS to time out, repeat the search by UID and patient name or by patient name only.</w:t>
      </w:r>
      <w:r w:rsidR="009303DE">
        <w:t xml:space="preserve"> </w:t>
      </w:r>
      <w:r w:rsidR="009303DE" w:rsidRPr="009303DE">
        <w:rPr>
          <w:vanish/>
        </w:rPr>
        <w:t>(UserDoc Tasks 1089 and 1090)</w:t>
      </w:r>
    </w:p>
    <w:p w14:paraId="6DB71150" w14:textId="77777777" w:rsidR="0073493B" w:rsidRDefault="0073493B" w:rsidP="0073493B">
      <w:pPr>
        <w:pStyle w:val="ListBullet"/>
      </w:pPr>
      <w:r>
        <w:t>Specimen recollection requests must be made offline.</w:t>
      </w:r>
    </w:p>
    <w:p w14:paraId="23200A1F" w14:textId="77777777" w:rsidR="008F0300" w:rsidRDefault="008F0300" w:rsidP="0073493B">
      <w:pPr>
        <w:pStyle w:val="ListBullet"/>
      </w:pPr>
      <w:bookmarkStart w:id="436" w:name="OLE_LINK5"/>
      <w:bookmarkStart w:id="437" w:name="OLE_LINK6"/>
      <w:r>
        <w:t>Designating a specimen as “unacceptable” after accepting a CPRS order closes that order and requires a new CPRS order and sample.</w:t>
      </w:r>
    </w:p>
    <w:bookmarkEnd w:id="436"/>
    <w:bookmarkEnd w:id="437"/>
    <w:p w14:paraId="1F311C02" w14:textId="77777777" w:rsidR="0073493B" w:rsidRDefault="0073493B" w:rsidP="0073493B">
      <w:pPr>
        <w:pStyle w:val="Heading4"/>
      </w:pPr>
      <w:r>
        <w:t xml:space="preserve">Additional Information </w:t>
      </w:r>
    </w:p>
    <w:p w14:paraId="3A0C3CE9" w14:textId="58A97DEB" w:rsidR="0073493B" w:rsidRDefault="0073493B" w:rsidP="0073493B">
      <w:pPr>
        <w:pStyle w:val="ListBullet"/>
      </w:pPr>
      <w:r>
        <w:t>A specimen may be marked unsuitable for use after its acceptance.</w:t>
      </w:r>
      <w:r w:rsidR="00963554">
        <w:t xml:space="preserve"> </w:t>
      </w:r>
      <w:r w:rsidR="00963554" w:rsidRPr="00963554">
        <w:rPr>
          <w:vanish/>
        </w:rPr>
        <w:t>Defect 213368</w:t>
      </w:r>
    </w:p>
    <w:p w14:paraId="02899BBA" w14:textId="77777777" w:rsidR="0073493B" w:rsidRDefault="0073493B" w:rsidP="0073493B">
      <w:pPr>
        <w:pStyle w:val="ListBullet"/>
      </w:pPr>
      <w:r>
        <w:t>A specimen expiration date may be edited after acceptance.</w:t>
      </w:r>
    </w:p>
    <w:p w14:paraId="7427E351" w14:textId="77777777" w:rsidR="0073493B" w:rsidRDefault="0073493B" w:rsidP="0073493B">
      <w:pPr>
        <w:pStyle w:val="ListBullet"/>
      </w:pPr>
      <w:r>
        <w:t>A specimen may be recollected without</w:t>
      </w:r>
      <w:r w:rsidR="008F0300">
        <w:t xml:space="preserve"> canceling or reordering</w:t>
      </w:r>
      <w:r>
        <w:t xml:space="preserve"> the </w:t>
      </w:r>
      <w:r w:rsidRPr="00CA6E27">
        <w:rPr>
          <w:bCs/>
        </w:rPr>
        <w:t>VistA</w:t>
      </w:r>
      <w:r>
        <w:t xml:space="preserve"> order. This practice is dictated by local policy and procedures.</w:t>
      </w:r>
    </w:p>
    <w:p w14:paraId="394895D6" w14:textId="77777777" w:rsidR="0073493B" w:rsidRDefault="0073493B" w:rsidP="0073493B">
      <w:pPr>
        <w:pStyle w:val="ListBullet"/>
      </w:pPr>
      <w:r>
        <w:t>Specimens marked as originally associated with diagnostic tests only or unacceptable are not considered available specimens when CPRS is queried for specimen availability.</w:t>
      </w:r>
    </w:p>
    <w:p w14:paraId="30A90371" w14:textId="77777777" w:rsidR="0073493B" w:rsidRDefault="0073493B" w:rsidP="0073493B">
      <w:pPr>
        <w:pStyle w:val="Heading4"/>
        <w:rPr>
          <w:b w:val="0"/>
        </w:rPr>
      </w:pPr>
      <w:r>
        <w:t>User Roles with Access to This Option</w:t>
      </w:r>
    </w:p>
    <w:p w14:paraId="5EF5D194" w14:textId="77777777" w:rsidR="0073493B" w:rsidRDefault="0073493B" w:rsidP="0073493B">
      <w:pPr>
        <w:pStyle w:val="Roles"/>
        <w:rPr>
          <w:snapToGrid w:val="0"/>
        </w:rPr>
      </w:pPr>
      <w:r>
        <w:t>All users</w:t>
      </w:r>
    </w:p>
    <w:p w14:paraId="1775F834" w14:textId="77777777" w:rsidR="0073493B" w:rsidRDefault="0073493B" w:rsidP="0073493B">
      <w:pPr>
        <w:pStyle w:val="Heading4"/>
      </w:pPr>
      <w:r>
        <w:t>Maintain Specimen</w:t>
      </w:r>
    </w:p>
    <w:p w14:paraId="23BFA9C6"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AE0E454" w14:textId="77777777" w:rsidR="0073493B" w:rsidRDefault="0073493B" w:rsidP="0073493B">
      <w:pPr>
        <w:pStyle w:val="BodyText"/>
      </w:pPr>
      <w:r>
        <w:t>Information about a previously accepted specimen may be updated. The user may verify whether an active specimen is currently in the blood bank or update the information concerning a previously accepted specimen. After the user checks the physician’s order against the specimen requirement, the user verifies the specimen’s condition, labeling, and accompanying paperwork, according to local policy. The user verifies the specimen information and acceptability and prepares the specimen for testing.</w:t>
      </w:r>
    </w:p>
    <w:p w14:paraId="70A4245C" w14:textId="77777777" w:rsidR="0073493B" w:rsidRDefault="0073493B" w:rsidP="0073493B">
      <w:pPr>
        <w:pStyle w:val="BodyText"/>
      </w:pPr>
      <w:r>
        <w:t xml:space="preserve">The user may edit specimen information, such as extending the expiration time according to local policy, and marking a specimen as unsatisfactory or expired so that future orders require that a new specimen be collected. </w:t>
      </w:r>
    </w:p>
    <w:p w14:paraId="6413BFF3" w14:textId="77777777" w:rsidR="00E661A1" w:rsidRDefault="0073493B" w:rsidP="0073493B">
      <w:pPr>
        <w:pStyle w:val="BodyText"/>
      </w:pPr>
      <w:r>
        <w:t>When a specimen is required, the user must find that specimen before acknowledging that order, as described in Accept Orders: Accept an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3493B" w14:paraId="1936C87B" w14:textId="77777777">
        <w:trPr>
          <w:cantSplit/>
          <w:tblHeader/>
        </w:trPr>
        <w:tc>
          <w:tcPr>
            <w:tcW w:w="3240" w:type="dxa"/>
            <w:shd w:val="pct30" w:color="auto" w:fill="FFFFFF"/>
            <w:vAlign w:val="bottom"/>
          </w:tcPr>
          <w:p w14:paraId="7983C2AA" w14:textId="14F49460" w:rsidR="0073493B" w:rsidRDefault="00E661A1" w:rsidP="00141448">
            <w:pPr>
              <w:pStyle w:val="TableText"/>
              <w:rPr>
                <w:b/>
              </w:rPr>
            </w:pPr>
            <w:r>
              <w:lastRenderedPageBreak/>
              <w:br w:type="page"/>
            </w:r>
            <w:r w:rsidR="0073493B">
              <w:rPr>
                <w:b/>
              </w:rPr>
              <w:t>User Action</w:t>
            </w:r>
          </w:p>
        </w:tc>
        <w:tc>
          <w:tcPr>
            <w:tcW w:w="6120" w:type="dxa"/>
            <w:shd w:val="pct30" w:color="auto" w:fill="FFFFFF"/>
            <w:vAlign w:val="bottom"/>
          </w:tcPr>
          <w:p w14:paraId="4ECFE952" w14:textId="77777777" w:rsidR="0073493B" w:rsidRDefault="0073493B" w:rsidP="00141448">
            <w:pPr>
              <w:pStyle w:val="TableText"/>
              <w:rPr>
                <w:b/>
              </w:rPr>
            </w:pPr>
            <w:r>
              <w:rPr>
                <w:b/>
              </w:rPr>
              <w:t>VBECS</w:t>
            </w:r>
          </w:p>
        </w:tc>
      </w:tr>
      <w:tr w:rsidR="0073493B" w14:paraId="36AB06AA" w14:textId="77777777">
        <w:tc>
          <w:tcPr>
            <w:tcW w:w="3240" w:type="dxa"/>
          </w:tcPr>
          <w:p w14:paraId="65B5DA6B" w14:textId="77777777" w:rsidR="0073493B" w:rsidRDefault="0073493B" w:rsidP="00141448">
            <w:pPr>
              <w:pStyle w:val="TableTextNumbers"/>
            </w:pPr>
            <w:r>
              <w:t xml:space="preserve">Select </w:t>
            </w:r>
            <w:r>
              <w:rPr>
                <w:b/>
              </w:rPr>
              <w:t>Orders</w:t>
            </w:r>
            <w:r>
              <w:t xml:space="preserve"> from the main menu.</w:t>
            </w:r>
          </w:p>
          <w:p w14:paraId="0C891C82" w14:textId="77777777" w:rsidR="0073493B" w:rsidRDefault="0073493B" w:rsidP="00141448">
            <w:pPr>
              <w:pStyle w:val="TableTextNumbersContinued"/>
            </w:pPr>
          </w:p>
          <w:p w14:paraId="03174E58" w14:textId="77777777" w:rsidR="0073493B" w:rsidRDefault="0073493B" w:rsidP="00141448">
            <w:pPr>
              <w:pStyle w:val="TableTextNumbersContinued"/>
            </w:pPr>
            <w:r>
              <w:t xml:space="preserve">Select </w:t>
            </w:r>
            <w:r>
              <w:rPr>
                <w:b/>
              </w:rPr>
              <w:t>Maintain Specimen</w:t>
            </w:r>
            <w:r>
              <w:t>.</w:t>
            </w:r>
          </w:p>
        </w:tc>
        <w:tc>
          <w:tcPr>
            <w:tcW w:w="6120" w:type="dxa"/>
          </w:tcPr>
          <w:p w14:paraId="30253267" w14:textId="77777777" w:rsidR="0073493B" w:rsidRDefault="0073493B" w:rsidP="00141448">
            <w:pPr>
              <w:pStyle w:val="TableTextBullet"/>
            </w:pPr>
            <w:r>
              <w:t>Displays options for processing orders.</w:t>
            </w:r>
          </w:p>
          <w:p w14:paraId="1E0B683F" w14:textId="77777777" w:rsidR="0073493B" w:rsidRDefault="0073493B" w:rsidP="00141448">
            <w:pPr>
              <w:pStyle w:val="TableTextBullet"/>
            </w:pPr>
            <w:r>
              <w:t>Displays fields for entering patient specimen information.</w:t>
            </w:r>
          </w:p>
        </w:tc>
      </w:tr>
      <w:tr w:rsidR="0073493B" w14:paraId="54DD1152" w14:textId="77777777">
        <w:tc>
          <w:tcPr>
            <w:tcW w:w="3240" w:type="dxa"/>
          </w:tcPr>
          <w:p w14:paraId="5A2B7010" w14:textId="77777777" w:rsidR="0073493B" w:rsidRDefault="0073493B" w:rsidP="00141448">
            <w:pPr>
              <w:pStyle w:val="TableTextNumbers"/>
            </w:pPr>
            <w:r>
              <w:t>Scan or enter the specimen’s UID.</w:t>
            </w:r>
          </w:p>
        </w:tc>
        <w:tc>
          <w:tcPr>
            <w:tcW w:w="6120" w:type="dxa"/>
          </w:tcPr>
          <w:p w14:paraId="4F76FA84" w14:textId="77777777" w:rsidR="0073493B" w:rsidRDefault="0073493B" w:rsidP="00141448">
            <w:pPr>
              <w:pStyle w:val="TableTextBullet"/>
            </w:pPr>
            <w:r>
              <w:t xml:space="preserve">Displays a field to enter the specimen UID and allows the user to search for existing specimens. </w:t>
            </w:r>
          </w:p>
          <w:p w14:paraId="22757897" w14:textId="77777777" w:rsidR="0073493B" w:rsidRDefault="0073493B" w:rsidP="00141448">
            <w:pPr>
              <w:pStyle w:val="TableTextBullet"/>
            </w:pPr>
            <w:r>
              <w:t>Displays previously entered information for the specimen and accommodates data entry of new specimen information.</w:t>
            </w:r>
          </w:p>
          <w:p w14:paraId="0F9FFC25" w14:textId="77777777" w:rsidR="0073493B" w:rsidRDefault="0073493B" w:rsidP="00141448">
            <w:pPr>
              <w:pStyle w:val="TableText"/>
            </w:pPr>
          </w:p>
          <w:p w14:paraId="0798CF44" w14:textId="70F9DE91" w:rsidR="0073493B" w:rsidRDefault="0073493B" w:rsidP="00141448">
            <w:pPr>
              <w:pStyle w:val="TableText"/>
              <w:rPr>
                <w:b/>
                <w:bCs/>
                <w:szCs w:val="18"/>
              </w:rPr>
            </w:pPr>
            <w:r>
              <w:rPr>
                <w:b/>
                <w:bCs/>
                <w:szCs w:val="18"/>
              </w:rPr>
              <w:t>NOTES</w:t>
            </w:r>
          </w:p>
          <w:p w14:paraId="0C54238C" w14:textId="77777777" w:rsidR="0073493B" w:rsidRDefault="0073493B" w:rsidP="00141448">
            <w:pPr>
              <w:pStyle w:val="NotesText"/>
            </w:pPr>
          </w:p>
          <w:p w14:paraId="12E45C0C" w14:textId="77777777" w:rsidR="0073493B" w:rsidRDefault="0073493B" w:rsidP="00141448">
            <w:pPr>
              <w:pStyle w:val="NotesText"/>
            </w:pPr>
            <w:r>
              <w:t xml:space="preserve">The user may: </w:t>
            </w:r>
          </w:p>
          <w:p w14:paraId="5DABF5F3" w14:textId="77777777" w:rsidR="0073493B" w:rsidRDefault="0073493B" w:rsidP="00141448">
            <w:pPr>
              <w:pStyle w:val="NotesTextBullet"/>
            </w:pPr>
            <w:r>
              <w:t>Create and/or maintain a specimen associated with an order from Accept Orders: Accept an Order.</w:t>
            </w:r>
          </w:p>
          <w:p w14:paraId="290750F5" w14:textId="77777777" w:rsidR="0073493B" w:rsidRDefault="0073493B" w:rsidP="00141448">
            <w:pPr>
              <w:pStyle w:val="NotesTextBullet"/>
            </w:pPr>
            <w:r>
              <w:t>Update specimen information from a previously received specimen.</w:t>
            </w:r>
          </w:p>
          <w:p w14:paraId="18B98D24" w14:textId="77777777" w:rsidR="0073493B" w:rsidRDefault="0073493B" w:rsidP="00141448">
            <w:pPr>
              <w:pStyle w:val="NotesText"/>
            </w:pPr>
          </w:p>
          <w:p w14:paraId="21685228" w14:textId="77777777" w:rsidR="0073493B" w:rsidRDefault="0073493B" w:rsidP="00141448">
            <w:pPr>
              <w:pStyle w:val="NotesText"/>
            </w:pPr>
            <w:r>
              <w:rPr>
                <w:rFonts w:cs="Arial"/>
                <w:vanish/>
              </w:rPr>
              <w:t xml:space="preserve">BR_35.04 </w:t>
            </w:r>
            <w:r>
              <w:t xml:space="preserve">Specimens associated with blood bank diagnostic tests are not available in Maintain Specimen. </w:t>
            </w:r>
            <w:r w:rsidR="00113E2C">
              <w:t>Specimens collected for diagnostic tests only are to be used for performing the specifically ordered tests and are not available for processing blood component orders.</w:t>
            </w:r>
            <w:r w:rsidR="00A4315F">
              <w:t xml:space="preserve"> </w:t>
            </w:r>
          </w:p>
          <w:p w14:paraId="3A248539" w14:textId="77777777" w:rsidR="0073493B" w:rsidRDefault="0073493B" w:rsidP="00141448">
            <w:pPr>
              <w:pStyle w:val="NotesText"/>
            </w:pPr>
          </w:p>
          <w:p w14:paraId="2617BA7E" w14:textId="44C4C61C" w:rsidR="0073493B" w:rsidRDefault="0078306A" w:rsidP="00141448">
            <w:pPr>
              <w:pStyle w:val="NotesText"/>
            </w:pPr>
            <w:r>
              <w:t xml:space="preserve">See </w:t>
            </w:r>
            <w:r w:rsidR="00EE455E" w:rsidRPr="008000E5">
              <w:t>Configure Division</w:t>
            </w:r>
            <w:r>
              <w:t xml:space="preserve"> for how long t</w:t>
            </w:r>
            <w:r w:rsidR="0073493B">
              <w:t xml:space="preserve">he orders and associated specimens </w:t>
            </w:r>
            <w:r>
              <w:t>can be</w:t>
            </w:r>
            <w:r w:rsidR="0073493B">
              <w:t xml:space="preserve"> maintained before th</w:t>
            </w:r>
            <w:r>
              <w:t xml:space="preserve">ey </w:t>
            </w:r>
            <w:r w:rsidR="0073493B">
              <w:t>expire: Type &amp; Screen (TAS), component orders (RBC, FFP, CRYO, PLT, WB, OTHER).</w:t>
            </w:r>
          </w:p>
          <w:p w14:paraId="775A44FE" w14:textId="77777777" w:rsidR="0073493B" w:rsidRDefault="0073493B" w:rsidP="00141448">
            <w:pPr>
              <w:pStyle w:val="NotesText"/>
            </w:pPr>
          </w:p>
          <w:p w14:paraId="5D15C094" w14:textId="77777777" w:rsidR="0073493B" w:rsidRDefault="0073493B" w:rsidP="00141448">
            <w:pPr>
              <w:pStyle w:val="NotesText"/>
            </w:pPr>
            <w:r>
              <w:t>The list of orderable and reflex tests below may be added to a specimen maintained for a component order, but may not have a component order added to them: they do not have maintained specimens.</w:t>
            </w:r>
          </w:p>
          <w:p w14:paraId="2689D4CB" w14:textId="77777777" w:rsidR="0073493B" w:rsidRDefault="0073493B" w:rsidP="00141448">
            <w:pPr>
              <w:pStyle w:val="NotesText"/>
            </w:pPr>
          </w:p>
          <w:p w14:paraId="10B54039" w14:textId="77777777" w:rsidR="0073493B" w:rsidRDefault="0073493B" w:rsidP="00141448">
            <w:pPr>
              <w:pStyle w:val="NotesText"/>
            </w:pPr>
            <w:r>
              <w:t>The</w:t>
            </w:r>
            <w:r w:rsidR="00C53077">
              <w:t>se test</w:t>
            </w:r>
            <w:r>
              <w:t xml:space="preserve">s have a specimen drawn and used for their ordered test. The specimens are not maintained for component preparation: </w:t>
            </w:r>
          </w:p>
          <w:p w14:paraId="146D8155" w14:textId="77777777" w:rsidR="0073493B" w:rsidRDefault="0073493B" w:rsidP="00141448">
            <w:pPr>
              <w:pStyle w:val="NotesTextBullet"/>
            </w:pPr>
            <w:r>
              <w:t>DAT</w:t>
            </w:r>
          </w:p>
          <w:p w14:paraId="48075D50" w14:textId="77777777" w:rsidR="0073493B" w:rsidRDefault="0073493B" w:rsidP="00141448">
            <w:pPr>
              <w:pStyle w:val="NotesTextBullet"/>
            </w:pPr>
            <w:r>
              <w:t>ABS</w:t>
            </w:r>
          </w:p>
          <w:p w14:paraId="5D93B22F" w14:textId="77777777" w:rsidR="0073493B" w:rsidRDefault="0073493B" w:rsidP="00141448">
            <w:pPr>
              <w:pStyle w:val="NotesTextBullet"/>
            </w:pPr>
            <w:r>
              <w:t>ABO/Rh</w:t>
            </w:r>
          </w:p>
          <w:p w14:paraId="0627930A" w14:textId="77777777" w:rsidR="0073493B" w:rsidRDefault="00A10483" w:rsidP="00141448">
            <w:pPr>
              <w:pStyle w:val="NotesTextBullet"/>
            </w:pPr>
            <w:r>
              <w:t>Transfusion</w:t>
            </w:r>
            <w:r w:rsidR="00113E2C">
              <w:t xml:space="preserve"> </w:t>
            </w:r>
            <w:r w:rsidR="0073493B">
              <w:t>R</w:t>
            </w:r>
            <w:r w:rsidR="00113E2C">
              <w:t xml:space="preserve">eaction </w:t>
            </w:r>
            <w:r w:rsidR="0073493B">
              <w:t>W</w:t>
            </w:r>
            <w:r w:rsidR="00113E2C">
              <w:t>orkup (TRW)</w:t>
            </w:r>
          </w:p>
          <w:p w14:paraId="37409191" w14:textId="77777777" w:rsidR="0073493B" w:rsidRDefault="0073493B" w:rsidP="00141448">
            <w:pPr>
              <w:pStyle w:val="NotesText"/>
            </w:pPr>
          </w:p>
          <w:p w14:paraId="431D4496" w14:textId="77777777" w:rsidR="0073493B" w:rsidRDefault="0073493B" w:rsidP="00564CD2">
            <w:pPr>
              <w:pStyle w:val="NotesText"/>
            </w:pPr>
            <w:r>
              <w:rPr>
                <w:rFonts w:cs="Arial"/>
                <w:vanish/>
              </w:rPr>
              <w:t xml:space="preserve">BR_35.22 </w:t>
            </w:r>
            <w:r>
              <w:t>VBECS allows the user to search all existing patient specimens associated with a specific patient. The user may enter the patient name or a specimen UID to access the list.</w:t>
            </w:r>
          </w:p>
        </w:tc>
      </w:tr>
      <w:tr w:rsidR="0073493B" w14:paraId="62CED686" w14:textId="77777777">
        <w:tc>
          <w:tcPr>
            <w:tcW w:w="3240" w:type="dxa"/>
          </w:tcPr>
          <w:p w14:paraId="3FEE6708" w14:textId="2A9E2305" w:rsidR="0073493B" w:rsidRDefault="0073493B" w:rsidP="00141448">
            <w:pPr>
              <w:pStyle w:val="TableTextNumbers"/>
            </w:pPr>
            <w:r>
              <w:t>Enter new specimen information or edit previously entered information</w:t>
            </w:r>
            <w:r w:rsidR="00833047">
              <w:t xml:space="preserve"> (</w:t>
            </w:r>
            <w:r w:rsidR="00EE455E">
              <w:t xml:space="preserve">Figure </w:t>
            </w:r>
            <w:r w:rsidR="00EE455E">
              <w:rPr>
                <w:noProof/>
              </w:rPr>
              <w:t>86</w:t>
            </w:r>
            <w:r w:rsidR="00833047">
              <w:t>)</w:t>
            </w:r>
            <w:r>
              <w:t>.</w:t>
            </w:r>
          </w:p>
        </w:tc>
        <w:tc>
          <w:tcPr>
            <w:tcW w:w="6120" w:type="dxa"/>
          </w:tcPr>
          <w:p w14:paraId="37F37B7E" w14:textId="77777777" w:rsidR="0073493B" w:rsidRPr="00BF10B2" w:rsidRDefault="0073493B" w:rsidP="00141448">
            <w:pPr>
              <w:pStyle w:val="TableTextBullet"/>
            </w:pPr>
            <w:r w:rsidRPr="00BF10B2">
              <w:t xml:space="preserve">Displays uneditable patient demographic information. </w:t>
            </w:r>
          </w:p>
          <w:p w14:paraId="12D56598" w14:textId="77777777" w:rsidR="0073493B" w:rsidRPr="00BF10B2" w:rsidRDefault="0073493B" w:rsidP="00141448">
            <w:pPr>
              <w:pStyle w:val="TableTextBullet"/>
            </w:pPr>
            <w:r w:rsidRPr="00BF10B2">
              <w:t>Displays an option to edit.</w:t>
            </w:r>
          </w:p>
          <w:p w14:paraId="1FA74360" w14:textId="77777777" w:rsidR="0073493B" w:rsidRPr="00BF10B2" w:rsidRDefault="0073493B" w:rsidP="00141448">
            <w:pPr>
              <w:pStyle w:val="TableText"/>
            </w:pPr>
          </w:p>
          <w:p w14:paraId="6ED07477" w14:textId="3CDC56B0" w:rsidR="0073493B" w:rsidRDefault="0073493B" w:rsidP="00141448">
            <w:pPr>
              <w:pStyle w:val="TableText"/>
              <w:rPr>
                <w:b/>
                <w:bCs/>
                <w:szCs w:val="18"/>
              </w:rPr>
            </w:pPr>
            <w:r>
              <w:rPr>
                <w:b/>
                <w:bCs/>
                <w:szCs w:val="18"/>
              </w:rPr>
              <w:t>NOTES</w:t>
            </w:r>
          </w:p>
          <w:p w14:paraId="4E10FB15" w14:textId="77777777" w:rsidR="0073493B" w:rsidRDefault="0073493B" w:rsidP="00141448">
            <w:pPr>
              <w:pStyle w:val="NotesText"/>
            </w:pPr>
          </w:p>
          <w:p w14:paraId="7C7D2639" w14:textId="40F724AC" w:rsidR="0073493B" w:rsidRDefault="0073493B" w:rsidP="00141448">
            <w:pPr>
              <w:pStyle w:val="NotesText"/>
            </w:pPr>
            <w:r>
              <w:rPr>
                <w:rFonts w:cs="Arial"/>
                <w:vanish/>
              </w:rPr>
              <w:t xml:space="preserve">BR_35.01 </w:t>
            </w:r>
            <w:r>
              <w:t xml:space="preserve">When the user extends the specimen expiration date and time, VBECS calculates the number of days by which the specimen was extended (based on the originally calculated expiration date) and the newly entered expiration date. VBECS compares the difference to the site parameter for the maximum number of extension days allowed for a specimen. When the entered </w:t>
            </w:r>
            <w:r>
              <w:lastRenderedPageBreak/>
              <w:t>expiration date exceeds the parameter, VBECS warns the user. There is no override.</w:t>
            </w:r>
          </w:p>
          <w:p w14:paraId="6446B2F9" w14:textId="0D70C745" w:rsidR="0071742A" w:rsidRDefault="0071742A" w:rsidP="00141448">
            <w:pPr>
              <w:pStyle w:val="NotesText"/>
            </w:pPr>
          </w:p>
          <w:p w14:paraId="3A995970" w14:textId="44E9E33A" w:rsidR="0071742A" w:rsidRDefault="000A7EFC" w:rsidP="00A96612">
            <w:pPr>
              <w:pStyle w:val="NotesText"/>
            </w:pPr>
            <w:r>
              <w:t>W</w:t>
            </w:r>
            <w:r w:rsidRPr="000A7EFC">
              <w:t>hen a sp</w:t>
            </w:r>
            <w:r>
              <w:t>ecimen expiration date is exten</w:t>
            </w:r>
            <w:r w:rsidRPr="000A7EFC">
              <w:t>ded</w:t>
            </w:r>
            <w:r>
              <w:t xml:space="preserve"> on patients with t</w:t>
            </w:r>
            <w:r w:rsidRPr="000A7EFC">
              <w:t>ransfusions greater than 3 months in the pa</w:t>
            </w:r>
            <w:r>
              <w:t>st</w:t>
            </w:r>
            <w:r w:rsidR="00737DBB">
              <w:t>,</w:t>
            </w:r>
            <w:r>
              <w:t xml:space="preserve"> it will trigger the warning that patient has been transfused in the past 3 months.</w:t>
            </w:r>
            <w:r w:rsidR="00730CAA">
              <w:t xml:space="preserve"> </w:t>
            </w:r>
            <w:r>
              <w:t>Users should c</w:t>
            </w:r>
            <w:r w:rsidRPr="000A7EFC">
              <w:t>omplete the override as requested to proceed per local policy and procedure.</w:t>
            </w:r>
          </w:p>
          <w:p w14:paraId="6830517D" w14:textId="77777777" w:rsidR="0073493B" w:rsidRDefault="0073493B" w:rsidP="00141448">
            <w:pPr>
              <w:pStyle w:val="NotesText"/>
            </w:pPr>
          </w:p>
          <w:p w14:paraId="20B3211F" w14:textId="743D7CA4" w:rsidR="0073493B" w:rsidRDefault="0073493B" w:rsidP="00141448">
            <w:pPr>
              <w:pStyle w:val="NotesText"/>
            </w:pPr>
            <w:r>
              <w:rPr>
                <w:rFonts w:cs="Arial"/>
                <w:vanish/>
              </w:rPr>
              <w:t xml:space="preserve">BR_35.02 </w:t>
            </w:r>
            <w:r>
              <w:t>The default expiration date is calculated as three days in the future with the day of the original specimen collection as “0.” For example, a specimen collected on September 16, 200</w:t>
            </w:r>
            <w:r w:rsidR="00E33504">
              <w:t>7</w:t>
            </w:r>
            <w:r>
              <w:t xml:space="preserve"> (regardless of the time), is day “0” and the calculated expiration date and time are September 19, 200</w:t>
            </w:r>
            <w:r w:rsidR="00E33504">
              <w:t>7</w:t>
            </w:r>
            <w:r>
              <w:t xml:space="preserve"> @ 23:59.</w:t>
            </w:r>
          </w:p>
          <w:p w14:paraId="130A6DA5" w14:textId="77777777" w:rsidR="0073493B" w:rsidRDefault="0073493B" w:rsidP="00141448">
            <w:pPr>
              <w:pStyle w:val="NotesText"/>
            </w:pPr>
          </w:p>
          <w:p w14:paraId="121CFC15" w14:textId="77777777" w:rsidR="0073493B" w:rsidRDefault="0073493B" w:rsidP="00141448">
            <w:pPr>
              <w:pStyle w:val="NotesText"/>
            </w:pPr>
            <w:r>
              <w:rPr>
                <w:rFonts w:cs="Arial"/>
                <w:vanish/>
              </w:rPr>
              <w:t xml:space="preserve">BR_35.20 </w:t>
            </w:r>
            <w:r>
              <w:t>When a new or existing specimen is being associated with a pending component order during Accept Orders: Accept an Order, the specimen must be acceptable.</w:t>
            </w:r>
          </w:p>
          <w:p w14:paraId="7CFF5A63" w14:textId="77777777" w:rsidR="0073493B" w:rsidRDefault="0073493B" w:rsidP="00141448">
            <w:pPr>
              <w:pStyle w:val="NotesText"/>
            </w:pPr>
          </w:p>
          <w:p w14:paraId="6B3B80F9" w14:textId="77777777" w:rsidR="0073493B" w:rsidRDefault="0073493B" w:rsidP="00141448">
            <w:pPr>
              <w:pStyle w:val="NotesText"/>
            </w:pPr>
            <w:r>
              <w:rPr>
                <w:rFonts w:cs="Arial"/>
                <w:vanish/>
              </w:rPr>
              <w:t xml:space="preserve">BR_16.14 </w:t>
            </w:r>
            <w:r>
              <w:t>When there is a specimen requirement for orders, each order must be evaluated for a valid specimen before it can be accepted.</w:t>
            </w:r>
          </w:p>
          <w:p w14:paraId="64CFB7C8" w14:textId="77777777" w:rsidR="0073493B" w:rsidRDefault="0073493B" w:rsidP="00141448">
            <w:pPr>
              <w:pStyle w:val="NotesText"/>
            </w:pPr>
          </w:p>
          <w:p w14:paraId="0FCA6015" w14:textId="77777777" w:rsidR="0073493B" w:rsidRDefault="0073493B" w:rsidP="00141448">
            <w:pPr>
              <w:pStyle w:val="NotesText"/>
            </w:pPr>
            <w:r>
              <w:rPr>
                <w:rFonts w:cs="Arial"/>
                <w:vanish/>
              </w:rPr>
              <w:t xml:space="preserve">BR_35.21 </w:t>
            </w:r>
            <w:r>
              <w:t>VBECS displays specimen UIDs for selection by CPRS-associated maintainable specimen and then by acceptable and unexpired maintainable specimens, in reverse chronological order.</w:t>
            </w:r>
          </w:p>
          <w:p w14:paraId="61D4B2BC" w14:textId="77777777" w:rsidR="0073493B" w:rsidRDefault="0073493B" w:rsidP="00141448">
            <w:pPr>
              <w:pStyle w:val="NotesText"/>
            </w:pPr>
          </w:p>
          <w:p w14:paraId="37D9BD79" w14:textId="77777777" w:rsidR="0073493B" w:rsidRDefault="0073493B" w:rsidP="00141448">
            <w:pPr>
              <w:pStyle w:val="NotesText"/>
            </w:pPr>
            <w:r>
              <w:t>VBECS allows</w:t>
            </w:r>
            <w:r>
              <w:rPr>
                <w:color w:val="000000"/>
              </w:rPr>
              <w:t xml:space="preserve"> the user to include expired and unacceptable specimens</w:t>
            </w:r>
            <w:r>
              <w:t>.</w:t>
            </w:r>
          </w:p>
          <w:p w14:paraId="3746A95E" w14:textId="77777777" w:rsidR="0073493B" w:rsidRDefault="0073493B" w:rsidP="00141448">
            <w:pPr>
              <w:pStyle w:val="NotesText"/>
            </w:pPr>
          </w:p>
          <w:p w14:paraId="2CDC4FE5" w14:textId="40DF9182" w:rsidR="0073493B" w:rsidRDefault="0073493B" w:rsidP="00141448">
            <w:pPr>
              <w:pStyle w:val="NotesText"/>
            </w:pPr>
            <w:r>
              <w:rPr>
                <w:rFonts w:cs="Arial"/>
                <w:vanish/>
              </w:rPr>
              <w:t>BR_35.05</w:t>
            </w:r>
            <w:r w:rsidRPr="00323744">
              <w:rPr>
                <w:rStyle w:val="BullhornChar"/>
              </w:rPr>
              <w:t></w:t>
            </w:r>
            <w:r>
              <w:rPr>
                <w:rFonts w:ascii="Webdings" w:hAnsi="Webdings"/>
              </w:rPr>
              <w:t></w:t>
            </w:r>
            <w:r w:rsidRPr="00263B24">
              <w:t>Wh</w:t>
            </w:r>
            <w:r>
              <w:t xml:space="preserve">en the user attempts to save an expiration date past the default of three days, VBECS checks the patient’s record for evidence of transfusion within the previous three months and the history of antibody identification, regardless of the division. If either is found, VBECS emits an audible alert, warns that the patient has evidence of transfusion within previous three months and/or antibody formation, and instructs the user to enter a comment to extend the specimen expiration date beyond three days. The user must enter a canned comment (with the specimen extension) and/or free-text comment to continue. VBECS captures details for inclusion in an Exception Report (exception type: </w:t>
            </w:r>
            <w:r w:rsidR="00DF7355">
              <w:t xml:space="preserve">Specimen </w:t>
            </w:r>
            <w:r>
              <w:t>expiration date extended).</w:t>
            </w:r>
          </w:p>
          <w:p w14:paraId="1AF1C861" w14:textId="77777777" w:rsidR="0073493B" w:rsidRDefault="0073493B" w:rsidP="00141448">
            <w:pPr>
              <w:pStyle w:val="NotesText"/>
            </w:pPr>
          </w:p>
          <w:p w14:paraId="48A0EFF4" w14:textId="77777777" w:rsidR="0073493B" w:rsidRDefault="0073493B" w:rsidP="00141448">
            <w:pPr>
              <w:pStyle w:val="NotesText"/>
            </w:pPr>
            <w:r>
              <w:rPr>
                <w:rFonts w:cs="Arial"/>
                <w:vanish/>
              </w:rPr>
              <w:t xml:space="preserve">BR_35.07 </w:t>
            </w:r>
            <w:r>
              <w:t>When the specimen is deemed unacceptable, the status of the orders associated with the specimen remains “pending” or “active.”</w:t>
            </w:r>
          </w:p>
          <w:p w14:paraId="61223EC0" w14:textId="77777777" w:rsidR="0073493B" w:rsidRDefault="0073493B" w:rsidP="00141448">
            <w:pPr>
              <w:pStyle w:val="NotesText"/>
            </w:pPr>
          </w:p>
          <w:p w14:paraId="79CE4727" w14:textId="77777777" w:rsidR="0073493B" w:rsidRDefault="0073493B" w:rsidP="00141448">
            <w:pPr>
              <w:pStyle w:val="NotesText"/>
            </w:pPr>
            <w:r>
              <w:rPr>
                <w:vanish/>
                <w:szCs w:val="18"/>
              </w:rPr>
              <w:t>BR_35.10</w:t>
            </w:r>
            <w:r w:rsidRPr="00323744">
              <w:rPr>
                <w:rStyle w:val="BullhornChar"/>
              </w:rPr>
              <w:t></w:t>
            </w:r>
            <w:r>
              <w:rPr>
                <w:rFonts w:ascii="Webdings" w:hAnsi="Webdings"/>
              </w:rPr>
              <w:t></w:t>
            </w:r>
            <w:r w:rsidRPr="00263B24">
              <w:t>Wh</w:t>
            </w:r>
            <w:r>
              <w:t>en a user attempts to reactivate a previously expired or unacceptable specimen, VBECS emits an audible alert, warns that this is a previously expired or unacceptable specimen, and instructs the user to enter a comment to make it available. A comment is required to continue. VBECS captures details for inclusion in an Exception Report (exception type: unacceptable/expired specimen used).</w:t>
            </w:r>
          </w:p>
          <w:p w14:paraId="798CA996" w14:textId="77777777" w:rsidR="0073493B" w:rsidRDefault="0073493B" w:rsidP="00141448">
            <w:pPr>
              <w:pStyle w:val="NotesText"/>
            </w:pPr>
          </w:p>
          <w:p w14:paraId="2452DA9A" w14:textId="77777777" w:rsidR="0073493B" w:rsidRDefault="0073493B" w:rsidP="00141448">
            <w:pPr>
              <w:pStyle w:val="NotesText"/>
            </w:pPr>
            <w:r>
              <w:rPr>
                <w:rFonts w:cs="Arial"/>
                <w:vanish/>
              </w:rPr>
              <w:t xml:space="preserve">BR_35.12 </w:t>
            </w:r>
            <w:r>
              <w:t>VBECS requires the date and time a specimen was collected and the phlebotomist ID.</w:t>
            </w:r>
          </w:p>
          <w:p w14:paraId="19990A35" w14:textId="77777777" w:rsidR="0073493B" w:rsidRDefault="0073493B" w:rsidP="00141448">
            <w:pPr>
              <w:pStyle w:val="NotesText"/>
            </w:pPr>
          </w:p>
          <w:p w14:paraId="1F2958F1" w14:textId="77777777" w:rsidR="0073493B" w:rsidRDefault="0073493B" w:rsidP="00141448">
            <w:pPr>
              <w:pStyle w:val="NotesText"/>
            </w:pPr>
            <w:r>
              <w:rPr>
                <w:rFonts w:cs="Arial"/>
                <w:vanish/>
              </w:rPr>
              <w:t xml:space="preserve">BR_35.14 </w:t>
            </w:r>
            <w:r>
              <w:t>When a specimen is process</w:t>
            </w:r>
            <w:r w:rsidR="00874D0E">
              <w:t>ed</w:t>
            </w:r>
            <w:r>
              <w:t xml:space="preserve">, VBECS displays the details of associated orders (read only). </w:t>
            </w:r>
          </w:p>
          <w:p w14:paraId="1045C62F" w14:textId="77777777" w:rsidR="0073493B" w:rsidRDefault="0073493B" w:rsidP="00141448">
            <w:pPr>
              <w:pStyle w:val="NotesText"/>
            </w:pPr>
          </w:p>
          <w:p w14:paraId="5FD0A821" w14:textId="77777777" w:rsidR="0073493B" w:rsidRDefault="0073493B" w:rsidP="00141448">
            <w:pPr>
              <w:pStyle w:val="NotesText"/>
            </w:pPr>
            <w:r>
              <w:rPr>
                <w:rFonts w:cs="Arial"/>
                <w:vanish/>
              </w:rPr>
              <w:t xml:space="preserve">BR_35.17 </w:t>
            </w:r>
            <w:r>
              <w:t xml:space="preserve">The user must enter a comment when marking a specimen as unacceptable. </w:t>
            </w:r>
          </w:p>
        </w:tc>
      </w:tr>
      <w:tr w:rsidR="0073493B" w14:paraId="582C460A" w14:textId="77777777">
        <w:tc>
          <w:tcPr>
            <w:tcW w:w="3240" w:type="dxa"/>
          </w:tcPr>
          <w:p w14:paraId="3408B908" w14:textId="77777777" w:rsidR="0073493B" w:rsidRDefault="0073493B" w:rsidP="00141448">
            <w:pPr>
              <w:pStyle w:val="TableTextNumbers"/>
            </w:pPr>
            <w:r>
              <w:lastRenderedPageBreak/>
              <w:t>Enter or verify specimen-related information from Step 3.</w:t>
            </w:r>
          </w:p>
        </w:tc>
        <w:tc>
          <w:tcPr>
            <w:tcW w:w="6120" w:type="dxa"/>
          </w:tcPr>
          <w:p w14:paraId="4DAF4664" w14:textId="77777777" w:rsidR="0073493B" w:rsidRDefault="0073493B" w:rsidP="00141448">
            <w:pPr>
              <w:pStyle w:val="TableTextBullet"/>
            </w:pPr>
            <w:r>
              <w:t>Allows the user to review and edit previously entered information.</w:t>
            </w:r>
          </w:p>
        </w:tc>
      </w:tr>
      <w:tr w:rsidR="0073493B" w14:paraId="5F82AFB3" w14:textId="77777777">
        <w:tc>
          <w:tcPr>
            <w:tcW w:w="3240" w:type="dxa"/>
          </w:tcPr>
          <w:p w14:paraId="3587D410" w14:textId="77777777" w:rsidR="0073493B" w:rsidRDefault="0073493B" w:rsidP="00141448">
            <w:pPr>
              <w:pStyle w:val="TableTextNumbers"/>
            </w:pPr>
            <w:r>
              <w:t xml:space="preserve">Review the entered information and click </w:t>
            </w:r>
            <w:r>
              <w:rPr>
                <w:b/>
              </w:rPr>
              <w:t>OK</w:t>
            </w:r>
            <w:r>
              <w:t xml:space="preserve"> to save.</w:t>
            </w:r>
          </w:p>
        </w:tc>
        <w:tc>
          <w:tcPr>
            <w:tcW w:w="6120" w:type="dxa"/>
          </w:tcPr>
          <w:p w14:paraId="36DF28E7" w14:textId="77777777" w:rsidR="0073493B" w:rsidRDefault="0073493B" w:rsidP="00141448">
            <w:pPr>
              <w:pStyle w:val="TableTextBullet"/>
            </w:pPr>
            <w:r>
              <w:t>Saves the data for use in further specimen order processing and subsequent retrieval.</w:t>
            </w:r>
          </w:p>
          <w:p w14:paraId="2A30FD83" w14:textId="77777777" w:rsidR="005218E2" w:rsidRDefault="005218E2" w:rsidP="005218E2">
            <w:pPr>
              <w:pStyle w:val="TableText"/>
            </w:pPr>
          </w:p>
          <w:p w14:paraId="347A4B07" w14:textId="6BF67B12" w:rsidR="005218E2" w:rsidRDefault="005218E2" w:rsidP="005218E2">
            <w:pPr>
              <w:pStyle w:val="TableText"/>
              <w:rPr>
                <w:b/>
                <w:bCs/>
                <w:szCs w:val="18"/>
              </w:rPr>
            </w:pPr>
            <w:r>
              <w:rPr>
                <w:b/>
                <w:bCs/>
                <w:szCs w:val="18"/>
              </w:rPr>
              <w:t>NOTES</w:t>
            </w:r>
          </w:p>
          <w:p w14:paraId="529D2D79" w14:textId="77777777" w:rsidR="005218E2" w:rsidRDefault="005218E2" w:rsidP="005218E2">
            <w:pPr>
              <w:pStyle w:val="NotesText"/>
            </w:pPr>
          </w:p>
          <w:p w14:paraId="72E6644E" w14:textId="77777777" w:rsidR="0073493B" w:rsidRDefault="0073493B" w:rsidP="00141448">
            <w:pPr>
              <w:pStyle w:val="NotesText"/>
            </w:pPr>
            <w:r>
              <w:rPr>
                <w:rFonts w:cs="Arial"/>
                <w:vanish/>
              </w:rPr>
              <w:t xml:space="preserve">BR_35.23 </w:t>
            </w:r>
            <w:r>
              <w:t xml:space="preserve">When saving or updating an expired specimen, VBECS warns the user and asks whether he wishes to continue. The user may continue without </w:t>
            </w:r>
            <w:r w:rsidR="00C90418">
              <w:t xml:space="preserve">entering </w:t>
            </w:r>
            <w:r>
              <w:t>a comment.</w:t>
            </w:r>
          </w:p>
          <w:p w14:paraId="0BA2ED04" w14:textId="77777777" w:rsidR="0073493B" w:rsidRDefault="0073493B" w:rsidP="00141448">
            <w:pPr>
              <w:pStyle w:val="NotesText"/>
            </w:pPr>
          </w:p>
          <w:p w14:paraId="046B5C7E" w14:textId="77777777" w:rsidR="0073493B" w:rsidRDefault="0073493B" w:rsidP="00141448">
            <w:pPr>
              <w:pStyle w:val="NotesText"/>
            </w:pPr>
            <w:r>
              <w:rPr>
                <w:vanish/>
                <w:szCs w:val="18"/>
              </w:rPr>
              <w:t>BR_35.11</w:t>
            </w:r>
            <w:r w:rsidR="00CE3961">
              <w:rPr>
                <w:vanish/>
                <w:szCs w:val="18"/>
              </w:rPr>
              <w:t>,</w:t>
            </w:r>
            <w:r>
              <w:rPr>
                <w:vanish/>
                <w:szCs w:val="18"/>
              </w:rPr>
              <w:t xml:space="preserve"> BR_35.15 </w:t>
            </w:r>
            <w:r>
              <w:t xml:space="preserve">The UID initially used to identify the specimen becomes the VBECS specimen number, which VBECS retains and uses to process subsequent orders during the life of the specimen, including CPRS, VBECS, and Laboratory orders, and UIDs associated with the specimen. A historical record lists changes made to the specimen and is available for review. </w:t>
            </w:r>
          </w:p>
          <w:p w14:paraId="25C7FD6E" w14:textId="77777777" w:rsidR="0073493B" w:rsidRDefault="0073493B" w:rsidP="00141448">
            <w:pPr>
              <w:pStyle w:val="NotesText"/>
            </w:pPr>
          </w:p>
          <w:p w14:paraId="04522C85" w14:textId="77777777" w:rsidR="0073493B" w:rsidRDefault="0073493B" w:rsidP="00141448">
            <w:pPr>
              <w:pStyle w:val="NotesText"/>
            </w:pPr>
            <w:r>
              <w:rPr>
                <w:rFonts w:cs="Arial"/>
                <w:vanish/>
              </w:rPr>
              <w:t xml:space="preserve">BR_35.06 </w:t>
            </w:r>
            <w:r>
              <w:t>A permanent link remains between an exhausted or unacceptable specimen UID and its order, which allows the user to document the recollection of a new specimen, according to local policy.</w:t>
            </w:r>
          </w:p>
        </w:tc>
      </w:tr>
      <w:tr w:rsidR="0073493B" w14:paraId="6590C906" w14:textId="77777777">
        <w:tc>
          <w:tcPr>
            <w:tcW w:w="3240" w:type="dxa"/>
          </w:tcPr>
          <w:p w14:paraId="339B4783" w14:textId="77777777" w:rsidR="0073493B" w:rsidRDefault="0073493B" w:rsidP="00141448">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7132C21" w14:textId="77777777" w:rsidR="0073493B" w:rsidRDefault="0073493B" w:rsidP="00141448">
            <w:pPr>
              <w:pStyle w:val="TableText"/>
            </w:pPr>
          </w:p>
        </w:tc>
      </w:tr>
    </w:tbl>
    <w:p w14:paraId="7E7CDF9D" w14:textId="77777777" w:rsidR="002A21AE" w:rsidRDefault="0073493B" w:rsidP="0073493B">
      <w:pPr>
        <w:pStyle w:val="Heading2"/>
      </w:pPr>
      <w:r>
        <w:br w:type="page"/>
      </w:r>
      <w:bookmarkStart w:id="438" w:name="_Toc163644940"/>
      <w:r w:rsidR="002A21AE">
        <w:lastRenderedPageBreak/>
        <w:t>Patient Testing: Cancel an Active Order</w:t>
      </w:r>
      <w:bookmarkEnd w:id="438"/>
      <w:r w:rsidR="002A21AE">
        <w:fldChar w:fldCharType="begin"/>
      </w:r>
      <w:r w:rsidR="002A21AE">
        <w:instrText xml:space="preserve"> XE </w:instrText>
      </w:r>
      <w:r w:rsidR="00FA7E65">
        <w:instrText>“</w:instrText>
      </w:r>
      <w:r w:rsidR="002A21AE">
        <w:instrText>Patient Testing\: Cancel an Active Order</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UC_72</w:t>
      </w:r>
    </w:p>
    <w:p w14:paraId="179B9495" w14:textId="77777777" w:rsidR="002A21AE" w:rsidRDefault="002A21AE" w:rsidP="00FA7E65">
      <w:pPr>
        <w:pStyle w:val="BodyText"/>
      </w:pPr>
      <w:r>
        <w:t xml:space="preserve">The user cancels an accepted order on the Pending Task List (PTL) and adds a comment to justify the cancellation. </w:t>
      </w:r>
    </w:p>
    <w:p w14:paraId="469FC60F" w14:textId="77777777" w:rsidR="002A21AE" w:rsidRDefault="002A21AE">
      <w:pPr>
        <w:pStyle w:val="Heading4"/>
      </w:pPr>
      <w:r>
        <w:t>Assumptions</w:t>
      </w:r>
      <w:r>
        <w:rPr>
          <w:b w:val="0"/>
        </w:rPr>
        <w:t xml:space="preserve"> </w:t>
      </w:r>
    </w:p>
    <w:p w14:paraId="7A7E148C" w14:textId="77777777" w:rsidR="002A21AE" w:rsidRDefault="002A21AE">
      <w:pPr>
        <w:pStyle w:val="ListBullet"/>
      </w:pPr>
      <w:r>
        <w:t>The order and the user are in the same division.</w:t>
      </w:r>
    </w:p>
    <w:p w14:paraId="51E73CAA" w14:textId="77777777" w:rsidR="002A21AE" w:rsidRDefault="002A21AE">
      <w:pPr>
        <w:pStyle w:val="ListBullet"/>
      </w:pPr>
      <w:r>
        <w:t>A user accepted an order that originated in CPRS through Accept Orders: Accept an Order, or created a reflex test order through Order Reflex Tests.</w:t>
      </w:r>
    </w:p>
    <w:p w14:paraId="2F0F1EB3" w14:textId="77777777" w:rsidR="002A21AE" w:rsidRDefault="002A21AE">
      <w:pPr>
        <w:pStyle w:val="ListBullet"/>
      </w:pPr>
      <w:r>
        <w:t xml:space="preserve">The connection to </w:t>
      </w:r>
      <w:r w:rsidR="00CA0045" w:rsidRPr="00CA0045">
        <w:rPr>
          <w:bCs/>
        </w:rPr>
        <w:t>VistA</w:t>
      </w:r>
      <w:r>
        <w:t xml:space="preserve"> is active.</w:t>
      </w:r>
    </w:p>
    <w:p w14:paraId="721983CE" w14:textId="77777777" w:rsidR="002A21AE" w:rsidRDefault="002A21AE">
      <w:pPr>
        <w:pStyle w:val="Heading4"/>
      </w:pPr>
      <w:r>
        <w:t xml:space="preserve">Outcome </w:t>
      </w:r>
    </w:p>
    <w:p w14:paraId="57E25A50" w14:textId="77777777" w:rsidR="002A21AE" w:rsidRDefault="002A21AE">
      <w:pPr>
        <w:pStyle w:val="ListBullet"/>
      </w:pPr>
      <w:r>
        <w:t>The order was removed from the PTL.</w:t>
      </w:r>
    </w:p>
    <w:p w14:paraId="21AF9F3B" w14:textId="77777777" w:rsidR="002A21AE" w:rsidRDefault="002A21AE">
      <w:pPr>
        <w:pStyle w:val="ListBullet"/>
      </w:pPr>
      <w:r>
        <w:t>An order update message was sent to CPRS.</w:t>
      </w:r>
    </w:p>
    <w:p w14:paraId="697C710C" w14:textId="77777777" w:rsidR="002A21AE" w:rsidRDefault="002A21AE">
      <w:pPr>
        <w:pStyle w:val="Heading4"/>
      </w:pPr>
      <w:r>
        <w:t>Limitations and Restrictions</w:t>
      </w:r>
      <w:r>
        <w:rPr>
          <w:b w:val="0"/>
        </w:rPr>
        <w:t xml:space="preserve"> </w:t>
      </w:r>
    </w:p>
    <w:p w14:paraId="6609D8A9" w14:textId="77777777" w:rsidR="002A21AE" w:rsidRDefault="002A21AE">
      <w:pPr>
        <w:pStyle w:val="ListBullet"/>
      </w:pPr>
      <w:r>
        <w:t>Cancellation of one order does not affect other orders placed with it.</w:t>
      </w:r>
    </w:p>
    <w:p w14:paraId="22C9BC8A" w14:textId="77777777" w:rsidR="002A21AE" w:rsidRDefault="002A21AE">
      <w:pPr>
        <w:pStyle w:val="ListBullet"/>
      </w:pPr>
      <w:r>
        <w:t>Before a user may cancel a partially completed task, he must invalidate the results for that task</w:t>
      </w:r>
      <w:r w:rsidR="00921485">
        <w:t>, thereby</w:t>
      </w:r>
      <w:r>
        <w:t xml:space="preserve"> changing its status to “not started.”</w:t>
      </w:r>
    </w:p>
    <w:p w14:paraId="3052B840" w14:textId="77777777" w:rsidR="002A21AE" w:rsidRDefault="002A21AE">
      <w:pPr>
        <w:pStyle w:val="Heading4"/>
      </w:pPr>
      <w:r>
        <w:t xml:space="preserve">Additional Information </w:t>
      </w:r>
    </w:p>
    <w:p w14:paraId="707338FA" w14:textId="77777777" w:rsidR="002A21AE" w:rsidRDefault="002A21AE">
      <w:pPr>
        <w:pStyle w:val="ListBullet"/>
      </w:pPr>
      <w:r>
        <w:t>None</w:t>
      </w:r>
    </w:p>
    <w:p w14:paraId="0F5DC4D6" w14:textId="77777777" w:rsidR="002A21AE" w:rsidRDefault="002A21AE">
      <w:pPr>
        <w:pStyle w:val="Heading4"/>
        <w:rPr>
          <w:b w:val="0"/>
        </w:rPr>
      </w:pPr>
      <w:r>
        <w:rPr>
          <w:rStyle w:val="RolesChar"/>
        </w:rPr>
        <w:t>User Roles with</w:t>
      </w:r>
      <w:r>
        <w:t xml:space="preserve"> Access to This Option</w:t>
      </w:r>
      <w:r>
        <w:rPr>
          <w:b w:val="0"/>
        </w:rPr>
        <w:t xml:space="preserve"> </w:t>
      </w:r>
    </w:p>
    <w:p w14:paraId="1B54FC84" w14:textId="77777777" w:rsidR="002A21AE" w:rsidRDefault="002232A3">
      <w:pPr>
        <w:pStyle w:val="Roles"/>
        <w:rPr>
          <w:snapToGrid w:val="0"/>
        </w:rPr>
      </w:pPr>
      <w:r>
        <w:t>All users</w:t>
      </w:r>
    </w:p>
    <w:p w14:paraId="26682554" w14:textId="77777777" w:rsidR="002A21AE" w:rsidRDefault="002A21AE">
      <w:pPr>
        <w:pStyle w:val="Heading4"/>
      </w:pPr>
      <w:r>
        <w:t xml:space="preserve">Patient Testing: Cancel an Active Order </w:t>
      </w:r>
    </w:p>
    <w:p w14:paraId="046CC509" w14:textId="77777777" w:rsidR="002A21AE" w:rsidRDefault="002A21AE" w:rsidP="00FA7E65">
      <w:pPr>
        <w:pStyle w:val="BodyText"/>
      </w:pPr>
      <w:r>
        <w:t>The user selects one or more tasks to cancel from the PTL, cancels the accepted order from within VBECS, and adds a comment regarding the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AF4DBC" w14:textId="77777777">
        <w:trPr>
          <w:cantSplit/>
          <w:tblHeader/>
        </w:trPr>
        <w:tc>
          <w:tcPr>
            <w:tcW w:w="3240" w:type="dxa"/>
            <w:shd w:val="pct30" w:color="auto" w:fill="FFFFFF"/>
            <w:vAlign w:val="bottom"/>
          </w:tcPr>
          <w:p w14:paraId="5BCFA29D" w14:textId="77777777" w:rsidR="002A21AE" w:rsidRDefault="002A21AE">
            <w:pPr>
              <w:pStyle w:val="TableText"/>
              <w:rPr>
                <w:b/>
              </w:rPr>
            </w:pPr>
            <w:r>
              <w:rPr>
                <w:b/>
              </w:rPr>
              <w:t>User Action</w:t>
            </w:r>
          </w:p>
        </w:tc>
        <w:tc>
          <w:tcPr>
            <w:tcW w:w="6120" w:type="dxa"/>
            <w:shd w:val="pct30" w:color="auto" w:fill="FFFFFF"/>
            <w:vAlign w:val="bottom"/>
          </w:tcPr>
          <w:p w14:paraId="479E51A7" w14:textId="77777777" w:rsidR="002A21AE" w:rsidRDefault="002A21AE">
            <w:pPr>
              <w:pStyle w:val="TableText"/>
              <w:rPr>
                <w:b/>
              </w:rPr>
            </w:pPr>
            <w:r>
              <w:rPr>
                <w:b/>
              </w:rPr>
              <w:t>VBECS</w:t>
            </w:r>
          </w:p>
        </w:tc>
      </w:tr>
      <w:tr w:rsidR="002A21AE" w14:paraId="4403789B" w14:textId="77777777">
        <w:tc>
          <w:tcPr>
            <w:tcW w:w="3240" w:type="dxa"/>
            <w:tcBorders>
              <w:top w:val="single" w:sz="4" w:space="0" w:color="auto"/>
              <w:left w:val="single" w:sz="4" w:space="0" w:color="auto"/>
              <w:bottom w:val="single" w:sz="4" w:space="0" w:color="auto"/>
              <w:right w:val="single" w:sz="4" w:space="0" w:color="auto"/>
            </w:tcBorders>
          </w:tcPr>
          <w:p w14:paraId="2345E583" w14:textId="77777777" w:rsidR="002A21AE" w:rsidRDefault="002A21AE">
            <w:pPr>
              <w:pStyle w:val="TableTextNumbers"/>
            </w:pPr>
            <w:r>
              <w:t xml:space="preserve">Select </w:t>
            </w:r>
            <w:r>
              <w:rPr>
                <w:b/>
              </w:rPr>
              <w:t>Patients</w:t>
            </w:r>
            <w:r>
              <w:t xml:space="preserve"> from the main menu.</w:t>
            </w:r>
          </w:p>
          <w:p w14:paraId="4B829F9E" w14:textId="77777777" w:rsidR="002A21AE" w:rsidRDefault="002A21AE">
            <w:pPr>
              <w:pStyle w:val="TableTextNumbersContinued"/>
            </w:pPr>
          </w:p>
          <w:p w14:paraId="6D323FBF"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BC469F0" w14:textId="77777777" w:rsidR="002A21AE" w:rsidRDefault="002A21AE">
            <w:pPr>
              <w:pStyle w:val="TableTextBullet"/>
            </w:pPr>
            <w:r>
              <w:t>Displays options for processing patient-related functions.</w:t>
            </w:r>
          </w:p>
          <w:p w14:paraId="7920F739" w14:textId="77777777" w:rsidR="002A21AE" w:rsidRDefault="002A21AE">
            <w:pPr>
              <w:pStyle w:val="TableTextBullet"/>
            </w:pPr>
            <w:r>
              <w:t>Displays the Pending Task List in the Diagnostic Tests tab.</w:t>
            </w:r>
          </w:p>
          <w:p w14:paraId="00B93A26" w14:textId="77777777" w:rsidR="002A21AE" w:rsidRDefault="002A21AE">
            <w:pPr>
              <w:pStyle w:val="NotesText"/>
            </w:pPr>
          </w:p>
          <w:p w14:paraId="5CF881C5" w14:textId="69DC5946" w:rsidR="002A21AE" w:rsidRDefault="002A21AE">
            <w:pPr>
              <w:pStyle w:val="TableText"/>
              <w:rPr>
                <w:b/>
                <w:bCs/>
                <w:szCs w:val="18"/>
              </w:rPr>
            </w:pPr>
            <w:r>
              <w:rPr>
                <w:b/>
                <w:bCs/>
                <w:szCs w:val="18"/>
              </w:rPr>
              <w:t>NOTES</w:t>
            </w:r>
          </w:p>
          <w:p w14:paraId="449744B9" w14:textId="77777777" w:rsidR="002A21AE" w:rsidRDefault="002A21AE">
            <w:pPr>
              <w:pStyle w:val="TableText"/>
            </w:pPr>
          </w:p>
          <w:p w14:paraId="7A34508F"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690D071F" w14:textId="77777777" w:rsidTr="00A94A90">
        <w:trPr>
          <w:cantSplit/>
          <w:hidden/>
        </w:trPr>
        <w:tc>
          <w:tcPr>
            <w:tcW w:w="3240" w:type="dxa"/>
          </w:tcPr>
          <w:p w14:paraId="5436B97C" w14:textId="7257B57A" w:rsidR="002A21AE" w:rsidRDefault="002A21AE">
            <w:pPr>
              <w:pStyle w:val="TableTextNumbers"/>
            </w:pPr>
            <w:r>
              <w:rPr>
                <w:rFonts w:cs="Arial"/>
                <w:vanish/>
              </w:rPr>
              <w:t xml:space="preserve">BR_72.01 </w:t>
            </w:r>
            <w:r>
              <w:t>Click one to four check boxes in the PTL in the Diagnostic Tests tab or the Component Orders tab to select tasks</w:t>
            </w:r>
            <w:r w:rsidR="000A6348">
              <w:t xml:space="preserve"> (</w:t>
            </w:r>
            <w:r w:rsidR="00EE455E">
              <w:t xml:space="preserve">Figure </w:t>
            </w:r>
            <w:r w:rsidR="00EE455E">
              <w:rPr>
                <w:noProof/>
              </w:rPr>
              <w:t>91</w:t>
            </w:r>
            <w:r w:rsidR="000A6348">
              <w:t>)</w:t>
            </w:r>
            <w:r>
              <w:t>.</w:t>
            </w:r>
          </w:p>
          <w:p w14:paraId="5276A875" w14:textId="77777777" w:rsidR="002A21AE" w:rsidRDefault="002A21AE">
            <w:pPr>
              <w:pStyle w:val="TableTextNumbersContinued"/>
            </w:pPr>
          </w:p>
          <w:p w14:paraId="2D296540" w14:textId="77777777" w:rsidR="002A21AE" w:rsidRDefault="002A21AE">
            <w:pPr>
              <w:pStyle w:val="TableTextNumbersContinued"/>
            </w:pPr>
            <w:r>
              <w:t xml:space="preserve">Click </w:t>
            </w:r>
            <w:r>
              <w:rPr>
                <w:b/>
              </w:rPr>
              <w:t>OK</w:t>
            </w:r>
            <w:r>
              <w:t xml:space="preserve"> to continue, or click </w:t>
            </w:r>
            <w:r>
              <w:rPr>
                <w:b/>
              </w:rPr>
              <w:t>Cancel Order(s)</w:t>
            </w:r>
            <w:r>
              <w:t xml:space="preserve"> to cancel the selected tasks.</w:t>
            </w:r>
          </w:p>
          <w:p w14:paraId="281E0C70" w14:textId="77777777" w:rsidR="002A21AE" w:rsidRDefault="002A21AE">
            <w:pPr>
              <w:pStyle w:val="TableTextNumbersContinued"/>
            </w:pPr>
          </w:p>
          <w:p w14:paraId="23CFE368" w14:textId="77777777" w:rsidR="002A21AE" w:rsidRDefault="002A21AE">
            <w:pPr>
              <w:pStyle w:val="TableTextNumbersContinued"/>
            </w:pPr>
            <w:r>
              <w:t>Select or enter a comment.</w:t>
            </w:r>
          </w:p>
          <w:p w14:paraId="7953C187" w14:textId="77777777" w:rsidR="002A21AE" w:rsidRDefault="002A21AE">
            <w:pPr>
              <w:pStyle w:val="TableTextNumbersContinued"/>
            </w:pPr>
          </w:p>
          <w:p w14:paraId="1D345374" w14:textId="77777777" w:rsidR="002A21AE" w:rsidRDefault="002A21AE">
            <w:pPr>
              <w:pStyle w:val="TableTextNumbersContinued"/>
            </w:pPr>
            <w:r>
              <w:t xml:space="preserve">Click </w:t>
            </w:r>
            <w:r>
              <w:rPr>
                <w:b/>
              </w:rPr>
              <w:t>OK</w:t>
            </w:r>
            <w:r>
              <w:t xml:space="preserve"> to confirm the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7B7242E8" w14:textId="77777777" w:rsidR="002A21AE" w:rsidRDefault="002A21AE">
            <w:pPr>
              <w:pStyle w:val="TableTextBullet"/>
            </w:pPr>
            <w:r>
              <w:rPr>
                <w:vanish/>
                <w:szCs w:val="18"/>
              </w:rPr>
              <w:t xml:space="preserve">BR_61.01, BR_61.03, </w:t>
            </w:r>
            <w:r>
              <w:rPr>
                <w:rFonts w:cs="Arial"/>
                <w:vanish/>
              </w:rPr>
              <w:t xml:space="preserve">BR_61.04 </w:t>
            </w:r>
            <w:r>
              <w:t>Deletes the selected tasks from the PTL and sends a message to CPRS with an order status update.</w:t>
            </w:r>
          </w:p>
          <w:p w14:paraId="697DC034" w14:textId="77777777" w:rsidR="002A21AE" w:rsidRDefault="002A21AE">
            <w:pPr>
              <w:pStyle w:val="TableText"/>
            </w:pPr>
          </w:p>
          <w:p w14:paraId="184389E6" w14:textId="4559B675" w:rsidR="002A21AE" w:rsidRDefault="002A21AE">
            <w:pPr>
              <w:pStyle w:val="TableText"/>
              <w:rPr>
                <w:b/>
                <w:bCs/>
                <w:szCs w:val="18"/>
              </w:rPr>
            </w:pPr>
            <w:r>
              <w:rPr>
                <w:b/>
                <w:bCs/>
                <w:szCs w:val="18"/>
              </w:rPr>
              <w:t>NOTES</w:t>
            </w:r>
          </w:p>
          <w:p w14:paraId="720DEB75" w14:textId="77777777" w:rsidR="002A21AE" w:rsidRDefault="002A21AE">
            <w:pPr>
              <w:pStyle w:val="NotesText"/>
            </w:pPr>
          </w:p>
          <w:p w14:paraId="1B0EDC78" w14:textId="77777777" w:rsidR="002A21AE" w:rsidRDefault="002A21AE">
            <w:pPr>
              <w:pStyle w:val="NotesText"/>
            </w:pPr>
            <w:r>
              <w:rPr>
                <w:rFonts w:cs="Arial"/>
                <w:vanish/>
              </w:rPr>
              <w:t xml:space="preserve">BR_61.02 </w:t>
            </w:r>
            <w:r>
              <w:t>Select a canned comment and/or free-text comment</w:t>
            </w:r>
          </w:p>
          <w:p w14:paraId="242CAFE7" w14:textId="77777777" w:rsidR="002A21AE" w:rsidRDefault="002A21AE">
            <w:pPr>
              <w:pStyle w:val="NotesText"/>
            </w:pPr>
          </w:p>
          <w:p w14:paraId="6164EF42" w14:textId="77777777" w:rsidR="002A21AE" w:rsidRDefault="002A21AE">
            <w:pPr>
              <w:pStyle w:val="NotesText"/>
            </w:pPr>
            <w:r>
              <w:rPr>
                <w:rFonts w:cs="Arial"/>
                <w:vanish/>
              </w:rPr>
              <w:t xml:space="preserve">BR_72.02 </w:t>
            </w:r>
            <w:r>
              <w:t>VBECS allows a user to cancel only tasks that are not started.</w:t>
            </w:r>
          </w:p>
          <w:p w14:paraId="783B959C" w14:textId="77777777" w:rsidR="002A21AE" w:rsidRDefault="002A21AE">
            <w:pPr>
              <w:pStyle w:val="NotesText"/>
            </w:pPr>
          </w:p>
          <w:p w14:paraId="20E76B53" w14:textId="55479C54" w:rsidR="002A21AE" w:rsidRDefault="002A21AE">
            <w:pPr>
              <w:pStyle w:val="NotesText"/>
            </w:pPr>
            <w:r>
              <w:t xml:space="preserve">See </w:t>
            </w:r>
            <w:r w:rsidR="00EE455E">
              <w:t xml:space="preserve">Appendix </w:t>
            </w:r>
            <w:r w:rsidR="00EE455E">
              <w:rPr>
                <w:noProof/>
              </w:rPr>
              <w:t>B</w:t>
            </w:r>
            <w:r>
              <w:t>:</w:t>
            </w:r>
            <w:r w:rsidR="00D327A3">
              <w:t xml:space="preserve"> </w:t>
            </w:r>
            <w:r w:rsidR="00EE455E">
              <w:t xml:space="preserve">Figure </w:t>
            </w:r>
            <w:r w:rsidR="00EE455E">
              <w:rPr>
                <w:noProof/>
              </w:rPr>
              <w:t>117:</w:t>
            </w:r>
            <w:r w:rsidR="00EE455E">
              <w:t xml:space="preserve"> </w:t>
            </w:r>
            <w:r w:rsidR="00EE455E" w:rsidRPr="00EE455E">
              <w:rPr>
                <w:vanish/>
                <w:szCs w:val="18"/>
              </w:rPr>
              <w:t xml:space="preserve">TT_92.01 </w:t>
            </w:r>
            <w:r w:rsidR="00EE455E" w:rsidRPr="00EE455E">
              <w:t>Order</w:t>
            </w:r>
            <w:r w:rsidR="00EE455E">
              <w:t xml:space="preserve"> Status Flowchart</w:t>
            </w:r>
            <w:r>
              <w:t>.</w:t>
            </w:r>
          </w:p>
        </w:tc>
      </w:tr>
    </w:tbl>
    <w:p w14:paraId="33D72467" w14:textId="42AC65C8" w:rsidR="000A6348" w:rsidRDefault="000A6348" w:rsidP="000A6348">
      <w:pPr>
        <w:pStyle w:val="Caption"/>
      </w:pPr>
      <w:bookmarkStart w:id="439" w:name="_Ref12672419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92</w:t>
      </w:r>
      <w:r w:rsidR="004E20BD">
        <w:rPr>
          <w:noProof/>
        </w:rPr>
        <w:fldChar w:fldCharType="end"/>
      </w:r>
      <w:bookmarkEnd w:id="439"/>
      <w:r>
        <w:t>: Pending Task List Diagnostic Tests</w:t>
      </w:r>
    </w:p>
    <w:p w14:paraId="5F9C4BB9" w14:textId="77777777" w:rsidR="000A6348" w:rsidRDefault="00057948" w:rsidP="000A6348">
      <w:pPr>
        <w:pStyle w:val="BodyText"/>
      </w:pPr>
      <w:r>
        <w:rPr>
          <w:noProof/>
        </w:rPr>
        <w:drawing>
          <wp:inline distT="0" distB="0" distL="0" distR="0" wp14:anchorId="4178B400" wp14:editId="1CD63EEB">
            <wp:extent cx="5939155" cy="2540000"/>
            <wp:effectExtent l="0" t="0" r="4445" b="0"/>
            <wp:docPr id="225" name="Picture 225" descr="Example of Pending Task List Diagnostic Tes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Example of Pending Task List Diagnostic Tests screen captur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39155" cy="2540000"/>
                    </a:xfrm>
                    <a:prstGeom prst="rect">
                      <a:avLst/>
                    </a:prstGeom>
                    <a:noFill/>
                    <a:ln>
                      <a:noFill/>
                    </a:ln>
                  </pic:spPr>
                </pic:pic>
              </a:graphicData>
            </a:graphic>
          </wp:inline>
        </w:drawing>
      </w:r>
    </w:p>
    <w:p w14:paraId="0A11DCEA" w14:textId="77777777" w:rsidR="002A21AE" w:rsidRDefault="00AC2D9E">
      <w:pPr>
        <w:pStyle w:val="Heading2"/>
      </w:pPr>
      <w:r>
        <w:br w:type="page"/>
      </w:r>
      <w:bookmarkStart w:id="440" w:name="_Toc163644941"/>
      <w:r w:rsidR="002A21AE">
        <w:lastRenderedPageBreak/>
        <w:t>Patient Testing: Pending Task List</w:t>
      </w:r>
      <w:bookmarkEnd w:id="440"/>
      <w:r w:rsidR="002A21AE">
        <w:fldChar w:fldCharType="begin"/>
      </w:r>
      <w:r w:rsidR="002A21AE">
        <w:instrText xml:space="preserve"> XE </w:instrText>
      </w:r>
      <w:r w:rsidR="00FA7E65">
        <w:instrText>“</w:instrText>
      </w:r>
      <w:r w:rsidR="002A21AE">
        <w:instrText>Patient Testing\: Pending Task List</w:instrText>
      </w:r>
      <w:r w:rsidR="00FA7E65">
        <w:instrText>”</w:instrText>
      </w:r>
      <w:r w:rsidR="002A21AE">
        <w:instrText xml:space="preserve"> </w:instrText>
      </w:r>
      <w:r w:rsidR="002A21AE">
        <w:fldChar w:fldCharType="end"/>
      </w:r>
      <w:r w:rsidR="002A21AE" w:rsidRPr="00B46CB0">
        <w:rPr>
          <w:rFonts w:ascii="Arial Bold" w:hAnsi="Arial Bold"/>
          <w:vanish/>
        </w:rPr>
        <w:t xml:space="preserve"> UC_92</w:t>
      </w:r>
    </w:p>
    <w:p w14:paraId="6A54B547" w14:textId="77777777" w:rsidR="002A21AE" w:rsidRDefault="002A21AE" w:rsidP="00FA7E65">
      <w:pPr>
        <w:pStyle w:val="BodyText"/>
      </w:pPr>
      <w:bookmarkStart w:id="441" w:name="_Toc72830361"/>
      <w:r>
        <w:t xml:space="preserve">The user accesses a Pending Task List (PTL) to select tasks (accepted orders), organize a batch of tests to be performed in a session, process patient component requests, and view and/or print a list of outstanding blood bank tasks. </w:t>
      </w:r>
    </w:p>
    <w:p w14:paraId="4EBB4E71" w14:textId="77777777" w:rsidR="002A21AE" w:rsidRDefault="002A21AE">
      <w:pPr>
        <w:pStyle w:val="Heading4"/>
      </w:pPr>
      <w:r>
        <w:t>Assumptions</w:t>
      </w:r>
    </w:p>
    <w:p w14:paraId="02BD233D" w14:textId="77777777" w:rsidR="002A21AE" w:rsidRDefault="002A21AE" w:rsidP="009D2266">
      <w:pPr>
        <w:pStyle w:val="ListBullet"/>
        <w:numPr>
          <w:ilvl w:val="0"/>
          <w:numId w:val="2"/>
        </w:numPr>
        <w:tabs>
          <w:tab w:val="num" w:pos="720"/>
        </w:tabs>
        <w:ind w:left="720"/>
      </w:pPr>
      <w:r>
        <w:t>CPRS orders were accepted or a reflex order was placed within the VBECS division.</w:t>
      </w:r>
    </w:p>
    <w:p w14:paraId="2CFD9B00" w14:textId="77777777" w:rsidR="002A21AE" w:rsidRDefault="002A21AE">
      <w:pPr>
        <w:pStyle w:val="Heading4"/>
      </w:pPr>
      <w:r>
        <w:t>Outcome</w:t>
      </w:r>
    </w:p>
    <w:p w14:paraId="18301F8E" w14:textId="77777777" w:rsidR="002A21AE" w:rsidRDefault="002A21AE" w:rsidP="009D2266">
      <w:pPr>
        <w:pStyle w:val="ListBullet"/>
        <w:numPr>
          <w:ilvl w:val="0"/>
          <w:numId w:val="2"/>
        </w:numPr>
        <w:tabs>
          <w:tab w:val="num" w:pos="720"/>
        </w:tabs>
        <w:ind w:left="720"/>
      </w:pPr>
      <w:r>
        <w:t>The task is available for further processing.</w:t>
      </w:r>
    </w:p>
    <w:p w14:paraId="093738D2" w14:textId="77777777" w:rsidR="002A21AE" w:rsidRDefault="002A21AE">
      <w:pPr>
        <w:pStyle w:val="Heading4"/>
      </w:pPr>
      <w:r>
        <w:t>Limitations and Restrictions</w:t>
      </w:r>
    </w:p>
    <w:p w14:paraId="268B868A" w14:textId="77777777" w:rsidR="002A21AE" w:rsidRDefault="002A21AE" w:rsidP="009D2266">
      <w:pPr>
        <w:pStyle w:val="ListBullet"/>
        <w:numPr>
          <w:ilvl w:val="0"/>
          <w:numId w:val="2"/>
        </w:numPr>
        <w:tabs>
          <w:tab w:val="num" w:pos="720"/>
        </w:tabs>
        <w:ind w:left="720"/>
      </w:pPr>
      <w:r>
        <w:t>This option is for diagnostic, blood component, and reflex test orders placed in or directed to the user’s division.</w:t>
      </w:r>
    </w:p>
    <w:p w14:paraId="51B52317" w14:textId="77777777" w:rsidR="002A21AE" w:rsidRDefault="002A21AE" w:rsidP="009D2266">
      <w:pPr>
        <w:pStyle w:val="ListBullet"/>
        <w:numPr>
          <w:ilvl w:val="0"/>
          <w:numId w:val="2"/>
        </w:numPr>
        <w:tabs>
          <w:tab w:val="num" w:pos="720"/>
        </w:tabs>
        <w:ind w:left="720"/>
      </w:pPr>
      <w:r>
        <w:t>The PTL does not include daily quality control, equipment maintenance schedules, or pending ABO/Rh confirmation and auxiliary tests on red blood c</w:t>
      </w:r>
      <w:bookmarkStart w:id="442" w:name="here"/>
      <w:bookmarkEnd w:id="442"/>
      <w:r>
        <w:t>ell units.</w:t>
      </w:r>
    </w:p>
    <w:p w14:paraId="2D1003B8" w14:textId="77777777" w:rsidR="00B16403" w:rsidRDefault="00B16403" w:rsidP="009D2266">
      <w:pPr>
        <w:pStyle w:val="ListBullet"/>
        <w:numPr>
          <w:ilvl w:val="0"/>
          <w:numId w:val="2"/>
        </w:numPr>
        <w:tabs>
          <w:tab w:val="num" w:pos="720"/>
        </w:tabs>
        <w:ind w:left="720"/>
      </w:pPr>
      <w:r w:rsidRPr="00696FA6">
        <w:t xml:space="preserve">Users may perform testing for no more than four patients in one </w:t>
      </w:r>
      <w:r>
        <w:t>VBECS</w:t>
      </w:r>
      <w:r w:rsidRPr="00696FA6">
        <w:t xml:space="preserve"> session.</w:t>
      </w:r>
    </w:p>
    <w:p w14:paraId="5A6B85EE" w14:textId="77777777" w:rsidR="002A21AE" w:rsidRDefault="002A21AE">
      <w:pPr>
        <w:pStyle w:val="Heading4"/>
      </w:pPr>
      <w:r>
        <w:t>Additional Information</w:t>
      </w:r>
    </w:p>
    <w:p w14:paraId="69FDDE5D" w14:textId="77777777" w:rsidR="002A21AE" w:rsidRDefault="002A21AE" w:rsidP="009D2266">
      <w:pPr>
        <w:pStyle w:val="ListBullet"/>
        <w:numPr>
          <w:ilvl w:val="0"/>
          <w:numId w:val="2"/>
        </w:numPr>
        <w:tabs>
          <w:tab w:val="num" w:pos="720"/>
        </w:tabs>
        <w:ind w:left="720"/>
      </w:pPr>
      <w:r>
        <w:t>This is the main entry point for other testing options.</w:t>
      </w:r>
    </w:p>
    <w:p w14:paraId="4B488CFF" w14:textId="18771493" w:rsidR="002A21AE" w:rsidRDefault="002A21AE" w:rsidP="009D2266">
      <w:pPr>
        <w:pStyle w:val="ListBullet"/>
        <w:numPr>
          <w:ilvl w:val="0"/>
          <w:numId w:val="2"/>
        </w:numPr>
        <w:tabs>
          <w:tab w:val="num" w:pos="720"/>
        </w:tabs>
        <w:ind w:left="720"/>
      </w:pPr>
      <w:r>
        <w:t>The PTL does not display completed diagnostic tests.</w:t>
      </w:r>
      <w:r w:rsidR="007878A0">
        <w:t xml:space="preserve"> (See </w:t>
      </w:r>
      <w:r w:rsidR="007878A0" w:rsidRPr="00423A7F">
        <w:rPr>
          <w:i/>
          <w:iCs/>
        </w:rPr>
        <w:t>FAQ Retrieving an Expired Order</w:t>
      </w:r>
      <w:r w:rsidR="007878A0">
        <w:t>)</w:t>
      </w:r>
    </w:p>
    <w:p w14:paraId="3955EC1A" w14:textId="77777777" w:rsidR="00C5671A" w:rsidRDefault="00C5671A" w:rsidP="009D2266">
      <w:pPr>
        <w:pStyle w:val="ListBullet"/>
        <w:numPr>
          <w:ilvl w:val="0"/>
          <w:numId w:val="2"/>
        </w:numPr>
        <w:tabs>
          <w:tab w:val="num" w:pos="720"/>
        </w:tabs>
        <w:ind w:left="720"/>
      </w:pPr>
      <w:r>
        <w:t xml:space="preserve">When a specimen </w:t>
      </w:r>
      <w:r w:rsidRPr="00C5671A">
        <w:rPr>
          <w:u w:val="single"/>
        </w:rPr>
        <w:t>is not</w:t>
      </w:r>
      <w:r>
        <w:t xml:space="preserve"> associated wit</w:t>
      </w:r>
      <w:r w:rsidR="00A03A28">
        <w:t>h a component</w:t>
      </w:r>
      <w:r>
        <w:t xml:space="preserve"> order, partially completed and </w:t>
      </w:r>
      <w:r w:rsidR="00A03A28">
        <w:t>filled</w:t>
      </w:r>
      <w:r>
        <w:t xml:space="preserve"> component orders remain on the Pending Task List for 10 days from date of order acceptance.</w:t>
      </w:r>
      <w:r>
        <w:rPr>
          <w:vanish/>
        </w:rPr>
        <w:t xml:space="preserve"> Task 1323</w:t>
      </w:r>
      <w:r w:rsidR="00BC58B1">
        <w:rPr>
          <w:vanish/>
        </w:rPr>
        <w:t xml:space="preserve"> and DR 3604</w:t>
      </w:r>
    </w:p>
    <w:p w14:paraId="304F76A4" w14:textId="77777777" w:rsidR="00C5671A" w:rsidRDefault="00C5671A" w:rsidP="00C5671A">
      <w:pPr>
        <w:pStyle w:val="ListBullet"/>
        <w:numPr>
          <w:ilvl w:val="0"/>
          <w:numId w:val="2"/>
        </w:numPr>
        <w:tabs>
          <w:tab w:val="num" w:pos="720"/>
        </w:tabs>
        <w:ind w:left="720"/>
      </w:pPr>
      <w:r>
        <w:t xml:space="preserve">When a specimen </w:t>
      </w:r>
      <w:r w:rsidRPr="00C5671A">
        <w:rPr>
          <w:u w:val="single"/>
        </w:rPr>
        <w:t>is</w:t>
      </w:r>
      <w:r w:rsidR="00A03A28">
        <w:t xml:space="preserve"> associated with a diagnostic test or component </w:t>
      </w:r>
      <w:r>
        <w:t xml:space="preserve">order, partially completed diagnostic tests and </w:t>
      </w:r>
      <w:r w:rsidR="00A03A28">
        <w:t>filled</w:t>
      </w:r>
      <w:r>
        <w:t xml:space="preserve"> component orders remain on the Pending Task List until the specimen expires.</w:t>
      </w:r>
      <w:r w:rsidRPr="00C5671A">
        <w:rPr>
          <w:vanish/>
        </w:rPr>
        <w:t xml:space="preserve"> </w:t>
      </w:r>
      <w:r>
        <w:rPr>
          <w:vanish/>
        </w:rPr>
        <w:t>Task 1323</w:t>
      </w:r>
      <w:r w:rsidR="00BC58B1">
        <w:rPr>
          <w:vanish/>
        </w:rPr>
        <w:t xml:space="preserve"> and DR 3604</w:t>
      </w:r>
    </w:p>
    <w:p w14:paraId="73873935" w14:textId="77777777" w:rsidR="00DF7D1A" w:rsidRDefault="00DF7D1A" w:rsidP="009D2266">
      <w:pPr>
        <w:pStyle w:val="ListBullet"/>
        <w:numPr>
          <w:ilvl w:val="0"/>
          <w:numId w:val="2"/>
        </w:numPr>
        <w:tabs>
          <w:tab w:val="num" w:pos="720"/>
        </w:tabs>
        <w:ind w:left="720"/>
      </w:pPr>
      <w:r>
        <w:t>VBECS cancels accepted orders (tasks) the day after they expire.</w:t>
      </w:r>
    </w:p>
    <w:p w14:paraId="25AA98F9" w14:textId="77777777" w:rsidR="002A21AE" w:rsidRDefault="002A21AE" w:rsidP="009D2266">
      <w:pPr>
        <w:pStyle w:val="ListBullet"/>
        <w:numPr>
          <w:ilvl w:val="0"/>
          <w:numId w:val="2"/>
        </w:numPr>
        <w:tabs>
          <w:tab w:val="num" w:pos="720"/>
        </w:tabs>
        <w:ind w:left="720"/>
      </w:pPr>
      <w:r>
        <w:t>Multiple users are prohibited from performing the same task on the same unit of blood for the same patient.</w:t>
      </w:r>
    </w:p>
    <w:p w14:paraId="1CBB3F88" w14:textId="77777777" w:rsidR="002A21AE" w:rsidRDefault="002A21AE" w:rsidP="009D2266">
      <w:pPr>
        <w:pStyle w:val="ListBullet"/>
        <w:numPr>
          <w:ilvl w:val="0"/>
          <w:numId w:val="2"/>
        </w:numPr>
        <w:tabs>
          <w:tab w:val="num" w:pos="720"/>
        </w:tabs>
        <w:ind w:left="720"/>
      </w:pPr>
      <w:r>
        <w:t>The task may be selected and assigned to a technologist, preventing duplicate selection by another technologist.</w:t>
      </w:r>
    </w:p>
    <w:p w14:paraId="56810B4A" w14:textId="77777777" w:rsidR="002A21AE" w:rsidRDefault="002A21AE">
      <w:pPr>
        <w:pStyle w:val="Heading4"/>
      </w:pPr>
      <w:r>
        <w:t>User Roles with Access to This Option</w:t>
      </w:r>
    </w:p>
    <w:p w14:paraId="2F9AE948" w14:textId="77777777" w:rsidR="002A21AE" w:rsidRDefault="002232A3">
      <w:pPr>
        <w:pStyle w:val="Roles"/>
        <w:rPr>
          <w:snapToGrid w:val="0"/>
        </w:rPr>
      </w:pPr>
      <w:r>
        <w:t>All users</w:t>
      </w:r>
    </w:p>
    <w:bookmarkEnd w:id="441"/>
    <w:p w14:paraId="49421B69" w14:textId="77777777" w:rsidR="006C058D" w:rsidRDefault="006C058D">
      <w:pPr>
        <w:rPr>
          <w:rFonts w:ascii="Arial" w:hAnsi="Arial"/>
          <w:b/>
          <w:sz w:val="22"/>
        </w:rPr>
      </w:pPr>
      <w:r>
        <w:br w:type="page"/>
      </w:r>
    </w:p>
    <w:p w14:paraId="64F42900" w14:textId="1FC4501D" w:rsidR="002A21AE" w:rsidRDefault="002A21AE">
      <w:pPr>
        <w:pStyle w:val="Heading4"/>
      </w:pPr>
      <w:r>
        <w:lastRenderedPageBreak/>
        <w:t>Patient Testing: Pending Task List</w:t>
      </w:r>
    </w:p>
    <w:p w14:paraId="05D5C789" w14:textId="77777777" w:rsidR="002A21AE" w:rsidRDefault="002A21AE" w:rsidP="00FA7E65">
      <w:pPr>
        <w:pStyle w:val="BodyText"/>
      </w:pPr>
      <w:r>
        <w:t>The user accesses a list of pending tasks. VBECS displays the PTL with search criteria to allow the user to limit the number of items viewed.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3B4565" w14:textId="77777777">
        <w:trPr>
          <w:tblHeader/>
        </w:trPr>
        <w:tc>
          <w:tcPr>
            <w:tcW w:w="3240" w:type="dxa"/>
            <w:shd w:val="pct30" w:color="auto" w:fill="FFFFFF"/>
            <w:vAlign w:val="bottom"/>
          </w:tcPr>
          <w:p w14:paraId="755480C6" w14:textId="77777777" w:rsidR="002A21AE" w:rsidRDefault="002A21AE">
            <w:pPr>
              <w:pStyle w:val="TableText"/>
              <w:rPr>
                <w:b/>
              </w:rPr>
            </w:pPr>
            <w:r>
              <w:rPr>
                <w:b/>
              </w:rPr>
              <w:t>User Action</w:t>
            </w:r>
          </w:p>
        </w:tc>
        <w:tc>
          <w:tcPr>
            <w:tcW w:w="6120" w:type="dxa"/>
            <w:shd w:val="pct30" w:color="auto" w:fill="FFFFFF"/>
            <w:vAlign w:val="bottom"/>
          </w:tcPr>
          <w:p w14:paraId="45DD1A00" w14:textId="77777777" w:rsidR="002A21AE" w:rsidRDefault="002A21AE">
            <w:pPr>
              <w:pStyle w:val="TableText"/>
              <w:rPr>
                <w:b/>
              </w:rPr>
            </w:pPr>
            <w:r>
              <w:rPr>
                <w:b/>
              </w:rPr>
              <w:t>VBECS</w:t>
            </w:r>
          </w:p>
        </w:tc>
      </w:tr>
      <w:tr w:rsidR="002A21AE" w14:paraId="5EF692F5" w14:textId="77777777" w:rsidTr="006C058D">
        <w:trPr>
          <w:cantSplit/>
        </w:trPr>
        <w:tc>
          <w:tcPr>
            <w:tcW w:w="3240" w:type="dxa"/>
          </w:tcPr>
          <w:p w14:paraId="52E213E6" w14:textId="77777777" w:rsidR="002A21AE" w:rsidRDefault="002A21AE">
            <w:pPr>
              <w:pStyle w:val="TableTextNumbers"/>
            </w:pPr>
            <w:r>
              <w:t xml:space="preserve">Select </w:t>
            </w:r>
            <w:r>
              <w:rPr>
                <w:b/>
              </w:rPr>
              <w:t>Patients</w:t>
            </w:r>
            <w:r>
              <w:t xml:space="preserve"> from the main menu.</w:t>
            </w:r>
          </w:p>
          <w:p w14:paraId="46224116" w14:textId="77777777" w:rsidR="002A21AE" w:rsidRDefault="002A21AE">
            <w:pPr>
              <w:pStyle w:val="TableTextNumbersContinued"/>
            </w:pPr>
          </w:p>
          <w:p w14:paraId="2B27BD5D" w14:textId="5A3CE19A" w:rsidR="002A21AE" w:rsidRDefault="002A21AE">
            <w:pPr>
              <w:pStyle w:val="TableTextNumbersContinued"/>
            </w:pPr>
            <w:r>
              <w:t xml:space="preserve">Select </w:t>
            </w:r>
            <w:r>
              <w:rPr>
                <w:b/>
              </w:rPr>
              <w:t>Patient Testing</w:t>
            </w:r>
            <w:r w:rsidR="0071094D">
              <w:rPr>
                <w:b/>
              </w:rPr>
              <w:t xml:space="preserve"> </w:t>
            </w:r>
            <w:r w:rsidR="0071094D" w:rsidRPr="0071094D">
              <w:t>(</w:t>
            </w:r>
            <w:r w:rsidR="00EE455E">
              <w:t xml:space="preserve">Figure </w:t>
            </w:r>
            <w:r w:rsidR="00EE455E">
              <w:rPr>
                <w:noProof/>
              </w:rPr>
              <w:t>91</w:t>
            </w:r>
            <w:r w:rsidR="0071094D" w:rsidRPr="0071094D">
              <w:t>)</w:t>
            </w:r>
            <w:r>
              <w:t>.</w:t>
            </w:r>
          </w:p>
        </w:tc>
        <w:tc>
          <w:tcPr>
            <w:tcW w:w="6120" w:type="dxa"/>
          </w:tcPr>
          <w:p w14:paraId="2E98607E" w14:textId="77777777" w:rsidR="002A21AE" w:rsidRDefault="002A21AE">
            <w:pPr>
              <w:pStyle w:val="TableTextBullet"/>
            </w:pPr>
            <w:r>
              <w:t>Displays options for processing patient-related functions.</w:t>
            </w:r>
          </w:p>
          <w:p w14:paraId="346E2DAD" w14:textId="77777777" w:rsidR="0055131E" w:rsidRDefault="002A21AE" w:rsidP="007B4A40">
            <w:pPr>
              <w:pStyle w:val="TableTextBullet"/>
            </w:pPr>
            <w:r>
              <w:t>Displays the PTL and PTL search parameters in the Diagnostic Tests tab or in the Component Orders tab.</w:t>
            </w:r>
          </w:p>
          <w:p w14:paraId="03E9965B" w14:textId="77777777" w:rsidR="008F0849" w:rsidRDefault="008F0849" w:rsidP="008F0849">
            <w:pPr>
              <w:pStyle w:val="TableTextBullet"/>
              <w:numPr>
                <w:ilvl w:val="0"/>
                <w:numId w:val="0"/>
              </w:numPr>
              <w:ind w:left="288" w:hanging="288"/>
            </w:pPr>
          </w:p>
          <w:p w14:paraId="4DB57F6D" w14:textId="1DB99327" w:rsidR="008F0849" w:rsidRDefault="008F0849" w:rsidP="008F0849">
            <w:pPr>
              <w:pStyle w:val="TableText"/>
              <w:rPr>
                <w:b/>
                <w:bCs/>
                <w:szCs w:val="18"/>
              </w:rPr>
            </w:pPr>
            <w:r>
              <w:rPr>
                <w:b/>
                <w:bCs/>
                <w:szCs w:val="18"/>
              </w:rPr>
              <w:t>NOTES</w:t>
            </w:r>
          </w:p>
          <w:p w14:paraId="026A9CFE" w14:textId="64EEABBF" w:rsidR="008F0849" w:rsidRPr="008F0849" w:rsidRDefault="008F0849" w:rsidP="008F0849">
            <w:pPr>
              <w:pStyle w:val="NotesText"/>
              <w:rPr>
                <w:szCs w:val="18"/>
              </w:rPr>
            </w:pPr>
            <w:r w:rsidRPr="008F0849">
              <w:rPr>
                <w:szCs w:val="18"/>
              </w:rPr>
              <w:t>Entering a random string consisting of letters and digits into the Patient search field returns the full pending task list. The correct combinations (full SSN, last 4 digits of SSN, first letter of last name + last 4 digits of SSN) will return a patient list.</w:t>
            </w:r>
            <w:r>
              <w:rPr>
                <w:szCs w:val="18"/>
              </w:rPr>
              <w:t xml:space="preserve"> </w:t>
            </w:r>
            <w:r w:rsidRPr="008F0849">
              <w:rPr>
                <w:vanish/>
                <w:szCs w:val="18"/>
              </w:rPr>
              <w:t>Task 208823</w:t>
            </w:r>
          </w:p>
          <w:p w14:paraId="22AD8934" w14:textId="77777777" w:rsidR="008F0849" w:rsidRDefault="008F0849" w:rsidP="008F0849">
            <w:pPr>
              <w:pStyle w:val="TableTextBullet"/>
              <w:numPr>
                <w:ilvl w:val="0"/>
                <w:numId w:val="0"/>
              </w:numPr>
              <w:ind w:left="288" w:hanging="288"/>
            </w:pPr>
          </w:p>
          <w:p w14:paraId="26BA9518" w14:textId="47BFC320" w:rsidR="008F0849" w:rsidRDefault="008F0849" w:rsidP="008F0849">
            <w:pPr>
              <w:pStyle w:val="TableTextBullet"/>
              <w:numPr>
                <w:ilvl w:val="0"/>
                <w:numId w:val="0"/>
              </w:numPr>
              <w:ind w:left="288" w:hanging="288"/>
            </w:pPr>
          </w:p>
        </w:tc>
      </w:tr>
      <w:tr w:rsidR="002A21AE" w14:paraId="7596CBA1" w14:textId="77777777">
        <w:tc>
          <w:tcPr>
            <w:tcW w:w="3240" w:type="dxa"/>
          </w:tcPr>
          <w:p w14:paraId="3470A7A8" w14:textId="77777777" w:rsidR="002A21AE" w:rsidRDefault="002A21AE">
            <w:pPr>
              <w:pStyle w:val="TableTextNumbers"/>
            </w:pPr>
            <w:r>
              <w:t>Click the check boxes in the PTL to select one</w:t>
            </w:r>
            <w:r w:rsidR="007A0E65">
              <w:t xml:space="preserve"> to four</w:t>
            </w:r>
            <w:r>
              <w:t xml:space="preserve"> tasks for processing and click </w:t>
            </w:r>
            <w:r>
              <w:rPr>
                <w:b/>
              </w:rPr>
              <w:t>OK</w:t>
            </w:r>
            <w:r>
              <w:t>, or</w:t>
            </w:r>
          </w:p>
          <w:p w14:paraId="60DCAC06" w14:textId="77777777" w:rsidR="002A21AE" w:rsidRDefault="002A21AE">
            <w:pPr>
              <w:pStyle w:val="TableTextNumbersContinued"/>
            </w:pPr>
          </w:p>
          <w:p w14:paraId="0CC053C6" w14:textId="77777777" w:rsidR="002A21AE" w:rsidRDefault="002A21AE">
            <w:pPr>
              <w:pStyle w:val="TableTextNumbersContinued"/>
            </w:pPr>
            <w:r>
              <w:t>Click</w:t>
            </w:r>
            <w:r>
              <w:rPr>
                <w:b/>
              </w:rPr>
              <w:t xml:space="preserve"> Print</w:t>
            </w:r>
            <w:r>
              <w:t xml:space="preserve"> to print the list.</w:t>
            </w:r>
          </w:p>
        </w:tc>
        <w:tc>
          <w:tcPr>
            <w:tcW w:w="6120" w:type="dxa"/>
          </w:tcPr>
          <w:p w14:paraId="495A947E" w14:textId="77777777" w:rsidR="002A21AE" w:rsidRDefault="002A21AE">
            <w:pPr>
              <w:pStyle w:val="TableTextBullet"/>
            </w:pPr>
            <w:r>
              <w:t xml:space="preserve">Allows the user to limit the search and display. </w:t>
            </w:r>
          </w:p>
          <w:p w14:paraId="32FF7D24" w14:textId="77777777" w:rsidR="002A21AE" w:rsidRDefault="002A21AE">
            <w:pPr>
              <w:pStyle w:val="TableTextBullet"/>
            </w:pPr>
            <w:r>
              <w:t>Prompts the user to select a task for continued processing, print a task list, or return to Step 1 to change the display of the list.</w:t>
            </w:r>
          </w:p>
          <w:p w14:paraId="0E709FFA" w14:textId="77777777" w:rsidR="002A21AE" w:rsidRDefault="002A21AE">
            <w:pPr>
              <w:pStyle w:val="TableText"/>
            </w:pPr>
          </w:p>
          <w:p w14:paraId="11B601C1" w14:textId="734F012D" w:rsidR="002A21AE" w:rsidRDefault="002A21AE">
            <w:pPr>
              <w:pStyle w:val="TableText"/>
              <w:rPr>
                <w:b/>
                <w:bCs/>
                <w:szCs w:val="18"/>
              </w:rPr>
            </w:pPr>
            <w:r>
              <w:rPr>
                <w:b/>
                <w:bCs/>
                <w:szCs w:val="18"/>
              </w:rPr>
              <w:t>NOTES</w:t>
            </w:r>
          </w:p>
          <w:p w14:paraId="0E6E0AFB" w14:textId="77777777" w:rsidR="002A21AE" w:rsidRPr="00623E7F" w:rsidRDefault="002A21AE">
            <w:pPr>
              <w:pStyle w:val="NotesText"/>
              <w:rPr>
                <w:vanish/>
                <w:szCs w:val="18"/>
              </w:rPr>
            </w:pPr>
          </w:p>
          <w:p w14:paraId="2EA7E5B3" w14:textId="71969D85" w:rsidR="003D7CE8" w:rsidRPr="00623E7F" w:rsidRDefault="005129F7" w:rsidP="00623E7F">
            <w:pPr>
              <w:pStyle w:val="NotesText"/>
              <w:rPr>
                <w:szCs w:val="18"/>
              </w:rPr>
            </w:pPr>
            <w:r w:rsidRPr="00623E7F">
              <w:rPr>
                <w:szCs w:val="18"/>
              </w:rPr>
              <w:t>Additional information is available in</w:t>
            </w:r>
            <w:r w:rsidR="00623E7F" w:rsidRPr="00623E7F">
              <w:rPr>
                <w:szCs w:val="18"/>
              </w:rPr>
              <w:t xml:space="preserve"> </w:t>
            </w:r>
            <w:r w:rsidR="00EE455E" w:rsidRPr="00EE455E">
              <w:rPr>
                <w:szCs w:val="18"/>
              </w:rPr>
              <w:t>Appendix H: Frequently Asked Questions</w:t>
            </w:r>
            <w:r w:rsidRPr="00623E7F">
              <w:rPr>
                <w:szCs w:val="18"/>
              </w:rPr>
              <w:t>.</w:t>
            </w:r>
            <w:r w:rsidRPr="00623E7F">
              <w:rPr>
                <w:vanish/>
                <w:szCs w:val="18"/>
              </w:rPr>
              <w:t xml:space="preserve"> DR 3971</w:t>
            </w:r>
          </w:p>
          <w:p w14:paraId="7A23C570" w14:textId="77777777" w:rsidR="003D7CE8" w:rsidRPr="00623E7F" w:rsidRDefault="003D7CE8">
            <w:pPr>
              <w:pStyle w:val="NotesText"/>
            </w:pPr>
          </w:p>
          <w:p w14:paraId="495A497B" w14:textId="77777777" w:rsidR="002A21AE" w:rsidRDefault="002A21AE">
            <w:pPr>
              <w:pStyle w:val="NotesText"/>
            </w:pPr>
            <w:r>
              <w:t xml:space="preserve">The user may click </w:t>
            </w:r>
            <w:r>
              <w:rPr>
                <w:b/>
              </w:rPr>
              <w:t>Cancel Order(s)</w:t>
            </w:r>
            <w:r>
              <w:t xml:space="preserve">, select a comment, and click </w:t>
            </w:r>
            <w:r>
              <w:rPr>
                <w:b/>
              </w:rPr>
              <w:t xml:space="preserve">OK </w:t>
            </w:r>
            <w:r>
              <w:t>to exit.</w:t>
            </w:r>
          </w:p>
          <w:p w14:paraId="27C1CDD3" w14:textId="77777777" w:rsidR="002A21AE" w:rsidRDefault="002A21AE">
            <w:pPr>
              <w:pStyle w:val="NotesText"/>
            </w:pPr>
          </w:p>
          <w:p w14:paraId="5101DED5" w14:textId="77777777" w:rsidR="002A21AE" w:rsidRDefault="002A21AE">
            <w:pPr>
              <w:pStyle w:val="NotesText"/>
            </w:pPr>
            <w:r>
              <w:rPr>
                <w:vanish/>
                <w:szCs w:val="18"/>
              </w:rPr>
              <w:t>BR_92.03</w:t>
            </w:r>
            <w:r w:rsidR="00CE3961">
              <w:rPr>
                <w:vanish/>
                <w:szCs w:val="18"/>
              </w:rPr>
              <w:t>,</w:t>
            </w:r>
            <w:r>
              <w:rPr>
                <w:vanish/>
                <w:szCs w:val="18"/>
              </w:rPr>
              <w:t xml:space="preserve"> BR_92.05 </w:t>
            </w:r>
            <w:r>
              <w:t xml:space="preserve">The user may select </w:t>
            </w:r>
            <w:r w:rsidR="00810E0A">
              <w:t>one to four</w:t>
            </w:r>
            <w:r>
              <w:t xml:space="preserve"> tasks for testing at a time. The tasks may be component class order tasks, diagnostic test tasks, or a combination of both.</w:t>
            </w:r>
          </w:p>
          <w:p w14:paraId="4FCE80A6" w14:textId="77777777" w:rsidR="00D3124A" w:rsidRDefault="00D3124A">
            <w:pPr>
              <w:pStyle w:val="NotesText"/>
            </w:pPr>
          </w:p>
          <w:p w14:paraId="402A3007" w14:textId="77777777" w:rsidR="002A21AE" w:rsidRDefault="002A21AE">
            <w:pPr>
              <w:pStyle w:val="NotesText"/>
            </w:pPr>
            <w:r>
              <w:t>VBECS displays “NRQ” (not required) when the task does not require a specimen for processing.</w:t>
            </w:r>
          </w:p>
          <w:p w14:paraId="2D816093" w14:textId="77777777" w:rsidR="00DF7D1A" w:rsidRDefault="00DF7D1A">
            <w:pPr>
              <w:pStyle w:val="NotesText"/>
              <w:rPr>
                <w:rFonts w:cs="Arial"/>
              </w:rPr>
            </w:pPr>
          </w:p>
          <w:p w14:paraId="29552BCF" w14:textId="2ADF4D64" w:rsidR="009A6B43" w:rsidRDefault="002A21AE">
            <w:pPr>
              <w:pStyle w:val="NotesText"/>
            </w:pPr>
            <w:r>
              <w:rPr>
                <w:rFonts w:cs="Arial"/>
                <w:vanish/>
              </w:rPr>
              <w:t xml:space="preserve">BR_92.01 </w:t>
            </w:r>
            <w:r>
              <w:t xml:space="preserve">For each order, VBECS displays the specific diagnostic test or component order. The default searches for the current date’s tasks, then yesterday’s tasks, and so on until the task status is “completed.” The display includes the task’s status and a </w:t>
            </w:r>
            <w:r w:rsidR="009A6B43">
              <w:t>username</w:t>
            </w:r>
            <w:r>
              <w:t>, when applicable.</w:t>
            </w:r>
          </w:p>
          <w:p w14:paraId="437E751F" w14:textId="77777777" w:rsidR="009A6B43" w:rsidRDefault="009A6B43" w:rsidP="009A6B43">
            <w:pPr>
              <w:pStyle w:val="TableText"/>
              <w:ind w:left="720"/>
            </w:pPr>
            <w:r>
              <w:t>The Pending Task List (PTL) and its report display the following:</w:t>
            </w:r>
          </w:p>
          <w:p w14:paraId="656006B1" w14:textId="77777777" w:rsidR="009A6B43" w:rsidRDefault="009A6B43" w:rsidP="00925CAD">
            <w:pPr>
              <w:pStyle w:val="TableText"/>
              <w:numPr>
                <w:ilvl w:val="0"/>
                <w:numId w:val="77"/>
              </w:numPr>
              <w:ind w:left="1080"/>
            </w:pPr>
            <w:r>
              <w:t>Diagnostic Tests tab includes only unexpired diagnostic tests that are not completed.</w:t>
            </w:r>
          </w:p>
          <w:p w14:paraId="2FEDABBD" w14:textId="77777777" w:rsidR="009A6B43" w:rsidRDefault="009A6B43" w:rsidP="00925CAD">
            <w:pPr>
              <w:pStyle w:val="TableText"/>
              <w:numPr>
                <w:ilvl w:val="0"/>
                <w:numId w:val="77"/>
              </w:numPr>
              <w:ind w:left="1080"/>
            </w:pPr>
            <w:r>
              <w:t>Component Orders tab includes only unexpired component orders (Filled orders are included).</w:t>
            </w:r>
          </w:p>
          <w:p w14:paraId="4BE239AA" w14:textId="77777777" w:rsidR="009A6B43" w:rsidRPr="00287DC2" w:rsidRDefault="009A6B43" w:rsidP="00925CAD">
            <w:pPr>
              <w:pStyle w:val="TableText"/>
              <w:numPr>
                <w:ilvl w:val="0"/>
                <w:numId w:val="77"/>
              </w:numPr>
              <w:ind w:left="1080"/>
            </w:pPr>
            <w:r>
              <w:t>Report</w:t>
            </w:r>
            <w:r w:rsidRPr="00287DC2">
              <w:t xml:space="preserve"> contain both unexpired component orders (Filled orders are included) and unexpired diagnostic tests that are not completed.</w:t>
            </w:r>
          </w:p>
          <w:p w14:paraId="40CB1DF4" w14:textId="77777777" w:rsidR="009A6B43" w:rsidRDefault="009A6B43" w:rsidP="009A6B43">
            <w:pPr>
              <w:pStyle w:val="TableText"/>
              <w:ind w:left="720"/>
            </w:pPr>
            <w:r>
              <w:t>The following data are included:</w:t>
            </w:r>
          </w:p>
          <w:p w14:paraId="4B48E265" w14:textId="77777777" w:rsidR="009A6B43" w:rsidRPr="00830728" w:rsidRDefault="009A6B43" w:rsidP="00925CAD">
            <w:pPr>
              <w:pStyle w:val="TableText"/>
              <w:numPr>
                <w:ilvl w:val="0"/>
                <w:numId w:val="78"/>
              </w:numPr>
              <w:ind w:left="1080"/>
            </w:pPr>
            <w:r w:rsidRPr="00830728">
              <w:t>Patient Location (report only)</w:t>
            </w:r>
          </w:p>
          <w:p w14:paraId="462224D7" w14:textId="77777777" w:rsidR="009A6B43" w:rsidRPr="00830728" w:rsidRDefault="009A6B43" w:rsidP="00925CAD">
            <w:pPr>
              <w:pStyle w:val="TableText"/>
              <w:numPr>
                <w:ilvl w:val="0"/>
                <w:numId w:val="78"/>
              </w:numPr>
              <w:ind w:left="1080"/>
            </w:pPr>
            <w:r w:rsidRPr="00830728">
              <w:t>Priority</w:t>
            </w:r>
          </w:p>
          <w:p w14:paraId="26EC3861" w14:textId="77777777" w:rsidR="009A6B43" w:rsidRPr="00830728" w:rsidRDefault="009A6B43" w:rsidP="00925CAD">
            <w:pPr>
              <w:pStyle w:val="TableText"/>
              <w:numPr>
                <w:ilvl w:val="0"/>
                <w:numId w:val="78"/>
              </w:numPr>
              <w:ind w:left="1080"/>
            </w:pPr>
            <w:r w:rsidRPr="00830728">
              <w:t>Patient Name</w:t>
            </w:r>
          </w:p>
          <w:p w14:paraId="4F3BA6C5" w14:textId="77777777" w:rsidR="009A6B43" w:rsidRPr="00830728" w:rsidRDefault="009A6B43" w:rsidP="00925CAD">
            <w:pPr>
              <w:pStyle w:val="TableText"/>
              <w:numPr>
                <w:ilvl w:val="0"/>
                <w:numId w:val="78"/>
              </w:numPr>
              <w:ind w:left="1080"/>
            </w:pPr>
            <w:r w:rsidRPr="00830728">
              <w:t>Patient ID</w:t>
            </w:r>
          </w:p>
          <w:p w14:paraId="3E79C2FC" w14:textId="77777777" w:rsidR="009A6B43" w:rsidRPr="00830728" w:rsidRDefault="009A6B43" w:rsidP="00925CAD">
            <w:pPr>
              <w:pStyle w:val="TableText"/>
              <w:numPr>
                <w:ilvl w:val="0"/>
                <w:numId w:val="78"/>
              </w:numPr>
              <w:ind w:left="1080"/>
            </w:pPr>
            <w:r w:rsidRPr="00830728">
              <w:t>Specimen UID</w:t>
            </w:r>
          </w:p>
          <w:p w14:paraId="603A1B35" w14:textId="77777777" w:rsidR="009A6B43" w:rsidRPr="00830728" w:rsidRDefault="009A6B43" w:rsidP="00925CAD">
            <w:pPr>
              <w:pStyle w:val="TableText"/>
              <w:numPr>
                <w:ilvl w:val="0"/>
                <w:numId w:val="78"/>
              </w:numPr>
              <w:ind w:left="1080"/>
            </w:pPr>
            <w:r w:rsidRPr="00830728">
              <w:t>CPRS Order ID (PTL only)</w:t>
            </w:r>
          </w:p>
          <w:p w14:paraId="30329C0B" w14:textId="77777777" w:rsidR="009A6B43" w:rsidRPr="00830728" w:rsidRDefault="009A6B43" w:rsidP="00925CAD">
            <w:pPr>
              <w:pStyle w:val="TableText"/>
              <w:numPr>
                <w:ilvl w:val="0"/>
                <w:numId w:val="78"/>
              </w:numPr>
              <w:ind w:left="1080"/>
            </w:pPr>
            <w:r w:rsidRPr="00830728">
              <w:t>Order (Diagnostic Test or Component)</w:t>
            </w:r>
          </w:p>
          <w:p w14:paraId="20991908" w14:textId="77777777" w:rsidR="009A6B43" w:rsidRPr="00830728" w:rsidRDefault="009A6B43" w:rsidP="00925CAD">
            <w:pPr>
              <w:pStyle w:val="TableText"/>
              <w:numPr>
                <w:ilvl w:val="0"/>
                <w:numId w:val="78"/>
              </w:numPr>
              <w:ind w:left="1080"/>
            </w:pPr>
            <w:r w:rsidRPr="00830728">
              <w:t>Quantity (Component order only)</w:t>
            </w:r>
          </w:p>
          <w:p w14:paraId="2C6202E0" w14:textId="77777777" w:rsidR="009A6B43" w:rsidRPr="00830728" w:rsidRDefault="009A6B43" w:rsidP="00925CAD">
            <w:pPr>
              <w:pStyle w:val="TableText"/>
              <w:numPr>
                <w:ilvl w:val="0"/>
                <w:numId w:val="78"/>
              </w:numPr>
              <w:ind w:left="1080"/>
            </w:pPr>
            <w:r w:rsidRPr="00830728">
              <w:t>Ordering Physician (report only)</w:t>
            </w:r>
          </w:p>
          <w:p w14:paraId="47152357" w14:textId="77777777" w:rsidR="009A6B43" w:rsidRPr="00830728" w:rsidRDefault="009A6B43" w:rsidP="00925CAD">
            <w:pPr>
              <w:pStyle w:val="TableText"/>
              <w:numPr>
                <w:ilvl w:val="0"/>
                <w:numId w:val="78"/>
              </w:numPr>
              <w:ind w:left="1080"/>
            </w:pPr>
            <w:r w:rsidRPr="00830728">
              <w:lastRenderedPageBreak/>
              <w:t>Order Comments</w:t>
            </w:r>
          </w:p>
          <w:p w14:paraId="10F9A3E3" w14:textId="77777777" w:rsidR="009A6B43" w:rsidRPr="00830728" w:rsidRDefault="009A6B43" w:rsidP="00925CAD">
            <w:pPr>
              <w:pStyle w:val="TableText"/>
              <w:numPr>
                <w:ilvl w:val="0"/>
                <w:numId w:val="78"/>
              </w:numPr>
              <w:ind w:left="1080"/>
            </w:pPr>
            <w:r w:rsidRPr="00830728">
              <w:t>Date Ordered (report only)</w:t>
            </w:r>
          </w:p>
          <w:p w14:paraId="541108CA" w14:textId="77777777" w:rsidR="009A6B43" w:rsidRPr="00830728" w:rsidRDefault="009A6B43" w:rsidP="00925CAD">
            <w:pPr>
              <w:pStyle w:val="TableText"/>
              <w:numPr>
                <w:ilvl w:val="0"/>
                <w:numId w:val="78"/>
              </w:numPr>
              <w:ind w:left="1080"/>
            </w:pPr>
            <w:r w:rsidRPr="00830728">
              <w:t>Date Wanted</w:t>
            </w:r>
          </w:p>
          <w:p w14:paraId="5762ADAF" w14:textId="12305315" w:rsidR="002A21AE" w:rsidRDefault="009A6B43" w:rsidP="00925CAD">
            <w:pPr>
              <w:pStyle w:val="TableText"/>
              <w:numPr>
                <w:ilvl w:val="0"/>
                <w:numId w:val="78"/>
              </w:numPr>
              <w:ind w:left="1080"/>
            </w:pPr>
            <w:r w:rsidRPr="00830728">
              <w:t>Task Status</w:t>
            </w:r>
          </w:p>
          <w:p w14:paraId="7FADFAF2" w14:textId="77777777" w:rsidR="002A21AE" w:rsidRDefault="002A21AE">
            <w:pPr>
              <w:pStyle w:val="NotesText"/>
            </w:pPr>
          </w:p>
          <w:p w14:paraId="50811717" w14:textId="77777777" w:rsidR="002A21AE" w:rsidRDefault="002A21AE">
            <w:pPr>
              <w:pStyle w:val="NotesText"/>
            </w:pPr>
            <w:r>
              <w:rPr>
                <w:rFonts w:cs="Arial"/>
                <w:vanish/>
              </w:rPr>
              <w:t xml:space="preserve">BR_92.10 </w:t>
            </w:r>
            <w:r>
              <w:rPr>
                <w:szCs w:val="20"/>
              </w:rPr>
              <w:t>VBECS alerts the user when he attempts to select multiple tasks of the same type for a patient, and does not allow the selection of two or more tasks of the same type ordered for a patient during a testing session. Tasks are considered to be of the same type when they need to accommodate the use of the same testing grid in Patient Testing: Record Patient Test Results. For example, a user may not select a TAS task and one of its subtests that is ordered in a testing session. VBECS provides for one testing grid display per patient per test, not per specimen UID. If the user selected a TAS and an ABS, VBECS displays only the first one selected for result entry.</w:t>
            </w:r>
          </w:p>
          <w:p w14:paraId="035FACE5" w14:textId="77777777" w:rsidR="002A21AE" w:rsidRDefault="002A21AE">
            <w:pPr>
              <w:pStyle w:val="NotesText"/>
            </w:pPr>
          </w:p>
          <w:p w14:paraId="08787103" w14:textId="77777777" w:rsidR="002A21AE" w:rsidRDefault="002A21AE">
            <w:pPr>
              <w:pStyle w:val="NotesText"/>
              <w:rPr>
                <w:b/>
              </w:rPr>
            </w:pPr>
            <w:r>
              <w:rPr>
                <w:vanish/>
                <w:szCs w:val="18"/>
              </w:rPr>
              <w:t xml:space="preserve">BR_92.02 </w:t>
            </w:r>
            <w:r>
              <w:t>Task and order statuses and functions that are displayed on the PTL:</w:t>
            </w:r>
          </w:p>
          <w:p w14:paraId="0F942CD3" w14:textId="77777777" w:rsidR="002A21AE" w:rsidRDefault="002A21AE">
            <w:pPr>
              <w:pStyle w:val="NotesTextBullet"/>
            </w:pPr>
            <w:r>
              <w:rPr>
                <w:b/>
              </w:rPr>
              <w:t>Not Started:</w:t>
            </w:r>
            <w:r>
              <w:t xml:space="preserve"> </w:t>
            </w:r>
            <w:r w:rsidR="00D06D15">
              <w:t>the order was not selected</w:t>
            </w:r>
            <w:r>
              <w:t>.</w:t>
            </w:r>
          </w:p>
          <w:p w14:paraId="42885EFD" w14:textId="77777777" w:rsidR="002A21AE" w:rsidRDefault="002A21AE">
            <w:pPr>
              <w:pStyle w:val="NotesTextBullet"/>
            </w:pPr>
            <w:r>
              <w:rPr>
                <w:b/>
              </w:rPr>
              <w:t>Partially Completed &lt;user ID&gt;:</w:t>
            </w:r>
            <w:r>
              <w:t xml:space="preserve"> allows selection by another user for a diagnostic test to complete</w:t>
            </w:r>
            <w:r w:rsidR="00430883">
              <w:t>,</w:t>
            </w:r>
            <w:r>
              <w:t xml:space="preserve"> invalidate</w:t>
            </w:r>
            <w:r w:rsidR="00430883">
              <w:t>, or delete</w:t>
            </w:r>
            <w:r>
              <w:t xml:space="preserve"> the work </w:t>
            </w:r>
            <w:r w:rsidR="00430883">
              <w:t>on this specimen</w:t>
            </w:r>
            <w:r>
              <w:t xml:space="preserve">. </w:t>
            </w:r>
            <w:r>
              <w:rPr>
                <w:i/>
              </w:rPr>
              <w:t>Component orders remain in this status until the specimen and order expire</w:t>
            </w:r>
            <w:r w:rsidRPr="00543DAF">
              <w:rPr>
                <w:i/>
              </w:rPr>
              <w:t>.</w:t>
            </w:r>
          </w:p>
          <w:p w14:paraId="04B0DC91" w14:textId="77777777" w:rsidR="002A21AE" w:rsidRDefault="002A21AE">
            <w:pPr>
              <w:pStyle w:val="NotesTextBullet"/>
            </w:pPr>
            <w:r>
              <w:rPr>
                <w:b/>
              </w:rPr>
              <w:t>Filled:</w:t>
            </w:r>
            <w:r>
              <w:t xml:space="preserve"> This order status is assigned when the total number of units ordered is </w:t>
            </w:r>
            <w:r w:rsidR="00C2698E">
              <w:t>updated to a unit status of “issued” or “transfused.”</w:t>
            </w:r>
            <w:r>
              <w:t xml:space="preserve"> </w:t>
            </w:r>
            <w:r w:rsidR="006B6C5C" w:rsidRPr="006B6C5C">
              <w:rPr>
                <w:vanish/>
              </w:rPr>
              <w:t>DR 2,597</w:t>
            </w:r>
          </w:p>
          <w:p w14:paraId="100A5330" w14:textId="77777777" w:rsidR="002A21AE" w:rsidRDefault="002A21AE">
            <w:pPr>
              <w:pStyle w:val="NotesTextBullet"/>
            </w:pPr>
            <w:r>
              <w:rPr>
                <w:b/>
              </w:rPr>
              <w:t xml:space="preserve">Correction: </w:t>
            </w:r>
            <w:r>
              <w:t>previous results were invalidated; a corrected entry is required.</w:t>
            </w:r>
          </w:p>
          <w:p w14:paraId="772607DD" w14:textId="77777777" w:rsidR="00493CA8" w:rsidRDefault="002E3B5D">
            <w:pPr>
              <w:pStyle w:val="NotesTextBullet"/>
            </w:pPr>
            <w:r w:rsidRPr="005E27C3">
              <w:rPr>
                <w:b/>
              </w:rPr>
              <w:t>Instrument Results Pending R</w:t>
            </w:r>
            <w:r w:rsidR="00493CA8" w:rsidRPr="005E27C3">
              <w:rPr>
                <w:b/>
              </w:rPr>
              <w:t>eview</w:t>
            </w:r>
            <w:r w:rsidRPr="005E27C3">
              <w:rPr>
                <w:b/>
              </w:rPr>
              <w:t>:</w:t>
            </w:r>
            <w:r>
              <w:t xml:space="preserve"> </w:t>
            </w:r>
            <w:r w:rsidR="005E27C3">
              <w:t xml:space="preserve">displayed on the </w:t>
            </w:r>
            <w:r w:rsidR="005E27C3">
              <w:rPr>
                <w:rFonts w:cs="Arial"/>
                <w:szCs w:val="18"/>
              </w:rPr>
              <w:t xml:space="preserve">Pending Task List: Diagnostic tests: does not allow the selection by another user for manual testing. </w:t>
            </w:r>
            <w:r w:rsidR="005E27C3" w:rsidRPr="005E27C3">
              <w:rPr>
                <w:rFonts w:cs="Arial"/>
                <w:vanish/>
                <w:szCs w:val="18"/>
              </w:rPr>
              <w:t>BR_92.02</w:t>
            </w:r>
          </w:p>
          <w:p w14:paraId="0908A8AB" w14:textId="77777777" w:rsidR="002A21AE" w:rsidRDefault="002A21AE">
            <w:pPr>
              <w:pStyle w:val="NotesText"/>
            </w:pPr>
          </w:p>
          <w:p w14:paraId="2C3B5382" w14:textId="77777777" w:rsidR="002A21AE" w:rsidRDefault="002A21AE">
            <w:pPr>
              <w:pStyle w:val="NotesText"/>
            </w:pPr>
            <w:r>
              <w:t>Task and order statuses that are not displayed for selection on the PTL:</w:t>
            </w:r>
          </w:p>
          <w:p w14:paraId="7AFF5C38" w14:textId="77777777" w:rsidR="002A21AE" w:rsidRDefault="002A21AE">
            <w:pPr>
              <w:pStyle w:val="NotesTextBullet"/>
            </w:pPr>
            <w:r>
              <w:rPr>
                <w:b/>
              </w:rPr>
              <w:t>Completed:</w:t>
            </w:r>
            <w:r>
              <w:t xml:space="preserve"> applies to diagnostic tests </w:t>
            </w:r>
          </w:p>
          <w:p w14:paraId="3181C0D0" w14:textId="77777777" w:rsidR="002A21AE" w:rsidRDefault="002A21AE">
            <w:pPr>
              <w:pStyle w:val="NotesTextBullet"/>
            </w:pPr>
            <w:r>
              <w:rPr>
                <w:b/>
              </w:rPr>
              <w:t>Expired:</w:t>
            </w:r>
            <w:r>
              <w:t xml:space="preserve"> applies to component orders at expiration of</w:t>
            </w:r>
            <w:r w:rsidR="00AA6C54">
              <w:t xml:space="preserve"> </w:t>
            </w:r>
            <w:r>
              <w:t>the associated specimen.</w:t>
            </w:r>
          </w:p>
          <w:p w14:paraId="59CEB7C3" w14:textId="77777777" w:rsidR="002A21AE" w:rsidRDefault="002A21AE">
            <w:pPr>
              <w:pStyle w:val="NotesText"/>
            </w:pPr>
          </w:p>
          <w:p w14:paraId="6A6CA9A0" w14:textId="2152E16B" w:rsidR="002A21AE" w:rsidRDefault="002A21AE" w:rsidP="00D327A3">
            <w:pPr>
              <w:pStyle w:val="NotesText"/>
            </w:pPr>
            <w:r>
              <w:t xml:space="preserve">See </w:t>
            </w:r>
            <w:r w:rsidR="00EE455E">
              <w:t xml:space="preserve">Appendix </w:t>
            </w:r>
            <w:r w:rsidR="00EE455E">
              <w:rPr>
                <w:noProof/>
              </w:rPr>
              <w:t>B</w:t>
            </w:r>
            <w:r>
              <w:t>:</w:t>
            </w:r>
            <w:r w:rsidR="00D327A3">
              <w:t xml:space="preserve"> </w:t>
            </w:r>
            <w:r w:rsidR="00EE455E">
              <w:t xml:space="preserve">Figure </w:t>
            </w:r>
            <w:r w:rsidR="00EE455E">
              <w:rPr>
                <w:noProof/>
              </w:rPr>
              <w:t>117:</w:t>
            </w:r>
            <w:r w:rsidR="00EE455E">
              <w:t xml:space="preserve"> </w:t>
            </w:r>
            <w:r w:rsidR="00EE455E">
              <w:rPr>
                <w:vanish/>
              </w:rPr>
              <w:t xml:space="preserve">TT_92.01 </w:t>
            </w:r>
            <w:r w:rsidR="00EE455E" w:rsidRPr="00EE455E">
              <w:t>Order</w:t>
            </w:r>
            <w:r w:rsidR="00EE455E">
              <w:t xml:space="preserve"> Status Flowchart</w:t>
            </w:r>
            <w:r w:rsidR="00BC74A8">
              <w:t xml:space="preserve"> </w:t>
            </w:r>
            <w:r w:rsidR="00BC74A8" w:rsidRPr="00BC74A8">
              <w:t xml:space="preserve">for the </w:t>
            </w:r>
            <w:r w:rsidR="003A0F91">
              <w:t>transmission</w:t>
            </w:r>
            <w:r w:rsidR="00BC74A8" w:rsidRPr="00BC74A8">
              <w:t xml:space="preserve"> of orders between CPRS and VBECS</w:t>
            </w:r>
            <w:r>
              <w:t>.</w:t>
            </w:r>
          </w:p>
          <w:p w14:paraId="65B44DA4" w14:textId="77777777" w:rsidR="00430883" w:rsidRPr="00BC74A8" w:rsidRDefault="00430883" w:rsidP="00BC74A8">
            <w:pPr>
              <w:pStyle w:val="NotesText"/>
            </w:pPr>
          </w:p>
          <w:p w14:paraId="511389B5" w14:textId="77777777" w:rsidR="00E84F5F" w:rsidRDefault="00E84F5F" w:rsidP="00E84F5F">
            <w:pPr>
              <w:pStyle w:val="NotesText"/>
            </w:pPr>
            <w:r w:rsidRPr="00574F77">
              <w:rPr>
                <w:vanish/>
                <w:szCs w:val="18"/>
              </w:rPr>
              <w:t xml:space="preserve">BR_92.07 </w:t>
            </w:r>
            <w:r w:rsidRPr="00574F77">
              <w:t>When a user prints a PTL and no pending tasks are found, VBECS asks whether the user wishes to continue to print. The user may cancel or print the report, which states that no pending orders were found.</w:t>
            </w:r>
          </w:p>
        </w:tc>
      </w:tr>
      <w:tr w:rsidR="002A21AE" w14:paraId="5C2C37D9" w14:textId="77777777">
        <w:tc>
          <w:tcPr>
            <w:tcW w:w="3240" w:type="dxa"/>
          </w:tcPr>
          <w:p w14:paraId="350EC864" w14:textId="77777777" w:rsidR="002A21AE" w:rsidRDefault="002A21AE">
            <w:pPr>
              <w:pStyle w:val="TableTextNumbers"/>
            </w:pPr>
            <w:r>
              <w:lastRenderedPageBreak/>
              <w:t xml:space="preserve">Click </w:t>
            </w:r>
            <w:r>
              <w:rPr>
                <w:b/>
              </w:rPr>
              <w:t>OK</w:t>
            </w:r>
            <w:r>
              <w:t xml:space="preserve"> or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32A6332" w14:textId="77777777" w:rsidR="002A21AE" w:rsidRDefault="002A21AE">
            <w:pPr>
              <w:pStyle w:val="NotesText"/>
            </w:pPr>
          </w:p>
        </w:tc>
      </w:tr>
    </w:tbl>
    <w:p w14:paraId="00B266BE" w14:textId="77777777" w:rsidR="006C058D" w:rsidRDefault="006C058D">
      <w:pPr>
        <w:pStyle w:val="Heading3"/>
      </w:pPr>
    </w:p>
    <w:p w14:paraId="72B4DE62" w14:textId="77777777" w:rsidR="006C058D" w:rsidRDefault="006C058D">
      <w:pPr>
        <w:rPr>
          <w:rFonts w:ascii="Arial" w:hAnsi="Arial" w:cs="Arial"/>
          <w:b/>
          <w:bCs/>
          <w:sz w:val="26"/>
          <w:szCs w:val="26"/>
        </w:rPr>
      </w:pPr>
      <w:r>
        <w:br w:type="page"/>
      </w:r>
    </w:p>
    <w:p w14:paraId="27677300" w14:textId="571C45F6" w:rsidR="002A21AE" w:rsidRDefault="002A21AE">
      <w:pPr>
        <w:pStyle w:val="Heading3"/>
      </w:pPr>
      <w:bookmarkStart w:id="443" w:name="_Toc163644942"/>
      <w:r>
        <w:lastRenderedPageBreak/>
        <w:t>Accept Orders: Cancel a Pending Order</w:t>
      </w:r>
      <w:bookmarkEnd w:id="443"/>
      <w:r w:rsidRPr="00B91603">
        <w:rPr>
          <w:rFonts w:ascii="Arial Bold" w:hAnsi="Arial Bold"/>
          <w:vanish/>
        </w:rPr>
        <w:fldChar w:fldCharType="begin"/>
      </w:r>
      <w:r w:rsidRPr="00B91603">
        <w:rPr>
          <w:rFonts w:ascii="Arial Bold" w:hAnsi="Arial Bold"/>
          <w:vanish/>
        </w:rPr>
        <w:instrText xml:space="preserve"> XE </w:instrText>
      </w:r>
      <w:r w:rsidR="00FA7E65" w:rsidRPr="00B91603">
        <w:rPr>
          <w:rFonts w:ascii="Arial Bold" w:hAnsi="Arial Bold"/>
          <w:vanish/>
        </w:rPr>
        <w:instrText>“</w:instrText>
      </w:r>
      <w:r w:rsidRPr="00B91603">
        <w:rPr>
          <w:rFonts w:ascii="Arial Bold" w:hAnsi="Arial Bold"/>
          <w:vanish/>
        </w:rPr>
        <w:instrText>Accept Orders\: Cancel an Order</w:instrText>
      </w:r>
      <w:r w:rsidR="00FA7E65" w:rsidRPr="00B91603">
        <w:rPr>
          <w:rFonts w:ascii="Arial Bold" w:hAnsi="Arial Bold"/>
          <w:vanish/>
        </w:rPr>
        <w:instrText>”</w:instrText>
      </w:r>
      <w:r w:rsidRPr="00B91603">
        <w:rPr>
          <w:rFonts w:ascii="Arial Bold" w:hAnsi="Arial Bold"/>
          <w:vanish/>
        </w:rPr>
        <w:instrText xml:space="preserve"> </w:instrText>
      </w:r>
      <w:r w:rsidRPr="00B91603">
        <w:rPr>
          <w:rFonts w:ascii="Arial Bold" w:hAnsi="Arial Bold"/>
          <w:vanish/>
        </w:rPr>
        <w:fldChar w:fldCharType="end"/>
      </w:r>
      <w:r w:rsidRPr="00B91603">
        <w:rPr>
          <w:rFonts w:ascii="Arial Bold" w:hAnsi="Arial Bold"/>
          <w:vanish/>
        </w:rPr>
        <w:t xml:space="preserve"> UC_61</w:t>
      </w:r>
    </w:p>
    <w:p w14:paraId="46B38172" w14:textId="77777777" w:rsidR="002A21AE" w:rsidRDefault="002A21AE" w:rsidP="00FA7E65">
      <w:pPr>
        <w:pStyle w:val="BodyText"/>
      </w:pPr>
      <w:bookmarkStart w:id="444" w:name="_Toc79560668"/>
      <w:bookmarkStart w:id="445" w:name="_Toc75227779"/>
      <w:r>
        <w:t>The user cancels an unaccepted order on the Pending Order List (POL).</w:t>
      </w:r>
    </w:p>
    <w:p w14:paraId="6F79BFF6" w14:textId="77777777" w:rsidR="002A21AE" w:rsidRDefault="002A21AE">
      <w:pPr>
        <w:pStyle w:val="Heading4"/>
      </w:pPr>
      <w:r>
        <w:t>Assumptions</w:t>
      </w:r>
    </w:p>
    <w:p w14:paraId="2CC6407F" w14:textId="77777777" w:rsidR="002A21AE" w:rsidRDefault="002A21AE">
      <w:pPr>
        <w:pStyle w:val="ListBullet"/>
      </w:pPr>
      <w:r>
        <w:t>An order was not accepted by a user.</w:t>
      </w:r>
    </w:p>
    <w:p w14:paraId="4CA512FD" w14:textId="77777777" w:rsidR="002A21AE" w:rsidRDefault="002A21AE">
      <w:pPr>
        <w:pStyle w:val="ListBullet"/>
      </w:pPr>
      <w:r>
        <w:t xml:space="preserve">The connection to </w:t>
      </w:r>
      <w:r w:rsidR="00CA0045" w:rsidRPr="00CA0045">
        <w:rPr>
          <w:bCs/>
        </w:rPr>
        <w:t>VistA</w:t>
      </w:r>
      <w:r>
        <w:t xml:space="preserve"> is active.</w:t>
      </w:r>
    </w:p>
    <w:p w14:paraId="73D65F5B" w14:textId="77777777" w:rsidR="002A21AE" w:rsidRDefault="002A21AE">
      <w:pPr>
        <w:pStyle w:val="Heading4"/>
      </w:pPr>
      <w:r>
        <w:t xml:space="preserve">Outcome </w:t>
      </w:r>
    </w:p>
    <w:p w14:paraId="02151209" w14:textId="77777777" w:rsidR="002A21AE" w:rsidRDefault="002A21AE">
      <w:pPr>
        <w:pStyle w:val="ListBullet"/>
      </w:pPr>
      <w:r>
        <w:t>An order update message was sent to CPRS.</w:t>
      </w:r>
    </w:p>
    <w:p w14:paraId="7D618D00" w14:textId="77777777" w:rsidR="002A21AE" w:rsidRDefault="002A21AE">
      <w:pPr>
        <w:pStyle w:val="ListBullet"/>
      </w:pPr>
      <w:r>
        <w:t>The order was removed from the POL.</w:t>
      </w:r>
    </w:p>
    <w:p w14:paraId="226B3FE0" w14:textId="77777777" w:rsidR="002A21AE" w:rsidRDefault="002A21AE">
      <w:pPr>
        <w:pStyle w:val="Heading4"/>
      </w:pPr>
      <w:r>
        <w:t>Limitations and Restrictions</w:t>
      </w:r>
      <w:r>
        <w:rPr>
          <w:b w:val="0"/>
        </w:rPr>
        <w:t xml:space="preserve"> </w:t>
      </w:r>
    </w:p>
    <w:p w14:paraId="077E3D22" w14:textId="77777777" w:rsidR="002A21AE" w:rsidRDefault="002A21AE">
      <w:pPr>
        <w:pStyle w:val="ListBullet"/>
      </w:pPr>
      <w:r>
        <w:t>Cancellation of one order does not affect other orders placed with it.</w:t>
      </w:r>
    </w:p>
    <w:p w14:paraId="10FC0324" w14:textId="77777777" w:rsidR="002A21AE" w:rsidRDefault="002A21AE">
      <w:pPr>
        <w:pStyle w:val="Heading4"/>
      </w:pPr>
      <w:r>
        <w:t xml:space="preserve">Additional Information </w:t>
      </w:r>
    </w:p>
    <w:p w14:paraId="2F1141FD" w14:textId="77777777" w:rsidR="002A21AE" w:rsidRDefault="002A21AE">
      <w:pPr>
        <w:pStyle w:val="ListBullet"/>
      </w:pPr>
      <w:r>
        <w:t>Each pending order is managed individually.</w:t>
      </w:r>
    </w:p>
    <w:p w14:paraId="441D4C72" w14:textId="77777777" w:rsidR="00C5671A" w:rsidRDefault="001E56DE">
      <w:pPr>
        <w:pStyle w:val="ListBullet"/>
      </w:pPr>
      <w:r>
        <w:t xml:space="preserve">VBECS does not automatically clear or cancel pending </w:t>
      </w:r>
      <w:r w:rsidR="00BB3E6D">
        <w:t xml:space="preserve">or unaccepted </w:t>
      </w:r>
      <w:r>
        <w:t>orders</w:t>
      </w:r>
      <w:r w:rsidR="00BB3E6D">
        <w:t xml:space="preserve"> from the POL</w:t>
      </w:r>
      <w:r>
        <w:t>.</w:t>
      </w:r>
      <w:r>
        <w:rPr>
          <w:vanish/>
        </w:rPr>
        <w:t xml:space="preserve"> Task 1323</w:t>
      </w:r>
    </w:p>
    <w:p w14:paraId="330A7A78" w14:textId="77777777" w:rsidR="002A21AE" w:rsidRDefault="002A21AE">
      <w:pPr>
        <w:pStyle w:val="Heading4"/>
        <w:rPr>
          <w:b w:val="0"/>
        </w:rPr>
      </w:pPr>
      <w:r>
        <w:t>User Roles with Access to This Option</w:t>
      </w:r>
      <w:r>
        <w:rPr>
          <w:b w:val="0"/>
        </w:rPr>
        <w:t xml:space="preserve"> </w:t>
      </w:r>
    </w:p>
    <w:p w14:paraId="34092B41" w14:textId="77777777" w:rsidR="002A21AE" w:rsidRDefault="002232A3">
      <w:pPr>
        <w:pStyle w:val="Roles"/>
        <w:rPr>
          <w:snapToGrid w:val="0"/>
        </w:rPr>
      </w:pPr>
      <w:r>
        <w:t>All users</w:t>
      </w:r>
    </w:p>
    <w:p w14:paraId="5ECD3866" w14:textId="77777777" w:rsidR="002A21AE" w:rsidRDefault="002A21AE">
      <w:pPr>
        <w:pStyle w:val="Heading4"/>
      </w:pPr>
      <w:r>
        <w:t>Accept Orders: Cancel a Pending Order</w:t>
      </w:r>
    </w:p>
    <w:p w14:paraId="01F98E74" w14:textId="77777777" w:rsidR="002A21AE" w:rsidRDefault="002A21AE" w:rsidP="00FA7E65">
      <w:pPr>
        <w:pStyle w:val="BodyText"/>
      </w:pPr>
      <w:r>
        <w:t>The user selects an unaccepted order for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9C6600" w14:textId="77777777">
        <w:trPr>
          <w:cantSplit/>
          <w:tblHeader/>
        </w:trPr>
        <w:tc>
          <w:tcPr>
            <w:tcW w:w="3240" w:type="dxa"/>
            <w:shd w:val="pct30" w:color="auto" w:fill="FFFFFF"/>
            <w:vAlign w:val="bottom"/>
          </w:tcPr>
          <w:p w14:paraId="5DDAB31C" w14:textId="77777777" w:rsidR="002A21AE" w:rsidRDefault="002A21AE">
            <w:pPr>
              <w:pStyle w:val="TableText"/>
              <w:rPr>
                <w:b/>
              </w:rPr>
            </w:pPr>
            <w:r>
              <w:rPr>
                <w:b/>
              </w:rPr>
              <w:t>User Action</w:t>
            </w:r>
          </w:p>
        </w:tc>
        <w:tc>
          <w:tcPr>
            <w:tcW w:w="6120" w:type="dxa"/>
            <w:shd w:val="pct30" w:color="auto" w:fill="FFFFFF"/>
            <w:vAlign w:val="bottom"/>
          </w:tcPr>
          <w:p w14:paraId="2A161124" w14:textId="77777777" w:rsidR="002A21AE" w:rsidRDefault="002A21AE">
            <w:pPr>
              <w:pStyle w:val="TableText"/>
              <w:rPr>
                <w:b/>
              </w:rPr>
            </w:pPr>
            <w:r>
              <w:rPr>
                <w:b/>
              </w:rPr>
              <w:t>VBECS</w:t>
            </w:r>
          </w:p>
        </w:tc>
      </w:tr>
      <w:tr w:rsidR="002A21AE" w14:paraId="5F7835FE" w14:textId="77777777">
        <w:tc>
          <w:tcPr>
            <w:tcW w:w="3240" w:type="dxa"/>
          </w:tcPr>
          <w:p w14:paraId="2A01D243" w14:textId="77777777" w:rsidR="002A21AE" w:rsidRDefault="002A21AE">
            <w:pPr>
              <w:pStyle w:val="TableTextNumbers"/>
            </w:pPr>
            <w:r>
              <w:t xml:space="preserve">Select </w:t>
            </w:r>
            <w:r>
              <w:rPr>
                <w:b/>
              </w:rPr>
              <w:t>Orders</w:t>
            </w:r>
            <w:r>
              <w:t xml:space="preserve"> from the main menu.</w:t>
            </w:r>
          </w:p>
          <w:p w14:paraId="22EC1A06" w14:textId="77777777" w:rsidR="002A21AE" w:rsidRDefault="002A21AE">
            <w:pPr>
              <w:pStyle w:val="TableTextNumbersContinued"/>
            </w:pPr>
          </w:p>
          <w:p w14:paraId="56AF2F2C" w14:textId="77777777" w:rsidR="002A21AE" w:rsidRDefault="002A21AE">
            <w:pPr>
              <w:pStyle w:val="TableTextNumbersContinued"/>
            </w:pPr>
            <w:r>
              <w:t xml:space="preserve">Select </w:t>
            </w:r>
            <w:r>
              <w:rPr>
                <w:b/>
              </w:rPr>
              <w:t>Accept Orders</w:t>
            </w:r>
            <w:r>
              <w:t>.</w:t>
            </w:r>
          </w:p>
        </w:tc>
        <w:tc>
          <w:tcPr>
            <w:tcW w:w="6120" w:type="dxa"/>
          </w:tcPr>
          <w:p w14:paraId="19B18068" w14:textId="77777777" w:rsidR="002A21AE" w:rsidRDefault="002A21AE">
            <w:pPr>
              <w:pStyle w:val="TableTextBullet"/>
            </w:pPr>
            <w:r>
              <w:t>Displays options for processing orders.</w:t>
            </w:r>
          </w:p>
          <w:p w14:paraId="4997CBF4" w14:textId="77777777" w:rsidR="002A21AE" w:rsidRDefault="002A21AE">
            <w:pPr>
              <w:pStyle w:val="TableTextBullet"/>
            </w:pPr>
            <w:r>
              <w:t>Displays the Pending Order List and Pending Order List search criteria.</w:t>
            </w:r>
          </w:p>
        </w:tc>
      </w:tr>
      <w:tr w:rsidR="002A21AE" w14:paraId="7BB35F0C" w14:textId="77777777" w:rsidTr="00A94A90">
        <w:trPr>
          <w:cantSplit/>
        </w:trPr>
        <w:tc>
          <w:tcPr>
            <w:tcW w:w="3240" w:type="dxa"/>
          </w:tcPr>
          <w:p w14:paraId="21BC2FC3" w14:textId="0A25A4EA" w:rsidR="002A21AE" w:rsidRDefault="002A21AE">
            <w:pPr>
              <w:pStyle w:val="TableTextNumbers"/>
            </w:pPr>
            <w:r>
              <w:t>Select an order to cancel from the Pending Order List</w:t>
            </w:r>
            <w:r w:rsidR="0051565D">
              <w:t xml:space="preserve"> (</w:t>
            </w:r>
            <w:r w:rsidR="00EE455E">
              <w:t xml:space="preserve">Figure </w:t>
            </w:r>
            <w:r w:rsidR="00EE455E">
              <w:rPr>
                <w:noProof/>
              </w:rPr>
              <w:t>92</w:t>
            </w:r>
            <w:r w:rsidR="0051565D">
              <w:t>)</w:t>
            </w:r>
            <w:r>
              <w:t>.</w:t>
            </w:r>
          </w:p>
          <w:p w14:paraId="4B810130" w14:textId="77777777" w:rsidR="002A21AE" w:rsidRDefault="002A21AE">
            <w:pPr>
              <w:pStyle w:val="TableTextNumbersContinued"/>
            </w:pPr>
          </w:p>
          <w:p w14:paraId="2F1774DE" w14:textId="77777777" w:rsidR="002A21AE" w:rsidRDefault="002A21AE">
            <w:pPr>
              <w:pStyle w:val="TableTextNumbersContinued"/>
            </w:pPr>
            <w:r>
              <w:t xml:space="preserve">Click </w:t>
            </w:r>
            <w:r>
              <w:rPr>
                <w:b/>
              </w:rPr>
              <w:t>Reject</w:t>
            </w:r>
            <w:r>
              <w:t>.</w:t>
            </w:r>
          </w:p>
        </w:tc>
        <w:tc>
          <w:tcPr>
            <w:tcW w:w="6120" w:type="dxa"/>
          </w:tcPr>
          <w:p w14:paraId="31EB27BD" w14:textId="77777777" w:rsidR="002A21AE" w:rsidRDefault="002A21AE">
            <w:pPr>
              <w:pStyle w:val="TableTextBullet"/>
            </w:pPr>
            <w:r>
              <w:t>Requires the user to enter a comment.</w:t>
            </w:r>
          </w:p>
          <w:p w14:paraId="25605541" w14:textId="77777777" w:rsidR="002A21AE" w:rsidRDefault="002A21AE">
            <w:pPr>
              <w:pStyle w:val="TableTextBullet"/>
            </w:pPr>
            <w:r>
              <w:t>Requires the user to confirm the cancellation of the pending order.</w:t>
            </w:r>
          </w:p>
        </w:tc>
      </w:tr>
      <w:tr w:rsidR="002A21AE" w14:paraId="1DF0F60A" w14:textId="77777777">
        <w:tc>
          <w:tcPr>
            <w:tcW w:w="3240" w:type="dxa"/>
          </w:tcPr>
          <w:p w14:paraId="2B5257A8" w14:textId="77777777" w:rsidR="002A21AE" w:rsidRDefault="002A21AE">
            <w:pPr>
              <w:pStyle w:val="TableTextNumbers"/>
            </w:pPr>
            <w:r>
              <w:t>Enter or select a comment in the Comment field.</w:t>
            </w:r>
          </w:p>
          <w:p w14:paraId="10F98B18" w14:textId="77777777" w:rsidR="002A21AE" w:rsidRDefault="002A21AE">
            <w:pPr>
              <w:pStyle w:val="TableTextNumbersContinued"/>
            </w:pPr>
          </w:p>
          <w:p w14:paraId="5059E0FF" w14:textId="77777777" w:rsidR="002A21AE" w:rsidRDefault="002A21AE">
            <w:pPr>
              <w:pStyle w:val="TableTextNumbersContinued"/>
            </w:pPr>
            <w:r>
              <w:t>Enter details in the Details field, if desired.</w:t>
            </w:r>
          </w:p>
          <w:p w14:paraId="23198934" w14:textId="77777777" w:rsidR="002A21AE" w:rsidRDefault="002A21AE">
            <w:pPr>
              <w:pStyle w:val="TableTextNumbersContinued"/>
            </w:pPr>
          </w:p>
          <w:p w14:paraId="25B15F51" w14:textId="77777777" w:rsidR="002A21AE" w:rsidRDefault="002A21AE">
            <w:pPr>
              <w:pStyle w:val="TableTextNumbersContinued"/>
            </w:pPr>
            <w:r>
              <w:t xml:space="preserve">Click </w:t>
            </w:r>
            <w:r>
              <w:rPr>
                <w:b/>
              </w:rPr>
              <w:t>OK</w:t>
            </w:r>
            <w:r>
              <w:t xml:space="preserve"> and </w:t>
            </w:r>
            <w:r>
              <w:rPr>
                <w:b/>
              </w:rPr>
              <w:t>Close</w:t>
            </w:r>
            <w:r>
              <w:t xml:space="preserve"> to confirm the order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0A26E95" w14:textId="77777777" w:rsidR="00BB3E6D" w:rsidRDefault="002A21AE" w:rsidP="00BB3E6D">
            <w:pPr>
              <w:pStyle w:val="TableTextBullet"/>
            </w:pPr>
            <w:r>
              <w:t>Removes the order from the Pending Order List and sends a message to CPRS with an order status update.</w:t>
            </w:r>
          </w:p>
          <w:p w14:paraId="127920E6" w14:textId="77777777" w:rsidR="00BB3E6D" w:rsidRDefault="00BB3E6D" w:rsidP="00BB3E6D">
            <w:pPr>
              <w:pStyle w:val="TableTextBullet"/>
              <w:numPr>
                <w:ilvl w:val="0"/>
                <w:numId w:val="0"/>
              </w:numPr>
            </w:pPr>
          </w:p>
          <w:p w14:paraId="4BEFD811" w14:textId="38ED1C86" w:rsidR="00BB3E6D" w:rsidRDefault="00BB3E6D" w:rsidP="00BB3E6D">
            <w:pPr>
              <w:pStyle w:val="TableText"/>
              <w:rPr>
                <w:b/>
                <w:bCs/>
                <w:szCs w:val="18"/>
              </w:rPr>
            </w:pPr>
            <w:r>
              <w:rPr>
                <w:b/>
                <w:bCs/>
                <w:szCs w:val="18"/>
              </w:rPr>
              <w:t>NOTES</w:t>
            </w:r>
          </w:p>
          <w:p w14:paraId="4B40ED13" w14:textId="77777777" w:rsidR="00BB3E6D" w:rsidRDefault="00BB3E6D" w:rsidP="00BB3E6D">
            <w:pPr>
              <w:pStyle w:val="NotesText"/>
            </w:pPr>
          </w:p>
          <w:p w14:paraId="14D3D722" w14:textId="77777777" w:rsidR="00BB3E6D" w:rsidRDefault="00BB3E6D" w:rsidP="004641B8">
            <w:pPr>
              <w:pStyle w:val="NotesText"/>
            </w:pPr>
            <w:r>
              <w:t>VBECS does not cancel a lab order if the lab order has already been accessioned</w:t>
            </w:r>
            <w:r w:rsidR="004641B8">
              <w:t>.</w:t>
            </w:r>
          </w:p>
        </w:tc>
      </w:tr>
    </w:tbl>
    <w:p w14:paraId="401BAA6F" w14:textId="53BA2007" w:rsidR="00FA0E50" w:rsidRDefault="00FA0E50" w:rsidP="00FA0E50">
      <w:pPr>
        <w:pStyle w:val="Caption"/>
      </w:pPr>
      <w:bookmarkStart w:id="446" w:name="_Ref12672535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93</w:t>
      </w:r>
      <w:r w:rsidR="004E20BD">
        <w:rPr>
          <w:noProof/>
        </w:rPr>
        <w:fldChar w:fldCharType="end"/>
      </w:r>
      <w:bookmarkEnd w:id="446"/>
      <w:r>
        <w:t>: Accept Orders: Reject an Order</w:t>
      </w:r>
    </w:p>
    <w:p w14:paraId="00664523" w14:textId="7D42CED1" w:rsidR="00FA0E50" w:rsidRDefault="00C84A5E" w:rsidP="00FA0E50">
      <w:pPr>
        <w:pStyle w:val="BodyText"/>
      </w:pPr>
      <w:r>
        <w:rPr>
          <w:noProof/>
        </w:rPr>
        <w:drawing>
          <wp:inline distT="0" distB="0" distL="0" distR="0" wp14:anchorId="47BBBEB4" wp14:editId="4C3C8F8F">
            <wp:extent cx="5943600" cy="3028950"/>
            <wp:effectExtent l="0" t="0" r="0" b="0"/>
            <wp:docPr id="193" name="Picture 193" descr="Example of Accept Orders: Accept an Ord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Example of Accept Orders: Accept an Order screen captur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6E76F6E6" w14:textId="77777777" w:rsidR="002A21AE" w:rsidRDefault="002A21AE">
      <w:pPr>
        <w:pStyle w:val="Heading2"/>
      </w:pPr>
      <w:r>
        <w:br w:type="page"/>
      </w:r>
      <w:bookmarkStart w:id="447" w:name="_Toc163644943"/>
      <w:r>
        <w:lastRenderedPageBreak/>
        <w:t>Order Reflex Tests</w:t>
      </w:r>
      <w:bookmarkEnd w:id="444"/>
      <w:bookmarkEnd w:id="447"/>
      <w:r>
        <w:fldChar w:fldCharType="begin"/>
      </w:r>
      <w:r>
        <w:instrText xml:space="preserve"> XE </w:instrText>
      </w:r>
      <w:r w:rsidR="00FA7E65">
        <w:instrText>“</w:instrText>
      </w:r>
      <w:r>
        <w:instrText>Order Reflex Tests</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UC_45</w:t>
      </w:r>
    </w:p>
    <w:p w14:paraId="64EAD5AE" w14:textId="77777777" w:rsidR="002A21AE" w:rsidRDefault="002A21AE" w:rsidP="00FA7E65">
      <w:pPr>
        <w:pStyle w:val="BodyText"/>
      </w:pPr>
      <w:r>
        <w:t>The user may order additional blood bank tests for a complete or incomplete accepted patient specimen to add to the Pending Task List (PTL). The ordered test or test group limits the type of reflex and repeat test order that may be associated with a specimen.</w:t>
      </w:r>
    </w:p>
    <w:p w14:paraId="201473AB" w14:textId="77777777" w:rsidR="002A21AE" w:rsidRDefault="002A21AE">
      <w:pPr>
        <w:pStyle w:val="Heading4"/>
      </w:pPr>
      <w:r>
        <w:t>Assumptions</w:t>
      </w:r>
    </w:p>
    <w:p w14:paraId="4BA61979" w14:textId="77777777" w:rsidR="002A21AE" w:rsidRDefault="002A21AE">
      <w:pPr>
        <w:pStyle w:val="ListBullet"/>
      </w:pPr>
      <w:r>
        <w:t>A patient’s test result requires further investigation or repetition of a diagnostic test.</w:t>
      </w:r>
    </w:p>
    <w:p w14:paraId="3E2C1332" w14:textId="77777777" w:rsidR="002A21AE" w:rsidRDefault="002A21AE">
      <w:pPr>
        <w:pStyle w:val="Heading4"/>
      </w:pPr>
      <w:r>
        <w:t>Outcome</w:t>
      </w:r>
    </w:p>
    <w:p w14:paraId="3BE92FA5" w14:textId="77777777" w:rsidR="002A21AE" w:rsidRDefault="002A21AE">
      <w:pPr>
        <w:pStyle w:val="ListBullet"/>
      </w:pPr>
      <w:r>
        <w:rPr>
          <w:rFonts w:ascii="Arial" w:hAnsi="Arial" w:cs="Arial"/>
          <w:vanish/>
          <w:spacing w:val="0"/>
          <w:sz w:val="18"/>
        </w:rPr>
        <w:t xml:space="preserve">BR_45.05 </w:t>
      </w:r>
      <w:r>
        <w:t>One or more reflex orders are in the PTL with a “routine” urgency.</w:t>
      </w:r>
    </w:p>
    <w:p w14:paraId="7BD5958B" w14:textId="77777777" w:rsidR="002A21AE" w:rsidRDefault="002A21AE">
      <w:pPr>
        <w:pStyle w:val="Heading4"/>
      </w:pPr>
      <w:r>
        <w:t>Limitations and Restrictions</w:t>
      </w:r>
    </w:p>
    <w:p w14:paraId="4BD6F613" w14:textId="77777777" w:rsidR="002A21AE" w:rsidRDefault="002A21AE">
      <w:pPr>
        <w:pStyle w:val="ListBullet"/>
      </w:pPr>
      <w:r w:rsidRPr="00FE7547">
        <w:rPr>
          <w:rFonts w:ascii="Arial" w:hAnsi="Arial" w:cs="Arial"/>
          <w:vanish/>
          <w:spacing w:val="0"/>
          <w:sz w:val="18"/>
        </w:rPr>
        <w:t>BR_45.10</w:t>
      </w:r>
      <w:r>
        <w:rPr>
          <w:rFonts w:ascii="Arial" w:hAnsi="Arial" w:cs="Arial"/>
          <w:vanish/>
          <w:spacing w:val="0"/>
          <w:sz w:val="18"/>
        </w:rPr>
        <w:t xml:space="preserve"> </w:t>
      </w:r>
      <w:r>
        <w:t xml:space="preserve">A crossmatch (XM) and a repeat </w:t>
      </w:r>
      <w:r w:rsidR="004D7585">
        <w:t>XM</w:t>
      </w:r>
      <w:r>
        <w:t xml:space="preserve"> cannot be ordered unless they are associated with a specimen with a future expiration date and a phlebotomist is associated with that specimen.</w:t>
      </w:r>
    </w:p>
    <w:p w14:paraId="10AB050E" w14:textId="420AE545" w:rsidR="002A21AE" w:rsidRDefault="002A21AE">
      <w:pPr>
        <w:pStyle w:val="ListBullet"/>
      </w:pPr>
      <w:r>
        <w:rPr>
          <w:rFonts w:ascii="Arial" w:hAnsi="Arial" w:cs="Arial"/>
          <w:vanish/>
          <w:spacing w:val="0"/>
          <w:sz w:val="18"/>
        </w:rPr>
        <w:t xml:space="preserve">BR_98.02 </w:t>
      </w:r>
      <w:r>
        <w:t>When a user selects weak D for the antigen typing test and the selected patient is Rh positive, VBECS warns that weak D testing cannot be performed</w:t>
      </w:r>
      <w:r w:rsidR="00501F92">
        <w:t xml:space="preserve"> (See</w:t>
      </w:r>
      <w:r w:rsidR="009913C5">
        <w:t xml:space="preserve"> </w:t>
      </w:r>
      <w:r w:rsidR="009913C5" w:rsidRPr="00423A7F">
        <w:rPr>
          <w:i/>
          <w:iCs/>
        </w:rPr>
        <w:t>FAQ Weak D Policy</w:t>
      </w:r>
      <w:r w:rsidR="009913C5">
        <w:t>)</w:t>
      </w:r>
      <w:r>
        <w:t>. There is no override and VBECS does not add the test.</w:t>
      </w:r>
    </w:p>
    <w:p w14:paraId="0BEDAEE0" w14:textId="77777777" w:rsidR="002A21AE" w:rsidRDefault="002A21AE">
      <w:pPr>
        <w:pStyle w:val="Heading4"/>
      </w:pPr>
      <w:r>
        <w:t>Additional Information</w:t>
      </w:r>
    </w:p>
    <w:p w14:paraId="385A711C" w14:textId="77777777" w:rsidR="002A21AE" w:rsidRDefault="002A21AE">
      <w:pPr>
        <w:pStyle w:val="ListBullet"/>
      </w:pPr>
      <w:r>
        <w:t>Unlimited repeat tests may be ordered and completed, but are not available to CPRS or to billing.</w:t>
      </w:r>
    </w:p>
    <w:p w14:paraId="00B21FAF" w14:textId="77777777" w:rsidR="002A21AE" w:rsidRDefault="002A21AE">
      <w:pPr>
        <w:pStyle w:val="Heading4"/>
      </w:pPr>
      <w:r>
        <w:t>User Roles with Access to This Option</w:t>
      </w:r>
    </w:p>
    <w:p w14:paraId="4C762E40" w14:textId="77777777" w:rsidR="002A21AE" w:rsidRDefault="006E4031">
      <w:pPr>
        <w:pStyle w:val="Roles"/>
        <w:rPr>
          <w:snapToGrid w:val="0"/>
        </w:rPr>
      </w:pPr>
      <w:r>
        <w:t>All users</w:t>
      </w:r>
    </w:p>
    <w:bookmarkEnd w:id="445"/>
    <w:p w14:paraId="6CD9377F" w14:textId="77777777" w:rsidR="002A21AE" w:rsidRDefault="002A21AE">
      <w:pPr>
        <w:pStyle w:val="Heading4"/>
      </w:pPr>
      <w:r>
        <w:t>Order Reflex Tests</w:t>
      </w:r>
    </w:p>
    <w:p w14:paraId="6432FE2B" w14:textId="77777777" w:rsidR="002A21AE" w:rsidRDefault="002A21AE" w:rsidP="00FA7E65">
      <w:pPr>
        <w:pStyle w:val="BodyText"/>
      </w:pPr>
      <w:r>
        <w:t xml:space="preserve">The user orders additional blood bank tests for a patient specimen that was already accepted and that may or may not be completed. The ordered reflex test(s) are added to the PTL.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787A16" w14:textId="77777777">
        <w:trPr>
          <w:tblHeader/>
        </w:trPr>
        <w:tc>
          <w:tcPr>
            <w:tcW w:w="3240" w:type="dxa"/>
            <w:shd w:val="pct30" w:color="auto" w:fill="FFFFFF"/>
            <w:vAlign w:val="bottom"/>
          </w:tcPr>
          <w:p w14:paraId="134D9B5B" w14:textId="77777777" w:rsidR="002A21AE" w:rsidRDefault="002A21AE">
            <w:pPr>
              <w:pStyle w:val="TableText"/>
              <w:rPr>
                <w:b/>
              </w:rPr>
            </w:pPr>
            <w:r>
              <w:rPr>
                <w:b/>
              </w:rPr>
              <w:t>User Action</w:t>
            </w:r>
          </w:p>
        </w:tc>
        <w:tc>
          <w:tcPr>
            <w:tcW w:w="6120" w:type="dxa"/>
            <w:shd w:val="pct30" w:color="auto" w:fill="FFFFFF"/>
            <w:vAlign w:val="bottom"/>
          </w:tcPr>
          <w:p w14:paraId="234D9C78" w14:textId="77777777" w:rsidR="002A21AE" w:rsidRDefault="002A21AE">
            <w:pPr>
              <w:pStyle w:val="TableText"/>
              <w:rPr>
                <w:b/>
              </w:rPr>
            </w:pPr>
            <w:r>
              <w:rPr>
                <w:b/>
              </w:rPr>
              <w:t>VBECS</w:t>
            </w:r>
          </w:p>
        </w:tc>
      </w:tr>
      <w:tr w:rsidR="002A21AE" w14:paraId="135118D8" w14:textId="77777777">
        <w:tc>
          <w:tcPr>
            <w:tcW w:w="3240" w:type="dxa"/>
          </w:tcPr>
          <w:p w14:paraId="6FF09DAB" w14:textId="77777777" w:rsidR="002A21AE" w:rsidRDefault="002A21AE">
            <w:pPr>
              <w:pStyle w:val="TableTextNumbers"/>
            </w:pPr>
            <w:r>
              <w:t xml:space="preserve">Select </w:t>
            </w:r>
            <w:r>
              <w:rPr>
                <w:b/>
              </w:rPr>
              <w:t>Orders</w:t>
            </w:r>
            <w:r>
              <w:t xml:space="preserve"> from the main menu.</w:t>
            </w:r>
          </w:p>
          <w:p w14:paraId="7CDD96BD" w14:textId="77777777" w:rsidR="002A21AE" w:rsidRDefault="002A21AE">
            <w:pPr>
              <w:pStyle w:val="TableTextNumbersContinued"/>
            </w:pPr>
          </w:p>
          <w:p w14:paraId="5BECC6F8" w14:textId="77777777" w:rsidR="002A21AE" w:rsidRDefault="002A21AE">
            <w:pPr>
              <w:pStyle w:val="TableTextNumbersContinued"/>
            </w:pPr>
            <w:r>
              <w:t xml:space="preserve">Select </w:t>
            </w:r>
            <w:r>
              <w:rPr>
                <w:b/>
              </w:rPr>
              <w:t>Order Reflex Tests</w:t>
            </w:r>
            <w:r>
              <w:t>.</w:t>
            </w:r>
          </w:p>
        </w:tc>
        <w:tc>
          <w:tcPr>
            <w:tcW w:w="6120" w:type="dxa"/>
          </w:tcPr>
          <w:p w14:paraId="259A111B" w14:textId="77777777" w:rsidR="002A21AE" w:rsidRDefault="002A21AE">
            <w:pPr>
              <w:pStyle w:val="TableTextBullet"/>
            </w:pPr>
            <w:r>
              <w:t>Displays options for processing orders.</w:t>
            </w:r>
          </w:p>
          <w:p w14:paraId="228EF9B3" w14:textId="77777777" w:rsidR="002A21AE" w:rsidRDefault="002A21AE">
            <w:pPr>
              <w:pStyle w:val="TableTextBullet"/>
            </w:pPr>
            <w:r>
              <w:t>Displays specimen search criteria and search results.</w:t>
            </w:r>
          </w:p>
          <w:p w14:paraId="620E070A" w14:textId="77777777" w:rsidR="002A21AE" w:rsidRDefault="002A21AE">
            <w:pPr>
              <w:pStyle w:val="TableText"/>
            </w:pPr>
          </w:p>
          <w:p w14:paraId="4F31019E" w14:textId="7B6C2036" w:rsidR="002A21AE" w:rsidRDefault="002A21AE">
            <w:pPr>
              <w:pStyle w:val="TableText"/>
              <w:rPr>
                <w:b/>
                <w:bCs/>
                <w:szCs w:val="18"/>
              </w:rPr>
            </w:pPr>
            <w:r>
              <w:rPr>
                <w:b/>
                <w:bCs/>
                <w:szCs w:val="18"/>
              </w:rPr>
              <w:t>NOTES</w:t>
            </w:r>
          </w:p>
          <w:p w14:paraId="2617F553" w14:textId="77777777" w:rsidR="002A21AE" w:rsidRDefault="002A21AE">
            <w:pPr>
              <w:pStyle w:val="NotesText"/>
            </w:pPr>
          </w:p>
          <w:p w14:paraId="002B2C5A" w14:textId="77777777" w:rsidR="002A21AE" w:rsidRDefault="002A21AE">
            <w:pPr>
              <w:pStyle w:val="NotesText"/>
            </w:pPr>
            <w:r>
              <w:t xml:space="preserve">The user may also access Order Reflex Tests by clicking </w:t>
            </w:r>
            <w:r>
              <w:rPr>
                <w:b/>
                <w:bCs/>
              </w:rPr>
              <w:t>Order Reflex Tests</w:t>
            </w:r>
            <w:r>
              <w:t xml:space="preserve"> when executing Patient Testing or by right-clicking the testing grid that generates the reflexive order.</w:t>
            </w:r>
          </w:p>
        </w:tc>
      </w:tr>
      <w:tr w:rsidR="002A21AE" w14:paraId="35ED929A" w14:textId="77777777">
        <w:trPr>
          <w:trHeight w:val="512"/>
        </w:trPr>
        <w:tc>
          <w:tcPr>
            <w:tcW w:w="3240" w:type="dxa"/>
          </w:tcPr>
          <w:p w14:paraId="2932C707" w14:textId="77777777" w:rsidR="002A21AE" w:rsidRDefault="002A21AE">
            <w:pPr>
              <w:pStyle w:val="TableTextNumbers"/>
            </w:pPr>
            <w:r>
              <w:t>Enter the patient name and/or the specimen UID.</w:t>
            </w:r>
          </w:p>
          <w:p w14:paraId="1C0A0E00" w14:textId="77777777" w:rsidR="002A21AE" w:rsidRDefault="002A21AE">
            <w:pPr>
              <w:pStyle w:val="TableTextNumbersContinued"/>
            </w:pPr>
          </w:p>
          <w:p w14:paraId="48C7D35E" w14:textId="77777777" w:rsidR="002A21AE" w:rsidRDefault="002A21AE">
            <w:pPr>
              <w:pStyle w:val="TableTextNumbersContinued"/>
            </w:pPr>
            <w:r>
              <w:t xml:space="preserve">Click </w:t>
            </w:r>
            <w:r>
              <w:rPr>
                <w:b/>
              </w:rPr>
              <w:t>Search</w:t>
            </w:r>
            <w:r>
              <w:t>, if necessary.</w:t>
            </w:r>
          </w:p>
        </w:tc>
        <w:tc>
          <w:tcPr>
            <w:tcW w:w="6120" w:type="dxa"/>
          </w:tcPr>
          <w:p w14:paraId="35048DEC" w14:textId="77777777" w:rsidR="002A21AE" w:rsidRDefault="002A21AE">
            <w:pPr>
              <w:pStyle w:val="TableText"/>
            </w:pPr>
          </w:p>
          <w:p w14:paraId="0AC5693C" w14:textId="7E1CA828" w:rsidR="002A21AE" w:rsidRDefault="002A21AE">
            <w:pPr>
              <w:pStyle w:val="TableText"/>
              <w:rPr>
                <w:b/>
                <w:bCs/>
                <w:szCs w:val="18"/>
              </w:rPr>
            </w:pPr>
            <w:r>
              <w:rPr>
                <w:b/>
                <w:bCs/>
                <w:szCs w:val="18"/>
              </w:rPr>
              <w:t>NOTES</w:t>
            </w:r>
          </w:p>
          <w:p w14:paraId="5262D5BF" w14:textId="77777777" w:rsidR="002A21AE" w:rsidRDefault="002A21AE">
            <w:pPr>
              <w:pStyle w:val="NotesText"/>
            </w:pPr>
          </w:p>
          <w:p w14:paraId="34AEEE02" w14:textId="77777777" w:rsidR="002A21AE" w:rsidRDefault="002A21AE">
            <w:pPr>
              <w:pStyle w:val="NotesText"/>
            </w:pPr>
            <w:r>
              <w:rPr>
                <w:rFonts w:cs="Arial"/>
                <w:vanish/>
              </w:rPr>
              <w:t xml:space="preserve">BR_45.08 </w:t>
            </w:r>
            <w:r>
              <w:t>The user may identify specific specimen for reflex test ordering by scanning or by manual data entry of the UID on the specimen.</w:t>
            </w:r>
          </w:p>
        </w:tc>
      </w:tr>
      <w:tr w:rsidR="002A21AE" w14:paraId="6C0C74DA" w14:textId="77777777" w:rsidTr="00A94A90">
        <w:trPr>
          <w:cantSplit/>
        </w:trPr>
        <w:tc>
          <w:tcPr>
            <w:tcW w:w="3240" w:type="dxa"/>
          </w:tcPr>
          <w:p w14:paraId="761DE98C" w14:textId="77777777" w:rsidR="002A21AE" w:rsidRDefault="002A21AE">
            <w:pPr>
              <w:pStyle w:val="TableTextNumbers"/>
            </w:pPr>
            <w:r>
              <w:lastRenderedPageBreak/>
              <w:t xml:space="preserve">Select an item from Specimen Search Results. </w:t>
            </w:r>
          </w:p>
          <w:p w14:paraId="74958443" w14:textId="77777777" w:rsidR="002A21AE" w:rsidRDefault="002A21AE">
            <w:pPr>
              <w:pStyle w:val="TableTextNumbersContinued"/>
            </w:pPr>
          </w:p>
          <w:p w14:paraId="26FFE777" w14:textId="13E58FAF" w:rsidR="002A21AE" w:rsidRDefault="002A21AE">
            <w:pPr>
              <w:pStyle w:val="TableTextNumbersContinued"/>
            </w:pPr>
            <w:r>
              <w:t>Review the information in the Selected Patient Specimen area and in the Patient Details and Order Details tabs</w:t>
            </w:r>
            <w:r w:rsidR="00096F7A">
              <w:t xml:space="preserve"> (</w:t>
            </w:r>
            <w:r w:rsidR="00EE455E">
              <w:t xml:space="preserve">Figure </w:t>
            </w:r>
            <w:r w:rsidR="00EE455E">
              <w:rPr>
                <w:noProof/>
              </w:rPr>
              <w:t>93</w:t>
            </w:r>
            <w:r w:rsidR="00096F7A">
              <w:t>)</w:t>
            </w:r>
            <w:r>
              <w:t>.</w:t>
            </w:r>
          </w:p>
          <w:p w14:paraId="425F9413" w14:textId="77777777" w:rsidR="002A21AE" w:rsidRDefault="002A21AE">
            <w:pPr>
              <w:pStyle w:val="TableTextNumbersContinued"/>
            </w:pPr>
          </w:p>
          <w:p w14:paraId="67C0808E" w14:textId="77777777" w:rsidR="002A21AE" w:rsidRDefault="002A21AE">
            <w:pPr>
              <w:pStyle w:val="TableTextNumbersContinued"/>
            </w:pPr>
            <w:r>
              <w:t xml:space="preserve">Click </w:t>
            </w:r>
            <w:r>
              <w:rPr>
                <w:b/>
              </w:rPr>
              <w:t>OK</w:t>
            </w:r>
            <w:r>
              <w:t xml:space="preserve"> to accept the order.</w:t>
            </w:r>
          </w:p>
          <w:p w14:paraId="5F10B7C1" w14:textId="77777777" w:rsidR="002A21AE" w:rsidRDefault="002A21AE">
            <w:pPr>
              <w:pStyle w:val="TableTextNumbersContinued"/>
            </w:pPr>
          </w:p>
          <w:p w14:paraId="1F663DBC" w14:textId="77777777" w:rsidR="002A21AE" w:rsidRDefault="002A21AE">
            <w:pPr>
              <w:pStyle w:val="TableTextNumbersContinued"/>
            </w:pPr>
            <w:r>
              <w:t>Respond to messages, as required.</w:t>
            </w:r>
          </w:p>
        </w:tc>
        <w:tc>
          <w:tcPr>
            <w:tcW w:w="6120" w:type="dxa"/>
          </w:tcPr>
          <w:p w14:paraId="305B07E0" w14:textId="77777777" w:rsidR="002A21AE" w:rsidRDefault="002A21AE">
            <w:pPr>
              <w:pStyle w:val="TableTextBullet"/>
            </w:pPr>
            <w:r>
              <w:t xml:space="preserve">Displays an option to search for specimens currently available (in-date) for a patient by standard patient search conventions. </w:t>
            </w:r>
          </w:p>
          <w:p w14:paraId="2F49E728" w14:textId="77777777" w:rsidR="002A21AE" w:rsidRDefault="002A21AE">
            <w:pPr>
              <w:pStyle w:val="TableTextBullet"/>
            </w:pPr>
            <w:r>
              <w:t>Accommodates direct selection of a specimen by scanning or by entering a specimen UID.</w:t>
            </w:r>
          </w:p>
          <w:p w14:paraId="4135A7A6" w14:textId="77777777" w:rsidR="002A21AE" w:rsidRDefault="002A21AE">
            <w:pPr>
              <w:pStyle w:val="TableTextBullet"/>
            </w:pPr>
            <w:r>
              <w:rPr>
                <w:rFonts w:cs="Arial"/>
                <w:vanish/>
              </w:rPr>
              <w:t xml:space="preserve">BR_45.02 </w:t>
            </w:r>
            <w:r>
              <w:t>Displays available (in-date) patient specimens or orders in reverse chronological order within a date range defined by the site parameter. Only one patient specimen may have reflex tests added in one session. The expired and unacceptable specimens will follow.</w:t>
            </w:r>
          </w:p>
          <w:p w14:paraId="426D5509" w14:textId="77777777" w:rsidR="002A21AE" w:rsidRDefault="002A21AE">
            <w:pPr>
              <w:pStyle w:val="TableTextBullet"/>
            </w:pPr>
            <w:r>
              <w:t>Displays a message directing the user to complete Patient Testing when the selected test is not completed. User returns to Patient Testing.</w:t>
            </w:r>
          </w:p>
          <w:p w14:paraId="776409EA" w14:textId="77777777" w:rsidR="002A21AE" w:rsidRDefault="002A21AE">
            <w:pPr>
              <w:pStyle w:val="TableTextBullet"/>
            </w:pPr>
            <w:r>
              <w:t xml:space="preserve">Displays a message when </w:t>
            </w:r>
            <w:r w:rsidR="00E97883">
              <w:t xml:space="preserve">a </w:t>
            </w:r>
            <w:r>
              <w:t xml:space="preserve">specimen is expired or unacceptable. User may click </w:t>
            </w:r>
            <w:r>
              <w:rPr>
                <w:b/>
              </w:rPr>
              <w:t>Yes</w:t>
            </w:r>
            <w:r>
              <w:t xml:space="preserve"> to continue with the order or </w:t>
            </w:r>
            <w:r>
              <w:rPr>
                <w:b/>
              </w:rPr>
              <w:t>No</w:t>
            </w:r>
            <w:r>
              <w:t xml:space="preserve"> to </w:t>
            </w:r>
            <w:r w:rsidR="00E97883">
              <w:t>select or request another specimen, as appropriate</w:t>
            </w:r>
            <w:r>
              <w:t>.</w:t>
            </w:r>
          </w:p>
          <w:p w14:paraId="53DD596E" w14:textId="77777777" w:rsidR="002A21AE" w:rsidRDefault="002A21AE">
            <w:pPr>
              <w:pStyle w:val="TableTextBullet"/>
            </w:pPr>
            <w:r>
              <w:rPr>
                <w:rFonts w:cs="Arial"/>
                <w:vanish/>
              </w:rPr>
              <w:t xml:space="preserve">BR_45.03 </w:t>
            </w:r>
            <w:r>
              <w:t>Displays the date/time/division of the specimen collection when selecting a specimen for ordering reflex tests.</w:t>
            </w:r>
          </w:p>
          <w:p w14:paraId="6DBCC1E0" w14:textId="77777777" w:rsidR="002A21AE" w:rsidRDefault="002A21AE">
            <w:pPr>
              <w:pStyle w:val="TableText"/>
            </w:pPr>
          </w:p>
          <w:p w14:paraId="7D66A44F" w14:textId="2C6C0024" w:rsidR="002A21AE" w:rsidRDefault="002A21AE">
            <w:pPr>
              <w:pStyle w:val="TableText"/>
              <w:rPr>
                <w:b/>
                <w:bCs/>
                <w:szCs w:val="18"/>
              </w:rPr>
            </w:pPr>
            <w:r>
              <w:rPr>
                <w:b/>
                <w:bCs/>
                <w:szCs w:val="18"/>
              </w:rPr>
              <w:t>NOTES</w:t>
            </w:r>
          </w:p>
          <w:p w14:paraId="65BA674E" w14:textId="77777777" w:rsidR="002A21AE" w:rsidRDefault="002A21AE">
            <w:pPr>
              <w:pStyle w:val="NotesText"/>
            </w:pPr>
          </w:p>
          <w:p w14:paraId="3B19F7DF" w14:textId="77777777" w:rsidR="002A21AE" w:rsidRDefault="002A21AE">
            <w:pPr>
              <w:pStyle w:val="NotesText"/>
              <w:rPr>
                <w:vanish/>
                <w:szCs w:val="18"/>
              </w:rPr>
            </w:pPr>
            <w:r>
              <w:rPr>
                <w:rFonts w:cs="Arial"/>
                <w:vanish/>
              </w:rPr>
              <w:t>BR_45.04</w:t>
            </w:r>
            <w:r w:rsidR="004D3195" w:rsidRPr="002C3287">
              <w:rPr>
                <w:rStyle w:val="BullhornChar"/>
              </w:rPr>
              <w:t></w:t>
            </w:r>
            <w:r w:rsidR="004D3195">
              <w:rPr>
                <w:rFonts w:ascii="Webdings" w:hAnsi="Webdings"/>
              </w:rPr>
              <w:t></w:t>
            </w:r>
            <w:r>
              <w:t xml:space="preserve">VBECS emits an audible alert, warns that the specimen is expired, and instructs the user to enter </w:t>
            </w:r>
            <w:r w:rsidR="005C7E5F">
              <w:t xml:space="preserve">a </w:t>
            </w:r>
            <w:r>
              <w:t xml:space="preserve">comment to continue. When a user enters or scans an expired specimen. VBECS requires a comment and captures details for inclusion in an Exception Report (exception type: reflex test ordered on an expired specimen). </w:t>
            </w:r>
          </w:p>
          <w:p w14:paraId="6E470C5C" w14:textId="77777777" w:rsidR="002A21AE" w:rsidRDefault="002A21AE">
            <w:pPr>
              <w:pStyle w:val="NotesText"/>
              <w:ind w:left="0"/>
              <w:rPr>
                <w:vanish/>
                <w:szCs w:val="18"/>
              </w:rPr>
            </w:pPr>
          </w:p>
          <w:p w14:paraId="36B22A45" w14:textId="77777777" w:rsidR="002A21AE" w:rsidRDefault="002A21AE">
            <w:pPr>
              <w:pStyle w:val="NotesText"/>
            </w:pPr>
            <w:r>
              <w:rPr>
                <w:vanish/>
                <w:szCs w:val="18"/>
              </w:rPr>
              <w:t>PT_45.01 Orderable Reflex Tests</w:t>
            </w:r>
          </w:p>
        </w:tc>
      </w:tr>
      <w:tr w:rsidR="002A21AE" w14:paraId="690A44EA" w14:textId="77777777">
        <w:tc>
          <w:tcPr>
            <w:tcW w:w="3240" w:type="dxa"/>
          </w:tcPr>
          <w:p w14:paraId="34EBBC97" w14:textId="77777777" w:rsidR="002A21AE" w:rsidRDefault="002A21AE">
            <w:pPr>
              <w:pStyle w:val="TableTextNumbers"/>
            </w:pPr>
            <w:r>
              <w:t>When a specimen is already selected, go to Step 5.</w:t>
            </w:r>
          </w:p>
          <w:p w14:paraId="52AECE30" w14:textId="77777777" w:rsidR="002A21AE" w:rsidRDefault="002A21AE">
            <w:pPr>
              <w:pStyle w:val="TableTextNumbersContinued"/>
            </w:pPr>
          </w:p>
          <w:p w14:paraId="1728DF68" w14:textId="77777777" w:rsidR="002A21AE" w:rsidRDefault="002A21AE">
            <w:pPr>
              <w:pStyle w:val="TableTextNumbersContinued"/>
            </w:pPr>
            <w:r>
              <w:t xml:space="preserve">Select or enter a patient specimen that requires the additional test. </w:t>
            </w:r>
          </w:p>
        </w:tc>
        <w:tc>
          <w:tcPr>
            <w:tcW w:w="6120" w:type="dxa"/>
          </w:tcPr>
          <w:p w14:paraId="160F55B3" w14:textId="77777777" w:rsidR="002A21AE" w:rsidRDefault="002A21AE">
            <w:pPr>
              <w:pStyle w:val="TableTextBullet"/>
            </w:pPr>
            <w:r>
              <w:t xml:space="preserve">Displays all orders associated with a specimen that can be used to request reflex tests for an existing diagnostic test order within an order group. </w:t>
            </w:r>
          </w:p>
          <w:p w14:paraId="6557815A" w14:textId="77777777" w:rsidR="002A21AE" w:rsidRDefault="002A21AE">
            <w:pPr>
              <w:pStyle w:val="TableTextBullet"/>
            </w:pPr>
            <w:r>
              <w:t xml:space="preserve">Automatically associates the reflex test with the order when there is only one order associated with the specimen. </w:t>
            </w:r>
          </w:p>
        </w:tc>
      </w:tr>
      <w:tr w:rsidR="002A21AE" w14:paraId="0BC7AE28" w14:textId="77777777">
        <w:tc>
          <w:tcPr>
            <w:tcW w:w="3240" w:type="dxa"/>
          </w:tcPr>
          <w:p w14:paraId="4A02C270" w14:textId="77777777" w:rsidR="002A21AE" w:rsidRDefault="002A21AE">
            <w:pPr>
              <w:pStyle w:val="TableTextNumbers"/>
            </w:pPr>
            <w:r>
              <w:t>Click one or more check boxes to select reflex tests from the Order Reflex Test(s) list.</w:t>
            </w:r>
          </w:p>
        </w:tc>
        <w:tc>
          <w:tcPr>
            <w:tcW w:w="6120" w:type="dxa"/>
          </w:tcPr>
          <w:p w14:paraId="66EA1F12" w14:textId="77777777" w:rsidR="002A21AE" w:rsidRDefault="002A21AE">
            <w:pPr>
              <w:pStyle w:val="TableTextBullet"/>
            </w:pPr>
            <w:r>
              <w:t>Displays the selected tests for review.</w:t>
            </w:r>
          </w:p>
          <w:p w14:paraId="3EB6F451" w14:textId="77777777" w:rsidR="002A21AE" w:rsidRDefault="002A21AE">
            <w:pPr>
              <w:pStyle w:val="TableTextBullet"/>
            </w:pPr>
            <w:r>
              <w:t xml:space="preserve">Allows the user to select or to deselect reflex tests. </w:t>
            </w:r>
          </w:p>
        </w:tc>
      </w:tr>
      <w:tr w:rsidR="002A21AE" w14:paraId="609C92C2" w14:textId="77777777">
        <w:tc>
          <w:tcPr>
            <w:tcW w:w="3240" w:type="dxa"/>
          </w:tcPr>
          <w:p w14:paraId="0670E922" w14:textId="77777777" w:rsidR="002A21AE" w:rsidRDefault="002A21AE">
            <w:pPr>
              <w:pStyle w:val="TableTextNumbers"/>
            </w:pPr>
            <w:r>
              <w:t xml:space="preserve">Click </w:t>
            </w:r>
            <w:r>
              <w:rPr>
                <w:b/>
              </w:rPr>
              <w:t>OK</w:t>
            </w:r>
            <w:r>
              <w:t xml:space="preserve"> to save and exit.</w:t>
            </w:r>
          </w:p>
          <w:p w14:paraId="34AC8476" w14:textId="77777777" w:rsidR="002A21AE" w:rsidRDefault="002A21AE">
            <w:pPr>
              <w:pStyle w:val="TableTextNumbersContinued"/>
            </w:pPr>
          </w:p>
          <w:p w14:paraId="596264CE" w14:textId="77777777" w:rsidR="002A21AE" w:rsidRDefault="002A21AE">
            <w:pPr>
              <w:pStyle w:val="TableTextNumbersContinued"/>
            </w:pPr>
            <w:r>
              <w:t xml:space="preserve">Enter a comment, if required.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EC206AF" w14:textId="77777777" w:rsidR="002A21AE" w:rsidRDefault="002A21AE">
            <w:pPr>
              <w:pStyle w:val="TableTextBullet"/>
            </w:pPr>
            <w:r>
              <w:t>Adds the ordered patient reflex tests to the PTL.</w:t>
            </w:r>
          </w:p>
          <w:p w14:paraId="648724DD" w14:textId="77777777" w:rsidR="002A21AE" w:rsidRDefault="002A21AE">
            <w:pPr>
              <w:pStyle w:val="TableText"/>
            </w:pPr>
          </w:p>
          <w:p w14:paraId="2F9E2274" w14:textId="77777777" w:rsidR="002A21AE" w:rsidRDefault="002A21AE">
            <w:pPr>
              <w:pStyle w:val="TableText"/>
            </w:pPr>
          </w:p>
        </w:tc>
      </w:tr>
    </w:tbl>
    <w:p w14:paraId="71B6F56A" w14:textId="23F71DCD" w:rsidR="00096F7A" w:rsidRDefault="00096F7A" w:rsidP="00096F7A">
      <w:pPr>
        <w:pStyle w:val="Caption"/>
      </w:pPr>
      <w:bookmarkStart w:id="448" w:name="_Ref12672559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94</w:t>
      </w:r>
      <w:r w:rsidR="004E20BD">
        <w:rPr>
          <w:noProof/>
        </w:rPr>
        <w:fldChar w:fldCharType="end"/>
      </w:r>
      <w:bookmarkEnd w:id="448"/>
      <w:r>
        <w:t>: Order Reflex Test(s)</w:t>
      </w:r>
    </w:p>
    <w:p w14:paraId="12F1D4A7" w14:textId="77777777" w:rsidR="00C70194" w:rsidRDefault="00057948" w:rsidP="00096F7A">
      <w:pPr>
        <w:pStyle w:val="BodyText"/>
      </w:pPr>
      <w:r>
        <w:rPr>
          <w:noProof/>
        </w:rPr>
        <w:drawing>
          <wp:inline distT="0" distB="0" distL="0" distR="0" wp14:anchorId="0C68FE9A" wp14:editId="5057B1A8">
            <wp:extent cx="5939155" cy="4331970"/>
            <wp:effectExtent l="0" t="0" r="4445" b="0"/>
            <wp:docPr id="227" name="Picture 227" descr="Example of Order Reflex Tes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Example of Order Reflex Test(s) screen capt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9155" cy="4331970"/>
                    </a:xfrm>
                    <a:prstGeom prst="rect">
                      <a:avLst/>
                    </a:prstGeom>
                    <a:noFill/>
                    <a:ln>
                      <a:noFill/>
                    </a:ln>
                  </pic:spPr>
                </pic:pic>
              </a:graphicData>
            </a:graphic>
          </wp:inline>
        </w:drawing>
      </w:r>
    </w:p>
    <w:p w14:paraId="2864507E" w14:textId="77777777" w:rsidR="002A21AE" w:rsidRPr="00701E2A" w:rsidRDefault="00701E2A" w:rsidP="00701E2A">
      <w:pPr>
        <w:pStyle w:val="Heading1"/>
      </w:pPr>
      <w:r>
        <w:br w:type="page"/>
      </w:r>
      <w:bookmarkStart w:id="449" w:name="_Toc163644944"/>
      <w:r w:rsidR="002A21AE" w:rsidRPr="00701E2A">
        <w:lastRenderedPageBreak/>
        <w:t>Patient Services</w:t>
      </w:r>
      <w:bookmarkEnd w:id="449"/>
      <w:r w:rsidR="002A21AE" w:rsidRPr="00701E2A">
        <w:fldChar w:fldCharType="begin"/>
      </w:r>
      <w:r w:rsidR="002A21AE" w:rsidRPr="00701E2A">
        <w:instrText xml:space="preserve"> XE </w:instrText>
      </w:r>
      <w:r w:rsidR="00FA7E65" w:rsidRPr="00701E2A">
        <w:instrText>“</w:instrText>
      </w:r>
      <w:r w:rsidR="002A21AE" w:rsidRPr="00701E2A">
        <w:instrText>Patient Services</w:instrText>
      </w:r>
      <w:r w:rsidR="00FA7E65" w:rsidRPr="00701E2A">
        <w:instrText>”</w:instrText>
      </w:r>
      <w:r w:rsidR="002A21AE" w:rsidRPr="00701E2A">
        <w:instrText xml:space="preserve"> </w:instrText>
      </w:r>
      <w:r w:rsidR="002A21AE" w:rsidRPr="00701E2A">
        <w:fldChar w:fldCharType="end"/>
      </w:r>
    </w:p>
    <w:p w14:paraId="2B70B92F" w14:textId="77777777" w:rsidR="002A21AE" w:rsidRPr="00E309DC" w:rsidRDefault="002A21AE" w:rsidP="00AE23F9">
      <w:pPr>
        <w:pStyle w:val="Heading2"/>
        <w:rPr>
          <w:b w:val="0"/>
          <w:bCs w:val="0"/>
          <w:i w:val="0"/>
          <w:iCs w:val="0"/>
          <w:sz w:val="20"/>
        </w:rPr>
      </w:pPr>
      <w:bookmarkStart w:id="450" w:name="_Toc163644945"/>
      <w:r w:rsidRPr="00AE23F9">
        <w:t xml:space="preserve">Patient </w:t>
      </w:r>
      <w:r w:rsidR="00045ED7" w:rsidRPr="00AE23F9">
        <w:t>Search Screen</w:t>
      </w:r>
      <w:bookmarkEnd w:id="450"/>
      <w:r>
        <w:fldChar w:fldCharType="begin"/>
      </w:r>
      <w:r>
        <w:instrText xml:space="preserve"> XE </w:instrText>
      </w:r>
      <w:r w:rsidR="00FA7E65">
        <w:instrText>“</w:instrText>
      </w:r>
      <w:r>
        <w:instrText>Patient Se</w:instrText>
      </w:r>
      <w:r w:rsidR="00045ED7">
        <w:instrText>arch Screen</w:instrText>
      </w:r>
      <w:r w:rsidR="00FA7E65">
        <w:instrText>”</w:instrText>
      </w:r>
      <w:r>
        <w:instrText xml:space="preserve"> </w:instrText>
      </w:r>
      <w:r>
        <w:fldChar w:fldCharType="end"/>
      </w:r>
      <w:r w:rsidR="00AE23F9">
        <w:t xml:space="preserve"> </w:t>
      </w:r>
      <w:r w:rsidR="00AE23F9" w:rsidRPr="00AE23F9">
        <w:rPr>
          <w:rFonts w:ascii="Times New Roman" w:hAnsi="Times New Roman" w:cs="Times New Roman"/>
          <w:b w:val="0"/>
          <w:i w:val="0"/>
          <w:vanish/>
          <w:sz w:val="22"/>
        </w:rPr>
        <w:t>UC_113</w:t>
      </w:r>
    </w:p>
    <w:p w14:paraId="1E7CF786" w14:textId="77777777" w:rsidR="007D7738" w:rsidRDefault="007D7738" w:rsidP="007D7738">
      <w:pPr>
        <w:pStyle w:val="BodyText"/>
      </w:pPr>
      <w:r>
        <w:t>VBECS display</w:t>
      </w:r>
      <w:r w:rsidR="00F6243D">
        <w:t xml:space="preserve">s the Patient Search screen to search for a specific patient </w:t>
      </w:r>
      <w:r w:rsidR="000D4240">
        <w:t>in</w:t>
      </w:r>
      <w:r w:rsidR="00F6243D">
        <w:t xml:space="preserve"> VBECS</w:t>
      </w:r>
      <w:r>
        <w:t>.</w:t>
      </w:r>
      <w:r w:rsidR="00A537E6">
        <w:t xml:space="preserve"> </w:t>
      </w:r>
    </w:p>
    <w:p w14:paraId="3B30930A" w14:textId="77777777" w:rsidR="00AE23F9" w:rsidRDefault="00AE23F9" w:rsidP="00AE23F9">
      <w:pPr>
        <w:pStyle w:val="Heading4"/>
      </w:pPr>
      <w:r>
        <w:t>Assumptions</w:t>
      </w:r>
    </w:p>
    <w:p w14:paraId="5185CBC9" w14:textId="77777777" w:rsidR="00AE23F9" w:rsidRDefault="00B44B37" w:rsidP="00AE23F9">
      <w:pPr>
        <w:pStyle w:val="ListBullet"/>
      </w:pPr>
      <w:r>
        <w:t>The patient record exists in VBECS with the exception of specific searches that return patient information from VistA.</w:t>
      </w:r>
      <w:r w:rsidR="00E309DC">
        <w:t xml:space="preserve"> For the Edit Unit Information, Incoming Shipment, and Document ABO Incompatible Transfusion options, VBECS searches VistA.</w:t>
      </w:r>
    </w:p>
    <w:p w14:paraId="14E7C01B" w14:textId="77777777" w:rsidR="00AE23F9" w:rsidRDefault="00AE23F9" w:rsidP="00AE23F9">
      <w:pPr>
        <w:pStyle w:val="Heading4"/>
      </w:pPr>
      <w:r>
        <w:t>Outcome</w:t>
      </w:r>
    </w:p>
    <w:p w14:paraId="19C1765F" w14:textId="77777777" w:rsidR="00AE23F9" w:rsidRDefault="00B44B37" w:rsidP="00AE23F9">
      <w:pPr>
        <w:pStyle w:val="ListBullet"/>
      </w:pPr>
      <w:r>
        <w:t>VBECS presents the user with a list of patients for selection based on their search input.</w:t>
      </w:r>
    </w:p>
    <w:p w14:paraId="2DE6D495" w14:textId="77777777" w:rsidR="00AE23F9" w:rsidRDefault="00AE23F9" w:rsidP="00AE23F9">
      <w:pPr>
        <w:pStyle w:val="Heading4"/>
      </w:pPr>
      <w:r>
        <w:t>Limitations and Restrictions</w:t>
      </w:r>
    </w:p>
    <w:p w14:paraId="0B762934" w14:textId="4E95F36A" w:rsidR="00AE23F9" w:rsidRDefault="00092DC9" w:rsidP="00AE23F9">
      <w:pPr>
        <w:pStyle w:val="ListBullet"/>
      </w:pPr>
      <w:r>
        <w:t>VBECS updates information from VistA File #2, not VistA File #20. Name changes made in VistA File #20 will not appear in VBECS. Align File #2 with those changes to update VBECS</w:t>
      </w:r>
      <w:r w:rsidR="00AE23F9" w:rsidRPr="00AE23F9">
        <w:t>.</w:t>
      </w:r>
      <w:r w:rsidR="00555EA2" w:rsidRPr="00555EA2">
        <w:rPr>
          <w:vanish/>
        </w:rPr>
        <w:t xml:space="preserve"> Task 585891</w:t>
      </w:r>
    </w:p>
    <w:p w14:paraId="0DB50EFD" w14:textId="1D88C63F" w:rsidR="00485C85" w:rsidRDefault="001E4C3C" w:rsidP="00AE23F9">
      <w:pPr>
        <w:pStyle w:val="ListBullet"/>
      </w:pPr>
      <w:r>
        <w:t xml:space="preserve">Searching for non-alphanumeric characters (e.g., hyphens, etc.) </w:t>
      </w:r>
      <w:r w:rsidR="00511276">
        <w:t>is not supported</w:t>
      </w:r>
      <w:r>
        <w:t>.</w:t>
      </w:r>
      <w:r w:rsidR="00797183">
        <w:t xml:space="preserve"> </w:t>
      </w:r>
      <w:r w:rsidR="00797183" w:rsidRPr="00797183">
        <w:rPr>
          <w:vanish/>
        </w:rPr>
        <w:t>Defect 209859</w:t>
      </w:r>
    </w:p>
    <w:p w14:paraId="3941FC3E" w14:textId="05E25B48" w:rsidR="00485C85" w:rsidRPr="00696FA6" w:rsidRDefault="00485C85" w:rsidP="00485C85">
      <w:pPr>
        <w:pStyle w:val="ListBullet"/>
      </w:pPr>
      <w:r w:rsidRPr="00696FA6">
        <w:t xml:space="preserve">Data retrieval from VBECS is </w:t>
      </w:r>
      <w:r>
        <w:t xml:space="preserve">only </w:t>
      </w:r>
      <w:r w:rsidRPr="00696FA6">
        <w:t xml:space="preserve">available </w:t>
      </w:r>
      <w:r>
        <w:t>with project approval.</w:t>
      </w:r>
      <w:r w:rsidR="00797183">
        <w:t xml:space="preserve"> </w:t>
      </w:r>
      <w:r w:rsidR="00797183" w:rsidRPr="00797183">
        <w:rPr>
          <w:vanish/>
        </w:rPr>
        <w:t>Task 190402</w:t>
      </w:r>
    </w:p>
    <w:p w14:paraId="4F1777E5" w14:textId="77777777" w:rsidR="00AE23F9" w:rsidRDefault="00AE23F9" w:rsidP="00AE23F9">
      <w:pPr>
        <w:pStyle w:val="Heading4"/>
      </w:pPr>
      <w:r>
        <w:t>Additional Information</w:t>
      </w:r>
    </w:p>
    <w:p w14:paraId="525F7B62" w14:textId="77777777" w:rsidR="00AE23F9" w:rsidRDefault="009A78E5" w:rsidP="00AE23F9">
      <w:pPr>
        <w:pStyle w:val="ListBullet"/>
      </w:pPr>
      <w:r>
        <w:t>The Patient Search Screen is used by options throughout VBECS to select patients.</w:t>
      </w:r>
    </w:p>
    <w:p w14:paraId="7D6B73FE" w14:textId="77777777" w:rsidR="00AE23F9" w:rsidRDefault="00AE23F9" w:rsidP="00AE23F9">
      <w:pPr>
        <w:pStyle w:val="Heading4"/>
      </w:pPr>
      <w:r>
        <w:t>User Roles with Access to This Option</w:t>
      </w:r>
    </w:p>
    <w:p w14:paraId="1E4DC38C" w14:textId="77777777" w:rsidR="00AE23F9" w:rsidRDefault="00AE23F9" w:rsidP="00AE23F9">
      <w:pPr>
        <w:pStyle w:val="Roles"/>
      </w:pPr>
      <w:r>
        <w:t>All users</w:t>
      </w:r>
    </w:p>
    <w:p w14:paraId="28539778" w14:textId="77777777" w:rsidR="00AE23F9" w:rsidRDefault="00B173E0" w:rsidP="00AE23F9">
      <w:pPr>
        <w:pStyle w:val="Heading4"/>
      </w:pPr>
      <w:r>
        <w:t>Patient Search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C664F" w14:paraId="6BFFD759" w14:textId="77777777">
        <w:trPr>
          <w:cantSplit/>
          <w:tblHeader/>
        </w:trPr>
        <w:tc>
          <w:tcPr>
            <w:tcW w:w="3240" w:type="dxa"/>
            <w:shd w:val="pct30" w:color="auto" w:fill="FFFFFF"/>
            <w:vAlign w:val="bottom"/>
          </w:tcPr>
          <w:p w14:paraId="29E6A69E" w14:textId="77777777" w:rsidR="00BC664F" w:rsidRDefault="00BC664F" w:rsidP="00601F55">
            <w:pPr>
              <w:pStyle w:val="TableText"/>
              <w:rPr>
                <w:b/>
              </w:rPr>
            </w:pPr>
            <w:r>
              <w:rPr>
                <w:b/>
              </w:rPr>
              <w:t>User Action</w:t>
            </w:r>
          </w:p>
        </w:tc>
        <w:tc>
          <w:tcPr>
            <w:tcW w:w="6120" w:type="dxa"/>
            <w:shd w:val="pct30" w:color="auto" w:fill="FFFFFF"/>
            <w:vAlign w:val="bottom"/>
          </w:tcPr>
          <w:p w14:paraId="1092D4F1" w14:textId="77777777" w:rsidR="00BC664F" w:rsidRDefault="00BC664F" w:rsidP="00601F55">
            <w:pPr>
              <w:pStyle w:val="TableText"/>
              <w:rPr>
                <w:b/>
              </w:rPr>
            </w:pPr>
            <w:r>
              <w:rPr>
                <w:b/>
              </w:rPr>
              <w:t>VBECS</w:t>
            </w:r>
          </w:p>
        </w:tc>
      </w:tr>
      <w:tr w:rsidR="006178E5" w14:paraId="2736E030" w14:textId="77777777">
        <w:tc>
          <w:tcPr>
            <w:tcW w:w="3240" w:type="dxa"/>
            <w:tcBorders>
              <w:top w:val="single" w:sz="4" w:space="0" w:color="auto"/>
              <w:left w:val="single" w:sz="4" w:space="0" w:color="auto"/>
              <w:bottom w:val="single" w:sz="4" w:space="0" w:color="auto"/>
              <w:right w:val="single" w:sz="4" w:space="0" w:color="auto"/>
            </w:tcBorders>
          </w:tcPr>
          <w:p w14:paraId="50F55B34" w14:textId="5244AC1B" w:rsidR="00323F55" w:rsidRDefault="00323F55" w:rsidP="008E012C">
            <w:pPr>
              <w:pStyle w:val="TableTextNumbers"/>
            </w:pPr>
            <w:r>
              <w:t xml:space="preserve">To </w:t>
            </w:r>
            <w:r w:rsidR="006129D0">
              <w:t>access the Patient Search screen, open on</w:t>
            </w:r>
            <w:r w:rsidR="00F26575">
              <w:t>e</w:t>
            </w:r>
            <w:r w:rsidR="006129D0">
              <w:t xml:space="preserve"> of the options listed in Notes. To </w:t>
            </w:r>
            <w:r w:rsidR="007554C5">
              <w:t>search for</w:t>
            </w:r>
            <w:r>
              <w:t xml:space="preserve"> a patient</w:t>
            </w:r>
            <w:r w:rsidR="008E012C">
              <w:t>, e</w:t>
            </w:r>
            <w:r>
              <w:t>nter the p</w:t>
            </w:r>
            <w:r w:rsidR="00DD4445">
              <w:t xml:space="preserve">atient’s </w:t>
            </w:r>
            <w:r w:rsidR="009310A7">
              <w:t xml:space="preserve">full </w:t>
            </w:r>
            <w:r w:rsidR="006178E5">
              <w:t>name</w:t>
            </w:r>
            <w:r w:rsidR="006C1277">
              <w:t xml:space="preserve"> (last name first) </w:t>
            </w:r>
            <w:r w:rsidR="006178E5">
              <w:t>or ID</w:t>
            </w:r>
            <w:r w:rsidR="00EE7A38">
              <w:t xml:space="preserve"> (</w:t>
            </w:r>
            <w:r w:rsidR="00EE455E">
              <w:t xml:space="preserve">Figure </w:t>
            </w:r>
            <w:r w:rsidR="00EE455E">
              <w:rPr>
                <w:noProof/>
              </w:rPr>
              <w:t>94</w:t>
            </w:r>
            <w:r w:rsidR="00EE7A38">
              <w:t>)</w:t>
            </w:r>
            <w:r>
              <w:t>,</w:t>
            </w:r>
            <w:r w:rsidR="00DD4445">
              <w:t xml:space="preserve"> </w:t>
            </w:r>
            <w:r w:rsidR="00D67ABB">
              <w:t>or</w:t>
            </w:r>
          </w:p>
          <w:p w14:paraId="6FB8CD0E" w14:textId="77777777" w:rsidR="008E012C" w:rsidRDefault="008E012C" w:rsidP="008E012C">
            <w:pPr>
              <w:pStyle w:val="TableTextNumbersContinued"/>
            </w:pPr>
          </w:p>
          <w:p w14:paraId="1F9F72E5" w14:textId="77777777" w:rsidR="007554C5" w:rsidRDefault="00323F55" w:rsidP="008E012C">
            <w:pPr>
              <w:pStyle w:val="TableTextNumbersContinued"/>
            </w:pPr>
            <w:r>
              <w:t>Enter the last four digits of the ID</w:t>
            </w:r>
            <w:r w:rsidR="00E133A1">
              <w:t xml:space="preserve">, </w:t>
            </w:r>
            <w:r w:rsidR="00D67ABB">
              <w:t xml:space="preserve">or </w:t>
            </w:r>
            <w:r>
              <w:t>the initial of the last name and the last four digits of the ID,</w:t>
            </w:r>
            <w:r w:rsidR="000A4886">
              <w:t xml:space="preserve"> </w:t>
            </w:r>
            <w:r w:rsidR="00D67ABB">
              <w:t>and c</w:t>
            </w:r>
            <w:r w:rsidR="000A4886">
              <w:t xml:space="preserve">lick </w:t>
            </w:r>
            <w:r w:rsidR="000A4886" w:rsidRPr="000A4886">
              <w:rPr>
                <w:b/>
              </w:rPr>
              <w:t>Search</w:t>
            </w:r>
            <w:r w:rsidR="000A4886">
              <w:t>.</w:t>
            </w:r>
          </w:p>
        </w:tc>
        <w:tc>
          <w:tcPr>
            <w:tcW w:w="6120" w:type="dxa"/>
            <w:tcBorders>
              <w:top w:val="single" w:sz="4" w:space="0" w:color="auto"/>
              <w:left w:val="single" w:sz="4" w:space="0" w:color="auto"/>
              <w:bottom w:val="single" w:sz="4" w:space="0" w:color="auto"/>
              <w:right w:val="single" w:sz="4" w:space="0" w:color="auto"/>
            </w:tcBorders>
          </w:tcPr>
          <w:p w14:paraId="430788BE" w14:textId="77777777" w:rsidR="006129D0" w:rsidRDefault="006129D0" w:rsidP="006178E5">
            <w:pPr>
              <w:pStyle w:val="TableTextBullet"/>
            </w:pPr>
            <w:r>
              <w:t>Displays the Patient Search screen.</w:t>
            </w:r>
          </w:p>
          <w:p w14:paraId="1315BACA" w14:textId="77777777" w:rsidR="006178E5" w:rsidRDefault="007554C5" w:rsidP="006178E5">
            <w:pPr>
              <w:pStyle w:val="TableTextBullet"/>
            </w:pPr>
            <w:r>
              <w:t>Lists patients that meet the search criteria.</w:t>
            </w:r>
          </w:p>
          <w:p w14:paraId="43ABA216" w14:textId="77777777" w:rsidR="006129D0" w:rsidRDefault="006129D0" w:rsidP="006129D0">
            <w:pPr>
              <w:pStyle w:val="TableText"/>
            </w:pPr>
          </w:p>
          <w:p w14:paraId="2A760381" w14:textId="464E376D" w:rsidR="006129D0" w:rsidRDefault="006129D0" w:rsidP="006129D0">
            <w:pPr>
              <w:pStyle w:val="TableText"/>
              <w:rPr>
                <w:b/>
                <w:bCs/>
                <w:szCs w:val="18"/>
              </w:rPr>
            </w:pPr>
            <w:r>
              <w:rPr>
                <w:b/>
                <w:bCs/>
                <w:szCs w:val="18"/>
              </w:rPr>
              <w:t>NOTES</w:t>
            </w:r>
          </w:p>
          <w:p w14:paraId="0C7139B8" w14:textId="77777777" w:rsidR="006129D0" w:rsidRDefault="006129D0" w:rsidP="006129D0">
            <w:pPr>
              <w:pStyle w:val="NotesText"/>
            </w:pPr>
          </w:p>
          <w:p w14:paraId="6EBFF0C1" w14:textId="77777777" w:rsidR="006129D0" w:rsidRPr="006129D0" w:rsidRDefault="006129D0" w:rsidP="006129D0">
            <w:pPr>
              <w:pStyle w:val="NotesText"/>
            </w:pPr>
            <w:r>
              <w:t xml:space="preserve">Options that allow the user to search for a patient: </w:t>
            </w:r>
          </w:p>
          <w:p w14:paraId="5483FCB2" w14:textId="77777777" w:rsidR="005125FD" w:rsidRDefault="006129D0" w:rsidP="005125FD">
            <w:pPr>
              <w:pStyle w:val="NotesTextBullet"/>
            </w:pPr>
            <w:r>
              <w:rPr>
                <w:b/>
              </w:rPr>
              <w:t xml:space="preserve">Blood Units </w:t>
            </w:r>
            <w:r w:rsidRPr="00AC51A5">
              <w:t xml:space="preserve">from the main menu. Select </w:t>
            </w:r>
            <w:r>
              <w:rPr>
                <w:b/>
              </w:rPr>
              <w:t xml:space="preserve">Edit Unit Information </w:t>
            </w:r>
            <w:r>
              <w:t>(for restricted units only)</w:t>
            </w:r>
            <w:r w:rsidRPr="00AC51A5">
              <w:t>.</w:t>
            </w:r>
          </w:p>
          <w:p w14:paraId="668217BF" w14:textId="77777777" w:rsidR="006129D0" w:rsidRDefault="006129D0" w:rsidP="005125FD">
            <w:pPr>
              <w:pStyle w:val="NotesTextBullet"/>
            </w:pPr>
            <w:r w:rsidRPr="00214097">
              <w:rPr>
                <w:b/>
              </w:rPr>
              <w:t>Patients</w:t>
            </w:r>
            <w:r>
              <w:t xml:space="preserve"> from the main menu. Select:</w:t>
            </w:r>
          </w:p>
          <w:p w14:paraId="27D5E77C" w14:textId="77777777" w:rsidR="006129D0" w:rsidRPr="00214097" w:rsidRDefault="006129D0" w:rsidP="00DE6289">
            <w:pPr>
              <w:pStyle w:val="NotesTextBullet1"/>
            </w:pPr>
            <w:r w:rsidRPr="00214097">
              <w:t>Recent Orders</w:t>
            </w:r>
          </w:p>
          <w:p w14:paraId="541E4581" w14:textId="77777777" w:rsidR="006129D0" w:rsidRPr="00214097" w:rsidRDefault="006129D0" w:rsidP="00DE6289">
            <w:pPr>
              <w:pStyle w:val="NotesTextBullet1"/>
            </w:pPr>
            <w:r w:rsidRPr="00214097">
              <w:t>Blood Availability</w:t>
            </w:r>
          </w:p>
          <w:p w14:paraId="285D4E51" w14:textId="77777777" w:rsidR="006129D0" w:rsidRDefault="006129D0" w:rsidP="00DE6289">
            <w:pPr>
              <w:pStyle w:val="NotesTextBullet1"/>
            </w:pPr>
            <w:r w:rsidRPr="00214097">
              <w:t xml:space="preserve">Recent Transfusions/Issued Units </w:t>
            </w:r>
          </w:p>
          <w:p w14:paraId="1E9234D9" w14:textId="77777777" w:rsidR="006129D0" w:rsidRDefault="006129D0" w:rsidP="00DE6289">
            <w:pPr>
              <w:pStyle w:val="NotesTextBullet1"/>
            </w:pPr>
            <w:r w:rsidRPr="00214097">
              <w:t>Patient Testing Worklist Report</w:t>
            </w:r>
          </w:p>
          <w:p w14:paraId="6A021DE1" w14:textId="77777777" w:rsidR="006129D0" w:rsidRPr="00214097" w:rsidRDefault="006129D0" w:rsidP="00DE6289">
            <w:pPr>
              <w:pStyle w:val="NotesTextBullet1"/>
            </w:pPr>
            <w:r w:rsidRPr="00214097">
              <w:t>Print Unit Caution Tag &amp; Transfusion Record Form</w:t>
            </w:r>
          </w:p>
          <w:p w14:paraId="6E4131A7" w14:textId="77777777" w:rsidR="006129D0" w:rsidRDefault="006129D0" w:rsidP="00DE6289">
            <w:pPr>
              <w:pStyle w:val="NotesTextBullet1"/>
            </w:pPr>
            <w:r>
              <w:t>Issue Blood Components</w:t>
            </w:r>
          </w:p>
          <w:p w14:paraId="561AC99B" w14:textId="77777777" w:rsidR="006129D0" w:rsidRDefault="006129D0" w:rsidP="00DE6289">
            <w:pPr>
              <w:pStyle w:val="NotesTextBullet1"/>
            </w:pPr>
            <w:r w:rsidRPr="00214097">
              <w:t>Post-Transfusion Information</w:t>
            </w:r>
          </w:p>
          <w:p w14:paraId="5CB5158D" w14:textId="0B285EF4" w:rsidR="006129D0" w:rsidRPr="00214097" w:rsidRDefault="006129D0" w:rsidP="00DE6289">
            <w:pPr>
              <w:pStyle w:val="NotesTextBullet1"/>
            </w:pPr>
            <w:r w:rsidRPr="00214097">
              <w:t>Return Issued Units To Blood Bank</w:t>
            </w:r>
            <w:r>
              <w:t>.</w:t>
            </w:r>
          </w:p>
          <w:p w14:paraId="2A089EB0" w14:textId="77777777" w:rsidR="006129D0" w:rsidRPr="00214097" w:rsidRDefault="006129D0" w:rsidP="00DE6289">
            <w:pPr>
              <w:pStyle w:val="NotesTextBullet1"/>
            </w:pPr>
            <w:r w:rsidRPr="00214097">
              <w:t xml:space="preserve">Special Instructions &amp; Transfusion Requirements </w:t>
            </w:r>
          </w:p>
          <w:p w14:paraId="27BC7EF6" w14:textId="77777777" w:rsidR="006129D0" w:rsidRPr="00214097" w:rsidRDefault="006129D0" w:rsidP="00DE6289">
            <w:pPr>
              <w:pStyle w:val="NotesTextBullet1"/>
            </w:pPr>
            <w:r>
              <w:t>Transfusion Reaction History</w:t>
            </w:r>
          </w:p>
          <w:p w14:paraId="055F5F9D" w14:textId="77777777" w:rsidR="006129D0" w:rsidRPr="00214097" w:rsidRDefault="006129D0" w:rsidP="00DE6289">
            <w:pPr>
              <w:pStyle w:val="NotesTextBullet1"/>
            </w:pPr>
            <w:r w:rsidRPr="00214097">
              <w:t>Patient History Report</w:t>
            </w:r>
          </w:p>
          <w:p w14:paraId="36E3BF03" w14:textId="77777777" w:rsidR="006129D0" w:rsidRDefault="006129D0" w:rsidP="005125FD">
            <w:pPr>
              <w:pStyle w:val="NotesTextBullet"/>
            </w:pPr>
            <w:r w:rsidRPr="00214097">
              <w:rPr>
                <w:b/>
              </w:rPr>
              <w:t>Shipments</w:t>
            </w:r>
            <w:r>
              <w:t xml:space="preserve"> from the main menu. Select </w:t>
            </w:r>
            <w:r w:rsidRPr="00214097">
              <w:rPr>
                <w:b/>
              </w:rPr>
              <w:t>Incoming Shipment</w:t>
            </w:r>
            <w:r>
              <w:t xml:space="preserve"> (for restricted units only).</w:t>
            </w:r>
          </w:p>
          <w:p w14:paraId="5A2399AD" w14:textId="77777777" w:rsidR="006129D0" w:rsidRPr="00214097" w:rsidRDefault="006129D0" w:rsidP="005125FD">
            <w:pPr>
              <w:pStyle w:val="NotesTextBullet"/>
            </w:pPr>
            <w:r w:rsidRPr="00A60522">
              <w:rPr>
                <w:b/>
              </w:rPr>
              <w:lastRenderedPageBreak/>
              <w:t>Orders</w:t>
            </w:r>
            <w:r>
              <w:t xml:space="preserve"> from the main menu. Select </w:t>
            </w:r>
            <w:r w:rsidRPr="00A60522">
              <w:rPr>
                <w:b/>
              </w:rPr>
              <w:t>Recent Patient Orders</w:t>
            </w:r>
            <w:r>
              <w:t>.</w:t>
            </w:r>
          </w:p>
          <w:p w14:paraId="22CB558B" w14:textId="77777777" w:rsidR="006129D0" w:rsidRDefault="006129D0" w:rsidP="005125FD">
            <w:pPr>
              <w:pStyle w:val="NotesTextBullet"/>
            </w:pPr>
            <w:r w:rsidRPr="00214097">
              <w:rPr>
                <w:b/>
              </w:rPr>
              <w:t>Reports</w:t>
            </w:r>
            <w:r>
              <w:t xml:space="preserve"> from the main menu. Select:</w:t>
            </w:r>
          </w:p>
          <w:p w14:paraId="6D9D8B36" w14:textId="77777777" w:rsidR="006129D0" w:rsidRDefault="006129D0" w:rsidP="00DE6289">
            <w:pPr>
              <w:pStyle w:val="NotesTextBullet1"/>
              <w:rPr>
                <w:b/>
              </w:rPr>
            </w:pPr>
            <w:r>
              <w:rPr>
                <w:b/>
              </w:rPr>
              <w:t>Blood Availability</w:t>
            </w:r>
            <w:r>
              <w:t xml:space="preserve"> (for individual patient only)</w:t>
            </w:r>
          </w:p>
          <w:p w14:paraId="4FF28F07" w14:textId="77777777" w:rsidR="006129D0" w:rsidRPr="00214097" w:rsidRDefault="006129D0" w:rsidP="00DE6289">
            <w:pPr>
              <w:pStyle w:val="NotesTextBullet1"/>
              <w:rPr>
                <w:b/>
              </w:rPr>
            </w:pPr>
            <w:r w:rsidRPr="00214097">
              <w:rPr>
                <w:b/>
              </w:rPr>
              <w:t>Medication Profile</w:t>
            </w:r>
          </w:p>
          <w:p w14:paraId="2765D57D" w14:textId="77777777" w:rsidR="006129D0" w:rsidRPr="00214097" w:rsidRDefault="006129D0" w:rsidP="00DE6289">
            <w:pPr>
              <w:pStyle w:val="NotesTextBullet1"/>
              <w:rPr>
                <w:b/>
              </w:rPr>
            </w:pPr>
            <w:r w:rsidRPr="00214097">
              <w:rPr>
                <w:b/>
              </w:rPr>
              <w:t>Patient History Report</w:t>
            </w:r>
          </w:p>
          <w:p w14:paraId="08BBDD01" w14:textId="77777777" w:rsidR="006129D0" w:rsidRDefault="006129D0" w:rsidP="00DE6289">
            <w:pPr>
              <w:pStyle w:val="NotesTextBullet1"/>
            </w:pPr>
            <w:r w:rsidRPr="00214097">
              <w:rPr>
                <w:b/>
              </w:rPr>
              <w:t>Transfusion Effectiveness Report</w:t>
            </w:r>
            <w:r>
              <w:t xml:space="preserve"> (for individual patient report only)</w:t>
            </w:r>
          </w:p>
          <w:p w14:paraId="2A1A1282" w14:textId="77777777" w:rsidR="006129D0" w:rsidRDefault="006129D0" w:rsidP="005125FD">
            <w:pPr>
              <w:pStyle w:val="NotesTextBullet"/>
            </w:pPr>
            <w:r w:rsidRPr="00214097">
              <w:rPr>
                <w:b/>
              </w:rPr>
              <w:t>Supervisor</w:t>
            </w:r>
            <w:r>
              <w:t xml:space="preserve"> from the main menu. Select:</w:t>
            </w:r>
          </w:p>
          <w:p w14:paraId="4544BFF8" w14:textId="77777777" w:rsidR="006129D0" w:rsidRPr="0095508A" w:rsidRDefault="006129D0" w:rsidP="00DE6289">
            <w:pPr>
              <w:pStyle w:val="NotesTextBullet1"/>
            </w:pPr>
            <w:r w:rsidRPr="0095508A">
              <w:t>Document ABO Incompatible Transfusion</w:t>
            </w:r>
          </w:p>
          <w:p w14:paraId="79857684" w14:textId="77777777" w:rsidR="006129D0" w:rsidRDefault="006129D0" w:rsidP="00A4517B">
            <w:pPr>
              <w:pStyle w:val="NotesTextBullet1"/>
            </w:pPr>
            <w:r w:rsidRPr="005125FD">
              <w:t>Justify</w:t>
            </w:r>
            <w:r w:rsidRPr="0095508A">
              <w:t xml:space="preserve"> ABO/Rh Change</w:t>
            </w:r>
          </w:p>
          <w:p w14:paraId="10209599" w14:textId="77777777" w:rsidR="00F95EB8" w:rsidRDefault="00F95EB8" w:rsidP="00F95EB8">
            <w:pPr>
              <w:pStyle w:val="NotesTextBullet1"/>
              <w:numPr>
                <w:ilvl w:val="0"/>
                <w:numId w:val="0"/>
              </w:numPr>
              <w:ind w:left="1296" w:hanging="288"/>
            </w:pPr>
          </w:p>
          <w:p w14:paraId="4D17DAEF" w14:textId="12BC38C6" w:rsidR="00F95EB8" w:rsidRDefault="00F95EB8" w:rsidP="00954C98">
            <w:pPr>
              <w:pStyle w:val="NotesText"/>
            </w:pPr>
            <w:r w:rsidRPr="00F95EB8">
              <w:t xml:space="preserve">Selecting a patient </w:t>
            </w:r>
            <w:r w:rsidR="00954C98">
              <w:t xml:space="preserve">record </w:t>
            </w:r>
            <w:r w:rsidRPr="00F95EB8">
              <w:t xml:space="preserve">that is </w:t>
            </w:r>
            <w:r w:rsidR="00954C98">
              <w:t xml:space="preserve">not </w:t>
            </w:r>
            <w:r w:rsidRPr="00F95EB8">
              <w:t xml:space="preserve">found in </w:t>
            </w:r>
            <w:r w:rsidR="00954C98">
              <w:t>the</w:t>
            </w:r>
            <w:r w:rsidRPr="00F95EB8">
              <w:t xml:space="preserve"> VBECS </w:t>
            </w:r>
            <w:r w:rsidR="00954C98">
              <w:t>database will insert a new patient</w:t>
            </w:r>
            <w:r w:rsidRPr="00F95EB8">
              <w:t xml:space="preserve"> record </w:t>
            </w:r>
            <w:r w:rsidR="00954C98">
              <w:t xml:space="preserve">from </w:t>
            </w:r>
            <w:r w:rsidR="006549B7">
              <w:t>VistA.</w:t>
            </w:r>
            <w:r>
              <w:t xml:space="preserve"> </w:t>
            </w:r>
            <w:r w:rsidRPr="00F95EB8">
              <w:rPr>
                <w:vanish/>
              </w:rPr>
              <w:t>BR_1</w:t>
            </w:r>
            <w:r w:rsidR="00DF7355">
              <w:rPr>
                <w:vanish/>
              </w:rPr>
              <w:t>.60</w:t>
            </w:r>
            <w:r w:rsidR="00555EA2">
              <w:rPr>
                <w:vanish/>
              </w:rPr>
              <w:t xml:space="preserve"> Task 675267</w:t>
            </w:r>
          </w:p>
        </w:tc>
      </w:tr>
      <w:tr w:rsidR="000A4886" w14:paraId="51158E07" w14:textId="77777777">
        <w:tc>
          <w:tcPr>
            <w:tcW w:w="3240" w:type="dxa"/>
            <w:tcBorders>
              <w:top w:val="single" w:sz="4" w:space="0" w:color="auto"/>
              <w:left w:val="single" w:sz="4" w:space="0" w:color="auto"/>
              <w:bottom w:val="single" w:sz="4" w:space="0" w:color="auto"/>
              <w:right w:val="single" w:sz="4" w:space="0" w:color="auto"/>
            </w:tcBorders>
          </w:tcPr>
          <w:p w14:paraId="7F435159" w14:textId="77777777" w:rsidR="000A4886" w:rsidRDefault="007554C5" w:rsidP="00214097">
            <w:pPr>
              <w:pStyle w:val="TableTextNumbers"/>
            </w:pPr>
            <w:r>
              <w:lastRenderedPageBreak/>
              <w:t>Select a patient from the list</w:t>
            </w:r>
            <w:r w:rsidR="00250CF9">
              <w:t xml:space="preserve">. </w:t>
            </w:r>
            <w:r w:rsidR="00250CF9">
              <w:rPr>
                <w:rStyle w:val="TableTextNumbersChar"/>
                <w:vanish/>
                <w:color w:val="FFFFFF"/>
                <w:szCs w:val="18"/>
              </w:rPr>
              <w:fldChar w:fldCharType="begin"/>
            </w:r>
            <w:r w:rsidR="00250CF9">
              <w:rPr>
                <w:rStyle w:val="TableTextNumbersChar"/>
                <w:vanish/>
                <w:color w:val="FFFFFF"/>
                <w:szCs w:val="18"/>
              </w:rPr>
              <w:instrText xml:space="preserve"> LISTNUM \l 1 \s 0 </w:instrText>
            </w:r>
            <w:r w:rsidR="00250CF9">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494C136" w14:textId="77777777" w:rsidR="000A4886" w:rsidRDefault="007554C5" w:rsidP="006178E5">
            <w:pPr>
              <w:pStyle w:val="TableTextBullet"/>
            </w:pPr>
            <w:r>
              <w:t>Displays patient-associated data.</w:t>
            </w:r>
          </w:p>
          <w:p w14:paraId="69C51473" w14:textId="77777777" w:rsidR="007554C5" w:rsidRDefault="007554C5" w:rsidP="006178E5">
            <w:pPr>
              <w:pStyle w:val="TableTextBullet"/>
            </w:pPr>
            <w:r>
              <w:t>Displays the Patient Information Toolbar.</w:t>
            </w:r>
          </w:p>
          <w:p w14:paraId="48AE65D4" w14:textId="77777777" w:rsidR="00D1493E" w:rsidRDefault="00797BC0" w:rsidP="00D1493E">
            <w:pPr>
              <w:pStyle w:val="TableTextBullet"/>
            </w:pPr>
            <w:r>
              <w:t>Displays Special Instructions (SIs) and Transfusion Requirements (TRs)</w:t>
            </w:r>
            <w:r w:rsidR="00BC2C05">
              <w:t>, when appropriate.</w:t>
            </w:r>
            <w:r w:rsidR="00D1493E">
              <w:t xml:space="preserve"> </w:t>
            </w:r>
          </w:p>
          <w:p w14:paraId="65855EFD" w14:textId="77777777" w:rsidR="00D1493E" w:rsidRDefault="00D1493E" w:rsidP="00D1493E">
            <w:pPr>
              <w:pStyle w:val="TableText"/>
            </w:pPr>
          </w:p>
          <w:p w14:paraId="4899FC1B" w14:textId="41B11BFA" w:rsidR="00D1493E" w:rsidRDefault="00D1493E" w:rsidP="00D1493E">
            <w:pPr>
              <w:pStyle w:val="TableText"/>
              <w:rPr>
                <w:b/>
                <w:bCs/>
                <w:szCs w:val="18"/>
              </w:rPr>
            </w:pPr>
            <w:r>
              <w:rPr>
                <w:b/>
                <w:bCs/>
                <w:szCs w:val="18"/>
              </w:rPr>
              <w:t>NOTES</w:t>
            </w:r>
          </w:p>
          <w:p w14:paraId="56697CBC" w14:textId="77777777" w:rsidR="00797BC0" w:rsidRDefault="00797BC0" w:rsidP="00D1493E">
            <w:pPr>
              <w:pStyle w:val="TableTextBullet"/>
              <w:numPr>
                <w:ilvl w:val="0"/>
                <w:numId w:val="0"/>
              </w:numPr>
              <w:ind w:left="720"/>
            </w:pPr>
          </w:p>
          <w:p w14:paraId="27E32BD7" w14:textId="77777777" w:rsidR="00D1493E" w:rsidRPr="000F37DC" w:rsidRDefault="00D1493E" w:rsidP="00D1493E">
            <w:pPr>
              <w:pStyle w:val="TableTextBullet"/>
              <w:numPr>
                <w:ilvl w:val="0"/>
                <w:numId w:val="0"/>
              </w:numPr>
              <w:ind w:left="720"/>
              <w:rPr>
                <w:vanish/>
              </w:rPr>
            </w:pPr>
            <w:r>
              <w:rPr>
                <w:rFonts w:cs="Arial"/>
              </w:rPr>
              <w:t>Displays a message when the user selects a patient with a blank first or last name, or the name is too long. The user is instructed to contact the VBECS Administrator for assistance.</w:t>
            </w:r>
            <w:r w:rsidR="000F37DC">
              <w:rPr>
                <w:rFonts w:cs="Arial"/>
              </w:rPr>
              <w:t xml:space="preserve"> </w:t>
            </w:r>
            <w:r w:rsidR="000F37DC" w:rsidRPr="00AB3B2D">
              <w:rPr>
                <w:rFonts w:cs="Arial"/>
                <w:vanish/>
              </w:rPr>
              <w:t>DR 3444</w:t>
            </w:r>
          </w:p>
        </w:tc>
      </w:tr>
    </w:tbl>
    <w:p w14:paraId="42F681DA" w14:textId="4969F660" w:rsidR="00102700" w:rsidRDefault="00102700" w:rsidP="00102700">
      <w:pPr>
        <w:pStyle w:val="Caption"/>
      </w:pPr>
      <w:bookmarkStart w:id="451" w:name="_Ref126726055"/>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95</w:t>
      </w:r>
      <w:r w:rsidR="004E20BD">
        <w:rPr>
          <w:noProof/>
        </w:rPr>
        <w:fldChar w:fldCharType="end"/>
      </w:r>
      <w:bookmarkEnd w:id="451"/>
      <w:r w:rsidR="00EE7A38">
        <w:t>: Patient Search</w:t>
      </w:r>
    </w:p>
    <w:p w14:paraId="2AC80F24" w14:textId="57F99691" w:rsidR="00242335" w:rsidRPr="00242335" w:rsidRDefault="00242335" w:rsidP="00242335">
      <w:pPr>
        <w:pStyle w:val="BodyText"/>
      </w:pPr>
      <w:r>
        <w:rPr>
          <w:noProof/>
        </w:rPr>
        <w:drawing>
          <wp:inline distT="0" distB="0" distL="0" distR="0" wp14:anchorId="1D122540" wp14:editId="310982CB">
            <wp:extent cx="5939155" cy="4331970"/>
            <wp:effectExtent l="0" t="0" r="4445" b="0"/>
            <wp:docPr id="211" name="Picture 211" descr="Example of Patient Search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Example of Patient Search screen capt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9155" cy="4331970"/>
                    </a:xfrm>
                    <a:prstGeom prst="rect">
                      <a:avLst/>
                    </a:prstGeom>
                    <a:noFill/>
                    <a:ln>
                      <a:noFill/>
                    </a:ln>
                  </pic:spPr>
                </pic:pic>
              </a:graphicData>
            </a:graphic>
          </wp:inline>
        </w:drawing>
      </w:r>
    </w:p>
    <w:p w14:paraId="0C62C1D7" w14:textId="77777777" w:rsidR="00170060" w:rsidRDefault="0072673B" w:rsidP="00170060">
      <w:pPr>
        <w:pStyle w:val="Heading3"/>
      </w:pPr>
      <w:r>
        <w:br w:type="page"/>
      </w:r>
      <w:bookmarkStart w:id="452" w:name="_Toc163644946"/>
      <w:r w:rsidR="00170060">
        <w:lastRenderedPageBreak/>
        <w:t>Patient Merge</w:t>
      </w:r>
      <w:bookmarkEnd w:id="452"/>
      <w:r w:rsidR="00170060">
        <w:fldChar w:fldCharType="begin"/>
      </w:r>
      <w:r w:rsidR="00170060">
        <w:instrText xml:space="preserve"> XE “Patient Merge” </w:instrText>
      </w:r>
      <w:r w:rsidR="00170060">
        <w:fldChar w:fldCharType="end"/>
      </w:r>
      <w:r w:rsidR="00170060">
        <w:t xml:space="preserve"> </w:t>
      </w:r>
      <w:r w:rsidR="00170060">
        <w:rPr>
          <w:rFonts w:ascii="Times New Roman" w:hAnsi="Times New Roman" w:cs="Times New Roman"/>
          <w:b w:val="0"/>
          <w:vanish/>
          <w:sz w:val="22"/>
        </w:rPr>
        <w:t>UC_68</w:t>
      </w:r>
    </w:p>
    <w:p w14:paraId="43B31851" w14:textId="77777777" w:rsidR="00170060" w:rsidRDefault="000075A9" w:rsidP="00170060">
      <w:pPr>
        <w:pStyle w:val="BodyText"/>
      </w:pPr>
      <w:r>
        <w:t xml:space="preserve">VBECS notifies the user of VistA patient merges and displays details for </w:t>
      </w:r>
      <w:r w:rsidR="004437ED">
        <w:t>his</w:t>
      </w:r>
      <w:r>
        <w:t xml:space="preserve"> review.</w:t>
      </w:r>
    </w:p>
    <w:p w14:paraId="48B8B2A4" w14:textId="77777777" w:rsidR="00170060" w:rsidRDefault="00170060" w:rsidP="00170060">
      <w:pPr>
        <w:pStyle w:val="Heading4"/>
      </w:pPr>
      <w:r>
        <w:t>Assumptions</w:t>
      </w:r>
      <w:r>
        <w:rPr>
          <w:b w:val="0"/>
        </w:rPr>
        <w:t xml:space="preserve"> </w:t>
      </w:r>
    </w:p>
    <w:p w14:paraId="70AA27E6" w14:textId="77777777" w:rsidR="00170060" w:rsidRDefault="00170060" w:rsidP="00170060">
      <w:pPr>
        <w:pStyle w:val="ListBullet"/>
      </w:pPr>
      <w:r>
        <w:t xml:space="preserve">The connection to </w:t>
      </w:r>
      <w:r w:rsidRPr="00CA0045">
        <w:rPr>
          <w:bCs/>
        </w:rPr>
        <w:t>VistA</w:t>
      </w:r>
      <w:r>
        <w:t xml:space="preserve"> is active.</w:t>
      </w:r>
    </w:p>
    <w:p w14:paraId="4AC99917" w14:textId="77777777" w:rsidR="00170060" w:rsidRDefault="00170060" w:rsidP="00170060">
      <w:pPr>
        <w:pStyle w:val="ListBullet"/>
      </w:pPr>
      <w:r>
        <w:t xml:space="preserve">VBECS received the message about a </w:t>
      </w:r>
      <w:r w:rsidR="00E8242F">
        <w:t xml:space="preserve">VistA </w:t>
      </w:r>
      <w:r>
        <w:t>patient merge.</w:t>
      </w:r>
    </w:p>
    <w:p w14:paraId="3302EEFB" w14:textId="77777777" w:rsidR="00170060" w:rsidRDefault="00825A62" w:rsidP="00170060">
      <w:pPr>
        <w:pStyle w:val="ListBullet"/>
      </w:pPr>
      <w:r>
        <w:t>VBECS accepts merge messages when either or both the merge from or merge to patients exist in VBECS.</w:t>
      </w:r>
    </w:p>
    <w:p w14:paraId="1296F50B" w14:textId="77777777" w:rsidR="00170060" w:rsidRDefault="00170060" w:rsidP="00170060">
      <w:pPr>
        <w:pStyle w:val="Heading4"/>
      </w:pPr>
      <w:r>
        <w:t xml:space="preserve">Outcome </w:t>
      </w:r>
    </w:p>
    <w:p w14:paraId="44436304" w14:textId="77777777" w:rsidR="00170060" w:rsidRDefault="00170060" w:rsidP="00170060">
      <w:pPr>
        <w:pStyle w:val="ListBullet"/>
      </w:pPr>
      <w:r>
        <w:t>VBECS notified the user that patient records were merged in VistA.</w:t>
      </w:r>
    </w:p>
    <w:p w14:paraId="683A56E2" w14:textId="77777777" w:rsidR="00170060" w:rsidRDefault="00170060" w:rsidP="00170060">
      <w:pPr>
        <w:pStyle w:val="Heading4"/>
      </w:pPr>
      <w:r>
        <w:t>Limitations and Restrictions</w:t>
      </w:r>
      <w:r>
        <w:rPr>
          <w:b w:val="0"/>
        </w:rPr>
        <w:t xml:space="preserve"> </w:t>
      </w:r>
    </w:p>
    <w:p w14:paraId="2124126A" w14:textId="77777777" w:rsidR="00170060" w:rsidRDefault="00D62E7A" w:rsidP="00170060">
      <w:pPr>
        <w:pStyle w:val="ListBullet"/>
      </w:pPr>
      <w:r w:rsidRPr="00D62E7A">
        <w:rPr>
          <w:vanish/>
        </w:rPr>
        <w:t>DR 2,527</w:t>
      </w:r>
      <w:r>
        <w:rPr>
          <w:vanish/>
        </w:rPr>
        <w:t xml:space="preserve"> </w:t>
      </w:r>
      <w:r w:rsidR="008E7C49">
        <w:t>T</w:t>
      </w:r>
      <w:r w:rsidR="00170060">
        <w:t xml:space="preserve">he </w:t>
      </w:r>
      <w:r w:rsidR="008D32F7">
        <w:t xml:space="preserve">Traditional Supervisor or above </w:t>
      </w:r>
      <w:r w:rsidR="00170060">
        <w:t xml:space="preserve">must </w:t>
      </w:r>
      <w:r w:rsidR="00E8242F">
        <w:t>update patient records</w:t>
      </w:r>
      <w:r w:rsidR="00170060">
        <w:t xml:space="preserve"> manually.</w:t>
      </w:r>
    </w:p>
    <w:p w14:paraId="7FE33F13" w14:textId="5A908F42" w:rsidR="008D32F7" w:rsidRDefault="00E8242F" w:rsidP="00170060">
      <w:pPr>
        <w:pStyle w:val="ListBullet"/>
      </w:pPr>
      <w:r>
        <w:t xml:space="preserve">VBECS does not notify users of additional VistA patient updates or merges while the icon is displayed. </w:t>
      </w:r>
      <w:r w:rsidR="008D32F7">
        <w:t xml:space="preserve">When a user views an update and there is </w:t>
      </w:r>
      <w:r>
        <w:t>an unprocessed</w:t>
      </w:r>
      <w:r w:rsidR="008D32F7">
        <w:t xml:space="preserve"> patient merge, the </w:t>
      </w:r>
      <w:r w:rsidR="00D57F25">
        <w:t>Patient Alert icon</w:t>
      </w:r>
      <w:r w:rsidR="008D32F7">
        <w:t xml:space="preserve"> remains on the screen until the Traditional Supervisor completes the </w:t>
      </w:r>
      <w:r>
        <w:t xml:space="preserve">update </w:t>
      </w:r>
      <w:r w:rsidR="008D32F7">
        <w:t xml:space="preserve">and clears the icon. </w:t>
      </w:r>
      <w:r w:rsidR="00FF7FFA" w:rsidRPr="00FF7FFA">
        <w:rPr>
          <w:vanish/>
        </w:rPr>
        <w:t>Defect 209990</w:t>
      </w:r>
    </w:p>
    <w:p w14:paraId="4BF7C28C" w14:textId="166BE046" w:rsidR="005F578B" w:rsidRDefault="005F578B" w:rsidP="00170060">
      <w:pPr>
        <w:pStyle w:val="ListBullet"/>
      </w:pPr>
      <w:r>
        <w:t>Patient merges involving</w:t>
      </w:r>
      <w:r w:rsidRPr="00DD022C">
        <w:t xml:space="preserve"> </w:t>
      </w:r>
      <w:r w:rsidR="00FF7FFA" w:rsidRPr="00DD022C">
        <w:t>patients</w:t>
      </w:r>
      <w:r w:rsidRPr="00DD022C">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43878D29" w14:textId="463E36F4" w:rsidR="007E05D6" w:rsidRDefault="007E05D6" w:rsidP="00170060">
      <w:pPr>
        <w:pStyle w:val="ListBullet"/>
      </w:pPr>
      <w:r>
        <w:t xml:space="preserve">VBECS displays duplicate merge events to the user for merge. Users can process one of the merge events manually and clear both merge alerts. The Master Veteran Index team is working on a patch to discontinue sending a duplicate message. </w:t>
      </w:r>
      <w:r w:rsidRPr="007E05D6">
        <w:rPr>
          <w:vanish/>
        </w:rPr>
        <w:t>Defect 210029</w:t>
      </w:r>
    </w:p>
    <w:p w14:paraId="7AEF5E6E" w14:textId="77777777" w:rsidR="00170060" w:rsidRDefault="00170060" w:rsidP="00170060">
      <w:pPr>
        <w:pStyle w:val="Heading4"/>
      </w:pPr>
      <w:r>
        <w:t xml:space="preserve">Additional Information </w:t>
      </w:r>
    </w:p>
    <w:p w14:paraId="4C069F8A" w14:textId="77777777" w:rsidR="00170060" w:rsidRDefault="00170060" w:rsidP="00170060">
      <w:pPr>
        <w:pStyle w:val="ListBullet"/>
      </w:pPr>
      <w:r>
        <w:t>If more than two records are merged in VistA, VBECS will receive a corresponding number of merge messages.</w:t>
      </w:r>
    </w:p>
    <w:p w14:paraId="35235B75" w14:textId="77777777" w:rsidR="00170060" w:rsidRDefault="00170060" w:rsidP="00170060">
      <w:pPr>
        <w:pStyle w:val="Heading4"/>
        <w:rPr>
          <w:b w:val="0"/>
        </w:rPr>
      </w:pPr>
      <w:r>
        <w:t>User Roles with Access to This Option</w:t>
      </w:r>
      <w:r>
        <w:rPr>
          <w:b w:val="0"/>
        </w:rPr>
        <w:t xml:space="preserve"> </w:t>
      </w:r>
    </w:p>
    <w:p w14:paraId="287867AE" w14:textId="77777777" w:rsidR="008E2767" w:rsidRPr="008E2767" w:rsidRDefault="008E2767" w:rsidP="00A40D01">
      <w:pPr>
        <w:pStyle w:val="Roles"/>
      </w:pPr>
      <w:r>
        <w:t>All users</w:t>
      </w:r>
    </w:p>
    <w:p w14:paraId="2E2E3F53" w14:textId="2B51825D" w:rsidR="00170060" w:rsidRDefault="00170060" w:rsidP="00170060">
      <w:pPr>
        <w:pStyle w:val="Heading4"/>
      </w:pPr>
      <w:r>
        <w:t>Patient Merge</w:t>
      </w:r>
    </w:p>
    <w:p w14:paraId="3F402713" w14:textId="77777777" w:rsidR="002A21AE" w:rsidRDefault="00170060" w:rsidP="00170060">
      <w:pPr>
        <w:pStyle w:val="BodyText"/>
      </w:pPr>
      <w:r>
        <w:t xml:space="preserve">The VBECS user examines records that were merged in VistA and decides whether to </w:t>
      </w:r>
      <w:r w:rsidR="00A415D8">
        <w:t xml:space="preserve">update </w:t>
      </w:r>
      <w:r>
        <w:t>them.</w:t>
      </w:r>
    </w:p>
    <w:p w14:paraId="1B27C82A" w14:textId="77777777" w:rsidR="00F002ED" w:rsidRPr="006F5EC8" w:rsidRDefault="00057948" w:rsidP="00F002ED">
      <w:pPr>
        <w:pStyle w:val="Caution"/>
      </w:pPr>
      <w:r>
        <w:rPr>
          <w:i w:val="0"/>
          <w:noProof/>
        </w:rPr>
        <w:drawing>
          <wp:inline distT="0" distB="0" distL="0" distR="0" wp14:anchorId="40C9BAD9" wp14:editId="1ADD64D5">
            <wp:extent cx="267970" cy="221615"/>
            <wp:effectExtent l="0" t="0" r="0" b="6985"/>
            <wp:docPr id="229" name="Picture 22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F002ED" w:rsidRPr="00413345">
        <w:rPr>
          <w:i w:val="0"/>
        </w:rPr>
        <w:t xml:space="preserve"> </w:t>
      </w:r>
      <w:r w:rsidR="00F002ED" w:rsidRPr="006F5EC8">
        <w:t xml:space="preserve">VBECS </w:t>
      </w:r>
      <w:r w:rsidR="00F002ED">
        <w:t xml:space="preserve">does </w:t>
      </w:r>
      <w:r w:rsidR="00F002ED" w:rsidRPr="006F5EC8">
        <w:t>not create link</w:t>
      </w:r>
      <w:r w:rsidR="00F002ED">
        <w:t>s</w:t>
      </w:r>
      <w:r w:rsidR="00F002ED" w:rsidRPr="006F5EC8">
        <w:t xml:space="preserve"> </w:t>
      </w:r>
      <w:r w:rsidR="00F002ED">
        <w:t>for</w:t>
      </w:r>
      <w:r w:rsidR="00F002ED" w:rsidRPr="006F5EC8">
        <w:t xml:space="preserve"> </w:t>
      </w:r>
      <w:r w:rsidR="00F002ED">
        <w:t>merged</w:t>
      </w:r>
      <w:r w:rsidR="00F002ED" w:rsidRPr="006F5EC8">
        <w:t xml:space="preserve"> records.</w:t>
      </w:r>
      <w:r w:rsidR="00F002ED">
        <w:t xml:space="preserve"> Users must update patient information and Special Instructions to show the merged-patient relationship.</w:t>
      </w:r>
    </w:p>
    <w:p w14:paraId="6036B8F1" w14:textId="1DAD0EB8" w:rsidR="001431F4" w:rsidRDefault="001431F4">
      <w:pPr>
        <w:rPr>
          <w:sz w:val="4"/>
          <w:szCs w:val="4"/>
        </w:rPr>
      </w:pPr>
      <w:r>
        <w:rPr>
          <w:sz w:val="4"/>
          <w:szCs w:val="4"/>
        </w:rPr>
        <w:br w:type="page"/>
      </w:r>
    </w:p>
    <w:p w14:paraId="131A7C2B" w14:textId="77777777" w:rsidR="00B33CCA" w:rsidRPr="00B33CCA" w:rsidRDefault="00B33CCA" w:rsidP="00170060">
      <w:pPr>
        <w:pStyle w:val="BodyText"/>
        <w:rPr>
          <w:sz w:val="4"/>
          <w:szCs w:val="4"/>
        </w:rPr>
      </w:pPr>
    </w:p>
    <w:p w14:paraId="2E61CC8B" w14:textId="77777777" w:rsidR="00B33CCA" w:rsidRPr="00E661A1" w:rsidRDefault="00057948" w:rsidP="00B33CCA">
      <w:pPr>
        <w:pStyle w:val="Caution"/>
        <w:rPr>
          <w:i w:val="0"/>
        </w:rPr>
      </w:pPr>
      <w:r>
        <w:rPr>
          <w:i w:val="0"/>
          <w:noProof/>
        </w:rPr>
        <w:drawing>
          <wp:inline distT="0" distB="0" distL="0" distR="0" wp14:anchorId="4B4A7C9A" wp14:editId="40EEA830">
            <wp:extent cx="267970" cy="221615"/>
            <wp:effectExtent l="0" t="0" r="0" b="6985"/>
            <wp:docPr id="230" name="Picture 23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33CCA" w:rsidRPr="00413345">
        <w:rPr>
          <w:i w:val="0"/>
        </w:rPr>
        <w:t xml:space="preserve"> </w:t>
      </w:r>
      <w:r w:rsidR="00B33CCA" w:rsidRPr="00E661A1">
        <w:t>Patient merges that do not change the patient name o</w:t>
      </w:r>
      <w:r w:rsidR="00E309DC" w:rsidRPr="00E661A1">
        <w:t>r</w:t>
      </w:r>
      <w:r w:rsidR="00B33CCA" w:rsidRPr="00E661A1">
        <w:t xml:space="preserve"> social security number (e.g. patient record moved to a new DFN) are displayed to the VBECS user. However, the records displayed in the Merge window will not appear to have any differences. Users are advised to contact </w:t>
      </w:r>
      <w:r w:rsidR="00A2613A" w:rsidRPr="00E661A1">
        <w:t>customer</w:t>
      </w:r>
      <w:r w:rsidR="00B33CCA" w:rsidRPr="00E661A1">
        <w:t xml:space="preserve"> support if a record merge of this type occurs.</w:t>
      </w:r>
      <w:r w:rsidR="00B33CCA" w:rsidRPr="00E661A1">
        <w:rPr>
          <w:i w:val="0"/>
        </w:rPr>
        <w:t xml:space="preserve"> </w:t>
      </w:r>
      <w:r w:rsidR="00B33CCA" w:rsidRPr="00E661A1">
        <w:rPr>
          <w:i w:val="0"/>
          <w:vanish/>
        </w:rPr>
        <w:t>DR 4178</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00DE" w14:paraId="5B42C330" w14:textId="77777777">
        <w:trPr>
          <w:cantSplit/>
          <w:tblHeader/>
        </w:trPr>
        <w:tc>
          <w:tcPr>
            <w:tcW w:w="3240" w:type="dxa"/>
            <w:shd w:val="pct30" w:color="auto" w:fill="FFFFFF"/>
            <w:vAlign w:val="bottom"/>
          </w:tcPr>
          <w:p w14:paraId="47E57E8B" w14:textId="1E0E6269" w:rsidR="007A00DE" w:rsidRDefault="00EE4091" w:rsidP="007A00DE">
            <w:pPr>
              <w:pStyle w:val="TableText"/>
              <w:rPr>
                <w:b/>
              </w:rPr>
            </w:pPr>
            <w:r>
              <w:br w:type="page"/>
            </w:r>
            <w:r w:rsidR="00B33CCA" w:rsidRPr="00E661A1">
              <w:rPr>
                <w:i/>
              </w:rPr>
              <w:br w:type="page"/>
            </w:r>
            <w:bookmarkStart w:id="453" w:name="_Ref126726239"/>
            <w:r w:rsidR="007A00DE">
              <w:rPr>
                <w:b/>
              </w:rPr>
              <w:t>User Action</w:t>
            </w:r>
          </w:p>
        </w:tc>
        <w:tc>
          <w:tcPr>
            <w:tcW w:w="6120" w:type="dxa"/>
            <w:shd w:val="pct30" w:color="auto" w:fill="FFFFFF"/>
            <w:vAlign w:val="bottom"/>
          </w:tcPr>
          <w:p w14:paraId="4A3480EC" w14:textId="77777777" w:rsidR="007A00DE" w:rsidRDefault="007A00DE" w:rsidP="007A00DE">
            <w:pPr>
              <w:pStyle w:val="TableText"/>
              <w:rPr>
                <w:b/>
              </w:rPr>
            </w:pPr>
            <w:r>
              <w:rPr>
                <w:b/>
              </w:rPr>
              <w:t>VBECS</w:t>
            </w:r>
          </w:p>
        </w:tc>
      </w:tr>
      <w:tr w:rsidR="007A00DE" w14:paraId="2477095D" w14:textId="77777777">
        <w:tc>
          <w:tcPr>
            <w:tcW w:w="3240" w:type="dxa"/>
            <w:tcBorders>
              <w:top w:val="single" w:sz="4" w:space="0" w:color="auto"/>
              <w:left w:val="single" w:sz="4" w:space="0" w:color="auto"/>
              <w:bottom w:val="single" w:sz="4" w:space="0" w:color="auto"/>
              <w:right w:val="single" w:sz="4" w:space="0" w:color="auto"/>
            </w:tcBorders>
          </w:tcPr>
          <w:p w14:paraId="2B46E008" w14:textId="77777777" w:rsidR="007A00DE" w:rsidRDefault="007A00DE" w:rsidP="007A00DE">
            <w:pPr>
              <w:pStyle w:val="TableTextNumbers"/>
            </w:pPr>
            <w:r>
              <w:t xml:space="preserve">Select </w:t>
            </w:r>
            <w:r>
              <w:rPr>
                <w:b/>
              </w:rPr>
              <w:t>Patients</w:t>
            </w:r>
            <w:r>
              <w:t xml:space="preserve"> from the main menu.</w:t>
            </w:r>
          </w:p>
          <w:p w14:paraId="590D5358" w14:textId="77777777" w:rsidR="007A00DE" w:rsidRDefault="007A00DE" w:rsidP="007A00DE">
            <w:pPr>
              <w:pStyle w:val="TableTextNumbersContinued"/>
            </w:pPr>
          </w:p>
          <w:p w14:paraId="6F4338E6" w14:textId="77777777" w:rsidR="007A00DE" w:rsidRDefault="007A00DE" w:rsidP="007A00DE">
            <w:pPr>
              <w:pStyle w:val="TableTextNumbersContinued"/>
            </w:pPr>
            <w:r>
              <w:t xml:space="preserve">Select </w:t>
            </w:r>
            <w:r>
              <w:rPr>
                <w:b/>
              </w:rPr>
              <w:t>Patient Updates</w:t>
            </w:r>
            <w:r>
              <w:t>.</w:t>
            </w:r>
          </w:p>
          <w:p w14:paraId="00EAB8E8" w14:textId="77777777" w:rsidR="007A00DE" w:rsidRDefault="007A00DE" w:rsidP="007A00DE">
            <w:pPr>
              <w:pStyle w:val="TableTextNumbersContinued"/>
            </w:pPr>
          </w:p>
          <w:p w14:paraId="47C45EBE" w14:textId="77777777" w:rsidR="007A00DE" w:rsidRDefault="007A00DE" w:rsidP="007A00DE">
            <w:pPr>
              <w:pStyle w:val="TableTextNumbersContinued"/>
            </w:pPr>
            <w:r>
              <w:t xml:space="preserve">Select </w:t>
            </w:r>
            <w:r>
              <w:rPr>
                <w:b/>
              </w:rPr>
              <w:t>Patient Merge</w:t>
            </w:r>
            <w:r>
              <w:t>, or</w:t>
            </w:r>
          </w:p>
          <w:p w14:paraId="53737D49" w14:textId="77777777" w:rsidR="007A00DE" w:rsidRDefault="007A00DE" w:rsidP="007A00DE">
            <w:pPr>
              <w:pStyle w:val="TableTextNumbersContinued"/>
            </w:pPr>
          </w:p>
          <w:p w14:paraId="109A2BCB" w14:textId="77777777" w:rsidR="007A00DE" w:rsidRDefault="007A00DE" w:rsidP="007A00DE">
            <w:pPr>
              <w:pStyle w:val="TableTextNumbersContinued"/>
            </w:pPr>
            <w:r>
              <w:t xml:space="preserve">Click </w:t>
            </w:r>
            <w:r w:rsidR="00057948">
              <w:rPr>
                <w:noProof/>
              </w:rPr>
              <w:drawing>
                <wp:inline distT="0" distB="0" distL="0" distR="0" wp14:anchorId="69765C52" wp14:editId="27F28F43">
                  <wp:extent cx="166370" cy="156845"/>
                  <wp:effectExtent l="0" t="0" r="5080" b="0"/>
                  <wp:docPr id="231" name="Picture 231"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w:t>
            </w:r>
          </w:p>
        </w:tc>
        <w:tc>
          <w:tcPr>
            <w:tcW w:w="6120" w:type="dxa"/>
            <w:tcBorders>
              <w:top w:val="single" w:sz="4" w:space="0" w:color="auto"/>
              <w:left w:val="single" w:sz="4" w:space="0" w:color="auto"/>
              <w:bottom w:val="single" w:sz="4" w:space="0" w:color="auto"/>
              <w:right w:val="single" w:sz="4" w:space="0" w:color="auto"/>
            </w:tcBorders>
          </w:tcPr>
          <w:p w14:paraId="058ECF29" w14:textId="77777777" w:rsidR="007A00DE" w:rsidRDefault="007A00DE" w:rsidP="007A00DE">
            <w:pPr>
              <w:pStyle w:val="TableTextBullet"/>
            </w:pPr>
            <w:r>
              <w:t xml:space="preserve">Displays </w:t>
            </w:r>
            <w:r w:rsidR="00057948">
              <w:rPr>
                <w:noProof/>
              </w:rPr>
              <w:drawing>
                <wp:inline distT="0" distB="0" distL="0" distR="0" wp14:anchorId="06D9510C" wp14:editId="639B519C">
                  <wp:extent cx="166370" cy="156845"/>
                  <wp:effectExtent l="0" t="0" r="5080" b="0"/>
                  <wp:docPr id="232" name="Picture 232"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and notifies the user of the VistA patient merge.</w:t>
            </w:r>
          </w:p>
          <w:p w14:paraId="52AE0527" w14:textId="77777777" w:rsidR="007A00DE" w:rsidRDefault="007A00DE" w:rsidP="007A00DE">
            <w:pPr>
              <w:pStyle w:val="TableTextBullet"/>
            </w:pPr>
            <w:r>
              <w:t xml:space="preserve">Lists the patient records to be </w:t>
            </w:r>
            <w:r w:rsidR="00AA1115">
              <w:t>updated</w:t>
            </w:r>
            <w:r>
              <w:t xml:space="preserve">. </w:t>
            </w:r>
          </w:p>
          <w:p w14:paraId="790877EA" w14:textId="77777777" w:rsidR="007A00DE" w:rsidRDefault="00825A62" w:rsidP="007A00DE">
            <w:pPr>
              <w:pStyle w:val="TableTextBullet"/>
            </w:pPr>
            <w:r w:rsidRPr="00825A62">
              <w:rPr>
                <w:vanish/>
              </w:rPr>
              <w:t xml:space="preserve">BR_68.19 </w:t>
            </w:r>
            <w:r w:rsidR="007A00DE">
              <w:t>Displays limited merge-from and merge-to patient information for evaluation, including:</w:t>
            </w:r>
          </w:p>
          <w:p w14:paraId="54ED488A" w14:textId="77777777" w:rsidR="007A00DE" w:rsidRDefault="007A00DE" w:rsidP="007A00DE">
            <w:pPr>
              <w:pStyle w:val="TableTextBullet1"/>
            </w:pPr>
            <w:r>
              <w:t>Patient name</w:t>
            </w:r>
          </w:p>
          <w:p w14:paraId="2E04ABC7" w14:textId="77777777" w:rsidR="007A00DE" w:rsidRDefault="007A00DE" w:rsidP="007A00DE">
            <w:pPr>
              <w:pStyle w:val="TableTextBullet1"/>
            </w:pPr>
            <w:r>
              <w:t>Patient ID</w:t>
            </w:r>
            <w:r w:rsidR="00825A62">
              <w:t>, if available</w:t>
            </w:r>
          </w:p>
          <w:p w14:paraId="043EBC60" w14:textId="77777777" w:rsidR="007A00DE" w:rsidRDefault="007A00DE" w:rsidP="007A00DE">
            <w:pPr>
              <w:pStyle w:val="TableTextBullet1"/>
              <w:rPr>
                <w:b/>
                <w:bCs/>
              </w:rPr>
            </w:pPr>
            <w:r>
              <w:t xml:space="preserve">Date and time the merge message was received from </w:t>
            </w:r>
            <w:r w:rsidRPr="00CA0045">
              <w:rPr>
                <w:bCs/>
              </w:rPr>
              <w:t>VistA</w:t>
            </w:r>
          </w:p>
          <w:p w14:paraId="75CD627F" w14:textId="77777777" w:rsidR="007A00DE" w:rsidRDefault="007A00DE" w:rsidP="007A00DE">
            <w:pPr>
              <w:pStyle w:val="TableText"/>
            </w:pPr>
          </w:p>
          <w:p w14:paraId="6348A81B" w14:textId="428B1552" w:rsidR="007A00DE" w:rsidRDefault="007A00DE" w:rsidP="007A00DE">
            <w:pPr>
              <w:pStyle w:val="TableText"/>
              <w:rPr>
                <w:b/>
                <w:bCs/>
                <w:szCs w:val="18"/>
              </w:rPr>
            </w:pPr>
            <w:r>
              <w:rPr>
                <w:b/>
                <w:bCs/>
                <w:szCs w:val="18"/>
              </w:rPr>
              <w:t>NOTES</w:t>
            </w:r>
          </w:p>
          <w:p w14:paraId="75660B51" w14:textId="77777777" w:rsidR="007A00DE" w:rsidRDefault="007A00DE" w:rsidP="007A00DE">
            <w:pPr>
              <w:pStyle w:val="NotesText"/>
            </w:pPr>
          </w:p>
          <w:p w14:paraId="66CD17C3" w14:textId="77777777" w:rsidR="007A00DE" w:rsidRDefault="007A00DE" w:rsidP="007A00DE">
            <w:pPr>
              <w:pStyle w:val="NotesText"/>
            </w:pPr>
            <w:r>
              <w:t xml:space="preserve">VBECS displays </w:t>
            </w:r>
            <w:r w:rsidR="00057948">
              <w:rPr>
                <w:noProof/>
              </w:rPr>
              <w:drawing>
                <wp:inline distT="0" distB="0" distL="0" distR="0" wp14:anchorId="41D0CC8E" wp14:editId="778A30AD">
                  <wp:extent cx="166370" cy="156845"/>
                  <wp:effectExtent l="0" t="0" r="5080" b="0"/>
                  <wp:docPr id="233" name="Picture 233"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at the first instance of a </w:t>
            </w:r>
            <w:r w:rsidR="00AA1115">
              <w:t xml:space="preserve">VistA patient update or </w:t>
            </w:r>
            <w:r>
              <w:t>merge. The icon remains on the screen</w:t>
            </w:r>
            <w:r w:rsidR="00B473F5">
              <w:t xml:space="preserve"> until the Traditional Supervisor</w:t>
            </w:r>
            <w:r w:rsidR="00A47004">
              <w:t xml:space="preserve"> </w:t>
            </w:r>
            <w:r w:rsidR="00B473F5">
              <w:t xml:space="preserve">clears the </w:t>
            </w:r>
            <w:r w:rsidR="00AA1115">
              <w:t xml:space="preserve">patient </w:t>
            </w:r>
            <w:r w:rsidR="00B473F5">
              <w:t>merge alert</w:t>
            </w:r>
            <w:r w:rsidR="00B473F5" w:rsidRPr="00B473F5">
              <w:rPr>
                <w:vanish/>
              </w:rPr>
              <w:t xml:space="preserve"> DR 2,2527</w:t>
            </w:r>
            <w:r>
              <w:t xml:space="preserve">. </w:t>
            </w:r>
          </w:p>
          <w:p w14:paraId="65157F0F" w14:textId="77777777" w:rsidR="007A00DE" w:rsidRDefault="007A00DE" w:rsidP="007A00DE">
            <w:pPr>
              <w:pStyle w:val="NotesText"/>
              <w:rPr>
                <w:rFonts w:cs="Arial"/>
              </w:rPr>
            </w:pPr>
          </w:p>
          <w:p w14:paraId="04B85FE2" w14:textId="77777777" w:rsidR="007A00DE" w:rsidRDefault="007A00DE" w:rsidP="007A00DE">
            <w:pPr>
              <w:pStyle w:val="NotesText"/>
            </w:pPr>
            <w:r>
              <w:rPr>
                <w:rFonts w:cs="Arial"/>
                <w:vanish/>
              </w:rPr>
              <w:t xml:space="preserve">BR_68.01 </w:t>
            </w:r>
            <w:r w:rsidR="00A86640">
              <w:t>The list of patient records is sorted in chronological order: the oldest received updated record appears at the top of the list.</w:t>
            </w:r>
          </w:p>
          <w:p w14:paraId="30431720" w14:textId="77777777" w:rsidR="007A00DE" w:rsidRDefault="007A00DE" w:rsidP="007A00DE">
            <w:pPr>
              <w:pStyle w:val="NotesText"/>
            </w:pPr>
          </w:p>
          <w:p w14:paraId="18DAFF0B" w14:textId="77777777" w:rsidR="007A00DE" w:rsidRDefault="007A00DE" w:rsidP="007A00DE">
            <w:pPr>
              <w:pStyle w:val="NotesText"/>
            </w:pPr>
            <w:r>
              <w:t>The user may update both patients’ VBECS files in accordance with local policy and procedure.</w:t>
            </w:r>
          </w:p>
        </w:tc>
      </w:tr>
      <w:tr w:rsidR="007A00DE" w14:paraId="183416ED" w14:textId="77777777">
        <w:tc>
          <w:tcPr>
            <w:tcW w:w="3240" w:type="dxa"/>
          </w:tcPr>
          <w:p w14:paraId="05AEE964" w14:textId="09298740" w:rsidR="007A00DE" w:rsidRDefault="007A00DE" w:rsidP="007A00DE">
            <w:pPr>
              <w:pStyle w:val="TableTextNumbers"/>
            </w:pPr>
            <w:r>
              <w:t xml:space="preserve">Select a </w:t>
            </w:r>
            <w:r w:rsidR="00061930">
              <w:t xml:space="preserve">VistA </w:t>
            </w:r>
            <w:r>
              <w:t>patient merge event from the list and review the data (</w:t>
            </w:r>
            <w:r w:rsidR="00EE455E">
              <w:t xml:space="preserve">Figure </w:t>
            </w:r>
            <w:r w:rsidR="00EE455E">
              <w:rPr>
                <w:noProof/>
              </w:rPr>
              <w:t>95</w:t>
            </w:r>
            <w:r>
              <w:t>).</w:t>
            </w:r>
          </w:p>
        </w:tc>
        <w:tc>
          <w:tcPr>
            <w:tcW w:w="6120" w:type="dxa"/>
          </w:tcPr>
          <w:p w14:paraId="223C4213" w14:textId="77777777" w:rsidR="007A00DE" w:rsidRDefault="007A00DE" w:rsidP="007A00DE">
            <w:pPr>
              <w:pStyle w:val="TableTextBullet"/>
            </w:pPr>
            <w:r>
              <w:t xml:space="preserve">Displays data about merged </w:t>
            </w:r>
            <w:r w:rsidR="00061930">
              <w:t xml:space="preserve">VistA </w:t>
            </w:r>
            <w:r>
              <w:t>patient records:</w:t>
            </w:r>
          </w:p>
          <w:p w14:paraId="7CBF94D6" w14:textId="77777777" w:rsidR="007A00DE" w:rsidRDefault="007A00DE" w:rsidP="007A00DE">
            <w:pPr>
              <w:pStyle w:val="TableTextBullet1"/>
            </w:pPr>
            <w:r>
              <w:t>Patient name</w:t>
            </w:r>
          </w:p>
          <w:p w14:paraId="5CBDCFF3" w14:textId="77777777" w:rsidR="007A00DE" w:rsidRDefault="007A00DE" w:rsidP="007A00DE">
            <w:pPr>
              <w:pStyle w:val="TableTextBullet1"/>
            </w:pPr>
            <w:r>
              <w:t>Patient ID</w:t>
            </w:r>
            <w:r w:rsidR="006337EA">
              <w:t>, if available</w:t>
            </w:r>
          </w:p>
          <w:p w14:paraId="78DF8101" w14:textId="77777777" w:rsidR="007A00DE" w:rsidRDefault="007A00DE" w:rsidP="007A00DE">
            <w:pPr>
              <w:pStyle w:val="TableTextBullet1"/>
            </w:pPr>
            <w:r>
              <w:t>Patient sex</w:t>
            </w:r>
            <w:r w:rsidR="006337EA">
              <w:t>, if available</w:t>
            </w:r>
          </w:p>
          <w:p w14:paraId="3164FA80" w14:textId="77777777" w:rsidR="007A00DE" w:rsidRDefault="007A00DE" w:rsidP="007A00DE">
            <w:pPr>
              <w:pStyle w:val="TableTextBullet1"/>
            </w:pPr>
            <w:r>
              <w:t xml:space="preserve">Date and time the merge message was received from </w:t>
            </w:r>
            <w:r w:rsidRPr="00CA6E27">
              <w:rPr>
                <w:bCs/>
              </w:rPr>
              <w:t>VistA</w:t>
            </w:r>
          </w:p>
          <w:p w14:paraId="09EAD326" w14:textId="77777777" w:rsidR="007A00DE" w:rsidRDefault="007A00DE" w:rsidP="007A00DE">
            <w:pPr>
              <w:pStyle w:val="TableTextBullet1"/>
            </w:pPr>
            <w:r>
              <w:t>Patient ABO/Rh</w:t>
            </w:r>
            <w:r w:rsidR="006337EA">
              <w:t>, if available</w:t>
            </w:r>
          </w:p>
          <w:p w14:paraId="10B319B2" w14:textId="77777777" w:rsidR="007A00DE" w:rsidRDefault="007A00DE" w:rsidP="007A00DE">
            <w:pPr>
              <w:pStyle w:val="TableTextBullet1"/>
            </w:pPr>
            <w:r>
              <w:t>Patient Transfusion Requirements (TRs) and Special Instructions (SIs)</w:t>
            </w:r>
            <w:r w:rsidR="006337EA">
              <w:t>, if available</w:t>
            </w:r>
          </w:p>
          <w:p w14:paraId="41ED80AE" w14:textId="77777777" w:rsidR="006337EA" w:rsidRDefault="007A00DE" w:rsidP="006337EA">
            <w:pPr>
              <w:pStyle w:val="TableTextBullet1"/>
            </w:pPr>
            <w:r>
              <w:t>Recent orders and recent transfusion records for the patient (available only by clicking Patient Information Toolbar icons)</w:t>
            </w:r>
            <w:r w:rsidR="006337EA">
              <w:t>, if available</w:t>
            </w:r>
          </w:p>
          <w:p w14:paraId="4F6E63D5" w14:textId="77777777" w:rsidR="006337EA" w:rsidRDefault="006337EA" w:rsidP="006337EA">
            <w:pPr>
              <w:pStyle w:val="TableText"/>
            </w:pPr>
          </w:p>
          <w:p w14:paraId="58F8CD4D" w14:textId="6CBDB9E9" w:rsidR="006337EA" w:rsidRPr="00825A62" w:rsidRDefault="006337EA" w:rsidP="006337EA">
            <w:pPr>
              <w:pStyle w:val="TableText"/>
              <w:rPr>
                <w:b/>
                <w:bCs/>
                <w:szCs w:val="18"/>
              </w:rPr>
            </w:pPr>
            <w:r w:rsidRPr="00825A62">
              <w:rPr>
                <w:b/>
                <w:bCs/>
                <w:szCs w:val="18"/>
              </w:rPr>
              <w:t>NOTES</w:t>
            </w:r>
          </w:p>
          <w:p w14:paraId="5BE8E487" w14:textId="77777777" w:rsidR="006337EA" w:rsidRDefault="006337EA" w:rsidP="006337EA">
            <w:pPr>
              <w:pStyle w:val="NotesText"/>
            </w:pPr>
          </w:p>
          <w:p w14:paraId="1093FBEB" w14:textId="77777777" w:rsidR="006337EA" w:rsidRDefault="006337EA" w:rsidP="008D6DF2">
            <w:pPr>
              <w:pStyle w:val="NotesText"/>
            </w:pPr>
            <w:r>
              <w:t>“</w:t>
            </w:r>
            <w:r w:rsidRPr="006337EA">
              <w:t>Patient has no VBECS records at the re</w:t>
            </w:r>
            <w:r>
              <w:t>ceipt of the merge message” d</w:t>
            </w:r>
            <w:r w:rsidRPr="006337EA">
              <w:t xml:space="preserve">isplays when </w:t>
            </w:r>
            <w:r>
              <w:t xml:space="preserve">the </w:t>
            </w:r>
            <w:r w:rsidRPr="006337EA">
              <w:t xml:space="preserve">merge-from </w:t>
            </w:r>
            <w:r w:rsidR="008D6DF2">
              <w:t>or merge-</w:t>
            </w:r>
            <w:r>
              <w:t xml:space="preserve">to </w:t>
            </w:r>
            <w:r w:rsidRPr="006337EA">
              <w:t xml:space="preserve">patient </w:t>
            </w:r>
            <w:r w:rsidR="008D6DF2">
              <w:t>is</w:t>
            </w:r>
            <w:r w:rsidRPr="006337EA">
              <w:t xml:space="preserve"> not found in VBECS</w:t>
            </w:r>
            <w:r w:rsidR="008D6DF2">
              <w:t>.</w:t>
            </w:r>
          </w:p>
        </w:tc>
      </w:tr>
      <w:tr w:rsidR="007A00DE" w14:paraId="7AF54783" w14:textId="77777777" w:rsidTr="003362FE">
        <w:trPr>
          <w:cantSplit/>
        </w:trPr>
        <w:tc>
          <w:tcPr>
            <w:tcW w:w="3240" w:type="dxa"/>
          </w:tcPr>
          <w:p w14:paraId="2160508D" w14:textId="77777777" w:rsidR="007A00DE" w:rsidRDefault="007A00DE" w:rsidP="007A00DE">
            <w:pPr>
              <w:pStyle w:val="TableTextNumbers"/>
              <w:numPr>
                <w:ilvl w:val="0"/>
                <w:numId w:val="0"/>
              </w:numPr>
            </w:pPr>
            <w:r>
              <w:lastRenderedPageBreak/>
              <w:t>Merge-to Patients</w:t>
            </w:r>
          </w:p>
          <w:p w14:paraId="06FEEB85" w14:textId="77777777" w:rsidR="007A00DE" w:rsidRDefault="007A00DE" w:rsidP="007A00DE">
            <w:pPr>
              <w:pStyle w:val="TableTextNumbers"/>
              <w:numPr>
                <w:ilvl w:val="0"/>
                <w:numId w:val="0"/>
              </w:numPr>
            </w:pPr>
          </w:p>
          <w:p w14:paraId="7C9E0CED" w14:textId="77777777" w:rsidR="007A00DE" w:rsidRDefault="007A00DE" w:rsidP="007A00DE">
            <w:pPr>
              <w:pStyle w:val="TableTextNumbers"/>
            </w:pPr>
            <w:r>
              <w:t>Update the merge-to patient record to include SIs and TRs from the merge-from patient record.</w:t>
            </w:r>
          </w:p>
          <w:p w14:paraId="5662E877" w14:textId="77777777" w:rsidR="007A00DE" w:rsidRDefault="007A00DE" w:rsidP="007A00DE">
            <w:pPr>
              <w:pStyle w:val="TableTextNumbersContinued"/>
            </w:pPr>
          </w:p>
          <w:p w14:paraId="2B7D0D8D" w14:textId="77777777" w:rsidR="007A00DE" w:rsidRDefault="007A00DE" w:rsidP="007A00DE">
            <w:pPr>
              <w:pStyle w:val="TableTextNumbersContinued"/>
            </w:pPr>
            <w:r>
              <w:t>Insert a comment in the Special Instruction field to note that a merge occurred.</w:t>
            </w:r>
          </w:p>
        </w:tc>
        <w:tc>
          <w:tcPr>
            <w:tcW w:w="6120" w:type="dxa"/>
          </w:tcPr>
          <w:p w14:paraId="777D9869" w14:textId="77777777" w:rsidR="007A00DE" w:rsidRPr="00935E73" w:rsidRDefault="007A00DE" w:rsidP="00825A62">
            <w:pPr>
              <w:pStyle w:val="TableText"/>
            </w:pPr>
          </w:p>
          <w:p w14:paraId="284CEB35" w14:textId="459218A7" w:rsidR="007A00DE" w:rsidRPr="00825A62" w:rsidRDefault="007A00DE" w:rsidP="00825A62">
            <w:pPr>
              <w:pStyle w:val="TableText"/>
              <w:rPr>
                <w:b/>
                <w:bCs/>
                <w:szCs w:val="18"/>
              </w:rPr>
            </w:pPr>
            <w:r w:rsidRPr="00825A62">
              <w:rPr>
                <w:b/>
                <w:bCs/>
                <w:szCs w:val="18"/>
              </w:rPr>
              <w:t>NOTES</w:t>
            </w:r>
          </w:p>
          <w:p w14:paraId="29E81BDC" w14:textId="77777777" w:rsidR="007A00DE" w:rsidRDefault="007A00DE" w:rsidP="00825A62">
            <w:pPr>
              <w:pStyle w:val="NotesText"/>
            </w:pPr>
          </w:p>
          <w:p w14:paraId="488184F6" w14:textId="77777777" w:rsidR="00BC7A6E" w:rsidRDefault="00DB201F" w:rsidP="00BC7A6E">
            <w:pPr>
              <w:pStyle w:val="TableTextBullet"/>
              <w:numPr>
                <w:ilvl w:val="0"/>
                <w:numId w:val="0"/>
              </w:numPr>
              <w:ind w:left="720"/>
            </w:pPr>
            <w:r>
              <w:t>A user c</w:t>
            </w:r>
            <w:r w:rsidR="00BC7A6E">
              <w:t>annot update SIs or TRs if the merge to patient does not have a VBECS record.</w:t>
            </w:r>
          </w:p>
          <w:p w14:paraId="2BD6BA7E" w14:textId="77777777" w:rsidR="00BC7A6E" w:rsidRDefault="00BC7A6E" w:rsidP="00825A62">
            <w:pPr>
              <w:pStyle w:val="NotesText"/>
            </w:pPr>
          </w:p>
          <w:p w14:paraId="67BD478B" w14:textId="77777777" w:rsidR="00825A62" w:rsidRDefault="00825A62" w:rsidP="00825A62">
            <w:pPr>
              <w:pStyle w:val="NotesText"/>
            </w:pPr>
            <w:r>
              <w:t>Local policy must define how to handle records when the merge to patient does not exist in VBECS.</w:t>
            </w:r>
          </w:p>
          <w:p w14:paraId="636E7C2E" w14:textId="77777777" w:rsidR="00825A62" w:rsidRDefault="00825A62" w:rsidP="00825A62">
            <w:pPr>
              <w:pStyle w:val="NotesText"/>
            </w:pPr>
          </w:p>
          <w:p w14:paraId="209EE500" w14:textId="77777777" w:rsidR="007A00DE" w:rsidRDefault="007A00DE" w:rsidP="00825A62">
            <w:pPr>
              <w:pStyle w:val="NotesText"/>
            </w:pPr>
            <w:r>
              <w:t>The merge-to patient record is the active record in VBECS.</w:t>
            </w:r>
          </w:p>
          <w:p w14:paraId="0AC4073F" w14:textId="77777777" w:rsidR="007A00DE" w:rsidRDefault="007A00DE" w:rsidP="00825A62">
            <w:pPr>
              <w:pStyle w:val="NotesText"/>
            </w:pPr>
          </w:p>
          <w:p w14:paraId="1D56B1FD" w14:textId="77777777" w:rsidR="007A00DE" w:rsidRDefault="007A00DE" w:rsidP="00825A62">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21F6EFEF" w14:textId="77777777" w:rsidR="007A00DE" w:rsidRDefault="007A00DE" w:rsidP="00825A62">
            <w:pPr>
              <w:pStyle w:val="NotesText"/>
            </w:pPr>
          </w:p>
          <w:p w14:paraId="195F6012" w14:textId="77777777" w:rsidR="007A00DE" w:rsidRDefault="007A00DE" w:rsidP="00825A62">
            <w:pPr>
              <w:pStyle w:val="NotesText"/>
            </w:pPr>
            <w:r>
              <w:t>Enter an SI comment in the merge-to patient record, for example, “This patient record was merged with &lt;</w:t>
            </w:r>
            <w:r w:rsidRPr="00825A62">
              <w:rPr>
                <w:i/>
              </w:rPr>
              <w:t>insert merge-from patient name</w:t>
            </w:r>
            <w:r w:rsidRPr="000F2898">
              <w:t>&gt;</w:t>
            </w:r>
            <w:r>
              <w:t xml:space="preserve"> in VistA and is used to process orders after &lt;</w:t>
            </w:r>
            <w:r w:rsidRPr="00825A62">
              <w:rPr>
                <w:i/>
              </w:rPr>
              <w:t>insert merge date and time</w:t>
            </w:r>
            <w:r w:rsidRPr="000F2898">
              <w:t>&gt;</w:t>
            </w:r>
            <w:r>
              <w:t>. Refer to the records of &lt;</w:t>
            </w:r>
            <w:r w:rsidRPr="00825A62">
              <w:rPr>
                <w:i/>
              </w:rPr>
              <w:t>insert merge-from patient name</w:t>
            </w:r>
            <w:r w:rsidRPr="000F2898">
              <w:t>&gt;</w:t>
            </w:r>
            <w:r>
              <w:t xml:space="preserve"> for testing and transfusion information prior to the merge event.”</w:t>
            </w:r>
          </w:p>
        </w:tc>
      </w:tr>
      <w:tr w:rsidR="007A00DE" w14:paraId="249F9DA4" w14:textId="77777777">
        <w:tc>
          <w:tcPr>
            <w:tcW w:w="3240" w:type="dxa"/>
          </w:tcPr>
          <w:p w14:paraId="2EC5568A" w14:textId="77777777" w:rsidR="007A00DE" w:rsidRDefault="007A00DE" w:rsidP="007A00DE">
            <w:pPr>
              <w:pStyle w:val="TableTextNumbers"/>
            </w:pPr>
            <w:r>
              <w:t xml:space="preserve">Resolve ABO/Rh discrepancies among patients. </w:t>
            </w:r>
          </w:p>
          <w:p w14:paraId="6395BFFA" w14:textId="77777777" w:rsidR="007A00DE" w:rsidRDefault="007A00DE" w:rsidP="007A00DE">
            <w:pPr>
              <w:pStyle w:val="TableTextNumbersContinued"/>
            </w:pPr>
          </w:p>
          <w:p w14:paraId="02F2BD7B" w14:textId="77777777" w:rsidR="007A00DE" w:rsidRDefault="007A00DE" w:rsidP="007A00DE">
            <w:pPr>
              <w:pStyle w:val="TableTextNumbersContinued"/>
            </w:pPr>
            <w:r>
              <w:t>Determine which blood type is correct for use</w:t>
            </w:r>
            <w:r>
              <w:rPr>
                <w:rStyle w:val="CommentReference"/>
              </w:rPr>
              <w:t>.</w:t>
            </w:r>
          </w:p>
        </w:tc>
        <w:tc>
          <w:tcPr>
            <w:tcW w:w="6120" w:type="dxa"/>
          </w:tcPr>
          <w:p w14:paraId="355BBB20" w14:textId="77777777" w:rsidR="007A00DE" w:rsidRPr="00935E73" w:rsidRDefault="007A00DE" w:rsidP="007A00DE">
            <w:pPr>
              <w:pStyle w:val="TableText"/>
            </w:pPr>
          </w:p>
          <w:p w14:paraId="1B26913F" w14:textId="10C8A5FF" w:rsidR="007A00DE" w:rsidRDefault="007A00DE" w:rsidP="007A00DE">
            <w:pPr>
              <w:pStyle w:val="TableText"/>
              <w:rPr>
                <w:b/>
                <w:bCs/>
                <w:szCs w:val="18"/>
              </w:rPr>
            </w:pPr>
            <w:r>
              <w:rPr>
                <w:b/>
                <w:bCs/>
                <w:szCs w:val="18"/>
              </w:rPr>
              <w:t>NOTES</w:t>
            </w:r>
          </w:p>
          <w:p w14:paraId="319EE778" w14:textId="77777777" w:rsidR="007A00DE" w:rsidRDefault="007A00DE" w:rsidP="007A00DE">
            <w:pPr>
              <w:pStyle w:val="NotesText"/>
            </w:pPr>
          </w:p>
          <w:p w14:paraId="3822A84F" w14:textId="77777777" w:rsidR="007A00DE" w:rsidRDefault="007A00DE" w:rsidP="007A00DE">
            <w:pPr>
              <w:pStyle w:val="NotesText"/>
            </w:pPr>
            <w:r>
              <w:t>Use Justify ABO/Rh Change to finalize blood type changes for the merge-to patient.</w:t>
            </w:r>
          </w:p>
        </w:tc>
      </w:tr>
      <w:tr w:rsidR="007A00DE" w14:paraId="47312D81" w14:textId="77777777">
        <w:tc>
          <w:tcPr>
            <w:tcW w:w="3240" w:type="dxa"/>
          </w:tcPr>
          <w:p w14:paraId="1A6F663C" w14:textId="77777777" w:rsidR="007A00DE" w:rsidRDefault="007A00DE" w:rsidP="007A00DE">
            <w:pPr>
              <w:pStyle w:val="TableTextNumbers"/>
            </w:pPr>
            <w:r>
              <w:t>Complete pending orders for the merge-to patient.</w:t>
            </w:r>
          </w:p>
        </w:tc>
        <w:tc>
          <w:tcPr>
            <w:tcW w:w="6120" w:type="dxa"/>
          </w:tcPr>
          <w:p w14:paraId="3EB1D47A" w14:textId="77777777" w:rsidR="007A00DE" w:rsidRDefault="007A00DE" w:rsidP="007A00DE">
            <w:pPr>
              <w:pStyle w:val="TableText"/>
            </w:pPr>
          </w:p>
        </w:tc>
      </w:tr>
      <w:tr w:rsidR="007A00DE" w14:paraId="2550339B" w14:textId="77777777">
        <w:tc>
          <w:tcPr>
            <w:tcW w:w="3240" w:type="dxa"/>
          </w:tcPr>
          <w:p w14:paraId="44AB77E4" w14:textId="77777777" w:rsidR="007A00DE" w:rsidRDefault="007A00DE" w:rsidP="007A00DE">
            <w:pPr>
              <w:pStyle w:val="TableTextNumbers"/>
              <w:numPr>
                <w:ilvl w:val="0"/>
                <w:numId w:val="0"/>
              </w:numPr>
            </w:pPr>
            <w:r>
              <w:t>Merge-from Patients</w:t>
            </w:r>
          </w:p>
          <w:p w14:paraId="0123515B" w14:textId="77777777" w:rsidR="007A00DE" w:rsidRDefault="007A00DE" w:rsidP="007A00DE">
            <w:pPr>
              <w:pStyle w:val="TableTextNumbers"/>
              <w:numPr>
                <w:ilvl w:val="0"/>
                <w:numId w:val="0"/>
              </w:numPr>
            </w:pPr>
          </w:p>
          <w:p w14:paraId="42F4B646" w14:textId="77777777" w:rsidR="007A00DE" w:rsidRDefault="007A00DE" w:rsidP="007A00DE">
            <w:pPr>
              <w:pStyle w:val="TableTextNumbers"/>
            </w:pPr>
            <w:r>
              <w:t>Update the merge-from patient record to include SIs and TRs from the merge-to patient record</w:t>
            </w:r>
          </w:p>
          <w:p w14:paraId="41016755" w14:textId="77777777" w:rsidR="007A00DE" w:rsidRDefault="007A00DE" w:rsidP="007A00DE">
            <w:pPr>
              <w:pStyle w:val="TableTextNumbersContinued"/>
            </w:pPr>
          </w:p>
          <w:p w14:paraId="6DE60D41" w14:textId="77777777" w:rsidR="007A00DE" w:rsidRDefault="007A00DE" w:rsidP="007A00DE">
            <w:pPr>
              <w:pStyle w:val="TableTextNumbersContinued"/>
            </w:pPr>
            <w:r>
              <w:t>Insert a comment in the Special Instruction field to note that a merge occurred.</w:t>
            </w:r>
          </w:p>
        </w:tc>
        <w:tc>
          <w:tcPr>
            <w:tcW w:w="6120" w:type="dxa"/>
          </w:tcPr>
          <w:p w14:paraId="2D976D9A" w14:textId="77777777" w:rsidR="007A00DE" w:rsidRPr="00935E73" w:rsidRDefault="007A00DE" w:rsidP="007A00DE">
            <w:pPr>
              <w:pStyle w:val="TableText"/>
            </w:pPr>
          </w:p>
          <w:p w14:paraId="25547182" w14:textId="7C94ED9E" w:rsidR="007A00DE" w:rsidRDefault="007A00DE" w:rsidP="007A00DE">
            <w:pPr>
              <w:pStyle w:val="TableText"/>
              <w:rPr>
                <w:b/>
                <w:bCs/>
                <w:szCs w:val="18"/>
              </w:rPr>
            </w:pPr>
            <w:r>
              <w:rPr>
                <w:b/>
                <w:bCs/>
                <w:szCs w:val="18"/>
              </w:rPr>
              <w:t>NOTES</w:t>
            </w:r>
          </w:p>
          <w:p w14:paraId="3393436C" w14:textId="77777777" w:rsidR="00BC7A6E" w:rsidRDefault="00BC7A6E" w:rsidP="00BC7A6E">
            <w:pPr>
              <w:pStyle w:val="TableTextBullet"/>
              <w:numPr>
                <w:ilvl w:val="0"/>
                <w:numId w:val="0"/>
              </w:numPr>
              <w:ind w:left="720"/>
            </w:pPr>
          </w:p>
          <w:p w14:paraId="338E4CBE" w14:textId="77777777" w:rsidR="00BC7A6E" w:rsidRDefault="00BC7A6E" w:rsidP="00BC7A6E">
            <w:pPr>
              <w:pStyle w:val="TableTextBullet"/>
              <w:numPr>
                <w:ilvl w:val="0"/>
                <w:numId w:val="0"/>
              </w:numPr>
              <w:ind w:left="720"/>
            </w:pPr>
            <w:r>
              <w:t>A user cannot update SIs or TRs if the merge from patient does not have a VBECS record.</w:t>
            </w:r>
          </w:p>
          <w:p w14:paraId="7522EBF0" w14:textId="77777777" w:rsidR="007A00DE" w:rsidRDefault="007A00DE" w:rsidP="007A00DE">
            <w:pPr>
              <w:pStyle w:val="NotesText"/>
            </w:pPr>
          </w:p>
          <w:p w14:paraId="57C24B00" w14:textId="77777777" w:rsidR="00BC7526" w:rsidRDefault="00BC7526" w:rsidP="00BC7526">
            <w:pPr>
              <w:pStyle w:val="NotesText"/>
            </w:pPr>
            <w:r>
              <w:t>Local policy must define how to handle records when the merge from patient does not exist in VBECS.</w:t>
            </w:r>
          </w:p>
          <w:p w14:paraId="53C41FBB" w14:textId="77777777" w:rsidR="00BC7526" w:rsidRDefault="00BC7526" w:rsidP="00BC7526">
            <w:pPr>
              <w:pStyle w:val="NotesText"/>
            </w:pPr>
          </w:p>
          <w:p w14:paraId="260235E2" w14:textId="77777777" w:rsidR="007A00DE" w:rsidRDefault="007A00DE" w:rsidP="007A00DE">
            <w:pPr>
              <w:pStyle w:val="NotesText"/>
            </w:pPr>
            <w:r>
              <w:t>The merge-from patient record is the inactive record in VBECS</w:t>
            </w:r>
            <w:r w:rsidR="00B75ABB">
              <w:t>.</w:t>
            </w:r>
          </w:p>
          <w:p w14:paraId="3DD9D6A0" w14:textId="77777777" w:rsidR="007A00DE" w:rsidRDefault="007A00DE" w:rsidP="007A00DE">
            <w:pPr>
              <w:pStyle w:val="NotesText"/>
            </w:pPr>
          </w:p>
          <w:p w14:paraId="690B8274" w14:textId="77777777" w:rsidR="007A00DE" w:rsidRDefault="007A00DE" w:rsidP="007A00DE">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79987D2B" w14:textId="77777777" w:rsidR="007A00DE" w:rsidRDefault="007A00DE" w:rsidP="007A00DE">
            <w:pPr>
              <w:pStyle w:val="NotesText"/>
            </w:pPr>
          </w:p>
          <w:p w14:paraId="6A06E370" w14:textId="77777777" w:rsidR="007A00DE" w:rsidRDefault="007A00DE" w:rsidP="007A00DE">
            <w:pPr>
              <w:pStyle w:val="NotesText"/>
            </w:pPr>
            <w:r>
              <w:t>Enter an SI comment in the merge-from patient record, for example, “This patient record was merged with &lt;</w:t>
            </w:r>
            <w:r w:rsidRPr="000F2898">
              <w:rPr>
                <w:i/>
              </w:rPr>
              <w:t>insert merge-</w:t>
            </w:r>
            <w:r>
              <w:rPr>
                <w:i/>
              </w:rPr>
              <w:t>to</w:t>
            </w:r>
            <w:r w:rsidRPr="000F2898">
              <w:rPr>
                <w:i/>
              </w:rPr>
              <w:t xml:space="preserve"> patient name</w:t>
            </w:r>
            <w:r w:rsidRPr="000F2898">
              <w:t>&gt;</w:t>
            </w:r>
            <w:r>
              <w:t xml:space="preserve"> in VistA and must not be used to process orders after &lt;</w:t>
            </w:r>
            <w:r w:rsidRPr="000F2898">
              <w:rPr>
                <w:i/>
              </w:rPr>
              <w:t>insert merge date</w:t>
            </w:r>
            <w:r>
              <w:rPr>
                <w:i/>
              </w:rPr>
              <w:t xml:space="preserve"> and </w:t>
            </w:r>
            <w:r w:rsidRPr="000F2898">
              <w:rPr>
                <w:i/>
              </w:rPr>
              <w:t>time</w:t>
            </w:r>
            <w:r w:rsidRPr="000F2898">
              <w:t>&gt;</w:t>
            </w:r>
            <w:r>
              <w:t>. Refer to the records of &lt;</w:t>
            </w:r>
            <w:r w:rsidRPr="000F2898">
              <w:rPr>
                <w:i/>
              </w:rPr>
              <w:t>insert merge-</w:t>
            </w:r>
            <w:r>
              <w:rPr>
                <w:i/>
              </w:rPr>
              <w:t>to</w:t>
            </w:r>
            <w:r w:rsidRPr="000F2898">
              <w:rPr>
                <w:i/>
              </w:rPr>
              <w:t xml:space="preserve"> patient name</w:t>
            </w:r>
            <w:r w:rsidRPr="000F2898">
              <w:t>&gt;</w:t>
            </w:r>
            <w:r>
              <w:t xml:space="preserve"> for testing and transfusion information after the merge event.”</w:t>
            </w:r>
          </w:p>
        </w:tc>
      </w:tr>
      <w:tr w:rsidR="00BC7526" w14:paraId="0CBE4C21" w14:textId="77777777" w:rsidTr="003362FE">
        <w:trPr>
          <w:cantSplit/>
        </w:trPr>
        <w:tc>
          <w:tcPr>
            <w:tcW w:w="3240" w:type="dxa"/>
          </w:tcPr>
          <w:p w14:paraId="10D874B6" w14:textId="77777777" w:rsidR="00BC7526" w:rsidRDefault="00BC7526" w:rsidP="007A00DE">
            <w:pPr>
              <w:pStyle w:val="TableTextNumbers"/>
            </w:pPr>
            <w:r>
              <w:lastRenderedPageBreak/>
              <w:t>Cancel pending orders on the merge-from patient. Request replacement orders for the merge-to patient, as appropriate.</w:t>
            </w:r>
          </w:p>
        </w:tc>
        <w:tc>
          <w:tcPr>
            <w:tcW w:w="6120" w:type="dxa"/>
          </w:tcPr>
          <w:p w14:paraId="5B0234D2" w14:textId="77777777" w:rsidR="00BC7526" w:rsidRPr="00935E73" w:rsidRDefault="00BC7526" w:rsidP="000305DD">
            <w:pPr>
              <w:pStyle w:val="TableText"/>
            </w:pPr>
          </w:p>
          <w:p w14:paraId="7EB139CC" w14:textId="786CB943" w:rsidR="00BC7526" w:rsidRDefault="00BC7526" w:rsidP="000305DD">
            <w:pPr>
              <w:pStyle w:val="TableText"/>
              <w:rPr>
                <w:b/>
                <w:bCs/>
                <w:szCs w:val="18"/>
              </w:rPr>
            </w:pPr>
            <w:r>
              <w:rPr>
                <w:b/>
                <w:bCs/>
                <w:szCs w:val="18"/>
              </w:rPr>
              <w:t>NOTES</w:t>
            </w:r>
          </w:p>
          <w:p w14:paraId="70033B52" w14:textId="77777777" w:rsidR="00BC7526" w:rsidRDefault="00BC7526" w:rsidP="000305DD">
            <w:pPr>
              <w:pStyle w:val="NotesText"/>
            </w:pPr>
          </w:p>
          <w:p w14:paraId="4707AE80" w14:textId="77777777" w:rsidR="00BC7526" w:rsidRDefault="00BC7526" w:rsidP="00BC7526">
            <w:pPr>
              <w:pStyle w:val="NotesText"/>
            </w:pPr>
            <w:r>
              <w:t>Local policy must define how to handle orders when the merge from patient or merge to patient does not exist in VBECS.</w:t>
            </w:r>
          </w:p>
        </w:tc>
      </w:tr>
      <w:tr w:rsidR="00BC7526" w14:paraId="2E773B71" w14:textId="77777777">
        <w:tc>
          <w:tcPr>
            <w:tcW w:w="3240" w:type="dxa"/>
          </w:tcPr>
          <w:p w14:paraId="7B7B497A" w14:textId="77777777" w:rsidR="00BC7526" w:rsidRDefault="00BC7526" w:rsidP="007A00DE">
            <w:pPr>
              <w:pStyle w:val="TableTextNumbers"/>
            </w:pPr>
            <w:r>
              <w:t xml:space="preserve">To confirm that the merge-from and merge-to patient SIs and TRs match on the </w:t>
            </w:r>
            <w:r w:rsidRPr="00732440">
              <w:t>Patient Merge</w:t>
            </w:r>
            <w:r>
              <w:t xml:space="preserve"> display.</w:t>
            </w:r>
          </w:p>
        </w:tc>
        <w:tc>
          <w:tcPr>
            <w:tcW w:w="6120" w:type="dxa"/>
          </w:tcPr>
          <w:p w14:paraId="43BED611" w14:textId="77777777" w:rsidR="00BC7526" w:rsidRPr="00935E73" w:rsidRDefault="00BC7526" w:rsidP="000305DD">
            <w:pPr>
              <w:pStyle w:val="TableText"/>
            </w:pPr>
          </w:p>
          <w:p w14:paraId="0B2710B0" w14:textId="7E0C2AB5" w:rsidR="00BC7526" w:rsidRDefault="00BC7526" w:rsidP="000305DD">
            <w:pPr>
              <w:pStyle w:val="TableText"/>
              <w:rPr>
                <w:b/>
                <w:bCs/>
                <w:szCs w:val="18"/>
              </w:rPr>
            </w:pPr>
            <w:r>
              <w:rPr>
                <w:b/>
                <w:bCs/>
                <w:szCs w:val="18"/>
              </w:rPr>
              <w:t>NOTES</w:t>
            </w:r>
          </w:p>
          <w:p w14:paraId="74B7E07D" w14:textId="77777777" w:rsidR="00BC7526" w:rsidRDefault="00BC7526" w:rsidP="000305DD">
            <w:pPr>
              <w:pStyle w:val="NotesText"/>
            </w:pPr>
          </w:p>
          <w:p w14:paraId="4D2C1039" w14:textId="77777777" w:rsidR="00BC7526" w:rsidRDefault="00BC7526" w:rsidP="00BC7526">
            <w:pPr>
              <w:pStyle w:val="NotesText"/>
            </w:pPr>
            <w:r>
              <w:t>Local policy must define how to handle records when the merge from patient or merge to patient does not exist in VBECS.</w:t>
            </w:r>
          </w:p>
        </w:tc>
      </w:tr>
      <w:tr w:rsidR="00B473F5" w14:paraId="38B3D613" w14:textId="77777777" w:rsidTr="003362FE">
        <w:trPr>
          <w:cantSplit/>
          <w:hidden/>
        </w:trPr>
        <w:tc>
          <w:tcPr>
            <w:tcW w:w="3240" w:type="dxa"/>
          </w:tcPr>
          <w:p w14:paraId="2F3024A2" w14:textId="77777777" w:rsidR="00B473F5" w:rsidRDefault="00203F78" w:rsidP="000C6CEA">
            <w:pPr>
              <w:pStyle w:val="TableTextNumbers"/>
            </w:pPr>
            <w:r w:rsidRPr="00203F78">
              <w:rPr>
                <w:vanish/>
              </w:rPr>
              <w:t xml:space="preserve">DR 2,527 </w:t>
            </w:r>
            <w:r>
              <w:t xml:space="preserve">Click </w:t>
            </w:r>
            <w:r w:rsidRPr="00203F78">
              <w:rPr>
                <w:b/>
              </w:rPr>
              <w:t>Clear Patient Merge Alert</w:t>
            </w:r>
            <w:r w:rsidRPr="00203F78">
              <w:t>.</w:t>
            </w:r>
          </w:p>
        </w:tc>
        <w:tc>
          <w:tcPr>
            <w:tcW w:w="6120" w:type="dxa"/>
          </w:tcPr>
          <w:p w14:paraId="64FA38BC" w14:textId="77777777" w:rsidR="00B473F5" w:rsidRDefault="00BC4B7B" w:rsidP="00203F78">
            <w:pPr>
              <w:pStyle w:val="TableTextBullet"/>
            </w:pPr>
            <w:r>
              <w:t>When there are no pending patient updates, c</w:t>
            </w:r>
            <w:r w:rsidR="00203F78">
              <w:t>lears</w:t>
            </w:r>
            <w:r w:rsidR="00AB565A">
              <w:t xml:space="preserve"> </w:t>
            </w:r>
            <w:r w:rsidR="00057948">
              <w:rPr>
                <w:noProof/>
              </w:rPr>
              <w:drawing>
                <wp:inline distT="0" distB="0" distL="0" distR="0" wp14:anchorId="423C076D" wp14:editId="70398E80">
                  <wp:extent cx="166370" cy="156845"/>
                  <wp:effectExtent l="0" t="0" r="5080" b="0"/>
                  <wp:docPr id="234" name="Picture 234"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w:t>
            </w:r>
            <w:r w:rsidR="00203F78">
              <w:t xml:space="preserve">the </w:t>
            </w:r>
            <w:r>
              <w:t>Patient</w:t>
            </w:r>
            <w:r w:rsidR="00203F78">
              <w:t xml:space="preserve"> Alert icon</w:t>
            </w:r>
            <w:r>
              <w:t>) from the main status bar.</w:t>
            </w:r>
          </w:p>
          <w:p w14:paraId="6E5F74FD" w14:textId="77777777" w:rsidR="005E0771" w:rsidRDefault="005E0771" w:rsidP="00203F78">
            <w:pPr>
              <w:pStyle w:val="TableTextBullet"/>
            </w:pPr>
            <w:r>
              <w:t xml:space="preserve">Displays </w:t>
            </w:r>
            <w:r w:rsidR="00342230">
              <w:t xml:space="preserve">an information message stating that the user viewed the record. </w:t>
            </w:r>
          </w:p>
          <w:p w14:paraId="5F17EEF1" w14:textId="77777777" w:rsidR="000B0170" w:rsidRPr="00935E73" w:rsidRDefault="000B0170" w:rsidP="000B0170">
            <w:pPr>
              <w:pStyle w:val="TableText"/>
            </w:pPr>
          </w:p>
          <w:p w14:paraId="34367615" w14:textId="33CF6D32" w:rsidR="000B0170" w:rsidRDefault="000B0170" w:rsidP="000B0170">
            <w:pPr>
              <w:pStyle w:val="TableText"/>
              <w:rPr>
                <w:b/>
                <w:bCs/>
                <w:szCs w:val="18"/>
              </w:rPr>
            </w:pPr>
            <w:r>
              <w:rPr>
                <w:b/>
                <w:bCs/>
                <w:szCs w:val="18"/>
              </w:rPr>
              <w:t>NOTES</w:t>
            </w:r>
          </w:p>
          <w:p w14:paraId="285CD800" w14:textId="77777777" w:rsidR="000B0170" w:rsidRDefault="000B0170" w:rsidP="000B0170">
            <w:pPr>
              <w:pStyle w:val="NotesText"/>
            </w:pPr>
          </w:p>
          <w:p w14:paraId="0CD73FB6" w14:textId="77777777" w:rsidR="000B0170" w:rsidRDefault="000B0170" w:rsidP="000B0170">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D3287">
              <w:t>The Clear Patient Merge Alert function is available only to t</w:t>
            </w:r>
            <w:r>
              <w:t xml:space="preserve">he Traditional Supervisor </w:t>
            </w:r>
            <w:r w:rsidR="00BD3287">
              <w:t>and above</w:t>
            </w:r>
            <w:r w:rsidR="00D57F25">
              <w:t>.</w:t>
            </w:r>
          </w:p>
        </w:tc>
      </w:tr>
      <w:tr w:rsidR="00342230" w14:paraId="486008EE" w14:textId="77777777">
        <w:tc>
          <w:tcPr>
            <w:tcW w:w="3240" w:type="dxa"/>
          </w:tcPr>
          <w:p w14:paraId="66287024" w14:textId="77777777" w:rsidR="00342230" w:rsidRPr="00203F78" w:rsidRDefault="00342230" w:rsidP="000C6CEA">
            <w:pPr>
              <w:pStyle w:val="TableTextNumbers"/>
              <w:rPr>
                <w:vanish/>
              </w:rPr>
            </w:pPr>
            <w:r>
              <w:t xml:space="preserve">Click </w:t>
            </w:r>
            <w:r w:rsidRPr="00342230">
              <w:rPr>
                <w:b/>
              </w:rPr>
              <w:t>OK</w:t>
            </w:r>
            <w:r>
              <w:t xml:space="preserve"> to acknowledge the message.</w:t>
            </w:r>
          </w:p>
        </w:tc>
        <w:tc>
          <w:tcPr>
            <w:tcW w:w="6120" w:type="dxa"/>
          </w:tcPr>
          <w:p w14:paraId="3862FBBB" w14:textId="77777777" w:rsidR="00342230" w:rsidRDefault="00342230" w:rsidP="00203F78">
            <w:pPr>
              <w:pStyle w:val="TableTextBullet"/>
            </w:pPr>
            <w:r>
              <w:t>Clears the icon</w:t>
            </w:r>
            <w:r w:rsidR="00A1063F">
              <w:t xml:space="preserve"> when the user acknowledges the</w:t>
            </w:r>
            <w:r>
              <w:t xml:space="preserve"> message.</w:t>
            </w:r>
          </w:p>
        </w:tc>
      </w:tr>
      <w:tr w:rsidR="007A00DE" w14:paraId="3F89C5A7" w14:textId="77777777">
        <w:tc>
          <w:tcPr>
            <w:tcW w:w="3240" w:type="dxa"/>
          </w:tcPr>
          <w:p w14:paraId="27435DB1" w14:textId="77777777" w:rsidR="007A00DE" w:rsidRDefault="007A00DE" w:rsidP="007A00DE">
            <w:pPr>
              <w:pStyle w:val="TableTextNumbers"/>
            </w:pPr>
            <w:r>
              <w:t xml:space="preserve">Click </w:t>
            </w:r>
            <w:r w:rsidR="00D76C47">
              <w:rPr>
                <w:b/>
              </w:rPr>
              <w:t>Close</w:t>
            </w:r>
            <w:r w:rsidR="00D76C47">
              <w:t xml:space="preserve"> </w:t>
            </w:r>
            <w:r>
              <w:t xml:space="preserve">to exit, or return to Step 2.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E6E10DD" w14:textId="77777777" w:rsidR="007A00DE" w:rsidRDefault="007A00DE" w:rsidP="007A00DE">
            <w:pPr>
              <w:pStyle w:val="TableText"/>
            </w:pPr>
          </w:p>
        </w:tc>
      </w:tr>
    </w:tbl>
    <w:p w14:paraId="23706991" w14:textId="426137A9" w:rsidR="00C74683" w:rsidRDefault="00C74683" w:rsidP="00C74683">
      <w:pPr>
        <w:pStyle w:val="Caption"/>
      </w:pPr>
      <w:bookmarkStart w:id="454" w:name="_Ref1367866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96</w:t>
      </w:r>
      <w:r w:rsidR="004E20BD">
        <w:rPr>
          <w:noProof/>
        </w:rPr>
        <w:fldChar w:fldCharType="end"/>
      </w:r>
      <w:bookmarkEnd w:id="453"/>
      <w:bookmarkEnd w:id="454"/>
      <w:r>
        <w:t>: Patient Merge</w:t>
      </w:r>
    </w:p>
    <w:p w14:paraId="2A8EA79C" w14:textId="77777777" w:rsidR="00C74683" w:rsidRDefault="00057948" w:rsidP="00C74683">
      <w:pPr>
        <w:pStyle w:val="BodyText"/>
      </w:pPr>
      <w:r>
        <w:rPr>
          <w:noProof/>
        </w:rPr>
        <w:drawing>
          <wp:inline distT="0" distB="0" distL="0" distR="0" wp14:anchorId="13E13685" wp14:editId="1A794835">
            <wp:extent cx="5781675" cy="3482340"/>
            <wp:effectExtent l="0" t="0" r="9525" b="3810"/>
            <wp:docPr id="235" name="Picture 235" descr="Example of Patient Merg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Example of Patient Merge screen captu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81675" cy="3482340"/>
                    </a:xfrm>
                    <a:prstGeom prst="rect">
                      <a:avLst/>
                    </a:prstGeom>
                    <a:noFill/>
                    <a:ln>
                      <a:noFill/>
                    </a:ln>
                  </pic:spPr>
                </pic:pic>
              </a:graphicData>
            </a:graphic>
          </wp:inline>
        </w:drawing>
      </w:r>
    </w:p>
    <w:p w14:paraId="3DC0CD89" w14:textId="77777777" w:rsidR="002A21AE" w:rsidRDefault="00AC2D9E">
      <w:pPr>
        <w:pStyle w:val="Heading3"/>
      </w:pPr>
      <w:r>
        <w:br w:type="page"/>
      </w:r>
      <w:bookmarkStart w:id="455" w:name="_Toc163644947"/>
      <w:r w:rsidR="002A21AE">
        <w:lastRenderedPageBreak/>
        <w:t>Updated Patients and Deceased Patients</w:t>
      </w:r>
      <w:bookmarkEnd w:id="455"/>
      <w:r w:rsidR="002A21AE">
        <w:fldChar w:fldCharType="begin"/>
      </w:r>
      <w:r w:rsidR="002A21AE">
        <w:instrText xml:space="preserve"> XE </w:instrText>
      </w:r>
      <w:r w:rsidR="00FA7E65">
        <w:instrText>“</w:instrText>
      </w:r>
      <w:r w:rsidR="002A21AE">
        <w:instrText>Updated Patients and Deceased Patients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UC_68</w:t>
      </w:r>
    </w:p>
    <w:p w14:paraId="2899CDA6" w14:textId="77777777" w:rsidR="002A21AE" w:rsidRDefault="002A21AE" w:rsidP="00FA7E65">
      <w:pPr>
        <w:pStyle w:val="BodyText"/>
      </w:pPr>
      <w:r>
        <w:rPr>
          <w:rFonts w:ascii="Arial" w:hAnsi="Arial" w:cs="Arial"/>
          <w:vanish/>
          <w:sz w:val="18"/>
        </w:rPr>
        <w:t xml:space="preserve">BR_68.02 </w:t>
      </w:r>
      <w:r>
        <w:t xml:space="preserve">The user views </w:t>
      </w:r>
      <w:r w:rsidR="000350E5">
        <w:t xml:space="preserve">patient </w:t>
      </w:r>
      <w:r>
        <w:t>update</w:t>
      </w:r>
      <w:r w:rsidR="00401847">
        <w:t>s</w:t>
      </w:r>
      <w:r>
        <w:t xml:space="preserve"> </w:t>
      </w:r>
      <w:r w:rsidR="00086F22">
        <w:t xml:space="preserve">and </w:t>
      </w:r>
      <w:r>
        <w:t>death events for patients with pending or active orders in VBECS.</w:t>
      </w:r>
    </w:p>
    <w:p w14:paraId="2F731AB8" w14:textId="77777777" w:rsidR="002A21AE" w:rsidRDefault="002A21AE">
      <w:pPr>
        <w:pStyle w:val="Heading4"/>
      </w:pPr>
      <w:r>
        <w:t>Assumptions</w:t>
      </w:r>
      <w:r>
        <w:rPr>
          <w:b w:val="0"/>
        </w:rPr>
        <w:t xml:space="preserve"> </w:t>
      </w:r>
    </w:p>
    <w:p w14:paraId="6DD4CE45" w14:textId="5FB9D56F" w:rsidR="00422796" w:rsidRPr="00422796" w:rsidRDefault="00422796" w:rsidP="00422796">
      <w:pPr>
        <w:pStyle w:val="ListBullet"/>
      </w:pPr>
      <w:r w:rsidRPr="00422796">
        <w:t xml:space="preserve">The connection to </w:t>
      </w:r>
      <w:r w:rsidRPr="00422796">
        <w:rPr>
          <w:bCs/>
        </w:rPr>
        <w:t>VistA</w:t>
      </w:r>
      <w:r w:rsidRPr="00422796">
        <w:t xml:space="preserve"> is active.</w:t>
      </w:r>
      <w:r w:rsidR="00E459C6">
        <w:t xml:space="preserve">   </w:t>
      </w:r>
    </w:p>
    <w:p w14:paraId="17FA2D92" w14:textId="77777777" w:rsidR="00422796" w:rsidRDefault="00422796" w:rsidP="00422796">
      <w:pPr>
        <w:pStyle w:val="ListBullet"/>
      </w:pPr>
      <w:r>
        <w:t xml:space="preserve">The patient record was updated in </w:t>
      </w:r>
      <w:r w:rsidRPr="00CA6E27">
        <w:rPr>
          <w:bCs/>
        </w:rPr>
        <w:t>VistA</w:t>
      </w:r>
      <w:r>
        <w:t>.</w:t>
      </w:r>
    </w:p>
    <w:p w14:paraId="73B3014B" w14:textId="77777777" w:rsidR="002A21AE" w:rsidRDefault="002A21AE">
      <w:pPr>
        <w:pStyle w:val="ListBullet"/>
      </w:pPr>
      <w:r>
        <w:t xml:space="preserve">VBECS received a message </w:t>
      </w:r>
      <w:r w:rsidR="00086F22">
        <w:t xml:space="preserve">from VistA </w:t>
      </w:r>
      <w:r>
        <w:t>about a patient record update or death.</w:t>
      </w:r>
    </w:p>
    <w:p w14:paraId="3545907C" w14:textId="77777777" w:rsidR="002A21AE" w:rsidRDefault="002A21AE">
      <w:pPr>
        <w:pStyle w:val="ListBullet"/>
      </w:pPr>
      <w:r>
        <w:t>The affected patient’s records are in the VBECS database.</w:t>
      </w:r>
    </w:p>
    <w:p w14:paraId="48C4B0CD" w14:textId="77777777" w:rsidR="002A21AE" w:rsidRDefault="002A21AE">
      <w:pPr>
        <w:pStyle w:val="ListBullet"/>
      </w:pPr>
      <w:r>
        <w:t>The affected patient has a pending or active order in VBECS for update</w:t>
      </w:r>
      <w:r w:rsidR="00E413E2">
        <w:t>s</w:t>
      </w:r>
      <w:r>
        <w:t xml:space="preserve"> and/or death event.</w:t>
      </w:r>
    </w:p>
    <w:p w14:paraId="3CBF7473" w14:textId="77777777" w:rsidR="002A21AE" w:rsidRDefault="002A21AE">
      <w:pPr>
        <w:pStyle w:val="Heading4"/>
      </w:pPr>
      <w:r>
        <w:t xml:space="preserve">Outcome </w:t>
      </w:r>
    </w:p>
    <w:p w14:paraId="17E340AA" w14:textId="77777777" w:rsidR="002A21AE" w:rsidRDefault="002A21AE">
      <w:pPr>
        <w:pStyle w:val="ListBullet"/>
      </w:pPr>
      <w:r>
        <w:t>The user reviews updated patient records.</w:t>
      </w:r>
    </w:p>
    <w:p w14:paraId="043467EB" w14:textId="77777777" w:rsidR="002A21AE" w:rsidRDefault="002A21AE">
      <w:pPr>
        <w:pStyle w:val="Heading4"/>
      </w:pPr>
      <w:r>
        <w:t>Limitations and Restrictions</w:t>
      </w:r>
      <w:r>
        <w:rPr>
          <w:b w:val="0"/>
        </w:rPr>
        <w:t xml:space="preserve"> </w:t>
      </w:r>
    </w:p>
    <w:p w14:paraId="698351A6" w14:textId="77777777" w:rsidR="002A21AE" w:rsidRDefault="002A21AE">
      <w:pPr>
        <w:pStyle w:val="ListBullet"/>
      </w:pPr>
      <w:r>
        <w:t>Demographic and death event updates do not display information for patients without pending or active orders in VBECS.</w:t>
      </w:r>
      <w:r w:rsidR="00AB5121">
        <w:t xml:space="preserve"> Updates will occur without user input.</w:t>
      </w:r>
    </w:p>
    <w:p w14:paraId="6DE03EBE" w14:textId="77777777" w:rsidR="00422796" w:rsidRDefault="00422796" w:rsidP="00422796">
      <w:pPr>
        <w:pStyle w:val="ListBulle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p w14:paraId="4ED3FF60" w14:textId="77777777" w:rsidR="00C805FB" w:rsidRDefault="00C805FB" w:rsidP="00422796">
      <w:pPr>
        <w:pStyle w:val="ListBullet"/>
      </w:pPr>
      <w:r>
        <w:t>When VBECS notifies a user of an update to a patient’s prefix or suffix, VBECS does not display the updated information: the user must access VistA to view the updated information</w:t>
      </w:r>
      <w:r w:rsidR="00EE1726">
        <w:t>.</w:t>
      </w:r>
      <w:r w:rsidRPr="00C805FB">
        <w:rPr>
          <w:vanish/>
        </w:rPr>
        <w:t xml:space="preserve"> </w:t>
      </w:r>
      <w:r w:rsidR="00EE1726">
        <w:rPr>
          <w:vanish/>
        </w:rPr>
        <w:t>DR 2,714</w:t>
      </w:r>
    </w:p>
    <w:p w14:paraId="35F8E58F" w14:textId="77777777" w:rsidR="00195D83" w:rsidRDefault="00195D83" w:rsidP="00422796">
      <w:pPr>
        <w:pStyle w:val="ListBullet"/>
      </w:pPr>
      <w:r>
        <w:t xml:space="preserve">Suffix data may be outdated but will be refreshed upon a new order for a patient. </w:t>
      </w:r>
      <w:r w:rsidRPr="00812458">
        <w:rPr>
          <w:vanish/>
        </w:rPr>
        <w:t>Task 447307</w:t>
      </w:r>
    </w:p>
    <w:p w14:paraId="09639208" w14:textId="77777777" w:rsidR="002A21AE" w:rsidRDefault="002A21AE">
      <w:pPr>
        <w:pStyle w:val="Heading4"/>
      </w:pPr>
      <w:r>
        <w:t xml:space="preserve">Additional Information </w:t>
      </w:r>
    </w:p>
    <w:p w14:paraId="4BE601FD" w14:textId="77777777" w:rsidR="002A21AE" w:rsidRDefault="002A21AE">
      <w:pPr>
        <w:pStyle w:val="ListBullet"/>
      </w:pPr>
      <w:r>
        <w:t>None</w:t>
      </w:r>
    </w:p>
    <w:p w14:paraId="51E732E2" w14:textId="77777777" w:rsidR="002A21AE" w:rsidRDefault="002A21AE">
      <w:pPr>
        <w:pStyle w:val="Heading4"/>
        <w:rPr>
          <w:b w:val="0"/>
        </w:rPr>
      </w:pPr>
      <w:r>
        <w:t>User Roles with Access to This Option</w:t>
      </w:r>
      <w:r>
        <w:rPr>
          <w:b w:val="0"/>
        </w:rPr>
        <w:t xml:space="preserve"> </w:t>
      </w:r>
    </w:p>
    <w:p w14:paraId="2D97D820" w14:textId="77777777" w:rsidR="002A21AE" w:rsidRDefault="00A937B3">
      <w:pPr>
        <w:pStyle w:val="Roles"/>
        <w:rPr>
          <w:snapToGrid w:val="0"/>
        </w:rPr>
      </w:pPr>
      <w:r>
        <w:t>All users</w:t>
      </w:r>
    </w:p>
    <w:p w14:paraId="354B1D2A" w14:textId="77777777" w:rsidR="002A21AE" w:rsidRDefault="002A21AE">
      <w:pPr>
        <w:pStyle w:val="Heading4"/>
      </w:pPr>
      <w:r>
        <w:t>Updated Patients and Deceased Patients</w:t>
      </w:r>
    </w:p>
    <w:p w14:paraId="1DAAB06C" w14:textId="77777777" w:rsidR="002A21AE" w:rsidRDefault="002A21AE" w:rsidP="00FA7E65">
      <w:pPr>
        <w:pStyle w:val="BodyText"/>
      </w:pPr>
      <w:r>
        <w:t>The user views updated patient records.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35EE060" w14:textId="77777777">
        <w:trPr>
          <w:cantSplit/>
          <w:tblHeader/>
        </w:trPr>
        <w:tc>
          <w:tcPr>
            <w:tcW w:w="3240" w:type="dxa"/>
            <w:shd w:val="pct30" w:color="auto" w:fill="FFFFFF"/>
            <w:vAlign w:val="bottom"/>
          </w:tcPr>
          <w:p w14:paraId="383EE2BF" w14:textId="77777777" w:rsidR="002A21AE" w:rsidRDefault="002A21AE">
            <w:pPr>
              <w:pStyle w:val="TableText"/>
              <w:rPr>
                <w:b/>
              </w:rPr>
            </w:pPr>
            <w:r>
              <w:rPr>
                <w:b/>
              </w:rPr>
              <w:t>User Action</w:t>
            </w:r>
          </w:p>
        </w:tc>
        <w:tc>
          <w:tcPr>
            <w:tcW w:w="6120" w:type="dxa"/>
            <w:shd w:val="pct30" w:color="auto" w:fill="FFFFFF"/>
            <w:vAlign w:val="bottom"/>
          </w:tcPr>
          <w:p w14:paraId="5F8D861D" w14:textId="77777777" w:rsidR="002A21AE" w:rsidRDefault="002A21AE">
            <w:pPr>
              <w:pStyle w:val="TableText"/>
              <w:rPr>
                <w:b/>
              </w:rPr>
            </w:pPr>
            <w:r>
              <w:rPr>
                <w:b/>
              </w:rPr>
              <w:t>VBECS</w:t>
            </w:r>
          </w:p>
        </w:tc>
      </w:tr>
      <w:tr w:rsidR="002A21AE" w14:paraId="7E1E2E2B" w14:textId="77777777">
        <w:tc>
          <w:tcPr>
            <w:tcW w:w="3240" w:type="dxa"/>
            <w:tcBorders>
              <w:top w:val="single" w:sz="4" w:space="0" w:color="auto"/>
              <w:left w:val="single" w:sz="4" w:space="0" w:color="auto"/>
              <w:bottom w:val="single" w:sz="4" w:space="0" w:color="auto"/>
              <w:right w:val="single" w:sz="4" w:space="0" w:color="auto"/>
            </w:tcBorders>
          </w:tcPr>
          <w:p w14:paraId="79D2948B" w14:textId="77777777" w:rsidR="002A21AE" w:rsidRDefault="002A21AE">
            <w:pPr>
              <w:pStyle w:val="TableTextNumbers"/>
            </w:pPr>
            <w:r>
              <w:t xml:space="preserve">Select </w:t>
            </w:r>
            <w:r>
              <w:rPr>
                <w:b/>
              </w:rPr>
              <w:t>Patients</w:t>
            </w:r>
            <w:r>
              <w:t xml:space="preserve"> from the main menu.</w:t>
            </w:r>
          </w:p>
          <w:p w14:paraId="1E999840" w14:textId="77777777" w:rsidR="002A21AE" w:rsidRDefault="002A21AE">
            <w:pPr>
              <w:pStyle w:val="TableTextNumbersContinued"/>
            </w:pPr>
          </w:p>
          <w:p w14:paraId="05729D8E" w14:textId="77777777" w:rsidR="002A21AE" w:rsidRDefault="002A21AE">
            <w:pPr>
              <w:pStyle w:val="TableTextNumbersContinued"/>
            </w:pPr>
            <w:r>
              <w:t xml:space="preserve">Select </w:t>
            </w:r>
            <w:r>
              <w:rPr>
                <w:b/>
              </w:rPr>
              <w:t>Patient Updates</w:t>
            </w:r>
            <w:r>
              <w:t>.</w:t>
            </w:r>
          </w:p>
          <w:p w14:paraId="1912FCF2" w14:textId="77777777" w:rsidR="002A21AE" w:rsidRDefault="002A21AE">
            <w:pPr>
              <w:pStyle w:val="TableTextNumbersContinued"/>
            </w:pPr>
          </w:p>
          <w:p w14:paraId="087E97C6" w14:textId="77777777" w:rsidR="002A21AE" w:rsidRDefault="002A21AE">
            <w:pPr>
              <w:pStyle w:val="TableTextNumbersContinued"/>
            </w:pPr>
            <w:r>
              <w:t xml:space="preserve">Select </w:t>
            </w:r>
            <w:r>
              <w:rPr>
                <w:b/>
              </w:rPr>
              <w:t>Updated Patient</w:t>
            </w:r>
            <w:r>
              <w:t xml:space="preserve"> or </w:t>
            </w:r>
            <w:r>
              <w:rPr>
                <w:b/>
              </w:rPr>
              <w:t>Deceased Patient</w:t>
            </w:r>
            <w:r>
              <w:t>, or</w:t>
            </w:r>
          </w:p>
          <w:p w14:paraId="7B9141D2" w14:textId="77777777" w:rsidR="002A21AE" w:rsidRDefault="002A21AE">
            <w:pPr>
              <w:pStyle w:val="TableTextNumbersContinued"/>
            </w:pPr>
          </w:p>
          <w:p w14:paraId="0E970CA7" w14:textId="77777777" w:rsidR="002A21AE" w:rsidRDefault="002A21AE">
            <w:pPr>
              <w:pStyle w:val="TableTextNumbersContinued"/>
            </w:pPr>
            <w:r>
              <w:t xml:space="preserve">Click </w:t>
            </w:r>
            <w:r w:rsidR="00057948">
              <w:rPr>
                <w:noProof/>
              </w:rPr>
              <w:drawing>
                <wp:inline distT="0" distB="0" distL="0" distR="0" wp14:anchorId="793299B1" wp14:editId="253F0494">
                  <wp:extent cx="166370" cy="156845"/>
                  <wp:effectExtent l="0" t="0" r="5080" b="0"/>
                  <wp:docPr id="236" name="Picture 236"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tientale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 when it is active.</w:t>
            </w:r>
          </w:p>
        </w:tc>
        <w:tc>
          <w:tcPr>
            <w:tcW w:w="6120" w:type="dxa"/>
            <w:tcBorders>
              <w:top w:val="single" w:sz="4" w:space="0" w:color="auto"/>
              <w:left w:val="single" w:sz="4" w:space="0" w:color="auto"/>
              <w:bottom w:val="single" w:sz="4" w:space="0" w:color="auto"/>
              <w:right w:val="single" w:sz="4" w:space="0" w:color="auto"/>
            </w:tcBorders>
          </w:tcPr>
          <w:p w14:paraId="53CD23C8" w14:textId="77777777" w:rsidR="002A21AE" w:rsidRDefault="002A21AE">
            <w:pPr>
              <w:pStyle w:val="TableTextBullet"/>
            </w:pPr>
            <w:r>
              <w:t>Displays options for processing patient-related functions.</w:t>
            </w:r>
          </w:p>
          <w:p w14:paraId="7FE28393" w14:textId="77777777" w:rsidR="002A21AE" w:rsidRDefault="002A21AE">
            <w:pPr>
              <w:pStyle w:val="TableTextBullet"/>
            </w:pPr>
            <w:r>
              <w:t>Lists updated or deceased patients (also lists these data after the update if they changed)</w:t>
            </w:r>
            <w:r w:rsidR="005F6016">
              <w:t>,</w:t>
            </w:r>
            <w:r>
              <w:t xml:space="preserve"> including:</w:t>
            </w:r>
          </w:p>
          <w:p w14:paraId="2FDE8907" w14:textId="77777777" w:rsidR="002A21AE" w:rsidRDefault="002A21AE">
            <w:pPr>
              <w:pStyle w:val="TableTextBullet1"/>
            </w:pPr>
            <w:r>
              <w:t xml:space="preserve">Patient name </w:t>
            </w:r>
          </w:p>
          <w:p w14:paraId="073B974E" w14:textId="77777777" w:rsidR="002A21AE" w:rsidRDefault="002A21AE">
            <w:pPr>
              <w:pStyle w:val="TableTextBullet1"/>
            </w:pPr>
            <w:r>
              <w:t xml:space="preserve">Patient ID </w:t>
            </w:r>
          </w:p>
          <w:p w14:paraId="142842F0" w14:textId="77777777" w:rsidR="002A21AE" w:rsidRDefault="002A21AE">
            <w:pPr>
              <w:pStyle w:val="TableTextBullet1"/>
            </w:pPr>
            <w:r>
              <w:t xml:space="preserve">Patient date of birth </w:t>
            </w:r>
          </w:p>
          <w:p w14:paraId="679C9C1F" w14:textId="77777777" w:rsidR="002A21AE" w:rsidRDefault="002A21AE">
            <w:pPr>
              <w:pStyle w:val="TableTextBullet1"/>
            </w:pPr>
            <w:r>
              <w:t>Date and time of the update, or date of death</w:t>
            </w:r>
          </w:p>
        </w:tc>
      </w:tr>
      <w:tr w:rsidR="002A21AE" w14:paraId="241A1B4B" w14:textId="77777777">
        <w:tc>
          <w:tcPr>
            <w:tcW w:w="3240" w:type="dxa"/>
          </w:tcPr>
          <w:p w14:paraId="66DE30D0" w14:textId="77777777" w:rsidR="002A21AE" w:rsidRDefault="002A21AE">
            <w:pPr>
              <w:pStyle w:val="TableTextNumbers"/>
            </w:pPr>
            <w:r>
              <w:t xml:space="preserve">Click </w:t>
            </w:r>
            <w:r>
              <w:rPr>
                <w:b/>
              </w:rPr>
              <w:t>Close</w:t>
            </w:r>
            <w:r>
              <w:t xml:space="preserve"> to exit, or return to Step 1 to view another patient’s data.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5038BE1" w14:textId="77777777" w:rsidR="002A21AE" w:rsidRDefault="002A21AE">
            <w:pPr>
              <w:pStyle w:val="TableText"/>
            </w:pPr>
          </w:p>
        </w:tc>
      </w:tr>
    </w:tbl>
    <w:p w14:paraId="1895DD19" w14:textId="77777777" w:rsidR="002A21AE" w:rsidRDefault="002A21AE">
      <w:pPr>
        <w:pStyle w:val="Heading3"/>
        <w:sectPr w:rsidR="002A21AE" w:rsidSect="00EE771C">
          <w:pgSz w:w="12240" w:h="15840" w:code="1"/>
          <w:pgMar w:top="1440" w:right="1440" w:bottom="1440" w:left="1440" w:header="720" w:footer="720" w:gutter="0"/>
          <w:cols w:space="720"/>
          <w:docGrid w:linePitch="360"/>
        </w:sectPr>
      </w:pPr>
      <w:bookmarkStart w:id="456" w:name="_Patient_Testing:_Record_Patient_Tes"/>
      <w:bookmarkStart w:id="457" w:name="_Patient_Testing:_Record"/>
      <w:bookmarkEnd w:id="456"/>
      <w:bookmarkEnd w:id="457"/>
    </w:p>
    <w:p w14:paraId="484FBB2F" w14:textId="77777777" w:rsidR="002A21AE" w:rsidRDefault="002A21AE">
      <w:pPr>
        <w:pStyle w:val="Heading3"/>
      </w:pPr>
      <w:bookmarkStart w:id="458" w:name="_Patient_Testing:_Record_1"/>
      <w:bookmarkStart w:id="459" w:name="_Toc163644948"/>
      <w:bookmarkEnd w:id="458"/>
      <w:r>
        <w:lastRenderedPageBreak/>
        <w:t xml:space="preserve">Patient Testing: </w:t>
      </w:r>
      <w:r w:rsidR="0064667E">
        <w:t>General Instructions</w:t>
      </w:r>
      <w:bookmarkEnd w:id="459"/>
      <w:r>
        <w:fldChar w:fldCharType="begin"/>
      </w:r>
      <w:r>
        <w:instrText xml:space="preserve"> XE </w:instrText>
      </w:r>
      <w:r w:rsidR="00FA7E65">
        <w:instrText>“</w:instrText>
      </w:r>
      <w:r>
        <w:instrText xml:space="preserve">Patient Testing\: </w:instrText>
      </w:r>
      <w:r w:rsidR="0064667E">
        <w:instrText>General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UC_56</w:t>
      </w:r>
    </w:p>
    <w:p w14:paraId="35CCCF45" w14:textId="77777777" w:rsidR="002A21AE" w:rsidRDefault="002A21AE" w:rsidP="00FA7E65">
      <w:pPr>
        <w:pStyle w:val="BodyText"/>
      </w:pPr>
      <w:bookmarkStart w:id="460" w:name="_Toc78036036"/>
      <w:r>
        <w:t>The user records a patient’s serologic test results.</w:t>
      </w:r>
    </w:p>
    <w:p w14:paraId="0D3851B4" w14:textId="77777777" w:rsidR="002A21AE" w:rsidRDefault="002A21AE">
      <w:pPr>
        <w:pStyle w:val="Heading4"/>
      </w:pPr>
      <w:r>
        <w:t>Assumptions</w:t>
      </w:r>
    </w:p>
    <w:p w14:paraId="44A30C61" w14:textId="77777777" w:rsidR="002A21AE" w:rsidRDefault="002A21AE">
      <w:pPr>
        <w:pStyle w:val="ListBullet"/>
      </w:pPr>
      <w:r>
        <w:t xml:space="preserve">The patient specimen and order were processed and found satisfactory for testing. </w:t>
      </w:r>
    </w:p>
    <w:p w14:paraId="3E1EC299" w14:textId="77777777" w:rsidR="002A21AE" w:rsidRDefault="002A21AE">
      <w:pPr>
        <w:pStyle w:val="ListBullet"/>
      </w:pPr>
      <w:r>
        <w:t>The user selected one to four diagnostic and/or component tasks for testing from the Pending Task List (PTL).</w:t>
      </w:r>
    </w:p>
    <w:p w14:paraId="3D1C4DDC" w14:textId="77777777" w:rsidR="002A21AE" w:rsidRDefault="002A21AE">
      <w:pPr>
        <w:pStyle w:val="ListBullet"/>
      </w:pPr>
      <w:r>
        <w:t>The patient may or may not have a previous blood bank record. Previously saved VBECS data related to this patient are available for comparison with the user’s test results and interpretations.</w:t>
      </w:r>
    </w:p>
    <w:p w14:paraId="01E3C871" w14:textId="77777777" w:rsidR="002A21AE" w:rsidRDefault="002A21AE">
      <w:pPr>
        <w:pStyle w:val="Heading4"/>
      </w:pPr>
      <w:r>
        <w:t>Outcome</w:t>
      </w:r>
    </w:p>
    <w:p w14:paraId="1A8D5086" w14:textId="77777777" w:rsidR="002A21AE" w:rsidRDefault="002A21AE">
      <w:pPr>
        <w:pStyle w:val="ListBullet"/>
      </w:pPr>
      <w:r>
        <w:t>The test record was filed, is unique, and is retrievable for the life of VBECS.</w:t>
      </w:r>
    </w:p>
    <w:p w14:paraId="3A56E45F" w14:textId="77777777" w:rsidR="002A21AE" w:rsidRDefault="002A21AE">
      <w:pPr>
        <w:pStyle w:val="ListBullet"/>
      </w:pPr>
      <w:r>
        <w:t>Partially completed testing is available for completion or invalidation but is not available to the patient record or reports.</w:t>
      </w:r>
    </w:p>
    <w:p w14:paraId="3283EA21" w14:textId="77777777" w:rsidR="002A21AE" w:rsidRDefault="002A21AE">
      <w:pPr>
        <w:pStyle w:val="ListBullet"/>
      </w:pPr>
      <w:r>
        <w:t>Completed, current specimen test results are available for inclusion in various reports.</w:t>
      </w:r>
    </w:p>
    <w:p w14:paraId="09B9B0C2" w14:textId="77777777" w:rsidR="002A21AE" w:rsidRDefault="002A21AE">
      <w:pPr>
        <w:pStyle w:val="ListBullet"/>
      </w:pPr>
      <w:r>
        <w:t>VBECS changes the task status to “completed” and triggers the generation of a message to CPRS that the order is complete.</w:t>
      </w:r>
    </w:p>
    <w:p w14:paraId="33BEC1DE" w14:textId="77777777" w:rsidR="002A21AE" w:rsidRDefault="002A21AE">
      <w:pPr>
        <w:pStyle w:val="ListBullet"/>
      </w:pPr>
      <w:r>
        <w:t>The test record includes the details of the verified, completed testing.</w:t>
      </w:r>
    </w:p>
    <w:p w14:paraId="38202EC0" w14:textId="77777777" w:rsidR="002A21AE" w:rsidRDefault="002A21AE">
      <w:pPr>
        <w:pStyle w:val="Heading4"/>
      </w:pPr>
      <w:r>
        <w:t>Limitations and Restrictions</w:t>
      </w:r>
    </w:p>
    <w:p w14:paraId="45AE5211" w14:textId="77777777" w:rsidR="00D50784" w:rsidRDefault="00D50784" w:rsidP="00D50784">
      <w:pPr>
        <w:pStyle w:val="ListBullet"/>
      </w:pPr>
      <w:r>
        <w:t>This test record is not editable after the user completes a test and saves it to the database. When a correction needs to be filed, a corrected report must be generated, as described in Invalidating Patient Test Results.</w:t>
      </w:r>
    </w:p>
    <w:p w14:paraId="4B8F399B" w14:textId="77777777" w:rsidR="00E36CAB" w:rsidRDefault="00E36CAB" w:rsidP="00E36CAB">
      <w:pPr>
        <w:pStyle w:val="ListBullet"/>
      </w:pPr>
      <w:r>
        <w:t>User selection of partially completed testing grids with different phases of testing</w:t>
      </w:r>
      <w:r w:rsidRPr="008727C1">
        <w:t xml:space="preserve"> </w:t>
      </w:r>
      <w:r>
        <w:t xml:space="preserve">(All Phases or AHG Only) as previously selected creates a testing discrepancy in VBECS. </w:t>
      </w:r>
    </w:p>
    <w:p w14:paraId="50A1CA92" w14:textId="77777777" w:rsidR="00B90645" w:rsidRPr="000D669E" w:rsidRDefault="00E36CAB" w:rsidP="00E36CAB">
      <w:pPr>
        <w:pStyle w:val="ListBullet"/>
      </w:pPr>
      <w:r>
        <w:t>Limited batch testing to partially completed orders with the same testing grid selection, either All Phases or AHG Only.</w:t>
      </w:r>
      <w:r w:rsidR="00B90645">
        <w:t xml:space="preserve"> </w:t>
      </w:r>
      <w:r w:rsidR="00B90645">
        <w:rPr>
          <w:vanish/>
        </w:rPr>
        <w:t>DR 4218</w:t>
      </w:r>
    </w:p>
    <w:p w14:paraId="69E52604" w14:textId="6CAC25A9" w:rsidR="000D669E" w:rsidRDefault="000D669E" w:rsidP="00E36CAB">
      <w:pPr>
        <w:pStyle w:val="ListBullet"/>
      </w:pPr>
      <w:r>
        <w:t xml:space="preserve">VBECS cannot compare test results for a patient when two users are entering test results for the same patient at the same time. </w:t>
      </w:r>
      <w:r w:rsidRPr="000D669E">
        <w:rPr>
          <w:vanish/>
        </w:rPr>
        <w:t>DR 4817</w:t>
      </w:r>
    </w:p>
    <w:p w14:paraId="232DAF05" w14:textId="5AA923EB" w:rsidR="00D141A2" w:rsidRDefault="00D141A2" w:rsidP="00E36CAB">
      <w:pPr>
        <w:pStyle w:val="ListBullet"/>
      </w:pPr>
      <w:r>
        <w:t>Cost entry is capped at 999.</w:t>
      </w:r>
      <w:r w:rsidR="00F358AF">
        <w:t>00</w:t>
      </w:r>
      <w:r>
        <w:t xml:space="preserve">. </w:t>
      </w:r>
      <w:r w:rsidRPr="00D141A2">
        <w:rPr>
          <w:vanish/>
        </w:rPr>
        <w:t>Defect 942523</w:t>
      </w:r>
    </w:p>
    <w:p w14:paraId="16F065A3" w14:textId="77777777" w:rsidR="002A21AE" w:rsidRDefault="002A21AE">
      <w:pPr>
        <w:pStyle w:val="Heading4"/>
      </w:pPr>
      <w:r>
        <w:t>Additional Information</w:t>
      </w:r>
    </w:p>
    <w:p w14:paraId="1F77CD32" w14:textId="77777777" w:rsidR="002A21AE" w:rsidRDefault="002A21AE">
      <w:pPr>
        <w:pStyle w:val="ListBullet"/>
      </w:pPr>
      <w:r>
        <w:t>Partially completed tests may be invalidated within the testing option.</w:t>
      </w:r>
    </w:p>
    <w:p w14:paraId="5207CCBB" w14:textId="77777777" w:rsidR="002A21AE" w:rsidRDefault="002A21AE">
      <w:pPr>
        <w:pStyle w:val="Heading4"/>
      </w:pPr>
      <w:r>
        <w:t>User Roles with Access to This Option</w:t>
      </w:r>
    </w:p>
    <w:p w14:paraId="10460C69" w14:textId="77777777" w:rsidR="00A937B3" w:rsidRDefault="00A937B3" w:rsidP="00A937B3">
      <w:pPr>
        <w:pStyle w:val="Roles"/>
        <w:rPr>
          <w:snapToGrid w:val="0"/>
        </w:rPr>
      </w:pPr>
      <w:r>
        <w:t>All users</w:t>
      </w:r>
    </w:p>
    <w:bookmarkEnd w:id="460"/>
    <w:p w14:paraId="6A56CFE4" w14:textId="77777777" w:rsidR="002A21AE" w:rsidRDefault="002A21AE">
      <w:pPr>
        <w:pStyle w:val="Heading4"/>
      </w:pPr>
      <w:r>
        <w:t xml:space="preserve">Patient Testing: </w:t>
      </w:r>
      <w:r w:rsidR="00260BEA">
        <w:t>General Instructions</w:t>
      </w:r>
    </w:p>
    <w:p w14:paraId="1F723D10" w14:textId="77777777" w:rsidR="002A21AE" w:rsidRDefault="002A21AE" w:rsidP="00FA7E65">
      <w:pPr>
        <w:pStyle w:val="BodyText"/>
      </w:pPr>
      <w:r>
        <w:t xml:space="preserve">A user records a patient’s test results: Type &amp; Screen (TAS), ABO/Rh, </w:t>
      </w:r>
      <w:r w:rsidR="008E2E30">
        <w:t>Antibody Screen Test (ABS)</w:t>
      </w:r>
      <w:r>
        <w:t>, Direct Antiglobulin Test (DAT), and crossmatches (XMs) on units selected for a patient. This option describes the configuration of reflex or repeat testing and patient antigen typing.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4D789E" w14:textId="77777777" w:rsidTr="003362FE">
        <w:trPr>
          <w:cantSplit/>
          <w:tblHeader/>
        </w:trPr>
        <w:tc>
          <w:tcPr>
            <w:tcW w:w="3240" w:type="dxa"/>
            <w:shd w:val="pct30" w:color="auto" w:fill="FFFFFF"/>
            <w:vAlign w:val="bottom"/>
          </w:tcPr>
          <w:p w14:paraId="7C9D637A" w14:textId="77777777" w:rsidR="002A21AE" w:rsidRDefault="002A21AE">
            <w:pPr>
              <w:pStyle w:val="TableText"/>
              <w:rPr>
                <w:b/>
              </w:rPr>
            </w:pPr>
            <w:r>
              <w:rPr>
                <w:b/>
              </w:rPr>
              <w:lastRenderedPageBreak/>
              <w:t>User Action</w:t>
            </w:r>
          </w:p>
        </w:tc>
        <w:tc>
          <w:tcPr>
            <w:tcW w:w="6120" w:type="dxa"/>
            <w:shd w:val="pct30" w:color="auto" w:fill="FFFFFF"/>
            <w:vAlign w:val="bottom"/>
          </w:tcPr>
          <w:p w14:paraId="3CFE4944" w14:textId="77777777" w:rsidR="002A21AE" w:rsidRDefault="002A21AE">
            <w:pPr>
              <w:pStyle w:val="TableText"/>
              <w:rPr>
                <w:b/>
              </w:rPr>
            </w:pPr>
            <w:r>
              <w:rPr>
                <w:b/>
              </w:rPr>
              <w:t>VBECS</w:t>
            </w:r>
          </w:p>
        </w:tc>
      </w:tr>
      <w:tr w:rsidR="002A21AE" w14:paraId="2DA8175D" w14:textId="77777777" w:rsidTr="003362FE">
        <w:trPr>
          <w:cantSplit/>
        </w:trPr>
        <w:tc>
          <w:tcPr>
            <w:tcW w:w="3240" w:type="dxa"/>
            <w:tcBorders>
              <w:top w:val="single" w:sz="4" w:space="0" w:color="auto"/>
              <w:left w:val="single" w:sz="4" w:space="0" w:color="auto"/>
              <w:bottom w:val="single" w:sz="4" w:space="0" w:color="auto"/>
              <w:right w:val="single" w:sz="4" w:space="0" w:color="auto"/>
            </w:tcBorders>
          </w:tcPr>
          <w:p w14:paraId="711900BD" w14:textId="77777777" w:rsidR="002A21AE" w:rsidRDefault="002A21AE">
            <w:pPr>
              <w:pStyle w:val="TableTextNumbers"/>
            </w:pPr>
            <w:r>
              <w:t xml:space="preserve">Select </w:t>
            </w:r>
            <w:r>
              <w:rPr>
                <w:b/>
              </w:rPr>
              <w:t>Patients</w:t>
            </w:r>
            <w:r>
              <w:t xml:space="preserve"> from the main menu.</w:t>
            </w:r>
          </w:p>
          <w:p w14:paraId="673E4D78" w14:textId="77777777" w:rsidR="002A21AE" w:rsidRDefault="002A21AE">
            <w:pPr>
              <w:pStyle w:val="TableTextNumbersContinued"/>
            </w:pPr>
          </w:p>
          <w:p w14:paraId="5C2EDA45"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787591" w14:textId="77777777" w:rsidR="002A21AE" w:rsidRDefault="002A21AE">
            <w:pPr>
              <w:pStyle w:val="TableTextBullet"/>
            </w:pPr>
            <w:r>
              <w:t xml:space="preserve">Displays options for processing patient-related functions. </w:t>
            </w:r>
          </w:p>
          <w:p w14:paraId="0442EFC1" w14:textId="77777777" w:rsidR="002A21AE" w:rsidRDefault="002A21AE">
            <w:pPr>
              <w:pStyle w:val="TableTextBullet"/>
            </w:pPr>
            <w:r>
              <w:t>Displays the Pending Task List (PTL) in the Diagnostic Tests tab.</w:t>
            </w:r>
          </w:p>
          <w:p w14:paraId="16F47BCF" w14:textId="77777777" w:rsidR="002A21AE" w:rsidRDefault="002A21AE">
            <w:pPr>
              <w:pStyle w:val="NotesText"/>
            </w:pPr>
          </w:p>
          <w:p w14:paraId="3C3E6C9F" w14:textId="379CF25A" w:rsidR="002A21AE" w:rsidRDefault="002A21AE">
            <w:pPr>
              <w:pStyle w:val="TableText"/>
              <w:rPr>
                <w:b/>
                <w:bCs/>
                <w:szCs w:val="18"/>
              </w:rPr>
            </w:pPr>
            <w:r>
              <w:rPr>
                <w:b/>
                <w:bCs/>
                <w:szCs w:val="18"/>
              </w:rPr>
              <w:t>NOTES</w:t>
            </w:r>
          </w:p>
          <w:p w14:paraId="41D9E0FC" w14:textId="77777777" w:rsidR="002A21AE" w:rsidRDefault="002A21AE">
            <w:pPr>
              <w:pStyle w:val="NotesText"/>
            </w:pPr>
          </w:p>
          <w:p w14:paraId="5E98F97D" w14:textId="77777777" w:rsidR="00CA495D" w:rsidRPr="00CA495D" w:rsidRDefault="002A21AE" w:rsidP="00CA495D">
            <w:pPr>
              <w:pStyle w:val="NotesText"/>
              <w:rPr>
                <w:snapToGrid w:val="0"/>
              </w:rPr>
            </w:pPr>
            <w:r>
              <w:t>A user may search for specific tasks using search criteria detailed in Pending Task List.</w:t>
            </w:r>
          </w:p>
        </w:tc>
      </w:tr>
      <w:tr w:rsidR="002A21AE" w14:paraId="3EDC2EE2" w14:textId="77777777" w:rsidTr="003362FE">
        <w:trPr>
          <w:cantSplit/>
        </w:trPr>
        <w:tc>
          <w:tcPr>
            <w:tcW w:w="3240" w:type="dxa"/>
          </w:tcPr>
          <w:p w14:paraId="2495144B" w14:textId="17200D1F" w:rsidR="002A21AE" w:rsidRDefault="002A21AE">
            <w:pPr>
              <w:pStyle w:val="TableTextNumbers"/>
            </w:pPr>
            <w:r>
              <w:t>Click one to four check boxes in the Pending Task List to select tasks for testing</w:t>
            </w:r>
            <w:r w:rsidR="00883DE9">
              <w:t xml:space="preserve"> (</w:t>
            </w:r>
            <w:r w:rsidR="00EE455E">
              <w:t xml:space="preserve">Figure </w:t>
            </w:r>
            <w:r w:rsidR="00EE455E">
              <w:rPr>
                <w:noProof/>
              </w:rPr>
              <w:t>91</w:t>
            </w:r>
            <w:r w:rsidR="00883DE9">
              <w:t>)</w:t>
            </w:r>
            <w:r>
              <w:t xml:space="preserve">. </w:t>
            </w:r>
          </w:p>
          <w:p w14:paraId="06383BFE" w14:textId="77777777" w:rsidR="002A21AE" w:rsidRDefault="002A21AE">
            <w:pPr>
              <w:pStyle w:val="TableTextNumbersContinued"/>
            </w:pPr>
          </w:p>
          <w:p w14:paraId="36624256" w14:textId="77777777" w:rsidR="002A21AE" w:rsidRDefault="002A21AE">
            <w:pPr>
              <w:pStyle w:val="TableTextNumbersContinued"/>
            </w:pPr>
            <w:r>
              <w:t xml:space="preserve">Click </w:t>
            </w:r>
            <w:r>
              <w:rPr>
                <w:b/>
              </w:rPr>
              <w:t>OK</w:t>
            </w:r>
            <w:r>
              <w:t>.</w:t>
            </w:r>
          </w:p>
        </w:tc>
        <w:tc>
          <w:tcPr>
            <w:tcW w:w="6120" w:type="dxa"/>
          </w:tcPr>
          <w:p w14:paraId="7297A685" w14:textId="77777777" w:rsidR="002A21AE" w:rsidRDefault="002A21AE">
            <w:pPr>
              <w:pStyle w:val="TableTextBullet"/>
            </w:pPr>
            <w:r>
              <w:t>Displays patient names and associated task information.</w:t>
            </w:r>
          </w:p>
        </w:tc>
      </w:tr>
      <w:tr w:rsidR="0091416B" w14:paraId="4E7D0DB9" w14:textId="77777777" w:rsidTr="003362FE">
        <w:trPr>
          <w:cantSplit/>
        </w:trPr>
        <w:tc>
          <w:tcPr>
            <w:tcW w:w="3240" w:type="dxa"/>
          </w:tcPr>
          <w:p w14:paraId="1FFF639A" w14:textId="77777777" w:rsidR="0091416B" w:rsidRDefault="0091416B" w:rsidP="0091416B">
            <w:pPr>
              <w:pStyle w:val="TableTextNumbers"/>
            </w:pPr>
            <w:r>
              <w:t>Click a check box to select a reagent rack.</w:t>
            </w:r>
          </w:p>
          <w:p w14:paraId="239CDA12" w14:textId="77777777" w:rsidR="0091416B" w:rsidRDefault="0091416B" w:rsidP="0091416B">
            <w:pPr>
              <w:pStyle w:val="TableTextNumbersContinued"/>
            </w:pPr>
          </w:p>
          <w:p w14:paraId="5366B72F" w14:textId="61D085EA" w:rsidR="0091416B" w:rsidRDefault="0091416B" w:rsidP="0091416B">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rsidR="00883DE9" w:rsidRPr="00883DE9">
              <w:t xml:space="preserve"> (</w:t>
            </w:r>
            <w:r w:rsidR="00EE455E">
              <w:t xml:space="preserve">Figure </w:t>
            </w:r>
            <w:r w:rsidR="00EE455E">
              <w:rPr>
                <w:noProof/>
              </w:rPr>
              <w:t>96</w:t>
            </w:r>
            <w:r w:rsidR="00883DE9" w:rsidRPr="00883DE9">
              <w:t>)</w:t>
            </w:r>
            <w:r>
              <w:t>.</w:t>
            </w:r>
          </w:p>
          <w:p w14:paraId="268E6D54" w14:textId="77777777" w:rsidR="0091416B" w:rsidRDefault="0091416B" w:rsidP="0091416B">
            <w:pPr>
              <w:pStyle w:val="TableTextNumbersContinued"/>
            </w:pPr>
          </w:p>
          <w:p w14:paraId="4104EE88" w14:textId="77777777" w:rsidR="0091416B" w:rsidRDefault="0091416B" w:rsidP="0091416B">
            <w:pPr>
              <w:pStyle w:val="TableTextNumbersContinued"/>
            </w:pPr>
            <w:r>
              <w:t xml:space="preserve">Click </w:t>
            </w:r>
            <w:r>
              <w:rPr>
                <w:b/>
              </w:rPr>
              <w:t>OK</w:t>
            </w:r>
            <w:r>
              <w:t xml:space="preserve"> to continue with testing.</w:t>
            </w:r>
          </w:p>
        </w:tc>
        <w:tc>
          <w:tcPr>
            <w:tcW w:w="6120" w:type="dxa"/>
          </w:tcPr>
          <w:p w14:paraId="753FA807" w14:textId="77777777" w:rsidR="0091416B" w:rsidRDefault="001467B6" w:rsidP="001467B6">
            <w:pPr>
              <w:pStyle w:val="TableTextBullet"/>
            </w:pPr>
            <w:r>
              <w:t>Allows the user to s</w:t>
            </w:r>
            <w:r w:rsidRPr="001467B6">
              <w:t xml:space="preserve">elect the All Phases </w:t>
            </w:r>
            <w:r w:rsidR="00D50784">
              <w:t>or</w:t>
            </w:r>
            <w:r w:rsidRPr="001467B6">
              <w:t xml:space="preserve"> AHG Only radio buttons only when </w:t>
            </w:r>
            <w:r>
              <w:t>applicable.</w:t>
            </w:r>
          </w:p>
          <w:p w14:paraId="261DFF78" w14:textId="77777777" w:rsidR="004A6E1E" w:rsidRDefault="004A6E1E" w:rsidP="004A6E1E">
            <w:pPr>
              <w:pStyle w:val="TableTextBullet"/>
            </w:pPr>
            <w:r>
              <w:t>Displays reagent rack names and associated information.</w:t>
            </w:r>
          </w:p>
          <w:p w14:paraId="67DE59DC" w14:textId="77777777" w:rsidR="004A6E1E" w:rsidRDefault="004A6E1E" w:rsidP="004A6E1E">
            <w:pPr>
              <w:pStyle w:val="TableTextBullet"/>
            </w:pPr>
            <w:r>
              <w:rPr>
                <w:rFonts w:cs="Arial"/>
                <w:vanish/>
              </w:rPr>
              <w:t xml:space="preserve">BR_56.15 </w:t>
            </w:r>
            <w:r>
              <w:t xml:space="preserve">Requires the user to select the </w:t>
            </w:r>
            <w:r w:rsidR="00DA7212">
              <w:t xml:space="preserve">reagent </w:t>
            </w:r>
            <w:r>
              <w:t>rack name</w:t>
            </w:r>
            <w:r w:rsidR="00DA7212">
              <w:t>. The testing</w:t>
            </w:r>
            <w:r>
              <w:t xml:space="preserve"> grid configuration </w:t>
            </w:r>
            <w:r w:rsidR="00DA7212">
              <w:t>for</w:t>
            </w:r>
            <w:r>
              <w:t xml:space="preserve"> serologic testing</w:t>
            </w:r>
            <w:r w:rsidR="00DA7212">
              <w:t xml:space="preserve"> defaults to the setting selected in the Configure Division option. The user is allowed </w:t>
            </w:r>
            <w:r>
              <w:t xml:space="preserve">to indicate whether an automated instrument was used. </w:t>
            </w:r>
          </w:p>
          <w:p w14:paraId="582A40C3" w14:textId="77777777" w:rsidR="004A6E1E" w:rsidRDefault="004A6E1E" w:rsidP="004A6E1E">
            <w:pPr>
              <w:pStyle w:val="TableTextBullet"/>
            </w:pPr>
            <w:r>
              <w:t>Displays the date and time testing was performed.</w:t>
            </w:r>
          </w:p>
          <w:p w14:paraId="68034BA2" w14:textId="77777777" w:rsidR="004A6E1E" w:rsidRDefault="004A6E1E" w:rsidP="004A6E1E">
            <w:pPr>
              <w:pStyle w:val="TableTextBullet"/>
            </w:pPr>
            <w:r>
              <w:t>Displays the testing technologist name.</w:t>
            </w:r>
          </w:p>
          <w:p w14:paraId="61797B0A" w14:textId="77777777" w:rsidR="001467B6" w:rsidRDefault="001467B6" w:rsidP="0091416B">
            <w:pPr>
              <w:pStyle w:val="TableText"/>
            </w:pPr>
          </w:p>
          <w:p w14:paraId="0C720BC6" w14:textId="1B0A42B6" w:rsidR="0091416B" w:rsidRDefault="0091416B" w:rsidP="0091416B">
            <w:pPr>
              <w:pStyle w:val="TableText"/>
              <w:rPr>
                <w:b/>
                <w:bCs/>
                <w:szCs w:val="18"/>
              </w:rPr>
            </w:pPr>
            <w:r>
              <w:rPr>
                <w:b/>
                <w:bCs/>
                <w:szCs w:val="18"/>
              </w:rPr>
              <w:t>NOTES</w:t>
            </w:r>
          </w:p>
          <w:p w14:paraId="0E3A55F1" w14:textId="77777777" w:rsidR="0091416B" w:rsidRDefault="0091416B" w:rsidP="0091416B">
            <w:pPr>
              <w:pStyle w:val="NotesText"/>
            </w:pPr>
          </w:p>
          <w:p w14:paraId="6EFFBC10" w14:textId="77777777" w:rsidR="0091416B" w:rsidRDefault="0091416B" w:rsidP="0091416B">
            <w:pPr>
              <w:pStyle w:val="NotesText"/>
            </w:pPr>
            <w:r>
              <w:rPr>
                <w:rFonts w:cs="Arial"/>
                <w:vanish/>
              </w:rPr>
              <w:t xml:space="preserve">BR_40.04 </w:t>
            </w:r>
            <w:r>
              <w:t xml:space="preserve">When the testing method selected is AHG only, VBECS </w:t>
            </w:r>
            <w:r w:rsidR="00B16403">
              <w:t xml:space="preserve">enables specific phases for </w:t>
            </w:r>
            <w:r>
              <w:t xml:space="preserve">the </w:t>
            </w:r>
            <w:r w:rsidR="00B16403">
              <w:t xml:space="preserve">ABS and XM </w:t>
            </w:r>
            <w:r>
              <w:t>data grid</w:t>
            </w:r>
            <w:r w:rsidR="00B16403">
              <w:t xml:space="preserve"> boxes for:</w:t>
            </w:r>
          </w:p>
          <w:p w14:paraId="63DEB6E2" w14:textId="77777777" w:rsidR="00B16403" w:rsidRDefault="00B16403" w:rsidP="00925CAD">
            <w:pPr>
              <w:pStyle w:val="NotesText"/>
              <w:numPr>
                <w:ilvl w:val="0"/>
                <w:numId w:val="41"/>
              </w:numPr>
            </w:pPr>
            <w:r>
              <w:t xml:space="preserve">Antibody Screen (ABS): AHG phase </w:t>
            </w:r>
          </w:p>
          <w:p w14:paraId="721AECB7" w14:textId="77777777" w:rsidR="00B16403" w:rsidRDefault="00B16403" w:rsidP="00925CAD">
            <w:pPr>
              <w:pStyle w:val="NotesText"/>
              <w:numPr>
                <w:ilvl w:val="0"/>
                <w:numId w:val="41"/>
              </w:numPr>
            </w:pPr>
            <w:r>
              <w:t xml:space="preserve">Serologic crossmatch (XM): IS and AHG phases </w:t>
            </w:r>
          </w:p>
          <w:p w14:paraId="0DF828E9" w14:textId="77777777" w:rsidR="004A6E1E" w:rsidRDefault="004A6E1E" w:rsidP="004A6E1E">
            <w:pPr>
              <w:pStyle w:val="NotesText"/>
            </w:pPr>
          </w:p>
          <w:p w14:paraId="04463303" w14:textId="77777777" w:rsidR="004A6E1E" w:rsidRDefault="004A6E1E" w:rsidP="004A6E1E">
            <w:pPr>
              <w:pStyle w:val="NotesText"/>
            </w:pPr>
            <w:r>
              <w:t>Rack configuration of AHG applies only to the antibody screen and crossmatch testing grids.</w:t>
            </w:r>
          </w:p>
          <w:p w14:paraId="141FAEB1" w14:textId="77777777" w:rsidR="004A6E1E" w:rsidRDefault="004A6E1E" w:rsidP="004A6E1E">
            <w:pPr>
              <w:pStyle w:val="NotesText"/>
            </w:pPr>
          </w:p>
          <w:p w14:paraId="1E7D8369" w14:textId="77777777" w:rsidR="004A6E1E" w:rsidRDefault="004A6E1E" w:rsidP="004A6E1E">
            <w:pPr>
              <w:pStyle w:val="NotesText"/>
            </w:pPr>
            <w:r>
              <w:t>The user may select another user’s name from the list, as appropriate.</w:t>
            </w:r>
            <w:r w:rsidR="00E36CAB">
              <w:t xml:space="preserve"> The logged on user’s name appears on the Testing Worklist Report as the Processing Tech in addition to the selected user name.</w:t>
            </w:r>
          </w:p>
          <w:p w14:paraId="50271515" w14:textId="77777777" w:rsidR="004A6E1E" w:rsidRDefault="004A6E1E" w:rsidP="004A6E1E">
            <w:pPr>
              <w:pStyle w:val="NotesText"/>
            </w:pPr>
          </w:p>
          <w:p w14:paraId="06609A7A" w14:textId="77777777" w:rsidR="004A6E1E" w:rsidRDefault="004A6E1E" w:rsidP="004A6E1E">
            <w:pPr>
              <w:pStyle w:val="NotesText"/>
            </w:pPr>
            <w:r>
              <w:t>The user may indicate that testing was performed at a past date and time.</w:t>
            </w:r>
          </w:p>
          <w:p w14:paraId="4312F79D" w14:textId="77777777" w:rsidR="004A6E1E" w:rsidRDefault="004A6E1E" w:rsidP="00906AE3">
            <w:pPr>
              <w:pStyle w:val="NotesText"/>
            </w:pPr>
          </w:p>
          <w:p w14:paraId="49B20BD7" w14:textId="528581AF" w:rsidR="004A6E1E" w:rsidRDefault="00906AE3" w:rsidP="00906AE3">
            <w:pPr>
              <w:pStyle w:val="NotesText"/>
            </w:pPr>
            <w:r w:rsidRPr="00896F17">
              <w:rPr>
                <w:rStyle w:val="BullhornChar"/>
              </w:rPr>
              <w:t></w:t>
            </w:r>
            <w:r w:rsidRPr="00C51C45">
              <w:t xml:space="preserve"> </w:t>
            </w:r>
            <w:r>
              <w:t xml:space="preserve">See </w:t>
            </w:r>
            <w:r w:rsidR="00EE455E">
              <w:t xml:space="preserve">Table </w:t>
            </w:r>
            <w:r w:rsidR="00EE455E">
              <w:rPr>
                <w:noProof/>
              </w:rPr>
              <w:t>10</w:t>
            </w:r>
            <w:r w:rsidR="003D71A3">
              <w:t xml:space="preserve"> </w:t>
            </w:r>
            <w:r w:rsidR="004A6E1E">
              <w:t>for alerts that may occur during this option.</w:t>
            </w:r>
          </w:p>
        </w:tc>
      </w:tr>
      <w:tr w:rsidR="002A21AE" w14:paraId="2CE52011" w14:textId="77777777" w:rsidTr="003362FE">
        <w:trPr>
          <w:cantSplit/>
        </w:trPr>
        <w:tc>
          <w:tcPr>
            <w:tcW w:w="3240" w:type="dxa"/>
          </w:tcPr>
          <w:p w14:paraId="2E844B26" w14:textId="77777777" w:rsidR="002A21AE" w:rsidRDefault="002A21AE">
            <w:pPr>
              <w:pStyle w:val="TableTextNumbers"/>
            </w:pPr>
            <w:r>
              <w:t xml:space="preserve">Respond to warnings, which may include entering a comment and details, and click </w:t>
            </w:r>
            <w:r>
              <w:rPr>
                <w:b/>
              </w:rPr>
              <w:t>OK</w:t>
            </w:r>
            <w:r>
              <w:t xml:space="preserve"> to continue. </w:t>
            </w:r>
          </w:p>
        </w:tc>
        <w:tc>
          <w:tcPr>
            <w:tcW w:w="6120" w:type="dxa"/>
          </w:tcPr>
          <w:p w14:paraId="2443BB96" w14:textId="77777777" w:rsidR="002A21AE" w:rsidRDefault="004D3195">
            <w:pPr>
              <w:pStyle w:val="TableTextBullet"/>
            </w:pPr>
            <w:r w:rsidRPr="00323744">
              <w:rPr>
                <w:rStyle w:val="BullhornChar"/>
              </w:rPr>
              <w:t></w:t>
            </w:r>
            <w:r>
              <w:rPr>
                <w:rFonts w:ascii="Webdings" w:hAnsi="Webdings"/>
              </w:rPr>
              <w:t></w:t>
            </w:r>
            <w:r w:rsidR="002A21AE">
              <w:t xml:space="preserve">Displays </w:t>
            </w:r>
            <w:r w:rsidR="00057948">
              <w:rPr>
                <w:noProof/>
              </w:rPr>
              <w:drawing>
                <wp:inline distT="0" distB="0" distL="0" distR="0" wp14:anchorId="200E056E" wp14:editId="49DE1D46">
                  <wp:extent cx="156845" cy="156845"/>
                  <wp:effectExtent l="0" t="0" r="0" b="0"/>
                  <wp:docPr id="237" name="Picture 237"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and emits an audible alert when there are SIs or TRs for the patient.</w:t>
            </w:r>
          </w:p>
          <w:p w14:paraId="5580279B" w14:textId="77777777" w:rsidR="002A21AE" w:rsidRDefault="002A21AE">
            <w:pPr>
              <w:pStyle w:val="TableTextBullet"/>
            </w:pPr>
            <w:r>
              <w:t xml:space="preserve">Prepares a direct data entry </w:t>
            </w:r>
            <w:r w:rsidR="00917E9F">
              <w:t xml:space="preserve">(DDE) </w:t>
            </w:r>
            <w:r>
              <w:t>grid for the user to enter the serologic reaction results for testing associated with the selected tasks.</w:t>
            </w:r>
          </w:p>
          <w:p w14:paraId="307C5567" w14:textId="77777777" w:rsidR="002A21AE" w:rsidRDefault="002A21AE">
            <w:pPr>
              <w:pStyle w:val="TableTextBullet"/>
            </w:pPr>
            <w:r>
              <w:t>Displays testing results and entered interpretations until the user saves them.</w:t>
            </w:r>
          </w:p>
        </w:tc>
      </w:tr>
      <w:tr w:rsidR="002A21AE" w14:paraId="26CD53DA" w14:textId="77777777" w:rsidTr="003362FE">
        <w:trPr>
          <w:cantSplit/>
        </w:trPr>
        <w:tc>
          <w:tcPr>
            <w:tcW w:w="3240" w:type="dxa"/>
          </w:tcPr>
          <w:p w14:paraId="6D0C093C" w14:textId="669E7E80" w:rsidR="00287C4D" w:rsidRDefault="00287C4D">
            <w:pPr>
              <w:pStyle w:val="TableTextNumbers"/>
            </w:pPr>
            <w:r>
              <w:lastRenderedPageBreak/>
              <w:t>Select a patient to begin entering his serologic reactions</w:t>
            </w:r>
            <w:r w:rsidR="002A2E1E">
              <w:t xml:space="preserve"> (</w:t>
            </w:r>
            <w:r w:rsidR="00EE455E">
              <w:t xml:space="preserve">Figure </w:t>
            </w:r>
            <w:r w:rsidR="00EE455E">
              <w:rPr>
                <w:noProof/>
              </w:rPr>
              <w:t>97</w:t>
            </w:r>
            <w:r w:rsidR="002A2E1E">
              <w:t>)</w:t>
            </w:r>
            <w:r>
              <w:t>.</w:t>
            </w:r>
          </w:p>
          <w:p w14:paraId="01CB3391" w14:textId="77777777" w:rsidR="00287C4D" w:rsidRDefault="00287C4D" w:rsidP="00287C4D">
            <w:pPr>
              <w:pStyle w:val="TableTextNumbersContinued"/>
            </w:pPr>
          </w:p>
          <w:p w14:paraId="6B860363" w14:textId="77777777" w:rsidR="002A21AE" w:rsidRDefault="002A21AE" w:rsidP="00287C4D">
            <w:pPr>
              <w:pStyle w:val="TableTextNumbersContinued"/>
            </w:pPr>
            <w:r>
              <w:t>Repeat this step for each selected patient until all test results and interpretations are entered in the test grid.</w:t>
            </w:r>
          </w:p>
        </w:tc>
        <w:tc>
          <w:tcPr>
            <w:tcW w:w="6120" w:type="dxa"/>
          </w:tcPr>
          <w:p w14:paraId="0F3CD246" w14:textId="77777777" w:rsidR="00287C4D" w:rsidRDefault="00287C4D" w:rsidP="00287C4D">
            <w:pPr>
              <w:pStyle w:val="TableTextBullet"/>
            </w:pPr>
            <w:r>
              <w:t xml:space="preserve">Allows the user to select one patient at a time and enter a test result for that patient. </w:t>
            </w:r>
          </w:p>
          <w:p w14:paraId="2B5B81CD" w14:textId="77777777" w:rsidR="00287C4D" w:rsidRDefault="00287C4D" w:rsidP="00287C4D">
            <w:pPr>
              <w:pStyle w:val="TableTextBullet"/>
            </w:pPr>
            <w:r>
              <w:t xml:space="preserve">Allows only valid data entries in the grid reaction result and interpretation cells. </w:t>
            </w:r>
          </w:p>
          <w:p w14:paraId="708F5C0D" w14:textId="77777777" w:rsidR="002A21AE" w:rsidRDefault="002A21AE">
            <w:pPr>
              <w:pStyle w:val="TableTextBullet"/>
            </w:pPr>
            <w:r>
              <w:rPr>
                <w:rFonts w:cs="Arial"/>
                <w:vanish/>
              </w:rPr>
              <w:t xml:space="preserve">BR_56.02 </w:t>
            </w:r>
            <w:r>
              <w:t xml:space="preserve">Allows a user to save </w:t>
            </w:r>
            <w:r w:rsidR="00F0003E">
              <w:t xml:space="preserve">partially completed tests. </w:t>
            </w:r>
          </w:p>
          <w:p w14:paraId="46CB62F9" w14:textId="77777777" w:rsidR="002A21AE" w:rsidRDefault="002A21AE">
            <w:pPr>
              <w:pStyle w:val="TableTextBullet"/>
            </w:pPr>
            <w:r>
              <w:t xml:space="preserve">When the user enters interpretation data, allows the save with or without warnings and overrides based on the test results entered for the patient and the user’s </w:t>
            </w:r>
            <w:r w:rsidR="00082F78">
              <w:t>security level</w:t>
            </w:r>
            <w:r>
              <w:t xml:space="preserve">. </w:t>
            </w:r>
          </w:p>
          <w:p w14:paraId="03A0B4DD" w14:textId="77777777" w:rsidR="002A21AE" w:rsidRDefault="002A21AE">
            <w:pPr>
              <w:pStyle w:val="TableText"/>
            </w:pPr>
          </w:p>
          <w:p w14:paraId="474743EC" w14:textId="73ADF5B0" w:rsidR="002A21AE" w:rsidRDefault="002A21AE">
            <w:pPr>
              <w:pStyle w:val="TableText"/>
              <w:rPr>
                <w:b/>
                <w:bCs/>
                <w:szCs w:val="18"/>
              </w:rPr>
            </w:pPr>
            <w:r>
              <w:rPr>
                <w:b/>
                <w:bCs/>
                <w:szCs w:val="18"/>
              </w:rPr>
              <w:t>NOTES</w:t>
            </w:r>
          </w:p>
          <w:p w14:paraId="14059312" w14:textId="77777777" w:rsidR="002A21AE" w:rsidRDefault="002A21AE">
            <w:pPr>
              <w:pStyle w:val="NotesText"/>
            </w:pPr>
          </w:p>
          <w:p w14:paraId="34E7E751" w14:textId="77777777" w:rsidR="00F0003E" w:rsidRDefault="002A21AE" w:rsidP="00F0003E">
            <w:pPr>
              <w:pStyle w:val="NotesText"/>
            </w:pPr>
            <w:r>
              <w:t>The user may order a reflex test and may update the patient’s TRs and SIs.</w:t>
            </w:r>
          </w:p>
          <w:p w14:paraId="3FA1D6BB" w14:textId="77777777" w:rsidR="00F0003E" w:rsidRDefault="00F0003E" w:rsidP="00F0003E">
            <w:pPr>
              <w:pStyle w:val="NotesText"/>
            </w:pPr>
          </w:p>
          <w:p w14:paraId="3EB7A8A3" w14:textId="77777777" w:rsidR="002A21AE" w:rsidRDefault="00F0003E" w:rsidP="00F0003E">
            <w:pPr>
              <w:pStyle w:val="NotesText"/>
            </w:pPr>
            <w:r>
              <w:rPr>
                <w:vanish/>
              </w:rPr>
              <w:t xml:space="preserve">BR_56.02 </w:t>
            </w:r>
            <w:r>
              <w:t>The ABO and Rh tests are considered one test and must be resulted together before a save is permitted.</w:t>
            </w:r>
            <w:r w:rsidR="002A21AE">
              <w:t xml:space="preserve"> </w:t>
            </w:r>
          </w:p>
        </w:tc>
      </w:tr>
      <w:tr w:rsidR="002A21AE" w14:paraId="5B1F1640" w14:textId="77777777" w:rsidTr="003362FE">
        <w:trPr>
          <w:cantSplit/>
        </w:trPr>
        <w:tc>
          <w:tcPr>
            <w:tcW w:w="3240" w:type="dxa"/>
          </w:tcPr>
          <w:p w14:paraId="2E16957B" w14:textId="77777777" w:rsidR="002A21AE" w:rsidRDefault="002A21AE">
            <w:pPr>
              <w:pStyle w:val="TableTextNumbers"/>
            </w:pPr>
            <w:r>
              <w:t xml:space="preserve">Respond to warnings for the selected patient and confirm that appropriate test results were entered. </w:t>
            </w:r>
          </w:p>
          <w:p w14:paraId="33716DDF" w14:textId="77777777" w:rsidR="002A21AE" w:rsidRDefault="002A21AE">
            <w:pPr>
              <w:pStyle w:val="TableTextNumbersContinued"/>
            </w:pPr>
          </w:p>
          <w:p w14:paraId="2190C3DA" w14:textId="620A8884" w:rsidR="002A21AE" w:rsidRDefault="002A21AE">
            <w:pPr>
              <w:pStyle w:val="TableTextNumbersContinued"/>
            </w:pPr>
            <w:r>
              <w:t>Repeat Steps 5</w:t>
            </w:r>
            <w:r w:rsidR="004F5589">
              <w:t xml:space="preserve"> and </w:t>
            </w:r>
            <w:r>
              <w:t>6 for each patient until all patient work is saved.</w:t>
            </w:r>
          </w:p>
        </w:tc>
        <w:tc>
          <w:tcPr>
            <w:tcW w:w="6120" w:type="dxa"/>
          </w:tcPr>
          <w:p w14:paraId="49B652BE" w14:textId="77777777" w:rsidR="002A21AE" w:rsidRDefault="002A21AE">
            <w:pPr>
              <w:pStyle w:val="TableTextBullet"/>
            </w:pPr>
            <w:r>
              <w:rPr>
                <w:rFonts w:cs="Arial"/>
                <w:vanish/>
              </w:rPr>
              <w:t xml:space="preserve">BR_56.05 </w:t>
            </w:r>
            <w:r>
              <w:t xml:space="preserve">When a user enters a valid interpretation and saves it for a test, updates the order status to “completed.” </w:t>
            </w:r>
          </w:p>
          <w:p w14:paraId="729126FA" w14:textId="77777777" w:rsidR="002A21AE" w:rsidRDefault="002A21AE">
            <w:pPr>
              <w:pStyle w:val="TableTextBullet"/>
            </w:pPr>
            <w:r>
              <w:rPr>
                <w:rFonts w:cs="Arial"/>
                <w:vanish/>
              </w:rPr>
              <w:t xml:space="preserve">BR_56.11 </w:t>
            </w:r>
            <w:r>
              <w:t>Displays each patient’s data for review before allowing the user to save them.</w:t>
            </w:r>
          </w:p>
          <w:p w14:paraId="45912A7F" w14:textId="77777777" w:rsidR="002A21AE" w:rsidRDefault="002A21AE">
            <w:pPr>
              <w:pStyle w:val="TableTextBullet"/>
            </w:pPr>
            <w:r>
              <w:t>Saves patient testing results for retrieval from completed tests.</w:t>
            </w:r>
          </w:p>
          <w:p w14:paraId="6D1836B5" w14:textId="77777777" w:rsidR="002A21AE" w:rsidRDefault="002A21AE">
            <w:pPr>
              <w:pStyle w:val="TableTextBullet"/>
            </w:pPr>
            <w:r>
              <w:t>Saves only the patient testing displayed.</w:t>
            </w:r>
          </w:p>
          <w:p w14:paraId="54F79F29" w14:textId="77777777" w:rsidR="002A21AE" w:rsidRDefault="002A21AE">
            <w:pPr>
              <w:pStyle w:val="TableText"/>
              <w:rPr>
                <w:b/>
                <w:bCs/>
                <w:szCs w:val="18"/>
              </w:rPr>
            </w:pPr>
          </w:p>
          <w:p w14:paraId="3AA1C6D4" w14:textId="73B75C44" w:rsidR="002A21AE" w:rsidRDefault="002A21AE">
            <w:pPr>
              <w:pStyle w:val="TableText"/>
              <w:rPr>
                <w:b/>
                <w:bCs/>
                <w:szCs w:val="18"/>
              </w:rPr>
            </w:pPr>
            <w:r>
              <w:rPr>
                <w:b/>
                <w:bCs/>
                <w:szCs w:val="18"/>
              </w:rPr>
              <w:t>NOTES</w:t>
            </w:r>
          </w:p>
          <w:p w14:paraId="6B55922C" w14:textId="77777777" w:rsidR="002A21AE" w:rsidRDefault="002A21AE">
            <w:pPr>
              <w:pStyle w:val="NotesText"/>
            </w:pPr>
          </w:p>
          <w:p w14:paraId="4CD5960C" w14:textId="77777777" w:rsidR="002A21AE" w:rsidRDefault="002A21AE">
            <w:pPr>
              <w:pStyle w:val="NotesText"/>
            </w:pPr>
            <w:r>
              <w:rPr>
                <w:rFonts w:cs="Arial"/>
                <w:vanish/>
              </w:rPr>
              <w:t xml:space="preserve">BR_56.04 </w:t>
            </w:r>
            <w:r>
              <w:t>The user may save part or all of one patient’s testing results at a time. When all data for a patient are saved, the patient tab is no longer visible.</w:t>
            </w:r>
          </w:p>
          <w:p w14:paraId="38EA3223" w14:textId="77777777" w:rsidR="002A21AE" w:rsidRDefault="002A21AE">
            <w:pPr>
              <w:pStyle w:val="NotesText"/>
            </w:pPr>
          </w:p>
          <w:p w14:paraId="0B923226" w14:textId="77777777" w:rsidR="002A21AE" w:rsidRDefault="002A21AE">
            <w:pPr>
              <w:pStyle w:val="NotesText"/>
            </w:pPr>
            <w:r>
              <w:rPr>
                <w:rFonts w:cs="Arial"/>
                <w:vanish/>
              </w:rPr>
              <w:t xml:space="preserve">BR_56.27 </w:t>
            </w:r>
            <w:r>
              <w:t xml:space="preserve">When a user saves a test with a “correction” task status, VBECS saves the results and interpretations and adds </w:t>
            </w:r>
            <w:r w:rsidR="00EB2CC3">
              <w:t>a</w:t>
            </w:r>
            <w:r>
              <w:t xml:space="preserve"> comment </w:t>
            </w:r>
            <w:r w:rsidR="00EB2CC3">
              <w:t>to the Testing Worklist Report</w:t>
            </w:r>
            <w:r>
              <w:t xml:space="preserve">. </w:t>
            </w:r>
          </w:p>
          <w:p w14:paraId="029A8F96" w14:textId="77777777" w:rsidR="00587EE2" w:rsidRDefault="00587EE2">
            <w:pPr>
              <w:pStyle w:val="NotesText"/>
              <w:rPr>
                <w:rFonts w:cs="Arial"/>
                <w:spacing w:val="-5"/>
              </w:rPr>
            </w:pPr>
          </w:p>
          <w:p w14:paraId="7E830E4F" w14:textId="683EBAB9" w:rsidR="00587EE2" w:rsidRDefault="00587EE2">
            <w:pPr>
              <w:pStyle w:val="NotesText"/>
              <w:rPr>
                <w:rFonts w:cs="Arial"/>
                <w:spacing w:val="-5"/>
              </w:rPr>
            </w:pPr>
            <w:r w:rsidRPr="00587EE2">
              <w:rPr>
                <w:rFonts w:cs="Arial"/>
                <w:vanish/>
                <w:spacing w:val="-5"/>
              </w:rPr>
              <w:t xml:space="preserve">BR_56.30 </w:t>
            </w:r>
            <w:r>
              <w:rPr>
                <w:rFonts w:cs="Arial"/>
                <w:spacing w:val="-5"/>
              </w:rPr>
              <w:t>VBECS sends an order completion message to CPRS w</w:t>
            </w:r>
            <w:r w:rsidRPr="009B6526">
              <w:rPr>
                <w:rFonts w:cs="Arial"/>
                <w:spacing w:val="-5"/>
              </w:rPr>
              <w:t xml:space="preserve">hen the user </w:t>
            </w:r>
            <w:r>
              <w:rPr>
                <w:rFonts w:cs="Arial"/>
                <w:spacing w:val="-5"/>
              </w:rPr>
              <w:t>enters</w:t>
            </w:r>
            <w:r w:rsidRPr="009B6526">
              <w:rPr>
                <w:rFonts w:cs="Arial"/>
                <w:spacing w:val="-5"/>
              </w:rPr>
              <w:t xml:space="preserve"> and successfully save</w:t>
            </w:r>
            <w:r>
              <w:rPr>
                <w:rFonts w:cs="Arial"/>
                <w:spacing w:val="-5"/>
              </w:rPr>
              <w:t>s</w:t>
            </w:r>
            <w:r w:rsidRPr="009B6526">
              <w:rPr>
                <w:rFonts w:cs="Arial"/>
                <w:spacing w:val="-5"/>
              </w:rPr>
              <w:t xml:space="preserve"> all test results and interpretations for </w:t>
            </w:r>
            <w:r>
              <w:rPr>
                <w:rFonts w:cs="Arial"/>
                <w:spacing w:val="-5"/>
              </w:rPr>
              <w:t xml:space="preserve">a </w:t>
            </w:r>
            <w:r w:rsidRPr="009B6526">
              <w:rPr>
                <w:rFonts w:cs="Arial"/>
                <w:spacing w:val="-5"/>
              </w:rPr>
              <w:t>diagnostic test</w:t>
            </w:r>
            <w:r>
              <w:rPr>
                <w:rFonts w:cs="Arial"/>
                <w:spacing w:val="-5"/>
              </w:rPr>
              <w:t>.</w:t>
            </w:r>
            <w:r w:rsidRPr="00587EE2">
              <w:rPr>
                <w:rFonts w:cs="Arial"/>
                <w:vanish/>
                <w:spacing w:val="-5"/>
              </w:rPr>
              <w:t>DR 2,869</w:t>
            </w:r>
          </w:p>
          <w:p w14:paraId="498E3814" w14:textId="700A2E2E" w:rsidR="00AF6F7F" w:rsidRDefault="00AF6F7F">
            <w:pPr>
              <w:pStyle w:val="NotesText"/>
              <w:rPr>
                <w:rFonts w:cs="Arial"/>
                <w:spacing w:val="-5"/>
              </w:rPr>
            </w:pPr>
          </w:p>
          <w:p w14:paraId="519A8F86" w14:textId="3467E65B" w:rsidR="00AF6F7F" w:rsidRDefault="00AF6F7F">
            <w:pPr>
              <w:pStyle w:val="NotesText"/>
              <w:rPr>
                <w:rFonts w:cs="Arial"/>
                <w:spacing w:val="-5"/>
              </w:rPr>
            </w:pPr>
            <w:r w:rsidRPr="00AF6F7F">
              <w:rPr>
                <w:vanish/>
              </w:rPr>
              <w:t xml:space="preserve">BR_53.08 </w:t>
            </w:r>
            <w:r>
              <w:t xml:space="preserve">If the antibody screen is positive, the system shall emit an audible alert and warning that displays </w:t>
            </w:r>
            <w:r w:rsidRPr="00DD6184">
              <w:t>Patient has a POSITIVE Antibody Screen Result. Please perform Antibody Identification on this patient prior to issue of blood components</w:t>
            </w:r>
            <w:r>
              <w:t>.</w:t>
            </w:r>
          </w:p>
          <w:p w14:paraId="04C8DBF9" w14:textId="77777777" w:rsidR="00587EE2" w:rsidRDefault="00587EE2">
            <w:pPr>
              <w:pStyle w:val="NotesText"/>
            </w:pPr>
          </w:p>
          <w:p w14:paraId="28AB9FD2" w14:textId="77777777" w:rsidR="002A21AE" w:rsidRDefault="00EC7489" w:rsidP="00EC7489">
            <w:pPr>
              <w:pStyle w:val="NotesText"/>
            </w:pPr>
            <w:r w:rsidRPr="00323744">
              <w:rPr>
                <w:rStyle w:val="BullhornChar"/>
              </w:rPr>
              <w:t></w:t>
            </w:r>
            <w:r>
              <w:rPr>
                <w:rFonts w:ascii="Webdings" w:hAnsi="Webdings"/>
              </w:rPr>
              <w:t></w:t>
            </w:r>
            <w:r w:rsidR="002A21AE">
              <w:t>May display multiple warning and override messages for the user’s response.</w:t>
            </w:r>
          </w:p>
        </w:tc>
      </w:tr>
      <w:tr w:rsidR="002A21AE" w14:paraId="0DF6204A" w14:textId="77777777" w:rsidTr="003362FE">
        <w:trPr>
          <w:cantSplit/>
        </w:trPr>
        <w:tc>
          <w:tcPr>
            <w:tcW w:w="3240" w:type="dxa"/>
          </w:tcPr>
          <w:p w14:paraId="52A582B8" w14:textId="77777777" w:rsidR="002A21AE" w:rsidRDefault="002A21AE">
            <w:pPr>
              <w:pStyle w:val="TableTextNumbers"/>
            </w:pPr>
            <w:r>
              <w:t xml:space="preserve">When the selected patient testing is complete, click </w:t>
            </w:r>
            <w:r>
              <w:rPr>
                <w:b/>
              </w:rPr>
              <w:t>OK</w:t>
            </w:r>
            <w:r>
              <w:t xml:space="preserve"> and </w:t>
            </w:r>
            <w:r>
              <w:rPr>
                <w:b/>
              </w:rPr>
              <w:t>Yes</w:t>
            </w:r>
            <w:r>
              <w:t xml:space="preserve"> to confirm changes and continue to the next patient,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3294B525" w14:textId="77777777" w:rsidR="002A21AE" w:rsidRDefault="002A21AE">
            <w:pPr>
              <w:pStyle w:val="TableText"/>
            </w:pPr>
            <w:r>
              <w:t xml:space="preserve"> </w:t>
            </w:r>
          </w:p>
        </w:tc>
      </w:tr>
    </w:tbl>
    <w:p w14:paraId="3641742D" w14:textId="58E71D11" w:rsidR="007810A1" w:rsidRDefault="002A2E1E" w:rsidP="007810A1">
      <w:pPr>
        <w:pStyle w:val="Caption"/>
      </w:pPr>
      <w:bookmarkStart w:id="461" w:name="_Ref12672645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97</w:t>
      </w:r>
      <w:r w:rsidR="004E20BD">
        <w:rPr>
          <w:noProof/>
        </w:rPr>
        <w:fldChar w:fldCharType="end"/>
      </w:r>
      <w:bookmarkEnd w:id="461"/>
      <w:r>
        <w:t>: Testing Details</w:t>
      </w:r>
      <w:bookmarkStart w:id="462" w:name="_Ref126726602"/>
    </w:p>
    <w:p w14:paraId="0812AC28" w14:textId="77777777" w:rsidR="007810A1" w:rsidRPr="007810A1" w:rsidRDefault="00057948" w:rsidP="00D327A3">
      <w:pPr>
        <w:pStyle w:val="BodyText"/>
      </w:pPr>
      <w:r>
        <w:rPr>
          <w:noProof/>
        </w:rPr>
        <w:drawing>
          <wp:inline distT="0" distB="0" distL="0" distR="0" wp14:anchorId="4AFCD5CA" wp14:editId="73134EF5">
            <wp:extent cx="4322445" cy="2964815"/>
            <wp:effectExtent l="0" t="0" r="1905" b="6985"/>
            <wp:docPr id="238" name="Picture 238" descr="Example of Testing Detail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Example of Testing Details screen captur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22445" cy="2964815"/>
                    </a:xfrm>
                    <a:prstGeom prst="rect">
                      <a:avLst/>
                    </a:prstGeom>
                    <a:noFill/>
                    <a:ln>
                      <a:noFill/>
                    </a:ln>
                  </pic:spPr>
                </pic:pic>
              </a:graphicData>
            </a:graphic>
          </wp:inline>
        </w:drawing>
      </w:r>
    </w:p>
    <w:p w14:paraId="4F632AC9" w14:textId="66582F31" w:rsidR="002A2E1E" w:rsidRDefault="002A2E1E" w:rsidP="007810A1">
      <w:pPr>
        <w:pStyle w:val="Caption"/>
      </w:pPr>
      <w:bookmarkStart w:id="463" w:name="_Ref13556829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98</w:t>
      </w:r>
      <w:r w:rsidR="004E20BD">
        <w:rPr>
          <w:noProof/>
        </w:rPr>
        <w:fldChar w:fldCharType="end"/>
      </w:r>
      <w:bookmarkEnd w:id="462"/>
      <w:bookmarkEnd w:id="463"/>
      <w:r>
        <w:t>: Patient Testing</w:t>
      </w:r>
    </w:p>
    <w:p w14:paraId="2A6D39F6" w14:textId="77777777" w:rsidR="002A2E1E" w:rsidRPr="006A0A4A" w:rsidRDefault="00057948" w:rsidP="007810A1">
      <w:pPr>
        <w:pStyle w:val="BodyText"/>
      </w:pPr>
      <w:r>
        <w:rPr>
          <w:noProof/>
        </w:rPr>
        <w:drawing>
          <wp:inline distT="0" distB="0" distL="0" distR="0" wp14:anchorId="5368F009" wp14:editId="5C9038B2">
            <wp:extent cx="5939155" cy="4433570"/>
            <wp:effectExtent l="0" t="0" r="4445" b="5080"/>
            <wp:docPr id="239" name="Picture 239" descr="Example of Patient Test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Example of Patient Testing screen captur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39155" cy="4433570"/>
                    </a:xfrm>
                    <a:prstGeom prst="rect">
                      <a:avLst/>
                    </a:prstGeom>
                    <a:noFill/>
                    <a:ln>
                      <a:noFill/>
                    </a:ln>
                  </pic:spPr>
                </pic:pic>
              </a:graphicData>
            </a:graphic>
          </wp:inline>
        </w:drawing>
      </w:r>
    </w:p>
    <w:p w14:paraId="3B555D25" w14:textId="77777777" w:rsidR="007810A1" w:rsidRDefault="007810A1" w:rsidP="007810A1">
      <w:pPr>
        <w:pStyle w:val="Heading4"/>
      </w:pPr>
      <w:bookmarkStart w:id="464" w:name="_Ref126504310"/>
      <w:bookmarkStart w:id="465" w:name="_Toc97523624"/>
      <w:bookmarkStart w:id="466" w:name="_Toc97527594"/>
      <w:r w:rsidRPr="00323744">
        <w:rPr>
          <w:rStyle w:val="BullhornChar"/>
        </w:rPr>
        <w:t></w:t>
      </w:r>
      <w:r>
        <w:rPr>
          <w:rFonts w:ascii="Webdings" w:hAnsi="Webdings"/>
        </w:rPr>
        <w:t></w:t>
      </w:r>
      <w:r>
        <w:t>Alerts</w:t>
      </w:r>
    </w:p>
    <w:p w14:paraId="54E338EB" w14:textId="4EAB03FC" w:rsidR="002A21AE" w:rsidRDefault="002A21AE">
      <w:pPr>
        <w:pStyle w:val="Caption"/>
      </w:pPr>
      <w:bookmarkStart w:id="467" w:name="_Ref13556819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10</w:t>
      </w:r>
      <w:r w:rsidR="004E20BD">
        <w:rPr>
          <w:noProof/>
        </w:rPr>
        <w:fldChar w:fldCharType="end"/>
      </w:r>
      <w:bookmarkEnd w:id="464"/>
      <w:bookmarkEnd w:id="467"/>
      <w:r>
        <w:t xml:space="preserve">: Alerts That May Occur in Patient Testing: </w:t>
      </w:r>
      <w:bookmarkEnd w:id="465"/>
      <w:bookmarkEnd w:id="466"/>
      <w:r w:rsidR="00260BEA">
        <w:t>General Instructions</w:t>
      </w:r>
      <w:r>
        <w:fldChar w:fldCharType="begin"/>
      </w:r>
      <w:r>
        <w:instrText xml:space="preserve"> XE </w:instrText>
      </w:r>
      <w:r w:rsidR="00FA7E65">
        <w:instrText>“</w:instrText>
      </w:r>
      <w:r>
        <w:instrText>Tables:Alerts That May Occur in Patient Testing</w:instrText>
      </w:r>
      <w:r w:rsidR="00812371">
        <w:instrText xml:space="preserve"> -</w:instrText>
      </w:r>
      <w:r w:rsidR="00580422">
        <w:instrText xml:space="preserve"> </w:instrText>
      </w:r>
      <w:r w:rsidR="00260BEA">
        <w:instrText>General Instructions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5471DFCC" w14:textId="77777777">
        <w:trPr>
          <w:tblHeader/>
        </w:trPr>
        <w:tc>
          <w:tcPr>
            <w:tcW w:w="780" w:type="dxa"/>
            <w:shd w:val="clear" w:color="auto" w:fill="B3B3B3"/>
          </w:tcPr>
          <w:p w14:paraId="2C0B7F77" w14:textId="77777777" w:rsidR="002A21AE" w:rsidRDefault="00DB3377">
            <w:pPr>
              <w:pStyle w:val="TableText"/>
              <w:rPr>
                <w:b/>
              </w:rPr>
            </w:pPr>
            <w:r>
              <w:rPr>
                <w:b/>
              </w:rPr>
              <w:t>User Action Step</w:t>
            </w:r>
          </w:p>
        </w:tc>
        <w:tc>
          <w:tcPr>
            <w:tcW w:w="8580" w:type="dxa"/>
            <w:shd w:val="clear" w:color="auto" w:fill="B3B3B3"/>
          </w:tcPr>
          <w:p w14:paraId="5025C7E1" w14:textId="77777777" w:rsidR="002A21AE" w:rsidRDefault="002A21AE">
            <w:pPr>
              <w:pStyle w:val="TableText"/>
              <w:rPr>
                <w:b/>
              </w:rPr>
            </w:pPr>
            <w:r>
              <w:rPr>
                <w:b/>
              </w:rPr>
              <w:t>Alerts</w:t>
            </w:r>
          </w:p>
        </w:tc>
      </w:tr>
      <w:tr w:rsidR="002A21AE" w14:paraId="3C87A336" w14:textId="77777777">
        <w:tblPrEx>
          <w:tblLook w:val="0000" w:firstRow="0" w:lastRow="0" w:firstColumn="0" w:lastColumn="0" w:noHBand="0" w:noVBand="0"/>
        </w:tblPrEx>
        <w:tc>
          <w:tcPr>
            <w:tcW w:w="780" w:type="dxa"/>
          </w:tcPr>
          <w:p w14:paraId="2FA385E1" w14:textId="77777777" w:rsidR="002A21AE" w:rsidRDefault="002A21AE">
            <w:pPr>
              <w:pStyle w:val="TableText"/>
            </w:pPr>
            <w:r>
              <w:t>4</w:t>
            </w:r>
          </w:p>
        </w:tc>
        <w:tc>
          <w:tcPr>
            <w:tcW w:w="8580" w:type="dxa"/>
          </w:tcPr>
          <w:p w14:paraId="2F53CA60" w14:textId="77777777" w:rsidR="002A21AE" w:rsidRDefault="002A21AE" w:rsidP="00D64D63">
            <w:pPr>
              <w:pStyle w:val="TableText"/>
            </w:pPr>
            <w:r w:rsidRPr="001D6391">
              <w:rPr>
                <w:vanish/>
              </w:rPr>
              <w:t xml:space="preserve">BR_41.04 </w:t>
            </w:r>
            <w:r>
              <w:t xml:space="preserve">When the division is configured as “full service” in </w:t>
            </w:r>
            <w:r w:rsidR="00D567C9">
              <w:t>Configure Division</w:t>
            </w:r>
            <w:r>
              <w:t xml:space="preserve">, VBECS displays data fields for the user to select or enter the lot number, and displays the manufacturer and expiration date of each antiserum to be used in this transaction to allow the user to choose the correct antiserum. VBECS displays in-date antisera and allows the user to select outdated antisera, if needed, emits an audible alert, and requires an override. VBECS captures details for inclusion in an Exception Report (exception type: expired antisera used). </w:t>
            </w:r>
          </w:p>
        </w:tc>
      </w:tr>
      <w:tr w:rsidR="002A21AE" w14:paraId="67F64162" w14:textId="77777777">
        <w:tblPrEx>
          <w:tblLook w:val="0000" w:firstRow="0" w:lastRow="0" w:firstColumn="0" w:lastColumn="0" w:noHBand="0" w:noVBand="0"/>
        </w:tblPrEx>
        <w:tc>
          <w:tcPr>
            <w:tcW w:w="780" w:type="dxa"/>
          </w:tcPr>
          <w:p w14:paraId="3A8D1C65" w14:textId="77777777" w:rsidR="002A21AE" w:rsidRDefault="002A21AE">
            <w:pPr>
              <w:pStyle w:val="TableText"/>
            </w:pPr>
            <w:r>
              <w:t>5</w:t>
            </w:r>
          </w:p>
        </w:tc>
        <w:tc>
          <w:tcPr>
            <w:tcW w:w="8580" w:type="dxa"/>
          </w:tcPr>
          <w:p w14:paraId="528716FF" w14:textId="77777777" w:rsidR="002A21AE" w:rsidRDefault="002A21AE">
            <w:pPr>
              <w:pStyle w:val="TableText"/>
            </w:pPr>
            <w:r>
              <w:rPr>
                <w:rFonts w:cs="Arial"/>
                <w:vanish/>
              </w:rPr>
              <w:t xml:space="preserve">BR_56.03 </w:t>
            </w:r>
            <w:r>
              <w:t>The user may cancel or delete a partially</w:t>
            </w:r>
            <w:r>
              <w:rPr>
                <w:b/>
              </w:rPr>
              <w:t xml:space="preserve"> </w:t>
            </w:r>
            <w:r>
              <w:t>completed grid. VBECS:</w:t>
            </w:r>
          </w:p>
          <w:p w14:paraId="238A1958" w14:textId="77777777" w:rsidR="002A21AE" w:rsidRDefault="002A21AE">
            <w:pPr>
              <w:pStyle w:val="TableTextBullet"/>
            </w:pPr>
            <w:r>
              <w:t xml:space="preserve">Emits an audible alert and requires a comment. </w:t>
            </w:r>
          </w:p>
          <w:p w14:paraId="03FAFD3E" w14:textId="77777777" w:rsidR="002A21AE" w:rsidRDefault="002A21AE">
            <w:pPr>
              <w:pStyle w:val="TableTextBullet"/>
            </w:pPr>
            <w:r>
              <w:t>Clears previously entered observed results from the data grid and allows the user to enter new data.</w:t>
            </w:r>
          </w:p>
          <w:p w14:paraId="4ED1F6CF" w14:textId="5F02E8E8" w:rsidR="002A21AE" w:rsidRDefault="002A21AE" w:rsidP="00BE7839">
            <w:pPr>
              <w:pStyle w:val="TableTextBullet"/>
            </w:pPr>
            <w:r>
              <w:t xml:space="preserve">Captures details for inclusion in an Exception Report (exception type: previously recorded results </w:t>
            </w:r>
            <w:r w:rsidR="00143C19">
              <w:t>inactivated</w:t>
            </w:r>
            <w:r>
              <w:t xml:space="preserve">). </w:t>
            </w:r>
            <w:r w:rsidR="00BE7839">
              <w:t>Note that t</w:t>
            </w:r>
            <w:r w:rsidR="00C46644">
              <w:t>he time displayed in the "Date/T</w:t>
            </w:r>
            <w:r w:rsidR="00BE7839" w:rsidRPr="00BE7839">
              <w:t>ime results invalidated" field is the time the results were entered.</w:t>
            </w:r>
            <w:r w:rsidR="00244AD3">
              <w:t xml:space="preserve"> </w:t>
            </w:r>
            <w:r w:rsidR="00244AD3" w:rsidRPr="00244AD3">
              <w:rPr>
                <w:vanish/>
              </w:rPr>
              <w:t>Defect 209618</w:t>
            </w:r>
          </w:p>
        </w:tc>
      </w:tr>
      <w:tr w:rsidR="002A21AE" w14:paraId="443468A2" w14:textId="77777777">
        <w:tblPrEx>
          <w:tblLook w:val="0000" w:firstRow="0" w:lastRow="0" w:firstColumn="0" w:lastColumn="0" w:noHBand="0" w:noVBand="0"/>
        </w:tblPrEx>
        <w:tc>
          <w:tcPr>
            <w:tcW w:w="780" w:type="dxa"/>
          </w:tcPr>
          <w:p w14:paraId="6D3732CD" w14:textId="77777777" w:rsidR="002A21AE" w:rsidRDefault="002A21AE">
            <w:pPr>
              <w:pStyle w:val="TableText"/>
            </w:pPr>
            <w:r>
              <w:t>6</w:t>
            </w:r>
          </w:p>
        </w:tc>
        <w:tc>
          <w:tcPr>
            <w:tcW w:w="8580" w:type="dxa"/>
          </w:tcPr>
          <w:p w14:paraId="79A4D961" w14:textId="77777777" w:rsidR="002A21AE" w:rsidRDefault="002A21AE">
            <w:pPr>
              <w:pStyle w:val="TableText"/>
            </w:pPr>
            <w:r>
              <w:rPr>
                <w:rFonts w:cs="Arial"/>
                <w:vanish/>
              </w:rPr>
              <w:t xml:space="preserve">BR_56.01 </w:t>
            </w:r>
            <w:r>
              <w:t>Warns that the user is saving the first instance of a historic ABO/Rh.</w:t>
            </w:r>
          </w:p>
        </w:tc>
      </w:tr>
      <w:tr w:rsidR="002A21AE" w14:paraId="66EF6146" w14:textId="77777777">
        <w:tblPrEx>
          <w:tblLook w:val="0000" w:firstRow="0" w:lastRow="0" w:firstColumn="0" w:lastColumn="0" w:noHBand="0" w:noVBand="0"/>
        </w:tblPrEx>
        <w:tc>
          <w:tcPr>
            <w:tcW w:w="780" w:type="dxa"/>
          </w:tcPr>
          <w:p w14:paraId="299ED536" w14:textId="77777777" w:rsidR="002A21AE" w:rsidRDefault="002A21AE">
            <w:pPr>
              <w:pStyle w:val="TableText"/>
            </w:pPr>
            <w:r>
              <w:lastRenderedPageBreak/>
              <w:t>6</w:t>
            </w:r>
          </w:p>
        </w:tc>
        <w:tc>
          <w:tcPr>
            <w:tcW w:w="8580" w:type="dxa"/>
          </w:tcPr>
          <w:p w14:paraId="4D664199" w14:textId="77777777" w:rsidR="004254A3" w:rsidRDefault="002A21AE">
            <w:pPr>
              <w:pStyle w:val="Table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tc>
      </w:tr>
      <w:tr w:rsidR="002A21AE" w14:paraId="5CFE5F7E" w14:textId="77777777">
        <w:tblPrEx>
          <w:tblLook w:val="0000" w:firstRow="0" w:lastRow="0" w:firstColumn="0" w:lastColumn="0" w:noHBand="0" w:noVBand="0"/>
        </w:tblPrEx>
        <w:tc>
          <w:tcPr>
            <w:tcW w:w="780" w:type="dxa"/>
          </w:tcPr>
          <w:p w14:paraId="08739A57" w14:textId="77777777" w:rsidR="002A21AE" w:rsidRDefault="002A21AE">
            <w:pPr>
              <w:pStyle w:val="TableText"/>
            </w:pPr>
            <w:r>
              <w:t>6</w:t>
            </w:r>
          </w:p>
        </w:tc>
        <w:tc>
          <w:tcPr>
            <w:tcW w:w="8580" w:type="dxa"/>
          </w:tcPr>
          <w:p w14:paraId="55F4C243" w14:textId="77777777" w:rsidR="002A21AE" w:rsidRDefault="002A21AE">
            <w:pPr>
              <w:pStyle w:val="TableText"/>
            </w:pPr>
            <w:r>
              <w:rPr>
                <w:rFonts w:cs="Arial"/>
                <w:vanish/>
                <w:szCs w:val="18"/>
              </w:rPr>
              <w:t>BR_56.16</w:t>
            </w:r>
            <w:r w:rsidR="00CE3961">
              <w:rPr>
                <w:rFonts w:cs="Arial"/>
                <w:vanish/>
                <w:szCs w:val="18"/>
              </w:rPr>
              <w:t>,</w:t>
            </w:r>
            <w:r>
              <w:rPr>
                <w:rFonts w:cs="Arial"/>
                <w:vanish/>
                <w:szCs w:val="18"/>
              </w:rPr>
              <w:t xml:space="preserve"> </w:t>
            </w:r>
            <w:r>
              <w:rPr>
                <w:vanish/>
                <w:szCs w:val="18"/>
              </w:rPr>
              <w:t xml:space="preserve">BR_56.28 </w:t>
            </w:r>
            <w:r>
              <w:t>When the interpretation of a repeat ABO/Rh does not match the original interpretation, VBECS:</w:t>
            </w:r>
          </w:p>
          <w:p w14:paraId="29CD6932" w14:textId="77777777" w:rsidR="002A21AE" w:rsidRDefault="002A21AE">
            <w:pPr>
              <w:pStyle w:val="TableTextBullet"/>
            </w:pPr>
            <w:r>
              <w:t>Verifies the retest results.</w:t>
            </w:r>
          </w:p>
          <w:p w14:paraId="4849695F" w14:textId="77777777" w:rsidR="002A21AE" w:rsidRDefault="002A21AE">
            <w:pPr>
              <w:pStyle w:val="TableTextBullet"/>
            </w:pPr>
            <w:r>
              <w:t>Emits an audible alert and warns the user.</w:t>
            </w:r>
          </w:p>
          <w:p w14:paraId="435C42EB" w14:textId="77777777" w:rsidR="002A21AE" w:rsidRDefault="002A21AE">
            <w:pPr>
              <w:pStyle w:val="TableTextBullet"/>
            </w:pPr>
            <w:r>
              <w:t>Instructs the user to resolve the discrepancy before the specimen may be used.</w:t>
            </w:r>
          </w:p>
          <w:p w14:paraId="4580104E" w14:textId="77777777" w:rsidR="002A21AE" w:rsidRDefault="002A21AE">
            <w:pPr>
              <w:pStyle w:val="TableTextBullet"/>
            </w:pPr>
            <w:r>
              <w:t xml:space="preserve">Asks whether the user wishes to continue to save. </w:t>
            </w:r>
            <w:r>
              <w:rPr>
                <w:b/>
              </w:rPr>
              <w:t>No</w:t>
            </w:r>
            <w:r>
              <w:t xml:space="preserve"> clears the ABO/Rh testing results and interpretation from the screen. </w:t>
            </w:r>
            <w:r>
              <w:rPr>
                <w:b/>
              </w:rPr>
              <w:t>Yes</w:t>
            </w:r>
            <w:r>
              <w:t xml:space="preserve"> requires a comment and captures details for inclusion in an Exception Report (Exception type: ABO/Rh discrepancy). </w:t>
            </w:r>
          </w:p>
        </w:tc>
      </w:tr>
      <w:tr w:rsidR="002A21AE" w14:paraId="36D964E0" w14:textId="77777777">
        <w:tblPrEx>
          <w:tblLook w:val="0000" w:firstRow="0" w:lastRow="0" w:firstColumn="0" w:lastColumn="0" w:noHBand="0" w:noVBand="0"/>
        </w:tblPrEx>
        <w:tc>
          <w:tcPr>
            <w:tcW w:w="780" w:type="dxa"/>
          </w:tcPr>
          <w:p w14:paraId="25A258D7" w14:textId="77777777" w:rsidR="002A21AE" w:rsidRDefault="002A21AE">
            <w:pPr>
              <w:pStyle w:val="TableText"/>
            </w:pPr>
            <w:r>
              <w:t>6</w:t>
            </w:r>
          </w:p>
        </w:tc>
        <w:tc>
          <w:tcPr>
            <w:tcW w:w="8580" w:type="dxa"/>
          </w:tcPr>
          <w:p w14:paraId="6036F171" w14:textId="77777777" w:rsidR="003F73CA" w:rsidRPr="003F73CA" w:rsidRDefault="002A21AE">
            <w:pPr>
              <w:pStyle w:val="TableText"/>
            </w:pPr>
            <w:r>
              <w:rPr>
                <w:rFonts w:cs="Arial"/>
                <w:vanish/>
              </w:rPr>
              <w:t xml:space="preserve">BR_56.19 </w:t>
            </w:r>
            <w:r>
              <w:t>When a user documents an ABO/Rh discrepancy, VBECS releases units with “assigned” and “crossmatched” statuses associated with this specimen from the patient.</w:t>
            </w:r>
          </w:p>
        </w:tc>
      </w:tr>
      <w:tr w:rsidR="002A21AE" w14:paraId="4210B19B" w14:textId="77777777">
        <w:tblPrEx>
          <w:tblLook w:val="0000" w:firstRow="0" w:lastRow="0" w:firstColumn="0" w:lastColumn="0" w:noHBand="0" w:noVBand="0"/>
        </w:tblPrEx>
        <w:tc>
          <w:tcPr>
            <w:tcW w:w="780" w:type="dxa"/>
          </w:tcPr>
          <w:p w14:paraId="4CFFC3A2" w14:textId="77777777" w:rsidR="002A21AE" w:rsidRDefault="002A21AE">
            <w:pPr>
              <w:pStyle w:val="TableText"/>
            </w:pPr>
            <w:r>
              <w:t>6</w:t>
            </w:r>
          </w:p>
        </w:tc>
        <w:tc>
          <w:tcPr>
            <w:tcW w:w="8580" w:type="dxa"/>
          </w:tcPr>
          <w:p w14:paraId="0B010B07" w14:textId="77777777" w:rsidR="002A21AE" w:rsidRDefault="002A21AE" w:rsidP="00003BE9">
            <w:pPr>
              <w:pStyle w:val="TableText"/>
            </w:pPr>
            <w:r>
              <w:rPr>
                <w:rFonts w:cs="Arial"/>
                <w:vanish/>
              </w:rPr>
              <w:t xml:space="preserve">BR_56.29 </w:t>
            </w:r>
            <w:r>
              <w:t>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w:t>
            </w:r>
            <w:r w:rsidR="004C53EA">
              <w:t xml:space="preserve"> </w:t>
            </w:r>
          </w:p>
        </w:tc>
      </w:tr>
      <w:tr w:rsidR="00AF6F7F" w14:paraId="355A4EB8" w14:textId="77777777">
        <w:tblPrEx>
          <w:tblLook w:val="0000" w:firstRow="0" w:lastRow="0" w:firstColumn="0" w:lastColumn="0" w:noHBand="0" w:noVBand="0"/>
        </w:tblPrEx>
        <w:tc>
          <w:tcPr>
            <w:tcW w:w="780" w:type="dxa"/>
          </w:tcPr>
          <w:p w14:paraId="76237CF0" w14:textId="648AB977" w:rsidR="00AF6F7F" w:rsidRDefault="00AF6F7F">
            <w:pPr>
              <w:pStyle w:val="TableText"/>
            </w:pPr>
            <w:r>
              <w:t>6</w:t>
            </w:r>
          </w:p>
        </w:tc>
        <w:tc>
          <w:tcPr>
            <w:tcW w:w="8580" w:type="dxa"/>
          </w:tcPr>
          <w:p w14:paraId="4A7CEB43" w14:textId="1AEEE4D3" w:rsidR="00AF6F7F" w:rsidRDefault="00460566" w:rsidP="00003BE9">
            <w:pPr>
              <w:pStyle w:val="TableText"/>
              <w:rPr>
                <w:rFonts w:cs="Arial"/>
                <w:vanish/>
              </w:rPr>
            </w:pPr>
            <w:r w:rsidRPr="00460566">
              <w:rPr>
                <w:vanish/>
              </w:rPr>
              <w:t xml:space="preserve">BR_53.08 </w:t>
            </w:r>
            <w:r w:rsidR="00AF6F7F">
              <w:t xml:space="preserve">If the antibody screen is positive, the system shall emit an audible alert and warning that displays </w:t>
            </w:r>
            <w:r w:rsidR="00AF6F7F" w:rsidRPr="00DD6184">
              <w:t>Patient has a POSITIVE Antibody Screen Result. Please perform Antibody Identification on this patient prior to issue of blood components</w:t>
            </w:r>
            <w:r w:rsidR="00AF6F7F">
              <w:t>.</w:t>
            </w:r>
          </w:p>
        </w:tc>
      </w:tr>
    </w:tbl>
    <w:p w14:paraId="14802E60" w14:textId="77777777" w:rsidR="002A21AE" w:rsidRDefault="0072673B" w:rsidP="0072673B">
      <w:pPr>
        <w:pStyle w:val="Heading3"/>
      </w:pPr>
      <w:r>
        <w:br w:type="page"/>
      </w:r>
      <w:bookmarkStart w:id="468" w:name="_Toc163644949"/>
      <w:r w:rsidR="002A21AE">
        <w:lastRenderedPageBreak/>
        <w:t>Patient Testing: Record a Patient ABO/Rh</w:t>
      </w:r>
      <w:bookmarkEnd w:id="468"/>
      <w:r w:rsidR="002A21AE">
        <w:fldChar w:fldCharType="begin"/>
      </w:r>
      <w:r w:rsidR="002A21AE">
        <w:instrText xml:space="preserve"> XE </w:instrText>
      </w:r>
      <w:r w:rsidR="00FA7E65">
        <w:instrText>“</w:instrText>
      </w:r>
      <w:r w:rsidR="002A21AE">
        <w:instrText>Patient Testing\: Record a Patient ABO/Rh</w:instrText>
      </w:r>
      <w:r w:rsidR="00FA7E65">
        <w:instrText>”</w:instrText>
      </w:r>
      <w:r w:rsidR="002A21AE">
        <w:instrText xml:space="preserve"> </w:instrText>
      </w:r>
      <w:r w:rsidR="002A21AE">
        <w:fldChar w:fldCharType="end"/>
      </w:r>
      <w:r w:rsidR="002A21AE">
        <w:t xml:space="preserve"> </w:t>
      </w:r>
      <w:r w:rsidR="002A21AE">
        <w:rPr>
          <w:vanish/>
          <w:sz w:val="22"/>
        </w:rPr>
        <w:t>UC_52</w:t>
      </w:r>
    </w:p>
    <w:p w14:paraId="147FCA68" w14:textId="5502F2B1" w:rsidR="002A21AE" w:rsidRDefault="002A21AE" w:rsidP="00FA7E65">
      <w:pPr>
        <w:pStyle w:val="BodyText"/>
      </w:pPr>
      <w:r>
        <w:t>The user records observed results when performing ABO/Rh blood typing.</w:t>
      </w:r>
    </w:p>
    <w:p w14:paraId="0584ADBC" w14:textId="77777777" w:rsidR="002A21AE" w:rsidRDefault="002A21AE">
      <w:pPr>
        <w:pStyle w:val="Heading4"/>
      </w:pPr>
      <w:r>
        <w:t>Assumptions</w:t>
      </w:r>
    </w:p>
    <w:p w14:paraId="4E09B061" w14:textId="77777777" w:rsidR="002A21AE" w:rsidRDefault="002A21AE">
      <w:pPr>
        <w:pStyle w:val="ListBullet"/>
      </w:pPr>
      <w:r>
        <w:t xml:space="preserve">A CPRS order exists that includes an ABO/Rh typing [ABO/Rh Test or Type &amp; Screen (TAS)]. </w:t>
      </w:r>
    </w:p>
    <w:p w14:paraId="64C06416" w14:textId="77777777" w:rsidR="002A21AE" w:rsidRDefault="002A21AE">
      <w:pPr>
        <w:pStyle w:val="ListBullet"/>
      </w:pPr>
      <w:r>
        <w:t>The user accesses patient ABO/Rh grids through Patient Testing: Record Patient Test Results.</w:t>
      </w:r>
    </w:p>
    <w:p w14:paraId="43CC7A95" w14:textId="77777777" w:rsidR="0083516B" w:rsidRPr="0083516B" w:rsidRDefault="002A21AE" w:rsidP="0083516B">
      <w:pPr>
        <w:pStyle w:val="Heading4"/>
      </w:pPr>
      <w:r>
        <w:t>Outcome</w:t>
      </w:r>
    </w:p>
    <w:p w14:paraId="168770C3" w14:textId="77777777" w:rsidR="002A21AE" w:rsidRDefault="002A21AE">
      <w:pPr>
        <w:pStyle w:val="ListBullet"/>
      </w:pPr>
      <w:r>
        <w:t>The ABO/Rh result is used to determine overall blood component compatibility.</w:t>
      </w:r>
    </w:p>
    <w:p w14:paraId="64FD9904" w14:textId="77777777" w:rsidR="002A21AE" w:rsidRDefault="002A21AE">
      <w:pPr>
        <w:pStyle w:val="ListBullet"/>
      </w:pPr>
      <w:r>
        <w:t>When ABO/Rh is ordered as a stand-alone test, VBECS changes the task status to “completed” and triggers the generation of a message to CPRS that the order is completed.</w:t>
      </w:r>
    </w:p>
    <w:p w14:paraId="6FE426C9" w14:textId="77777777" w:rsidR="002A21AE" w:rsidRDefault="002A21AE">
      <w:pPr>
        <w:pStyle w:val="Heading4"/>
      </w:pPr>
      <w:r>
        <w:t>Limitations and Restrictions</w:t>
      </w:r>
    </w:p>
    <w:p w14:paraId="1EB0E249" w14:textId="404E319F" w:rsidR="00CD1B8C" w:rsidRDefault="0084410F" w:rsidP="00CD1B8C">
      <w:pPr>
        <w:pStyle w:val="ListBullet"/>
      </w:pPr>
      <w:r>
        <w:t xml:space="preserve">VBECS does not allow entry of ABO or Rh subgroups as a </w:t>
      </w:r>
      <w:r w:rsidR="002B25A3">
        <w:t>'</w:t>
      </w:r>
      <w:r>
        <w:t>group</w:t>
      </w:r>
      <w:r w:rsidR="002B25A3">
        <w:t>'</w:t>
      </w:r>
      <w:r>
        <w:t xml:space="preserve"> and/or </w:t>
      </w:r>
      <w:r w:rsidR="002B25A3">
        <w:t>'</w:t>
      </w:r>
      <w:r>
        <w:t>type</w:t>
      </w:r>
      <w:r w:rsidR="002B25A3">
        <w:t>'</w:t>
      </w:r>
      <w:r>
        <w:t xml:space="preserve"> when the previous blood group/type is "NR", indicating no recor</w:t>
      </w:r>
      <w:r w:rsidR="00CD1B8C">
        <w:t>d of previous testing.  S</w:t>
      </w:r>
      <w:r>
        <w:t xml:space="preserve">ee </w:t>
      </w:r>
      <w:r w:rsidR="00376944" w:rsidRPr="00423A7F">
        <w:rPr>
          <w:i/>
          <w:iCs/>
        </w:rPr>
        <w:t>FAQ</w:t>
      </w:r>
      <w:r w:rsidRPr="00423A7F">
        <w:rPr>
          <w:i/>
          <w:iCs/>
        </w:rPr>
        <w:t xml:space="preserve"> ABO Subgroup Interpretation </w:t>
      </w:r>
      <w:r w:rsidR="00C230C9">
        <w:t xml:space="preserve">and contact the </w:t>
      </w:r>
      <w:r w:rsidR="00CD1B8C">
        <w:t>Service Desk for assistance, prior to adding patient transfusion records in VBECS, when possible.</w:t>
      </w:r>
      <w:r w:rsidR="00CD1B8C" w:rsidRPr="00CD1B8C">
        <w:rPr>
          <w:vanish/>
        </w:rPr>
        <w:t xml:space="preserve"> Defect 368207</w:t>
      </w:r>
    </w:p>
    <w:p w14:paraId="02E5C857" w14:textId="506CB7FF" w:rsidR="00FE415F" w:rsidRDefault="00FE415F" w:rsidP="00FE415F">
      <w:pPr>
        <w:pStyle w:val="ListBullet"/>
      </w:pPr>
      <w:r>
        <w:t>When the patient has no previous ABO/Rh test record (NR), the ABO/Rh test associated with th</w:t>
      </w:r>
      <w:r w:rsidR="008C75A6">
        <w:t>e</w:t>
      </w:r>
      <w:r>
        <w:t xml:space="preserve"> Type and Screen test (TAS) must be completed and saved prior to entering and saving a repeat ABO/Rh test on this specimen. </w:t>
      </w:r>
      <w:r w:rsidRPr="00FE415F">
        <w:rPr>
          <w:vanish/>
        </w:rPr>
        <w:t>Defect 231531</w:t>
      </w:r>
      <w:r w:rsidR="003B0CE2">
        <w:rPr>
          <w:vanish/>
        </w:rPr>
        <w:t>, Task 474043</w:t>
      </w:r>
    </w:p>
    <w:p w14:paraId="75DB8661" w14:textId="5BCEFD3D" w:rsidR="00E06C13" w:rsidRDefault="00D25068" w:rsidP="00D25068">
      <w:pPr>
        <w:pStyle w:val="ListBullet"/>
      </w:pPr>
      <w:r w:rsidRPr="00D25068">
        <w:t>A user is permitted to select two partially completed tests with different test phases (e.g., AHG only and All Phases) along with a not started test. The testing phase for the not started test will present as AHG only even though results for all phases are required by VBECS. Entering only AHG test results for the specimen that was not started and saving will result in a partially completed test that cannot be completed or invalidated.</w:t>
      </w:r>
      <w:r>
        <w:t xml:space="preserve"> Contact the Service Desk when you encounter this problem. Specimens that cannot be completed or invalidated require the attention of Tier 3 support. Select partially completed orders that have been previously saved with the same grid test pattern. Optionally, a not started test may be selected with these but must be tested with the same grid pattern to avoid the problem.</w:t>
      </w:r>
      <w:r w:rsidR="00201A45">
        <w:t xml:space="preserve"> </w:t>
      </w:r>
      <w:r w:rsidR="00201A45" w:rsidRPr="007E05D6">
        <w:rPr>
          <w:vanish/>
        </w:rPr>
        <w:t>Defect 210048</w:t>
      </w:r>
    </w:p>
    <w:p w14:paraId="2ED5FBC1" w14:textId="406D86D9" w:rsidR="007E05D6" w:rsidRPr="00D25068" w:rsidRDefault="00D033DC" w:rsidP="00D25068">
      <w:pPr>
        <w:pStyle w:val="ListBullet"/>
      </w:pPr>
      <w:r>
        <w:t xml:space="preserve">When canceling out of a Discrepant ABO/Rh Typing override, the interpretations are cleared, but the testing results are not cleared. Correct the testing entries or click the red ‘X’ to clear the testing results. </w:t>
      </w:r>
      <w:r w:rsidRPr="00D033DC">
        <w:rPr>
          <w:vanish/>
        </w:rPr>
        <w:t>Defect 208974</w:t>
      </w:r>
    </w:p>
    <w:p w14:paraId="44435F76" w14:textId="77777777" w:rsidR="002A21AE" w:rsidRDefault="002A21AE">
      <w:pPr>
        <w:pStyle w:val="Heading4"/>
      </w:pPr>
      <w:r>
        <w:t>Additional Information</w:t>
      </w:r>
    </w:p>
    <w:p w14:paraId="67B21200" w14:textId="77777777" w:rsidR="00FC3A2C" w:rsidRDefault="00FC3A2C">
      <w:pPr>
        <w:pStyle w:val="ListBullet"/>
      </w:pPr>
      <w:r>
        <w:t>When an ABO/Rh discrepancy exists, VBECS releases assigned and crossmatched units. These units are then available for e</w:t>
      </w:r>
      <w:r w:rsidRPr="003F73CA">
        <w:t>mergency issue</w:t>
      </w:r>
      <w:r>
        <w:t xml:space="preserve"> based on system rules</w:t>
      </w:r>
      <w:r w:rsidRPr="003F73CA">
        <w:t>.</w:t>
      </w:r>
    </w:p>
    <w:p w14:paraId="35697C91" w14:textId="77777777" w:rsidR="002A21AE" w:rsidRDefault="002A21AE">
      <w:pPr>
        <w:pStyle w:val="ListBullet"/>
      </w:pPr>
      <w:r>
        <w:t>VBECS does not enforce local policies that require running a D control for AB positive patients.</w:t>
      </w:r>
    </w:p>
    <w:p w14:paraId="2ADC961A" w14:textId="77777777" w:rsidR="002A21AE" w:rsidRDefault="002A21AE">
      <w:pPr>
        <w:pStyle w:val="ListBullet"/>
      </w:pPr>
      <w:r>
        <w:t>The most recent instance of ABO/Rh testing in the database serves as the historic ABO/Rh record.</w:t>
      </w:r>
    </w:p>
    <w:p w14:paraId="6B772B99" w14:textId="77777777" w:rsidR="00786249" w:rsidRPr="00786249" w:rsidRDefault="00786249" w:rsidP="00786249">
      <w:pPr>
        <w:pStyle w:val="ListBullet"/>
        <w:rPr>
          <w:color w:val="1F497D"/>
        </w:rPr>
      </w:pPr>
      <w:r>
        <w:t>Weak D testing results recorded in Patient Antigen Typing do not interact or change the Rh typing recorded for the patient by an ABO/Rh test.</w:t>
      </w:r>
      <w:r w:rsidRPr="00812458">
        <w:rPr>
          <w:vanish/>
        </w:rPr>
        <w:t xml:space="preserve"> Task 409152</w:t>
      </w:r>
    </w:p>
    <w:p w14:paraId="55D089B6" w14:textId="77777777" w:rsidR="002A21AE" w:rsidRDefault="002A21AE">
      <w:pPr>
        <w:pStyle w:val="Heading4"/>
      </w:pPr>
      <w:r>
        <w:t xml:space="preserve">User Roles with Access to This Option </w:t>
      </w:r>
    </w:p>
    <w:p w14:paraId="3C3FF225" w14:textId="77777777" w:rsidR="002A21AE" w:rsidRDefault="00A937B3">
      <w:pPr>
        <w:pStyle w:val="Roles"/>
      </w:pPr>
      <w:r>
        <w:t>All users</w:t>
      </w:r>
    </w:p>
    <w:p w14:paraId="7C3945E9" w14:textId="77777777" w:rsidR="002A21AE" w:rsidRDefault="002A21AE">
      <w:pPr>
        <w:pStyle w:val="Heading4"/>
      </w:pPr>
      <w:r>
        <w:t>Patient Testing: Record a Patient ABO/Rh</w:t>
      </w:r>
    </w:p>
    <w:p w14:paraId="3C3BFEFF" w14:textId="77777777" w:rsidR="002A21AE" w:rsidRDefault="002A21AE" w:rsidP="00FA7E65">
      <w:pPr>
        <w:pStyle w:val="BodyText"/>
      </w:pPr>
      <w:r>
        <w:t xml:space="preserve">This option describes a test to determine the patient’s ABO/Rh typing from a blood specimen. The user enters the serologic reaction results in the data entry grid using the instructions and rules in this option. </w:t>
      </w:r>
      <w:r>
        <w:lastRenderedPageBreak/>
        <w:t>The grid is used for the Confirm Patient ABO/Rh reflex test as part of a TAS and crossmatch (XM) test battery. VBECS monitors the user’s entries and interpretations and maintains the records for patient reports.</w:t>
      </w:r>
      <w:r w:rsidR="000222FC">
        <w:t xml:space="preserve"> </w:t>
      </w:r>
    </w:p>
    <w:p w14:paraId="64B24025" w14:textId="77777777" w:rsidR="002A21AE" w:rsidRDefault="002A21AE" w:rsidP="00FA7E65">
      <w:pPr>
        <w:pStyle w:val="BodyText"/>
      </w:pPr>
      <w:r>
        <w:t xml:space="preserve">These steps describe the entry of data for a patient ABO/Rh test when the test is ordered individually or as part of a TAS.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F0DF8F" w14:textId="77777777">
        <w:trPr>
          <w:cantSplit/>
          <w:tblHeader/>
        </w:trPr>
        <w:tc>
          <w:tcPr>
            <w:tcW w:w="3240" w:type="dxa"/>
            <w:shd w:val="pct30" w:color="auto" w:fill="FFFFFF"/>
            <w:vAlign w:val="bottom"/>
          </w:tcPr>
          <w:p w14:paraId="2553BE89" w14:textId="77777777" w:rsidR="002A21AE" w:rsidRDefault="002A21AE">
            <w:pPr>
              <w:pStyle w:val="TableText"/>
              <w:rPr>
                <w:b/>
              </w:rPr>
            </w:pPr>
            <w:r>
              <w:rPr>
                <w:b/>
              </w:rPr>
              <w:t>User Action</w:t>
            </w:r>
          </w:p>
        </w:tc>
        <w:tc>
          <w:tcPr>
            <w:tcW w:w="6120" w:type="dxa"/>
            <w:shd w:val="pct30" w:color="auto" w:fill="FFFFFF"/>
            <w:vAlign w:val="bottom"/>
          </w:tcPr>
          <w:p w14:paraId="18C1413F" w14:textId="77777777" w:rsidR="002A21AE" w:rsidRDefault="002A21AE">
            <w:pPr>
              <w:pStyle w:val="TableText"/>
              <w:rPr>
                <w:b/>
              </w:rPr>
            </w:pPr>
            <w:r>
              <w:rPr>
                <w:b/>
              </w:rPr>
              <w:t>VBECS</w:t>
            </w:r>
          </w:p>
        </w:tc>
      </w:tr>
      <w:tr w:rsidR="00141448" w14:paraId="4EFAFE75" w14:textId="77777777">
        <w:tc>
          <w:tcPr>
            <w:tcW w:w="3240" w:type="dxa"/>
            <w:tcBorders>
              <w:top w:val="single" w:sz="4" w:space="0" w:color="auto"/>
              <w:left w:val="single" w:sz="4" w:space="0" w:color="auto"/>
              <w:bottom w:val="single" w:sz="4" w:space="0" w:color="auto"/>
              <w:right w:val="single" w:sz="4" w:space="0" w:color="auto"/>
            </w:tcBorders>
          </w:tcPr>
          <w:p w14:paraId="5BBD4A56" w14:textId="77777777" w:rsidR="00141448" w:rsidRDefault="00141448" w:rsidP="00141448">
            <w:pPr>
              <w:pStyle w:val="TableTextNumbers"/>
            </w:pPr>
            <w:r>
              <w:t xml:space="preserve">Select </w:t>
            </w:r>
            <w:r>
              <w:rPr>
                <w:b/>
              </w:rPr>
              <w:t>Patients</w:t>
            </w:r>
            <w:r>
              <w:t xml:space="preserve"> from the main menu.</w:t>
            </w:r>
          </w:p>
          <w:p w14:paraId="07D9B9D6" w14:textId="77777777" w:rsidR="00141448" w:rsidRDefault="00141448" w:rsidP="00141448">
            <w:pPr>
              <w:pStyle w:val="TableTextNumbersContinued"/>
            </w:pPr>
          </w:p>
          <w:p w14:paraId="46BAEC22"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01A055" w14:textId="77777777" w:rsidR="00141448" w:rsidRDefault="00141448" w:rsidP="00141448">
            <w:pPr>
              <w:pStyle w:val="TableTextBullet"/>
            </w:pPr>
            <w:r>
              <w:t xml:space="preserve">Displays options for processing patient-related functions. </w:t>
            </w:r>
          </w:p>
          <w:p w14:paraId="35709766" w14:textId="77777777" w:rsidR="00141448" w:rsidRDefault="00141448" w:rsidP="00141448">
            <w:pPr>
              <w:pStyle w:val="TableTextBullet"/>
            </w:pPr>
            <w:r>
              <w:t>Displays the Pending Task List (PTL) in the Diagnostic Tests tab.</w:t>
            </w:r>
          </w:p>
          <w:p w14:paraId="3B6CF893" w14:textId="77777777" w:rsidR="00141448" w:rsidRDefault="00141448" w:rsidP="00141448">
            <w:pPr>
              <w:pStyle w:val="NotesText"/>
            </w:pPr>
          </w:p>
          <w:p w14:paraId="5E88F50B" w14:textId="5C5B9C4E" w:rsidR="00141448" w:rsidRDefault="00141448" w:rsidP="00141448">
            <w:pPr>
              <w:pStyle w:val="TableText"/>
              <w:rPr>
                <w:b/>
                <w:bCs/>
                <w:szCs w:val="18"/>
              </w:rPr>
            </w:pPr>
            <w:r>
              <w:rPr>
                <w:b/>
                <w:bCs/>
                <w:szCs w:val="18"/>
              </w:rPr>
              <w:t>NOTES</w:t>
            </w:r>
          </w:p>
          <w:p w14:paraId="472D9870" w14:textId="77777777" w:rsidR="00141448" w:rsidRDefault="00141448" w:rsidP="00141448">
            <w:pPr>
              <w:pStyle w:val="NotesText"/>
            </w:pPr>
          </w:p>
          <w:p w14:paraId="3B3DDAAD" w14:textId="77777777" w:rsidR="00141448" w:rsidRDefault="00141448" w:rsidP="00141448">
            <w:pPr>
              <w:pStyle w:val="NotesText"/>
            </w:pPr>
            <w:r>
              <w:t>A user may search for specific tasks using search criteria detailed in Pending Task List.</w:t>
            </w:r>
          </w:p>
        </w:tc>
      </w:tr>
      <w:tr w:rsidR="00B1359E" w14:paraId="48B78FBD" w14:textId="77777777">
        <w:tc>
          <w:tcPr>
            <w:tcW w:w="3240" w:type="dxa"/>
          </w:tcPr>
          <w:p w14:paraId="0E009FA8" w14:textId="77777777" w:rsidR="00B1359E" w:rsidRDefault="00B1359E" w:rsidP="00150254">
            <w:pPr>
              <w:pStyle w:val="TableTextNumbers"/>
            </w:pPr>
            <w:r>
              <w:t xml:space="preserve">Click one to four check boxes in the Pending Task List to select tasks for testing. </w:t>
            </w:r>
          </w:p>
          <w:p w14:paraId="48F998A4" w14:textId="77777777" w:rsidR="00B1359E" w:rsidRDefault="00B1359E" w:rsidP="00150254">
            <w:pPr>
              <w:pStyle w:val="TableTextNumbersContinued"/>
            </w:pPr>
          </w:p>
          <w:p w14:paraId="2A61B6A7" w14:textId="77777777" w:rsidR="00B1359E" w:rsidRDefault="00B1359E" w:rsidP="00150254">
            <w:pPr>
              <w:pStyle w:val="TableTextNumbersContinued"/>
            </w:pPr>
            <w:r>
              <w:t xml:space="preserve">Click </w:t>
            </w:r>
            <w:r>
              <w:rPr>
                <w:b/>
              </w:rPr>
              <w:t>OK</w:t>
            </w:r>
            <w:r>
              <w:t>.</w:t>
            </w:r>
          </w:p>
        </w:tc>
        <w:tc>
          <w:tcPr>
            <w:tcW w:w="6120" w:type="dxa"/>
          </w:tcPr>
          <w:p w14:paraId="01A8EDCD" w14:textId="77777777" w:rsidR="00B1359E" w:rsidRDefault="00B1359E" w:rsidP="00150254">
            <w:pPr>
              <w:pStyle w:val="TableTextBullet"/>
            </w:pPr>
            <w:r>
              <w:t>Displays patient names and associated task information.</w:t>
            </w:r>
          </w:p>
        </w:tc>
      </w:tr>
      <w:tr w:rsidR="002A21AE" w14:paraId="365CE506" w14:textId="77777777">
        <w:tc>
          <w:tcPr>
            <w:tcW w:w="3240" w:type="dxa"/>
          </w:tcPr>
          <w:p w14:paraId="45121D54" w14:textId="77777777" w:rsidR="002A21AE" w:rsidRDefault="0091416B">
            <w:pPr>
              <w:pStyle w:val="TableTextNumbers"/>
              <w:rPr>
                <w:b/>
                <w:bCs/>
              </w:rPr>
            </w:pPr>
            <w:r>
              <w:t>E</w:t>
            </w:r>
            <w:r w:rsidR="002A21AE">
              <w:rPr>
                <w:bCs/>
              </w:rPr>
              <w:t>nter patient ABO/Rh testing results.</w:t>
            </w:r>
            <w:r w:rsidR="002A21AE">
              <w:rPr>
                <w:b/>
                <w:bCs/>
              </w:rPr>
              <w:t xml:space="preserve"> </w:t>
            </w:r>
          </w:p>
        </w:tc>
        <w:tc>
          <w:tcPr>
            <w:tcW w:w="6120" w:type="dxa"/>
          </w:tcPr>
          <w:p w14:paraId="62FBF262" w14:textId="77777777" w:rsidR="002A21AE" w:rsidRDefault="002A21AE">
            <w:pPr>
              <w:pStyle w:val="TableTextBullet"/>
            </w:pPr>
            <w:r>
              <w:t xml:space="preserve">Displays a direct data entry </w:t>
            </w:r>
            <w:r w:rsidR="00917E9F">
              <w:t xml:space="preserve">(DDE) </w:t>
            </w:r>
            <w:r>
              <w:t xml:space="preserve">grid for entering serologic reaction results for ABO/Rh patient testing. </w:t>
            </w:r>
          </w:p>
          <w:p w14:paraId="768E95C1" w14:textId="77777777" w:rsidR="002A21AE" w:rsidRDefault="002A21AE">
            <w:pPr>
              <w:pStyle w:val="TableText"/>
            </w:pPr>
          </w:p>
          <w:p w14:paraId="57140C7E" w14:textId="41884310" w:rsidR="002A21AE" w:rsidRDefault="002A21AE">
            <w:pPr>
              <w:pStyle w:val="TableText"/>
              <w:rPr>
                <w:b/>
                <w:bCs/>
                <w:szCs w:val="18"/>
              </w:rPr>
            </w:pPr>
            <w:r>
              <w:rPr>
                <w:b/>
                <w:bCs/>
                <w:szCs w:val="18"/>
              </w:rPr>
              <w:t>NOTES</w:t>
            </w:r>
          </w:p>
          <w:p w14:paraId="37300F85" w14:textId="77777777" w:rsidR="002A21AE" w:rsidRDefault="002A21AE">
            <w:pPr>
              <w:pStyle w:val="NotesText"/>
            </w:pPr>
          </w:p>
          <w:p w14:paraId="49D041AD" w14:textId="77777777" w:rsidR="002A21AE" w:rsidRDefault="002A21AE">
            <w:pPr>
              <w:pStyle w:val="NotesText"/>
            </w:pPr>
            <w:r>
              <w:rPr>
                <w:rFonts w:cs="Arial"/>
                <w:vanish/>
              </w:rPr>
              <w:t xml:space="preserve">BR_52.09 </w:t>
            </w:r>
            <w:r>
              <w:t>The user may reenter valid results or delete entries and start over before saving the results. The user may invalidate, but not edit, data in a grid from a previous session by clicking the red “X” in the upper right corner of the testing grid, as described in Invalidate Test Results.</w:t>
            </w:r>
          </w:p>
          <w:p w14:paraId="557453F3" w14:textId="77777777" w:rsidR="002A21AE" w:rsidRDefault="002A21AE">
            <w:pPr>
              <w:pStyle w:val="NotesText"/>
            </w:pPr>
          </w:p>
          <w:p w14:paraId="6AC583C4" w14:textId="77777777" w:rsidR="002A21AE" w:rsidRDefault="002A21AE" w:rsidP="002B6B38">
            <w:pPr>
              <w:pStyle w:val="NotesText"/>
            </w:pPr>
            <w:r>
              <w:rPr>
                <w:rFonts w:cs="Arial"/>
                <w:vanish/>
              </w:rPr>
              <w:t xml:space="preserve">BR_52.07 </w:t>
            </w:r>
            <w:r>
              <w:t xml:space="preserve">VBECS determines the validity of the user-entered patient ABO/Rh interpretation by comparing the reaction results pattern of the row with the truth table and with the previous ABO/Rh entries for the patient. </w:t>
            </w:r>
          </w:p>
        </w:tc>
      </w:tr>
      <w:tr w:rsidR="002A21AE" w14:paraId="5BB36B99" w14:textId="77777777">
        <w:tc>
          <w:tcPr>
            <w:tcW w:w="3240" w:type="dxa"/>
          </w:tcPr>
          <w:p w14:paraId="24CAE389" w14:textId="77777777" w:rsidR="002A21AE" w:rsidRDefault="002A21AE">
            <w:pPr>
              <w:pStyle w:val="TableTextNumbers"/>
            </w:pPr>
            <w:r>
              <w:t>Select a patient to begin entering his serologic reactions.</w:t>
            </w:r>
          </w:p>
        </w:tc>
        <w:tc>
          <w:tcPr>
            <w:tcW w:w="6120" w:type="dxa"/>
          </w:tcPr>
          <w:p w14:paraId="1687B5C5" w14:textId="77777777" w:rsidR="002A21AE" w:rsidRDefault="002A21AE">
            <w:pPr>
              <w:pStyle w:val="TableTextBullet"/>
            </w:pPr>
            <w:r>
              <w:t xml:space="preserve">Allows the user to select one patient at a time and enter a test result for that patient. </w:t>
            </w:r>
          </w:p>
          <w:p w14:paraId="6F55067A" w14:textId="77777777" w:rsidR="002A21AE" w:rsidRDefault="002A21AE">
            <w:pPr>
              <w:pStyle w:val="TableTextBullet"/>
            </w:pPr>
            <w:r>
              <w:t xml:space="preserve">Allows only valid data entries in the grid reaction result and interpretation cells. </w:t>
            </w:r>
          </w:p>
          <w:p w14:paraId="2BE67434" w14:textId="77777777" w:rsidR="002A21AE" w:rsidRDefault="002A21AE">
            <w:pPr>
              <w:pStyle w:val="TableText"/>
            </w:pPr>
          </w:p>
          <w:p w14:paraId="4304A85C" w14:textId="238197C7" w:rsidR="002A21AE" w:rsidRDefault="002A21AE">
            <w:pPr>
              <w:pStyle w:val="TableText"/>
              <w:rPr>
                <w:b/>
                <w:bCs/>
                <w:szCs w:val="18"/>
              </w:rPr>
            </w:pPr>
            <w:r>
              <w:rPr>
                <w:b/>
                <w:bCs/>
                <w:szCs w:val="18"/>
              </w:rPr>
              <w:t>NOTES</w:t>
            </w:r>
          </w:p>
          <w:p w14:paraId="24BBB77A" w14:textId="77777777" w:rsidR="002A21AE" w:rsidRDefault="002A21AE">
            <w:pPr>
              <w:pStyle w:val="NotesText"/>
            </w:pPr>
          </w:p>
          <w:p w14:paraId="507A85EE" w14:textId="77777777" w:rsidR="002A21AE" w:rsidRDefault="002A21AE">
            <w:pPr>
              <w:pStyle w:val="NotesText"/>
            </w:pPr>
            <w:r>
              <w:t xml:space="preserve">When A,B or D control is not part of the daily QC configuration, VBECS disables it in the ABO/Rh test grid. </w:t>
            </w:r>
          </w:p>
          <w:p w14:paraId="0770E7A9" w14:textId="77777777" w:rsidR="002A21AE" w:rsidRDefault="002A21AE">
            <w:pPr>
              <w:pStyle w:val="NotesText"/>
            </w:pPr>
          </w:p>
          <w:p w14:paraId="1173FCF6" w14:textId="77777777" w:rsidR="002A21AE" w:rsidRDefault="002A21AE">
            <w:pPr>
              <w:pStyle w:val="NotesText"/>
            </w:pPr>
            <w:r>
              <w:t xml:space="preserve">When an AB Positive patient requires the performance of a control cell, the user must order a repeat ABO/Rh test. </w:t>
            </w:r>
          </w:p>
          <w:p w14:paraId="29BC368C" w14:textId="77777777" w:rsidR="002A21AE" w:rsidRPr="00760A4D" w:rsidRDefault="002A21AE" w:rsidP="00760A4D">
            <w:pPr>
              <w:pStyle w:val="NotesText"/>
            </w:pPr>
          </w:p>
          <w:p w14:paraId="34854FC8" w14:textId="77777777" w:rsidR="002A21AE" w:rsidRDefault="002A21AE">
            <w:pPr>
              <w:pStyle w:val="NotesText"/>
            </w:pPr>
            <w:r>
              <w:t>When A,B is enabled, the user enters a result for Anti-A,B as part of the patient test, it is included in determining the interpretation for that patient test. “X” is an acceptable entry.</w:t>
            </w:r>
          </w:p>
          <w:p w14:paraId="79528AF6" w14:textId="77777777" w:rsidR="002A21AE" w:rsidRDefault="002A21AE">
            <w:pPr>
              <w:pStyle w:val="NotesText"/>
            </w:pPr>
          </w:p>
          <w:p w14:paraId="6EAA015E" w14:textId="77777777" w:rsidR="002A21AE" w:rsidRDefault="002A21AE">
            <w:pPr>
              <w:pStyle w:val="NotesText"/>
            </w:pPr>
            <w:r>
              <w:t>A,B and D control are always enabled for the repeat ABO/Rh test grid, regardless of the QC configuration.</w:t>
            </w:r>
          </w:p>
          <w:p w14:paraId="0B0352B0" w14:textId="77777777" w:rsidR="002A21AE" w:rsidRDefault="002A21AE">
            <w:pPr>
              <w:pStyle w:val="NotesText"/>
            </w:pPr>
          </w:p>
          <w:p w14:paraId="1987CDD5" w14:textId="77777777" w:rsidR="002A21AE" w:rsidRDefault="002A21AE">
            <w:pPr>
              <w:pStyle w:val="NotesText"/>
            </w:pPr>
            <w:r>
              <w:rPr>
                <w:rFonts w:cs="Arial"/>
                <w:vanish/>
              </w:rPr>
              <w:t xml:space="preserve">BR_52.10 </w:t>
            </w:r>
            <w:r>
              <w:t>Reflex testing grid fields are available for data entry regardless of QC rack configuration.</w:t>
            </w:r>
          </w:p>
          <w:p w14:paraId="09F01815" w14:textId="77777777" w:rsidR="002A21AE" w:rsidRDefault="002A21AE">
            <w:pPr>
              <w:pStyle w:val="NotesText"/>
            </w:pPr>
          </w:p>
          <w:p w14:paraId="5AD89DD7" w14:textId="57D4B52D" w:rsidR="002A21AE" w:rsidRDefault="00F6394D">
            <w:pPr>
              <w:pStyle w:val="NotesText"/>
            </w:pPr>
            <w:r>
              <w:t xml:space="preserve">See </w:t>
            </w:r>
            <w:r w:rsidR="00EE455E">
              <w:t xml:space="preserve">Table </w:t>
            </w:r>
            <w:r w:rsidR="00EE455E">
              <w:rPr>
                <w:noProof/>
              </w:rPr>
              <w:t>4</w:t>
            </w:r>
            <w:r w:rsidR="00EE455E">
              <w:t xml:space="preserve">: </w:t>
            </w:r>
            <w:r w:rsidR="00EE455E">
              <w:rPr>
                <w:rFonts w:cs="Arial"/>
                <w:vanish/>
              </w:rPr>
              <w:t xml:space="preserve">BR_2.10 </w:t>
            </w:r>
            <w:r w:rsidR="00EE455E">
              <w:t>Valid Interpretations</w:t>
            </w:r>
            <w:r w:rsidR="002A21AE">
              <w:t>.</w:t>
            </w:r>
          </w:p>
          <w:p w14:paraId="432C347F" w14:textId="77777777" w:rsidR="002A21AE" w:rsidRDefault="002A21AE">
            <w:pPr>
              <w:pStyle w:val="NotesText"/>
              <w:rPr>
                <w:rFonts w:cs="Arial"/>
                <w:vanish/>
              </w:rPr>
            </w:pPr>
          </w:p>
          <w:p w14:paraId="11E6BB7D" w14:textId="77777777" w:rsidR="002A21AE" w:rsidRDefault="002A21AE">
            <w:pPr>
              <w:pStyle w:val="NotesText"/>
            </w:pPr>
            <w:r>
              <w:rPr>
                <w:rFonts w:cs="Arial"/>
                <w:vanish/>
              </w:rPr>
              <w:t xml:space="preserve">BR_52.06 </w:t>
            </w:r>
            <w:r>
              <w:t>Row validation is established for the interpretation vs. reaction results pattern defined by system rules.</w:t>
            </w:r>
          </w:p>
        </w:tc>
      </w:tr>
      <w:tr w:rsidR="002A21AE" w14:paraId="76BCCF16" w14:textId="77777777">
        <w:tc>
          <w:tcPr>
            <w:tcW w:w="3240" w:type="dxa"/>
          </w:tcPr>
          <w:p w14:paraId="0D33A779" w14:textId="2E983005" w:rsidR="002A21AE" w:rsidRDefault="002A21AE">
            <w:pPr>
              <w:pStyle w:val="TableTextNumbers"/>
            </w:pPr>
            <w:r>
              <w:lastRenderedPageBreak/>
              <w:t>Repeat Steps 2</w:t>
            </w:r>
            <w:r w:rsidR="004F5589">
              <w:t xml:space="preserve"> through </w:t>
            </w:r>
            <w:r w:rsidR="00641529">
              <w:t>4</w:t>
            </w:r>
            <w:r>
              <w:t xml:space="preserve"> until some or all portions of the test grid for the selected patient are entered. </w:t>
            </w:r>
          </w:p>
          <w:p w14:paraId="11AC8D19" w14:textId="77777777" w:rsidR="002A21AE" w:rsidRDefault="002A21AE">
            <w:pPr>
              <w:pStyle w:val="TableTextNumbersContinued"/>
            </w:pPr>
          </w:p>
          <w:p w14:paraId="23ADBE24" w14:textId="77777777" w:rsidR="002A21AE" w:rsidRDefault="002A21AE">
            <w:pPr>
              <w:pStyle w:val="TableTextNumbersContinued"/>
            </w:pPr>
            <w:r>
              <w:t xml:space="preserve">Enter the interpretation for the patient ABO/Rh typing, if appropriate. </w:t>
            </w:r>
          </w:p>
        </w:tc>
        <w:tc>
          <w:tcPr>
            <w:tcW w:w="6120" w:type="dxa"/>
          </w:tcPr>
          <w:p w14:paraId="5B643E8C" w14:textId="77777777" w:rsidR="002A21AE" w:rsidRDefault="002A21AE">
            <w:pPr>
              <w:pStyle w:val="TableTextBullet"/>
            </w:pPr>
            <w:r>
              <w:t>Prompts the user to confirm that all results were reviewed and are acceptable.</w:t>
            </w:r>
          </w:p>
          <w:p w14:paraId="2FC06809" w14:textId="77777777" w:rsidR="002A21AE" w:rsidRDefault="002A21AE">
            <w:pPr>
              <w:pStyle w:val="TableText"/>
            </w:pPr>
          </w:p>
          <w:p w14:paraId="0363FFAF" w14:textId="3DA87466" w:rsidR="002A21AE" w:rsidRDefault="002A21AE">
            <w:pPr>
              <w:pStyle w:val="TableText"/>
              <w:rPr>
                <w:b/>
                <w:bCs/>
                <w:szCs w:val="18"/>
              </w:rPr>
            </w:pPr>
            <w:r>
              <w:rPr>
                <w:b/>
                <w:bCs/>
                <w:szCs w:val="18"/>
              </w:rPr>
              <w:t>NOTES</w:t>
            </w:r>
          </w:p>
          <w:p w14:paraId="2E548AF5" w14:textId="77777777" w:rsidR="002A21AE" w:rsidRDefault="002A21AE">
            <w:pPr>
              <w:pStyle w:val="NotesText"/>
            </w:pPr>
          </w:p>
          <w:p w14:paraId="7C639D2F" w14:textId="77777777" w:rsidR="00865A02" w:rsidRDefault="00865A02">
            <w:pPr>
              <w:pStyle w:val="Notes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p w14:paraId="14921F85" w14:textId="77777777" w:rsidR="00865A02" w:rsidRDefault="00865A02">
            <w:pPr>
              <w:pStyle w:val="NotesText"/>
            </w:pPr>
          </w:p>
          <w:p w14:paraId="44CFE624" w14:textId="77777777" w:rsidR="009D787A" w:rsidRDefault="002A21AE" w:rsidP="00562B7F">
            <w:pPr>
              <w:pStyle w:val="NotesText"/>
            </w:pPr>
            <w:r>
              <w:rPr>
                <w:vanish/>
                <w:szCs w:val="18"/>
              </w:rPr>
              <w:t>BR_52.08</w:t>
            </w:r>
            <w:r w:rsidR="00CE3961">
              <w:rPr>
                <w:vanish/>
                <w:szCs w:val="18"/>
              </w:rPr>
              <w:t>,</w:t>
            </w:r>
            <w:r w:rsidR="00562B7F">
              <w:rPr>
                <w:vanish/>
                <w:szCs w:val="18"/>
              </w:rPr>
              <w:t xml:space="preserve"> </w:t>
            </w:r>
            <w:r w:rsidR="00562B7F">
              <w:rPr>
                <w:snapToGrid w:val="0"/>
                <w:vanish/>
                <w:szCs w:val="18"/>
              </w:rPr>
              <w:t>BR_52.11</w:t>
            </w:r>
            <w:r>
              <w:rPr>
                <w:vanish/>
                <w:szCs w:val="18"/>
              </w:rPr>
              <w:t xml:space="preserve"> </w:t>
            </w:r>
            <w:r w:rsidR="004F5F28" w:rsidRPr="00323744">
              <w:rPr>
                <w:rStyle w:val="BullhornChar"/>
              </w:rPr>
              <w:t></w:t>
            </w:r>
            <w:r w:rsidR="004F5F28">
              <w:rPr>
                <w:rFonts w:ascii="Webdings" w:hAnsi="Webdings"/>
              </w:rPr>
              <w:t></w:t>
            </w:r>
            <w:r w:rsidR="00AA7C58" w:rsidRPr="00EC7489">
              <w:rPr>
                <w:rFonts w:ascii="Wingdings 3" w:hAnsi="Wingdings 3" w:cs="Wingdings"/>
              </w:rPr>
              <w:t></w:t>
            </w:r>
            <w:r w:rsidR="00AA7C58" w:rsidRPr="00EC7489">
              <w:rPr>
                <w:rFonts w:ascii="Wingdings 3" w:hAnsi="Wingdings 3" w:cs="Wingdings"/>
              </w:rPr>
              <w:t></w:t>
            </w:r>
            <w:r w:rsidR="00AA7C58">
              <w:t xml:space="preserve"> </w:t>
            </w:r>
            <w:r>
              <w:t>VBECS allows the</w:t>
            </w:r>
            <w:r w:rsidR="00562B7F">
              <w:t xml:space="preserve"> Enhanced Technologist</w:t>
            </w:r>
            <w:r>
              <w:t xml:space="preserve"> to enter an ABO/Rh interpretation that matches the patient’s previously recorded (historic) ABO/Rh interpretation when the system interpretation is inconclusive. This allows unit selection to continue based on the patient’s ABO/Rh interpretation entered by the user. VBECS requires the user to document the findings of any offline investigation, alerting the reviewer to appropriately follow up, according to local policy.</w:t>
            </w:r>
            <w:r>
              <w:rPr>
                <w:b/>
              </w:rPr>
              <w:t xml:space="preserve"> </w:t>
            </w:r>
            <w:r>
              <w:t>VBECS emits an audible alert and warns the user. VBECS allows an override with comment and captures details for inclusion in an Exception Report (exception type: discrepant ABO/Rh override) that includes all interpretations and historic patient information.</w:t>
            </w:r>
          </w:p>
        </w:tc>
      </w:tr>
      <w:tr w:rsidR="002A21AE" w14:paraId="714DC9F0" w14:textId="77777777">
        <w:tc>
          <w:tcPr>
            <w:tcW w:w="3240" w:type="dxa"/>
          </w:tcPr>
          <w:p w14:paraId="4461814B" w14:textId="77777777" w:rsidR="002A21AE" w:rsidRDefault="002A21AE">
            <w:pPr>
              <w:pStyle w:val="TableTextNumbers"/>
            </w:pPr>
            <w:r>
              <w:t xml:space="preserve">When all required fields are complete, click </w:t>
            </w:r>
            <w:r>
              <w:rPr>
                <w:b/>
              </w:rPr>
              <w:t>OK</w:t>
            </w:r>
            <w:r>
              <w:t xml:space="preserve"> to save and continue to the next patient, or exit.</w:t>
            </w:r>
            <w:r w:rsidR="00410757">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47B995D" w14:textId="77777777" w:rsidR="00CA660A" w:rsidRDefault="002A21AE" w:rsidP="00CA660A">
            <w:pPr>
              <w:pStyle w:val="TableTextBullet"/>
            </w:pPr>
            <w:r>
              <w:t>Saves the data.</w:t>
            </w:r>
          </w:p>
          <w:p w14:paraId="696FACEC" w14:textId="77777777" w:rsidR="008F0849" w:rsidRDefault="008F0849" w:rsidP="008F0849">
            <w:pPr>
              <w:pStyle w:val="TableTextBullet"/>
              <w:numPr>
                <w:ilvl w:val="0"/>
                <w:numId w:val="0"/>
              </w:numPr>
              <w:ind w:left="288" w:hanging="288"/>
            </w:pPr>
          </w:p>
          <w:p w14:paraId="6A85F238" w14:textId="0286555C" w:rsidR="008F0849" w:rsidRDefault="008F0849" w:rsidP="008F0849">
            <w:pPr>
              <w:pStyle w:val="TableText"/>
              <w:rPr>
                <w:b/>
                <w:bCs/>
                <w:szCs w:val="18"/>
              </w:rPr>
            </w:pPr>
            <w:r>
              <w:rPr>
                <w:b/>
                <w:bCs/>
                <w:szCs w:val="18"/>
              </w:rPr>
              <w:t>NOTES</w:t>
            </w:r>
          </w:p>
          <w:p w14:paraId="0211D65A" w14:textId="77777777" w:rsidR="008F0849" w:rsidRDefault="008F0849" w:rsidP="008F0849">
            <w:pPr>
              <w:pStyle w:val="TableText"/>
              <w:rPr>
                <w:b/>
                <w:bCs/>
                <w:szCs w:val="18"/>
              </w:rPr>
            </w:pPr>
          </w:p>
          <w:p w14:paraId="6BA9EF4A" w14:textId="2CE2ECC1" w:rsidR="008F0849" w:rsidRDefault="008F0849" w:rsidP="008F0849">
            <w:pPr>
              <w:pStyle w:val="TableTextBullet"/>
              <w:numPr>
                <w:ilvl w:val="0"/>
                <w:numId w:val="0"/>
              </w:numPr>
              <w:ind w:left="288" w:hanging="288"/>
            </w:pPr>
            <w:r>
              <w:t xml:space="preserve">      In a Transfusion Only ABO/Rh</w:t>
            </w:r>
            <w:r w:rsidRPr="00CA660A">
              <w:t xml:space="preserve"> testing </w:t>
            </w:r>
            <w:r>
              <w:t xml:space="preserve">grid, free text comments cannot </w:t>
            </w:r>
            <w:r w:rsidRPr="00CA660A">
              <w:t xml:space="preserve">be saved. Create the comment in Canned Comments, Patient Testing context, </w:t>
            </w:r>
            <w:r>
              <w:t xml:space="preserve">and then </w:t>
            </w:r>
            <w:r w:rsidRPr="00CA660A">
              <w:t>select it. Inactivate the Canned Comment, if it is not to be used again</w:t>
            </w:r>
            <w:r>
              <w:t xml:space="preserve">. </w:t>
            </w:r>
            <w:r w:rsidRPr="008F0849">
              <w:rPr>
                <w:vanish/>
              </w:rPr>
              <w:t>Task 210220</w:t>
            </w:r>
          </w:p>
        </w:tc>
      </w:tr>
    </w:tbl>
    <w:p w14:paraId="1A43E2DF" w14:textId="77777777" w:rsidR="002A21AE" w:rsidRDefault="002A21AE">
      <w:pPr>
        <w:pStyle w:val="Heading3"/>
      </w:pPr>
      <w:r>
        <w:br w:type="page"/>
      </w:r>
      <w:bookmarkStart w:id="469" w:name="_Toc163644950"/>
      <w:r>
        <w:lastRenderedPageBreak/>
        <w:t>Patient Testing: Record a Patient Antibody Screen</w:t>
      </w:r>
      <w:bookmarkEnd w:id="469"/>
      <w:r>
        <w:fldChar w:fldCharType="begin"/>
      </w:r>
      <w:r>
        <w:instrText xml:space="preserve"> XE </w:instrText>
      </w:r>
      <w:r w:rsidR="00FA7E65">
        <w:instrText>“</w:instrText>
      </w:r>
      <w:r>
        <w:instrText>Patient Testing\: Record a Patient Antibody Screen</w:instrText>
      </w:r>
      <w:r w:rsidR="00FA7E65">
        <w:instrText>”</w:instrText>
      </w:r>
      <w:r>
        <w:instrText xml:space="preserve"> </w:instrText>
      </w:r>
      <w:r>
        <w:fldChar w:fldCharType="end"/>
      </w:r>
      <w:r>
        <w:t xml:space="preserve"> </w:t>
      </w:r>
      <w:r>
        <w:rPr>
          <w:rFonts w:ascii="Times New Roman" w:hAnsi="Times New Roman" w:cs="Times New Roman"/>
          <w:b w:val="0"/>
          <w:vanish/>
          <w:sz w:val="22"/>
        </w:rPr>
        <w:t>UC_53</w:t>
      </w:r>
    </w:p>
    <w:p w14:paraId="39634AB2" w14:textId="77777777" w:rsidR="002A21AE" w:rsidRDefault="002A21AE" w:rsidP="00FA7E65">
      <w:pPr>
        <w:pStyle w:val="BodyText"/>
      </w:pPr>
      <w:r>
        <w:t xml:space="preserve">The user records the serologic results when performing the </w:t>
      </w:r>
      <w:r w:rsidR="008E2E30">
        <w:t>Antibody Screen Test (ABS)</w:t>
      </w:r>
      <w:r>
        <w:t>.</w:t>
      </w:r>
    </w:p>
    <w:p w14:paraId="313565A8" w14:textId="77777777" w:rsidR="002A21AE" w:rsidRDefault="002A21AE">
      <w:pPr>
        <w:pStyle w:val="Heading4"/>
      </w:pPr>
      <w:r>
        <w:t>Assumptions</w:t>
      </w:r>
      <w:r>
        <w:rPr>
          <w:b w:val="0"/>
        </w:rPr>
        <w:t xml:space="preserve"> </w:t>
      </w:r>
    </w:p>
    <w:p w14:paraId="6889B373" w14:textId="77777777" w:rsidR="002A21AE" w:rsidRDefault="002A21AE">
      <w:pPr>
        <w:pStyle w:val="ListBullet"/>
      </w:pPr>
      <w:r>
        <w:t>The user accesses patient ABO/Rh grids through Patient Testing: Record Patient Test Results.</w:t>
      </w:r>
    </w:p>
    <w:p w14:paraId="05B61F51" w14:textId="77777777" w:rsidR="002A21AE" w:rsidRDefault="002A21AE">
      <w:pPr>
        <w:pStyle w:val="ListBullet"/>
      </w:pPr>
      <w:r>
        <w:t>A CPRS order exists that includes an ABO/Rh typing [ABO/Rh Test or Type &amp; Screen (TAS)]. An ABS may also be ordered as a reflex patient test.</w:t>
      </w:r>
    </w:p>
    <w:p w14:paraId="36DC266A" w14:textId="77777777" w:rsidR="002A21AE" w:rsidRDefault="002A21AE">
      <w:pPr>
        <w:pStyle w:val="ListBullet"/>
      </w:pPr>
      <w:r>
        <w:t>Configure Daily QC and Configure Testing are complete.</w:t>
      </w:r>
    </w:p>
    <w:p w14:paraId="36BA8EFE" w14:textId="77777777" w:rsidR="002A21AE" w:rsidRDefault="002A21AE">
      <w:pPr>
        <w:pStyle w:val="Heading4"/>
      </w:pPr>
      <w:r>
        <w:t>Outcome</w:t>
      </w:r>
    </w:p>
    <w:p w14:paraId="2E0C81FD" w14:textId="77777777" w:rsidR="002A21AE" w:rsidRDefault="002A21AE">
      <w:pPr>
        <w:pStyle w:val="ListBullet"/>
        <w:rPr>
          <w:b/>
        </w:rPr>
      </w:pPr>
      <w:r>
        <w:t xml:space="preserve">When an ABS is ordered as a stand-alone test, VBECS changes the task status to “completed” and triggers the generation of a message to CPRS that the order is complete. </w:t>
      </w:r>
    </w:p>
    <w:p w14:paraId="30E386FA" w14:textId="77777777" w:rsidR="002A21AE" w:rsidRDefault="002A21AE">
      <w:pPr>
        <w:pStyle w:val="Heading4"/>
        <w:rPr>
          <w:b w:val="0"/>
        </w:rPr>
      </w:pPr>
      <w:r>
        <w:t>Limitations and Restrictions</w:t>
      </w:r>
      <w:r>
        <w:rPr>
          <w:b w:val="0"/>
        </w:rPr>
        <w:t xml:space="preserve"> </w:t>
      </w:r>
    </w:p>
    <w:p w14:paraId="23BDE3E9" w14:textId="77777777" w:rsidR="002A21AE" w:rsidRDefault="002A21AE">
      <w:pPr>
        <w:pStyle w:val="ListBullet"/>
      </w:pPr>
      <w:r>
        <w:t xml:space="preserve">This </w:t>
      </w:r>
      <w:r>
        <w:rPr>
          <w:szCs w:val="20"/>
        </w:rPr>
        <w:t>option is for patient testing only</w:t>
      </w:r>
      <w:r w:rsidR="001E7158">
        <w:rPr>
          <w:szCs w:val="20"/>
        </w:rPr>
        <w:t>.</w:t>
      </w:r>
    </w:p>
    <w:p w14:paraId="46DD393C" w14:textId="77777777" w:rsidR="002A21AE" w:rsidRDefault="002A21AE">
      <w:pPr>
        <w:pStyle w:val="Heading4"/>
      </w:pPr>
      <w:r>
        <w:t>Additional Information</w:t>
      </w:r>
      <w:r>
        <w:rPr>
          <w:rFonts w:ascii="Times New Roman" w:hAnsi="Times New Roman"/>
          <w:i/>
          <w:color w:val="0000FF"/>
          <w:sz w:val="24"/>
        </w:rPr>
        <w:t xml:space="preserve"> </w:t>
      </w:r>
    </w:p>
    <w:p w14:paraId="2FE9999A" w14:textId="77777777" w:rsidR="002A21AE" w:rsidRDefault="002A21AE">
      <w:pPr>
        <w:pStyle w:val="ListBullet"/>
      </w:pPr>
      <w:r>
        <w:t xml:space="preserve">The user performs lab tests and enters data simultaneously. </w:t>
      </w:r>
    </w:p>
    <w:p w14:paraId="2FB66484" w14:textId="77777777" w:rsidR="002A21AE" w:rsidRDefault="002A21AE">
      <w:pPr>
        <w:pStyle w:val="Heading4"/>
      </w:pPr>
      <w:r>
        <w:t xml:space="preserve">User Roles with Access to This Option </w:t>
      </w:r>
    </w:p>
    <w:p w14:paraId="033ADEF1" w14:textId="77777777" w:rsidR="002A21AE" w:rsidRDefault="007934CF">
      <w:pPr>
        <w:pStyle w:val="Roles"/>
      </w:pPr>
      <w:r>
        <w:t>All users</w:t>
      </w:r>
    </w:p>
    <w:p w14:paraId="048785DE" w14:textId="77777777" w:rsidR="002A21AE" w:rsidRDefault="002A21AE">
      <w:pPr>
        <w:pStyle w:val="Heading4"/>
        <w:rPr>
          <w:bCs/>
        </w:rPr>
      </w:pPr>
      <w:r>
        <w:rPr>
          <w:bCs/>
        </w:rPr>
        <w:t>Patient Testing: Record a Patient Antibody Screen</w:t>
      </w:r>
    </w:p>
    <w:p w14:paraId="5E273F9C" w14:textId="77777777" w:rsidR="002A21AE" w:rsidRDefault="002A21AE" w:rsidP="00FA7E65">
      <w:pPr>
        <w:pStyle w:val="BodyText"/>
      </w:pPr>
      <w:r>
        <w:t xml:space="preserve">The user tests the patient’s specimen for the presence of antibodies-to-irregular red cell antigens. The user may perform this test alone or as part of a battery of tests. </w:t>
      </w:r>
    </w:p>
    <w:p w14:paraId="22C029B8" w14:textId="77777777" w:rsidR="002A21AE" w:rsidRDefault="002A21AE" w:rsidP="00FA7E65">
      <w:pPr>
        <w:pStyle w:val="BodyText"/>
      </w:pPr>
      <w:r>
        <w:t>The user accesses patient antibody screen grids through Patient Testing: Record Patient Test Results and enters observations of the serologic reactions in the data entry grid during testing. VBECS makes the interpretation available to CPRS and patient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C8467A" w14:textId="77777777">
        <w:trPr>
          <w:cantSplit/>
          <w:tblHeader/>
        </w:trPr>
        <w:tc>
          <w:tcPr>
            <w:tcW w:w="3240" w:type="dxa"/>
            <w:shd w:val="pct30" w:color="auto" w:fill="FFFFFF"/>
            <w:vAlign w:val="bottom"/>
          </w:tcPr>
          <w:p w14:paraId="410D2B2B" w14:textId="77777777" w:rsidR="002A21AE" w:rsidRDefault="002A21AE">
            <w:pPr>
              <w:pStyle w:val="TableText"/>
              <w:rPr>
                <w:b/>
              </w:rPr>
            </w:pPr>
            <w:r>
              <w:rPr>
                <w:b/>
              </w:rPr>
              <w:t>User Action</w:t>
            </w:r>
          </w:p>
        </w:tc>
        <w:tc>
          <w:tcPr>
            <w:tcW w:w="6120" w:type="dxa"/>
            <w:shd w:val="pct30" w:color="auto" w:fill="FFFFFF"/>
            <w:vAlign w:val="bottom"/>
          </w:tcPr>
          <w:p w14:paraId="313DFAB9" w14:textId="77777777" w:rsidR="002A21AE" w:rsidRDefault="002A21AE">
            <w:pPr>
              <w:pStyle w:val="TableText"/>
              <w:rPr>
                <w:b/>
              </w:rPr>
            </w:pPr>
            <w:r>
              <w:rPr>
                <w:b/>
              </w:rPr>
              <w:t>VBECS</w:t>
            </w:r>
          </w:p>
        </w:tc>
      </w:tr>
      <w:tr w:rsidR="00141448" w14:paraId="6418F32D" w14:textId="77777777">
        <w:tc>
          <w:tcPr>
            <w:tcW w:w="3240" w:type="dxa"/>
            <w:tcBorders>
              <w:top w:val="single" w:sz="4" w:space="0" w:color="auto"/>
              <w:left w:val="single" w:sz="4" w:space="0" w:color="auto"/>
              <w:bottom w:val="single" w:sz="4" w:space="0" w:color="auto"/>
              <w:right w:val="single" w:sz="4" w:space="0" w:color="auto"/>
            </w:tcBorders>
          </w:tcPr>
          <w:p w14:paraId="6B4483CB" w14:textId="77777777" w:rsidR="00141448" w:rsidRDefault="00141448" w:rsidP="00D71D64">
            <w:pPr>
              <w:pStyle w:val="TableTextNumbers"/>
            </w:pPr>
            <w:r>
              <w:t xml:space="preserve">Select </w:t>
            </w:r>
            <w:r>
              <w:rPr>
                <w:b/>
              </w:rPr>
              <w:t>Patients</w:t>
            </w:r>
            <w:r>
              <w:t xml:space="preserve"> from the main menu.</w:t>
            </w:r>
          </w:p>
          <w:p w14:paraId="3E80FBE8" w14:textId="77777777" w:rsidR="00141448" w:rsidRDefault="00141448" w:rsidP="00141448">
            <w:pPr>
              <w:pStyle w:val="TableTextNumbersContinued"/>
            </w:pPr>
          </w:p>
          <w:p w14:paraId="754CC22E"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1CC242D1" w14:textId="77777777" w:rsidR="00141448" w:rsidRDefault="00141448" w:rsidP="00141448">
            <w:pPr>
              <w:pStyle w:val="TableTextBullet"/>
            </w:pPr>
            <w:r>
              <w:t xml:space="preserve">Displays options for processing patient-related functions. </w:t>
            </w:r>
          </w:p>
          <w:p w14:paraId="638A192D" w14:textId="77777777" w:rsidR="00141448" w:rsidRDefault="00141448" w:rsidP="00141448">
            <w:pPr>
              <w:pStyle w:val="TableTextBullet"/>
            </w:pPr>
            <w:r>
              <w:t>Displays the Pending Task List (PTL) in the Diagnostic Tests tab.</w:t>
            </w:r>
          </w:p>
          <w:p w14:paraId="43F4B79A" w14:textId="77777777" w:rsidR="00141448" w:rsidRDefault="00141448" w:rsidP="00141448">
            <w:pPr>
              <w:pStyle w:val="NotesText"/>
            </w:pPr>
          </w:p>
          <w:p w14:paraId="1E346A23" w14:textId="768557E6" w:rsidR="00141448" w:rsidRDefault="00141448" w:rsidP="00141448">
            <w:pPr>
              <w:pStyle w:val="TableText"/>
              <w:rPr>
                <w:b/>
                <w:bCs/>
                <w:szCs w:val="18"/>
              </w:rPr>
            </w:pPr>
            <w:r>
              <w:rPr>
                <w:b/>
                <w:bCs/>
                <w:szCs w:val="18"/>
              </w:rPr>
              <w:t>NOTES</w:t>
            </w:r>
          </w:p>
          <w:p w14:paraId="5BD8765D" w14:textId="77777777" w:rsidR="00141448" w:rsidRDefault="00141448" w:rsidP="00141448">
            <w:pPr>
              <w:pStyle w:val="NotesText"/>
            </w:pPr>
          </w:p>
          <w:p w14:paraId="1A41A9BA" w14:textId="77777777" w:rsidR="00141448" w:rsidRDefault="00141448" w:rsidP="00141448">
            <w:pPr>
              <w:pStyle w:val="NotesText"/>
            </w:pPr>
            <w:r>
              <w:t>A user may search for specific tasks using search criteria detailed in Pending Task List.</w:t>
            </w:r>
          </w:p>
        </w:tc>
      </w:tr>
      <w:tr w:rsidR="00B1359E" w14:paraId="20D36B59" w14:textId="77777777">
        <w:tc>
          <w:tcPr>
            <w:tcW w:w="3240" w:type="dxa"/>
          </w:tcPr>
          <w:p w14:paraId="2C35DE70" w14:textId="77777777" w:rsidR="00B1359E" w:rsidRDefault="00B1359E" w:rsidP="00150254">
            <w:pPr>
              <w:pStyle w:val="TableTextNumbers"/>
            </w:pPr>
            <w:r>
              <w:t xml:space="preserve">Click one to four check boxes in the Pending Task List to select tasks for testing. </w:t>
            </w:r>
          </w:p>
          <w:p w14:paraId="29A34767" w14:textId="77777777" w:rsidR="00B1359E" w:rsidRDefault="00B1359E" w:rsidP="00150254">
            <w:pPr>
              <w:pStyle w:val="TableTextNumbersContinued"/>
            </w:pPr>
          </w:p>
          <w:p w14:paraId="77F716A7" w14:textId="77777777" w:rsidR="00B1359E" w:rsidRDefault="00B1359E" w:rsidP="00150254">
            <w:pPr>
              <w:pStyle w:val="TableTextNumbersContinued"/>
            </w:pPr>
            <w:r>
              <w:t xml:space="preserve">Click </w:t>
            </w:r>
            <w:r>
              <w:rPr>
                <w:b/>
              </w:rPr>
              <w:t>OK</w:t>
            </w:r>
            <w:r>
              <w:t>.</w:t>
            </w:r>
          </w:p>
        </w:tc>
        <w:tc>
          <w:tcPr>
            <w:tcW w:w="6120" w:type="dxa"/>
          </w:tcPr>
          <w:p w14:paraId="5D2CF582" w14:textId="77777777" w:rsidR="00B1359E" w:rsidRDefault="00B1359E" w:rsidP="00150254">
            <w:pPr>
              <w:pStyle w:val="TableTextBullet"/>
            </w:pPr>
            <w:r>
              <w:t>Displays patient names and associated task information.</w:t>
            </w:r>
          </w:p>
        </w:tc>
      </w:tr>
      <w:tr w:rsidR="002A21AE" w14:paraId="7478BB75" w14:textId="77777777" w:rsidTr="00414071">
        <w:trPr>
          <w:cantSplit/>
        </w:trPr>
        <w:tc>
          <w:tcPr>
            <w:tcW w:w="3240" w:type="dxa"/>
          </w:tcPr>
          <w:p w14:paraId="69C9F71E" w14:textId="77777777" w:rsidR="00F345F3" w:rsidRDefault="00F345F3">
            <w:pPr>
              <w:pStyle w:val="TableTextNumbers"/>
            </w:pPr>
            <w:r>
              <w:lastRenderedPageBreak/>
              <w:t>Click a check box to s</w:t>
            </w:r>
            <w:r w:rsidR="00F3010E">
              <w:t>elect a reagent rack</w:t>
            </w:r>
            <w:r>
              <w:t>.</w:t>
            </w:r>
          </w:p>
          <w:p w14:paraId="041A262C" w14:textId="77777777" w:rsidR="00F345F3" w:rsidRDefault="00F345F3" w:rsidP="00F345F3">
            <w:pPr>
              <w:pStyle w:val="TableTextNumbersContinued"/>
            </w:pPr>
          </w:p>
          <w:p w14:paraId="7A372B84" w14:textId="77777777" w:rsidR="00F3010E" w:rsidRDefault="00F3010E" w:rsidP="00F345F3">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t>.</w:t>
            </w:r>
          </w:p>
          <w:p w14:paraId="318D565F" w14:textId="77777777" w:rsidR="00F345F3" w:rsidRDefault="00F345F3" w:rsidP="00F345F3">
            <w:pPr>
              <w:pStyle w:val="TableTextNumbersContinued"/>
            </w:pPr>
          </w:p>
          <w:p w14:paraId="16375840" w14:textId="77777777" w:rsidR="00F345F3" w:rsidRDefault="00F345F3" w:rsidP="00F345F3">
            <w:pPr>
              <w:pStyle w:val="TableTextNumbersContinued"/>
            </w:pPr>
            <w:r>
              <w:t xml:space="preserve">Click </w:t>
            </w:r>
            <w:r>
              <w:rPr>
                <w:b/>
              </w:rPr>
              <w:t>OK</w:t>
            </w:r>
            <w:r>
              <w:t xml:space="preserve"> to continue with testing.</w:t>
            </w:r>
          </w:p>
        </w:tc>
        <w:tc>
          <w:tcPr>
            <w:tcW w:w="6120" w:type="dxa"/>
          </w:tcPr>
          <w:p w14:paraId="64414BA4" w14:textId="77777777" w:rsidR="002A21AE" w:rsidRDefault="002A21AE">
            <w:pPr>
              <w:pStyle w:val="TableText"/>
            </w:pPr>
          </w:p>
          <w:p w14:paraId="37FFBBDA" w14:textId="748A1C92" w:rsidR="002A21AE" w:rsidRDefault="002A21AE">
            <w:pPr>
              <w:pStyle w:val="TableText"/>
              <w:rPr>
                <w:b/>
                <w:bCs/>
                <w:szCs w:val="18"/>
              </w:rPr>
            </w:pPr>
            <w:r>
              <w:rPr>
                <w:b/>
                <w:bCs/>
                <w:szCs w:val="18"/>
              </w:rPr>
              <w:t>NOTES</w:t>
            </w:r>
          </w:p>
          <w:p w14:paraId="68D67BE6" w14:textId="77777777" w:rsidR="002A21AE" w:rsidRDefault="002A21AE">
            <w:pPr>
              <w:pStyle w:val="NotesText"/>
            </w:pPr>
          </w:p>
          <w:p w14:paraId="075C215E" w14:textId="77777777" w:rsidR="002A21AE" w:rsidRDefault="002A21AE">
            <w:pPr>
              <w:pStyle w:val="NotesText"/>
            </w:pPr>
            <w:r>
              <w:rPr>
                <w:rFonts w:cs="Arial"/>
                <w:vanish/>
              </w:rPr>
              <w:t xml:space="preserve">BR_40.04 </w:t>
            </w:r>
            <w:r>
              <w:t>When the testing method selected is AHG only, VBECS disables the data grid boxes for phases IS, 37, and CC.</w:t>
            </w:r>
          </w:p>
        </w:tc>
      </w:tr>
      <w:tr w:rsidR="002A21AE" w14:paraId="3C45FD77" w14:textId="77777777">
        <w:tc>
          <w:tcPr>
            <w:tcW w:w="3240" w:type="dxa"/>
          </w:tcPr>
          <w:p w14:paraId="56BC6D11" w14:textId="77777777" w:rsidR="002A21AE" w:rsidRDefault="00F345F3">
            <w:pPr>
              <w:pStyle w:val="TableTextNumbers"/>
            </w:pPr>
            <w:r>
              <w:t>When processing more than one patient, s</w:t>
            </w:r>
            <w:r w:rsidR="002A21AE">
              <w:t xml:space="preserve">elect a </w:t>
            </w:r>
            <w:r>
              <w:t>name from the drop-down list in the Name field (or click the right or left arrow)</w:t>
            </w:r>
            <w:r w:rsidR="002A21AE">
              <w:t xml:space="preserve"> to </w:t>
            </w:r>
            <w:r>
              <w:t>record testing</w:t>
            </w:r>
            <w:r w:rsidR="00F9187A">
              <w:t xml:space="preserve"> for that patient</w:t>
            </w:r>
            <w:r w:rsidR="002A21AE">
              <w:t>.</w:t>
            </w:r>
          </w:p>
        </w:tc>
        <w:tc>
          <w:tcPr>
            <w:tcW w:w="6120" w:type="dxa"/>
          </w:tcPr>
          <w:p w14:paraId="15B0FEDE" w14:textId="77777777" w:rsidR="002A21AE" w:rsidRDefault="002A21AE">
            <w:pPr>
              <w:pStyle w:val="TableTextBullet"/>
            </w:pPr>
            <w:r>
              <w:t xml:space="preserve">Allows the user to select a patient and enter a test result for the patient. </w:t>
            </w:r>
          </w:p>
          <w:p w14:paraId="422E4E62" w14:textId="77777777" w:rsidR="002A21AE" w:rsidRDefault="002A21AE" w:rsidP="00380ACC">
            <w:pPr>
              <w:pStyle w:val="TableTextBullet"/>
            </w:pPr>
            <w:r>
              <w:t>Allows only valid data entries in the grid reaction result and interpretation cells.</w:t>
            </w:r>
          </w:p>
          <w:p w14:paraId="0581E73D" w14:textId="77777777" w:rsidR="002A21AE" w:rsidRDefault="002A21AE">
            <w:pPr>
              <w:pStyle w:val="TableText"/>
            </w:pPr>
          </w:p>
          <w:p w14:paraId="6390B645" w14:textId="71771448" w:rsidR="002A21AE" w:rsidRDefault="002A21AE">
            <w:pPr>
              <w:pStyle w:val="TableText"/>
              <w:rPr>
                <w:b/>
                <w:bCs/>
                <w:szCs w:val="18"/>
              </w:rPr>
            </w:pPr>
            <w:r>
              <w:rPr>
                <w:b/>
                <w:bCs/>
                <w:szCs w:val="18"/>
              </w:rPr>
              <w:t>NOTES</w:t>
            </w:r>
          </w:p>
          <w:p w14:paraId="41AD6E3A" w14:textId="77777777" w:rsidR="002A21AE" w:rsidRDefault="002A21AE">
            <w:pPr>
              <w:pStyle w:val="NotesText"/>
            </w:pPr>
          </w:p>
          <w:p w14:paraId="356A75E5" w14:textId="2B52186F" w:rsidR="002A21AE" w:rsidRDefault="002A21AE">
            <w:pPr>
              <w:pStyle w:val="NotesText"/>
            </w:pPr>
            <w:r>
              <w:rPr>
                <w:rFonts w:cs="Arial"/>
                <w:vanish/>
              </w:rPr>
              <w:t xml:space="preserve">BR_53.02 </w:t>
            </w:r>
            <w:r>
              <w:t xml:space="preserve">The logic described in </w:t>
            </w:r>
            <w:r w:rsidR="00EE455E">
              <w:t xml:space="preserve">Appendix </w:t>
            </w:r>
            <w:r w:rsidR="00EE455E">
              <w:rPr>
                <w:noProof/>
              </w:rPr>
              <w:t>B</w:t>
            </w:r>
            <w:r>
              <w:t xml:space="preserve">: </w:t>
            </w:r>
            <w:r w:rsidR="00EE455E">
              <w:t xml:space="preserve">Table </w:t>
            </w:r>
            <w:r w:rsidR="00EE455E">
              <w:rPr>
                <w:noProof/>
              </w:rPr>
              <w:t>16</w:t>
            </w:r>
            <w:r w:rsidR="00EE455E">
              <w:t xml:space="preserve">: </w:t>
            </w:r>
            <w:r w:rsidR="00EE455E">
              <w:rPr>
                <w:vanish/>
              </w:rPr>
              <w:t xml:space="preserve">TT_53.02 </w:t>
            </w:r>
            <w:r w:rsidR="00EE455E">
              <w:t>Antibody Screen Test Interpretation</w:t>
            </w:r>
            <w:r w:rsidR="00AE2DC1">
              <w:t xml:space="preserve"> </w:t>
            </w:r>
            <w:r>
              <w:t>is an integral part of the configuration of the reaction result grid developed for Patient Testing: Record a Patient Antibody Screen.</w:t>
            </w:r>
          </w:p>
          <w:p w14:paraId="5039AF54" w14:textId="77777777" w:rsidR="002A21AE" w:rsidRDefault="002A21AE">
            <w:pPr>
              <w:pStyle w:val="NotesText"/>
            </w:pPr>
          </w:p>
          <w:p w14:paraId="5007FAE3" w14:textId="77777777" w:rsidR="002A21AE" w:rsidRDefault="002A21AE">
            <w:pPr>
              <w:pStyle w:val="NotesText"/>
            </w:pPr>
            <w:r>
              <w:rPr>
                <w:rFonts w:cs="Arial"/>
                <w:vanish/>
              </w:rPr>
              <w:t xml:space="preserve">BR_53.04 </w:t>
            </w:r>
            <w:r>
              <w:t>There may be two to five rows of screening cells to be validated as a group (the ABS). The user enters only one interpretation for the combination of cells tested.</w:t>
            </w:r>
          </w:p>
          <w:p w14:paraId="5D30BA58" w14:textId="77777777" w:rsidR="002A21AE" w:rsidRDefault="002A21AE">
            <w:pPr>
              <w:pStyle w:val="NotesText"/>
            </w:pPr>
          </w:p>
          <w:p w14:paraId="0CE5FFC1" w14:textId="77777777" w:rsidR="002A21AE" w:rsidRDefault="002A21AE">
            <w:pPr>
              <w:pStyle w:val="NotesText"/>
            </w:pPr>
            <w:r>
              <w:rPr>
                <w:rFonts w:cs="Arial"/>
                <w:vanish/>
              </w:rPr>
              <w:t xml:space="preserve">BR_53.03 </w:t>
            </w:r>
            <w:r>
              <w:t>Valid interpretations of an ABS Test are positive or negative.</w:t>
            </w:r>
          </w:p>
          <w:p w14:paraId="3F9D8E25" w14:textId="77777777" w:rsidR="00B57F42" w:rsidRDefault="00B57F42">
            <w:pPr>
              <w:pStyle w:val="NotesText"/>
            </w:pPr>
          </w:p>
          <w:p w14:paraId="3169A0AE" w14:textId="17F7B05D" w:rsidR="00B57F42" w:rsidRDefault="00B57F42">
            <w:pPr>
              <w:pStyle w:val="NotesText"/>
            </w:pPr>
            <w:r w:rsidRPr="007A20C2">
              <w:rPr>
                <w:vanish/>
              </w:rPr>
              <w:t xml:space="preserve">BR_53.08 </w:t>
            </w:r>
            <w:r w:rsidR="007A20C2">
              <w:t xml:space="preserve">If the antibody screen is positive, the system emits an audible alert and warning that displays that the </w:t>
            </w:r>
            <w:r w:rsidR="007A20C2" w:rsidRPr="00DD6184">
              <w:t xml:space="preserve">Patient has a POSITIVE </w:t>
            </w:r>
            <w:r w:rsidR="007A20C2">
              <w:t>Antibody Screen Result. P</w:t>
            </w:r>
            <w:r w:rsidR="007A20C2" w:rsidRPr="00DD6184">
              <w:t>erform Antibody Identification on this patient prior to issue of blood components</w:t>
            </w:r>
            <w:r w:rsidR="007A20C2">
              <w:t>.</w:t>
            </w:r>
          </w:p>
        </w:tc>
      </w:tr>
      <w:tr w:rsidR="002A21AE" w14:paraId="48E7E406" w14:textId="77777777">
        <w:tc>
          <w:tcPr>
            <w:tcW w:w="3240" w:type="dxa"/>
          </w:tcPr>
          <w:p w14:paraId="6419984B" w14:textId="77777777" w:rsidR="002A21AE" w:rsidRDefault="002A21AE">
            <w:pPr>
              <w:pStyle w:val="TableTextNumbers"/>
            </w:pPr>
            <w:r>
              <w:t>Repeat Step 4 until results are entered in some or all portions of the test grid for the selected patient. Enter the interpretation for the patient ABS Test, if desired.</w:t>
            </w:r>
          </w:p>
        </w:tc>
        <w:tc>
          <w:tcPr>
            <w:tcW w:w="6120" w:type="dxa"/>
          </w:tcPr>
          <w:p w14:paraId="44F45BD3" w14:textId="77777777" w:rsidR="002A21AE" w:rsidRDefault="002A21AE">
            <w:pPr>
              <w:pStyle w:val="TableTextBullet"/>
            </w:pPr>
            <w:r>
              <w:t>Verifies that appropriate tests are entered.</w:t>
            </w:r>
          </w:p>
          <w:p w14:paraId="6D737AAD" w14:textId="77777777" w:rsidR="002A21AE" w:rsidRDefault="002A21AE">
            <w:pPr>
              <w:pStyle w:val="TableTextBullet"/>
            </w:pPr>
            <w:r>
              <w:t>Prompts the user to confirm that results were reviewed and are acceptable.</w:t>
            </w:r>
          </w:p>
          <w:p w14:paraId="02363490" w14:textId="77777777" w:rsidR="002A21AE" w:rsidRDefault="002A21AE">
            <w:pPr>
              <w:pStyle w:val="TableText"/>
            </w:pPr>
          </w:p>
          <w:p w14:paraId="748B3992" w14:textId="0052091E" w:rsidR="002A21AE" w:rsidRDefault="002A21AE">
            <w:pPr>
              <w:pStyle w:val="TableText"/>
              <w:rPr>
                <w:b/>
                <w:bCs/>
                <w:szCs w:val="18"/>
              </w:rPr>
            </w:pPr>
            <w:r>
              <w:rPr>
                <w:b/>
                <w:bCs/>
                <w:szCs w:val="18"/>
              </w:rPr>
              <w:t>NOTES</w:t>
            </w:r>
          </w:p>
          <w:p w14:paraId="1C2C9E43" w14:textId="77777777" w:rsidR="002A21AE" w:rsidRDefault="002A21AE">
            <w:pPr>
              <w:pStyle w:val="NotesText"/>
            </w:pPr>
          </w:p>
          <w:p w14:paraId="76C0436F" w14:textId="02CA074F" w:rsidR="002A21AE" w:rsidRDefault="002A21AE" w:rsidP="009874B8">
            <w:pPr>
              <w:pStyle w:val="NotesText"/>
            </w:pPr>
            <w:r>
              <w:rPr>
                <w:rFonts w:cs="Arial"/>
                <w:vanish/>
              </w:rPr>
              <w:t xml:space="preserve">BR_53.01 </w:t>
            </w:r>
            <w:r>
              <w:t xml:space="preserve">When the ABS Test interpretation must be consistent with observed test results based on </w:t>
            </w:r>
            <w:r w:rsidR="00EE455E">
              <w:t xml:space="preserve">Table </w:t>
            </w:r>
            <w:r w:rsidR="00EE455E">
              <w:rPr>
                <w:noProof/>
              </w:rPr>
              <w:t>16</w:t>
            </w:r>
            <w:r w:rsidR="00EE455E">
              <w:t xml:space="preserve">: </w:t>
            </w:r>
            <w:r w:rsidR="00EE455E">
              <w:rPr>
                <w:vanish/>
              </w:rPr>
              <w:t xml:space="preserve">TT_53.02 </w:t>
            </w:r>
            <w:r w:rsidR="00EE455E">
              <w:t>Antibody Screen Test Interpretation</w:t>
            </w:r>
            <w:r>
              <w:t>, discrepancies must be resolved before VBECS verifies the results and adds them to the database. The user may reenter valid results or delete the entries</w:t>
            </w:r>
            <w:r w:rsidR="009874B8">
              <w:t xml:space="preserve"> and start over before saving. </w:t>
            </w:r>
          </w:p>
        </w:tc>
      </w:tr>
      <w:tr w:rsidR="002A21AE" w14:paraId="495DA90C" w14:textId="77777777">
        <w:tc>
          <w:tcPr>
            <w:tcW w:w="3240" w:type="dxa"/>
          </w:tcPr>
          <w:p w14:paraId="032386D6" w14:textId="77777777" w:rsidR="002A21AE" w:rsidRDefault="002A21AE">
            <w:pPr>
              <w:pStyle w:val="TableTextNumbers"/>
            </w:pPr>
            <w:r>
              <w:t>Enter test results in preparation for updating the database.</w:t>
            </w:r>
            <w:r w:rsidRPr="00B93B42">
              <w:rPr>
                <w:rStyle w:val="StyleTableTextNumbersWhite1Char"/>
              </w:rPr>
              <w:t xml:space="preserve"> </w:t>
            </w:r>
          </w:p>
        </w:tc>
        <w:tc>
          <w:tcPr>
            <w:tcW w:w="6120" w:type="dxa"/>
          </w:tcPr>
          <w:p w14:paraId="04F86C41" w14:textId="77777777" w:rsidR="002A21AE" w:rsidRDefault="002A21AE">
            <w:pPr>
              <w:pStyle w:val="TableTextBullet"/>
            </w:pPr>
            <w:r>
              <w:t>Saves the data.</w:t>
            </w:r>
          </w:p>
        </w:tc>
      </w:tr>
      <w:tr w:rsidR="002A21AE" w14:paraId="30BEC559" w14:textId="77777777">
        <w:tc>
          <w:tcPr>
            <w:tcW w:w="3240" w:type="dxa"/>
          </w:tcPr>
          <w:p w14:paraId="292AFB02" w14:textId="77777777" w:rsidR="002A21AE" w:rsidRDefault="002A21AE">
            <w:pPr>
              <w:pStyle w:val="TableTextNumbers"/>
            </w:pPr>
            <w:r>
              <w:t xml:space="preserve">Click </w:t>
            </w:r>
            <w:r>
              <w:rPr>
                <w:b/>
              </w:rPr>
              <w:t xml:space="preserve">OK </w:t>
            </w:r>
            <w:r>
              <w:t xml:space="preserve">to </w:t>
            </w:r>
            <w:r w:rsidR="0095563F">
              <w:t xml:space="preserve">save, and </w:t>
            </w:r>
            <w:r w:rsidR="0095563F" w:rsidRPr="0095563F">
              <w:rPr>
                <w:b/>
              </w:rPr>
              <w:t>OK</w:t>
            </w:r>
            <w:r w:rsidR="0095563F">
              <w:t xml:space="preserve"> to confirm and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0EC351E" w14:textId="77777777" w:rsidR="002A21AE" w:rsidRDefault="002A21AE">
            <w:pPr>
              <w:pStyle w:val="TableText"/>
            </w:pPr>
          </w:p>
        </w:tc>
      </w:tr>
    </w:tbl>
    <w:p w14:paraId="6C166781" w14:textId="77777777" w:rsidR="002A21AE" w:rsidRDefault="00AC2D9E">
      <w:pPr>
        <w:pStyle w:val="Heading3"/>
      </w:pPr>
      <w:r>
        <w:br w:type="page"/>
      </w:r>
      <w:bookmarkStart w:id="470" w:name="_Toc163644951"/>
      <w:bookmarkStart w:id="471" w:name="_Hlk36533028"/>
      <w:r w:rsidR="002A21AE">
        <w:lastRenderedPageBreak/>
        <w:t>Patient Testing: Record a Direct Antiglobulin Test</w:t>
      </w:r>
      <w:bookmarkEnd w:id="470"/>
      <w:r w:rsidR="002A21AE">
        <w:fldChar w:fldCharType="begin"/>
      </w:r>
      <w:r w:rsidR="002A21AE">
        <w:instrText xml:space="preserve"> XE </w:instrText>
      </w:r>
      <w:r w:rsidR="00FA7E65">
        <w:instrText>“</w:instrText>
      </w:r>
      <w:r w:rsidR="002A21AE">
        <w:instrText>Patient Testing\: Record a Direct Antiglobulin Test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UC_54</w:t>
      </w:r>
    </w:p>
    <w:p w14:paraId="328DA432" w14:textId="77777777" w:rsidR="002A21AE" w:rsidRDefault="002A21AE" w:rsidP="00FA7E65">
      <w:pPr>
        <w:pStyle w:val="BodyText"/>
      </w:pPr>
      <w:r>
        <w:t xml:space="preserve">The user records observed results when performing a Direct Antiglobulin Test (DAT). </w:t>
      </w:r>
    </w:p>
    <w:p w14:paraId="7EE0CE07" w14:textId="77777777" w:rsidR="002A21AE" w:rsidRDefault="002A21AE">
      <w:pPr>
        <w:pStyle w:val="Heading4"/>
      </w:pPr>
      <w:r>
        <w:t>Assumptions</w:t>
      </w:r>
      <w:r>
        <w:rPr>
          <w:b w:val="0"/>
        </w:rPr>
        <w:t xml:space="preserve"> </w:t>
      </w:r>
    </w:p>
    <w:p w14:paraId="114CE7C5" w14:textId="77777777" w:rsidR="002A21AE" w:rsidRDefault="002A21AE">
      <w:pPr>
        <w:pStyle w:val="ListBullet"/>
      </w:pPr>
      <w:r>
        <w:t xml:space="preserve">A CPRS order exists that includes a DAT, which the user may also order as a reflex patient test. </w:t>
      </w:r>
    </w:p>
    <w:p w14:paraId="4E64228B" w14:textId="77777777" w:rsidR="002A21AE" w:rsidRDefault="002A21AE">
      <w:pPr>
        <w:pStyle w:val="ListBullet"/>
      </w:pPr>
      <w:r>
        <w:t xml:space="preserve">The user is testing a patient specimen in Patient Testing: Record Patient Test Results. </w:t>
      </w:r>
    </w:p>
    <w:p w14:paraId="728E0E40" w14:textId="77777777" w:rsidR="002A21AE" w:rsidRDefault="002A21AE">
      <w:pPr>
        <w:pStyle w:val="ListBullet"/>
      </w:pPr>
      <w:r>
        <w:t>VBECS is configured to accommodate the DAT as part of a Type &amp; Screen (TAS).</w:t>
      </w:r>
    </w:p>
    <w:p w14:paraId="4EC5B2B2" w14:textId="77777777" w:rsidR="002A21AE" w:rsidRDefault="002A21AE">
      <w:pPr>
        <w:pStyle w:val="Heading4"/>
      </w:pPr>
      <w:r>
        <w:t xml:space="preserve">Outcome </w:t>
      </w:r>
    </w:p>
    <w:p w14:paraId="116543D6" w14:textId="77777777" w:rsidR="002A21AE" w:rsidRDefault="002A21AE">
      <w:pPr>
        <w:pStyle w:val="ListBullet"/>
      </w:pPr>
      <w:r>
        <w:t>When a DAT is ordered as a stand-alone test, VBECS changes the task status to “completed” and triggers the generation of a message to CPRS that the order is complete.</w:t>
      </w:r>
    </w:p>
    <w:p w14:paraId="74E8352B" w14:textId="77777777" w:rsidR="002A21AE" w:rsidRDefault="002A21AE">
      <w:pPr>
        <w:pStyle w:val="Heading4"/>
      </w:pPr>
      <w:r>
        <w:t>Limitations and Restrictions</w:t>
      </w:r>
      <w:r>
        <w:rPr>
          <w:b w:val="0"/>
        </w:rPr>
        <w:t xml:space="preserve"> </w:t>
      </w:r>
    </w:p>
    <w:p w14:paraId="0B4C96F4" w14:textId="77777777" w:rsidR="002A21AE" w:rsidRDefault="002A21AE">
      <w:pPr>
        <w:pStyle w:val="ListBullet"/>
      </w:pPr>
      <w:r>
        <w:t>VBECS does not check whether the lot and vial numbers selected for the positive control cells are different from those of the negative control cells.</w:t>
      </w:r>
    </w:p>
    <w:p w14:paraId="2130BC17" w14:textId="77777777" w:rsidR="002A21AE" w:rsidRDefault="002A21AE">
      <w:pPr>
        <w:pStyle w:val="Heading4"/>
      </w:pPr>
      <w:r>
        <w:t xml:space="preserve">Additional Information </w:t>
      </w:r>
    </w:p>
    <w:p w14:paraId="65AC702E" w14:textId="77777777" w:rsidR="002A21AE" w:rsidRDefault="002A21AE">
      <w:pPr>
        <w:pStyle w:val="ListBullet"/>
      </w:pPr>
      <w:r>
        <w:rPr>
          <w:rFonts w:ascii="Arial" w:hAnsi="Arial" w:cs="Arial"/>
          <w:vanish/>
          <w:spacing w:val="0"/>
          <w:sz w:val="18"/>
        </w:rPr>
        <w:t xml:space="preserve">BR_28.11 </w:t>
      </w:r>
      <w:r>
        <w:t>The site settings determine which reagent types and lot numbers are available.</w:t>
      </w:r>
    </w:p>
    <w:p w14:paraId="23588CE6" w14:textId="45E746BA" w:rsidR="002A21AE" w:rsidRDefault="002A21AE">
      <w:pPr>
        <w:pStyle w:val="ListBullet"/>
      </w:pPr>
      <w:r>
        <w:t xml:space="preserve">VBECS checks the rack for the DAT reagents in use. When the rack testing does not include Poly AHG, Anti-IgG, or anti-complement, VBECS displays additional positive and negative control rows with the test grid for the DAT sera. </w:t>
      </w:r>
      <w:r w:rsidR="007C52D2">
        <w:t xml:space="preserve">(See </w:t>
      </w:r>
      <w:r w:rsidR="0096583A" w:rsidRPr="00423A7F">
        <w:rPr>
          <w:i/>
          <w:iCs/>
        </w:rPr>
        <w:t xml:space="preserve">FAQ </w:t>
      </w:r>
      <w:r w:rsidR="007C52D2" w:rsidRPr="00423A7F">
        <w:rPr>
          <w:i/>
          <w:iCs/>
        </w:rPr>
        <w:t>Polyspecific AHG Not Used for Testing</w:t>
      </w:r>
      <w:r w:rsidR="007C52D2">
        <w:t>)</w:t>
      </w:r>
    </w:p>
    <w:p w14:paraId="17221485" w14:textId="2DD8730C" w:rsidR="002A21AE" w:rsidRDefault="002A21AE">
      <w:pPr>
        <w:pStyle w:val="ListBullet"/>
      </w:pPr>
      <w:r>
        <w:rPr>
          <w:rFonts w:ascii="Arial" w:hAnsi="Arial" w:cs="Arial"/>
          <w:vanish/>
          <w:spacing w:val="0"/>
          <w:sz w:val="18"/>
        </w:rPr>
        <w:t xml:space="preserve">BR_41.25 </w:t>
      </w:r>
      <w:r>
        <w:t>The user may select reagent lot numbers for positive and negative control cells: Reverse ABO Typing Cells (Set), A2 cell (vial), Screening Cells (set), Check Cells (vial), Panel (set), and Other (set).</w:t>
      </w:r>
    </w:p>
    <w:p w14:paraId="63C26F4B" w14:textId="2C54D513" w:rsidR="0040397B" w:rsidRDefault="00E06D68" w:rsidP="00E06D68">
      <w:pPr>
        <w:pStyle w:val="ListBullet"/>
      </w:pPr>
      <w:r w:rsidRPr="00E06D68">
        <w:t xml:space="preserve">DAT tests indicated as performed using GEL with valid control cells </w:t>
      </w:r>
      <w:r>
        <w:t xml:space="preserve">no longer require the entry of check cell </w:t>
      </w:r>
      <w:r w:rsidRPr="00E06D68">
        <w:t>results. DAT tests performed by manual method will al</w:t>
      </w:r>
      <w:r>
        <w:t>so no longer require entry of check cell</w:t>
      </w:r>
      <w:r w:rsidRPr="00E06D68">
        <w:t xml:space="preserve"> results.</w:t>
      </w:r>
      <w:r w:rsidR="00CC3452">
        <w:t xml:space="preserve"> Test results do not have to be entered, but the cell cannot be blank. An “X” can be entered to indicate “Not Tested”, if testing was not performed. </w:t>
      </w:r>
      <w:r w:rsidR="00CC3452" w:rsidRPr="00CC3452">
        <w:rPr>
          <w:vanish/>
        </w:rPr>
        <w:t>Task 881295</w:t>
      </w:r>
    </w:p>
    <w:p w14:paraId="1179F84D" w14:textId="77777777" w:rsidR="002A21AE" w:rsidRDefault="002A21AE">
      <w:pPr>
        <w:pStyle w:val="Heading4"/>
      </w:pPr>
      <w:r>
        <w:t xml:space="preserve">User Roles with Access to This Option </w:t>
      </w:r>
    </w:p>
    <w:p w14:paraId="0F376E7A" w14:textId="77777777" w:rsidR="002A21AE" w:rsidRDefault="007934CF">
      <w:pPr>
        <w:pStyle w:val="Roles"/>
      </w:pPr>
      <w:r>
        <w:t>All users</w:t>
      </w:r>
    </w:p>
    <w:p w14:paraId="5C960341" w14:textId="77777777" w:rsidR="002A21AE" w:rsidRDefault="002A21AE">
      <w:pPr>
        <w:pStyle w:val="Heading4"/>
      </w:pPr>
      <w:r>
        <w:t>Patient Testing: Record a Direct Antiglobulin Test</w:t>
      </w:r>
    </w:p>
    <w:p w14:paraId="0207B2A7" w14:textId="77777777" w:rsidR="002A21AE" w:rsidRDefault="002A21AE" w:rsidP="00FA7E65">
      <w:pPr>
        <w:pStyle w:val="BodyText"/>
      </w:pPr>
      <w:r>
        <w:t xml:space="preserve">The user performs a DAT on a patient sample. </w:t>
      </w:r>
    </w:p>
    <w:p w14:paraId="7C5D6291" w14:textId="77777777" w:rsidR="002A21AE" w:rsidRDefault="002A21AE" w:rsidP="00FA7E65">
      <w:pPr>
        <w:pStyle w:val="BodyText"/>
      </w:pPr>
      <w:r>
        <w:t>The DAT may generate additional reflex test o</w:t>
      </w:r>
      <w:r w:rsidR="0058122A">
        <w:t xml:space="preserve">rders such as </w:t>
      </w:r>
      <w:r>
        <w:t>antibody identification. VBECS saves the reactions and interpretation in the database as part of the patient’s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EEBFC5D" w14:textId="77777777">
        <w:trPr>
          <w:cantSplit/>
          <w:tblHeader/>
        </w:trPr>
        <w:tc>
          <w:tcPr>
            <w:tcW w:w="3240" w:type="dxa"/>
            <w:shd w:val="pct30" w:color="auto" w:fill="FFFFFF"/>
            <w:vAlign w:val="bottom"/>
          </w:tcPr>
          <w:p w14:paraId="259B53D5" w14:textId="77777777" w:rsidR="002A21AE" w:rsidRDefault="002A21AE">
            <w:pPr>
              <w:pStyle w:val="TableText"/>
              <w:rPr>
                <w:b/>
              </w:rPr>
            </w:pPr>
            <w:r>
              <w:rPr>
                <w:b/>
              </w:rPr>
              <w:t>User Action</w:t>
            </w:r>
          </w:p>
        </w:tc>
        <w:tc>
          <w:tcPr>
            <w:tcW w:w="6120" w:type="dxa"/>
            <w:shd w:val="pct30" w:color="auto" w:fill="FFFFFF"/>
            <w:vAlign w:val="bottom"/>
          </w:tcPr>
          <w:p w14:paraId="52EBE639" w14:textId="77777777" w:rsidR="002A21AE" w:rsidRDefault="002A21AE">
            <w:pPr>
              <w:pStyle w:val="TableText"/>
              <w:rPr>
                <w:b/>
              </w:rPr>
            </w:pPr>
            <w:r>
              <w:rPr>
                <w:b/>
              </w:rPr>
              <w:t>VBECS</w:t>
            </w:r>
          </w:p>
        </w:tc>
      </w:tr>
      <w:tr w:rsidR="00141448" w14:paraId="4910F5CE" w14:textId="77777777">
        <w:tc>
          <w:tcPr>
            <w:tcW w:w="3240" w:type="dxa"/>
            <w:tcBorders>
              <w:top w:val="single" w:sz="4" w:space="0" w:color="auto"/>
              <w:left w:val="single" w:sz="4" w:space="0" w:color="auto"/>
              <w:bottom w:val="single" w:sz="4" w:space="0" w:color="auto"/>
              <w:right w:val="single" w:sz="4" w:space="0" w:color="auto"/>
            </w:tcBorders>
          </w:tcPr>
          <w:p w14:paraId="7E3D4596" w14:textId="77777777" w:rsidR="00141448" w:rsidRDefault="00141448" w:rsidP="00141448">
            <w:pPr>
              <w:pStyle w:val="TableTextNumbers"/>
            </w:pPr>
            <w:r>
              <w:t xml:space="preserve">Select </w:t>
            </w:r>
            <w:r>
              <w:rPr>
                <w:b/>
              </w:rPr>
              <w:t>Patients</w:t>
            </w:r>
            <w:r>
              <w:t xml:space="preserve"> from the main menu.</w:t>
            </w:r>
          </w:p>
          <w:p w14:paraId="0FA3887A" w14:textId="77777777" w:rsidR="00141448" w:rsidRDefault="00141448" w:rsidP="00141448">
            <w:pPr>
              <w:pStyle w:val="TableTextNumbersContinued"/>
            </w:pPr>
          </w:p>
          <w:p w14:paraId="0FB762E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959DC56" w14:textId="77777777" w:rsidR="00141448" w:rsidRDefault="00141448" w:rsidP="00141448">
            <w:pPr>
              <w:pStyle w:val="TableTextBullet"/>
            </w:pPr>
            <w:r>
              <w:t xml:space="preserve">Displays options for processing patient-related functions. </w:t>
            </w:r>
          </w:p>
          <w:p w14:paraId="57668D5B" w14:textId="77777777" w:rsidR="00141448" w:rsidRDefault="00141448" w:rsidP="00141448">
            <w:pPr>
              <w:pStyle w:val="TableTextBullet"/>
            </w:pPr>
            <w:r>
              <w:t>Displays the Pending Task List (PTL) in the Diagnostic Tests tab.</w:t>
            </w:r>
          </w:p>
          <w:p w14:paraId="1449CC28" w14:textId="77777777" w:rsidR="00141448" w:rsidRDefault="00141448" w:rsidP="00141448">
            <w:pPr>
              <w:pStyle w:val="NotesText"/>
            </w:pPr>
          </w:p>
          <w:p w14:paraId="6E29C3D0" w14:textId="66347A38" w:rsidR="00141448" w:rsidRDefault="00141448" w:rsidP="00141448">
            <w:pPr>
              <w:pStyle w:val="TableText"/>
              <w:rPr>
                <w:b/>
                <w:bCs/>
                <w:szCs w:val="18"/>
              </w:rPr>
            </w:pPr>
            <w:r>
              <w:rPr>
                <w:b/>
                <w:bCs/>
                <w:szCs w:val="18"/>
              </w:rPr>
              <w:t>NOTES</w:t>
            </w:r>
          </w:p>
          <w:p w14:paraId="534A05FC" w14:textId="77777777" w:rsidR="00141448" w:rsidRDefault="00141448" w:rsidP="00141448">
            <w:pPr>
              <w:pStyle w:val="NotesText"/>
            </w:pPr>
          </w:p>
          <w:p w14:paraId="59D48576" w14:textId="77777777" w:rsidR="00141448" w:rsidRDefault="00141448" w:rsidP="00141448">
            <w:pPr>
              <w:pStyle w:val="NotesText"/>
            </w:pPr>
            <w:r>
              <w:t>A user may search for specific tasks using search criteria detailed in Pending Task List.</w:t>
            </w:r>
          </w:p>
        </w:tc>
      </w:tr>
      <w:tr w:rsidR="00B1359E" w14:paraId="5DA86F7C" w14:textId="77777777" w:rsidTr="003362FE">
        <w:trPr>
          <w:cantSplit/>
        </w:trPr>
        <w:tc>
          <w:tcPr>
            <w:tcW w:w="3240" w:type="dxa"/>
          </w:tcPr>
          <w:p w14:paraId="2AB2B5EE" w14:textId="77777777" w:rsidR="00B1359E" w:rsidRDefault="00B1359E" w:rsidP="00150254">
            <w:pPr>
              <w:pStyle w:val="TableTextNumbers"/>
            </w:pPr>
            <w:r>
              <w:lastRenderedPageBreak/>
              <w:t xml:space="preserve">Click one to four check boxes in the Pending Task List to select tasks for testing. </w:t>
            </w:r>
          </w:p>
          <w:p w14:paraId="24FA39FD" w14:textId="77777777" w:rsidR="00B1359E" w:rsidRDefault="00B1359E" w:rsidP="00150254">
            <w:pPr>
              <w:pStyle w:val="TableTextNumbersContinued"/>
            </w:pPr>
          </w:p>
          <w:p w14:paraId="2E8F602D" w14:textId="77777777" w:rsidR="00B1359E" w:rsidRDefault="00B1359E" w:rsidP="00150254">
            <w:pPr>
              <w:pStyle w:val="TableTextNumbersContinued"/>
            </w:pPr>
            <w:r>
              <w:t xml:space="preserve">Click </w:t>
            </w:r>
            <w:r>
              <w:rPr>
                <w:b/>
              </w:rPr>
              <w:t>OK</w:t>
            </w:r>
            <w:r>
              <w:t>.</w:t>
            </w:r>
          </w:p>
        </w:tc>
        <w:tc>
          <w:tcPr>
            <w:tcW w:w="6120" w:type="dxa"/>
          </w:tcPr>
          <w:p w14:paraId="4D6959D7" w14:textId="77777777" w:rsidR="00B1359E" w:rsidRDefault="00B1359E" w:rsidP="00150254">
            <w:pPr>
              <w:pStyle w:val="TableTextBullet"/>
            </w:pPr>
            <w:r>
              <w:t>Displays patient names and associated task information.</w:t>
            </w:r>
          </w:p>
        </w:tc>
      </w:tr>
      <w:tr w:rsidR="002A21AE" w14:paraId="7AB2635C" w14:textId="77777777">
        <w:tc>
          <w:tcPr>
            <w:tcW w:w="3240" w:type="dxa"/>
          </w:tcPr>
          <w:p w14:paraId="21C9D4D8" w14:textId="77777777" w:rsidR="002A21AE" w:rsidRDefault="00616B9E">
            <w:pPr>
              <w:pStyle w:val="TableTextNumbers"/>
            </w:pPr>
            <w:r>
              <w:t>When QC was not performed, e</w:t>
            </w:r>
            <w:r w:rsidR="002A21AE">
              <w:t>nter a lot number for the antiserum.</w:t>
            </w:r>
          </w:p>
        </w:tc>
        <w:tc>
          <w:tcPr>
            <w:tcW w:w="6120" w:type="dxa"/>
          </w:tcPr>
          <w:p w14:paraId="56F7326B" w14:textId="77777777" w:rsidR="00BE013F" w:rsidRDefault="00BE013F" w:rsidP="00BE013F">
            <w:pPr>
              <w:pStyle w:val="TableTextBullet"/>
            </w:pPr>
            <w:r>
              <w:t xml:space="preserve">Displays reaction result grids for DAT tests for each patient. </w:t>
            </w:r>
          </w:p>
          <w:p w14:paraId="64560571" w14:textId="77777777" w:rsidR="00BE013F" w:rsidRDefault="00BE013F" w:rsidP="00BE013F">
            <w:pPr>
              <w:pStyle w:val="TableTextBullet"/>
            </w:pPr>
            <w:r>
              <w:t>Lists the AHG antisera related to the test.</w:t>
            </w:r>
          </w:p>
          <w:p w14:paraId="531BA055" w14:textId="77777777" w:rsidR="002A21AE" w:rsidRDefault="002A21AE">
            <w:pPr>
              <w:pStyle w:val="TableTextBullet"/>
            </w:pPr>
            <w:r>
              <w:t xml:space="preserve">Displays information about the lot number, including the manufacturer and expiration date. </w:t>
            </w:r>
          </w:p>
          <w:p w14:paraId="65E2C660" w14:textId="77777777" w:rsidR="002A21AE" w:rsidRDefault="002A21AE">
            <w:pPr>
              <w:pStyle w:val="TableTextBullet"/>
            </w:pPr>
            <w:r>
              <w:t>Prompts the user to select the correct antisera and possibly the control cell entry.</w:t>
            </w:r>
          </w:p>
          <w:p w14:paraId="47E1477C" w14:textId="77777777" w:rsidR="002A21AE" w:rsidRDefault="002A21AE">
            <w:pPr>
              <w:pStyle w:val="TableText"/>
            </w:pPr>
          </w:p>
          <w:p w14:paraId="28804E7E" w14:textId="0641AAA3" w:rsidR="002A21AE" w:rsidRDefault="002A21AE">
            <w:pPr>
              <w:pStyle w:val="TableText"/>
              <w:rPr>
                <w:b/>
                <w:bCs/>
                <w:szCs w:val="18"/>
              </w:rPr>
            </w:pPr>
            <w:r>
              <w:rPr>
                <w:b/>
                <w:bCs/>
                <w:szCs w:val="18"/>
              </w:rPr>
              <w:t>NOTES</w:t>
            </w:r>
          </w:p>
          <w:p w14:paraId="5D500792" w14:textId="77777777" w:rsidR="002A21AE" w:rsidRDefault="002A21AE">
            <w:pPr>
              <w:pStyle w:val="TableText"/>
            </w:pPr>
          </w:p>
          <w:p w14:paraId="623F5709" w14:textId="77777777" w:rsidR="00B14E03" w:rsidRDefault="00B14E03" w:rsidP="00B14E03">
            <w:pPr>
              <w:pStyle w:val="NotesText"/>
            </w:pPr>
            <w:r>
              <w:rPr>
                <w:rFonts w:cs="Arial"/>
                <w:vanish/>
              </w:rPr>
              <w:t xml:space="preserve">BR_41.25 </w:t>
            </w:r>
            <w:r>
              <w:t xml:space="preserve">Reagent lot numbers that are selectable for positive and negative control cells: </w:t>
            </w:r>
          </w:p>
          <w:p w14:paraId="32FADCCC" w14:textId="77777777" w:rsidR="00B14E03" w:rsidRDefault="00B14E03" w:rsidP="00B14E03">
            <w:pPr>
              <w:pStyle w:val="NotesTextBullet"/>
            </w:pPr>
            <w:r>
              <w:t>Reverse ABO Typing Cells (set)</w:t>
            </w:r>
          </w:p>
          <w:p w14:paraId="5CF5407F" w14:textId="77777777" w:rsidR="00B14E03" w:rsidRDefault="00B14E03" w:rsidP="00B14E03">
            <w:pPr>
              <w:pStyle w:val="NotesTextBullet"/>
            </w:pPr>
            <w:r>
              <w:t>A2 cell (vial)</w:t>
            </w:r>
          </w:p>
          <w:p w14:paraId="47B81F6E" w14:textId="77777777" w:rsidR="00B14E03" w:rsidRDefault="00B14E03" w:rsidP="00B14E03">
            <w:pPr>
              <w:pStyle w:val="NotesTextBullet"/>
            </w:pPr>
            <w:r>
              <w:t>Screening Cells (set)</w:t>
            </w:r>
          </w:p>
          <w:p w14:paraId="7D9A89E3" w14:textId="77777777" w:rsidR="00B14E03" w:rsidRDefault="00B14E03" w:rsidP="00B14E03">
            <w:pPr>
              <w:pStyle w:val="NotesTextBullet"/>
            </w:pPr>
            <w:r>
              <w:t>Check Cells (vial)</w:t>
            </w:r>
          </w:p>
          <w:p w14:paraId="2CA8BBE2" w14:textId="77777777" w:rsidR="00B14E03" w:rsidRDefault="00B14E03" w:rsidP="00B14E03">
            <w:pPr>
              <w:pStyle w:val="NotesTextBullet"/>
            </w:pPr>
            <w:r>
              <w:t>Panel (set)</w:t>
            </w:r>
          </w:p>
          <w:p w14:paraId="603C8EAA" w14:textId="77777777" w:rsidR="00B14E03" w:rsidRDefault="00B14E03" w:rsidP="00B14E03">
            <w:pPr>
              <w:pStyle w:val="NotesTextBullet"/>
            </w:pPr>
            <w:r>
              <w:t>Other (set)</w:t>
            </w:r>
          </w:p>
          <w:p w14:paraId="0E39E721" w14:textId="77777777" w:rsidR="00B14E03" w:rsidRDefault="00B14E03">
            <w:pPr>
              <w:pStyle w:val="NotesText"/>
              <w:rPr>
                <w:rFonts w:cs="Arial"/>
                <w:vanish/>
              </w:rPr>
            </w:pPr>
          </w:p>
          <w:p w14:paraId="5E648885" w14:textId="77777777" w:rsidR="00BE013F" w:rsidRDefault="00BE013F">
            <w:pPr>
              <w:pStyle w:val="NotesText"/>
            </w:pPr>
            <w:r>
              <w:rPr>
                <w:rFonts w:cs="Arial"/>
                <w:vanish/>
              </w:rPr>
              <w:t xml:space="preserve">BR_54.02 </w:t>
            </w:r>
            <w:r>
              <w:t>VBECS lists the AHG antisera related to the test from previously entered inventory. When VBECS displays multiple DAT tests or the full battery, the user selects each DAT serum separately by repeating this step until all are selected.</w:t>
            </w:r>
          </w:p>
          <w:p w14:paraId="51D6449C" w14:textId="77777777" w:rsidR="00BE013F" w:rsidRDefault="00BE013F">
            <w:pPr>
              <w:pStyle w:val="NotesText"/>
            </w:pPr>
          </w:p>
          <w:p w14:paraId="2412FCE6" w14:textId="77777777" w:rsidR="002A21AE" w:rsidRDefault="00BE013F">
            <w:pPr>
              <w:pStyle w:val="NotesText"/>
            </w:pPr>
            <w:r w:rsidRPr="00BE013F">
              <w:rPr>
                <w:vanish/>
                <w:szCs w:val="18"/>
              </w:rPr>
              <w:t>B</w:t>
            </w:r>
            <w:r w:rsidR="002A21AE">
              <w:rPr>
                <w:rFonts w:cs="Arial"/>
                <w:vanish/>
              </w:rPr>
              <w:t xml:space="preserve">R_54.06 </w:t>
            </w:r>
            <w:r w:rsidR="002A21AE">
              <w:t>Each positive and negative control cell requires the user to select a lot number.</w:t>
            </w:r>
          </w:p>
          <w:p w14:paraId="077CD06F" w14:textId="77777777" w:rsidR="002A21AE" w:rsidRDefault="002A21AE">
            <w:pPr>
              <w:pStyle w:val="NotesText"/>
            </w:pPr>
          </w:p>
          <w:p w14:paraId="5A54F3BC" w14:textId="77777777" w:rsidR="002A21AE" w:rsidRDefault="002A21AE">
            <w:pPr>
              <w:pStyle w:val="NotesText"/>
            </w:pPr>
            <w:r>
              <w:rPr>
                <w:vanish/>
                <w:szCs w:val="18"/>
              </w:rPr>
              <w:t>BR_54.04</w:t>
            </w:r>
            <w:r w:rsidR="009078D6">
              <w:rPr>
                <w:vanish/>
                <w:szCs w:val="18"/>
              </w:rPr>
              <w:t>,</w:t>
            </w:r>
            <w:r>
              <w:rPr>
                <w:vanish/>
                <w:szCs w:val="18"/>
              </w:rPr>
              <w:t xml:space="preserve"> BR_54.05 </w:t>
            </w:r>
            <w:r>
              <w:t>VBECS displays options to select the lot number of the antisera and check cells used for QC of the antiglobulin sera. The user must select complement check cells for Anti-Complement AHG tests.</w:t>
            </w:r>
          </w:p>
          <w:p w14:paraId="08176318" w14:textId="77777777" w:rsidR="002A21AE" w:rsidRDefault="002A21AE">
            <w:pPr>
              <w:pStyle w:val="NotesText"/>
            </w:pPr>
          </w:p>
          <w:p w14:paraId="04414380" w14:textId="77777777" w:rsidR="002A21AE" w:rsidRDefault="002A21AE">
            <w:pPr>
              <w:pStyle w:val="NotesText"/>
            </w:pPr>
            <w:r>
              <w:rPr>
                <w:rFonts w:cs="Arial"/>
                <w:vanish/>
              </w:rPr>
              <w:t>BR_28.12</w:t>
            </w:r>
            <w:r w:rsidR="004F5F28" w:rsidRPr="00323744">
              <w:rPr>
                <w:rStyle w:val="BullhornChar"/>
              </w:rPr>
              <w:t></w:t>
            </w:r>
            <w:r w:rsidR="004F5F28">
              <w:rPr>
                <w:rFonts w:ascii="Webdings" w:hAnsi="Webdings"/>
              </w:rPr>
              <w:t></w:t>
            </w:r>
            <w:r>
              <w:t xml:space="preserve">VBECS compares the </w:t>
            </w:r>
            <w:r w:rsidR="00FE64A7">
              <w:t xml:space="preserve">control cell </w:t>
            </w:r>
            <w:r>
              <w:t xml:space="preserve">results entered to those of the previous day for the same rack number and alerts the user when there is a decrease in reactivity of 2 or more within the acceptable limits for each reagent type by lot number. VBECS </w:t>
            </w:r>
            <w:r>
              <w:rPr>
                <w:noProof/>
                <w:color w:val="000000"/>
              </w:rPr>
              <w:t xml:space="preserve">emits an audible alert, warns that there is a </w:t>
            </w:r>
            <w:r w:rsidR="00191CFE">
              <w:rPr>
                <w:noProof/>
                <w:color w:val="000000"/>
              </w:rPr>
              <w:t>decrease</w:t>
            </w:r>
            <w:r>
              <w:t xml:space="preserve"> in reagent reactivity of two or more, and asks whether the user wishes to continue to use this vial.</w:t>
            </w:r>
          </w:p>
          <w:p w14:paraId="56C72651" w14:textId="77777777" w:rsidR="002A21AE" w:rsidRDefault="002A21AE">
            <w:pPr>
              <w:pStyle w:val="NotesText"/>
            </w:pPr>
          </w:p>
          <w:p w14:paraId="3115E0B2" w14:textId="77777777" w:rsidR="002A21AE" w:rsidRDefault="002A21AE">
            <w:pPr>
              <w:pStyle w:val="NotesText"/>
            </w:pPr>
            <w:r>
              <w:rPr>
                <w:b/>
              </w:rPr>
              <w:t>Yes</w:t>
            </w:r>
            <w:r>
              <w:t xml:space="preserve"> allows the user to continue, with comment. VBECS captures details for inclusion in an Exception Report (exception type: QC decrease reagent reactivity </w:t>
            </w:r>
            <w:r w:rsidR="00DE5EF3" w:rsidRPr="00DE5EF3">
              <w:rPr>
                <w:rStyle w:val="Char"/>
                <w:rFonts w:cs="Arial"/>
                <w:sz w:val="18"/>
                <w:szCs w:val="18"/>
              </w:rPr>
              <w:t>≥</w:t>
            </w:r>
            <w:r w:rsidR="00320118">
              <w:rPr>
                <w:rStyle w:val="Char"/>
                <w:rFonts w:cs="Arial"/>
                <w:sz w:val="18"/>
                <w:szCs w:val="18"/>
              </w:rPr>
              <w:t xml:space="preserve"> </w:t>
            </w:r>
            <w:r>
              <w:t xml:space="preserve">2). </w:t>
            </w:r>
          </w:p>
          <w:p w14:paraId="2F59DC64" w14:textId="77777777" w:rsidR="002A21AE" w:rsidRDefault="002A21AE">
            <w:pPr>
              <w:pStyle w:val="NotesText"/>
            </w:pPr>
          </w:p>
          <w:p w14:paraId="2568A5FF" w14:textId="77777777" w:rsidR="002A21AE" w:rsidRDefault="002A21AE">
            <w:pPr>
              <w:pStyle w:val="NotesText"/>
            </w:pPr>
            <w:r>
              <w:rPr>
                <w:b/>
              </w:rPr>
              <w:t>No</w:t>
            </w:r>
            <w:r>
              <w:t xml:space="preserve"> allows the user to reenter the lot number for this reagent type and allows the approval of this same lot number (different vial) or the entry of a new lot number, returning to the testing worksheet where the user left off. (The user may replace an individual vial that is losing its reactivity with one of the same lot number.) </w:t>
            </w:r>
          </w:p>
          <w:p w14:paraId="3AB4EDEC" w14:textId="77777777" w:rsidR="002A21AE" w:rsidRDefault="002A21AE">
            <w:pPr>
              <w:pStyle w:val="NotesText"/>
            </w:pPr>
          </w:p>
          <w:p w14:paraId="4A1838BF" w14:textId="77777777" w:rsidR="002A21AE" w:rsidRDefault="002A21AE">
            <w:pPr>
              <w:pStyle w:val="NotesText"/>
            </w:pPr>
            <w:r>
              <w:rPr>
                <w:vanish/>
                <w:szCs w:val="18"/>
              </w:rPr>
              <w:t xml:space="preserve">BR_28.20, BR_28.23 </w:t>
            </w:r>
            <w:r>
              <w:t xml:space="preserve">When the user-entered test results indicate a satisfactory interpretation, VBECS indicates that testing is satisfactory and </w:t>
            </w:r>
            <w:r>
              <w:lastRenderedPageBreak/>
              <w:t>allows the user to save the results. VBECS considers the affected QC incomplete until it is retested with satisfactory results. VBECS generates warnings through other options when QC testing is incomplete.</w:t>
            </w:r>
          </w:p>
          <w:p w14:paraId="1E45D234" w14:textId="77777777" w:rsidR="002A21AE" w:rsidRDefault="002A21AE">
            <w:pPr>
              <w:pStyle w:val="NotesText"/>
            </w:pPr>
          </w:p>
          <w:p w14:paraId="779DCE0F" w14:textId="77777777" w:rsidR="002A21AE" w:rsidRDefault="002A21AE">
            <w:pPr>
              <w:pStyle w:val="NotesText"/>
            </w:pPr>
            <w:r>
              <w:rPr>
                <w:rFonts w:cs="Arial"/>
                <w:vanish/>
              </w:rPr>
              <w:t>BR_28.24</w:t>
            </w:r>
            <w:r w:rsidR="004F5F28" w:rsidRPr="00323744">
              <w:rPr>
                <w:rStyle w:val="BullhornChar"/>
              </w:rPr>
              <w:t></w:t>
            </w:r>
            <w:r w:rsidR="004F5F28">
              <w:rPr>
                <w:rFonts w:ascii="Webdings" w:hAnsi="Webdings"/>
              </w:rPr>
              <w:t></w:t>
            </w:r>
            <w:r>
              <w:t xml:space="preserve">VBECS compares the expiration date of the reagent on the selected reagent to the testing date. When the reagent is expired, VBECS emits an audible alert, warns the user and asks whether he still wishes to use this reagent. </w:t>
            </w:r>
            <w:r>
              <w:rPr>
                <w:b/>
              </w:rPr>
              <w:t>Yes</w:t>
            </w:r>
            <w:r>
              <w:t xml:space="preserve"> requires a comment and captures details for inclusion in an Exception Report (exception type: expired reagent QC’d).</w:t>
            </w:r>
          </w:p>
          <w:p w14:paraId="7BF705FD" w14:textId="77777777" w:rsidR="002A21AE" w:rsidRDefault="002A21AE">
            <w:pPr>
              <w:pStyle w:val="NotesText"/>
            </w:pPr>
          </w:p>
          <w:p w14:paraId="4EADB485" w14:textId="77777777" w:rsidR="002A21AE" w:rsidRDefault="002A21AE">
            <w:pPr>
              <w:pStyle w:val="NotesText"/>
            </w:pPr>
            <w:r>
              <w:rPr>
                <w:b/>
              </w:rPr>
              <w:t>No</w:t>
            </w:r>
            <w:r>
              <w:t xml:space="preserve"> removes the unsatisfactory reagent and requires the user to enter a new one. Unsatisfactory lot numbers are never displayed. VBECS captures details for inclusion in an Exception Report (exception type: Expired reagent QC’d).</w:t>
            </w:r>
          </w:p>
          <w:p w14:paraId="78F324A9" w14:textId="77777777" w:rsidR="002A21AE" w:rsidRDefault="002A21AE">
            <w:pPr>
              <w:pStyle w:val="NotesText"/>
            </w:pPr>
          </w:p>
          <w:p w14:paraId="22D25923" w14:textId="77777777" w:rsidR="002A21AE" w:rsidRDefault="002A21AE">
            <w:pPr>
              <w:pStyle w:val="NotesText"/>
            </w:pPr>
            <w:r>
              <w:rPr>
                <w:rFonts w:cs="Arial"/>
                <w:vanish/>
              </w:rPr>
              <w:t xml:space="preserve">BR_54.01 </w:t>
            </w:r>
            <w:r>
              <w:t>When the antisera QC is required, the user verifies the lot numbers, manufacturer name, and expiration date and saves them as part of the QC record for the associated test.</w:t>
            </w:r>
            <w:r>
              <w:tab/>
            </w:r>
          </w:p>
        </w:tc>
      </w:tr>
      <w:tr w:rsidR="002A21AE" w14:paraId="54C5738A" w14:textId="77777777">
        <w:tc>
          <w:tcPr>
            <w:tcW w:w="3240" w:type="dxa"/>
          </w:tcPr>
          <w:p w14:paraId="289AC3D9" w14:textId="77777777" w:rsidR="002A21AE" w:rsidRDefault="002A21AE">
            <w:pPr>
              <w:pStyle w:val="TableTextNumbers"/>
            </w:pPr>
            <w:r>
              <w:lastRenderedPageBreak/>
              <w:t>Review and accept the selected reagent information.</w:t>
            </w:r>
          </w:p>
        </w:tc>
        <w:tc>
          <w:tcPr>
            <w:tcW w:w="6120" w:type="dxa"/>
          </w:tcPr>
          <w:p w14:paraId="54582663" w14:textId="77777777" w:rsidR="002A21AE" w:rsidRDefault="002A21AE">
            <w:pPr>
              <w:pStyle w:val="TableTextBullet"/>
            </w:pPr>
            <w:r>
              <w:t>Displays the previously entered information for user review.</w:t>
            </w:r>
          </w:p>
        </w:tc>
      </w:tr>
      <w:tr w:rsidR="002A21AE" w14:paraId="2FDAA454" w14:textId="77777777">
        <w:tc>
          <w:tcPr>
            <w:tcW w:w="3240" w:type="dxa"/>
          </w:tcPr>
          <w:p w14:paraId="35EE4B3A" w14:textId="77777777" w:rsidR="002A21AE" w:rsidRDefault="002A21AE">
            <w:pPr>
              <w:pStyle w:val="TableTextNumbers"/>
            </w:pPr>
            <w:r>
              <w:t xml:space="preserve">Respond to warnings and continue with DAT testing. </w:t>
            </w:r>
          </w:p>
        </w:tc>
        <w:tc>
          <w:tcPr>
            <w:tcW w:w="6120" w:type="dxa"/>
          </w:tcPr>
          <w:p w14:paraId="11C8BE99" w14:textId="77777777" w:rsidR="002A21AE" w:rsidRDefault="002A21AE">
            <w:pPr>
              <w:pStyle w:val="TableTextBullet"/>
            </w:pPr>
            <w:r>
              <w:t>Displays a direct data entry</w:t>
            </w:r>
            <w:r w:rsidR="00917E9F">
              <w:t xml:space="preserve"> (DDE)</w:t>
            </w:r>
            <w:r>
              <w:t xml:space="preserve"> grid for the user to enter serologic reaction results for DAT testing.</w:t>
            </w:r>
          </w:p>
          <w:p w14:paraId="5D44B4D8" w14:textId="77777777" w:rsidR="002A21AE" w:rsidRDefault="002A21AE">
            <w:pPr>
              <w:pStyle w:val="TableText"/>
            </w:pPr>
          </w:p>
        </w:tc>
      </w:tr>
      <w:tr w:rsidR="002A21AE" w14:paraId="47B57B71" w14:textId="77777777">
        <w:tc>
          <w:tcPr>
            <w:tcW w:w="3240" w:type="dxa"/>
          </w:tcPr>
          <w:p w14:paraId="71DEE688" w14:textId="77777777" w:rsidR="002A21AE" w:rsidRDefault="002A21AE">
            <w:pPr>
              <w:pStyle w:val="TableTextNumbers"/>
            </w:pPr>
            <w:r>
              <w:t>Enter valid test serologic reactions in the data entry grid.</w:t>
            </w:r>
          </w:p>
        </w:tc>
        <w:tc>
          <w:tcPr>
            <w:tcW w:w="6120" w:type="dxa"/>
          </w:tcPr>
          <w:p w14:paraId="0F3EDC35" w14:textId="77777777" w:rsidR="002A21AE" w:rsidRDefault="002A21AE">
            <w:pPr>
              <w:pStyle w:val="TableTextBullet"/>
            </w:pPr>
            <w:r>
              <w:t>Allows the user to enter valid data and test results in the interpretation cells.</w:t>
            </w:r>
          </w:p>
          <w:p w14:paraId="799286D6" w14:textId="77777777" w:rsidR="002A21AE" w:rsidRDefault="002A21AE">
            <w:pPr>
              <w:pStyle w:val="TableText"/>
            </w:pPr>
          </w:p>
          <w:p w14:paraId="054BB8AE" w14:textId="203BED7C" w:rsidR="002A21AE" w:rsidRDefault="002A21AE">
            <w:pPr>
              <w:pStyle w:val="TableText"/>
              <w:rPr>
                <w:b/>
                <w:bCs/>
                <w:szCs w:val="18"/>
              </w:rPr>
            </w:pPr>
            <w:r>
              <w:rPr>
                <w:b/>
                <w:bCs/>
                <w:szCs w:val="18"/>
              </w:rPr>
              <w:t>NOTES</w:t>
            </w:r>
          </w:p>
          <w:p w14:paraId="44F8A548" w14:textId="77777777" w:rsidR="002A21AE" w:rsidRDefault="002A21AE">
            <w:pPr>
              <w:pStyle w:val="NotesText"/>
            </w:pPr>
          </w:p>
          <w:p w14:paraId="11E98C3B" w14:textId="77777777" w:rsidR="002A21AE" w:rsidRDefault="002A21AE">
            <w:pPr>
              <w:pStyle w:val="NotesText"/>
            </w:pPr>
            <w:r>
              <w:rPr>
                <w:rFonts w:cs="Arial"/>
                <w:vanish/>
              </w:rPr>
              <w:t xml:space="preserve">BR_54.03 </w:t>
            </w:r>
            <w:r>
              <w:t xml:space="preserve">Row validation is established for the interpretation vs. reaction results pattern as </w:t>
            </w:r>
            <w:r w:rsidR="00922AD8">
              <w:t>defined by system rules</w:t>
            </w:r>
            <w:r>
              <w:rPr>
                <w:vanish/>
                <w:szCs w:val="18"/>
              </w:rPr>
              <w:t>TT_54.01 Direct Antiglobulin Testing</w:t>
            </w:r>
            <w:r>
              <w:t>.</w:t>
            </w:r>
          </w:p>
        </w:tc>
      </w:tr>
      <w:tr w:rsidR="002A21AE" w14:paraId="3AD71DB6" w14:textId="77777777">
        <w:tc>
          <w:tcPr>
            <w:tcW w:w="3240" w:type="dxa"/>
          </w:tcPr>
          <w:p w14:paraId="184D66E2" w14:textId="77777777" w:rsidR="002A21AE" w:rsidRDefault="002A21AE">
            <w:pPr>
              <w:pStyle w:val="TableTextNumbers"/>
            </w:pPr>
            <w:r>
              <w:t>Repeat Step 4 until some or all portions of the test grid for the selected patient are entered. When appropriate, enter the interpretation for the patient DAT testing.</w:t>
            </w:r>
          </w:p>
        </w:tc>
        <w:tc>
          <w:tcPr>
            <w:tcW w:w="6120" w:type="dxa"/>
          </w:tcPr>
          <w:p w14:paraId="6C70B4DB" w14:textId="77777777" w:rsidR="002A21AE" w:rsidRDefault="002A21AE">
            <w:pPr>
              <w:pStyle w:val="TableTextBullet"/>
            </w:pPr>
            <w:r>
              <w:t>Prompts the user to confirm that all results were reviewed and are acceptable.</w:t>
            </w:r>
          </w:p>
        </w:tc>
      </w:tr>
      <w:tr w:rsidR="002A21AE" w14:paraId="4BF6E31A" w14:textId="77777777">
        <w:tc>
          <w:tcPr>
            <w:tcW w:w="3240" w:type="dxa"/>
          </w:tcPr>
          <w:p w14:paraId="699B952C" w14:textId="77777777" w:rsidR="002A21AE" w:rsidRDefault="002A21AE">
            <w:pPr>
              <w:pStyle w:val="TableTextNumbers"/>
            </w:pPr>
            <w:r>
              <w:t xml:space="preserve">Enter test results in preparation for updating the database. </w:t>
            </w:r>
          </w:p>
        </w:tc>
        <w:tc>
          <w:tcPr>
            <w:tcW w:w="6120" w:type="dxa"/>
          </w:tcPr>
          <w:p w14:paraId="10B6B2D2" w14:textId="77777777" w:rsidR="002A21AE" w:rsidRDefault="002A21AE">
            <w:pPr>
              <w:pStyle w:val="TableText"/>
            </w:pPr>
          </w:p>
        </w:tc>
      </w:tr>
      <w:tr w:rsidR="002A21AE" w14:paraId="549C4C85" w14:textId="77777777">
        <w:tc>
          <w:tcPr>
            <w:tcW w:w="3240" w:type="dxa"/>
          </w:tcPr>
          <w:p w14:paraId="59733ADB"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34A5B84E" w14:textId="77777777" w:rsidR="002A21AE" w:rsidRDefault="002A21AE">
            <w:pPr>
              <w:pStyle w:val="TableText"/>
            </w:pPr>
          </w:p>
        </w:tc>
      </w:tr>
      <w:bookmarkEnd w:id="471"/>
    </w:tbl>
    <w:p w14:paraId="5C2E50CE" w14:textId="77777777" w:rsidR="002A21AE" w:rsidRDefault="00AC2D9E">
      <w:pPr>
        <w:pStyle w:val="Heading3"/>
      </w:pPr>
      <w:r>
        <w:br w:type="page"/>
      </w:r>
      <w:bookmarkStart w:id="472" w:name="_Toc163644952"/>
      <w:r w:rsidR="002A21AE">
        <w:lastRenderedPageBreak/>
        <w:t>Patient Testing: Record a Crossmatch</w:t>
      </w:r>
      <w:bookmarkEnd w:id="472"/>
      <w:r w:rsidR="002A21AE">
        <w:fldChar w:fldCharType="begin"/>
      </w:r>
      <w:r w:rsidR="002A21AE">
        <w:instrText xml:space="preserve"> XE </w:instrText>
      </w:r>
      <w:r w:rsidR="00FA7E65">
        <w:instrText>“</w:instrText>
      </w:r>
      <w:r w:rsidR="002A21AE">
        <w:instrText>Patient Testing\: Record a Crossmatch</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UC_40</w:t>
      </w:r>
    </w:p>
    <w:p w14:paraId="77DEC3E0" w14:textId="7F1418D9" w:rsidR="002A21AE" w:rsidRDefault="002A21AE" w:rsidP="00FA7E65">
      <w:pPr>
        <w:pStyle w:val="BodyText"/>
      </w:pPr>
      <w:r>
        <w:t>The user records observed results and interpretations when performing a serologic crossmatch (XM) between a patient and one or more units of blood.</w:t>
      </w:r>
      <w:r w:rsidR="0004558D">
        <w:t xml:space="preserve"> </w:t>
      </w:r>
    </w:p>
    <w:p w14:paraId="380D6ECC" w14:textId="77777777" w:rsidR="002A21AE" w:rsidRDefault="002A21AE">
      <w:pPr>
        <w:pStyle w:val="Heading4"/>
      </w:pPr>
      <w:r>
        <w:t>Assumptions</w:t>
      </w:r>
      <w:r>
        <w:rPr>
          <w:b w:val="0"/>
        </w:rPr>
        <w:t xml:space="preserve"> </w:t>
      </w:r>
    </w:p>
    <w:p w14:paraId="76605CDA" w14:textId="77777777" w:rsidR="002A21AE" w:rsidRDefault="002A21AE">
      <w:pPr>
        <w:pStyle w:val="ListBullet"/>
      </w:pPr>
      <w:r>
        <w:t>A CPRS order exists for a blood component that requires a serologic XM. The patient order and the selected units are in the same division as the user.</w:t>
      </w:r>
    </w:p>
    <w:p w14:paraId="69D701BE" w14:textId="77777777" w:rsidR="002A21AE" w:rsidRDefault="002A21AE">
      <w:pPr>
        <w:pStyle w:val="ListBullet"/>
      </w:pPr>
      <w:r>
        <w:t xml:space="preserve">A blood unit that contains </w:t>
      </w:r>
      <w:r w:rsidR="0058122A">
        <w:t>= &gt; 2</w:t>
      </w:r>
      <w:r w:rsidR="00B514B7">
        <w:t xml:space="preserve"> </w:t>
      </w:r>
      <w:r w:rsidR="0058122A">
        <w:t>mL red blood cell contamination</w:t>
      </w:r>
      <w:r>
        <w:t xml:space="preserve">, selected in Select Units, is acceptable for testing, according to the patient’s current or historic records and ABO/Rh. </w:t>
      </w:r>
    </w:p>
    <w:p w14:paraId="786ABB40" w14:textId="77777777" w:rsidR="002A21AE" w:rsidRDefault="002A21AE">
      <w:pPr>
        <w:pStyle w:val="ListBullet"/>
      </w:pPr>
      <w:r>
        <w:t xml:space="preserve">A current specimen was accepted and is in process for ABO/Rh and </w:t>
      </w:r>
      <w:r w:rsidR="008E2E30">
        <w:t>Antibody Screen Test (ABS)</w:t>
      </w:r>
      <w:r>
        <w:t>, or was previously completed and is not expired.</w:t>
      </w:r>
    </w:p>
    <w:p w14:paraId="319E6F4D" w14:textId="77777777" w:rsidR="002A21AE" w:rsidRDefault="002A21AE">
      <w:pPr>
        <w:pStyle w:val="Heading4"/>
      </w:pPr>
      <w:r>
        <w:t xml:space="preserve">Outcome </w:t>
      </w:r>
    </w:p>
    <w:p w14:paraId="2620A9ED" w14:textId="77777777" w:rsidR="002A21AE" w:rsidRDefault="002A21AE">
      <w:pPr>
        <w:pStyle w:val="ListBullet"/>
      </w:pPr>
      <w:r>
        <w:t xml:space="preserve">When patient Transfusion Requirements (TRs), if any, are fulfilled and a user enters a </w:t>
      </w:r>
      <w:r w:rsidR="00045ED7">
        <w:t xml:space="preserve">compatible </w:t>
      </w:r>
      <w:r>
        <w:t>XM interpretation, VBECS makes units available for generating the Blood Transfusion Record Form (BTRF), for printing the Caution Tag, and for issue to the patient.</w:t>
      </w:r>
    </w:p>
    <w:p w14:paraId="4E23B17A" w14:textId="77777777" w:rsidR="002A21AE" w:rsidRDefault="002A21AE">
      <w:pPr>
        <w:pStyle w:val="ListBullet"/>
      </w:pPr>
      <w:r>
        <w:t>When a user enters an unacceptable XM interpretation, VBECS releases the selected units from the patient.</w:t>
      </w:r>
    </w:p>
    <w:p w14:paraId="4A5C80FE" w14:textId="77777777" w:rsidR="002A21AE" w:rsidRDefault="002A21AE">
      <w:pPr>
        <w:pStyle w:val="Heading4"/>
      </w:pPr>
      <w:r>
        <w:t>Limitations and Restrictions</w:t>
      </w:r>
      <w:r>
        <w:rPr>
          <w:b w:val="0"/>
        </w:rPr>
        <w:t xml:space="preserve"> </w:t>
      </w:r>
    </w:p>
    <w:p w14:paraId="59CD6AC9" w14:textId="77777777" w:rsidR="002A21AE" w:rsidRDefault="002A21AE">
      <w:pPr>
        <w:pStyle w:val="ListBullet"/>
      </w:pPr>
      <w:r>
        <w:rPr>
          <w:rFonts w:ascii="Arial" w:hAnsi="Arial" w:cs="Arial"/>
          <w:vanish/>
          <w:spacing w:val="0"/>
          <w:sz w:val="18"/>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p w14:paraId="38868B0B" w14:textId="77777777" w:rsidR="002A21AE" w:rsidRDefault="002A21AE">
      <w:pPr>
        <w:pStyle w:val="ListBullet"/>
      </w:pPr>
      <w:r>
        <w:t xml:space="preserve">This option does not include electronic crossmatch (eXM). </w:t>
      </w:r>
    </w:p>
    <w:p w14:paraId="1C90FFA9" w14:textId="77777777" w:rsidR="002A21AE" w:rsidRDefault="002A21AE">
      <w:pPr>
        <w:pStyle w:val="Heading4"/>
      </w:pPr>
      <w:r>
        <w:t xml:space="preserve">Additional Information </w:t>
      </w:r>
    </w:p>
    <w:p w14:paraId="01ACC7FF" w14:textId="77777777" w:rsidR="002C3F2F" w:rsidRPr="002C3F2F" w:rsidRDefault="00057948" w:rsidP="002C3F2F">
      <w:pPr>
        <w:pStyle w:val="ListBullet"/>
      </w:pPr>
      <w:r>
        <w:rPr>
          <w:noProof/>
        </w:rPr>
        <w:drawing>
          <wp:inline distT="0" distB="0" distL="0" distR="0" wp14:anchorId="782CE36C" wp14:editId="568F7797">
            <wp:extent cx="276860" cy="221615"/>
            <wp:effectExtent l="0" t="0" r="8890" b="6985"/>
            <wp:docPr id="240"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rsidRPr="002C3F2F">
        <w:rPr>
          <w:vanish/>
        </w:rPr>
        <w:t xml:space="preserve"> Defect 362099</w:t>
      </w:r>
    </w:p>
    <w:p w14:paraId="5C812DB1" w14:textId="77777777" w:rsidR="002A21AE" w:rsidRDefault="002A21AE">
      <w:pPr>
        <w:pStyle w:val="ListBullet"/>
      </w:pPr>
      <w:r>
        <w:rPr>
          <w:rFonts w:ascii="Arial" w:hAnsi="Arial" w:cs="Arial"/>
          <w:vanish/>
          <w:spacing w:val="0"/>
          <w:sz w:val="18"/>
        </w:rPr>
        <w:t xml:space="preserve">BR_40.11 </w:t>
      </w:r>
      <w:r>
        <w:t>When the user saves a partially completed XM testing worklist, VBECS does not clear patient entries without results or release them from the worklist, which VBECS saves for completion later.</w:t>
      </w:r>
    </w:p>
    <w:p w14:paraId="62C2D803" w14:textId="77777777" w:rsidR="002A21AE" w:rsidRDefault="002A21AE">
      <w:pPr>
        <w:pStyle w:val="ListBullet"/>
      </w:pPr>
      <w:r>
        <w:rPr>
          <w:rFonts w:ascii="Arial" w:hAnsi="Arial" w:cs="Arial"/>
          <w:vanish/>
          <w:spacing w:val="0"/>
          <w:sz w:val="18"/>
        </w:rPr>
        <w:t xml:space="preserve">BR_40.16 </w:t>
      </w:r>
      <w:r>
        <w:t xml:space="preserve">When VBECS saves a partially completed XM worksheet, </w:t>
      </w:r>
      <w:r w:rsidR="00CC69D1">
        <w:t xml:space="preserve">it </w:t>
      </w:r>
      <w:r>
        <w:t>maintains a status of “assigned” for selected units until the serologic XM is complete. When VBECS saves the XM test. including interpretation, to the database, it assigns “crossmatched” status to the unit. The user may correct verified patient data only through Invalidate Test Results.</w:t>
      </w:r>
    </w:p>
    <w:p w14:paraId="67E5CD78" w14:textId="77777777" w:rsidR="00D47D4A" w:rsidRPr="00D47D4A" w:rsidRDefault="002A21AE">
      <w:pPr>
        <w:pStyle w:val="ListBullet"/>
        <w:rPr>
          <w:b/>
          <w:bCs/>
        </w:rPr>
      </w:pPr>
      <w:r>
        <w:t>Units that require antigen typing and/or modification to fulfill a component requirement and/or Sickle Cell testing may be crossmatched pending the completion of further processing of the unit.</w:t>
      </w:r>
      <w:r w:rsidR="00D47D4A">
        <w:rPr>
          <w:bCs/>
        </w:rPr>
        <w:t xml:space="preserve"> </w:t>
      </w:r>
    </w:p>
    <w:p w14:paraId="76086163" w14:textId="77777777" w:rsidR="002A21AE" w:rsidRDefault="00D47D4A">
      <w:pPr>
        <w:pStyle w:val="ListBullet"/>
        <w:rPr>
          <w:b/>
          <w:bCs/>
        </w:rPr>
      </w:pPr>
      <w:r>
        <w:rPr>
          <w:bCs/>
        </w:rPr>
        <w:t xml:space="preserve">VBECS does not allow users in a transfusion-only facility to save partially completed worksheets. The user must enter </w:t>
      </w:r>
      <w:r w:rsidR="00A10483" w:rsidRPr="00D47D4A">
        <w:rPr>
          <w:bCs/>
        </w:rPr>
        <w:t>interpretations</w:t>
      </w:r>
      <w:r w:rsidRPr="00D47D4A">
        <w:rPr>
          <w:bCs/>
        </w:rPr>
        <w:t xml:space="preserve"> for all selected units </w:t>
      </w:r>
      <w:r>
        <w:rPr>
          <w:bCs/>
        </w:rPr>
        <w:t>before VBECS enables</w:t>
      </w:r>
      <w:r w:rsidRPr="00D47D4A">
        <w:rPr>
          <w:bCs/>
        </w:rPr>
        <w:t xml:space="preserve"> the OK button</w:t>
      </w:r>
      <w:r>
        <w:rPr>
          <w:bCs/>
        </w:rPr>
        <w:t>.</w:t>
      </w:r>
    </w:p>
    <w:p w14:paraId="3A8D0947" w14:textId="77777777" w:rsidR="002A21AE" w:rsidRDefault="002A21AE">
      <w:pPr>
        <w:pStyle w:val="ListBullet"/>
      </w:pPr>
      <w:r>
        <w:t>XM compatibility is one aspect of blood unit compatibility. VBECS takes into account the known requirements for compatibility is taken into account when the user prints Caution Tags and BTRFs, and includes such issues as antigen negative requirements and component requirements.</w:t>
      </w:r>
    </w:p>
    <w:p w14:paraId="4FA9BB70" w14:textId="77777777" w:rsidR="002A21AE" w:rsidRDefault="002A21AE">
      <w:pPr>
        <w:pStyle w:val="Heading4"/>
        <w:rPr>
          <w:b w:val="0"/>
        </w:rPr>
      </w:pPr>
      <w:r>
        <w:t>User Roles with Access to This Option</w:t>
      </w:r>
      <w:r>
        <w:rPr>
          <w:b w:val="0"/>
        </w:rPr>
        <w:t xml:space="preserve"> </w:t>
      </w:r>
    </w:p>
    <w:p w14:paraId="3D889EF0" w14:textId="77777777" w:rsidR="002A21AE" w:rsidRDefault="007934CF">
      <w:pPr>
        <w:pStyle w:val="Roles"/>
      </w:pPr>
      <w:r>
        <w:t>All users</w:t>
      </w:r>
    </w:p>
    <w:p w14:paraId="3D464291" w14:textId="77777777" w:rsidR="002A21AE" w:rsidRDefault="002A21AE">
      <w:pPr>
        <w:pStyle w:val="Heading4"/>
      </w:pPr>
      <w:r>
        <w:lastRenderedPageBreak/>
        <w:t>Patient Testing: Record a Crossmatch</w:t>
      </w:r>
    </w:p>
    <w:p w14:paraId="4B74854C" w14:textId="77777777" w:rsidR="002A21AE" w:rsidRDefault="0044651B" w:rsidP="00FA7E65">
      <w:pPr>
        <w:pStyle w:val="BodyText"/>
      </w:pPr>
      <w:r>
        <w:t>During Select Units, the user selects a blood unit to fill a patient order.</w:t>
      </w:r>
      <w:r w:rsidR="002A21AE">
        <w:t xml:space="preserve"> If</w:t>
      </w:r>
      <w:r w:rsidR="00C170E4">
        <w:t xml:space="preserve"> </w:t>
      </w:r>
      <w:r>
        <w:t>the unit selected</w:t>
      </w:r>
      <w:r w:rsidR="002A21AE">
        <w:t xml:space="preserve"> contains red blood cells</w:t>
      </w:r>
      <w:r w:rsidR="00C170E4">
        <w:t xml:space="preserve"> and </w:t>
      </w:r>
      <w:r w:rsidR="002A21AE">
        <w:t>eXM is not enabled</w:t>
      </w:r>
      <w:r w:rsidR="00C170E4">
        <w:t xml:space="preserve">, or </w:t>
      </w:r>
      <w:r w:rsidR="002A21AE">
        <w:t xml:space="preserve">the patient </w:t>
      </w:r>
      <w:r w:rsidR="00C170E4">
        <w:t xml:space="preserve">or unit does </w:t>
      </w:r>
      <w:r w:rsidR="002A21AE">
        <w:t xml:space="preserve">not qualify, VBECS directs the user to enter serologic XM results. </w:t>
      </w:r>
      <w:r w:rsidR="00EB2CC3">
        <w:t>(When eXM is enabled, the user may select serologic XM.)</w:t>
      </w:r>
    </w:p>
    <w:p w14:paraId="502A9F88" w14:textId="77777777" w:rsidR="002A21AE" w:rsidRDefault="002A21AE" w:rsidP="00FA7E65">
      <w:pPr>
        <w:pStyle w:val="BodyText"/>
      </w:pPr>
      <w:r>
        <w:t>The user performs the serologic XM test</w:t>
      </w:r>
      <w:r w:rsidR="002064C3">
        <w:t xml:space="preserve"> and records results in VBECS. VBECS monitors the user’s entries and interpretations</w:t>
      </w:r>
      <w:r>
        <w:t xml:space="preserve"> to determine </w:t>
      </w:r>
      <w:r w:rsidR="002064C3">
        <w:t xml:space="preserve">(with the user) </w:t>
      </w:r>
      <w:r>
        <w:t>compatibility for each cr</w:t>
      </w:r>
      <w:r w:rsidR="005548CE">
        <w:t>o</w:t>
      </w:r>
      <w:r>
        <w:t>ssmatched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A7A2E" w14:paraId="630C4A13" w14:textId="77777777">
        <w:trPr>
          <w:cantSplit/>
          <w:tblHeader/>
        </w:trPr>
        <w:tc>
          <w:tcPr>
            <w:tcW w:w="3240" w:type="dxa"/>
            <w:shd w:val="pct30" w:color="auto" w:fill="FFFFFF"/>
            <w:vAlign w:val="bottom"/>
          </w:tcPr>
          <w:p w14:paraId="0E3705F7" w14:textId="77777777" w:rsidR="00DA7A2E" w:rsidRDefault="00DA7A2E" w:rsidP="00566A3F">
            <w:pPr>
              <w:pStyle w:val="TableText"/>
              <w:rPr>
                <w:b/>
              </w:rPr>
            </w:pPr>
            <w:r>
              <w:rPr>
                <w:b/>
              </w:rPr>
              <w:t>User Action</w:t>
            </w:r>
          </w:p>
        </w:tc>
        <w:tc>
          <w:tcPr>
            <w:tcW w:w="6120" w:type="dxa"/>
            <w:shd w:val="pct30" w:color="auto" w:fill="FFFFFF"/>
            <w:vAlign w:val="bottom"/>
          </w:tcPr>
          <w:p w14:paraId="6FEC9B3C" w14:textId="77777777" w:rsidR="00DA7A2E" w:rsidRDefault="00DA7A2E" w:rsidP="00566A3F">
            <w:pPr>
              <w:pStyle w:val="TableText"/>
              <w:rPr>
                <w:b/>
              </w:rPr>
            </w:pPr>
            <w:r>
              <w:rPr>
                <w:b/>
              </w:rPr>
              <w:t>VBECS</w:t>
            </w:r>
          </w:p>
        </w:tc>
      </w:tr>
      <w:tr w:rsidR="00DA7A2E" w14:paraId="176D4739" w14:textId="77777777">
        <w:tc>
          <w:tcPr>
            <w:tcW w:w="3240" w:type="dxa"/>
          </w:tcPr>
          <w:p w14:paraId="6982AFB7" w14:textId="77777777" w:rsidR="00DA7A2E" w:rsidRDefault="00DA7A2E" w:rsidP="00253B86">
            <w:pPr>
              <w:pStyle w:val="TableTextNumbers"/>
              <w:rPr>
                <w:b/>
              </w:rPr>
            </w:pPr>
            <w:r>
              <w:t xml:space="preserve">Select </w:t>
            </w:r>
            <w:r>
              <w:rPr>
                <w:b/>
              </w:rPr>
              <w:t>Patients</w:t>
            </w:r>
            <w:r>
              <w:t xml:space="preserve"> from the main menu and select </w:t>
            </w:r>
            <w:r>
              <w:rPr>
                <w:b/>
              </w:rPr>
              <w:t>Patient Testing</w:t>
            </w:r>
            <w:r>
              <w:t>, or</w:t>
            </w:r>
          </w:p>
          <w:p w14:paraId="559BE023" w14:textId="77777777" w:rsidR="00DA7A2E" w:rsidRDefault="00DA7A2E" w:rsidP="00566A3F">
            <w:pPr>
              <w:pStyle w:val="TableTextNumbersContinued"/>
            </w:pPr>
          </w:p>
          <w:p w14:paraId="57F284B1" w14:textId="77777777" w:rsidR="00DA7A2E" w:rsidRDefault="00DA7A2E" w:rsidP="00566A3F">
            <w:pPr>
              <w:pStyle w:val="TableTextNumbersContinued"/>
            </w:pPr>
            <w:r>
              <w:t xml:space="preserve">Select </w:t>
            </w:r>
            <w:r>
              <w:rPr>
                <w:b/>
              </w:rPr>
              <w:t>Blood Units</w:t>
            </w:r>
            <w:r>
              <w:t xml:space="preserve"> from the main menu and select </w:t>
            </w:r>
            <w:r>
              <w:rPr>
                <w:b/>
              </w:rPr>
              <w:t>Select Units</w:t>
            </w:r>
            <w:r>
              <w:t>.</w:t>
            </w:r>
          </w:p>
        </w:tc>
        <w:tc>
          <w:tcPr>
            <w:tcW w:w="6120" w:type="dxa"/>
          </w:tcPr>
          <w:p w14:paraId="0DD95C4F" w14:textId="77777777" w:rsidR="00DA7A2E" w:rsidRDefault="00DA7A2E" w:rsidP="00566A3F">
            <w:pPr>
              <w:pStyle w:val="TableTextBullet"/>
            </w:pPr>
            <w:r>
              <w:t>Displays options for processing patient-related functions.</w:t>
            </w:r>
          </w:p>
          <w:p w14:paraId="66B70CA7" w14:textId="77777777" w:rsidR="00DA7A2E" w:rsidRDefault="00DA7A2E" w:rsidP="00566A3F">
            <w:pPr>
              <w:pStyle w:val="TableTextBullet"/>
            </w:pPr>
            <w:r>
              <w:t>Displays the Pending Task List (PTL) and PTL search parameters in the Diagnostic Tests tab or in the Component Orders tab.</w:t>
            </w:r>
          </w:p>
        </w:tc>
      </w:tr>
      <w:tr w:rsidR="00DA7A2E" w14:paraId="226E26F7" w14:textId="77777777">
        <w:tc>
          <w:tcPr>
            <w:tcW w:w="3240" w:type="dxa"/>
          </w:tcPr>
          <w:p w14:paraId="56522667" w14:textId="77777777" w:rsidR="00DA7A2E" w:rsidRDefault="00DA7A2E" w:rsidP="00253B86">
            <w:pPr>
              <w:pStyle w:val="TableTextNumbers"/>
            </w:pPr>
            <w:r>
              <w:t xml:space="preserve">Enter or select PTL search parameters, if appropriate. </w:t>
            </w:r>
          </w:p>
          <w:p w14:paraId="28982F50" w14:textId="77777777" w:rsidR="00DA7A2E" w:rsidRDefault="00DA7A2E" w:rsidP="00566A3F">
            <w:pPr>
              <w:pStyle w:val="TableTextNumbersContinued"/>
            </w:pPr>
          </w:p>
          <w:p w14:paraId="715BC722" w14:textId="77777777" w:rsidR="00DA7A2E" w:rsidRDefault="00DA7A2E" w:rsidP="00566A3F">
            <w:pPr>
              <w:pStyle w:val="TableTextNumbersContinued"/>
            </w:pPr>
            <w:r>
              <w:t xml:space="preserve">Click the check boxes in the PTL to select </w:t>
            </w:r>
            <w:r w:rsidR="00810E0A">
              <w:t>one to four</w:t>
            </w:r>
            <w:r>
              <w:t xml:space="preserve"> component orders. </w:t>
            </w:r>
          </w:p>
          <w:p w14:paraId="68F35098" w14:textId="77777777" w:rsidR="00DA7A2E" w:rsidRDefault="00DA7A2E" w:rsidP="00566A3F">
            <w:pPr>
              <w:pStyle w:val="TableTextNumbersContinued"/>
            </w:pPr>
          </w:p>
          <w:p w14:paraId="5967D120" w14:textId="77777777" w:rsidR="00DA7A2E" w:rsidRDefault="00DA7A2E" w:rsidP="00566A3F">
            <w:pPr>
              <w:pStyle w:val="TableTextNumbersContinued"/>
            </w:pPr>
            <w:r>
              <w:t xml:space="preserve">Click </w:t>
            </w:r>
            <w:r>
              <w:rPr>
                <w:b/>
              </w:rPr>
              <w:t>OK</w:t>
            </w:r>
            <w:r>
              <w:t xml:space="preserve"> to continue.</w:t>
            </w:r>
          </w:p>
        </w:tc>
        <w:tc>
          <w:tcPr>
            <w:tcW w:w="6120" w:type="dxa"/>
          </w:tcPr>
          <w:p w14:paraId="7ECEA6C4" w14:textId="77777777" w:rsidR="00DA7A2E" w:rsidRDefault="00DA7A2E" w:rsidP="00566A3F">
            <w:pPr>
              <w:pStyle w:val="TableTextBullet"/>
            </w:pPr>
            <w:r>
              <w:t>Displays information for each component order.</w:t>
            </w:r>
          </w:p>
          <w:p w14:paraId="58E0ADDB" w14:textId="77777777" w:rsidR="00DA7A2E" w:rsidRDefault="00DA7A2E" w:rsidP="00566A3F">
            <w:pPr>
              <w:pStyle w:val="TableTextBullet"/>
            </w:pPr>
            <w:r>
              <w:t>When the selected order class is RED BLOOD CELLS and the division enabled eXM, evaluates the patient for eXM unit processing.</w:t>
            </w:r>
          </w:p>
          <w:p w14:paraId="3E7A7FC1" w14:textId="77777777" w:rsidR="00DA7A2E" w:rsidRDefault="00DA7A2E" w:rsidP="00566A3F">
            <w:pPr>
              <w:pStyle w:val="TableText"/>
            </w:pPr>
          </w:p>
          <w:p w14:paraId="7C83D6BE" w14:textId="36125F5A" w:rsidR="00DA7A2E" w:rsidRDefault="00DA7A2E" w:rsidP="00566A3F">
            <w:pPr>
              <w:pStyle w:val="TableText"/>
              <w:rPr>
                <w:b/>
                <w:bCs/>
                <w:szCs w:val="18"/>
              </w:rPr>
            </w:pPr>
            <w:r>
              <w:rPr>
                <w:b/>
                <w:bCs/>
                <w:szCs w:val="18"/>
              </w:rPr>
              <w:t>NOTES</w:t>
            </w:r>
          </w:p>
          <w:p w14:paraId="68D229BD" w14:textId="77777777" w:rsidR="00DA7A2E" w:rsidRDefault="00DA7A2E" w:rsidP="00566A3F">
            <w:pPr>
              <w:pStyle w:val="NotesText"/>
            </w:pPr>
          </w:p>
          <w:p w14:paraId="61981518" w14:textId="061DC313" w:rsidR="00DA7A2E" w:rsidRDefault="00DA7A2E" w:rsidP="00566A3F">
            <w:pPr>
              <w:pStyle w:val="NotesText"/>
            </w:pPr>
            <w:r w:rsidRPr="00896F17">
              <w:rPr>
                <w:rStyle w:val="BullhornChar"/>
              </w:rPr>
              <w:t></w:t>
            </w:r>
            <w:r w:rsidRPr="00C51C45">
              <w:rPr>
                <w:rFonts w:ascii="Webdings" w:hAnsi="Webdings"/>
                <w:szCs w:val="22"/>
              </w:rPr>
              <w:t></w:t>
            </w:r>
            <w:r>
              <w:rPr>
                <w:rFonts w:cs="Arial"/>
                <w:szCs w:val="22"/>
              </w:rPr>
              <w:t xml:space="preserve">See </w:t>
            </w:r>
            <w:r w:rsidR="00EE455E">
              <w:t xml:space="preserve">Table </w:t>
            </w:r>
            <w:r w:rsidR="00EE455E">
              <w:rPr>
                <w:noProof/>
              </w:rPr>
              <w:t>11</w:t>
            </w:r>
            <w:r w:rsidR="00302434">
              <w:rPr>
                <w:rFonts w:cs="Arial"/>
                <w:szCs w:val="22"/>
              </w:rPr>
              <w:t xml:space="preserve"> </w:t>
            </w:r>
            <w:r>
              <w:rPr>
                <w:rFonts w:cs="Arial"/>
                <w:szCs w:val="22"/>
              </w:rPr>
              <w:t>for alerts that may occur during this option.</w:t>
            </w:r>
          </w:p>
        </w:tc>
      </w:tr>
      <w:tr w:rsidR="00DA7A2E" w14:paraId="1835C0AF" w14:textId="77777777">
        <w:tc>
          <w:tcPr>
            <w:tcW w:w="3240" w:type="dxa"/>
          </w:tcPr>
          <w:p w14:paraId="76D9A51F" w14:textId="43CEAC18" w:rsidR="00DA7A2E" w:rsidRDefault="00DA7A2E" w:rsidP="00566A3F">
            <w:pPr>
              <w:pStyle w:val="TableTextNumbers"/>
            </w:pPr>
            <w:r>
              <w:t xml:space="preserve">Click </w:t>
            </w:r>
            <w:r>
              <w:rPr>
                <w:b/>
              </w:rPr>
              <w:t>Add Units</w:t>
            </w:r>
            <w:r>
              <w:t xml:space="preserve"> to add units to the component orders selected</w:t>
            </w:r>
            <w:r w:rsidR="00436668">
              <w:t xml:space="preserve"> (</w:t>
            </w:r>
            <w:r w:rsidR="00EE455E">
              <w:t xml:space="preserve">Figure </w:t>
            </w:r>
            <w:r w:rsidR="00EE455E">
              <w:rPr>
                <w:noProof/>
              </w:rPr>
              <w:t>70</w:t>
            </w:r>
            <w:r w:rsidR="00436668">
              <w:t>)</w:t>
            </w:r>
            <w:r>
              <w:t>.</w:t>
            </w:r>
          </w:p>
        </w:tc>
        <w:tc>
          <w:tcPr>
            <w:tcW w:w="6120" w:type="dxa"/>
          </w:tcPr>
          <w:p w14:paraId="16A09CD6" w14:textId="77777777" w:rsidR="00DA7A2E" w:rsidRDefault="00DA7A2E" w:rsidP="00566A3F">
            <w:pPr>
              <w:pStyle w:val="TableTextBullet"/>
            </w:pPr>
            <w:r>
              <w:t>Searches the database and displays available restricted autologous and directed units that the user must select before selecting allogeneic units of the same ICCBBA component class.</w:t>
            </w:r>
          </w:p>
          <w:p w14:paraId="2AAD79E9" w14:textId="77777777" w:rsidR="00DA7A2E" w:rsidRDefault="00DA7A2E" w:rsidP="00566A3F">
            <w:pPr>
              <w:pStyle w:val="TableTextBullet"/>
            </w:pPr>
            <w:r>
              <w:t>Displays the unit ID, product type, unit ABO/Rh, unit expiration date, specimen UID, if applicable, of units assigned to the patient in the division’s blood bank on a different specimen or order. The user may release and reassign the units to the current order.</w:t>
            </w:r>
          </w:p>
          <w:p w14:paraId="5C2AB403" w14:textId="77777777" w:rsidR="00DA7A2E" w:rsidRDefault="00DA7A2E" w:rsidP="00566A3F">
            <w:pPr>
              <w:pStyle w:val="TableTextBullet"/>
            </w:pPr>
            <w:r>
              <w:t>When eXM was configured for the facility, displays the eXM status (eligible or not eligible) for the patient.</w:t>
            </w:r>
          </w:p>
          <w:p w14:paraId="6D48C528" w14:textId="77777777" w:rsidR="00DA7A2E" w:rsidRDefault="00DA7A2E" w:rsidP="00566A3F">
            <w:pPr>
              <w:pStyle w:val="TableText"/>
            </w:pPr>
          </w:p>
          <w:p w14:paraId="1BC08938" w14:textId="10770C26" w:rsidR="00DA7A2E" w:rsidRDefault="00DA7A2E" w:rsidP="00566A3F">
            <w:pPr>
              <w:pStyle w:val="TableText"/>
              <w:rPr>
                <w:b/>
                <w:bCs/>
                <w:szCs w:val="18"/>
              </w:rPr>
            </w:pPr>
            <w:r>
              <w:rPr>
                <w:b/>
                <w:bCs/>
                <w:szCs w:val="18"/>
              </w:rPr>
              <w:t>NOTES</w:t>
            </w:r>
          </w:p>
          <w:p w14:paraId="445CDC38" w14:textId="77777777" w:rsidR="00DA7A2E" w:rsidRDefault="00DA7A2E" w:rsidP="00566A3F">
            <w:pPr>
              <w:pStyle w:val="NotesText"/>
            </w:pPr>
          </w:p>
          <w:p w14:paraId="397936FF" w14:textId="1F859006"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EE455E">
              <w:t xml:space="preserve">Table </w:t>
            </w:r>
            <w:r w:rsidR="00EE455E">
              <w:rPr>
                <w:noProof/>
              </w:rPr>
              <w:t>11</w:t>
            </w:r>
            <w:r w:rsidR="00302434">
              <w:rPr>
                <w:rFonts w:cs="Arial"/>
                <w:szCs w:val="22"/>
              </w:rPr>
              <w:t xml:space="preserve"> for alerts that may occur during this option.</w:t>
            </w:r>
          </w:p>
          <w:p w14:paraId="7A3FA8A1" w14:textId="77777777" w:rsidR="00DA7A2E" w:rsidRDefault="00DA7A2E" w:rsidP="00566A3F">
            <w:pPr>
              <w:pStyle w:val="NotesText"/>
            </w:pPr>
          </w:p>
          <w:p w14:paraId="77351A14" w14:textId="77777777" w:rsidR="00DA7A2E" w:rsidRDefault="00DA7A2E" w:rsidP="00566A3F">
            <w:pPr>
              <w:pStyle w:val="NotesText"/>
            </w:pPr>
            <w:r w:rsidRPr="00D80D5F">
              <w:rPr>
                <w:rFonts w:cs="Arial"/>
                <w:vanish/>
                <w:szCs w:val="18"/>
              </w:rPr>
              <w:t>BR_3.05</w:t>
            </w:r>
            <w:r>
              <w:rPr>
                <w:rFonts w:cs="Arial"/>
                <w:vanish/>
              </w:rPr>
              <w:t xml:space="preserve"> </w:t>
            </w:r>
            <w:r>
              <w:t xml:space="preserve">When no valid ABO exists for the patient, the user may select components, including autologous units: </w:t>
            </w:r>
          </w:p>
          <w:p w14:paraId="4B365931" w14:textId="77777777" w:rsidR="00DA7A2E" w:rsidRDefault="00DA7A2E" w:rsidP="00566A3F">
            <w:pPr>
              <w:pStyle w:val="NotesTextBullet"/>
            </w:pPr>
            <w:r>
              <w:t xml:space="preserve">For RBC or WB order: </w:t>
            </w:r>
          </w:p>
          <w:p w14:paraId="7F08843D" w14:textId="77777777" w:rsidR="00DA7A2E" w:rsidRDefault="00DA7A2E" w:rsidP="00566A3F">
            <w:pPr>
              <w:pStyle w:val="NotesTextBullet1"/>
            </w:pPr>
            <w:r>
              <w:t>Group O, Rh positive or O Rh negative RBC</w:t>
            </w:r>
          </w:p>
          <w:p w14:paraId="04C61764" w14:textId="77777777" w:rsidR="00DA7A2E" w:rsidRDefault="00DA7A2E" w:rsidP="00566A3F">
            <w:pPr>
              <w:pStyle w:val="NotesTextBullet1"/>
            </w:pPr>
            <w:r>
              <w:t>WHOLE BLOOD is not selectable</w:t>
            </w:r>
          </w:p>
          <w:p w14:paraId="3E7C1B4A" w14:textId="77777777" w:rsidR="002176A9" w:rsidRDefault="002176A9" w:rsidP="00566A3F">
            <w:pPr>
              <w:pStyle w:val="NotesTextBullet"/>
            </w:pPr>
            <w:r>
              <w:t>For FFP order:</w:t>
            </w:r>
          </w:p>
          <w:p w14:paraId="3A2FB60F" w14:textId="77777777" w:rsidR="00DA7A2E" w:rsidRDefault="002176A9" w:rsidP="002176A9">
            <w:pPr>
              <w:pStyle w:val="NotesTextBullet1"/>
            </w:pPr>
            <w:r>
              <w:t>G</w:t>
            </w:r>
            <w:r w:rsidR="00DA7A2E">
              <w:t>roup AB, Rh positive or Rh negative</w:t>
            </w:r>
            <w:r w:rsidR="00D80D5F">
              <w:t>, or not specified.</w:t>
            </w:r>
          </w:p>
          <w:p w14:paraId="53681E90" w14:textId="77777777" w:rsidR="00E74609" w:rsidRDefault="00E31C5D" w:rsidP="00E74609">
            <w:pPr>
              <w:pStyle w:val="NotesTextBullet"/>
            </w:pPr>
            <w:r>
              <w:t>Fo</w:t>
            </w:r>
            <w:r w:rsidR="00E74609">
              <w:t>r PLT order:</w:t>
            </w:r>
          </w:p>
          <w:p w14:paraId="5C694E3B" w14:textId="77777777" w:rsidR="00E74609" w:rsidRDefault="00E74609" w:rsidP="00E74609">
            <w:pPr>
              <w:pStyle w:val="NotesTextBullet1"/>
            </w:pPr>
            <w:r>
              <w:t>All units with &lt; 2 ML RBC containment are available</w:t>
            </w:r>
          </w:p>
          <w:p w14:paraId="4EEB180E" w14:textId="77777777" w:rsidR="00E74609" w:rsidRDefault="00E74609" w:rsidP="00E74609">
            <w:pPr>
              <w:pStyle w:val="NotesTextBullet1"/>
            </w:pPr>
            <w:r>
              <w:t>Units</w:t>
            </w:r>
            <w:r w:rsidRPr="001A5BC5">
              <w:t xml:space="preserve"> with </w:t>
            </w:r>
            <w:r w:rsidR="0058122A">
              <w:t xml:space="preserve">= </w:t>
            </w:r>
            <w:r w:rsidR="0058122A" w:rsidRPr="0058122A">
              <w:t>&gt;</w:t>
            </w:r>
            <w:r w:rsidRPr="001A5BC5">
              <w:t xml:space="preserve"> 2 mL RBC contamination are not available</w:t>
            </w:r>
          </w:p>
          <w:p w14:paraId="2C06BD22" w14:textId="77777777" w:rsidR="00E74609" w:rsidRDefault="00E74609" w:rsidP="00E74609">
            <w:pPr>
              <w:pStyle w:val="NotesTextBullet"/>
            </w:pPr>
            <w:r>
              <w:t>For CRYO order:</w:t>
            </w:r>
          </w:p>
          <w:p w14:paraId="19929859" w14:textId="77777777" w:rsidR="00E74609" w:rsidRDefault="00E74609" w:rsidP="00E74609">
            <w:pPr>
              <w:pStyle w:val="NotesTextBullet1"/>
            </w:pPr>
            <w:r>
              <w:t>All available units are selectable</w:t>
            </w:r>
          </w:p>
          <w:p w14:paraId="27EB3D64" w14:textId="77777777" w:rsidR="00E74609" w:rsidRDefault="00E74609" w:rsidP="00E74609">
            <w:pPr>
              <w:pStyle w:val="NotesTextBullet1"/>
              <w:numPr>
                <w:ilvl w:val="0"/>
                <w:numId w:val="0"/>
              </w:numPr>
              <w:ind w:left="1296" w:hanging="288"/>
            </w:pPr>
            <w:r>
              <w:t>For OTHER order:</w:t>
            </w:r>
          </w:p>
          <w:p w14:paraId="069EDB81" w14:textId="77777777" w:rsidR="00E74609" w:rsidRDefault="00E74609" w:rsidP="00E74609">
            <w:pPr>
              <w:pStyle w:val="NotesTextBullet1"/>
            </w:pPr>
            <w:r>
              <w:t>All units with &lt; 2 mL contamination are available</w:t>
            </w:r>
          </w:p>
          <w:p w14:paraId="1757A3DB" w14:textId="77777777" w:rsidR="00E74609" w:rsidRDefault="00E74609" w:rsidP="00E74609">
            <w:pPr>
              <w:pStyle w:val="NotesTextBullet1"/>
            </w:pPr>
            <w:r>
              <w:t xml:space="preserve">Units with </w:t>
            </w:r>
            <w:r w:rsidR="0058122A" w:rsidRPr="0058122A">
              <w:t>= &gt;</w:t>
            </w:r>
            <w:r w:rsidRPr="001A5BC5">
              <w:t xml:space="preserve"> 2 mL RBC contamination are not available</w:t>
            </w:r>
          </w:p>
        </w:tc>
      </w:tr>
      <w:tr w:rsidR="00DA7A2E" w14:paraId="247D6F6C" w14:textId="77777777">
        <w:tc>
          <w:tcPr>
            <w:tcW w:w="3240" w:type="dxa"/>
          </w:tcPr>
          <w:p w14:paraId="612DAEEC" w14:textId="77777777" w:rsidR="00D20E3E" w:rsidRDefault="00D20E3E" w:rsidP="00D20E3E">
            <w:pPr>
              <w:pStyle w:val="TableTextNumbers"/>
            </w:pPr>
            <w:r>
              <w:t xml:space="preserve">Scan or enter allogeneic units, select compatible units from the Order Group list, or click the </w:t>
            </w:r>
            <w:r w:rsidR="00A6373D">
              <w:rPr>
                <w:b/>
              </w:rPr>
              <w:t>find</w:t>
            </w:r>
            <w:r w:rsidRPr="00D509C6">
              <w:rPr>
                <w:b/>
              </w:rPr>
              <w:t xml:space="preserve"> </w:t>
            </w:r>
            <w:r w:rsidRPr="00D1100E">
              <w:t>button</w:t>
            </w:r>
            <w:r>
              <w:t xml:space="preserve"> to select units.</w:t>
            </w:r>
          </w:p>
          <w:p w14:paraId="309C7A2A" w14:textId="77777777" w:rsidR="00DA7A2E" w:rsidRDefault="00DA7A2E" w:rsidP="00566A3F">
            <w:pPr>
              <w:pStyle w:val="TableTextNumbersContinued"/>
            </w:pPr>
          </w:p>
          <w:p w14:paraId="7E075C58" w14:textId="77777777" w:rsidR="00DA7A2E" w:rsidRDefault="00DA7A2E" w:rsidP="00566A3F">
            <w:pPr>
              <w:pStyle w:val="TableTextNumbersContinued"/>
            </w:pPr>
            <w:r>
              <w:t>Enter or select a date in the Selection Date field.</w:t>
            </w:r>
            <w:r w:rsidR="00C96BF6">
              <w:t xml:space="preserve"> </w:t>
            </w:r>
            <w:r>
              <w:t>Each unit may have its own selection date and time.</w:t>
            </w:r>
          </w:p>
          <w:p w14:paraId="7B6E99EB" w14:textId="77777777" w:rsidR="00DA7A2E" w:rsidRDefault="00DA7A2E" w:rsidP="00566A3F">
            <w:pPr>
              <w:pStyle w:val="TableTextNumbersContinued"/>
            </w:pPr>
          </w:p>
          <w:p w14:paraId="5D13D99C" w14:textId="77777777" w:rsidR="00DA7A2E" w:rsidRDefault="00DA7A2E" w:rsidP="00566A3F">
            <w:pPr>
              <w:pStyle w:val="TableTextNumbersContinued"/>
            </w:pPr>
            <w:r>
              <w:t xml:space="preserve">Click </w:t>
            </w:r>
            <w:r>
              <w:rPr>
                <w:b/>
              </w:rPr>
              <w:t>Add Units</w:t>
            </w:r>
            <w:r>
              <w:t xml:space="preserve"> to display the unit selection form.</w:t>
            </w:r>
          </w:p>
          <w:p w14:paraId="5D901EA5" w14:textId="77777777" w:rsidR="00EA2FA8" w:rsidRDefault="00EA2FA8" w:rsidP="00566A3F">
            <w:pPr>
              <w:pStyle w:val="TableTextNumbersContinued"/>
            </w:pPr>
          </w:p>
          <w:p w14:paraId="7CF48C22" w14:textId="77777777" w:rsidR="00EA2FA8" w:rsidRDefault="00EA2FA8" w:rsidP="00566A3F">
            <w:pPr>
              <w:pStyle w:val="TableTextNumbersContinued"/>
            </w:pPr>
            <w:r>
              <w:t>To change the Assigned Date and Assigned By fields, click a unit in the Order Group list.</w:t>
            </w:r>
          </w:p>
        </w:tc>
        <w:tc>
          <w:tcPr>
            <w:tcW w:w="6120" w:type="dxa"/>
          </w:tcPr>
          <w:p w14:paraId="4CB0FFA5" w14:textId="77777777" w:rsidR="00DA7A2E" w:rsidRDefault="00DA7A2E" w:rsidP="00566A3F">
            <w:pPr>
              <w:pStyle w:val="TableTextBullet"/>
            </w:pPr>
            <w:r>
              <w:lastRenderedPageBreak/>
              <w:t>Maintains a list of selected units. The user may deselect selected units.</w:t>
            </w:r>
          </w:p>
          <w:p w14:paraId="3D4C2A31" w14:textId="77777777" w:rsidR="00DA7A2E" w:rsidRDefault="00DA7A2E" w:rsidP="00566A3F">
            <w:pPr>
              <w:pStyle w:val="TableTextBullet"/>
            </w:pPr>
            <w:r>
              <w:t>Evaluates the selected unit:</w:t>
            </w:r>
          </w:p>
          <w:p w14:paraId="2DFB7E0E" w14:textId="77777777" w:rsidR="00DA7A2E" w:rsidRDefault="00DA7A2E" w:rsidP="00566A3F">
            <w:pPr>
              <w:pStyle w:val="TableTextBullet1"/>
              <w:tabs>
                <w:tab w:val="num" w:pos="648"/>
              </w:tabs>
              <w:ind w:left="648" w:hanging="360"/>
            </w:pPr>
            <w:r>
              <w:t>For the ABO/Rh compatibility of each unit and warns the user.</w:t>
            </w:r>
          </w:p>
          <w:p w14:paraId="241FBA47" w14:textId="77777777" w:rsidR="00DA7A2E" w:rsidRDefault="00DA7A2E" w:rsidP="00566A3F">
            <w:pPr>
              <w:pStyle w:val="TableTextBullet1"/>
              <w:tabs>
                <w:tab w:val="num" w:pos="648"/>
              </w:tabs>
              <w:ind w:left="648" w:hanging="360"/>
            </w:pPr>
            <w:r>
              <w:lastRenderedPageBreak/>
              <w:t>Against patient Transfusion Requirements (TRs) and warns the user.</w:t>
            </w:r>
          </w:p>
          <w:p w14:paraId="7039EB70" w14:textId="77777777" w:rsidR="00DA7A2E" w:rsidRDefault="00DA7A2E" w:rsidP="00566A3F">
            <w:pPr>
              <w:pStyle w:val="TableTextBullet1"/>
              <w:tabs>
                <w:tab w:val="num" w:pos="648"/>
              </w:tabs>
              <w:ind w:left="648" w:hanging="360"/>
            </w:pPr>
            <w:r>
              <w:t>For unit antigen negative compatibility and warns the user.</w:t>
            </w:r>
          </w:p>
          <w:p w14:paraId="790A29FC" w14:textId="77777777" w:rsidR="00DA7A2E" w:rsidRDefault="00DA7A2E" w:rsidP="00566A3F">
            <w:pPr>
              <w:pStyle w:val="TableTextBullet"/>
            </w:pPr>
            <w:r>
              <w:t>Performs additional checks that include days remaining until the unit’s expiration date, the current status, assignments to other patients, quarantine and biohazard indicators, when applied, and associated special testing.</w:t>
            </w:r>
          </w:p>
          <w:p w14:paraId="15F9A3F5" w14:textId="77777777" w:rsidR="00DA7A2E" w:rsidRDefault="00DA7A2E" w:rsidP="00566A3F">
            <w:pPr>
              <w:pStyle w:val="TableText"/>
            </w:pPr>
          </w:p>
          <w:p w14:paraId="2513A7C7" w14:textId="4219D42A" w:rsidR="00DA7A2E" w:rsidRDefault="00DA7A2E" w:rsidP="00566A3F">
            <w:pPr>
              <w:pStyle w:val="TableText"/>
              <w:rPr>
                <w:b/>
                <w:bCs/>
                <w:szCs w:val="18"/>
              </w:rPr>
            </w:pPr>
            <w:r>
              <w:rPr>
                <w:b/>
                <w:bCs/>
                <w:szCs w:val="18"/>
              </w:rPr>
              <w:t>NOTES</w:t>
            </w:r>
          </w:p>
          <w:p w14:paraId="7E18327D" w14:textId="77777777" w:rsidR="00DA7A2E" w:rsidRDefault="00DA7A2E" w:rsidP="00566A3F">
            <w:pPr>
              <w:pStyle w:val="NotesText"/>
            </w:pPr>
          </w:p>
          <w:p w14:paraId="0155E445" w14:textId="3B6D4E37"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EE455E">
              <w:t xml:space="preserve">Table </w:t>
            </w:r>
            <w:r w:rsidR="00EE455E">
              <w:rPr>
                <w:noProof/>
              </w:rPr>
              <w:t>11</w:t>
            </w:r>
            <w:r w:rsidR="00302434">
              <w:rPr>
                <w:rFonts w:cs="Arial"/>
                <w:szCs w:val="22"/>
              </w:rPr>
              <w:t xml:space="preserve"> for alerts that may occur during this option.</w:t>
            </w:r>
          </w:p>
          <w:p w14:paraId="5722CC1C" w14:textId="77777777" w:rsidR="00DA7A2E" w:rsidRDefault="00DA7A2E" w:rsidP="00566A3F">
            <w:pPr>
              <w:pStyle w:val="NotesText"/>
            </w:pPr>
          </w:p>
          <w:p w14:paraId="6CFD2BFB" w14:textId="77777777" w:rsidR="00DA7A2E" w:rsidRDefault="00DA7A2E" w:rsidP="00566A3F">
            <w:pPr>
              <w:pStyle w:val="NotesText"/>
            </w:pPr>
            <w:r>
              <w:t xml:space="preserve">The user may accept or edit the current date and time displayed; the date and time must be in the past. </w:t>
            </w:r>
          </w:p>
          <w:p w14:paraId="478D315F" w14:textId="77777777" w:rsidR="00DA7A2E" w:rsidRDefault="00DA7A2E" w:rsidP="00566A3F">
            <w:pPr>
              <w:pStyle w:val="NotesText"/>
            </w:pPr>
          </w:p>
          <w:p w14:paraId="0EABE6A7" w14:textId="77777777" w:rsidR="00DA7A2E" w:rsidRDefault="00DA7A2E" w:rsidP="00566A3F">
            <w:pPr>
              <w:pStyle w:val="NotesText"/>
            </w:pPr>
            <w:r>
              <w:rPr>
                <w:rFonts w:cs="Arial"/>
                <w:vanish/>
                <w:szCs w:val="18"/>
              </w:rPr>
              <w:t>BR_3.25</w:t>
            </w:r>
            <w:r w:rsidR="005D400B">
              <w:rPr>
                <w:rFonts w:cs="Arial"/>
                <w:vanish/>
                <w:szCs w:val="18"/>
              </w:rPr>
              <w:t>,</w:t>
            </w:r>
            <w:r>
              <w:rPr>
                <w:rFonts w:cs="Arial"/>
                <w:vanish/>
                <w:szCs w:val="18"/>
              </w:rPr>
              <w:t xml:space="preserve"> </w:t>
            </w:r>
            <w:r>
              <w:rPr>
                <w:vanish/>
                <w:szCs w:val="18"/>
              </w:rPr>
              <w:t xml:space="preserve">BR_16.13 </w:t>
            </w:r>
            <w:r>
              <w:t>Restricted (autologous or directed) unit selection eligibility criteria:</w:t>
            </w:r>
          </w:p>
          <w:p w14:paraId="73BC3FAD" w14:textId="77777777" w:rsidR="00DA7A2E" w:rsidRDefault="00DA7A2E" w:rsidP="00566A3F">
            <w:pPr>
              <w:pStyle w:val="NotesTextBullet"/>
            </w:pPr>
            <w:r>
              <w:t>Restricted For Patient ID: must match</w:t>
            </w:r>
          </w:p>
          <w:p w14:paraId="17E3B3BB" w14:textId="77777777" w:rsidR="00DA7A2E" w:rsidRDefault="00DA7A2E" w:rsidP="00566A3F">
            <w:pPr>
              <w:pStyle w:val="NotesTextBullet"/>
            </w:pPr>
            <w:r>
              <w:t>Restricted For Patient Name: must match</w:t>
            </w:r>
          </w:p>
          <w:p w14:paraId="1572C55C" w14:textId="77777777" w:rsidR="00DA7A2E" w:rsidRDefault="00DA7A2E" w:rsidP="00566A3F">
            <w:pPr>
              <w:pStyle w:val="NotesTextBullet"/>
            </w:pPr>
            <w:r>
              <w:t xml:space="preserve">Unit expiration date must be in the future. </w:t>
            </w:r>
          </w:p>
          <w:p w14:paraId="6F0A0547" w14:textId="77777777" w:rsidR="00DA7A2E" w:rsidRDefault="00DA7A2E" w:rsidP="00566A3F">
            <w:pPr>
              <w:pStyle w:val="NotesTextBullet"/>
            </w:pPr>
            <w:r>
              <w:t>Component class (transfusion only requires restriction of all units)</w:t>
            </w:r>
          </w:p>
          <w:p w14:paraId="6E797119" w14:textId="77777777" w:rsidR="00DA7A2E" w:rsidRDefault="00DA7A2E" w:rsidP="00566A3F">
            <w:pPr>
              <w:pStyle w:val="NotesTextBullet"/>
              <w:numPr>
                <w:ilvl w:val="0"/>
                <w:numId w:val="0"/>
              </w:numPr>
              <w:ind w:left="720"/>
            </w:pPr>
          </w:p>
          <w:p w14:paraId="43F4B31C" w14:textId="77777777" w:rsidR="00DA7A2E" w:rsidRDefault="00DA7A2E" w:rsidP="00566A3F">
            <w:pPr>
              <w:pStyle w:val="NotesText"/>
            </w:pPr>
            <w:r>
              <w:rPr>
                <w:rFonts w:cs="Arial"/>
                <w:vanish/>
              </w:rPr>
              <w:t xml:space="preserve">BR_3.19 </w:t>
            </w:r>
            <w:r>
              <w:t>The criteria for selecting or including an individual unit in a pick list include evaluating a unit for:</w:t>
            </w:r>
          </w:p>
          <w:p w14:paraId="1D8809B9" w14:textId="77777777" w:rsidR="00DA7A2E" w:rsidRDefault="00DA7A2E" w:rsidP="00566A3F">
            <w:pPr>
              <w:pStyle w:val="NotesTextBullet"/>
            </w:pPr>
            <w:r>
              <w:t>Considered substitutable for the order</w:t>
            </w:r>
          </w:p>
          <w:p w14:paraId="06E9BBCD" w14:textId="77777777" w:rsidR="00DA7A2E" w:rsidRDefault="00DA7A2E" w:rsidP="00566A3F">
            <w:pPr>
              <w:pStyle w:val="NotesTextBullet"/>
            </w:pPr>
            <w:r>
              <w:t>Same division as the user</w:t>
            </w:r>
          </w:p>
          <w:p w14:paraId="4FD666C9" w14:textId="77777777" w:rsidR="00DA7A2E" w:rsidRDefault="00DA7A2E" w:rsidP="00566A3F">
            <w:pPr>
              <w:pStyle w:val="NotesTextBullet"/>
            </w:pPr>
            <w:r>
              <w:t xml:space="preserve">Current location is in the blood bank </w:t>
            </w:r>
          </w:p>
          <w:p w14:paraId="7009B764" w14:textId="77777777" w:rsidR="00DA7A2E" w:rsidRDefault="00DA7A2E" w:rsidP="00566A3F">
            <w:pPr>
              <w:pStyle w:val="NotesTextBullet"/>
            </w:pPr>
            <w:r>
              <w:t>Is not already assigned or crossmatched to the patient</w:t>
            </w:r>
          </w:p>
          <w:p w14:paraId="3FCD5A75" w14:textId="77777777" w:rsidR="00DA7A2E" w:rsidRDefault="00DA7A2E" w:rsidP="00566A3F">
            <w:pPr>
              <w:pStyle w:val="NotesTextBullet"/>
            </w:pPr>
            <w:r>
              <w:t>Is not “restricted” for a different patient</w:t>
            </w:r>
          </w:p>
          <w:p w14:paraId="44142055" w14:textId="77777777" w:rsidR="00DA7A2E" w:rsidRDefault="00DA7A2E" w:rsidP="00566A3F">
            <w:pPr>
              <w:pStyle w:val="NotesTextBullet"/>
            </w:pPr>
            <w:r>
              <w:t xml:space="preserve">Meets ABO/Rh compatibility requirements specific to the component class </w:t>
            </w:r>
          </w:p>
          <w:p w14:paraId="532930F3" w14:textId="77777777" w:rsidR="00DA7A2E" w:rsidRDefault="00DA7A2E" w:rsidP="00566A3F">
            <w:pPr>
              <w:pStyle w:val="NotesTextBullet"/>
            </w:pPr>
            <w:r>
              <w:t>Future expiration date</w:t>
            </w:r>
          </w:p>
          <w:p w14:paraId="6E47AC79" w14:textId="77777777" w:rsidR="00DA7A2E" w:rsidRDefault="00DA7A2E" w:rsidP="00566A3F">
            <w:pPr>
              <w:pStyle w:val="NotesText"/>
            </w:pPr>
          </w:p>
          <w:p w14:paraId="4EB081C3" w14:textId="77777777" w:rsidR="00DA7A2E" w:rsidRDefault="00DA7A2E" w:rsidP="00566A3F">
            <w:pPr>
              <w:pStyle w:val="NotesText"/>
            </w:pPr>
            <w:r>
              <w:rPr>
                <w:rFonts w:cs="Arial"/>
                <w:vanish/>
              </w:rPr>
              <w:t xml:space="preserve">BR_3.04 </w:t>
            </w:r>
            <w:r>
              <w:t>VBECS lists only ABO/Rh compatible units for selection.</w:t>
            </w:r>
          </w:p>
          <w:p w14:paraId="646EED94" w14:textId="77777777" w:rsidR="00DA7A2E" w:rsidRDefault="00DA7A2E" w:rsidP="00566A3F">
            <w:pPr>
              <w:pStyle w:val="NotesText"/>
            </w:pPr>
          </w:p>
          <w:p w14:paraId="0E9D3B82" w14:textId="77777777" w:rsidR="00DA7A2E" w:rsidRDefault="00DA7A2E" w:rsidP="00566A3F">
            <w:pPr>
              <w:pStyle w:val="NotesText"/>
            </w:pPr>
            <w:r w:rsidRPr="00CC6497">
              <w:rPr>
                <w:rFonts w:cs="Arial"/>
                <w:vanish/>
                <w:color w:val="0000FF"/>
              </w:rPr>
              <w:t>BR_3.11</w:t>
            </w:r>
            <w:r>
              <w:rPr>
                <w:rFonts w:cs="Arial"/>
                <w:vanish/>
              </w:rPr>
              <w:t xml:space="preserve"> </w:t>
            </w:r>
            <w:r>
              <w:t>When ABO/Rh results were not created for the specimen associated with the component order and the order is not designated “emergency issue,” VBECS allows the user to select units using historic records, and notifies the user that ABO/Rh testing must be performed at this division on this patient before any selected units can be issued.</w:t>
            </w:r>
          </w:p>
          <w:p w14:paraId="41009D8D" w14:textId="77777777" w:rsidR="00DA7A2E" w:rsidRDefault="00DA7A2E" w:rsidP="00566A3F">
            <w:pPr>
              <w:pStyle w:val="NotesText"/>
            </w:pPr>
          </w:p>
          <w:p w14:paraId="4FA91452" w14:textId="77777777" w:rsidR="00DA7A2E" w:rsidRDefault="00DA7A2E" w:rsidP="00566A3F">
            <w:pPr>
              <w:pStyle w:val="NotesText"/>
            </w:pPr>
            <w:r>
              <w:rPr>
                <w:rFonts w:cs="Arial"/>
                <w:vanish/>
              </w:rPr>
              <w:t xml:space="preserve">BR_3.55 </w:t>
            </w:r>
            <w:r>
              <w:t>VBECS displays and allows the user to complete a pending XM associated with a patient order without a final unit status.</w:t>
            </w:r>
          </w:p>
        </w:tc>
      </w:tr>
      <w:tr w:rsidR="00DA7A2E" w14:paraId="29B653DB" w14:textId="77777777" w:rsidTr="00414071">
        <w:trPr>
          <w:cantSplit/>
        </w:trPr>
        <w:tc>
          <w:tcPr>
            <w:tcW w:w="3240" w:type="dxa"/>
          </w:tcPr>
          <w:p w14:paraId="7B284FB5" w14:textId="77777777" w:rsidR="00DA7A2E" w:rsidRDefault="00DA7A2E" w:rsidP="00566A3F">
            <w:pPr>
              <w:pStyle w:val="TableTextNumbers"/>
            </w:pPr>
            <w:r>
              <w:lastRenderedPageBreak/>
              <w:t>Repeat Step 4 until all units are selected.</w:t>
            </w:r>
          </w:p>
        </w:tc>
        <w:tc>
          <w:tcPr>
            <w:tcW w:w="6120" w:type="dxa"/>
          </w:tcPr>
          <w:p w14:paraId="5486CBE9" w14:textId="77777777" w:rsidR="00DA7A2E" w:rsidRDefault="00DA7A2E" w:rsidP="00566A3F">
            <w:pPr>
              <w:pStyle w:val="TableTextBullet"/>
            </w:pPr>
            <w:r>
              <w:t>Requests the user to confirm the list of selected blood units.</w:t>
            </w:r>
          </w:p>
          <w:p w14:paraId="52499EE8" w14:textId="77777777" w:rsidR="00DA7A2E" w:rsidRDefault="00DA7A2E" w:rsidP="00566A3F">
            <w:pPr>
              <w:pStyle w:val="TableText"/>
            </w:pPr>
          </w:p>
          <w:p w14:paraId="6D620E62" w14:textId="73ED183C" w:rsidR="00DA7A2E" w:rsidRDefault="00DA7A2E" w:rsidP="00566A3F">
            <w:pPr>
              <w:pStyle w:val="TableText"/>
              <w:rPr>
                <w:b/>
                <w:bCs/>
                <w:szCs w:val="18"/>
              </w:rPr>
            </w:pPr>
            <w:r>
              <w:rPr>
                <w:b/>
                <w:bCs/>
                <w:szCs w:val="18"/>
              </w:rPr>
              <w:t>NOTES</w:t>
            </w:r>
          </w:p>
          <w:p w14:paraId="65CEB937" w14:textId="77777777" w:rsidR="00DA7A2E" w:rsidRDefault="00DA7A2E" w:rsidP="00566A3F">
            <w:pPr>
              <w:pStyle w:val="NotesText"/>
            </w:pPr>
          </w:p>
          <w:p w14:paraId="46A4574F" w14:textId="77777777" w:rsidR="00DA7A2E" w:rsidRDefault="00DA7A2E" w:rsidP="00566A3F">
            <w:pPr>
              <w:pStyle w:val="NotesText"/>
            </w:pPr>
            <w:r>
              <w:t>The user may select or deselect additional units.</w:t>
            </w:r>
          </w:p>
        </w:tc>
      </w:tr>
      <w:tr w:rsidR="00DA7A2E" w14:paraId="35E52BA9" w14:textId="77777777">
        <w:tc>
          <w:tcPr>
            <w:tcW w:w="3240" w:type="dxa"/>
          </w:tcPr>
          <w:p w14:paraId="52BBD073" w14:textId="77777777" w:rsidR="00DA7A2E" w:rsidRDefault="00DA7A2E" w:rsidP="00566A3F">
            <w:pPr>
              <w:pStyle w:val="TableTextNumbers"/>
            </w:pPr>
            <w:r>
              <w:t xml:space="preserve">Click </w:t>
            </w:r>
            <w:r>
              <w:rPr>
                <w:b/>
              </w:rPr>
              <w:t>OK</w:t>
            </w:r>
            <w:r>
              <w:t xml:space="preserve"> to confirm the selection of units.</w:t>
            </w:r>
          </w:p>
        </w:tc>
        <w:tc>
          <w:tcPr>
            <w:tcW w:w="6120" w:type="dxa"/>
          </w:tcPr>
          <w:p w14:paraId="0A38A818" w14:textId="77777777" w:rsidR="00DA7A2E" w:rsidRDefault="00DA7A2E" w:rsidP="00566A3F">
            <w:pPr>
              <w:pStyle w:val="TableTextBullet"/>
            </w:pPr>
            <w:r>
              <w:t xml:space="preserve">Determines whether the units are available for issue or whether they require additional modification and/or testing based on the component class. </w:t>
            </w:r>
          </w:p>
          <w:p w14:paraId="3A954BCE" w14:textId="77777777" w:rsidR="00DA7A2E" w:rsidRDefault="00DA7A2E" w:rsidP="00566A3F">
            <w:pPr>
              <w:pStyle w:val="TableTextBullet"/>
            </w:pPr>
            <w:r>
              <w:t>Updates the database, as appropriate.</w:t>
            </w:r>
          </w:p>
          <w:p w14:paraId="0C89E253" w14:textId="77777777" w:rsidR="00DA7A2E" w:rsidRDefault="00DA7A2E" w:rsidP="00566A3F">
            <w:pPr>
              <w:pStyle w:val="TableText"/>
            </w:pPr>
          </w:p>
          <w:p w14:paraId="20BC3E61" w14:textId="69C7B2DA" w:rsidR="00DA7A2E" w:rsidRDefault="00DA7A2E" w:rsidP="00566A3F">
            <w:pPr>
              <w:pStyle w:val="TableText"/>
              <w:rPr>
                <w:b/>
                <w:bCs/>
                <w:szCs w:val="18"/>
              </w:rPr>
            </w:pPr>
            <w:r>
              <w:rPr>
                <w:b/>
                <w:bCs/>
                <w:szCs w:val="18"/>
              </w:rPr>
              <w:lastRenderedPageBreak/>
              <w:t>NOTES</w:t>
            </w:r>
          </w:p>
          <w:p w14:paraId="70B1D9DD" w14:textId="77777777" w:rsidR="00DA7A2E" w:rsidRDefault="00DA7A2E" w:rsidP="00566A3F">
            <w:pPr>
              <w:pStyle w:val="NotesText"/>
            </w:pPr>
          </w:p>
          <w:p w14:paraId="71FFF030" w14:textId="79F18B31" w:rsidR="0021365D" w:rsidRDefault="00DA7A2E" w:rsidP="0021365D">
            <w:pPr>
              <w:pStyle w:val="NotesText"/>
              <w:rPr>
                <w:rFonts w:cs="Arial"/>
                <w:szCs w:val="22"/>
              </w:rPr>
            </w:pPr>
            <w:r w:rsidRPr="00896F17">
              <w:rPr>
                <w:rStyle w:val="BullhornChar"/>
              </w:rPr>
              <w:t></w:t>
            </w:r>
            <w:r w:rsidRPr="00C51C45">
              <w:rPr>
                <w:rFonts w:ascii="Webdings" w:hAnsi="Webdings"/>
                <w:szCs w:val="22"/>
              </w:rPr>
              <w:t></w:t>
            </w:r>
            <w:r>
              <w:rPr>
                <w:rFonts w:cs="Arial"/>
                <w:szCs w:val="22"/>
              </w:rPr>
              <w:t xml:space="preserve">See </w:t>
            </w:r>
            <w:r w:rsidR="00EE455E">
              <w:t xml:space="preserve">Table </w:t>
            </w:r>
            <w:r w:rsidR="00EE455E">
              <w:rPr>
                <w:noProof/>
              </w:rPr>
              <w:t>11</w:t>
            </w:r>
            <w:r>
              <w:rPr>
                <w:rFonts w:cs="Arial"/>
                <w:szCs w:val="22"/>
              </w:rPr>
              <w:t xml:space="preserve"> for alerts that may occur during this option.</w:t>
            </w:r>
          </w:p>
          <w:p w14:paraId="02AE59DA" w14:textId="77777777" w:rsidR="0021365D" w:rsidRDefault="0021365D" w:rsidP="0021365D">
            <w:pPr>
              <w:pStyle w:val="NotesText"/>
              <w:rPr>
                <w:rFonts w:cs="Arial"/>
                <w:szCs w:val="22"/>
              </w:rPr>
            </w:pPr>
          </w:p>
          <w:p w14:paraId="75B9AFC6" w14:textId="732813F2" w:rsidR="0021365D" w:rsidRDefault="0021365D" w:rsidP="0021365D">
            <w:pPr>
              <w:pStyle w:val="NotesText"/>
            </w:pPr>
            <w:r>
              <w:rPr>
                <w:vanish/>
                <w:szCs w:val="18"/>
              </w:rPr>
              <w:t xml:space="preserve">BR_3.17, BR_3.27 </w:t>
            </w:r>
            <w:r>
              <w:t xml:space="preserve">When eXM is enabled at the division and blood units require XM, VBECS determines whether the patient and units are eligible for eXM. All parameters listed in </w:t>
            </w:r>
            <w:r w:rsidR="00EE455E">
              <w:t xml:space="preserve">Appendix </w:t>
            </w:r>
            <w:r w:rsidR="00EE455E">
              <w:rPr>
                <w:noProof/>
              </w:rPr>
              <w:t>B</w:t>
            </w:r>
            <w:r>
              <w:t xml:space="preserve">: </w:t>
            </w:r>
            <w:r w:rsidR="00EE455E">
              <w:t xml:space="preserve">Table </w:t>
            </w:r>
            <w:r w:rsidR="00EE455E">
              <w:rPr>
                <w:noProof/>
              </w:rPr>
              <w:t>22</w:t>
            </w:r>
            <w:r w:rsidR="00EE455E">
              <w:t xml:space="preserve">: </w:t>
            </w:r>
            <w:r w:rsidR="00EE455E">
              <w:rPr>
                <w:vanish/>
              </w:rPr>
              <w:t xml:space="preserve">TT_3.05 </w:t>
            </w:r>
            <w:r w:rsidR="00EE455E">
              <w:t>Rules for Electronic and Serologic Crossmatch</w:t>
            </w:r>
            <w:r>
              <w:t xml:space="preserve"> must be met. Units not eligible for eXM must have serologic XM performed. </w:t>
            </w:r>
          </w:p>
          <w:p w14:paraId="6F9925E2" w14:textId="77777777" w:rsidR="0021365D" w:rsidRDefault="0021365D" w:rsidP="0021365D">
            <w:pPr>
              <w:pStyle w:val="NotesText"/>
            </w:pPr>
          </w:p>
          <w:p w14:paraId="614F2FAF" w14:textId="77777777" w:rsidR="00DA7A2E" w:rsidRPr="0021365D" w:rsidRDefault="0021365D" w:rsidP="0021365D">
            <w:pPr>
              <w:pStyle w:val="NotesText"/>
              <w:rPr>
                <w:rFonts w:cs="Arial"/>
                <w:szCs w:val="22"/>
              </w:rPr>
            </w:pPr>
            <w:r>
              <w:t>When eXM is not enabled, the user must enter serologic XM results for red blood cell classes or when a user orders an optional XM for OTHER component classes. VBECS does not change the unit status to “crossmatched,” make units available for issue, or allow the Caution Tag or BTRF to be printed until a user enters a valid XM result, unless an emergency-issued unit is being processed.</w:t>
            </w:r>
            <w:r w:rsidR="00DA7A2E">
              <w:rPr>
                <w:vanish/>
                <w:szCs w:val="18"/>
              </w:rPr>
              <w:t>BR_3.17</w:t>
            </w:r>
            <w:r w:rsidR="005D400B">
              <w:rPr>
                <w:vanish/>
                <w:szCs w:val="18"/>
              </w:rPr>
              <w:t>,</w:t>
            </w:r>
            <w:r w:rsidR="00DA7A2E">
              <w:rPr>
                <w:vanish/>
                <w:szCs w:val="18"/>
              </w:rPr>
              <w:t xml:space="preserve"> BR_3.27 </w:t>
            </w:r>
          </w:p>
        </w:tc>
      </w:tr>
      <w:tr w:rsidR="00DA7A2E" w14:paraId="71E5B9DD" w14:textId="77777777">
        <w:tc>
          <w:tcPr>
            <w:tcW w:w="3240" w:type="dxa"/>
          </w:tcPr>
          <w:p w14:paraId="33C8B921" w14:textId="77777777" w:rsidR="00DA7A2E" w:rsidRDefault="00DA7A2E" w:rsidP="00566A3F">
            <w:pPr>
              <w:pStyle w:val="TableTextNumbers"/>
            </w:pPr>
            <w:r>
              <w:lastRenderedPageBreak/>
              <w:t xml:space="preserve">Select another component order to continue selecting units, or exit. </w:t>
            </w:r>
          </w:p>
        </w:tc>
        <w:tc>
          <w:tcPr>
            <w:tcW w:w="6120" w:type="dxa"/>
          </w:tcPr>
          <w:p w14:paraId="3672EC73" w14:textId="77777777" w:rsidR="00DA7A2E" w:rsidRDefault="00DA7A2E" w:rsidP="00566A3F">
            <w:pPr>
              <w:pStyle w:val="TableTextBullet"/>
            </w:pPr>
            <w:r>
              <w:t>Displays orders for the next patient.</w:t>
            </w:r>
          </w:p>
        </w:tc>
      </w:tr>
      <w:tr w:rsidR="002A21AE" w14:paraId="4921E4C0" w14:textId="77777777">
        <w:tc>
          <w:tcPr>
            <w:tcW w:w="3240" w:type="dxa"/>
          </w:tcPr>
          <w:p w14:paraId="15183512" w14:textId="77777777" w:rsidR="002A21AE" w:rsidRDefault="002A21AE">
            <w:pPr>
              <w:pStyle w:val="TableTextNumbers"/>
            </w:pPr>
            <w:r>
              <w:t>Select a unit to begin entering serologic reactions.</w:t>
            </w:r>
          </w:p>
          <w:p w14:paraId="5CB8A8A9" w14:textId="77777777" w:rsidR="002A21AE" w:rsidRDefault="002A21AE">
            <w:pPr>
              <w:pStyle w:val="TableTextNumbersContinued"/>
            </w:pPr>
          </w:p>
          <w:p w14:paraId="332B5348" w14:textId="77777777" w:rsidR="002A21AE" w:rsidRDefault="002A21AE">
            <w:pPr>
              <w:pStyle w:val="TableTextNumbersContinued"/>
              <w:rPr>
                <w:b/>
                <w:bCs/>
              </w:rPr>
            </w:pPr>
            <w:r>
              <w:rPr>
                <w:rFonts w:cs="Arial"/>
                <w:vanish/>
              </w:rPr>
              <w:t xml:space="preserve">BR_2.31 </w:t>
            </w:r>
            <w:r>
              <w:t>Enter valid text, then press</w:t>
            </w:r>
            <w:r w:rsidR="00DF74D1">
              <w:t xml:space="preserve"> the</w:t>
            </w:r>
            <w:r>
              <w:t xml:space="preserve"> </w:t>
            </w:r>
            <w:r>
              <w:rPr>
                <w:b/>
              </w:rPr>
              <w:t>Enter</w:t>
            </w:r>
            <w:r w:rsidR="00DF74D1">
              <w:rPr>
                <w:b/>
              </w:rPr>
              <w:t xml:space="preserve"> key</w:t>
            </w:r>
            <w:r>
              <w:t xml:space="preserve"> to move to the next data grid comment cell.</w:t>
            </w:r>
          </w:p>
        </w:tc>
        <w:tc>
          <w:tcPr>
            <w:tcW w:w="6120" w:type="dxa"/>
          </w:tcPr>
          <w:p w14:paraId="2026BC9C" w14:textId="77777777" w:rsidR="002A21AE" w:rsidRDefault="002A21AE">
            <w:pPr>
              <w:pStyle w:val="TableTextBullet"/>
            </w:pPr>
            <w:r>
              <w:t>Allows only valid data entries in the grid reaction result and interpretation cells.</w:t>
            </w:r>
          </w:p>
          <w:p w14:paraId="091E8325" w14:textId="77777777" w:rsidR="002A21AE" w:rsidRDefault="002A21AE">
            <w:pPr>
              <w:pStyle w:val="TableTextBullet"/>
            </w:pPr>
            <w:r>
              <w:t>Restricts data entry to valid selections for testing results. All testing results and entered interpretations remain on the screen.</w:t>
            </w:r>
          </w:p>
          <w:p w14:paraId="7299C714" w14:textId="77777777" w:rsidR="007A4C70" w:rsidRDefault="007A4C70" w:rsidP="007A4C70">
            <w:pPr>
              <w:pStyle w:val="TableText"/>
            </w:pPr>
          </w:p>
          <w:p w14:paraId="107743A7" w14:textId="2D25352E" w:rsidR="007A4C70" w:rsidRDefault="007A4C70" w:rsidP="007A4C70">
            <w:pPr>
              <w:pStyle w:val="TableText"/>
              <w:rPr>
                <w:b/>
                <w:bCs/>
                <w:szCs w:val="18"/>
              </w:rPr>
            </w:pPr>
            <w:r>
              <w:rPr>
                <w:b/>
                <w:bCs/>
                <w:szCs w:val="18"/>
              </w:rPr>
              <w:t>NOTES</w:t>
            </w:r>
          </w:p>
          <w:p w14:paraId="4A6B1B09" w14:textId="77777777" w:rsidR="007A4C70" w:rsidRDefault="007A4C70" w:rsidP="007A4C70">
            <w:pPr>
              <w:pStyle w:val="NotesText"/>
            </w:pPr>
          </w:p>
          <w:p w14:paraId="09F8F90C" w14:textId="77777777" w:rsidR="002A21AE" w:rsidRDefault="002A21AE">
            <w:pPr>
              <w:pStyle w:val="NotesText"/>
            </w:pPr>
            <w:r>
              <w:rPr>
                <w:vanish/>
                <w:szCs w:val="18"/>
              </w:rPr>
              <w:t>BR_40.03</w:t>
            </w:r>
            <w:r w:rsidR="005D400B">
              <w:rPr>
                <w:vanish/>
                <w:szCs w:val="18"/>
              </w:rPr>
              <w:t>,</w:t>
            </w:r>
            <w:r>
              <w:rPr>
                <w:vanish/>
                <w:szCs w:val="18"/>
              </w:rPr>
              <w:t xml:space="preserve"> BR_40.12 </w:t>
            </w:r>
            <w:r>
              <w:t>During XM result data entry within a given row, the IS phase result must be entered first. Once the IS phase has been entered, data entry may progress and an observed result or NT entered in each phase before the XM interpretation is validated by VBECS.</w:t>
            </w:r>
          </w:p>
          <w:p w14:paraId="2F76ED7E" w14:textId="77777777" w:rsidR="002A21AE" w:rsidRDefault="002A21AE">
            <w:pPr>
              <w:pStyle w:val="NotesText"/>
            </w:pPr>
          </w:p>
          <w:p w14:paraId="0081D418" w14:textId="77777777" w:rsidR="002A21AE" w:rsidRDefault="002A21AE">
            <w:pPr>
              <w:pStyle w:val="NotesText"/>
            </w:pPr>
            <w:r>
              <w:t xml:space="preserve">XM interpretations must be consistent with observed test results based on system rules </w:t>
            </w:r>
            <w:r>
              <w:rPr>
                <w:vanish/>
                <w:szCs w:val="18"/>
              </w:rPr>
              <w:t xml:space="preserve">TT_40.01 Patient Crossmatch Testing </w:t>
            </w:r>
            <w:r>
              <w:t xml:space="preserve">for the testing method. Discrepancies must be resolved before VBECS can verify results and add them to the database. The user may </w:t>
            </w:r>
            <w:r w:rsidR="00EF69E2">
              <w:t>reenter</w:t>
            </w:r>
            <w:r>
              <w:t xml:space="preserve"> valid results or delete entries and start over.</w:t>
            </w:r>
          </w:p>
          <w:p w14:paraId="0FB23D9E" w14:textId="77777777" w:rsidR="002A21AE" w:rsidRDefault="002A21AE">
            <w:pPr>
              <w:pStyle w:val="NotesText"/>
              <w:ind w:left="0"/>
            </w:pPr>
          </w:p>
          <w:p w14:paraId="43F27FE9" w14:textId="7DB1E7FA" w:rsidR="002A21AE" w:rsidRDefault="002A21AE">
            <w:pPr>
              <w:pStyle w:val="NotesText"/>
            </w:pPr>
            <w:r>
              <w:rPr>
                <w:rFonts w:cs="Arial"/>
                <w:vanish/>
              </w:rPr>
              <w:t xml:space="preserve">BR_40.15 </w:t>
            </w:r>
            <w:r>
              <w:t>If the patient has a history of a clinically significant antibody or a persistent antigen negative requirement, VBECS warns that the patient is not eligible for IS</w:t>
            </w:r>
            <w:r w:rsidR="00982864">
              <w:t>-only</w:t>
            </w:r>
            <w:r>
              <w:t xml:space="preserve"> XM and instructs the user to perform the antiglobulin transaction XM on the patient. There is no override. The user must complete all phases of the XM test.</w:t>
            </w:r>
          </w:p>
        </w:tc>
      </w:tr>
      <w:tr w:rsidR="002A21AE" w14:paraId="4A7FF45B" w14:textId="77777777">
        <w:tc>
          <w:tcPr>
            <w:tcW w:w="3240" w:type="dxa"/>
          </w:tcPr>
          <w:p w14:paraId="3451667A" w14:textId="77777777" w:rsidR="002A21AE" w:rsidRDefault="002A21AE">
            <w:pPr>
              <w:pStyle w:val="TableTextNumbers"/>
            </w:pPr>
            <w:r>
              <w:t xml:space="preserve">Repeat Step 3 until the test grid for the selected patient is complete. </w:t>
            </w:r>
          </w:p>
          <w:p w14:paraId="31D53029" w14:textId="77777777" w:rsidR="002A21AE" w:rsidRDefault="002A21AE">
            <w:pPr>
              <w:pStyle w:val="TableTextNumbersContinued"/>
            </w:pPr>
          </w:p>
          <w:p w14:paraId="5AA56691" w14:textId="77777777" w:rsidR="002A21AE" w:rsidRDefault="002A21AE">
            <w:pPr>
              <w:pStyle w:val="TableTextNumbersContinued"/>
            </w:pPr>
            <w:r>
              <w:t>Enter the interpretation for the patient XM test, if desired.</w:t>
            </w:r>
          </w:p>
          <w:p w14:paraId="165CA211" w14:textId="77777777" w:rsidR="002A21AE" w:rsidRDefault="002A21AE">
            <w:pPr>
              <w:pStyle w:val="TableTextNumbersContinued"/>
            </w:pPr>
          </w:p>
          <w:p w14:paraId="7AC23466" w14:textId="77777777" w:rsidR="002A21AE" w:rsidRDefault="002A21AE">
            <w:pPr>
              <w:pStyle w:val="TableTextNumbersContinued"/>
              <w:rPr>
                <w:b/>
                <w:bCs/>
              </w:rPr>
            </w:pPr>
            <w:r>
              <w:t>Respond to warnings and enter comments, when indicated.</w:t>
            </w:r>
          </w:p>
        </w:tc>
        <w:tc>
          <w:tcPr>
            <w:tcW w:w="6120" w:type="dxa"/>
          </w:tcPr>
          <w:p w14:paraId="07611F2D" w14:textId="77777777" w:rsidR="002A21AE" w:rsidRDefault="002A21AE">
            <w:pPr>
              <w:pStyle w:val="TableTextBullet"/>
            </w:pPr>
            <w:r>
              <w:t>Verifies that all appropriate test results have been entered for the patient and the selected unit(s).</w:t>
            </w:r>
          </w:p>
          <w:p w14:paraId="33F5A70A" w14:textId="77777777" w:rsidR="002A21AE" w:rsidRDefault="002A21AE">
            <w:pPr>
              <w:pStyle w:val="TableTextBullet"/>
            </w:pPr>
            <w:r>
              <w:t xml:space="preserve">Displays various warnings based on rules. </w:t>
            </w:r>
          </w:p>
          <w:p w14:paraId="7215EC1E" w14:textId="77777777" w:rsidR="002A21AE" w:rsidRDefault="002A21AE">
            <w:pPr>
              <w:pStyle w:val="TableTextBullet"/>
            </w:pPr>
            <w:r>
              <w:t>Prompts the user to confirm that results were reviewed and are acceptable.</w:t>
            </w:r>
          </w:p>
          <w:p w14:paraId="4E1031A9" w14:textId="77777777" w:rsidR="002A21AE" w:rsidRDefault="002A21AE">
            <w:pPr>
              <w:pStyle w:val="TableText"/>
            </w:pPr>
          </w:p>
          <w:p w14:paraId="5E4DF67C" w14:textId="0775F357" w:rsidR="002A21AE" w:rsidRDefault="002A21AE">
            <w:pPr>
              <w:pStyle w:val="TableText"/>
              <w:rPr>
                <w:b/>
                <w:bCs/>
                <w:szCs w:val="18"/>
              </w:rPr>
            </w:pPr>
            <w:r>
              <w:rPr>
                <w:b/>
                <w:bCs/>
                <w:szCs w:val="18"/>
              </w:rPr>
              <w:t>NOTES</w:t>
            </w:r>
          </w:p>
          <w:p w14:paraId="6FF5E7EF" w14:textId="77777777" w:rsidR="002A21AE" w:rsidRDefault="002A21AE">
            <w:pPr>
              <w:pStyle w:val="NotesText"/>
            </w:pPr>
          </w:p>
          <w:p w14:paraId="47CFA373" w14:textId="77777777" w:rsidR="002A21AE" w:rsidRDefault="002A21AE">
            <w:pPr>
              <w:pStyle w:val="NotesText"/>
            </w:pPr>
            <w:r>
              <w:rPr>
                <w:rFonts w:cs="Arial"/>
                <w:vanish/>
                <w:szCs w:val="18"/>
              </w:rPr>
              <w:t>BR_40.18</w:t>
            </w:r>
            <w:r w:rsidR="005D400B">
              <w:rPr>
                <w:rFonts w:cs="Arial"/>
                <w:vanish/>
                <w:szCs w:val="18"/>
              </w:rPr>
              <w:t>,</w:t>
            </w:r>
            <w:r>
              <w:rPr>
                <w:rFonts w:cs="Arial"/>
                <w:vanish/>
                <w:szCs w:val="18"/>
              </w:rPr>
              <w:t xml:space="preserve"> </w:t>
            </w:r>
            <w:r>
              <w:rPr>
                <w:vanish/>
                <w:szCs w:val="18"/>
              </w:rPr>
              <w:t>BR_40.20</w:t>
            </w:r>
            <w:r w:rsidR="004F5F28" w:rsidRPr="00323744">
              <w:rPr>
                <w:rStyle w:val="BullhornChar"/>
              </w:rPr>
              <w:t></w:t>
            </w:r>
            <w:r w:rsidR="004F5F28">
              <w:rPr>
                <w:rFonts w:ascii="Webdings" w:hAnsi="Webdings"/>
              </w:rPr>
              <w:t></w:t>
            </w:r>
            <w:r w:rsidR="004F5F28" w:rsidRPr="00263B24">
              <w:t>Wh</w:t>
            </w:r>
            <w:r w:rsidR="004F5F28">
              <w:t>en</w:t>
            </w:r>
            <w:r>
              <w:t xml:space="preserve"> VBECS emits an audible alert and requires a comment, it captures details for inclusion in an Exception Report (exception type: </w:t>
            </w:r>
            <w:r w:rsidR="00427BD6">
              <w:t>inconclusive crossmatch</w:t>
            </w:r>
            <w:r>
              <w:t>).</w:t>
            </w:r>
          </w:p>
          <w:p w14:paraId="03BE54B6" w14:textId="77777777" w:rsidR="002A21AE" w:rsidRDefault="002A21AE">
            <w:pPr>
              <w:pStyle w:val="NotesText"/>
            </w:pPr>
          </w:p>
          <w:p w14:paraId="37C48D1B" w14:textId="404A5A39" w:rsidR="002A21AE" w:rsidRDefault="002A21AE">
            <w:pPr>
              <w:pStyle w:val="NotesText"/>
            </w:pPr>
            <w:r>
              <w:rPr>
                <w:rFonts w:cs="Arial"/>
                <w:vanish/>
              </w:rPr>
              <w:lastRenderedPageBreak/>
              <w:t xml:space="preserve">BR_40.05 </w:t>
            </w:r>
            <w:r>
              <w:t xml:space="preserve">A user may enter a “Compatible” XM interpretation only after entering an observed test result for the IS phase (other phases are NT) when the antibody screen on the current specimen is complete and negative </w:t>
            </w:r>
            <w:r>
              <w:rPr>
                <w:i/>
              </w:rPr>
              <w:t>and</w:t>
            </w:r>
            <w:r>
              <w:t xml:space="preserve"> when the patient has no calculated or persistent antigen negative requirement.</w:t>
            </w:r>
            <w:r w:rsidR="002F5EE5">
              <w:t xml:space="preserve"> (See </w:t>
            </w:r>
            <w:r w:rsidR="002F5EE5" w:rsidRPr="00423A7F">
              <w:rPr>
                <w:i/>
                <w:iCs/>
              </w:rPr>
              <w:t>FAQ Antibodies with No Antigen Negative Requirement</w:t>
            </w:r>
            <w:r w:rsidR="002F5EE5">
              <w:t>)</w:t>
            </w:r>
          </w:p>
          <w:p w14:paraId="0A660720" w14:textId="77777777" w:rsidR="002A21AE" w:rsidRDefault="002A21AE">
            <w:pPr>
              <w:pStyle w:val="NotesText"/>
            </w:pPr>
          </w:p>
          <w:p w14:paraId="072C0097" w14:textId="77777777" w:rsidR="002A21AE" w:rsidRDefault="002A21AE">
            <w:pPr>
              <w:pStyle w:val="NotesText"/>
            </w:pPr>
            <w:r>
              <w:rPr>
                <w:rFonts w:cs="Arial"/>
                <w:vanish/>
              </w:rPr>
              <w:t xml:space="preserve">BR_40.09 </w:t>
            </w:r>
            <w:r>
              <w:t>When observed test result patterns are invalid, VBECS warns that test results are invalid and that the user must repeat tests. VBECS stores these results as documentation and clears the grid for the user to begin again.</w:t>
            </w:r>
            <w:r>
              <w:tab/>
            </w:r>
          </w:p>
          <w:p w14:paraId="3E1F498B" w14:textId="77777777" w:rsidR="002A21AE" w:rsidRDefault="002A21AE">
            <w:pPr>
              <w:pStyle w:val="NotesText"/>
            </w:pPr>
          </w:p>
          <w:p w14:paraId="5155252C" w14:textId="77777777" w:rsidR="002A21AE" w:rsidRDefault="004F5F28">
            <w:pPr>
              <w:pStyle w:val="NotesText"/>
            </w:pPr>
            <w:r w:rsidRPr="00323744">
              <w:rPr>
                <w:rStyle w:val="BullhornChar"/>
              </w:rPr>
              <w:t></w:t>
            </w:r>
            <w:r>
              <w:rPr>
                <w:rFonts w:ascii="Webdings" w:hAnsi="Webdings"/>
              </w:rPr>
              <w:t></w:t>
            </w:r>
            <w:r w:rsidR="002A21AE">
              <w:t>VBECS emits an audible alert and requires a comment documenting medical director approval, according to site policy. VBECS captures details for inclusion in an Exception Report (exception type: Crossmatch Incompatible: Give Only with Medical Director Approval).</w:t>
            </w:r>
          </w:p>
        </w:tc>
      </w:tr>
      <w:tr w:rsidR="002A21AE" w14:paraId="01E43E4F" w14:textId="77777777">
        <w:tc>
          <w:tcPr>
            <w:tcW w:w="3240" w:type="dxa"/>
          </w:tcPr>
          <w:p w14:paraId="29CE2C10" w14:textId="77777777" w:rsidR="002A21AE" w:rsidRDefault="002A21AE">
            <w:pPr>
              <w:pStyle w:val="TableTextNumbers"/>
            </w:pPr>
            <w:r>
              <w:lastRenderedPageBreak/>
              <w:t>Enter test results in preparation for saving.</w:t>
            </w:r>
          </w:p>
        </w:tc>
        <w:tc>
          <w:tcPr>
            <w:tcW w:w="6120" w:type="dxa"/>
          </w:tcPr>
          <w:p w14:paraId="657D35F4" w14:textId="77777777" w:rsidR="002A21AE" w:rsidRDefault="002A21AE">
            <w:pPr>
              <w:pStyle w:val="TableTextBullet"/>
            </w:pPr>
            <w:r>
              <w:t>Saves data.</w:t>
            </w:r>
          </w:p>
          <w:p w14:paraId="0F8BD12C" w14:textId="77777777" w:rsidR="002A21AE" w:rsidRDefault="002A21AE">
            <w:pPr>
              <w:pStyle w:val="TableTextBullet"/>
            </w:pPr>
            <w:r>
              <w:t>Prompts the user to generate a BTRF and a Caution Tag during Patient Testing: Record Patient Test Results when the crossmatched unit is acceptable for issue.</w:t>
            </w:r>
          </w:p>
        </w:tc>
      </w:tr>
      <w:tr w:rsidR="002A21AE" w14:paraId="3E410CB9" w14:textId="77777777">
        <w:tc>
          <w:tcPr>
            <w:tcW w:w="3240" w:type="dxa"/>
            <w:tcBorders>
              <w:top w:val="single" w:sz="4" w:space="0" w:color="auto"/>
              <w:left w:val="single" w:sz="4" w:space="0" w:color="auto"/>
              <w:bottom w:val="single" w:sz="4" w:space="0" w:color="auto"/>
              <w:right w:val="single" w:sz="4" w:space="0" w:color="auto"/>
            </w:tcBorders>
          </w:tcPr>
          <w:p w14:paraId="2C370E74" w14:textId="77777777" w:rsidR="002A21AE" w:rsidRDefault="002A21AE">
            <w:pPr>
              <w:pStyle w:val="TableTextNumbers"/>
            </w:pPr>
            <w:r>
              <w:t xml:space="preserve">Click </w:t>
            </w:r>
            <w:r>
              <w:rPr>
                <w:b/>
              </w:rPr>
              <w:t>OK</w:t>
            </w:r>
            <w:r>
              <w:t xml:space="preserve"> to exit.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73242FF" w14:textId="77777777" w:rsidR="002A21AE" w:rsidRDefault="002A21AE" w:rsidP="00E44B03">
            <w:pPr>
              <w:pStyle w:val="TableText"/>
            </w:pPr>
          </w:p>
        </w:tc>
      </w:tr>
    </w:tbl>
    <w:p w14:paraId="6091F81C" w14:textId="77777777" w:rsidR="002A21AE" w:rsidRDefault="002A21AE">
      <w:pPr>
        <w:pStyle w:val="Heading4"/>
      </w:pPr>
      <w:r>
        <w:t>Crossmatch Interpretations</w:t>
      </w:r>
      <w:r>
        <w:fldChar w:fldCharType="begin"/>
      </w:r>
      <w:r>
        <w:instrText xml:space="preserve"> XE </w:instrText>
      </w:r>
      <w:r w:rsidR="00FA7E65">
        <w:instrText>“</w:instrText>
      </w:r>
      <w:r>
        <w:instrText>Crossmatch Interpretations</w:instrText>
      </w:r>
      <w:r w:rsidR="00FA7E65">
        <w:instrText>”</w:instrText>
      </w:r>
      <w:r>
        <w:instrText xml:space="preserve"> </w:instrText>
      </w:r>
      <w:r>
        <w:fldChar w:fldCharType="end"/>
      </w:r>
    </w:p>
    <w:p w14:paraId="5AE84162" w14:textId="77777777" w:rsidR="002A21AE" w:rsidRDefault="002A21AE" w:rsidP="00FA7E65">
      <w:pPr>
        <w:pStyle w:val="BodyText"/>
      </w:pPr>
      <w:r>
        <w:t>In all cases, VBECS saves the crossmatch information to the database.</w:t>
      </w:r>
    </w:p>
    <w:p w14:paraId="1B212612" w14:textId="4F267378" w:rsidR="002A21AE" w:rsidRDefault="002A21AE">
      <w:pPr>
        <w:pStyle w:val="Caption"/>
      </w:pPr>
      <w:bookmarkStart w:id="473" w:name="_Ref126504413"/>
      <w:bookmarkStart w:id="474" w:name="_Toc97523625"/>
      <w:bookmarkStart w:id="475" w:name="_Toc97527595"/>
      <w:bookmarkStart w:id="476" w:name="_Ref44694590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11</w:t>
      </w:r>
      <w:r w:rsidR="004E20BD">
        <w:rPr>
          <w:noProof/>
        </w:rPr>
        <w:fldChar w:fldCharType="end"/>
      </w:r>
      <w:bookmarkEnd w:id="473"/>
      <w:r>
        <w:t xml:space="preserve">: </w:t>
      </w:r>
      <w:r>
        <w:rPr>
          <w:rFonts w:ascii="Arial" w:hAnsi="Arial" w:cs="Arial"/>
          <w:b w:val="0"/>
          <w:vanish/>
          <w:sz w:val="18"/>
        </w:rPr>
        <w:t xml:space="preserve">BR_40.14 </w:t>
      </w:r>
      <w:r>
        <w:t>Crossmatch Interpretations for Print Unit Caution Tag &amp; Transfusion Record Form</w:t>
      </w:r>
      <w:bookmarkEnd w:id="474"/>
      <w:bookmarkEnd w:id="475"/>
      <w:bookmarkEnd w:id="476"/>
      <w:r>
        <w:fldChar w:fldCharType="begin"/>
      </w:r>
      <w:r>
        <w:instrText xml:space="preserve"> XE </w:instrText>
      </w:r>
      <w:r w:rsidR="00FA7E65">
        <w:instrText>“</w:instrText>
      </w:r>
      <w:r>
        <w:instrText>Tables:Crossmatch Interpretations for Print Unit Caution Tag &amp; Transfusion Record Form</w:instrText>
      </w:r>
      <w:r w:rsidR="00FA7E65">
        <w:instrText>”</w:instrText>
      </w:r>
      <w:r>
        <w:instrText xml:space="preserve"> </w:instrText>
      </w:r>
      <w:r>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217"/>
        <w:gridCol w:w="1738"/>
        <w:gridCol w:w="1587"/>
        <w:gridCol w:w="1483"/>
        <w:gridCol w:w="1785"/>
      </w:tblGrid>
      <w:tr w:rsidR="002A21AE" w14:paraId="28B6D310" w14:textId="77777777">
        <w:trPr>
          <w:tblHeader/>
        </w:trPr>
        <w:tc>
          <w:tcPr>
            <w:tcW w:w="0" w:type="auto"/>
            <w:shd w:val="clear" w:color="auto" w:fill="B3B3B3"/>
            <w:vAlign w:val="bottom"/>
          </w:tcPr>
          <w:p w14:paraId="61BE2F5E" w14:textId="77777777" w:rsidR="002A21AE" w:rsidRDefault="002A21AE">
            <w:pPr>
              <w:pStyle w:val="TableText"/>
              <w:rPr>
                <w:b/>
              </w:rPr>
            </w:pPr>
            <w:r>
              <w:rPr>
                <w:b/>
              </w:rPr>
              <w:t>User Entry</w:t>
            </w:r>
          </w:p>
        </w:tc>
        <w:tc>
          <w:tcPr>
            <w:tcW w:w="0" w:type="auto"/>
            <w:shd w:val="clear" w:color="auto" w:fill="B3B3B3"/>
            <w:vAlign w:val="bottom"/>
          </w:tcPr>
          <w:p w14:paraId="582C1724" w14:textId="77777777" w:rsidR="002A21AE" w:rsidRDefault="002A21AE">
            <w:pPr>
              <w:pStyle w:val="TableText"/>
              <w:rPr>
                <w:b/>
              </w:rPr>
            </w:pPr>
            <w:r>
              <w:rPr>
                <w:b/>
              </w:rPr>
              <w:t>Crossmatch Interpretation</w:t>
            </w:r>
          </w:p>
        </w:tc>
        <w:tc>
          <w:tcPr>
            <w:tcW w:w="0" w:type="auto"/>
            <w:shd w:val="clear" w:color="auto" w:fill="B3B3B3"/>
            <w:vAlign w:val="bottom"/>
          </w:tcPr>
          <w:p w14:paraId="2E80B2CB" w14:textId="77777777" w:rsidR="002A21AE" w:rsidRDefault="002A21AE">
            <w:pPr>
              <w:pStyle w:val="TableText"/>
              <w:rPr>
                <w:b/>
              </w:rPr>
            </w:pPr>
            <w:r>
              <w:rPr>
                <w:b/>
              </w:rPr>
              <w:t>VBECS Updates the Unit Status to:</w:t>
            </w:r>
          </w:p>
        </w:tc>
        <w:tc>
          <w:tcPr>
            <w:tcW w:w="0" w:type="auto"/>
            <w:shd w:val="clear" w:color="auto" w:fill="B3B3B3"/>
            <w:vAlign w:val="bottom"/>
          </w:tcPr>
          <w:p w14:paraId="1A57F31C" w14:textId="77777777" w:rsidR="002A21AE" w:rsidRDefault="002A21AE">
            <w:pPr>
              <w:pStyle w:val="TableText"/>
              <w:rPr>
                <w:b/>
              </w:rPr>
            </w:pPr>
            <w:r>
              <w:rPr>
                <w:b/>
              </w:rPr>
              <w:t>Is Information Available to CPRS?</w:t>
            </w:r>
          </w:p>
        </w:tc>
        <w:tc>
          <w:tcPr>
            <w:tcW w:w="0" w:type="auto"/>
            <w:shd w:val="clear" w:color="auto" w:fill="B3B3B3"/>
            <w:vAlign w:val="bottom"/>
          </w:tcPr>
          <w:p w14:paraId="3B163916" w14:textId="77777777" w:rsidR="002A21AE" w:rsidRDefault="002A21AE">
            <w:pPr>
              <w:pStyle w:val="TableText"/>
              <w:rPr>
                <w:b/>
              </w:rPr>
            </w:pPr>
            <w:r>
              <w:rPr>
                <w:b/>
              </w:rPr>
              <w:t>May User Print the BTRF and Caution Tag?</w:t>
            </w:r>
          </w:p>
        </w:tc>
        <w:tc>
          <w:tcPr>
            <w:tcW w:w="0" w:type="auto"/>
            <w:tcBorders>
              <w:bottom w:val="single" w:sz="4" w:space="0" w:color="auto"/>
            </w:tcBorders>
            <w:shd w:val="clear" w:color="auto" w:fill="B3B3B3"/>
            <w:vAlign w:val="bottom"/>
          </w:tcPr>
          <w:p w14:paraId="5E98D882" w14:textId="77777777" w:rsidR="002A21AE" w:rsidRDefault="002A21AE">
            <w:pPr>
              <w:pStyle w:val="TableText"/>
              <w:rPr>
                <w:b/>
              </w:rPr>
            </w:pPr>
            <w:r>
              <w:rPr>
                <w:b/>
              </w:rPr>
              <w:t>Other</w:t>
            </w:r>
          </w:p>
        </w:tc>
      </w:tr>
      <w:tr w:rsidR="002A21AE" w14:paraId="509D48A6" w14:textId="77777777">
        <w:tc>
          <w:tcPr>
            <w:tcW w:w="0" w:type="auto"/>
            <w:vAlign w:val="bottom"/>
          </w:tcPr>
          <w:p w14:paraId="08CBCC81" w14:textId="77777777" w:rsidR="002A21AE" w:rsidRDefault="002A21AE">
            <w:pPr>
              <w:pStyle w:val="TableText"/>
            </w:pPr>
            <w:r>
              <w:t>C</w:t>
            </w:r>
          </w:p>
        </w:tc>
        <w:tc>
          <w:tcPr>
            <w:tcW w:w="0" w:type="auto"/>
            <w:vAlign w:val="bottom"/>
          </w:tcPr>
          <w:p w14:paraId="0D71337A" w14:textId="77777777" w:rsidR="002A21AE" w:rsidRDefault="002A21AE">
            <w:pPr>
              <w:pStyle w:val="TableText"/>
            </w:pPr>
            <w:r>
              <w:t>Crossmatch Compatible</w:t>
            </w:r>
          </w:p>
        </w:tc>
        <w:tc>
          <w:tcPr>
            <w:tcW w:w="0" w:type="auto"/>
            <w:vAlign w:val="bottom"/>
          </w:tcPr>
          <w:p w14:paraId="4AD09527" w14:textId="77777777" w:rsidR="002A21AE" w:rsidRDefault="002A21AE">
            <w:pPr>
              <w:pStyle w:val="TableText"/>
            </w:pPr>
            <w:r>
              <w:t>Crossmatched</w:t>
            </w:r>
          </w:p>
        </w:tc>
        <w:tc>
          <w:tcPr>
            <w:tcW w:w="0" w:type="auto"/>
            <w:vAlign w:val="bottom"/>
          </w:tcPr>
          <w:p w14:paraId="3EF6DE19" w14:textId="77777777" w:rsidR="002A21AE" w:rsidRDefault="002A21AE">
            <w:pPr>
              <w:pStyle w:val="TableText"/>
            </w:pPr>
            <w:r>
              <w:t>Yes (unit is available)</w:t>
            </w:r>
          </w:p>
        </w:tc>
        <w:tc>
          <w:tcPr>
            <w:tcW w:w="0" w:type="auto"/>
            <w:vAlign w:val="bottom"/>
          </w:tcPr>
          <w:p w14:paraId="1FB33243" w14:textId="77777777" w:rsidR="002A21AE" w:rsidRDefault="002A21AE">
            <w:pPr>
              <w:pStyle w:val="TableText"/>
            </w:pPr>
            <w:r>
              <w:t>Yes</w:t>
            </w:r>
          </w:p>
        </w:tc>
        <w:tc>
          <w:tcPr>
            <w:tcW w:w="0" w:type="auto"/>
            <w:shd w:val="clear" w:color="auto" w:fill="B3B3B3"/>
            <w:vAlign w:val="bottom"/>
          </w:tcPr>
          <w:p w14:paraId="389BEB43" w14:textId="77777777" w:rsidR="002A21AE" w:rsidRDefault="002A21AE">
            <w:pPr>
              <w:pStyle w:val="TableText"/>
            </w:pPr>
          </w:p>
        </w:tc>
      </w:tr>
      <w:tr w:rsidR="002A21AE" w14:paraId="5B0A31B7" w14:textId="77777777">
        <w:tc>
          <w:tcPr>
            <w:tcW w:w="0" w:type="auto"/>
            <w:vAlign w:val="bottom"/>
          </w:tcPr>
          <w:p w14:paraId="3CF8E3F1" w14:textId="77777777" w:rsidR="002A21AE" w:rsidRDefault="002A21AE">
            <w:pPr>
              <w:pStyle w:val="TableText"/>
            </w:pPr>
            <w:r>
              <w:t>D</w:t>
            </w:r>
          </w:p>
        </w:tc>
        <w:tc>
          <w:tcPr>
            <w:tcW w:w="0" w:type="auto"/>
            <w:vAlign w:val="bottom"/>
          </w:tcPr>
          <w:p w14:paraId="334D7403" w14:textId="77777777" w:rsidR="002A21AE" w:rsidRDefault="002A21AE">
            <w:pPr>
              <w:pStyle w:val="TableText"/>
            </w:pPr>
            <w:r>
              <w:t>Crossmatch Compatible: Don’t Transfuse</w:t>
            </w:r>
          </w:p>
        </w:tc>
        <w:tc>
          <w:tcPr>
            <w:tcW w:w="0" w:type="auto"/>
            <w:vAlign w:val="bottom"/>
          </w:tcPr>
          <w:p w14:paraId="3D685A4D" w14:textId="77777777" w:rsidR="002A21AE" w:rsidRDefault="002A21AE">
            <w:pPr>
              <w:pStyle w:val="TableText"/>
            </w:pPr>
            <w:r>
              <w:t>Available</w:t>
            </w:r>
          </w:p>
        </w:tc>
        <w:tc>
          <w:tcPr>
            <w:tcW w:w="0" w:type="auto"/>
            <w:vAlign w:val="bottom"/>
          </w:tcPr>
          <w:p w14:paraId="675D1330" w14:textId="77777777" w:rsidR="002A21AE" w:rsidRDefault="002A21AE">
            <w:pPr>
              <w:pStyle w:val="TableText"/>
            </w:pPr>
            <w:r>
              <w:t>No</w:t>
            </w:r>
          </w:p>
        </w:tc>
        <w:tc>
          <w:tcPr>
            <w:tcW w:w="0" w:type="auto"/>
            <w:vAlign w:val="bottom"/>
          </w:tcPr>
          <w:p w14:paraId="78B602C2" w14:textId="77777777" w:rsidR="002A21AE" w:rsidRDefault="002A21AE">
            <w:pPr>
              <w:pStyle w:val="TableText"/>
            </w:pPr>
            <w:r>
              <w:t>No</w:t>
            </w:r>
          </w:p>
        </w:tc>
        <w:tc>
          <w:tcPr>
            <w:tcW w:w="0" w:type="auto"/>
            <w:shd w:val="clear" w:color="auto" w:fill="B3B3B3"/>
            <w:vAlign w:val="bottom"/>
          </w:tcPr>
          <w:p w14:paraId="7994C303" w14:textId="77777777" w:rsidR="002A21AE" w:rsidRDefault="002A21AE">
            <w:pPr>
              <w:pStyle w:val="TableText"/>
            </w:pPr>
          </w:p>
        </w:tc>
      </w:tr>
      <w:tr w:rsidR="002A21AE" w14:paraId="76349BEF" w14:textId="77777777">
        <w:tc>
          <w:tcPr>
            <w:tcW w:w="0" w:type="auto"/>
            <w:vAlign w:val="bottom"/>
          </w:tcPr>
          <w:p w14:paraId="31221B6A" w14:textId="77777777" w:rsidR="002A21AE" w:rsidRDefault="002A21AE">
            <w:pPr>
              <w:pStyle w:val="TableText"/>
            </w:pPr>
            <w:r>
              <w:t>G</w:t>
            </w:r>
          </w:p>
        </w:tc>
        <w:tc>
          <w:tcPr>
            <w:tcW w:w="0" w:type="auto"/>
            <w:vAlign w:val="bottom"/>
          </w:tcPr>
          <w:p w14:paraId="0482747F" w14:textId="77777777" w:rsidR="002A21AE" w:rsidRDefault="002A21AE">
            <w:pPr>
              <w:pStyle w:val="TableText"/>
            </w:pPr>
            <w:r>
              <w:t>Crossmatch Incompatible: Give Only with Medical Director Approval</w:t>
            </w:r>
          </w:p>
        </w:tc>
        <w:tc>
          <w:tcPr>
            <w:tcW w:w="0" w:type="auto"/>
            <w:vAlign w:val="bottom"/>
          </w:tcPr>
          <w:p w14:paraId="1BBBEE73" w14:textId="77777777" w:rsidR="002A21AE" w:rsidRDefault="008723D3">
            <w:pPr>
              <w:pStyle w:val="TableText"/>
            </w:pPr>
            <w:r>
              <w:t>Crossmatched</w:t>
            </w:r>
          </w:p>
        </w:tc>
        <w:tc>
          <w:tcPr>
            <w:tcW w:w="0" w:type="auto"/>
            <w:vAlign w:val="bottom"/>
          </w:tcPr>
          <w:p w14:paraId="13B7821A" w14:textId="77777777" w:rsidR="002A21AE" w:rsidRDefault="002A21AE">
            <w:pPr>
              <w:pStyle w:val="TableText"/>
            </w:pPr>
            <w:r>
              <w:t>Yes (unit is available)</w:t>
            </w:r>
          </w:p>
        </w:tc>
        <w:tc>
          <w:tcPr>
            <w:tcW w:w="0" w:type="auto"/>
            <w:vAlign w:val="bottom"/>
          </w:tcPr>
          <w:p w14:paraId="0206EE80" w14:textId="77777777" w:rsidR="002A21AE" w:rsidRDefault="002A21AE">
            <w:pPr>
              <w:pStyle w:val="TableText"/>
            </w:pPr>
            <w:r>
              <w:t xml:space="preserve">Yes </w:t>
            </w:r>
          </w:p>
        </w:tc>
        <w:tc>
          <w:tcPr>
            <w:tcW w:w="0" w:type="auto"/>
            <w:tcBorders>
              <w:bottom w:val="single" w:sz="4" w:space="0" w:color="auto"/>
            </w:tcBorders>
            <w:vAlign w:val="bottom"/>
          </w:tcPr>
          <w:p w14:paraId="5EF849D0" w14:textId="77777777" w:rsidR="002A21AE" w:rsidRDefault="00EC7489" w:rsidP="00323744">
            <w:pPr>
              <w:pStyle w:val="Bullhorn"/>
            </w:pPr>
            <w:r>
              <w:t></w:t>
            </w:r>
          </w:p>
        </w:tc>
      </w:tr>
      <w:tr w:rsidR="002A21AE" w14:paraId="7412132F" w14:textId="77777777" w:rsidTr="00E90E3C">
        <w:tc>
          <w:tcPr>
            <w:tcW w:w="0" w:type="auto"/>
            <w:vAlign w:val="bottom"/>
          </w:tcPr>
          <w:p w14:paraId="5B4F1BD4" w14:textId="77777777" w:rsidR="002A21AE" w:rsidRDefault="00A138D2" w:rsidP="00A138D2">
            <w:pPr>
              <w:pStyle w:val="TableText"/>
            </w:pPr>
            <w:r>
              <w:t xml:space="preserve"> </w:t>
            </w:r>
            <w:r w:rsidR="002A21AE">
              <w:t>I</w:t>
            </w:r>
          </w:p>
        </w:tc>
        <w:tc>
          <w:tcPr>
            <w:tcW w:w="0" w:type="auto"/>
            <w:vAlign w:val="bottom"/>
          </w:tcPr>
          <w:p w14:paraId="04EB8589" w14:textId="77777777" w:rsidR="002A21AE" w:rsidRDefault="002A21AE">
            <w:pPr>
              <w:pStyle w:val="TableText"/>
            </w:pPr>
            <w:r>
              <w:t>Crossmatch Incompatible</w:t>
            </w:r>
          </w:p>
        </w:tc>
        <w:tc>
          <w:tcPr>
            <w:tcW w:w="0" w:type="auto"/>
            <w:vAlign w:val="bottom"/>
          </w:tcPr>
          <w:p w14:paraId="5A6E935D" w14:textId="77777777" w:rsidR="002A21AE" w:rsidRDefault="002A21AE">
            <w:pPr>
              <w:pStyle w:val="TableText"/>
            </w:pPr>
            <w:r>
              <w:t>Available</w:t>
            </w:r>
          </w:p>
        </w:tc>
        <w:tc>
          <w:tcPr>
            <w:tcW w:w="0" w:type="auto"/>
            <w:vAlign w:val="bottom"/>
          </w:tcPr>
          <w:p w14:paraId="5F183245" w14:textId="77777777" w:rsidR="002A21AE" w:rsidRDefault="002A21AE">
            <w:pPr>
              <w:pStyle w:val="TableText"/>
            </w:pPr>
            <w:r>
              <w:t>No</w:t>
            </w:r>
          </w:p>
        </w:tc>
        <w:tc>
          <w:tcPr>
            <w:tcW w:w="0" w:type="auto"/>
            <w:vAlign w:val="bottom"/>
          </w:tcPr>
          <w:p w14:paraId="3E4D78F4" w14:textId="77777777" w:rsidR="002A21AE" w:rsidRDefault="002A21AE">
            <w:pPr>
              <w:pStyle w:val="TableText"/>
            </w:pPr>
            <w:r>
              <w:t>No</w:t>
            </w:r>
          </w:p>
        </w:tc>
        <w:tc>
          <w:tcPr>
            <w:tcW w:w="0" w:type="auto"/>
            <w:tcBorders>
              <w:bottom w:val="single" w:sz="4" w:space="0" w:color="auto"/>
            </w:tcBorders>
            <w:shd w:val="clear" w:color="auto" w:fill="B3B3B3"/>
            <w:vAlign w:val="bottom"/>
          </w:tcPr>
          <w:p w14:paraId="3D25F418" w14:textId="77777777" w:rsidR="002A21AE" w:rsidRDefault="002A21AE">
            <w:pPr>
              <w:pStyle w:val="TableText"/>
            </w:pPr>
          </w:p>
        </w:tc>
      </w:tr>
      <w:tr w:rsidR="002A21AE" w14:paraId="402ABCD1" w14:textId="77777777" w:rsidTr="00CC01AC">
        <w:tc>
          <w:tcPr>
            <w:tcW w:w="0" w:type="auto"/>
            <w:vAlign w:val="bottom"/>
          </w:tcPr>
          <w:p w14:paraId="7476E370" w14:textId="77777777" w:rsidR="002A21AE" w:rsidRDefault="00E4540D">
            <w:pPr>
              <w:pStyle w:val="TableText"/>
            </w:pPr>
            <w:r>
              <w:t>Z</w:t>
            </w:r>
          </w:p>
        </w:tc>
        <w:tc>
          <w:tcPr>
            <w:tcW w:w="0" w:type="auto"/>
            <w:vAlign w:val="bottom"/>
          </w:tcPr>
          <w:p w14:paraId="10003926" w14:textId="77777777" w:rsidR="002A21AE" w:rsidRDefault="002A21AE">
            <w:pPr>
              <w:pStyle w:val="TableText"/>
            </w:pPr>
            <w:r>
              <w:t>Inconclusive</w:t>
            </w:r>
          </w:p>
        </w:tc>
        <w:tc>
          <w:tcPr>
            <w:tcW w:w="0" w:type="auto"/>
            <w:vAlign w:val="bottom"/>
          </w:tcPr>
          <w:p w14:paraId="739D2B36" w14:textId="77777777" w:rsidR="002A21AE" w:rsidRDefault="002A21AE">
            <w:pPr>
              <w:pStyle w:val="TableText"/>
            </w:pPr>
            <w:r>
              <w:t>Available</w:t>
            </w:r>
          </w:p>
        </w:tc>
        <w:tc>
          <w:tcPr>
            <w:tcW w:w="0" w:type="auto"/>
            <w:vAlign w:val="bottom"/>
          </w:tcPr>
          <w:p w14:paraId="6F8FB099" w14:textId="77777777" w:rsidR="002A21AE" w:rsidRDefault="002A21AE">
            <w:pPr>
              <w:pStyle w:val="TableText"/>
            </w:pPr>
            <w:r>
              <w:t>No</w:t>
            </w:r>
          </w:p>
        </w:tc>
        <w:tc>
          <w:tcPr>
            <w:tcW w:w="0" w:type="auto"/>
            <w:vAlign w:val="bottom"/>
          </w:tcPr>
          <w:p w14:paraId="7676D2B1" w14:textId="77777777" w:rsidR="002A21AE" w:rsidRDefault="002A21AE">
            <w:pPr>
              <w:pStyle w:val="TableText"/>
            </w:pPr>
            <w:r>
              <w:t>No</w:t>
            </w:r>
          </w:p>
        </w:tc>
        <w:tc>
          <w:tcPr>
            <w:tcW w:w="0" w:type="auto"/>
            <w:shd w:val="clear" w:color="auto" w:fill="FFFFFF"/>
            <w:vAlign w:val="bottom"/>
          </w:tcPr>
          <w:p w14:paraId="477DCCE8" w14:textId="77777777" w:rsidR="002A21AE" w:rsidRDefault="00E90E3C">
            <w:pPr>
              <w:pStyle w:val="TableText"/>
            </w:pPr>
            <w:r w:rsidRPr="00E90E3C">
              <w:t>Applies to the manual serologic crossmatch test only</w:t>
            </w:r>
          </w:p>
        </w:tc>
      </w:tr>
    </w:tbl>
    <w:p w14:paraId="3CD17647" w14:textId="77777777" w:rsidR="002A21AE" w:rsidRDefault="002A21AE">
      <w:pPr>
        <w:pStyle w:val="Heading3"/>
      </w:pPr>
      <w:r>
        <w:br w:type="page"/>
      </w:r>
      <w:bookmarkStart w:id="477" w:name="_Toc163644953"/>
      <w:r>
        <w:lastRenderedPageBreak/>
        <w:t>Patient Testing: Record a Patient Antigen Typing</w:t>
      </w:r>
      <w:bookmarkEnd w:id="477"/>
      <w:r>
        <w:fldChar w:fldCharType="begin"/>
      </w:r>
      <w:r>
        <w:instrText xml:space="preserve"> XE </w:instrText>
      </w:r>
      <w:r w:rsidR="00FA7E65">
        <w:instrText>“</w:instrText>
      </w:r>
      <w:r>
        <w:instrText>Patient Testing\: Record a Patient Antigen Typing</w:instrText>
      </w:r>
      <w:r w:rsidR="00FA7E65">
        <w:instrText>”</w:instrText>
      </w:r>
      <w:r>
        <w:instrText xml:space="preserve"> </w:instrText>
      </w:r>
      <w:r>
        <w:fldChar w:fldCharType="end"/>
      </w:r>
      <w:r>
        <w:t xml:space="preserve"> </w:t>
      </w:r>
      <w:r>
        <w:rPr>
          <w:rFonts w:ascii="Times New Roman" w:hAnsi="Times New Roman" w:cs="Times New Roman"/>
          <w:b w:val="0"/>
          <w:vanish/>
          <w:sz w:val="22"/>
        </w:rPr>
        <w:t>UC_98</w:t>
      </w:r>
    </w:p>
    <w:p w14:paraId="4AB35D81" w14:textId="687DBFC0" w:rsidR="002A21AE" w:rsidRDefault="002A21AE" w:rsidP="00FA7E65">
      <w:pPr>
        <w:pStyle w:val="BodyText"/>
      </w:pPr>
      <w:bookmarkStart w:id="478" w:name="_Toc79560671"/>
      <w:bookmarkStart w:id="479" w:name="_Toc75225904"/>
      <w:r>
        <w:t>The user records observed results when performing a patient antigen typing test other than the ABO/Rh test.</w:t>
      </w:r>
    </w:p>
    <w:p w14:paraId="5E17044A" w14:textId="77777777" w:rsidR="002A21AE" w:rsidRDefault="002A21AE">
      <w:pPr>
        <w:pStyle w:val="Heading4"/>
      </w:pPr>
      <w:r>
        <w:t>Assumptions</w:t>
      </w:r>
    </w:p>
    <w:p w14:paraId="340C7056" w14:textId="77777777" w:rsidR="002A21AE" w:rsidRDefault="002A21AE">
      <w:pPr>
        <w:pStyle w:val="ListBullet"/>
      </w:pPr>
      <w:r>
        <w:t>Patient antigen typing is ord</w:t>
      </w:r>
      <w:r w:rsidR="00047C2D">
        <w:t>ered through Order Reflex Tests</w:t>
      </w:r>
      <w:r>
        <w:t>.</w:t>
      </w:r>
    </w:p>
    <w:p w14:paraId="5C3E6AD5" w14:textId="77777777" w:rsidR="002A21AE" w:rsidRDefault="002A21AE">
      <w:pPr>
        <w:pStyle w:val="ListBullet"/>
      </w:pPr>
      <w:r>
        <w:t>The user accesses patient antigen typing grids through Patient Testing: Record Patient Test Results.</w:t>
      </w:r>
    </w:p>
    <w:p w14:paraId="6195542E" w14:textId="77777777" w:rsidR="002A21AE" w:rsidRDefault="002A21AE">
      <w:pPr>
        <w:pStyle w:val="ListBullet"/>
      </w:pPr>
      <w:r>
        <w:t xml:space="preserve">Reagent inventory was entered in </w:t>
      </w:r>
      <w:r w:rsidR="005F6016">
        <w:t>Maintain Minimum Levels</w:t>
      </w:r>
      <w:r>
        <w:t>.</w:t>
      </w:r>
    </w:p>
    <w:p w14:paraId="38CB4AA5" w14:textId="77777777" w:rsidR="002A21AE" w:rsidRDefault="002A21AE">
      <w:pPr>
        <w:pStyle w:val="Heading4"/>
      </w:pPr>
      <w:r>
        <w:t>Outcome</w:t>
      </w:r>
      <w:r>
        <w:rPr>
          <w:rFonts w:ascii="Times New Roman" w:hAnsi="Times New Roman"/>
          <w:i/>
          <w:color w:val="0000FF"/>
          <w:sz w:val="24"/>
        </w:rPr>
        <w:t xml:space="preserve"> </w:t>
      </w:r>
    </w:p>
    <w:p w14:paraId="69FB5EED" w14:textId="77777777" w:rsidR="002A21AE" w:rsidRDefault="002A21AE">
      <w:pPr>
        <w:pStyle w:val="ListBullet"/>
      </w:pPr>
      <w:r>
        <w:rPr>
          <w:rFonts w:ascii="Arial" w:hAnsi="Arial" w:cs="Arial"/>
          <w:vanish/>
          <w:spacing w:val="0"/>
          <w:sz w:val="18"/>
        </w:rPr>
        <w:t xml:space="preserve">BR_41.06 </w:t>
      </w:r>
      <w:r>
        <w:t xml:space="preserve">The testing record includes the patient’s antigen typing and the control cell information. </w:t>
      </w:r>
    </w:p>
    <w:p w14:paraId="6B7592C5" w14:textId="77777777" w:rsidR="002A21AE" w:rsidRDefault="002A21AE">
      <w:pPr>
        <w:pStyle w:val="Heading4"/>
      </w:pPr>
      <w:r>
        <w:t>Limitations and Restrictions</w:t>
      </w:r>
      <w:r>
        <w:rPr>
          <w:b w:val="0"/>
        </w:rPr>
        <w:t xml:space="preserve"> </w:t>
      </w:r>
    </w:p>
    <w:p w14:paraId="188C8641" w14:textId="77777777" w:rsidR="002A21AE" w:rsidRDefault="002A21AE">
      <w:pPr>
        <w:pStyle w:val="ListBullet"/>
      </w:pPr>
      <w:r>
        <w:t>Antigen typing applies only to red blood cell antigens. (This option does not address platelet, HLA, or IgA antigens.)</w:t>
      </w:r>
    </w:p>
    <w:p w14:paraId="62073AA9" w14:textId="77777777" w:rsidR="00FC3A2C" w:rsidRDefault="002A21AE">
      <w:pPr>
        <w:pStyle w:val="ListBullet"/>
      </w:pPr>
      <w:r>
        <w:t>VBECS does not check</w:t>
      </w:r>
      <w:r w:rsidR="00FC3A2C">
        <w:t>:</w:t>
      </w:r>
    </w:p>
    <w:p w14:paraId="4A62576F" w14:textId="77777777" w:rsidR="00B84DA4" w:rsidRDefault="00B84DA4" w:rsidP="003362FE">
      <w:pPr>
        <w:pStyle w:val="ListBullet2"/>
        <w:tabs>
          <w:tab w:val="clear" w:pos="648"/>
        </w:tabs>
        <w:ind w:left="990" w:hanging="342"/>
      </w:pPr>
      <w:r>
        <w:t>The patient antigen typing with the specificity of a</w:t>
      </w:r>
      <w:r w:rsidR="005C1078">
        <w:t>ny patient’s antibodies entered.</w:t>
      </w:r>
    </w:p>
    <w:p w14:paraId="39C128B2" w14:textId="77777777" w:rsidR="002A21AE" w:rsidRDefault="00FC3A2C" w:rsidP="003362FE">
      <w:pPr>
        <w:pStyle w:val="ListBullet2"/>
        <w:tabs>
          <w:tab w:val="clear" w:pos="648"/>
        </w:tabs>
        <w:ind w:left="990" w:hanging="342"/>
      </w:pPr>
      <w:r>
        <w:t>W</w:t>
      </w:r>
      <w:r w:rsidR="002A21AE">
        <w:t>hether the lot and vial numbers selected for the positive control cells differ from those of the negative control cells</w:t>
      </w:r>
      <w:r w:rsidR="005C1078">
        <w:t>.</w:t>
      </w:r>
    </w:p>
    <w:p w14:paraId="424319AB" w14:textId="77777777" w:rsidR="002A21AE" w:rsidRDefault="002A21AE">
      <w:pPr>
        <w:pStyle w:val="ListBullet"/>
      </w:pPr>
      <w:r>
        <w:t>The patient antigen typing result is not available to CPRS.</w:t>
      </w:r>
    </w:p>
    <w:p w14:paraId="233C8945" w14:textId="77777777" w:rsidR="002A21AE" w:rsidRDefault="002A21AE">
      <w:pPr>
        <w:pStyle w:val="Heading4"/>
      </w:pPr>
      <w:r>
        <w:t>Additional Information</w:t>
      </w:r>
      <w:r>
        <w:rPr>
          <w:rFonts w:ascii="Times New Roman" w:hAnsi="Times New Roman"/>
          <w:i/>
          <w:color w:val="0000FF"/>
          <w:sz w:val="24"/>
        </w:rPr>
        <w:t xml:space="preserve"> </w:t>
      </w:r>
    </w:p>
    <w:p w14:paraId="646ACEDE" w14:textId="77777777" w:rsidR="00956196" w:rsidRDefault="00956196" w:rsidP="00956196">
      <w:pPr>
        <w:pStyle w:val="ListBullet"/>
      </w:pPr>
      <w:r>
        <w:t xml:space="preserve">Clinical significance and availability of typing reagents are not implied when antigens are included in the list of </w:t>
      </w:r>
      <w:r w:rsidR="00E32E71">
        <w:t>antigen type tests</w:t>
      </w:r>
      <w:r>
        <w:t>.</w:t>
      </w:r>
    </w:p>
    <w:p w14:paraId="708EFA54" w14:textId="77777777" w:rsidR="00956196" w:rsidRDefault="00FC0074" w:rsidP="00956196">
      <w:pPr>
        <w:pStyle w:val="ListBullet"/>
      </w:pPr>
      <w:r>
        <w:t>U</w:t>
      </w:r>
      <w:r w:rsidR="00956196">
        <w:t>nit antigen tests may be added th</w:t>
      </w:r>
      <w:r>
        <w:t>rough</w:t>
      </w:r>
      <w:r w:rsidR="00956196">
        <w:t xml:space="preserve"> </w:t>
      </w:r>
      <w:r w:rsidR="00CA67F2">
        <w:t>Incoming Shipment</w:t>
      </w:r>
      <w:r w:rsidR="00155471">
        <w:t xml:space="preserve"> </w:t>
      </w:r>
      <w:r>
        <w:t>and</w:t>
      </w:r>
      <w:r w:rsidR="00155471">
        <w:t xml:space="preserve"> </w:t>
      </w:r>
      <w:r w:rsidR="00CA67F2">
        <w:t>Edit Unit Information</w:t>
      </w:r>
      <w:r w:rsidR="00956196">
        <w:t>.</w:t>
      </w:r>
    </w:p>
    <w:p w14:paraId="382666FF" w14:textId="77777777" w:rsidR="002A21AE" w:rsidRDefault="002A21AE">
      <w:pPr>
        <w:pStyle w:val="ListBullet"/>
      </w:pPr>
      <w:r>
        <w:t>The patient antigen typing test is associated with a CPRS patient order.</w:t>
      </w:r>
    </w:p>
    <w:p w14:paraId="344A0F7E" w14:textId="77777777" w:rsidR="002A21AE" w:rsidRDefault="002A21AE">
      <w:pPr>
        <w:pStyle w:val="ListBullet"/>
      </w:pPr>
      <w:r>
        <w:t>The patient’s antigen typing information does not appear as part of the Transfusion Requirements or Special Instructions in the Patient Information Toolbar.</w:t>
      </w:r>
    </w:p>
    <w:p w14:paraId="184119DC" w14:textId="77777777" w:rsidR="002A21AE" w:rsidRDefault="002A21AE">
      <w:pPr>
        <w:pStyle w:val="ListBullet"/>
      </w:pPr>
      <w:r>
        <w:rPr>
          <w:rFonts w:ascii="Arial" w:hAnsi="Arial" w:cs="Arial"/>
          <w:vanish/>
          <w:spacing w:val="0"/>
          <w:sz w:val="18"/>
        </w:rPr>
        <w:t xml:space="preserve">BR_28.23 </w:t>
      </w:r>
      <w:r>
        <w:t>When VBECS displays lot numbers for selection, it checks the inventory for the reagent name and lot numbers in use in a rack. VBECS does not offer reagents with an “unsatisfactory” value in the Inspection field or with a quantity of zero as a selectable reagent. The user may not enter a lot number that VBECS disallowed on the selection list. The user must choose a different reagent.</w:t>
      </w:r>
    </w:p>
    <w:p w14:paraId="1489D289" w14:textId="77777777" w:rsidR="002A21AE" w:rsidRDefault="004A7FC2">
      <w:pPr>
        <w:pStyle w:val="ListBullet"/>
      </w:pPr>
      <w:r>
        <w:rPr>
          <w:rFonts w:ascii="Arial" w:hAnsi="Arial" w:cs="Arial"/>
          <w:vanish/>
          <w:spacing w:val="0"/>
          <w:sz w:val="18"/>
        </w:rPr>
        <w:t>BR_41.</w:t>
      </w:r>
      <w:r w:rsidR="002A21AE">
        <w:rPr>
          <w:rFonts w:ascii="Arial" w:hAnsi="Arial" w:cs="Arial"/>
          <w:vanish/>
          <w:spacing w:val="0"/>
          <w:sz w:val="18"/>
        </w:rPr>
        <w:t>3</w:t>
      </w:r>
      <w:r>
        <w:rPr>
          <w:rFonts w:ascii="Arial" w:hAnsi="Arial" w:cs="Arial"/>
          <w:vanish/>
          <w:spacing w:val="0"/>
          <w:sz w:val="18"/>
        </w:rPr>
        <w:t>0</w:t>
      </w:r>
      <w:r w:rsidR="002A21AE">
        <w:rPr>
          <w:rFonts w:ascii="Arial" w:hAnsi="Arial" w:cs="Arial"/>
          <w:vanish/>
          <w:spacing w:val="0"/>
          <w:sz w:val="18"/>
        </w:rPr>
        <w:t xml:space="preserve"> </w:t>
      </w:r>
      <w:r w:rsidR="002A21AE">
        <w:t>When a user selects a reagent rack that was never QC’d, VBECS warns the user, clears the selection, and allows the user to select a different rack.</w:t>
      </w:r>
    </w:p>
    <w:p w14:paraId="065E7B6F" w14:textId="77777777" w:rsidR="004A7FC2" w:rsidRDefault="004A7FC2">
      <w:pPr>
        <w:pStyle w:val="ListBullet"/>
      </w:pPr>
      <w:r>
        <w:rPr>
          <w:rFonts w:ascii="Arial" w:hAnsi="Arial" w:cs="Arial"/>
          <w:vanish/>
          <w:spacing w:val="0"/>
          <w:sz w:val="18"/>
        </w:rPr>
        <w:t xml:space="preserve">BR_41.03 </w:t>
      </w:r>
      <w:r>
        <w:t xml:space="preserve"> VBECS automatically adds the positive and negative control tests to the selected reagent type worklist if they have not been tested on that calendar date for the selected antisera lot number.</w:t>
      </w:r>
      <w:r w:rsidR="009439F8">
        <w:rPr>
          <w:vanish/>
        </w:rPr>
        <w:t xml:space="preserve"> DR 3717</w:t>
      </w:r>
    </w:p>
    <w:p w14:paraId="71B2047F"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55637EA9" w14:textId="77777777" w:rsidR="002A21AE" w:rsidRDefault="002A21AE">
      <w:pPr>
        <w:pStyle w:val="ListBullet"/>
      </w:pPr>
      <w:r>
        <w:t>The user may not enter “H” (hemolysis) in antigen typing testing.</w:t>
      </w:r>
    </w:p>
    <w:p w14:paraId="64FF036B" w14:textId="77777777" w:rsidR="00786249" w:rsidRPr="00786249" w:rsidRDefault="00786249" w:rsidP="00786249">
      <w:pPr>
        <w:pStyle w:val="ListBullet"/>
        <w:rPr>
          <w:color w:val="1F497D"/>
        </w:rPr>
      </w:pPr>
      <w:r>
        <w:t>Weak D testing results do not interact or change the Rh typing recorded for the patient by an ABO/Rh test.</w:t>
      </w:r>
      <w:r w:rsidRPr="00812458">
        <w:rPr>
          <w:vanish/>
        </w:rPr>
        <w:t xml:space="preserve"> Task 409152</w:t>
      </w:r>
    </w:p>
    <w:p w14:paraId="2632FA89" w14:textId="77777777" w:rsidR="002A21AE" w:rsidRDefault="002A21AE">
      <w:pPr>
        <w:pStyle w:val="Heading4"/>
        <w:rPr>
          <w:b w:val="0"/>
        </w:rPr>
      </w:pPr>
      <w:r>
        <w:t>User Roles with Access to This Option</w:t>
      </w:r>
      <w:r>
        <w:rPr>
          <w:b w:val="0"/>
        </w:rPr>
        <w:t xml:space="preserve"> </w:t>
      </w:r>
    </w:p>
    <w:p w14:paraId="0CC22B5F" w14:textId="77777777" w:rsidR="002A21AE" w:rsidRDefault="007934CF">
      <w:pPr>
        <w:pStyle w:val="Roles"/>
        <w:rPr>
          <w:snapToGrid w:val="0"/>
        </w:rPr>
      </w:pPr>
      <w:r>
        <w:t>All users</w:t>
      </w:r>
    </w:p>
    <w:p w14:paraId="10068793" w14:textId="77777777" w:rsidR="002A21AE" w:rsidRPr="000C2B00" w:rsidRDefault="002A21AE">
      <w:pPr>
        <w:pStyle w:val="Heading4"/>
        <w:rPr>
          <w:rStyle w:val="Heading3Char"/>
          <w:b/>
        </w:rPr>
      </w:pPr>
      <w:r w:rsidRPr="000C2B00">
        <w:rPr>
          <w:rStyle w:val="Heading3Char"/>
          <w:b/>
        </w:rPr>
        <w:lastRenderedPageBreak/>
        <w:t>Patient Testing: Record a Patient Antigen Typing</w:t>
      </w:r>
    </w:p>
    <w:p w14:paraId="658BBE62" w14:textId="77777777" w:rsidR="002A21AE" w:rsidRDefault="002A21AE" w:rsidP="00FA7E65">
      <w:pPr>
        <w:pStyle w:val="BodyText"/>
      </w:pPr>
      <w:r>
        <w:t xml:space="preserve">This option describes a test to determine the patient antigen typing from a blood specimen.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238CB7" w14:textId="77777777">
        <w:trPr>
          <w:cantSplit/>
          <w:tblHeader/>
        </w:trPr>
        <w:tc>
          <w:tcPr>
            <w:tcW w:w="3240" w:type="dxa"/>
            <w:shd w:val="pct30" w:color="auto" w:fill="FFFFFF"/>
            <w:vAlign w:val="bottom"/>
          </w:tcPr>
          <w:p w14:paraId="3D13A758" w14:textId="77777777" w:rsidR="002A21AE" w:rsidRDefault="002A21AE">
            <w:pPr>
              <w:pStyle w:val="TableText"/>
              <w:rPr>
                <w:b/>
              </w:rPr>
            </w:pPr>
            <w:r>
              <w:rPr>
                <w:b/>
              </w:rPr>
              <w:t>User Action</w:t>
            </w:r>
          </w:p>
        </w:tc>
        <w:tc>
          <w:tcPr>
            <w:tcW w:w="6120" w:type="dxa"/>
            <w:shd w:val="pct30" w:color="auto" w:fill="FFFFFF"/>
            <w:vAlign w:val="bottom"/>
          </w:tcPr>
          <w:p w14:paraId="3607AA78" w14:textId="77777777" w:rsidR="002A21AE" w:rsidRDefault="002A21AE">
            <w:pPr>
              <w:pStyle w:val="TableText"/>
              <w:rPr>
                <w:b/>
              </w:rPr>
            </w:pPr>
            <w:r>
              <w:rPr>
                <w:b/>
              </w:rPr>
              <w:t>VBECS</w:t>
            </w:r>
          </w:p>
        </w:tc>
      </w:tr>
      <w:tr w:rsidR="00141448" w14:paraId="24F43DB4" w14:textId="77777777">
        <w:tc>
          <w:tcPr>
            <w:tcW w:w="3240" w:type="dxa"/>
            <w:tcBorders>
              <w:top w:val="single" w:sz="4" w:space="0" w:color="auto"/>
              <w:left w:val="single" w:sz="4" w:space="0" w:color="auto"/>
              <w:bottom w:val="single" w:sz="4" w:space="0" w:color="auto"/>
              <w:right w:val="single" w:sz="4" w:space="0" w:color="auto"/>
            </w:tcBorders>
          </w:tcPr>
          <w:p w14:paraId="71DA417D" w14:textId="77777777" w:rsidR="00141448" w:rsidRDefault="00141448" w:rsidP="00141448">
            <w:pPr>
              <w:pStyle w:val="TableTextNumbers"/>
            </w:pPr>
            <w:r>
              <w:t xml:space="preserve">Select </w:t>
            </w:r>
            <w:r>
              <w:rPr>
                <w:b/>
              </w:rPr>
              <w:t>Patients</w:t>
            </w:r>
            <w:r>
              <w:t xml:space="preserve"> from the main menu.</w:t>
            </w:r>
          </w:p>
          <w:p w14:paraId="5D0F3FA9" w14:textId="77777777" w:rsidR="00141448" w:rsidRDefault="00141448" w:rsidP="00141448">
            <w:pPr>
              <w:pStyle w:val="TableTextNumbersContinued"/>
            </w:pPr>
          </w:p>
          <w:p w14:paraId="2D0A1BED"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7DE0B4A" w14:textId="77777777" w:rsidR="00141448" w:rsidRDefault="00141448" w:rsidP="00141448">
            <w:pPr>
              <w:pStyle w:val="TableTextBullet"/>
            </w:pPr>
            <w:r>
              <w:t xml:space="preserve">Displays options for processing patient-related functions. </w:t>
            </w:r>
          </w:p>
          <w:p w14:paraId="1C641EEE" w14:textId="77777777" w:rsidR="00141448" w:rsidRDefault="00141448" w:rsidP="00141448">
            <w:pPr>
              <w:pStyle w:val="TableTextBullet"/>
            </w:pPr>
            <w:r>
              <w:t>Displays the Pending Task List (PTL) in the Diagnostic Tests tab.</w:t>
            </w:r>
          </w:p>
          <w:p w14:paraId="48034C7A" w14:textId="77777777" w:rsidR="00141448" w:rsidRDefault="00141448" w:rsidP="00141448">
            <w:pPr>
              <w:pStyle w:val="NotesText"/>
            </w:pPr>
          </w:p>
          <w:p w14:paraId="4199D11E" w14:textId="53050AF9" w:rsidR="00141448" w:rsidRDefault="00141448" w:rsidP="00141448">
            <w:pPr>
              <w:pStyle w:val="TableText"/>
              <w:rPr>
                <w:b/>
                <w:bCs/>
                <w:szCs w:val="18"/>
              </w:rPr>
            </w:pPr>
            <w:r>
              <w:rPr>
                <w:b/>
                <w:bCs/>
                <w:szCs w:val="18"/>
              </w:rPr>
              <w:t>NOTES</w:t>
            </w:r>
          </w:p>
          <w:p w14:paraId="44F83BD9" w14:textId="77777777" w:rsidR="00141448" w:rsidRDefault="00141448" w:rsidP="00141448">
            <w:pPr>
              <w:pStyle w:val="NotesText"/>
            </w:pPr>
          </w:p>
          <w:p w14:paraId="021CC668" w14:textId="77777777" w:rsidR="00141448" w:rsidRDefault="00141448" w:rsidP="00141448">
            <w:pPr>
              <w:pStyle w:val="NotesText"/>
            </w:pPr>
            <w:r>
              <w:t>A user may search for specific tasks using search criteria detailed in Pending Task List.</w:t>
            </w:r>
          </w:p>
        </w:tc>
      </w:tr>
      <w:tr w:rsidR="006D7FC0" w14:paraId="5579B6A1" w14:textId="77777777">
        <w:tc>
          <w:tcPr>
            <w:tcW w:w="3240" w:type="dxa"/>
          </w:tcPr>
          <w:p w14:paraId="48EFE587" w14:textId="77777777" w:rsidR="006D7FC0" w:rsidRDefault="006D7FC0">
            <w:pPr>
              <w:pStyle w:val="TableTextNumbers"/>
            </w:pPr>
            <w:r>
              <w:t>Click one to four check boxes in the Pending Task List to select tasks for testing.</w:t>
            </w:r>
          </w:p>
          <w:p w14:paraId="3645534C" w14:textId="77777777" w:rsidR="006D7FC0" w:rsidRDefault="006D7FC0" w:rsidP="006D7FC0">
            <w:pPr>
              <w:pStyle w:val="TableTextNumbersContinued"/>
            </w:pPr>
          </w:p>
          <w:p w14:paraId="1C9949A0" w14:textId="77777777" w:rsidR="006D7FC0" w:rsidRDefault="006D7FC0" w:rsidP="006D7FC0">
            <w:pPr>
              <w:pStyle w:val="TableTextNumbersContinued"/>
            </w:pPr>
            <w:r>
              <w:t xml:space="preserve">Click </w:t>
            </w:r>
            <w:r w:rsidRPr="006D7FC0">
              <w:rPr>
                <w:b/>
              </w:rPr>
              <w:t>OK</w:t>
            </w:r>
            <w:r>
              <w:t>.</w:t>
            </w:r>
          </w:p>
        </w:tc>
        <w:tc>
          <w:tcPr>
            <w:tcW w:w="6120" w:type="dxa"/>
          </w:tcPr>
          <w:p w14:paraId="3FAA4FC0" w14:textId="77777777" w:rsidR="006D7FC0" w:rsidRDefault="006D7FC0" w:rsidP="006D7FC0">
            <w:pPr>
              <w:pStyle w:val="TableTextBullet"/>
            </w:pPr>
            <w:r>
              <w:t>Displays patient names and associated task information.</w:t>
            </w:r>
          </w:p>
          <w:p w14:paraId="03C23D50" w14:textId="77777777" w:rsidR="006D7FC0" w:rsidRDefault="006D7FC0" w:rsidP="006D7FC0">
            <w:pPr>
              <w:pStyle w:val="TableTextBullet"/>
            </w:pPr>
            <w:r>
              <w:t xml:space="preserve">Displays a direct data entry </w:t>
            </w:r>
            <w:r w:rsidR="00917E9F">
              <w:t xml:space="preserve">(DDE) </w:t>
            </w:r>
            <w:r>
              <w:t>grid for entering serologic reaction results for antigen typing testing. This grid may be partially populated from a previous session.</w:t>
            </w:r>
          </w:p>
          <w:p w14:paraId="4DB6E141" w14:textId="77777777" w:rsidR="006D7FC0" w:rsidRDefault="006D7FC0" w:rsidP="006D7FC0">
            <w:pPr>
              <w:pStyle w:val="TableTextBullet"/>
            </w:pPr>
            <w:r>
              <w:t>Allows the user to select a unit and enter a test result for the unit.</w:t>
            </w:r>
          </w:p>
          <w:p w14:paraId="7BEC677B" w14:textId="77777777" w:rsidR="006D7FC0" w:rsidRDefault="006D7FC0" w:rsidP="006D7FC0">
            <w:pPr>
              <w:pStyle w:val="TableTextBullet"/>
            </w:pPr>
            <w:r>
              <w:t>Displays options for finding and selecting tests to process.</w:t>
            </w:r>
          </w:p>
          <w:p w14:paraId="374AD6F7" w14:textId="77777777" w:rsidR="006D7FC0" w:rsidRDefault="006D7FC0" w:rsidP="006D7FC0">
            <w:pPr>
              <w:pStyle w:val="TableText"/>
            </w:pPr>
          </w:p>
          <w:p w14:paraId="4D25902E" w14:textId="0382DF68" w:rsidR="006D7FC0" w:rsidRDefault="006D7FC0" w:rsidP="006D7FC0">
            <w:pPr>
              <w:pStyle w:val="TableText"/>
              <w:rPr>
                <w:b/>
                <w:bCs/>
                <w:szCs w:val="18"/>
              </w:rPr>
            </w:pPr>
            <w:r>
              <w:rPr>
                <w:b/>
                <w:bCs/>
                <w:szCs w:val="18"/>
              </w:rPr>
              <w:t>NOTES</w:t>
            </w:r>
          </w:p>
          <w:p w14:paraId="3519155F" w14:textId="77777777" w:rsidR="006D7FC0" w:rsidRDefault="006D7FC0" w:rsidP="009368F1">
            <w:pPr>
              <w:pStyle w:val="NotesText"/>
            </w:pPr>
          </w:p>
          <w:p w14:paraId="1E559D21" w14:textId="77777777" w:rsidR="006D7FC0" w:rsidRDefault="006D7FC0" w:rsidP="009368F1">
            <w:pPr>
              <w:pStyle w:val="NotesText"/>
            </w:pPr>
            <w:r>
              <w:rPr>
                <w:rFonts w:cs="Arial"/>
                <w:vanish/>
              </w:rPr>
              <w:t xml:space="preserve">BR_41.15 </w:t>
            </w:r>
            <w:r>
              <w:t>When the user selects a partially completed worksheet, he must verify the lot numbers, manufacturer name, and expiration date of the antiserum and control cells previously selected. These fields may not be edited. (A user who finds a discrepancy must delete the worksheet and start over.)</w:t>
            </w:r>
          </w:p>
        </w:tc>
      </w:tr>
      <w:tr w:rsidR="002A21AE" w14:paraId="229F1062" w14:textId="77777777">
        <w:tc>
          <w:tcPr>
            <w:tcW w:w="3240" w:type="dxa"/>
          </w:tcPr>
          <w:p w14:paraId="39602ECE" w14:textId="77777777" w:rsidR="002A21AE" w:rsidRDefault="002A21AE">
            <w:pPr>
              <w:pStyle w:val="TableTextNumbers"/>
            </w:pPr>
            <w:r>
              <w:t>Confirm the selected patient.</w:t>
            </w:r>
          </w:p>
          <w:p w14:paraId="39F07964" w14:textId="77777777" w:rsidR="002A21AE" w:rsidRDefault="002A21AE">
            <w:pPr>
              <w:pStyle w:val="TableTextNumbersContinued"/>
            </w:pPr>
          </w:p>
          <w:p w14:paraId="596DC206" w14:textId="77777777" w:rsidR="002A21AE" w:rsidRDefault="002A21AE">
            <w:pPr>
              <w:pStyle w:val="TableTextNumbersContinued"/>
            </w:pPr>
            <w:r>
              <w:t xml:space="preserve">When control cells were tested for the antiserum, go to Step </w:t>
            </w:r>
            <w:r w:rsidR="00502986">
              <w:t>7</w:t>
            </w:r>
            <w:r>
              <w:t>.</w:t>
            </w:r>
          </w:p>
        </w:tc>
        <w:tc>
          <w:tcPr>
            <w:tcW w:w="6120" w:type="dxa"/>
          </w:tcPr>
          <w:p w14:paraId="62B95212" w14:textId="77777777" w:rsidR="002A21AE" w:rsidRDefault="002A21AE">
            <w:pPr>
              <w:pStyle w:val="TableTextBullet"/>
            </w:pPr>
            <w:r>
              <w:t xml:space="preserve">Displays an option to select a lot number for each of the antiserum types selected. </w:t>
            </w:r>
          </w:p>
          <w:p w14:paraId="7A8E59F9" w14:textId="77777777" w:rsidR="002A21AE" w:rsidRDefault="002A21AE">
            <w:pPr>
              <w:pStyle w:val="TableText"/>
            </w:pPr>
          </w:p>
          <w:p w14:paraId="421E92B4" w14:textId="4EC1504D" w:rsidR="002A21AE" w:rsidRDefault="002A21AE">
            <w:pPr>
              <w:pStyle w:val="TableText"/>
              <w:rPr>
                <w:b/>
                <w:bCs/>
                <w:szCs w:val="18"/>
              </w:rPr>
            </w:pPr>
            <w:r>
              <w:rPr>
                <w:b/>
                <w:bCs/>
                <w:szCs w:val="18"/>
              </w:rPr>
              <w:t>NOTES</w:t>
            </w:r>
          </w:p>
          <w:p w14:paraId="29EED6F0" w14:textId="77777777" w:rsidR="002A21AE" w:rsidRDefault="002A21AE">
            <w:pPr>
              <w:pStyle w:val="NotesText"/>
            </w:pPr>
          </w:p>
          <w:p w14:paraId="4AB87CF8" w14:textId="77777777" w:rsidR="002A21AE" w:rsidRDefault="002A21AE">
            <w:pPr>
              <w:pStyle w:val="NotesText"/>
            </w:pPr>
            <w:r>
              <w:t>VBECS displays grids and quality control cells for each antiserum type.</w:t>
            </w:r>
          </w:p>
        </w:tc>
      </w:tr>
      <w:tr w:rsidR="002A21AE" w14:paraId="5FAB0D09" w14:textId="77777777">
        <w:tc>
          <w:tcPr>
            <w:tcW w:w="3240" w:type="dxa"/>
          </w:tcPr>
          <w:p w14:paraId="4B4454B8" w14:textId="77777777" w:rsidR="002A21AE" w:rsidRDefault="002A21AE">
            <w:pPr>
              <w:pStyle w:val="TableTextNumbers"/>
            </w:pPr>
            <w:r>
              <w:t>Select a lot number for each antiserum specificity.</w:t>
            </w:r>
          </w:p>
        </w:tc>
        <w:tc>
          <w:tcPr>
            <w:tcW w:w="6120" w:type="dxa"/>
          </w:tcPr>
          <w:p w14:paraId="1772FDDF" w14:textId="77777777" w:rsidR="002A21AE" w:rsidRDefault="002A21AE">
            <w:pPr>
              <w:pStyle w:val="TableTextBullet"/>
            </w:pPr>
            <w:r>
              <w:rPr>
                <w:rFonts w:cs="Arial"/>
                <w:vanish/>
              </w:rPr>
              <w:t>BR_41.04</w:t>
            </w:r>
            <w:r w:rsidR="004F5F28" w:rsidRPr="00323744">
              <w:rPr>
                <w:rStyle w:val="BullhornChar"/>
              </w:rPr>
              <w:t></w:t>
            </w:r>
            <w:r w:rsidR="004F5F28">
              <w:rPr>
                <w:rFonts w:ascii="Webdings" w:hAnsi="Webdings"/>
              </w:rPr>
              <w:t></w:t>
            </w:r>
            <w:r w:rsidR="00AA089C">
              <w:t>A</w:t>
            </w:r>
            <w:r>
              <w:t>llows the user to select or enter the lot number and displays the manufacturer and expiration date of each antiserum to be used in this transaction so the user can select the correct antiserum. VBECS displays in-date antisera. When the user selects outdated antisera, VBECS emits an audible alert and requires a comment and an override. VBECS captures details for inclusion in an Exception Report (exception type: expired antisera used).</w:t>
            </w:r>
          </w:p>
          <w:p w14:paraId="3182247C" w14:textId="77777777" w:rsidR="002A21AE" w:rsidRDefault="002A21AE">
            <w:pPr>
              <w:pStyle w:val="TableTextBullet"/>
            </w:pPr>
            <w:r>
              <w:t>Prompts the user to select the correct antiserum entry for the specificity selected.</w:t>
            </w:r>
          </w:p>
          <w:p w14:paraId="68BE8608" w14:textId="77777777" w:rsidR="002A21AE" w:rsidRDefault="002A21AE">
            <w:pPr>
              <w:pStyle w:val="TableTextBullet"/>
            </w:pPr>
            <w:r>
              <w:t xml:space="preserve">Displays the lot number information. </w:t>
            </w:r>
          </w:p>
          <w:p w14:paraId="7028CAB4" w14:textId="77777777" w:rsidR="00AA089C" w:rsidRDefault="00AA089C" w:rsidP="00AA089C">
            <w:pPr>
              <w:pStyle w:val="TableText"/>
            </w:pPr>
          </w:p>
          <w:p w14:paraId="67F54783" w14:textId="69328AAA" w:rsidR="00AA089C" w:rsidRDefault="00AA089C" w:rsidP="00AA089C">
            <w:pPr>
              <w:pStyle w:val="TableText"/>
              <w:rPr>
                <w:b/>
                <w:bCs/>
                <w:szCs w:val="18"/>
              </w:rPr>
            </w:pPr>
            <w:r>
              <w:rPr>
                <w:b/>
                <w:bCs/>
                <w:szCs w:val="18"/>
              </w:rPr>
              <w:t>NOTES</w:t>
            </w:r>
          </w:p>
          <w:p w14:paraId="47C54AA0" w14:textId="77777777" w:rsidR="00AA089C" w:rsidRDefault="00AA089C" w:rsidP="00AA089C">
            <w:pPr>
              <w:pStyle w:val="NotesText"/>
            </w:pPr>
          </w:p>
          <w:p w14:paraId="76CCB463" w14:textId="77777777" w:rsidR="00AA089C" w:rsidRDefault="00AA089C" w:rsidP="00AA089C">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2631391F" w14:textId="77777777" w:rsidR="00AA089C" w:rsidRDefault="00AA089C" w:rsidP="00AA089C">
            <w:pPr>
              <w:pStyle w:val="NotesText"/>
            </w:pPr>
          </w:p>
          <w:p w14:paraId="4969172E" w14:textId="77777777" w:rsidR="00AA089C" w:rsidRDefault="00AA089C" w:rsidP="00AA089C">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3B37D9A8" w14:textId="77777777" w:rsidTr="006C058D">
        <w:trPr>
          <w:cantSplit/>
        </w:trPr>
        <w:tc>
          <w:tcPr>
            <w:tcW w:w="3240" w:type="dxa"/>
          </w:tcPr>
          <w:p w14:paraId="401FFD7E" w14:textId="2A216E23" w:rsidR="002A21AE" w:rsidRDefault="002A21AE" w:rsidP="00AA3667">
            <w:pPr>
              <w:pStyle w:val="TableTextNumbers"/>
            </w:pPr>
            <w:r>
              <w:lastRenderedPageBreak/>
              <w:t>Verify the antiserum lot number selected</w:t>
            </w:r>
            <w:r w:rsidR="00AA3667">
              <w:t xml:space="preserve"> (</w:t>
            </w:r>
            <w:r w:rsidR="00EE455E">
              <w:t xml:space="preserve">Figure </w:t>
            </w:r>
            <w:r w:rsidR="00EE455E">
              <w:rPr>
                <w:noProof/>
              </w:rPr>
              <w:t>98</w:t>
            </w:r>
            <w:r w:rsidR="00AA3667">
              <w:t>)</w:t>
            </w:r>
            <w:r>
              <w:t xml:space="preserve">. </w:t>
            </w:r>
          </w:p>
        </w:tc>
        <w:tc>
          <w:tcPr>
            <w:tcW w:w="6120" w:type="dxa"/>
          </w:tcPr>
          <w:p w14:paraId="264CA1D8" w14:textId="77777777" w:rsidR="002A21AE" w:rsidRDefault="002A21AE">
            <w:pPr>
              <w:pStyle w:val="TableTextBullet"/>
            </w:pPr>
            <w:r>
              <w:t xml:space="preserve">Allows the user to select the testing phases for the antiserum specificity by lot number. </w:t>
            </w:r>
          </w:p>
          <w:p w14:paraId="64E9917D" w14:textId="77777777" w:rsidR="002A21AE" w:rsidRDefault="002A21AE">
            <w:pPr>
              <w:pStyle w:val="TableTextBullet"/>
            </w:pPr>
            <w:r>
              <w:t xml:space="preserve">Displays a testing grid and disables the phases that are not to be completed. </w:t>
            </w:r>
          </w:p>
          <w:p w14:paraId="6F7F6730" w14:textId="77777777" w:rsidR="002A21AE" w:rsidRDefault="002A21AE">
            <w:pPr>
              <w:pStyle w:val="TableTextBullet"/>
            </w:pPr>
            <w:r>
              <w:t>Stores the antiserum information and checks whether the positive and negative controls are needed.</w:t>
            </w:r>
          </w:p>
          <w:p w14:paraId="05A6832B" w14:textId="77777777" w:rsidR="002A21AE" w:rsidRDefault="002A21AE">
            <w:pPr>
              <w:pStyle w:val="TableText"/>
            </w:pPr>
          </w:p>
          <w:p w14:paraId="6002BD4B" w14:textId="52FE7CCA" w:rsidR="002A21AE" w:rsidRDefault="002A21AE">
            <w:pPr>
              <w:pStyle w:val="TableText"/>
              <w:rPr>
                <w:b/>
                <w:bCs/>
                <w:szCs w:val="18"/>
              </w:rPr>
            </w:pPr>
            <w:r>
              <w:rPr>
                <w:b/>
                <w:bCs/>
                <w:szCs w:val="18"/>
              </w:rPr>
              <w:t>NOTES</w:t>
            </w:r>
          </w:p>
          <w:p w14:paraId="6424DAAF" w14:textId="77777777" w:rsidR="002A21AE" w:rsidRDefault="002A21AE">
            <w:pPr>
              <w:pStyle w:val="NotesText"/>
            </w:pPr>
          </w:p>
          <w:p w14:paraId="74E64FC0" w14:textId="77777777" w:rsidR="002A21AE" w:rsidRDefault="002A21AE">
            <w:pPr>
              <w:pStyle w:val="NotesText"/>
            </w:pPr>
            <w:r>
              <w:rPr>
                <w:rFonts w:cs="Arial"/>
                <w:vanish/>
              </w:rPr>
              <w:t xml:space="preserve">BR_41.02 </w:t>
            </w:r>
            <w:r>
              <w:t xml:space="preserve">The user must indicate the phases of reactivity for each antiserum specificity: </w:t>
            </w:r>
          </w:p>
          <w:p w14:paraId="428E7355" w14:textId="77777777" w:rsidR="002A21AE" w:rsidRDefault="002A21AE">
            <w:pPr>
              <w:pStyle w:val="NotesTextBullet"/>
              <w:tabs>
                <w:tab w:val="clear" w:pos="1008"/>
                <w:tab w:val="num" w:pos="1260"/>
              </w:tabs>
              <w:ind w:left="1188"/>
            </w:pPr>
            <w:r>
              <w:t>IS</w:t>
            </w:r>
          </w:p>
          <w:p w14:paraId="6DEB6402" w14:textId="77777777" w:rsidR="002A21AE" w:rsidRDefault="002A21AE">
            <w:pPr>
              <w:pStyle w:val="NotesTextBullet"/>
              <w:tabs>
                <w:tab w:val="clear" w:pos="1008"/>
                <w:tab w:val="num" w:pos="1260"/>
              </w:tabs>
              <w:ind w:left="1188"/>
            </w:pPr>
            <w:r>
              <w:t>IS/RT</w:t>
            </w:r>
          </w:p>
          <w:p w14:paraId="7A68A2A6" w14:textId="77777777" w:rsidR="002A21AE" w:rsidRDefault="002A21AE">
            <w:pPr>
              <w:pStyle w:val="NotesTextBullet"/>
              <w:tabs>
                <w:tab w:val="clear" w:pos="1008"/>
                <w:tab w:val="num" w:pos="1260"/>
              </w:tabs>
              <w:ind w:left="1188"/>
            </w:pPr>
            <w:r>
              <w:t>IS/37</w:t>
            </w:r>
          </w:p>
          <w:p w14:paraId="1B34B950" w14:textId="77777777" w:rsidR="002A21AE" w:rsidRDefault="002A21AE">
            <w:pPr>
              <w:pStyle w:val="NotesTextBullet"/>
              <w:tabs>
                <w:tab w:val="clear" w:pos="1008"/>
                <w:tab w:val="num" w:pos="1260"/>
              </w:tabs>
              <w:ind w:left="1188"/>
            </w:pPr>
            <w:r>
              <w:t>AHG/CC</w:t>
            </w:r>
          </w:p>
          <w:p w14:paraId="50B5E10B" w14:textId="77777777" w:rsidR="002A21AE" w:rsidRDefault="002A21AE">
            <w:pPr>
              <w:pStyle w:val="NotesText"/>
            </w:pPr>
          </w:p>
          <w:p w14:paraId="6C873890" w14:textId="77777777" w:rsidR="002A21AE" w:rsidRDefault="002A21AE">
            <w:pPr>
              <w:pStyle w:val="NotesText"/>
            </w:pPr>
            <w:r>
              <w:t>VBECS enables the Rack Identifier field when the user selects the weak D or AHG/CC phase. VBECS disables the rack identifier field when the user selects other phases.</w:t>
            </w:r>
          </w:p>
          <w:p w14:paraId="1A91D6CA" w14:textId="77777777" w:rsidR="002A21AE" w:rsidRDefault="002A21AE">
            <w:pPr>
              <w:pStyle w:val="NotesText"/>
            </w:pPr>
          </w:p>
          <w:p w14:paraId="67E9BB34" w14:textId="77777777"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p w14:paraId="0CBFA019" w14:textId="77777777" w:rsidR="002A21AE" w:rsidRDefault="002A21AE">
            <w:pPr>
              <w:pStyle w:val="NotesText"/>
            </w:pPr>
          </w:p>
          <w:p w14:paraId="2E6D8945" w14:textId="77777777" w:rsidR="002A21AE" w:rsidRDefault="002A21AE">
            <w:pPr>
              <w:pStyle w:val="NotesText"/>
            </w:pPr>
            <w:r>
              <w:rPr>
                <w:rFonts w:cs="Arial"/>
                <w:vanish/>
              </w:rPr>
              <w:t>BR_41.26</w:t>
            </w:r>
            <w:r w:rsidR="004F5F28" w:rsidRPr="00323744">
              <w:rPr>
                <w:rStyle w:val="BullhornChar"/>
              </w:rPr>
              <w:t></w:t>
            </w:r>
            <w:r w:rsidR="004F5F28">
              <w:rPr>
                <w:rFonts w:ascii="Webdings" w:hAnsi="Webdings"/>
              </w:rPr>
              <w:t></w:t>
            </w:r>
            <w:r w:rsidR="004F5F28" w:rsidRPr="00263B24">
              <w:t>Wh</w:t>
            </w:r>
            <w:r w:rsidR="004F5F28">
              <w:t>en</w:t>
            </w:r>
            <w:r>
              <w:t xml:space="preserve"> the user attempts to change the phases of reactivity previously recorded for the lot number, VBECS emits an audible alert, warns that the user selected phases that were not used previously for this reagent, and asks whether the user wishes to continue. </w:t>
            </w:r>
            <w:r>
              <w:rPr>
                <w:b/>
              </w:rPr>
              <w:t>No</w:t>
            </w:r>
            <w:r>
              <w:t xml:space="preserve"> requires the user to select the correct testing phases. </w:t>
            </w:r>
            <w:r>
              <w:rPr>
                <w:b/>
              </w:rPr>
              <w:t>Yes</w:t>
            </w:r>
            <w:r>
              <w:t xml:space="preserve"> requires the user to enter a comment explaining why he is selecting different testing phases. VBECS captures details for inclusion in an Exception Report (exception type: antigen testing phase change). VBECS requires a comment and captures details for inclusion in an Exception Report. Antigen testing phase change</w:t>
            </w:r>
          </w:p>
        </w:tc>
      </w:tr>
      <w:tr w:rsidR="002A21AE" w14:paraId="3876B690" w14:textId="77777777">
        <w:tc>
          <w:tcPr>
            <w:tcW w:w="3240" w:type="dxa"/>
          </w:tcPr>
          <w:p w14:paraId="68A5E7B5" w14:textId="77777777" w:rsidR="00B6515C" w:rsidRDefault="00B6515C" w:rsidP="00B6515C">
            <w:pPr>
              <w:pStyle w:val="TableTextNumbers"/>
            </w:pPr>
            <w:r>
              <w:t>Select the lot number for the reagent and the positive and negative control cells. Enter the vial identifiers, if required. Enter “0” when not using panel cells.</w:t>
            </w:r>
          </w:p>
          <w:p w14:paraId="3FB6F740" w14:textId="77777777" w:rsidR="00B6515C" w:rsidRDefault="00B6515C" w:rsidP="00B6515C">
            <w:pPr>
              <w:pStyle w:val="TableTextNumbersContinued"/>
            </w:pPr>
          </w:p>
          <w:p w14:paraId="69382CB0" w14:textId="3A9520D8" w:rsidR="00B6515C" w:rsidRDefault="00B6515C" w:rsidP="00B6515C">
            <w:pPr>
              <w:pStyle w:val="TableTextNumbersContinued"/>
            </w:pPr>
            <w:r>
              <w:t>Verify the reagent type and the positive and negative control cell lot numbers selected and vial identifiers entered, if required</w:t>
            </w:r>
            <w:r w:rsidR="001E3E16">
              <w:t xml:space="preserve"> (</w:t>
            </w:r>
            <w:r w:rsidR="00EE455E">
              <w:t xml:space="preserve">Figure </w:t>
            </w:r>
            <w:r w:rsidR="00EE455E">
              <w:rPr>
                <w:noProof/>
              </w:rPr>
              <w:t>99</w:t>
            </w:r>
            <w:r w:rsidR="001E3E16">
              <w:t>)</w:t>
            </w:r>
            <w:r>
              <w:t>.</w:t>
            </w:r>
          </w:p>
        </w:tc>
        <w:tc>
          <w:tcPr>
            <w:tcW w:w="6120" w:type="dxa"/>
          </w:tcPr>
          <w:p w14:paraId="2B173EFF" w14:textId="77777777" w:rsidR="002A21AE" w:rsidRDefault="002A21AE">
            <w:pPr>
              <w:pStyle w:val="TableTextBullet"/>
            </w:pPr>
            <w:r>
              <w:t xml:space="preserve">Displays the lot number information, including the vial identifier. </w:t>
            </w:r>
          </w:p>
          <w:p w14:paraId="35D8750F" w14:textId="77777777" w:rsidR="002A21AE" w:rsidRDefault="002A21AE">
            <w:pPr>
              <w:pStyle w:val="TableText"/>
            </w:pPr>
          </w:p>
          <w:p w14:paraId="4C0F91AC" w14:textId="080633D8" w:rsidR="002A21AE" w:rsidRDefault="002A21AE">
            <w:pPr>
              <w:pStyle w:val="TableText"/>
              <w:rPr>
                <w:b/>
                <w:bCs/>
                <w:szCs w:val="18"/>
              </w:rPr>
            </w:pPr>
            <w:r>
              <w:rPr>
                <w:b/>
                <w:bCs/>
                <w:szCs w:val="18"/>
              </w:rPr>
              <w:t>NOTES</w:t>
            </w:r>
          </w:p>
          <w:p w14:paraId="0C54496E" w14:textId="77777777" w:rsidR="002A21AE" w:rsidRDefault="002A21AE">
            <w:pPr>
              <w:pStyle w:val="NotesText"/>
            </w:pPr>
          </w:p>
          <w:p w14:paraId="1891C18D" w14:textId="77777777" w:rsidR="002A21AE" w:rsidRDefault="002A21AE">
            <w:pPr>
              <w:pStyle w:val="NotesText"/>
            </w:pPr>
            <w:r>
              <w:rPr>
                <w:rFonts w:cs="Arial"/>
                <w:vanish/>
              </w:rPr>
              <w:t xml:space="preserve">BR_41.25 </w:t>
            </w:r>
            <w:r>
              <w:t xml:space="preserve">Selectable reagent lot numbers for positive and negative control cells are: </w:t>
            </w:r>
          </w:p>
          <w:p w14:paraId="2ABB07BB" w14:textId="77777777" w:rsidR="002A21AE" w:rsidRDefault="002A21AE">
            <w:pPr>
              <w:pStyle w:val="NotesTextBullet"/>
              <w:tabs>
                <w:tab w:val="clear" w:pos="1008"/>
                <w:tab w:val="num" w:pos="1260"/>
              </w:tabs>
              <w:ind w:left="1188"/>
            </w:pPr>
            <w:r>
              <w:t>Reverse ABO Typing Cells</w:t>
            </w:r>
          </w:p>
          <w:p w14:paraId="64244BAD" w14:textId="77777777" w:rsidR="002A21AE" w:rsidRDefault="002A21AE">
            <w:pPr>
              <w:pStyle w:val="NotesTextBullet"/>
              <w:tabs>
                <w:tab w:val="clear" w:pos="1008"/>
                <w:tab w:val="num" w:pos="1260"/>
              </w:tabs>
              <w:ind w:left="1188"/>
            </w:pPr>
            <w:r>
              <w:t>A2 cell</w:t>
            </w:r>
          </w:p>
          <w:p w14:paraId="5F781545" w14:textId="77777777" w:rsidR="002A21AE" w:rsidRDefault="002A21AE">
            <w:pPr>
              <w:pStyle w:val="NotesTextBullet"/>
              <w:tabs>
                <w:tab w:val="clear" w:pos="1008"/>
                <w:tab w:val="num" w:pos="1260"/>
              </w:tabs>
              <w:ind w:left="1188"/>
            </w:pPr>
            <w:r>
              <w:t xml:space="preserve">Screening Cells </w:t>
            </w:r>
          </w:p>
          <w:p w14:paraId="1CD4E7B6" w14:textId="77777777" w:rsidR="002A21AE" w:rsidRDefault="002A21AE">
            <w:pPr>
              <w:pStyle w:val="NotesTextBullet"/>
              <w:tabs>
                <w:tab w:val="clear" w:pos="1008"/>
                <w:tab w:val="num" w:pos="1260"/>
              </w:tabs>
              <w:ind w:left="1188"/>
            </w:pPr>
            <w:r>
              <w:t>Check Cells</w:t>
            </w:r>
          </w:p>
          <w:p w14:paraId="2EC9FD52" w14:textId="77777777" w:rsidR="002A21AE" w:rsidRDefault="002A21AE">
            <w:pPr>
              <w:pStyle w:val="NotesTextBullet"/>
              <w:tabs>
                <w:tab w:val="clear" w:pos="1008"/>
                <w:tab w:val="num" w:pos="1260"/>
              </w:tabs>
              <w:ind w:left="1188"/>
            </w:pPr>
            <w:r>
              <w:t>Panel</w:t>
            </w:r>
          </w:p>
          <w:p w14:paraId="16080237" w14:textId="77777777" w:rsidR="002A21AE" w:rsidRDefault="002A21AE">
            <w:pPr>
              <w:pStyle w:val="NotesTextBullet"/>
              <w:tabs>
                <w:tab w:val="clear" w:pos="1008"/>
                <w:tab w:val="num" w:pos="1260"/>
              </w:tabs>
              <w:ind w:left="1188"/>
            </w:pPr>
            <w:r>
              <w:t>Other (set)</w:t>
            </w:r>
          </w:p>
          <w:p w14:paraId="4C49C023" w14:textId="77777777" w:rsidR="002A21AE" w:rsidRDefault="002A21AE">
            <w:pPr>
              <w:pStyle w:val="TableText"/>
            </w:pPr>
          </w:p>
          <w:p w14:paraId="445CD57B" w14:textId="77777777" w:rsidR="002A21AE" w:rsidRDefault="00DD6197">
            <w:pPr>
              <w:pStyle w:val="NotesText"/>
            </w:pPr>
            <w:r>
              <w:t xml:space="preserve">The vial identifier, comprising one or two digits, identifies the vial contained in a kit of reagent red blood cells. A vial contains antigen positive or antigen negative blood cells to be used in quality control of the antisera. </w:t>
            </w:r>
          </w:p>
        </w:tc>
      </w:tr>
      <w:tr w:rsidR="002A21AE" w14:paraId="575DA5D3" w14:textId="77777777" w:rsidTr="00B4381D">
        <w:trPr>
          <w:cantSplit/>
        </w:trPr>
        <w:tc>
          <w:tcPr>
            <w:tcW w:w="3240" w:type="dxa"/>
          </w:tcPr>
          <w:p w14:paraId="3D4674D9" w14:textId="77777777" w:rsidR="002A21AE" w:rsidRDefault="002A21AE">
            <w:pPr>
              <w:pStyle w:val="TableTextNumbers"/>
            </w:pPr>
            <w:r>
              <w:lastRenderedPageBreak/>
              <w:t xml:space="preserve">Respond to warnings and continue with antigen typing. </w:t>
            </w:r>
          </w:p>
        </w:tc>
        <w:tc>
          <w:tcPr>
            <w:tcW w:w="6120" w:type="dxa"/>
          </w:tcPr>
          <w:p w14:paraId="52FD8E0F" w14:textId="77777777" w:rsidR="002A21AE" w:rsidRDefault="002A21AE">
            <w:pPr>
              <w:pStyle w:val="TableTextBullet"/>
            </w:pPr>
            <w:r>
              <w:t xml:space="preserve">Displays a </w:t>
            </w:r>
            <w:r w:rsidR="00917E9F">
              <w:t>DDE</w:t>
            </w:r>
            <w:r>
              <w:t xml:space="preserve"> grid for entering serologic reaction results for antigen typing testing. This grid may be partially populated with results from a previous session.</w:t>
            </w:r>
          </w:p>
          <w:p w14:paraId="643FBE7F" w14:textId="77777777" w:rsidR="002A21AE" w:rsidRDefault="002A21AE">
            <w:pPr>
              <w:pStyle w:val="TableText"/>
            </w:pPr>
          </w:p>
          <w:p w14:paraId="7C7C014C" w14:textId="70FF8C81" w:rsidR="002A21AE" w:rsidRDefault="002A21AE">
            <w:pPr>
              <w:pStyle w:val="TableText"/>
              <w:rPr>
                <w:b/>
                <w:bCs/>
                <w:szCs w:val="18"/>
              </w:rPr>
            </w:pPr>
            <w:r>
              <w:rPr>
                <w:b/>
                <w:bCs/>
                <w:szCs w:val="18"/>
              </w:rPr>
              <w:t>NOTES</w:t>
            </w:r>
          </w:p>
          <w:p w14:paraId="3C4AC7C8" w14:textId="77777777" w:rsidR="002A21AE" w:rsidRDefault="002A21AE">
            <w:pPr>
              <w:pStyle w:val="NotesText"/>
            </w:pPr>
          </w:p>
          <w:p w14:paraId="1BDF1136" w14:textId="77777777" w:rsidR="002A21AE" w:rsidRDefault="002A21AE">
            <w:pPr>
              <w:pStyle w:val="NotesText"/>
            </w:pPr>
            <w:r>
              <w:rPr>
                <w:rFonts w:cs="Arial"/>
                <w:vanish/>
              </w:rPr>
              <w:t xml:space="preserve">BR_41.07 </w:t>
            </w:r>
            <w:r>
              <w:t>VBECS organizes the worklist for the grids by antiserum types.</w:t>
            </w:r>
          </w:p>
          <w:p w14:paraId="57A3F804" w14:textId="77777777" w:rsidR="002A21AE" w:rsidRDefault="002A21AE">
            <w:pPr>
              <w:pStyle w:val="NotesText"/>
            </w:pPr>
          </w:p>
          <w:p w14:paraId="486EA285" w14:textId="77777777" w:rsidR="002A21AE" w:rsidRDefault="002A21AE">
            <w:pPr>
              <w:pStyle w:val="NotesText"/>
            </w:pPr>
            <w:r>
              <w:rPr>
                <w:vanish/>
                <w:szCs w:val="18"/>
              </w:rPr>
              <w:t xml:space="preserve">BR_98.06, </w:t>
            </w:r>
            <w:r>
              <w:rPr>
                <w:rFonts w:cs="Arial"/>
                <w:vanish/>
              </w:rPr>
              <w:t xml:space="preserve">BR_41.17 </w:t>
            </w:r>
            <w:r>
              <w:t>The row title of the data grid specifies the positive and negative control cells; the column title specifies the phases of reactivity that may be used in the test. VBECS fills in this information; the user may not edit it.</w:t>
            </w:r>
          </w:p>
        </w:tc>
      </w:tr>
      <w:tr w:rsidR="002A21AE" w14:paraId="67C7C91D" w14:textId="77777777">
        <w:tc>
          <w:tcPr>
            <w:tcW w:w="3240" w:type="dxa"/>
          </w:tcPr>
          <w:p w14:paraId="3EAF83DE" w14:textId="77777777" w:rsidR="002A21AE" w:rsidRDefault="002A21AE">
            <w:pPr>
              <w:pStyle w:val="TableTextNumbers"/>
            </w:pPr>
            <w:r>
              <w:t>Select one control cell or patient to begin entering serologic reactions and interpretations.</w:t>
            </w:r>
          </w:p>
        </w:tc>
        <w:tc>
          <w:tcPr>
            <w:tcW w:w="6120" w:type="dxa"/>
          </w:tcPr>
          <w:p w14:paraId="6E62AAEC" w14:textId="77777777" w:rsidR="002A21AE" w:rsidRDefault="002A21AE">
            <w:pPr>
              <w:pStyle w:val="TableTextBullet"/>
            </w:pPr>
            <w:r>
              <w:t>Allows the user to select a patient or control cell and enter test results.</w:t>
            </w:r>
          </w:p>
          <w:p w14:paraId="5A440051" w14:textId="77777777" w:rsidR="002A21AE" w:rsidRDefault="002A21AE">
            <w:pPr>
              <w:pStyle w:val="TableText"/>
            </w:pPr>
          </w:p>
          <w:p w14:paraId="7DCD0282" w14:textId="16BE230F" w:rsidR="002A21AE" w:rsidRDefault="002A21AE">
            <w:pPr>
              <w:pStyle w:val="TableText"/>
              <w:rPr>
                <w:b/>
                <w:bCs/>
                <w:szCs w:val="18"/>
              </w:rPr>
            </w:pPr>
            <w:r>
              <w:rPr>
                <w:b/>
                <w:bCs/>
                <w:szCs w:val="18"/>
              </w:rPr>
              <w:t>NOTES</w:t>
            </w:r>
          </w:p>
          <w:p w14:paraId="3CE62253" w14:textId="77777777" w:rsidR="002A21AE" w:rsidRDefault="002A21AE">
            <w:pPr>
              <w:pStyle w:val="NotesText"/>
            </w:pPr>
          </w:p>
          <w:p w14:paraId="63BF8F9C" w14:textId="77777777" w:rsidR="002A21AE" w:rsidRDefault="002A21AE">
            <w:pPr>
              <w:pStyle w:val="NotesText"/>
            </w:pPr>
            <w:r>
              <w:rPr>
                <w:rFonts w:cs="Arial"/>
                <w:vanish/>
              </w:rPr>
              <w:t xml:space="preserve">BR_41.09 </w:t>
            </w:r>
            <w:r>
              <w:t xml:space="preserve">Valid observed test results include: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2A21AE" w14:paraId="124EA869" w14:textId="77777777">
              <w:trPr>
                <w:tblHeader/>
              </w:trPr>
              <w:tc>
                <w:tcPr>
                  <w:tcW w:w="720" w:type="dxa"/>
                  <w:shd w:val="clear" w:color="auto" w:fill="B3B3B3"/>
                </w:tcPr>
                <w:p w14:paraId="46F53C1F" w14:textId="77777777" w:rsidR="002A21AE" w:rsidRDefault="002A21AE">
                  <w:pPr>
                    <w:pStyle w:val="TableText"/>
                    <w:jc w:val="center"/>
                    <w:rPr>
                      <w:b/>
                    </w:rPr>
                  </w:pPr>
                  <w:r>
                    <w:rPr>
                      <w:b/>
                    </w:rPr>
                    <w:t>Entry</w:t>
                  </w:r>
                </w:p>
              </w:tc>
              <w:tc>
                <w:tcPr>
                  <w:tcW w:w="3780" w:type="dxa"/>
                  <w:gridSpan w:val="2"/>
                  <w:shd w:val="clear" w:color="auto" w:fill="B3B3B3"/>
                </w:tcPr>
                <w:p w14:paraId="4910530B" w14:textId="77777777" w:rsidR="002A21AE" w:rsidRDefault="002A21AE">
                  <w:pPr>
                    <w:pStyle w:val="TableText"/>
                    <w:jc w:val="center"/>
                    <w:rPr>
                      <w:b/>
                    </w:rPr>
                  </w:pPr>
                  <w:r>
                    <w:rPr>
                      <w:b/>
                    </w:rPr>
                    <w:t>VBECS Translation</w:t>
                  </w:r>
                </w:p>
              </w:tc>
            </w:tr>
            <w:tr w:rsidR="002A21AE" w14:paraId="18A207FA" w14:textId="77777777">
              <w:tc>
                <w:tcPr>
                  <w:tcW w:w="720" w:type="dxa"/>
                </w:tcPr>
                <w:p w14:paraId="6E9F8EB2" w14:textId="77777777" w:rsidR="002A21AE" w:rsidRDefault="002A21AE">
                  <w:pPr>
                    <w:pStyle w:val="TableText"/>
                    <w:jc w:val="center"/>
                  </w:pPr>
                  <w:r>
                    <w:t>1</w:t>
                  </w:r>
                </w:p>
              </w:tc>
              <w:tc>
                <w:tcPr>
                  <w:tcW w:w="2520" w:type="dxa"/>
                </w:tcPr>
                <w:p w14:paraId="7A323899" w14:textId="77777777" w:rsidR="002A21AE" w:rsidRDefault="002A21AE">
                  <w:pPr>
                    <w:pStyle w:val="TableText"/>
                  </w:pPr>
                  <w:r>
                    <w:t>1+</w:t>
                  </w:r>
                </w:p>
              </w:tc>
              <w:tc>
                <w:tcPr>
                  <w:tcW w:w="1260" w:type="dxa"/>
                </w:tcPr>
                <w:p w14:paraId="73B2422F" w14:textId="77777777" w:rsidR="002A21AE" w:rsidRDefault="002A21AE">
                  <w:pPr>
                    <w:pStyle w:val="TableText"/>
                  </w:pPr>
                  <w:r>
                    <w:t>Positive</w:t>
                  </w:r>
                </w:p>
              </w:tc>
            </w:tr>
            <w:tr w:rsidR="002A21AE" w14:paraId="5304C826" w14:textId="77777777">
              <w:tc>
                <w:tcPr>
                  <w:tcW w:w="720" w:type="dxa"/>
                </w:tcPr>
                <w:p w14:paraId="1B18C1E3" w14:textId="77777777" w:rsidR="002A21AE" w:rsidRDefault="002A21AE">
                  <w:pPr>
                    <w:pStyle w:val="TableText"/>
                    <w:jc w:val="center"/>
                  </w:pPr>
                  <w:r>
                    <w:t>2</w:t>
                  </w:r>
                </w:p>
              </w:tc>
              <w:tc>
                <w:tcPr>
                  <w:tcW w:w="2520" w:type="dxa"/>
                </w:tcPr>
                <w:p w14:paraId="1FD2E08F" w14:textId="77777777" w:rsidR="002A21AE" w:rsidRDefault="002A21AE">
                  <w:pPr>
                    <w:pStyle w:val="TableText"/>
                  </w:pPr>
                  <w:r>
                    <w:t>2+</w:t>
                  </w:r>
                </w:p>
              </w:tc>
              <w:tc>
                <w:tcPr>
                  <w:tcW w:w="1260" w:type="dxa"/>
                </w:tcPr>
                <w:p w14:paraId="77FD7F2D" w14:textId="77777777" w:rsidR="002A21AE" w:rsidRDefault="002A21AE">
                  <w:pPr>
                    <w:pStyle w:val="TableText"/>
                  </w:pPr>
                  <w:r>
                    <w:t>Positive</w:t>
                  </w:r>
                </w:p>
              </w:tc>
            </w:tr>
            <w:tr w:rsidR="002A21AE" w14:paraId="4738BB76" w14:textId="77777777">
              <w:tc>
                <w:tcPr>
                  <w:tcW w:w="720" w:type="dxa"/>
                </w:tcPr>
                <w:p w14:paraId="797F3BBC" w14:textId="77777777" w:rsidR="002A21AE" w:rsidRDefault="002A21AE">
                  <w:pPr>
                    <w:pStyle w:val="TableText"/>
                    <w:jc w:val="center"/>
                  </w:pPr>
                  <w:r>
                    <w:t>3</w:t>
                  </w:r>
                </w:p>
              </w:tc>
              <w:tc>
                <w:tcPr>
                  <w:tcW w:w="2520" w:type="dxa"/>
                </w:tcPr>
                <w:p w14:paraId="212384A6" w14:textId="77777777" w:rsidR="002A21AE" w:rsidRDefault="002A21AE">
                  <w:pPr>
                    <w:pStyle w:val="TableText"/>
                  </w:pPr>
                  <w:r>
                    <w:t>3+</w:t>
                  </w:r>
                </w:p>
              </w:tc>
              <w:tc>
                <w:tcPr>
                  <w:tcW w:w="1260" w:type="dxa"/>
                </w:tcPr>
                <w:p w14:paraId="6AA496C4" w14:textId="77777777" w:rsidR="002A21AE" w:rsidRDefault="002A21AE">
                  <w:pPr>
                    <w:pStyle w:val="TableText"/>
                  </w:pPr>
                  <w:r>
                    <w:t>Positive</w:t>
                  </w:r>
                </w:p>
              </w:tc>
            </w:tr>
            <w:tr w:rsidR="002A21AE" w14:paraId="0D38CE74" w14:textId="77777777">
              <w:tc>
                <w:tcPr>
                  <w:tcW w:w="720" w:type="dxa"/>
                </w:tcPr>
                <w:p w14:paraId="667C8B09" w14:textId="77777777" w:rsidR="002A21AE" w:rsidRDefault="002A21AE">
                  <w:pPr>
                    <w:pStyle w:val="TableText"/>
                    <w:jc w:val="center"/>
                  </w:pPr>
                  <w:r>
                    <w:t>4</w:t>
                  </w:r>
                </w:p>
              </w:tc>
              <w:tc>
                <w:tcPr>
                  <w:tcW w:w="2520" w:type="dxa"/>
                </w:tcPr>
                <w:p w14:paraId="52EECB0F" w14:textId="77777777" w:rsidR="002A21AE" w:rsidRDefault="002A21AE">
                  <w:pPr>
                    <w:pStyle w:val="TableText"/>
                  </w:pPr>
                  <w:r>
                    <w:t>4+</w:t>
                  </w:r>
                </w:p>
              </w:tc>
              <w:tc>
                <w:tcPr>
                  <w:tcW w:w="1260" w:type="dxa"/>
                </w:tcPr>
                <w:p w14:paraId="2DF0E2C8" w14:textId="77777777" w:rsidR="002A21AE" w:rsidRDefault="002A21AE">
                  <w:pPr>
                    <w:pStyle w:val="TableText"/>
                  </w:pPr>
                  <w:r>
                    <w:t>Positive</w:t>
                  </w:r>
                </w:p>
              </w:tc>
            </w:tr>
            <w:tr w:rsidR="006D384A" w14:paraId="2863207E" w14:textId="77777777">
              <w:tc>
                <w:tcPr>
                  <w:tcW w:w="720" w:type="dxa"/>
                </w:tcPr>
                <w:p w14:paraId="5754E9AB" w14:textId="77777777" w:rsidR="006D384A" w:rsidRDefault="006D384A">
                  <w:pPr>
                    <w:pStyle w:val="TableText"/>
                    <w:jc w:val="center"/>
                  </w:pPr>
                  <w:r>
                    <w:t>W</w:t>
                  </w:r>
                </w:p>
              </w:tc>
              <w:tc>
                <w:tcPr>
                  <w:tcW w:w="2520" w:type="dxa"/>
                </w:tcPr>
                <w:p w14:paraId="6F95216E" w14:textId="77777777" w:rsidR="006D384A" w:rsidRDefault="006D384A">
                  <w:pPr>
                    <w:pStyle w:val="TableText"/>
                  </w:pPr>
                  <w:r>
                    <w:t>Weak</w:t>
                  </w:r>
                </w:p>
              </w:tc>
              <w:tc>
                <w:tcPr>
                  <w:tcW w:w="1260" w:type="dxa"/>
                </w:tcPr>
                <w:p w14:paraId="473070C5" w14:textId="77777777" w:rsidR="006D384A" w:rsidRDefault="006D384A" w:rsidP="0079413B">
                  <w:pPr>
                    <w:pStyle w:val="TableText"/>
                  </w:pPr>
                  <w:r>
                    <w:t>Positive</w:t>
                  </w:r>
                </w:p>
              </w:tc>
            </w:tr>
            <w:tr w:rsidR="006D384A" w14:paraId="3CA96AAE" w14:textId="77777777">
              <w:tc>
                <w:tcPr>
                  <w:tcW w:w="720" w:type="dxa"/>
                </w:tcPr>
                <w:p w14:paraId="7DE23CF7" w14:textId="77777777" w:rsidR="006D384A" w:rsidRDefault="006D384A">
                  <w:pPr>
                    <w:pStyle w:val="TableText"/>
                    <w:jc w:val="center"/>
                  </w:pPr>
                  <w:r>
                    <w:t>F</w:t>
                  </w:r>
                </w:p>
              </w:tc>
              <w:tc>
                <w:tcPr>
                  <w:tcW w:w="2520" w:type="dxa"/>
                </w:tcPr>
                <w:p w14:paraId="6B49BC99" w14:textId="77777777" w:rsidR="006D384A" w:rsidRDefault="006D384A">
                  <w:pPr>
                    <w:pStyle w:val="TableText"/>
                  </w:pPr>
                  <w:r>
                    <w:t>Mixed Field</w:t>
                  </w:r>
                </w:p>
              </w:tc>
              <w:tc>
                <w:tcPr>
                  <w:tcW w:w="1260" w:type="dxa"/>
                </w:tcPr>
                <w:p w14:paraId="06D536F1" w14:textId="77777777" w:rsidR="006D384A" w:rsidRDefault="006D384A" w:rsidP="0079413B">
                  <w:pPr>
                    <w:pStyle w:val="TableText"/>
                  </w:pPr>
                  <w:r>
                    <w:t>Positive</w:t>
                  </w:r>
                </w:p>
              </w:tc>
            </w:tr>
            <w:tr w:rsidR="006D384A" w14:paraId="5E42F902" w14:textId="77777777">
              <w:tc>
                <w:tcPr>
                  <w:tcW w:w="720" w:type="dxa"/>
                </w:tcPr>
                <w:p w14:paraId="4A6E78B7" w14:textId="77777777" w:rsidR="006D384A" w:rsidRDefault="006D384A">
                  <w:pPr>
                    <w:pStyle w:val="TableText"/>
                    <w:jc w:val="center"/>
                  </w:pPr>
                  <w:r>
                    <w:t>M</w:t>
                  </w:r>
                </w:p>
              </w:tc>
              <w:tc>
                <w:tcPr>
                  <w:tcW w:w="2520" w:type="dxa"/>
                </w:tcPr>
                <w:p w14:paraId="0B19E6B7" w14:textId="77777777" w:rsidR="006D384A" w:rsidRDefault="006D384A">
                  <w:pPr>
                    <w:pStyle w:val="TableText"/>
                  </w:pPr>
                  <w:r>
                    <w:t>Microscopic</w:t>
                  </w:r>
                </w:p>
              </w:tc>
              <w:tc>
                <w:tcPr>
                  <w:tcW w:w="1260" w:type="dxa"/>
                </w:tcPr>
                <w:p w14:paraId="7BB4B2F9" w14:textId="77777777" w:rsidR="006D384A" w:rsidRDefault="006D384A" w:rsidP="0079413B">
                  <w:pPr>
                    <w:pStyle w:val="TableText"/>
                  </w:pPr>
                  <w:r>
                    <w:t>Positive</w:t>
                  </w:r>
                </w:p>
              </w:tc>
            </w:tr>
            <w:tr w:rsidR="002A21AE" w14:paraId="7AF6BFC1" w14:textId="77777777">
              <w:tc>
                <w:tcPr>
                  <w:tcW w:w="720" w:type="dxa"/>
                </w:tcPr>
                <w:p w14:paraId="4A57B9FC" w14:textId="77777777" w:rsidR="002A21AE" w:rsidRDefault="002A21AE">
                  <w:pPr>
                    <w:pStyle w:val="TableText"/>
                    <w:jc w:val="center"/>
                  </w:pPr>
                  <w:r>
                    <w:t>X</w:t>
                  </w:r>
                </w:p>
              </w:tc>
              <w:tc>
                <w:tcPr>
                  <w:tcW w:w="2520" w:type="dxa"/>
                </w:tcPr>
                <w:p w14:paraId="2286E6D8" w14:textId="77777777" w:rsidR="002A21AE" w:rsidRDefault="002A21AE">
                  <w:pPr>
                    <w:pStyle w:val="TableText"/>
                  </w:pPr>
                  <w:r>
                    <w:t>Not Tested</w:t>
                  </w:r>
                  <w:r w:rsidR="002F7FF1">
                    <w:t xml:space="preserve"> X (Not Tested) (does not indicate a disabled cell)</w:t>
                  </w:r>
                </w:p>
              </w:tc>
              <w:tc>
                <w:tcPr>
                  <w:tcW w:w="1260" w:type="dxa"/>
                </w:tcPr>
                <w:p w14:paraId="2C52AE55" w14:textId="77777777" w:rsidR="002A21AE" w:rsidRDefault="002A21AE">
                  <w:pPr>
                    <w:pStyle w:val="TableText"/>
                  </w:pPr>
                  <w:r>
                    <w:t>Not Tested</w:t>
                  </w:r>
                </w:p>
              </w:tc>
            </w:tr>
            <w:tr w:rsidR="002A21AE" w14:paraId="76C457F8" w14:textId="77777777">
              <w:tc>
                <w:tcPr>
                  <w:tcW w:w="720" w:type="dxa"/>
                </w:tcPr>
                <w:p w14:paraId="672736E3" w14:textId="77777777" w:rsidR="002A21AE" w:rsidRDefault="002A21AE">
                  <w:pPr>
                    <w:pStyle w:val="TableText"/>
                    <w:jc w:val="center"/>
                  </w:pPr>
                  <w:r>
                    <w:t>0</w:t>
                  </w:r>
                </w:p>
              </w:tc>
              <w:tc>
                <w:tcPr>
                  <w:tcW w:w="2520" w:type="dxa"/>
                </w:tcPr>
                <w:p w14:paraId="66719255" w14:textId="77777777" w:rsidR="002A21AE" w:rsidRDefault="002A21AE">
                  <w:pPr>
                    <w:pStyle w:val="TableText"/>
                  </w:pPr>
                  <w:r>
                    <w:t>No Agglutination</w:t>
                  </w:r>
                </w:p>
              </w:tc>
              <w:tc>
                <w:tcPr>
                  <w:tcW w:w="1260" w:type="dxa"/>
                </w:tcPr>
                <w:p w14:paraId="2E07A7FD" w14:textId="77777777" w:rsidR="002A21AE" w:rsidRDefault="002A21AE">
                  <w:pPr>
                    <w:pStyle w:val="TableText"/>
                  </w:pPr>
                  <w:r>
                    <w:t>Negative</w:t>
                  </w:r>
                </w:p>
              </w:tc>
            </w:tr>
            <w:tr w:rsidR="002A21AE" w14:paraId="54CF0D0E" w14:textId="77777777">
              <w:tc>
                <w:tcPr>
                  <w:tcW w:w="720" w:type="dxa"/>
                </w:tcPr>
                <w:p w14:paraId="656FB4BC" w14:textId="77777777" w:rsidR="002A21AE" w:rsidRDefault="002A21AE">
                  <w:pPr>
                    <w:pStyle w:val="TableText"/>
                    <w:jc w:val="center"/>
                  </w:pPr>
                  <w:r>
                    <w:t>R</w:t>
                  </w:r>
                </w:p>
              </w:tc>
              <w:tc>
                <w:tcPr>
                  <w:tcW w:w="2520" w:type="dxa"/>
                </w:tcPr>
                <w:p w14:paraId="09758304" w14:textId="77777777" w:rsidR="002A21AE" w:rsidRDefault="002A21AE">
                  <w:pPr>
                    <w:pStyle w:val="TableText"/>
                  </w:pPr>
                  <w:r>
                    <w:t>Rouleaux, No Agglutination</w:t>
                  </w:r>
                </w:p>
              </w:tc>
              <w:tc>
                <w:tcPr>
                  <w:tcW w:w="1260" w:type="dxa"/>
                </w:tcPr>
                <w:p w14:paraId="7C2FE772" w14:textId="77777777" w:rsidR="002A21AE" w:rsidRDefault="002A21AE">
                  <w:pPr>
                    <w:pStyle w:val="TableText"/>
                  </w:pPr>
                  <w:r>
                    <w:t>Negative</w:t>
                  </w:r>
                </w:p>
              </w:tc>
            </w:tr>
          </w:tbl>
          <w:p w14:paraId="2634A9AE" w14:textId="77777777" w:rsidR="002A21AE" w:rsidRDefault="002A21AE">
            <w:pPr>
              <w:pStyle w:val="NotesText"/>
            </w:pPr>
          </w:p>
          <w:p w14:paraId="4D5E38A6" w14:textId="77777777" w:rsidR="002A21AE" w:rsidRDefault="002A21AE">
            <w:pPr>
              <w:pStyle w:val="NotesText"/>
            </w:pPr>
            <w:r>
              <w:rPr>
                <w:rFonts w:cs="Arial"/>
                <w:vanish/>
              </w:rPr>
              <w:t>BR_41.19</w:t>
            </w:r>
            <w:r>
              <w:t>System rules establish row validation for the interpretation vs. reaction results pattern [for all user-indicated phase(s) of reactivity] for blood unit and quality control tests.</w:t>
            </w:r>
          </w:p>
          <w:p w14:paraId="32B01A3D" w14:textId="77777777" w:rsidR="002A21AE" w:rsidRDefault="002A21AE">
            <w:pPr>
              <w:pStyle w:val="NotesText"/>
            </w:pPr>
          </w:p>
          <w:p w14:paraId="28EB5926" w14:textId="77777777" w:rsidR="002A21AE" w:rsidRDefault="002A21AE">
            <w:pPr>
              <w:pStyle w:val="NotesText"/>
            </w:pPr>
            <w:r>
              <w:rPr>
                <w:rFonts w:cs="Arial"/>
                <w:vanish/>
              </w:rPr>
              <w:t xml:space="preserve">BR_41.13 </w:t>
            </w:r>
            <w:r>
              <w:t>When completing previously saved partially completed testing, the user may not change the antiserum lot number, manufacturer name, or expiration date. The user must invalidate the antiserum testing and start over.</w:t>
            </w:r>
          </w:p>
        </w:tc>
      </w:tr>
      <w:tr w:rsidR="002A21AE" w14:paraId="1E189CEB" w14:textId="77777777">
        <w:tc>
          <w:tcPr>
            <w:tcW w:w="3240" w:type="dxa"/>
          </w:tcPr>
          <w:p w14:paraId="767B5438" w14:textId="77777777" w:rsidR="002A21AE" w:rsidRDefault="002A21AE">
            <w:pPr>
              <w:pStyle w:val="TableTextNumbers"/>
            </w:pPr>
            <w:r>
              <w:t>Enter results for selected patients and control cells.</w:t>
            </w:r>
          </w:p>
        </w:tc>
        <w:tc>
          <w:tcPr>
            <w:tcW w:w="6120" w:type="dxa"/>
          </w:tcPr>
          <w:p w14:paraId="745ADDC1" w14:textId="77777777" w:rsidR="002A21AE" w:rsidRDefault="002A21AE">
            <w:pPr>
              <w:pStyle w:val="TableTextBullet"/>
            </w:pPr>
            <w:r>
              <w:t>Prompts the user to confirm that results were reviewed and are acceptable.</w:t>
            </w:r>
          </w:p>
          <w:p w14:paraId="5CFA273A" w14:textId="77777777" w:rsidR="002A21AE" w:rsidRDefault="002A21AE">
            <w:pPr>
              <w:pStyle w:val="TableText"/>
            </w:pPr>
          </w:p>
          <w:p w14:paraId="03BFCE7D" w14:textId="1753A309" w:rsidR="002A21AE" w:rsidRDefault="002A21AE">
            <w:pPr>
              <w:pStyle w:val="TableText"/>
              <w:rPr>
                <w:b/>
                <w:bCs/>
                <w:szCs w:val="18"/>
              </w:rPr>
            </w:pPr>
            <w:r>
              <w:rPr>
                <w:b/>
                <w:bCs/>
                <w:szCs w:val="18"/>
              </w:rPr>
              <w:t>NOTES</w:t>
            </w:r>
          </w:p>
          <w:p w14:paraId="706152E5" w14:textId="77777777" w:rsidR="002A21AE" w:rsidRDefault="002A21AE">
            <w:pPr>
              <w:pStyle w:val="NotesText"/>
            </w:pPr>
          </w:p>
          <w:p w14:paraId="60B611F3" w14:textId="77777777" w:rsidR="002A21AE" w:rsidRDefault="002A21AE">
            <w:pPr>
              <w:pStyle w:val="NotesText"/>
              <w:rPr>
                <w:rFonts w:eastAsia="Symbol"/>
              </w:rPr>
            </w:pPr>
            <w:r>
              <w:rPr>
                <w:rFonts w:cs="Arial"/>
                <w:vanish/>
              </w:rPr>
              <w:t>BR_98.01</w:t>
            </w:r>
            <w:r w:rsidR="004F5F28" w:rsidRPr="00323744">
              <w:rPr>
                <w:rStyle w:val="BullhornChar"/>
              </w:rPr>
              <w:t></w:t>
            </w:r>
            <w:r w:rsidR="004F5F28">
              <w:rPr>
                <w:rFonts w:ascii="Webdings" w:hAnsi="Webdings"/>
              </w:rPr>
              <w:t></w:t>
            </w:r>
            <w:r>
              <w:rPr>
                <w:rFonts w:eastAsia="Symbol"/>
              </w:rPr>
              <w:t xml:space="preserve">VBECS searches the current order and the patient’s historical record for previously entered red cell antigen results for each specificity within the user’s division and compares the results to prevent a discrepancy with previous test entries. When a discrepancy is found, VBECS </w:t>
            </w:r>
            <w:r>
              <w:t>emits an audible alert, notifies the user that t</w:t>
            </w:r>
            <w:r>
              <w:rPr>
                <w:rFonts w:eastAsia="Symbol"/>
              </w:rPr>
              <w:t>he current specimen and a previously entered antigen typing on this patient do not match, and asks whether the user wishes to save the current result.</w:t>
            </w:r>
          </w:p>
          <w:p w14:paraId="43DB93BC" w14:textId="77777777" w:rsidR="002A21AE" w:rsidRDefault="002A21AE">
            <w:pPr>
              <w:pStyle w:val="NotesText"/>
              <w:rPr>
                <w:rFonts w:eastAsia="Symbol"/>
                <w:b/>
              </w:rPr>
            </w:pPr>
          </w:p>
          <w:p w14:paraId="59BF61D2" w14:textId="77777777" w:rsidR="002A21AE" w:rsidRPr="00BF10B2" w:rsidRDefault="002A21AE">
            <w:pPr>
              <w:pStyle w:val="NotesText"/>
            </w:pPr>
            <w:r w:rsidRPr="00BF10B2">
              <w:rPr>
                <w:rFonts w:eastAsia="Symbol"/>
                <w:b/>
              </w:rPr>
              <w:t>No</w:t>
            </w:r>
            <w:r w:rsidRPr="00BF10B2">
              <w:rPr>
                <w:rFonts w:eastAsia="Symbol"/>
              </w:rPr>
              <w:t xml:space="preserve"> closes the form and returns to the grid. </w:t>
            </w:r>
            <w:r w:rsidRPr="00BF10B2">
              <w:rPr>
                <w:rFonts w:eastAsia="Symbol"/>
                <w:b/>
              </w:rPr>
              <w:t>Yes</w:t>
            </w:r>
            <w:r w:rsidRPr="00BF10B2">
              <w:rPr>
                <w:rFonts w:eastAsia="Symbol"/>
              </w:rPr>
              <w:t xml:space="preserve"> allows the user to update the conflicting results in the database and/or enter a </w:t>
            </w:r>
            <w:r w:rsidRPr="00BF10B2">
              <w:rPr>
                <w:rFonts w:eastAsia="Symbol"/>
              </w:rPr>
              <w:lastRenderedPageBreak/>
              <w:t>comment explaining why he is accepting this result. VBECS captures details for inclusion in an Exception Report (exception type: discrepant patient antigen typing).</w:t>
            </w:r>
          </w:p>
        </w:tc>
      </w:tr>
      <w:tr w:rsidR="002A21AE" w14:paraId="5BD0DAEC" w14:textId="77777777">
        <w:tc>
          <w:tcPr>
            <w:tcW w:w="3240" w:type="dxa"/>
          </w:tcPr>
          <w:p w14:paraId="31489EDE" w14:textId="0C9AA605" w:rsidR="002A21AE" w:rsidRDefault="002A21AE">
            <w:pPr>
              <w:pStyle w:val="TableTextNumbers"/>
            </w:pPr>
            <w:r>
              <w:lastRenderedPageBreak/>
              <w:t>Repeat Steps 5</w:t>
            </w:r>
            <w:r w:rsidR="004F5589">
              <w:t xml:space="preserve"> through </w:t>
            </w:r>
            <w:r>
              <w:t>9 for each antiserum type.</w:t>
            </w:r>
          </w:p>
        </w:tc>
        <w:tc>
          <w:tcPr>
            <w:tcW w:w="6120" w:type="dxa"/>
          </w:tcPr>
          <w:p w14:paraId="4A0366AA" w14:textId="77777777" w:rsidR="002A21AE" w:rsidRDefault="002A21AE">
            <w:pPr>
              <w:pStyle w:val="TableTextBullet"/>
            </w:pPr>
            <w:r>
              <w:t>Allows the user to save.</w:t>
            </w:r>
          </w:p>
          <w:p w14:paraId="7F86748D" w14:textId="77777777" w:rsidR="002A21AE" w:rsidRDefault="002A21AE">
            <w:pPr>
              <w:pStyle w:val="TableText"/>
            </w:pPr>
          </w:p>
          <w:p w14:paraId="64323B88" w14:textId="7EA246AA" w:rsidR="002A21AE" w:rsidRDefault="002A21AE">
            <w:pPr>
              <w:pStyle w:val="TableText"/>
              <w:rPr>
                <w:b/>
                <w:bCs/>
                <w:szCs w:val="18"/>
              </w:rPr>
            </w:pPr>
            <w:r>
              <w:rPr>
                <w:b/>
                <w:bCs/>
                <w:szCs w:val="18"/>
              </w:rPr>
              <w:t>NOTES</w:t>
            </w:r>
          </w:p>
          <w:p w14:paraId="7622C96A" w14:textId="77777777" w:rsidR="002A21AE" w:rsidRDefault="002A21AE">
            <w:pPr>
              <w:pStyle w:val="NotesText"/>
            </w:pPr>
          </w:p>
          <w:p w14:paraId="2F95CEC3" w14:textId="77777777" w:rsidR="009256FE" w:rsidRDefault="009256FE" w:rsidP="009256FE">
            <w:pPr>
              <w:pStyle w:val="NotesText"/>
            </w:pPr>
            <w:r>
              <w:t>The positive and/or negative control cell test results on the date of testing must be a valid positive or negative.</w:t>
            </w:r>
          </w:p>
          <w:p w14:paraId="2129CE02" w14:textId="77777777" w:rsidR="002A21AE" w:rsidRDefault="002A21AE" w:rsidP="009256FE">
            <w:pPr>
              <w:pStyle w:val="NotesText"/>
              <w:ind w:left="0"/>
            </w:pPr>
          </w:p>
        </w:tc>
      </w:tr>
      <w:tr w:rsidR="002A21AE" w14:paraId="153DC765" w14:textId="77777777">
        <w:tc>
          <w:tcPr>
            <w:tcW w:w="3240" w:type="dxa"/>
          </w:tcPr>
          <w:p w14:paraId="766B7269" w14:textId="77777777" w:rsidR="002A21AE" w:rsidRDefault="002A21AE">
            <w:pPr>
              <w:pStyle w:val="TableTextNumbers"/>
            </w:pPr>
            <w:r>
              <w:t xml:space="preserve">Respond to warnings and click </w:t>
            </w:r>
            <w:r>
              <w:rPr>
                <w:b/>
              </w:rPr>
              <w:t>OK</w:t>
            </w:r>
            <w:r>
              <w:t xml:space="preserve"> to save the data.</w:t>
            </w:r>
          </w:p>
        </w:tc>
        <w:tc>
          <w:tcPr>
            <w:tcW w:w="6120" w:type="dxa"/>
          </w:tcPr>
          <w:p w14:paraId="13112ED1" w14:textId="77777777" w:rsidR="002A21AE" w:rsidRDefault="002A21AE">
            <w:pPr>
              <w:pStyle w:val="TableTextBullet"/>
            </w:pPr>
            <w:r>
              <w:t xml:space="preserve">Reconfirms that all appropriate test results are entered, repeats all data validation, and saves the data. </w:t>
            </w:r>
          </w:p>
        </w:tc>
      </w:tr>
      <w:tr w:rsidR="002A21AE" w14:paraId="54617D21" w14:textId="77777777">
        <w:tc>
          <w:tcPr>
            <w:tcW w:w="3240" w:type="dxa"/>
          </w:tcPr>
          <w:p w14:paraId="7E171B65"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782EA40" w14:textId="77777777" w:rsidR="002A21AE" w:rsidRDefault="002A21AE">
            <w:pPr>
              <w:pStyle w:val="TableTextBullet"/>
            </w:pPr>
            <w:r>
              <w:t>Saves the data.</w:t>
            </w:r>
          </w:p>
        </w:tc>
      </w:tr>
    </w:tbl>
    <w:p w14:paraId="3B0A39B3" w14:textId="6D3D9FC2" w:rsidR="002A21AE" w:rsidRDefault="00AA3667" w:rsidP="00AA3667">
      <w:pPr>
        <w:pStyle w:val="Caption"/>
      </w:pPr>
      <w:bookmarkStart w:id="480" w:name="_Ref12672719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99</w:t>
      </w:r>
      <w:r w:rsidR="004E20BD">
        <w:rPr>
          <w:noProof/>
        </w:rPr>
        <w:fldChar w:fldCharType="end"/>
      </w:r>
      <w:bookmarkEnd w:id="480"/>
      <w:r>
        <w:t>: Patient Testing Antigen Typing</w:t>
      </w:r>
      <w:r w:rsidR="001E3E16">
        <w:t xml:space="preserve"> (1)</w:t>
      </w:r>
    </w:p>
    <w:p w14:paraId="12545249" w14:textId="77777777" w:rsidR="00AA3667" w:rsidRPr="00AA3667" w:rsidRDefault="00057948" w:rsidP="00AA3667">
      <w:pPr>
        <w:pStyle w:val="BodyText"/>
      </w:pPr>
      <w:r>
        <w:rPr>
          <w:noProof/>
        </w:rPr>
        <w:drawing>
          <wp:inline distT="0" distB="0" distL="0" distR="0" wp14:anchorId="0C83A12E" wp14:editId="115CAFBF">
            <wp:extent cx="5781675" cy="3546475"/>
            <wp:effectExtent l="0" t="0" r="9525" b="0"/>
            <wp:docPr id="241" name="Picture 241" descr="Example of Patient Testing Antigen Typ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Example of Patient Testing Antigen Typing screen captur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81675" cy="3546475"/>
                    </a:xfrm>
                    <a:prstGeom prst="rect">
                      <a:avLst/>
                    </a:prstGeom>
                    <a:noFill/>
                    <a:ln>
                      <a:noFill/>
                    </a:ln>
                  </pic:spPr>
                </pic:pic>
              </a:graphicData>
            </a:graphic>
          </wp:inline>
        </w:drawing>
      </w:r>
    </w:p>
    <w:p w14:paraId="47C240EC" w14:textId="0447BF14" w:rsidR="001E3E16" w:rsidRDefault="001E3E16" w:rsidP="001E3E16">
      <w:pPr>
        <w:pStyle w:val="Caption"/>
      </w:pPr>
      <w:bookmarkStart w:id="481" w:name="_Ref12672746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100</w:t>
      </w:r>
      <w:r w:rsidR="004E20BD">
        <w:rPr>
          <w:noProof/>
        </w:rPr>
        <w:fldChar w:fldCharType="end"/>
      </w:r>
      <w:bookmarkEnd w:id="481"/>
      <w:r>
        <w:t>: Patient Testing Antigen Typing (2)</w:t>
      </w:r>
    </w:p>
    <w:p w14:paraId="02416AC4" w14:textId="77777777" w:rsidR="007810A1" w:rsidRDefault="00057948" w:rsidP="007810A1">
      <w:pPr>
        <w:pStyle w:val="BodyText"/>
      </w:pPr>
      <w:r>
        <w:rPr>
          <w:noProof/>
        </w:rPr>
        <w:drawing>
          <wp:inline distT="0" distB="0" distL="0" distR="0" wp14:anchorId="7AE7F157" wp14:editId="4015883C">
            <wp:extent cx="5939155" cy="4442460"/>
            <wp:effectExtent l="0" t="0" r="4445" b="0"/>
            <wp:docPr id="242" name="Picture 242" descr="Example of Patient Testing Antigen Typing (2)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Example of Patient Testing Antigen Typing (2) screen captur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9155" cy="4442460"/>
                    </a:xfrm>
                    <a:prstGeom prst="rect">
                      <a:avLst/>
                    </a:prstGeom>
                    <a:noFill/>
                    <a:ln>
                      <a:noFill/>
                    </a:ln>
                  </pic:spPr>
                </pic:pic>
              </a:graphicData>
            </a:graphic>
          </wp:inline>
        </w:drawing>
      </w:r>
    </w:p>
    <w:p w14:paraId="22A98A31" w14:textId="77777777" w:rsidR="002A21AE" w:rsidRDefault="002A21AE">
      <w:pPr>
        <w:pStyle w:val="Heading3"/>
      </w:pPr>
      <w:r>
        <w:br w:type="page"/>
      </w:r>
      <w:bookmarkStart w:id="482" w:name="_Toc163644954"/>
      <w:r>
        <w:lastRenderedPageBreak/>
        <w:t xml:space="preserve">Patient Testing: </w:t>
      </w:r>
      <w:r w:rsidR="00244FCD">
        <w:t>Enter Antibody Identification Results</w:t>
      </w:r>
      <w:bookmarkEnd w:id="478"/>
      <w:bookmarkEnd w:id="482"/>
      <w:r>
        <w:fldChar w:fldCharType="begin"/>
      </w:r>
      <w:r>
        <w:instrText xml:space="preserve"> XE </w:instrText>
      </w:r>
      <w:r w:rsidR="00FA7E65">
        <w:instrText>“</w:instrText>
      </w:r>
      <w:r>
        <w:instrText xml:space="preserve">Patient Testing\: </w:instrText>
      </w:r>
      <w:r w:rsidR="00244FCD">
        <w:instrText>Enter Antibody Identification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UC_57</w:t>
      </w:r>
    </w:p>
    <w:p w14:paraId="5D273AFD" w14:textId="77777777" w:rsidR="002A21AE" w:rsidRDefault="002A21AE" w:rsidP="00FA7E65">
      <w:pPr>
        <w:pStyle w:val="BodyText"/>
      </w:pPr>
      <w:r>
        <w:t>The user records results of reflex tests needed to complete a patient blood bank antibody workup.</w:t>
      </w:r>
    </w:p>
    <w:p w14:paraId="450EEDCD" w14:textId="77777777" w:rsidR="002A21AE" w:rsidRDefault="002A21AE">
      <w:pPr>
        <w:pStyle w:val="Heading4"/>
      </w:pPr>
      <w:r>
        <w:t>Assumptions</w:t>
      </w:r>
    </w:p>
    <w:p w14:paraId="68C5AEE8" w14:textId="77777777" w:rsidR="002A21AE" w:rsidRDefault="002A21AE">
      <w:pPr>
        <w:pStyle w:val="ListBullet"/>
      </w:pPr>
      <w:r>
        <w:t>An order for an antibody identification (ABID) was placed and is opened in the Pending Task List (PTL).</w:t>
      </w:r>
    </w:p>
    <w:p w14:paraId="02D3E788" w14:textId="77777777" w:rsidR="002A21AE" w:rsidRDefault="002A21AE">
      <w:pPr>
        <w:pStyle w:val="Heading4"/>
      </w:pPr>
      <w:r>
        <w:t>Outcome</w:t>
      </w:r>
    </w:p>
    <w:p w14:paraId="1665F971" w14:textId="77777777" w:rsidR="002A21AE" w:rsidRDefault="002A21AE">
      <w:pPr>
        <w:pStyle w:val="ListBullet"/>
      </w:pPr>
      <w:r>
        <w:t>VBECS displays the ABID in the patient’s record, which the user may review by clicking an icon in the Patient Information Toolbar.</w:t>
      </w:r>
    </w:p>
    <w:p w14:paraId="611F1DE5" w14:textId="77777777" w:rsidR="002A21AE" w:rsidRDefault="002A21AE">
      <w:pPr>
        <w:pStyle w:val="ListBullet"/>
      </w:pPr>
      <w:r>
        <w:t>Entry of antibody specificity through this option may automatically set an antigen negative requirement [Transfusion Requirement (TR)] based on the division-specific parameters.</w:t>
      </w:r>
    </w:p>
    <w:p w14:paraId="01CAD3BB" w14:textId="77777777" w:rsidR="002A21AE" w:rsidRDefault="002A21AE">
      <w:pPr>
        <w:pStyle w:val="Heading4"/>
      </w:pPr>
      <w:r>
        <w:t>Limitations and Restrictions</w:t>
      </w:r>
    </w:p>
    <w:p w14:paraId="5D2951DF" w14:textId="77777777" w:rsidR="002A21AE" w:rsidRDefault="00FC0A61">
      <w:pPr>
        <w:pStyle w:val="ListBullet"/>
      </w:pPr>
      <w:r>
        <w:t xml:space="preserve">When an antigen negative requirement is not </w:t>
      </w:r>
      <w:r w:rsidR="00FC3A2C">
        <w:t xml:space="preserve">configured </w:t>
      </w:r>
      <w:r>
        <w:t>for an antibody, the user may enter the requirement for a patient through Special Instructions &amp; Transfusion Requirements: Enter a Transfusion Requirement.</w:t>
      </w:r>
    </w:p>
    <w:p w14:paraId="1536C6E9" w14:textId="77777777" w:rsidR="002A21AE" w:rsidRDefault="002A21AE">
      <w:pPr>
        <w:pStyle w:val="Heading4"/>
      </w:pPr>
      <w:r>
        <w:t>Additional Information</w:t>
      </w:r>
    </w:p>
    <w:p w14:paraId="71799C87" w14:textId="77777777" w:rsidR="002A21AE" w:rsidRDefault="002A21AE">
      <w:pPr>
        <w:pStyle w:val="ListBullet"/>
      </w:pPr>
      <w:r>
        <w:t xml:space="preserve">Correction to verified patient data may be accessed only through </w:t>
      </w:r>
      <w:r>
        <w:rPr>
          <w:snapToGrid w:val="0"/>
        </w:rPr>
        <w:t>Invalidate Test Results</w:t>
      </w:r>
      <w:r w:rsidR="007E549A">
        <w:rPr>
          <w:snapToGrid w:val="0"/>
        </w:rPr>
        <w:t xml:space="preserve"> and does require extensive removal of associated units, even if transfused. As this is the case, optionally record workload and billing here but the antibody specificity identified using Special Instructions Transfusion requirements option to allow for future editing</w:t>
      </w:r>
      <w:r>
        <w:t>.</w:t>
      </w:r>
    </w:p>
    <w:p w14:paraId="6176D69C" w14:textId="77777777" w:rsidR="002A21AE" w:rsidRDefault="002A21AE">
      <w:pPr>
        <w:pStyle w:val="ListBullet"/>
      </w:pPr>
      <w:r>
        <w:t>Only one technologist at a time can enter test results for a selected PTL task.</w:t>
      </w:r>
    </w:p>
    <w:p w14:paraId="27140A58" w14:textId="77777777" w:rsidR="002A21AE" w:rsidRDefault="002A21AE">
      <w:pPr>
        <w:pStyle w:val="ListBullet"/>
      </w:pPr>
      <w:r>
        <w:t>Patient antigen testing is not included in this option.</w:t>
      </w:r>
    </w:p>
    <w:p w14:paraId="46DDAC7B" w14:textId="77777777" w:rsidR="002A21AE" w:rsidRDefault="002A21AE">
      <w:pPr>
        <w:pStyle w:val="Heading4"/>
      </w:pPr>
      <w:r>
        <w:t>User Roles with Access to This Option</w:t>
      </w:r>
    </w:p>
    <w:p w14:paraId="412ED4B5" w14:textId="77777777" w:rsidR="002A21AE" w:rsidRDefault="0062763B">
      <w:pPr>
        <w:pStyle w:val="Roles"/>
        <w:rPr>
          <w:snapToGrid w:val="0"/>
        </w:rPr>
      </w:pPr>
      <w:r>
        <w:t>All users</w:t>
      </w:r>
    </w:p>
    <w:bookmarkEnd w:id="479"/>
    <w:p w14:paraId="3CA2FE6B" w14:textId="77777777" w:rsidR="002A21AE" w:rsidRDefault="002A21AE">
      <w:pPr>
        <w:pStyle w:val="Heading4"/>
      </w:pPr>
      <w:r>
        <w:t xml:space="preserve">Patient Testing: </w:t>
      </w:r>
      <w:r w:rsidR="00244FCD">
        <w:t>Enter Antibody Identification Results</w:t>
      </w:r>
    </w:p>
    <w:p w14:paraId="54072078" w14:textId="77777777" w:rsidR="002A21AE" w:rsidRDefault="002A21AE" w:rsidP="00FA7E65">
      <w:pPr>
        <w:pStyle w:val="BodyText"/>
      </w:pPr>
      <w:r>
        <w:t>The user may select workload codes for work performed on-site during the ABID workup. When the ABID is performed off-site, the user enters the associated charges.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D56C0DA" w14:textId="77777777">
        <w:trPr>
          <w:cantSplit/>
          <w:tblHeader/>
        </w:trPr>
        <w:tc>
          <w:tcPr>
            <w:tcW w:w="3240" w:type="dxa"/>
            <w:shd w:val="pct30" w:color="auto" w:fill="FFFFFF"/>
            <w:vAlign w:val="bottom"/>
          </w:tcPr>
          <w:p w14:paraId="30756E04" w14:textId="77777777" w:rsidR="002A21AE" w:rsidRDefault="002A21AE">
            <w:pPr>
              <w:pStyle w:val="TableText"/>
              <w:rPr>
                <w:b/>
              </w:rPr>
            </w:pPr>
            <w:r>
              <w:rPr>
                <w:b/>
              </w:rPr>
              <w:t>User Action</w:t>
            </w:r>
          </w:p>
        </w:tc>
        <w:tc>
          <w:tcPr>
            <w:tcW w:w="6120" w:type="dxa"/>
            <w:shd w:val="pct30" w:color="auto" w:fill="FFFFFF"/>
            <w:vAlign w:val="bottom"/>
          </w:tcPr>
          <w:p w14:paraId="240A61CD" w14:textId="77777777" w:rsidR="002A21AE" w:rsidRDefault="002A21AE">
            <w:pPr>
              <w:pStyle w:val="TableText"/>
              <w:rPr>
                <w:b/>
              </w:rPr>
            </w:pPr>
            <w:r>
              <w:rPr>
                <w:b/>
              </w:rPr>
              <w:t>VBECS</w:t>
            </w:r>
          </w:p>
        </w:tc>
      </w:tr>
      <w:tr w:rsidR="00141448" w14:paraId="369DAE47" w14:textId="77777777">
        <w:tc>
          <w:tcPr>
            <w:tcW w:w="3240" w:type="dxa"/>
            <w:tcBorders>
              <w:top w:val="single" w:sz="4" w:space="0" w:color="auto"/>
              <w:left w:val="single" w:sz="4" w:space="0" w:color="auto"/>
              <w:bottom w:val="single" w:sz="4" w:space="0" w:color="auto"/>
              <w:right w:val="single" w:sz="4" w:space="0" w:color="auto"/>
            </w:tcBorders>
          </w:tcPr>
          <w:p w14:paraId="44313AB2" w14:textId="77777777" w:rsidR="00141448" w:rsidRDefault="00141448" w:rsidP="00141448">
            <w:pPr>
              <w:pStyle w:val="TableTextNumbers"/>
            </w:pPr>
            <w:r>
              <w:t xml:space="preserve">Select </w:t>
            </w:r>
            <w:r>
              <w:rPr>
                <w:b/>
              </w:rPr>
              <w:t>Patients</w:t>
            </w:r>
            <w:r>
              <w:t xml:space="preserve"> from the main menu.</w:t>
            </w:r>
          </w:p>
          <w:p w14:paraId="2FA58DCA" w14:textId="77777777" w:rsidR="00141448" w:rsidRDefault="00141448" w:rsidP="00141448">
            <w:pPr>
              <w:pStyle w:val="TableTextNumbersContinued"/>
            </w:pPr>
          </w:p>
          <w:p w14:paraId="7D3D510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45A60CC" w14:textId="77777777" w:rsidR="00141448" w:rsidRDefault="00141448" w:rsidP="00141448">
            <w:pPr>
              <w:pStyle w:val="TableTextBullet"/>
            </w:pPr>
            <w:r>
              <w:t xml:space="preserve">Displays options for processing patient-related functions. </w:t>
            </w:r>
          </w:p>
          <w:p w14:paraId="0A403147" w14:textId="77777777" w:rsidR="00141448" w:rsidRDefault="00141448" w:rsidP="00141448">
            <w:pPr>
              <w:pStyle w:val="TableTextBullet"/>
            </w:pPr>
            <w:r>
              <w:t>Displays the Pending Task List (PTL) in the Diagnostic Tests tab.</w:t>
            </w:r>
          </w:p>
          <w:p w14:paraId="5BAF28FD" w14:textId="77777777" w:rsidR="00141448" w:rsidRDefault="00141448" w:rsidP="00141448">
            <w:pPr>
              <w:pStyle w:val="NotesText"/>
            </w:pPr>
          </w:p>
          <w:p w14:paraId="69C45497" w14:textId="327DE304" w:rsidR="00141448" w:rsidRDefault="00141448" w:rsidP="00141448">
            <w:pPr>
              <w:pStyle w:val="TableText"/>
              <w:rPr>
                <w:b/>
                <w:bCs/>
                <w:szCs w:val="18"/>
              </w:rPr>
            </w:pPr>
            <w:r>
              <w:rPr>
                <w:b/>
                <w:bCs/>
                <w:szCs w:val="18"/>
              </w:rPr>
              <w:t>NOTES</w:t>
            </w:r>
          </w:p>
          <w:p w14:paraId="2BEE072A" w14:textId="77777777" w:rsidR="00141448" w:rsidRDefault="00141448" w:rsidP="00141448">
            <w:pPr>
              <w:pStyle w:val="NotesText"/>
            </w:pPr>
          </w:p>
          <w:p w14:paraId="659595B8" w14:textId="77777777" w:rsidR="00141448" w:rsidRDefault="00141448" w:rsidP="00141448">
            <w:pPr>
              <w:pStyle w:val="NotesText"/>
            </w:pPr>
            <w:r>
              <w:t>A user may search for specific tasks using search criteria detailed in Pending Task List.</w:t>
            </w:r>
          </w:p>
        </w:tc>
      </w:tr>
      <w:tr w:rsidR="00082F78" w14:paraId="62FA5451" w14:textId="77777777">
        <w:tc>
          <w:tcPr>
            <w:tcW w:w="3240" w:type="dxa"/>
          </w:tcPr>
          <w:p w14:paraId="5A33ABFD" w14:textId="77777777" w:rsidR="00082F78" w:rsidRDefault="00082F78" w:rsidP="00150254">
            <w:pPr>
              <w:pStyle w:val="TableTextNumbers"/>
            </w:pPr>
            <w:r>
              <w:t xml:space="preserve">Click one to four check boxes in the Pending Task List to select tasks for testing. </w:t>
            </w:r>
          </w:p>
          <w:p w14:paraId="0B59ECB8" w14:textId="77777777" w:rsidR="00082F78" w:rsidRDefault="00082F78" w:rsidP="00150254">
            <w:pPr>
              <w:pStyle w:val="TableTextNumbersContinued"/>
            </w:pPr>
          </w:p>
          <w:p w14:paraId="13DB0039" w14:textId="77777777" w:rsidR="00082F78" w:rsidRDefault="00082F78" w:rsidP="00150254">
            <w:pPr>
              <w:pStyle w:val="TableTextNumbersContinued"/>
            </w:pPr>
            <w:r>
              <w:t xml:space="preserve">Click </w:t>
            </w:r>
            <w:r>
              <w:rPr>
                <w:b/>
              </w:rPr>
              <w:t>OK</w:t>
            </w:r>
            <w:r>
              <w:t>.</w:t>
            </w:r>
          </w:p>
        </w:tc>
        <w:tc>
          <w:tcPr>
            <w:tcW w:w="6120" w:type="dxa"/>
          </w:tcPr>
          <w:p w14:paraId="53A45915" w14:textId="77777777" w:rsidR="00082F78" w:rsidRDefault="00082F78" w:rsidP="00150254">
            <w:pPr>
              <w:pStyle w:val="TableTextBullet"/>
            </w:pPr>
            <w:r>
              <w:t>Displays patient names and associated task information.</w:t>
            </w:r>
          </w:p>
        </w:tc>
      </w:tr>
      <w:tr w:rsidR="004216FC" w14:paraId="19BD584D" w14:textId="77777777" w:rsidTr="00F3651E">
        <w:trPr>
          <w:cantSplit/>
        </w:trPr>
        <w:tc>
          <w:tcPr>
            <w:tcW w:w="3240" w:type="dxa"/>
          </w:tcPr>
          <w:p w14:paraId="38819186" w14:textId="77777777" w:rsidR="004216FC" w:rsidRDefault="004216FC" w:rsidP="00142D18">
            <w:pPr>
              <w:pStyle w:val="TableTextNumbers"/>
            </w:pPr>
            <w:r>
              <w:lastRenderedPageBreak/>
              <w:t>Click a check box to select a reagent rack.</w:t>
            </w:r>
          </w:p>
          <w:p w14:paraId="5DB8A34F" w14:textId="77777777" w:rsidR="004216FC" w:rsidRDefault="004216FC" w:rsidP="00142D18">
            <w:pPr>
              <w:pStyle w:val="TableTextNumbersContinued"/>
            </w:pPr>
          </w:p>
          <w:p w14:paraId="0F5E018B" w14:textId="77777777" w:rsidR="004216FC" w:rsidRDefault="004216FC" w:rsidP="00142D18">
            <w:pPr>
              <w:pStyle w:val="TableTextNumbersContinued"/>
            </w:pPr>
            <w:r>
              <w:t xml:space="preserve">Click </w:t>
            </w:r>
            <w:r>
              <w:rPr>
                <w:b/>
              </w:rPr>
              <w:t>OK</w:t>
            </w:r>
            <w:r>
              <w:t xml:space="preserve"> to continue with testing.</w:t>
            </w:r>
          </w:p>
        </w:tc>
        <w:tc>
          <w:tcPr>
            <w:tcW w:w="6120" w:type="dxa"/>
          </w:tcPr>
          <w:p w14:paraId="246DDDEE" w14:textId="77777777" w:rsidR="004216FC" w:rsidRDefault="004216FC" w:rsidP="00142D18">
            <w:pPr>
              <w:pStyle w:val="TableText"/>
            </w:pPr>
          </w:p>
          <w:p w14:paraId="25E7C24A" w14:textId="227AE2A7" w:rsidR="004216FC" w:rsidRDefault="004216FC" w:rsidP="00142D18">
            <w:pPr>
              <w:pStyle w:val="TableText"/>
              <w:rPr>
                <w:b/>
                <w:bCs/>
                <w:szCs w:val="18"/>
              </w:rPr>
            </w:pPr>
            <w:r>
              <w:rPr>
                <w:b/>
                <w:bCs/>
                <w:szCs w:val="18"/>
              </w:rPr>
              <w:t>NOTES</w:t>
            </w:r>
          </w:p>
          <w:p w14:paraId="471547A8" w14:textId="77777777" w:rsidR="004216FC" w:rsidRPr="004216FC" w:rsidRDefault="004216FC" w:rsidP="00142D18">
            <w:pPr>
              <w:pStyle w:val="NotesText"/>
              <w:rPr>
                <w:szCs w:val="18"/>
              </w:rPr>
            </w:pPr>
          </w:p>
          <w:p w14:paraId="166AC968" w14:textId="77777777" w:rsidR="004216FC" w:rsidRDefault="004216FC" w:rsidP="00142D18">
            <w:pPr>
              <w:pStyle w:val="NotesText"/>
            </w:pPr>
            <w:r w:rsidRPr="004216FC">
              <w:rPr>
                <w:rFonts w:cs="Arial"/>
                <w:szCs w:val="18"/>
              </w:rPr>
              <w:t>No</w:t>
            </w:r>
            <w:r w:rsidR="00EB1438">
              <w:rPr>
                <w:rFonts w:cs="Arial"/>
                <w:szCs w:val="18"/>
              </w:rPr>
              <w:t xml:space="preserve"> serologic</w:t>
            </w:r>
            <w:r w:rsidRPr="004216FC">
              <w:rPr>
                <w:rFonts w:cs="Arial"/>
                <w:szCs w:val="18"/>
              </w:rPr>
              <w:t xml:space="preserve"> testing is recorded for ABID.</w:t>
            </w:r>
          </w:p>
        </w:tc>
      </w:tr>
      <w:tr w:rsidR="002A21AE" w14:paraId="4C3546FB" w14:textId="77777777">
        <w:tc>
          <w:tcPr>
            <w:tcW w:w="3240" w:type="dxa"/>
          </w:tcPr>
          <w:p w14:paraId="0FF13A52" w14:textId="77777777" w:rsidR="002A21AE" w:rsidRDefault="002A21AE">
            <w:pPr>
              <w:pStyle w:val="TableTextNumbers"/>
            </w:pPr>
            <w:r>
              <w:t>Select antibodies.</w:t>
            </w:r>
          </w:p>
          <w:p w14:paraId="3457260B" w14:textId="77777777" w:rsidR="002A21AE" w:rsidRDefault="002A21AE">
            <w:pPr>
              <w:pStyle w:val="TableTextNumbersContinued"/>
            </w:pPr>
          </w:p>
          <w:p w14:paraId="0E5B4E10" w14:textId="77777777" w:rsidR="002A21AE" w:rsidRDefault="002A21AE">
            <w:pPr>
              <w:pStyle w:val="TableTextNumbersContinued"/>
            </w:pPr>
            <w:r>
              <w:t>Enter associated testing details.</w:t>
            </w:r>
          </w:p>
          <w:p w14:paraId="5FCE7C06" w14:textId="77777777" w:rsidR="002A21AE" w:rsidRDefault="002A21AE">
            <w:pPr>
              <w:pStyle w:val="TableTextNumbersContinued"/>
            </w:pPr>
          </w:p>
          <w:p w14:paraId="0F78E593" w14:textId="77777777" w:rsidR="002A21AE" w:rsidRDefault="002A21AE">
            <w:pPr>
              <w:pStyle w:val="TableTextNumbersContinued"/>
            </w:pPr>
            <w:r>
              <w:t>Respond to comments and continue.</w:t>
            </w:r>
          </w:p>
          <w:p w14:paraId="2C0BE164" w14:textId="77777777" w:rsidR="002A21AE" w:rsidRDefault="002A21AE">
            <w:pPr>
              <w:pStyle w:val="TableTextNumbersContinued"/>
            </w:pPr>
          </w:p>
          <w:p w14:paraId="5ED27A84" w14:textId="77777777" w:rsidR="002A21AE" w:rsidRDefault="002A21AE">
            <w:pPr>
              <w:pStyle w:val="TableTextNumbersContinued"/>
            </w:pPr>
            <w:r>
              <w:t>Verify Patient information.</w:t>
            </w:r>
          </w:p>
          <w:p w14:paraId="4BB2F4D7" w14:textId="77777777" w:rsidR="002A21AE" w:rsidRDefault="002A21AE">
            <w:pPr>
              <w:pStyle w:val="TableTextNumbersContinued"/>
            </w:pPr>
          </w:p>
          <w:p w14:paraId="2B67C29C" w14:textId="77777777" w:rsidR="002A21AE" w:rsidRDefault="002A21AE">
            <w:pPr>
              <w:pStyle w:val="TableTextNumbersContinued"/>
            </w:pPr>
            <w:r>
              <w:t xml:space="preserve">Click </w:t>
            </w:r>
            <w:r>
              <w:rPr>
                <w:b/>
              </w:rPr>
              <w:t>OK</w:t>
            </w:r>
            <w:r>
              <w:t xml:space="preserve">. </w:t>
            </w:r>
          </w:p>
        </w:tc>
        <w:tc>
          <w:tcPr>
            <w:tcW w:w="6120" w:type="dxa"/>
          </w:tcPr>
          <w:p w14:paraId="46A1A0BB" w14:textId="77777777" w:rsidR="002A21AE" w:rsidRDefault="002A21AE">
            <w:pPr>
              <w:pStyle w:val="TableTextBullet"/>
            </w:pPr>
            <w:r>
              <w:rPr>
                <w:rFonts w:cs="Arial"/>
                <w:vanish/>
              </w:rPr>
              <w:t xml:space="preserve">BR_57.02 </w:t>
            </w:r>
            <w:r>
              <w:t xml:space="preserve">Displays the list of antibodies and allows the user to select from the identified specificities and to add antibodies or to indicate that no antibody was identified. </w:t>
            </w:r>
          </w:p>
          <w:p w14:paraId="419FF967" w14:textId="77777777" w:rsidR="002A21AE" w:rsidRDefault="002A21AE">
            <w:pPr>
              <w:pStyle w:val="TableText"/>
            </w:pPr>
          </w:p>
          <w:p w14:paraId="312FCB98" w14:textId="5F55DE1C" w:rsidR="002A21AE" w:rsidRDefault="002A21AE">
            <w:pPr>
              <w:pStyle w:val="TableText"/>
              <w:rPr>
                <w:b/>
                <w:bCs/>
                <w:szCs w:val="18"/>
              </w:rPr>
            </w:pPr>
            <w:r>
              <w:rPr>
                <w:b/>
                <w:bCs/>
                <w:szCs w:val="18"/>
              </w:rPr>
              <w:t>NOTES</w:t>
            </w:r>
          </w:p>
          <w:p w14:paraId="11A264A2" w14:textId="77777777" w:rsidR="002A21AE" w:rsidRDefault="002A21AE">
            <w:pPr>
              <w:pStyle w:val="NotesText"/>
            </w:pPr>
          </w:p>
          <w:p w14:paraId="1DFB493C" w14:textId="77777777" w:rsidR="002A21AE" w:rsidRDefault="002A21AE">
            <w:pPr>
              <w:pStyle w:val="NotesText"/>
            </w:pPr>
            <w:r>
              <w:rPr>
                <w:rFonts w:cs="Arial"/>
                <w:vanish/>
              </w:rPr>
              <w:t xml:space="preserve">BR_57.03 </w:t>
            </w:r>
            <w:r>
              <w:t>Multiple workload codes may apply when work is performed on-site.</w:t>
            </w:r>
          </w:p>
        </w:tc>
      </w:tr>
      <w:tr w:rsidR="002A21AE" w14:paraId="0A8F9788" w14:textId="77777777">
        <w:tc>
          <w:tcPr>
            <w:tcW w:w="3240" w:type="dxa"/>
          </w:tcPr>
          <w:p w14:paraId="32F0F043" w14:textId="77777777" w:rsidR="002A21AE" w:rsidRDefault="002A21AE">
            <w:pPr>
              <w:pStyle w:val="TableTextNumbers"/>
            </w:pPr>
            <w:r>
              <w:t xml:space="preserve">Review the selections displayed. Return to Step 1 to change selections when necessary. </w:t>
            </w:r>
          </w:p>
          <w:p w14:paraId="603E1573" w14:textId="77777777" w:rsidR="002A21AE" w:rsidRDefault="002A21AE">
            <w:pPr>
              <w:pStyle w:val="TableTextNumbersContinued"/>
            </w:pPr>
          </w:p>
          <w:p w14:paraId="48C9D82F" w14:textId="77777777" w:rsidR="002A21AE" w:rsidRDefault="002A21AE">
            <w:pPr>
              <w:pStyle w:val="TableTextNumbersContinued"/>
            </w:pPr>
            <w:r>
              <w:t>Accept the reviewed entries.</w:t>
            </w:r>
          </w:p>
        </w:tc>
        <w:tc>
          <w:tcPr>
            <w:tcW w:w="6120" w:type="dxa"/>
          </w:tcPr>
          <w:p w14:paraId="02776323" w14:textId="77777777" w:rsidR="002A21AE" w:rsidRDefault="002A21AE">
            <w:pPr>
              <w:pStyle w:val="TableTextBullet"/>
            </w:pPr>
            <w:r>
              <w:t>Displays applicable data fields for the ordered ABID.</w:t>
            </w:r>
          </w:p>
          <w:p w14:paraId="3922E3F2" w14:textId="77777777" w:rsidR="002A21AE" w:rsidRDefault="002A21AE">
            <w:pPr>
              <w:pStyle w:val="TableTextBullet"/>
            </w:pPr>
            <w:r>
              <w:t>Allows the user to indicate the testing site and associated billing from outside sources.</w:t>
            </w:r>
          </w:p>
        </w:tc>
      </w:tr>
      <w:tr w:rsidR="002A21AE" w14:paraId="0D9C613D" w14:textId="77777777">
        <w:tc>
          <w:tcPr>
            <w:tcW w:w="3240" w:type="dxa"/>
          </w:tcPr>
          <w:p w14:paraId="41B4F401" w14:textId="77777777" w:rsidR="002A21AE" w:rsidRDefault="002A21AE">
            <w:pPr>
              <w:pStyle w:val="TableTextNumbers"/>
            </w:pPr>
            <w:r>
              <w:t>Enter the location where testing was performed and cost, when off-site.</w:t>
            </w:r>
          </w:p>
        </w:tc>
        <w:tc>
          <w:tcPr>
            <w:tcW w:w="6120" w:type="dxa"/>
          </w:tcPr>
          <w:p w14:paraId="56019BA9" w14:textId="77777777" w:rsidR="002A21AE" w:rsidRDefault="002A21AE">
            <w:pPr>
              <w:pStyle w:val="TableTextBullet"/>
            </w:pPr>
            <w:r>
              <w:t>Requires the user to indicate whether the ABID was performed at the division and/or off-site and saves that information with the ABID.</w:t>
            </w:r>
          </w:p>
          <w:p w14:paraId="16BD7F4F" w14:textId="77777777" w:rsidR="002A21AE" w:rsidRDefault="002A21AE">
            <w:pPr>
              <w:pStyle w:val="TableTextBullet"/>
            </w:pPr>
            <w:r>
              <w:rPr>
                <w:rFonts w:cs="Arial"/>
                <w:vanish/>
              </w:rPr>
              <w:t xml:space="preserve">BR_57.04 </w:t>
            </w:r>
            <w:r>
              <w:t xml:space="preserve">Allows the user to enter a charge, but not the workload, when the ABID work was performed off-site. </w:t>
            </w:r>
          </w:p>
          <w:p w14:paraId="7EC9B62A" w14:textId="77777777" w:rsidR="002A21AE" w:rsidRDefault="002A21AE">
            <w:pPr>
              <w:pStyle w:val="TableTextBullet"/>
            </w:pPr>
            <w:r>
              <w:t>Allows the user to indicate multiples of any processes when a test was performed on-site.</w:t>
            </w:r>
          </w:p>
          <w:p w14:paraId="4A6DD76D" w14:textId="77777777" w:rsidR="002A21AE" w:rsidRDefault="002A21AE">
            <w:pPr>
              <w:pStyle w:val="TableTextBullet"/>
            </w:pPr>
            <w:r>
              <w:t xml:space="preserve">Allows the user to enter comments. </w:t>
            </w:r>
          </w:p>
          <w:p w14:paraId="1B5E5981" w14:textId="24F7D2E7" w:rsidR="00964E4B" w:rsidRDefault="003F3FBD" w:rsidP="00964E4B">
            <w:pPr>
              <w:pStyle w:val="TableTextBullet"/>
            </w:pPr>
            <w:r>
              <w:t>Do not exceed 50 characters when entering</w:t>
            </w:r>
            <w:r w:rsidR="00964E4B" w:rsidRPr="00964E4B">
              <w:t xml:space="preserve"> the name of the off-site testing location.</w:t>
            </w:r>
            <w:r w:rsidR="00244AD3">
              <w:t xml:space="preserve"> </w:t>
            </w:r>
            <w:r w:rsidR="00244AD3" w:rsidRPr="00244AD3">
              <w:rPr>
                <w:vanish/>
              </w:rPr>
              <w:t>Defect 209558</w:t>
            </w:r>
          </w:p>
        </w:tc>
      </w:tr>
      <w:tr w:rsidR="002A21AE" w14:paraId="7D9642E9" w14:textId="77777777">
        <w:tc>
          <w:tcPr>
            <w:tcW w:w="3240" w:type="dxa"/>
          </w:tcPr>
          <w:p w14:paraId="434B1D8D" w14:textId="29BA20EE" w:rsidR="002A21AE" w:rsidRDefault="002A21AE">
            <w:pPr>
              <w:pStyle w:val="TableTextNumbers"/>
            </w:pPr>
            <w:r>
              <w:t>Review the antibody tests entered and comments selected and, when necessary, change them before accepting</w:t>
            </w:r>
            <w:r w:rsidR="005D0D2B">
              <w:t xml:space="preserve"> (</w:t>
            </w:r>
            <w:r w:rsidR="00EE455E">
              <w:t xml:space="preserve">Figure </w:t>
            </w:r>
            <w:r w:rsidR="00EE455E">
              <w:rPr>
                <w:noProof/>
              </w:rPr>
              <w:t>100</w:t>
            </w:r>
            <w:r w:rsidR="005D0D2B">
              <w:t>)</w:t>
            </w:r>
            <w:r>
              <w:t xml:space="preserve">. </w:t>
            </w:r>
          </w:p>
        </w:tc>
        <w:tc>
          <w:tcPr>
            <w:tcW w:w="6120" w:type="dxa"/>
          </w:tcPr>
          <w:p w14:paraId="33B9937F" w14:textId="77777777" w:rsidR="002A21AE" w:rsidRDefault="002A21AE">
            <w:pPr>
              <w:pStyle w:val="TableTextBullet"/>
            </w:pPr>
            <w:r>
              <w:t>Displays the requirements for antigen negative blood components, if any, based on the antibody entered.</w:t>
            </w:r>
          </w:p>
          <w:p w14:paraId="715C50D7" w14:textId="77777777" w:rsidR="002A21AE" w:rsidRDefault="002A21AE">
            <w:pPr>
              <w:pStyle w:val="TableText"/>
            </w:pPr>
          </w:p>
        </w:tc>
      </w:tr>
      <w:tr w:rsidR="002A21AE" w14:paraId="008A184F" w14:textId="77777777">
        <w:tc>
          <w:tcPr>
            <w:tcW w:w="3240" w:type="dxa"/>
          </w:tcPr>
          <w:p w14:paraId="0891D9C3" w14:textId="77777777" w:rsidR="002A21AE" w:rsidRDefault="002A21AE">
            <w:pPr>
              <w:pStyle w:val="TableTextNumbers"/>
            </w:pPr>
            <w:r>
              <w:t xml:space="preserve">Click </w:t>
            </w:r>
            <w:r>
              <w:rPr>
                <w:b/>
              </w:rPr>
              <w:t>OK</w:t>
            </w:r>
            <w:r>
              <w:t xml:space="preserve"> to save the information to the database.</w:t>
            </w:r>
          </w:p>
        </w:tc>
        <w:tc>
          <w:tcPr>
            <w:tcW w:w="6120" w:type="dxa"/>
          </w:tcPr>
          <w:p w14:paraId="5E5BBDB8" w14:textId="77777777" w:rsidR="002A21AE" w:rsidRDefault="00B6515C" w:rsidP="00B6515C">
            <w:pPr>
              <w:pStyle w:val="TableTextBullet"/>
            </w:pPr>
            <w:r>
              <w:t>Saves the data.</w:t>
            </w:r>
          </w:p>
        </w:tc>
      </w:tr>
      <w:tr w:rsidR="002A21AE" w14:paraId="407C6294" w14:textId="77777777">
        <w:tc>
          <w:tcPr>
            <w:tcW w:w="3240" w:type="dxa"/>
          </w:tcPr>
          <w:p w14:paraId="4CD347B8"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0734073" w14:textId="77777777" w:rsidR="002A21AE" w:rsidRDefault="002A21AE">
            <w:pPr>
              <w:pStyle w:val="TableText"/>
            </w:pPr>
          </w:p>
        </w:tc>
      </w:tr>
    </w:tbl>
    <w:p w14:paraId="7EDEA9B2" w14:textId="437B2A31" w:rsidR="005D0D2B" w:rsidRDefault="005D0D2B" w:rsidP="005D0D2B">
      <w:pPr>
        <w:pStyle w:val="Caption"/>
      </w:pPr>
      <w:bookmarkStart w:id="483" w:name="_Ref12709240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101</w:t>
      </w:r>
      <w:r w:rsidR="004E20BD">
        <w:rPr>
          <w:noProof/>
        </w:rPr>
        <w:fldChar w:fldCharType="end"/>
      </w:r>
      <w:bookmarkEnd w:id="483"/>
      <w:r>
        <w:t>: Patient Testing Antibody Identification</w:t>
      </w:r>
    </w:p>
    <w:p w14:paraId="3F20FB03" w14:textId="77777777" w:rsidR="002A21AE" w:rsidRDefault="00057948" w:rsidP="005D0D2B">
      <w:pPr>
        <w:pStyle w:val="BodyText"/>
      </w:pPr>
      <w:r>
        <w:rPr>
          <w:noProof/>
        </w:rPr>
        <w:drawing>
          <wp:inline distT="0" distB="0" distL="0" distR="0" wp14:anchorId="1F8EE0A4" wp14:editId="767EB401">
            <wp:extent cx="5791200" cy="3546475"/>
            <wp:effectExtent l="0" t="0" r="0" b="0"/>
            <wp:docPr id="243" name="Picture 243" descr="Example of Patient Testing Antibody Identific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Example of Patient Testing Antibody Identification screen captur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91200" cy="3546475"/>
                    </a:xfrm>
                    <a:prstGeom prst="rect">
                      <a:avLst/>
                    </a:prstGeom>
                    <a:noFill/>
                    <a:ln>
                      <a:noFill/>
                    </a:ln>
                  </pic:spPr>
                </pic:pic>
              </a:graphicData>
            </a:graphic>
          </wp:inline>
        </w:drawing>
      </w:r>
    </w:p>
    <w:p w14:paraId="6F4A8AE9" w14:textId="77777777" w:rsidR="002A21AE" w:rsidRDefault="00746454">
      <w:pPr>
        <w:pStyle w:val="Heading3"/>
      </w:pPr>
      <w:r>
        <w:br w:type="page"/>
      </w:r>
      <w:bookmarkStart w:id="484" w:name="_Toc163644955"/>
      <w:r w:rsidR="002A21AE">
        <w:lastRenderedPageBreak/>
        <w:t>Patient Testing: Record a Transfusion Reaction Workup</w:t>
      </w:r>
      <w:bookmarkEnd w:id="484"/>
      <w:r w:rsidR="002A21AE">
        <w:fldChar w:fldCharType="begin"/>
      </w:r>
      <w:r w:rsidR="002A21AE">
        <w:instrText xml:space="preserve"> XE </w:instrText>
      </w:r>
      <w:r w:rsidR="00FA7E65">
        <w:instrText>“</w:instrText>
      </w:r>
      <w:r w:rsidR="002A21AE">
        <w:instrText>Patient Testing\: Record a Transfusion Reaction Workup</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UC_21</w:t>
      </w:r>
    </w:p>
    <w:p w14:paraId="19C01145" w14:textId="77777777" w:rsidR="002A21AE" w:rsidRDefault="002A21AE" w:rsidP="00FA7E65">
      <w:pPr>
        <w:pStyle w:val="BodyText"/>
      </w:pPr>
      <w:r>
        <w:t xml:space="preserve">The user documents a transfusion reaction workup (TRW). </w:t>
      </w:r>
    </w:p>
    <w:p w14:paraId="78634B05" w14:textId="77777777" w:rsidR="002A21AE" w:rsidRDefault="002A21AE">
      <w:pPr>
        <w:pStyle w:val="Heading4"/>
      </w:pPr>
      <w:r>
        <w:t>Assumptions</w:t>
      </w:r>
      <w:r>
        <w:rPr>
          <w:b w:val="0"/>
        </w:rPr>
        <w:t xml:space="preserve"> </w:t>
      </w:r>
    </w:p>
    <w:p w14:paraId="1441FF8C" w14:textId="77777777" w:rsidR="002A21AE" w:rsidRDefault="002A21AE">
      <w:pPr>
        <w:pStyle w:val="ListBullet"/>
      </w:pPr>
      <w:r>
        <w:t>A TRW is ordered and is “not started” or “in progress” on the Pending Task List (PTL).</w:t>
      </w:r>
    </w:p>
    <w:p w14:paraId="42F553BC" w14:textId="77777777" w:rsidR="002A21AE" w:rsidRDefault="002A21AE">
      <w:pPr>
        <w:pStyle w:val="Heading4"/>
      </w:pPr>
      <w:r>
        <w:t xml:space="preserve">Outcome </w:t>
      </w:r>
    </w:p>
    <w:p w14:paraId="589A1DC6" w14:textId="77777777" w:rsidR="002A21AE" w:rsidRDefault="002A21AE">
      <w:pPr>
        <w:pStyle w:val="ListBullet"/>
      </w:pPr>
      <w:r>
        <w:t>The user views or prints a preliminary TRW report of findings.</w:t>
      </w:r>
    </w:p>
    <w:p w14:paraId="2B7523E6" w14:textId="77777777" w:rsidR="002A21AE" w:rsidRDefault="002A21AE">
      <w:pPr>
        <w:pStyle w:val="ListBullet"/>
      </w:pPr>
      <w:r>
        <w:t>Preliminary report findings are available for display in CPRS.</w:t>
      </w:r>
    </w:p>
    <w:p w14:paraId="47EF08C5" w14:textId="77777777" w:rsidR="002A21AE" w:rsidRDefault="002A21AE">
      <w:pPr>
        <w:pStyle w:val="Heading4"/>
      </w:pPr>
      <w:r>
        <w:t>Limitations and Restrictions</w:t>
      </w:r>
      <w:r>
        <w:rPr>
          <w:b w:val="0"/>
        </w:rPr>
        <w:t xml:space="preserve"> </w:t>
      </w:r>
    </w:p>
    <w:p w14:paraId="38303BB8" w14:textId="77777777" w:rsidR="002A21AE" w:rsidRDefault="002A21AE">
      <w:pPr>
        <w:pStyle w:val="ListBullet"/>
      </w:pPr>
      <w:r>
        <w:t xml:space="preserve">Adverse reactions to transfusion detected at a later time (disease transmission) are </w:t>
      </w:r>
      <w:r w:rsidR="00814F27">
        <w:t>not recorded</w:t>
      </w:r>
      <w:r>
        <w:t xml:space="preserve"> through </w:t>
      </w:r>
      <w:r w:rsidR="00814F27">
        <w:t xml:space="preserve">this option. Refer </w:t>
      </w:r>
      <w:r w:rsidR="00357A19">
        <w:t>to Transfusion</w:t>
      </w:r>
      <w:r>
        <w:t xml:space="preserve"> Complications Report.</w:t>
      </w:r>
    </w:p>
    <w:p w14:paraId="2D6FC6A1" w14:textId="002C46AB" w:rsidR="007E549A" w:rsidRDefault="007E549A">
      <w:pPr>
        <w:pStyle w:val="ListBullet"/>
      </w:pPr>
      <w:r>
        <w:t>Each tab is completed and saved and is not editable. To change information on a previously completed tab, the TRW must be invalidated and corrected in its entirety.</w:t>
      </w:r>
    </w:p>
    <w:p w14:paraId="3D9FD12F" w14:textId="2C7244D9" w:rsidR="00783514" w:rsidRDefault="00783514" w:rsidP="00783514">
      <w:pPr>
        <w:pStyle w:val="ListBullet"/>
      </w:pPr>
      <w:r>
        <w:t xml:space="preserve">If comments are entered when a TRW is finalized as type "Other,” they won’t show on the CPRS Blood Bank Report. </w:t>
      </w:r>
      <w:r w:rsidRPr="00783514">
        <w:rPr>
          <w:vanish/>
        </w:rPr>
        <w:t>Defect 210332</w:t>
      </w:r>
    </w:p>
    <w:p w14:paraId="3423DE96" w14:textId="77777777" w:rsidR="002A21AE" w:rsidRDefault="002A21AE">
      <w:pPr>
        <w:pStyle w:val="Heading4"/>
      </w:pPr>
      <w:r>
        <w:t xml:space="preserve">Additional Information </w:t>
      </w:r>
    </w:p>
    <w:p w14:paraId="5F1F0100" w14:textId="77777777" w:rsidR="002A21AE" w:rsidRDefault="002A21AE">
      <w:pPr>
        <w:pStyle w:val="ListBullet"/>
      </w:pPr>
      <w:r>
        <w:t xml:space="preserve">All implicated units are added to data grids. </w:t>
      </w:r>
    </w:p>
    <w:p w14:paraId="4376350A" w14:textId="77777777" w:rsidR="002A21AE" w:rsidRDefault="002A21AE">
      <w:pPr>
        <w:pStyle w:val="ListBullet"/>
      </w:pPr>
      <w:r>
        <w:t>Testing is based on local policies.</w:t>
      </w:r>
    </w:p>
    <w:p w14:paraId="28DDAAE2" w14:textId="77777777" w:rsidR="002A21AE" w:rsidRDefault="002A21AE">
      <w:pPr>
        <w:pStyle w:val="ListBullet"/>
      </w:pPr>
      <w:r>
        <w:rPr>
          <w:rFonts w:ascii="Arial" w:hAnsi="Arial" w:cs="Arial"/>
          <w:vanish/>
          <w:spacing w:val="0"/>
          <w:sz w:val="18"/>
        </w:rPr>
        <w:t xml:space="preserve">BR_21.30 </w:t>
      </w:r>
      <w:r>
        <w:rPr>
          <w:color w:val="000000"/>
          <w:szCs w:val="18"/>
        </w:rPr>
        <w:t xml:space="preserve">VBECS allows the user to invalidate previously entered and saved information. When the user invalidates specimen data entered, VBECS invalidates </w:t>
      </w:r>
      <w:r w:rsidR="005B0C5A">
        <w:rPr>
          <w:color w:val="000000"/>
          <w:szCs w:val="18"/>
        </w:rPr>
        <w:t>the TRW</w:t>
      </w:r>
      <w:r>
        <w:rPr>
          <w:color w:val="000000"/>
          <w:szCs w:val="18"/>
        </w:rPr>
        <w:t>.</w:t>
      </w:r>
    </w:p>
    <w:p w14:paraId="5AF1694E" w14:textId="77777777" w:rsidR="002A21AE" w:rsidRDefault="002A21AE">
      <w:pPr>
        <w:pStyle w:val="ListBullet"/>
      </w:pPr>
      <w:r>
        <w:t>A delayed hemolytic transfusion reaction is typically identified about 7 to 10 days post-transfusion</w:t>
      </w:r>
      <w:r w:rsidR="0015352F">
        <w:t xml:space="preserve">. It may be </w:t>
      </w:r>
      <w:r>
        <w:t>addressed in this option</w:t>
      </w:r>
      <w:r w:rsidR="003F3A76">
        <w:t xml:space="preserve"> or as an</w:t>
      </w:r>
      <w:r>
        <w:t xml:space="preserve"> antibody identification.</w:t>
      </w:r>
      <w:r w:rsidR="00BF0C0F">
        <w:t xml:space="preserve"> (See Patient Testing: Enter Antibody Identification Results.)</w:t>
      </w:r>
    </w:p>
    <w:p w14:paraId="7A61C0EE" w14:textId="77777777" w:rsidR="002A21AE" w:rsidRDefault="002A21AE">
      <w:pPr>
        <w:pStyle w:val="ListBullet"/>
      </w:pPr>
      <w:r>
        <w:t>This test record is not editable after the user saves it to the database. When a correction needs to be filed, a corrected report must be generated, as described in Invalidate Test Results.</w:t>
      </w:r>
    </w:p>
    <w:p w14:paraId="1333645F" w14:textId="77777777" w:rsidR="002A21AE" w:rsidRDefault="002A21AE">
      <w:pPr>
        <w:pStyle w:val="ListBullet"/>
      </w:pPr>
      <w:r>
        <w:t>See the printed chart copy for the medical director’s signature and TRW interpretation, as described in Finalize/Print TRW.</w:t>
      </w:r>
    </w:p>
    <w:p w14:paraId="359E585E" w14:textId="77777777" w:rsidR="002A21AE" w:rsidRDefault="002A21AE">
      <w:pPr>
        <w:pStyle w:val="ListBullet"/>
      </w:pPr>
      <w:r>
        <w:t xml:space="preserve">A </w:t>
      </w:r>
      <w:r w:rsidR="00BF0C0F">
        <w:t xml:space="preserve">user may order a </w:t>
      </w:r>
      <w:r>
        <w:t>TRW</w:t>
      </w:r>
      <w:r w:rsidR="005B0C5A">
        <w:t xml:space="preserve"> </w:t>
      </w:r>
      <w:r>
        <w:t>prior to the completion of a unit’s transfusion record.</w:t>
      </w:r>
    </w:p>
    <w:p w14:paraId="16B0EF69" w14:textId="77777777" w:rsidR="005B0C5A" w:rsidRDefault="005B0C5A" w:rsidP="005B0C5A">
      <w:pPr>
        <w:pStyle w:val="ListBullet"/>
      </w:pPr>
      <w:r>
        <w:t xml:space="preserve">The </w:t>
      </w:r>
      <w:r w:rsidR="009771E4">
        <w:t xml:space="preserve">user must complete the </w:t>
      </w:r>
      <w:r>
        <w:t>unit’s transfusion record prior to implicating a unit in a TRW.</w:t>
      </w:r>
    </w:p>
    <w:p w14:paraId="1CDD39C8" w14:textId="77777777" w:rsidR="002A21AE" w:rsidRDefault="002A21AE">
      <w:pPr>
        <w:pStyle w:val="ListBullet"/>
      </w:pPr>
      <w:r>
        <w:t xml:space="preserve">These data remain encapsulated as part of the TRW and </w:t>
      </w:r>
      <w:r w:rsidR="00855A2D">
        <w:t xml:space="preserve">are not saved, compared to the patient record, or </w:t>
      </w:r>
      <w:r>
        <w:t>associated with other pre-transfusion grid testing.</w:t>
      </w:r>
    </w:p>
    <w:p w14:paraId="6DFE6EB1" w14:textId="77777777" w:rsidR="002A21AE" w:rsidRDefault="002A21AE">
      <w:pPr>
        <w:pStyle w:val="ListBullet"/>
      </w:pPr>
      <w:r>
        <w:rPr>
          <w:rFonts w:ascii="Arial" w:hAnsi="Arial" w:cs="Arial"/>
          <w:vanish/>
          <w:spacing w:val="0"/>
          <w:sz w:val="18"/>
        </w:rPr>
        <w:t xml:space="preserve">BR_21.26 </w:t>
      </w:r>
      <w:r>
        <w:t>TRW ABO/Rh typing results are not saved as historical ABO/Rh typing results. These test records are maintained as part of the TRW only.</w:t>
      </w:r>
    </w:p>
    <w:p w14:paraId="54E96F9D" w14:textId="234A3354" w:rsidR="00F317D8" w:rsidRDefault="007B0020">
      <w:pPr>
        <w:pStyle w:val="ListBullet"/>
      </w:pPr>
      <w:r>
        <w:t>A system error occurs when a user attempts to access a locked TRW.</w:t>
      </w:r>
      <w:r w:rsidR="00244AD3">
        <w:t xml:space="preserve"> </w:t>
      </w:r>
      <w:r w:rsidR="00244AD3" w:rsidRPr="00244AD3">
        <w:rPr>
          <w:vanish/>
        </w:rPr>
        <w:t>Defect 209147</w:t>
      </w:r>
    </w:p>
    <w:p w14:paraId="1A6BC8DB" w14:textId="77777777" w:rsidR="002A21AE" w:rsidRDefault="002A21AE">
      <w:pPr>
        <w:pStyle w:val="Heading4"/>
        <w:rPr>
          <w:b w:val="0"/>
        </w:rPr>
      </w:pPr>
      <w:r>
        <w:t>User Roles with Access to This Option</w:t>
      </w:r>
      <w:r>
        <w:rPr>
          <w:b w:val="0"/>
        </w:rPr>
        <w:t xml:space="preserve"> </w:t>
      </w:r>
    </w:p>
    <w:p w14:paraId="340545D6" w14:textId="77777777" w:rsidR="002A21AE" w:rsidRDefault="00A13077">
      <w:pPr>
        <w:pStyle w:val="Roles"/>
        <w:rPr>
          <w:snapToGrid w:val="0"/>
        </w:rPr>
      </w:pPr>
      <w:r>
        <w:t>All users</w:t>
      </w:r>
    </w:p>
    <w:p w14:paraId="4954F922" w14:textId="77777777" w:rsidR="002A21AE" w:rsidRDefault="00746454">
      <w:pPr>
        <w:pStyle w:val="Heading4"/>
      </w:pPr>
      <w:r>
        <w:br w:type="page"/>
      </w:r>
      <w:r w:rsidR="002A21AE">
        <w:lastRenderedPageBreak/>
        <w:t xml:space="preserve">Patient Testing: Record a Transfusion Reaction Workup </w:t>
      </w:r>
    </w:p>
    <w:p w14:paraId="5BE677C0" w14:textId="77777777" w:rsidR="002A21AE" w:rsidRDefault="002A21AE" w:rsidP="00FA7E65">
      <w:pPr>
        <w:pStyle w:val="BodyText"/>
      </w:pPr>
      <w:r>
        <w:t xml:space="preserve">The user accepts the TRW order, inspects the sample for hemolysis, and performs implicated clerical checks. The TRW may require entry of patient data, including vital signs and serologic test results. A signed, printed TRW report must be filed with the patient’s chart. </w:t>
      </w:r>
    </w:p>
    <w:p w14:paraId="338CD7E5" w14:textId="77777777" w:rsidR="002A21AE" w:rsidRDefault="002A21AE" w:rsidP="00FA7E65">
      <w:pPr>
        <w:pStyle w:val="BodyText"/>
      </w:pPr>
      <w:r>
        <w:t>Transfusion reactions may be worked up in stages depending on patient symptoms and serologic findings. The first stage includes the initial clerical and specimen checks. The second stage includes serologic test interpretations, including pre- and post-patient testing, ABO/Rh, ABS, XM, and DAT.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E6E94" w14:paraId="2A6D3140" w14:textId="77777777">
        <w:trPr>
          <w:cantSplit/>
          <w:tblHeader/>
        </w:trPr>
        <w:tc>
          <w:tcPr>
            <w:tcW w:w="3240" w:type="dxa"/>
            <w:shd w:val="pct30" w:color="auto" w:fill="FFFFFF"/>
            <w:vAlign w:val="bottom"/>
          </w:tcPr>
          <w:p w14:paraId="3D43292F" w14:textId="77777777" w:rsidR="008E6E94" w:rsidRDefault="008E6E94" w:rsidP="007A413F">
            <w:pPr>
              <w:pStyle w:val="TableText"/>
              <w:rPr>
                <w:b/>
              </w:rPr>
            </w:pPr>
            <w:r>
              <w:rPr>
                <w:b/>
              </w:rPr>
              <w:t>User Action</w:t>
            </w:r>
          </w:p>
        </w:tc>
        <w:tc>
          <w:tcPr>
            <w:tcW w:w="6120" w:type="dxa"/>
            <w:shd w:val="pct30" w:color="auto" w:fill="FFFFFF"/>
            <w:vAlign w:val="bottom"/>
          </w:tcPr>
          <w:p w14:paraId="548FC45E" w14:textId="77777777" w:rsidR="008E6E94" w:rsidRDefault="008E6E94" w:rsidP="007A413F">
            <w:pPr>
              <w:pStyle w:val="TableText"/>
              <w:rPr>
                <w:b/>
              </w:rPr>
            </w:pPr>
            <w:r>
              <w:rPr>
                <w:b/>
              </w:rPr>
              <w:t>VBECS</w:t>
            </w:r>
          </w:p>
        </w:tc>
      </w:tr>
      <w:tr w:rsidR="00413A92" w14:paraId="36EC75EF" w14:textId="77777777">
        <w:tc>
          <w:tcPr>
            <w:tcW w:w="3240" w:type="dxa"/>
            <w:tcBorders>
              <w:top w:val="single" w:sz="4" w:space="0" w:color="auto"/>
              <w:left w:val="single" w:sz="4" w:space="0" w:color="auto"/>
              <w:bottom w:val="single" w:sz="4" w:space="0" w:color="auto"/>
              <w:right w:val="single" w:sz="4" w:space="0" w:color="auto"/>
            </w:tcBorders>
          </w:tcPr>
          <w:p w14:paraId="3A073BB1" w14:textId="77777777" w:rsidR="00413A92" w:rsidRDefault="00413A92" w:rsidP="00644B37">
            <w:pPr>
              <w:pStyle w:val="TableTextNumbers"/>
            </w:pPr>
            <w:r>
              <w:t xml:space="preserve">Select </w:t>
            </w:r>
            <w:r>
              <w:rPr>
                <w:b/>
              </w:rPr>
              <w:t>Patients</w:t>
            </w:r>
            <w:r>
              <w:t xml:space="preserve"> from the main menu.</w:t>
            </w:r>
          </w:p>
          <w:p w14:paraId="4289CE2A" w14:textId="77777777" w:rsidR="00413A92" w:rsidRDefault="00413A92" w:rsidP="00644B37">
            <w:pPr>
              <w:pStyle w:val="TableTextNumbersContinued"/>
            </w:pPr>
          </w:p>
          <w:p w14:paraId="3BB70B6F" w14:textId="77777777" w:rsidR="00413A92" w:rsidRDefault="00413A92" w:rsidP="00644B37">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83E638F" w14:textId="77777777" w:rsidR="00413A92" w:rsidRDefault="00413A92" w:rsidP="00644B37">
            <w:pPr>
              <w:pStyle w:val="TableTextBullet"/>
            </w:pPr>
            <w:r>
              <w:t xml:space="preserve">Displays options for processing patient-related functions. </w:t>
            </w:r>
          </w:p>
          <w:p w14:paraId="0C7E54AC" w14:textId="77777777" w:rsidR="00413A92" w:rsidRDefault="00413A92" w:rsidP="00644B37">
            <w:pPr>
              <w:pStyle w:val="TableTextBullet"/>
            </w:pPr>
            <w:r>
              <w:t>Displays the Pending Task List (PTL) in the Diagnostic Tests tab.</w:t>
            </w:r>
          </w:p>
          <w:p w14:paraId="6582F75D" w14:textId="77777777" w:rsidR="00413A92" w:rsidRDefault="00413A92" w:rsidP="00644B37">
            <w:pPr>
              <w:pStyle w:val="NotesText"/>
            </w:pPr>
          </w:p>
          <w:p w14:paraId="6C58A36B" w14:textId="7C36AFE9" w:rsidR="00413A92" w:rsidRDefault="00413A92" w:rsidP="00644B37">
            <w:pPr>
              <w:pStyle w:val="TableText"/>
              <w:rPr>
                <w:b/>
                <w:bCs/>
                <w:szCs w:val="18"/>
              </w:rPr>
            </w:pPr>
            <w:r>
              <w:rPr>
                <w:b/>
                <w:bCs/>
                <w:szCs w:val="18"/>
              </w:rPr>
              <w:t>NOTES</w:t>
            </w:r>
          </w:p>
          <w:p w14:paraId="1F822AA5" w14:textId="77777777" w:rsidR="00413A92" w:rsidRDefault="00413A92" w:rsidP="00644B37">
            <w:pPr>
              <w:pStyle w:val="NotesText"/>
            </w:pPr>
          </w:p>
          <w:p w14:paraId="5FAACFA2" w14:textId="77777777" w:rsidR="00413A92" w:rsidRDefault="00413A92" w:rsidP="00644B37">
            <w:pPr>
              <w:pStyle w:val="NotesText"/>
            </w:pPr>
            <w:r>
              <w:t>A user may search for specific tasks using search criteria detailed in Pending Task List.</w:t>
            </w:r>
          </w:p>
        </w:tc>
      </w:tr>
      <w:tr w:rsidR="008E6E94" w14:paraId="333868ED" w14:textId="77777777">
        <w:tc>
          <w:tcPr>
            <w:tcW w:w="3240" w:type="dxa"/>
          </w:tcPr>
          <w:p w14:paraId="287523DF" w14:textId="77777777" w:rsidR="008E6E94" w:rsidRDefault="008E6E94" w:rsidP="007A413F">
            <w:pPr>
              <w:pStyle w:val="TableTextNumbers"/>
            </w:pPr>
            <w:r>
              <w:t>Click a check box in the PTL to select a task.</w:t>
            </w:r>
          </w:p>
          <w:p w14:paraId="30EDF7E1" w14:textId="77777777" w:rsidR="00432A30" w:rsidRDefault="00432A30" w:rsidP="00432A30">
            <w:pPr>
              <w:pStyle w:val="TableTextNumbersContinued"/>
            </w:pPr>
          </w:p>
          <w:p w14:paraId="344B52B9" w14:textId="77777777" w:rsidR="00432A30" w:rsidRDefault="00432A30" w:rsidP="00432A30">
            <w:pPr>
              <w:pStyle w:val="TableTextNumbersContinued"/>
            </w:pPr>
            <w:r>
              <w:t xml:space="preserve">Click </w:t>
            </w:r>
            <w:r w:rsidRPr="00432A30">
              <w:rPr>
                <w:b/>
              </w:rPr>
              <w:t>OK</w:t>
            </w:r>
            <w:r>
              <w:t>.</w:t>
            </w:r>
          </w:p>
        </w:tc>
        <w:tc>
          <w:tcPr>
            <w:tcW w:w="6120" w:type="dxa"/>
          </w:tcPr>
          <w:p w14:paraId="48B150D5" w14:textId="77777777" w:rsidR="008E6E94" w:rsidRDefault="008E6E94" w:rsidP="001E4DCC">
            <w:pPr>
              <w:pStyle w:val="TableTextBullet"/>
            </w:pPr>
            <w:r>
              <w:t>Displays TRW patient order information and allows the user to indicate which portion of the TRW to perform</w:t>
            </w:r>
            <w:r w:rsidR="001E4DCC">
              <w:t xml:space="preserve"> (i</w:t>
            </w:r>
            <w:r>
              <w:t>nitial clerical and specimen checks</w:t>
            </w:r>
            <w:r w:rsidR="001E4DCC">
              <w:t>).</w:t>
            </w:r>
          </w:p>
          <w:p w14:paraId="5576DC1C" w14:textId="77777777" w:rsidR="008E6E94" w:rsidRDefault="008E6E94" w:rsidP="007A413F">
            <w:pPr>
              <w:pStyle w:val="TableText"/>
            </w:pPr>
          </w:p>
          <w:p w14:paraId="4BE70B1E" w14:textId="59077262" w:rsidR="008E6E94" w:rsidRDefault="008E6E94" w:rsidP="007A413F">
            <w:pPr>
              <w:pStyle w:val="TableText"/>
              <w:rPr>
                <w:b/>
                <w:bCs/>
                <w:szCs w:val="18"/>
              </w:rPr>
            </w:pPr>
            <w:r>
              <w:rPr>
                <w:b/>
                <w:bCs/>
                <w:szCs w:val="18"/>
              </w:rPr>
              <w:t>NOTES</w:t>
            </w:r>
          </w:p>
          <w:p w14:paraId="79A25BC8" w14:textId="77777777" w:rsidR="008E6E94" w:rsidRDefault="008E6E94" w:rsidP="007A413F">
            <w:pPr>
              <w:pStyle w:val="NotesText"/>
            </w:pPr>
          </w:p>
          <w:p w14:paraId="64A7F859" w14:textId="77777777" w:rsidR="008E6E94" w:rsidRDefault="008E6E94" w:rsidP="007A413F">
            <w:pPr>
              <w:pStyle w:val="NotesText"/>
            </w:pPr>
            <w:r>
              <w:rPr>
                <w:rFonts w:cs="Arial"/>
                <w:vanish/>
              </w:rPr>
              <w:t xml:space="preserve">BR_21.08 </w:t>
            </w:r>
            <w:r>
              <w:t>The TRW patient name and patient ID are visible at all times.</w:t>
            </w:r>
          </w:p>
          <w:p w14:paraId="1AEF4F5E" w14:textId="77777777" w:rsidR="008E6E94" w:rsidRDefault="008E6E94" w:rsidP="007A413F">
            <w:pPr>
              <w:pStyle w:val="NotesText"/>
            </w:pPr>
          </w:p>
          <w:p w14:paraId="69C4853D" w14:textId="77777777" w:rsidR="008E6E94" w:rsidRDefault="008E6E94" w:rsidP="007A413F">
            <w:pPr>
              <w:pStyle w:val="NotesText"/>
            </w:pPr>
            <w:r>
              <w:rPr>
                <w:rFonts w:cs="Arial"/>
                <w:vanish/>
              </w:rPr>
              <w:t xml:space="preserve">BR_21.09 </w:t>
            </w:r>
            <w:r>
              <w:t>Initial clerical and specimen checks must be performed before TRW serologic testing is available.</w:t>
            </w:r>
          </w:p>
        </w:tc>
      </w:tr>
      <w:tr w:rsidR="008E6E94" w14:paraId="66232CC1" w14:textId="77777777">
        <w:tc>
          <w:tcPr>
            <w:tcW w:w="3240" w:type="dxa"/>
            <w:tcBorders>
              <w:top w:val="single" w:sz="4" w:space="0" w:color="auto"/>
              <w:left w:val="single" w:sz="4" w:space="0" w:color="auto"/>
              <w:bottom w:val="single" w:sz="4" w:space="0" w:color="auto"/>
              <w:right w:val="single" w:sz="4" w:space="0" w:color="auto"/>
            </w:tcBorders>
          </w:tcPr>
          <w:p w14:paraId="161E17EE" w14:textId="77777777" w:rsidR="008E6E94" w:rsidRDefault="00A01C54" w:rsidP="00C92B1A">
            <w:pPr>
              <w:pStyle w:val="TableTextNumbers"/>
            </w:pPr>
            <w:r>
              <w:t>Enter the date</w:t>
            </w:r>
            <w:r w:rsidR="00750760">
              <w:t xml:space="preserve"> the</w:t>
            </w:r>
            <w:r>
              <w:t xml:space="preserve"> transfusion reaction was noted and the date it was investigated.</w:t>
            </w:r>
          </w:p>
        </w:tc>
        <w:tc>
          <w:tcPr>
            <w:tcW w:w="6120" w:type="dxa"/>
            <w:tcBorders>
              <w:top w:val="single" w:sz="4" w:space="0" w:color="auto"/>
              <w:left w:val="single" w:sz="4" w:space="0" w:color="auto"/>
              <w:bottom w:val="single" w:sz="4" w:space="0" w:color="auto"/>
              <w:right w:val="single" w:sz="4" w:space="0" w:color="auto"/>
            </w:tcBorders>
          </w:tcPr>
          <w:p w14:paraId="1B88B20C" w14:textId="77777777" w:rsidR="008E6E94" w:rsidRDefault="008E6E94" w:rsidP="007A413F">
            <w:pPr>
              <w:pStyle w:val="TableTextBullet"/>
            </w:pPr>
            <w:r>
              <w:t>Allows the user to document observations about the pre- and post-transfusion specimens.</w:t>
            </w:r>
          </w:p>
        </w:tc>
      </w:tr>
      <w:tr w:rsidR="008E6E94" w14:paraId="1A4B0EC0" w14:textId="77777777">
        <w:tc>
          <w:tcPr>
            <w:tcW w:w="3240" w:type="dxa"/>
            <w:tcBorders>
              <w:top w:val="single" w:sz="4" w:space="0" w:color="auto"/>
              <w:left w:val="single" w:sz="4" w:space="0" w:color="auto"/>
              <w:bottom w:val="single" w:sz="4" w:space="0" w:color="auto"/>
              <w:right w:val="single" w:sz="4" w:space="0" w:color="auto"/>
            </w:tcBorders>
          </w:tcPr>
          <w:p w14:paraId="6E78E35E" w14:textId="4FFA0AC7" w:rsidR="00C92B1A" w:rsidRDefault="00C92B1A" w:rsidP="00C92B1A">
            <w:pPr>
              <w:pStyle w:val="TableTextNumbers"/>
            </w:pPr>
            <w:r>
              <w:t>Click a radio button in the Specimen Checks tab to indicate whether pre- and post-transfusion specimens are available</w:t>
            </w:r>
            <w:r w:rsidR="00750760">
              <w:t xml:space="preserve"> (</w:t>
            </w:r>
            <w:r w:rsidR="00EE455E">
              <w:t xml:space="preserve">Figure </w:t>
            </w:r>
            <w:r w:rsidR="00EE455E">
              <w:rPr>
                <w:noProof/>
              </w:rPr>
              <w:t>101</w:t>
            </w:r>
            <w:r w:rsidR="00750760">
              <w:t>)</w:t>
            </w:r>
            <w:r>
              <w:t>.</w:t>
            </w:r>
          </w:p>
          <w:p w14:paraId="2EB785A2" w14:textId="77777777" w:rsidR="00C92B1A" w:rsidRPr="00C92B1A" w:rsidRDefault="00C92B1A" w:rsidP="00C92B1A">
            <w:pPr>
              <w:pStyle w:val="TableTextNumbersContinued"/>
            </w:pPr>
          </w:p>
          <w:p w14:paraId="518E74B0" w14:textId="77777777" w:rsidR="008E6E94" w:rsidRDefault="00C92B1A" w:rsidP="00C92B1A">
            <w:pPr>
              <w:pStyle w:val="TableTextNumbersContinued"/>
            </w:pPr>
            <w:r>
              <w:t>Scan or enter specimen UIDs in the Specimen UID field</w:t>
            </w:r>
            <w:r w:rsidR="00880C72">
              <w:t>s</w:t>
            </w:r>
            <w:r>
              <w:t xml:space="preserve"> and enter comments, as required. </w:t>
            </w:r>
          </w:p>
          <w:p w14:paraId="611F5FCC" w14:textId="77777777" w:rsidR="00A36884" w:rsidRDefault="00A36884" w:rsidP="00C92B1A">
            <w:pPr>
              <w:pStyle w:val="TableTextNumbersContinued"/>
            </w:pPr>
          </w:p>
          <w:p w14:paraId="0BAB097A" w14:textId="77777777" w:rsidR="00A36884" w:rsidRDefault="00A36884" w:rsidP="00C92B1A">
            <w:pPr>
              <w:pStyle w:val="TableTextNumbersContinued"/>
            </w:pPr>
            <w:r>
              <w:t>Select an item from the drop-down menu in the Hemolysis Inspection field.</w:t>
            </w:r>
          </w:p>
        </w:tc>
        <w:tc>
          <w:tcPr>
            <w:tcW w:w="6120" w:type="dxa"/>
            <w:tcBorders>
              <w:top w:val="single" w:sz="4" w:space="0" w:color="auto"/>
              <w:left w:val="single" w:sz="4" w:space="0" w:color="auto"/>
              <w:bottom w:val="single" w:sz="4" w:space="0" w:color="auto"/>
              <w:right w:val="single" w:sz="4" w:space="0" w:color="auto"/>
            </w:tcBorders>
          </w:tcPr>
          <w:p w14:paraId="3B97442B" w14:textId="77777777" w:rsidR="008E6E94" w:rsidRDefault="008E6E94" w:rsidP="007A413F">
            <w:pPr>
              <w:pStyle w:val="TableTextBullet"/>
            </w:pPr>
            <w:r>
              <w:t xml:space="preserve">Allows the user to enter the date and time the transfusion reaction was noted (provided by the clinician) and the date and time of the investigation (default: current date and time). </w:t>
            </w:r>
          </w:p>
          <w:p w14:paraId="351EFDF6" w14:textId="77777777" w:rsidR="008E6E94" w:rsidRDefault="008E6E94" w:rsidP="007A413F">
            <w:pPr>
              <w:pStyle w:val="TableText"/>
            </w:pPr>
          </w:p>
          <w:p w14:paraId="0101A621" w14:textId="0DBBF372" w:rsidR="008E6E94" w:rsidRDefault="008E6E94" w:rsidP="007A413F">
            <w:pPr>
              <w:pStyle w:val="TableText"/>
              <w:rPr>
                <w:b/>
                <w:bCs/>
                <w:szCs w:val="18"/>
              </w:rPr>
            </w:pPr>
            <w:r>
              <w:rPr>
                <w:b/>
                <w:bCs/>
                <w:szCs w:val="18"/>
              </w:rPr>
              <w:t>NOTES</w:t>
            </w:r>
          </w:p>
          <w:p w14:paraId="374EF8B6" w14:textId="77777777" w:rsidR="008E6E94" w:rsidRDefault="008E6E94" w:rsidP="007A413F">
            <w:pPr>
              <w:pStyle w:val="NotesText"/>
            </w:pPr>
          </w:p>
          <w:p w14:paraId="6BA824D9" w14:textId="77777777" w:rsidR="008E6E94" w:rsidRDefault="008E6E94" w:rsidP="007A413F">
            <w:pPr>
              <w:pStyle w:val="NotesText"/>
            </w:pPr>
            <w:r>
              <w:rPr>
                <w:rFonts w:cs="Arial"/>
                <w:vanish/>
              </w:rPr>
              <w:t xml:space="preserve">BR_21.15 </w:t>
            </w:r>
            <w:r>
              <w:t>When the pre- and/or post-transfusion samples are available to perform the clerical check, VBECS requires the user to indicate whether the clerical check is okay.</w:t>
            </w:r>
          </w:p>
          <w:p w14:paraId="2C9A901F" w14:textId="77777777" w:rsidR="008E6E94" w:rsidRDefault="008E6E94" w:rsidP="007A413F">
            <w:pPr>
              <w:pStyle w:val="NotesText"/>
            </w:pPr>
          </w:p>
          <w:p w14:paraId="4097AF55" w14:textId="77777777" w:rsidR="008E6E94" w:rsidRDefault="008E6E94" w:rsidP="007A413F">
            <w:pPr>
              <w:pStyle w:val="NotesText"/>
            </w:pPr>
            <w:r>
              <w:rPr>
                <w:rFonts w:cs="Arial"/>
                <w:vanish/>
              </w:rPr>
              <w:t xml:space="preserve">BR_21.17 </w:t>
            </w:r>
            <w:r>
              <w:t xml:space="preserve">VBECS allows the user to scan or enter the pre- and post-transfusion specimen UIDs. VBECS compares the patient name and ID associated with each specimen UID to those associated with the TRW workup. </w:t>
            </w:r>
          </w:p>
          <w:p w14:paraId="162E20F4" w14:textId="77777777" w:rsidR="008E6E94" w:rsidRDefault="008E6E94" w:rsidP="007A413F">
            <w:pPr>
              <w:pStyle w:val="NotesText"/>
            </w:pPr>
          </w:p>
          <w:p w14:paraId="02B2F8A7" w14:textId="77777777" w:rsidR="008E6E94" w:rsidRDefault="008E6E94" w:rsidP="007A413F">
            <w:pPr>
              <w:pStyle w:val="NotesText"/>
            </w:pPr>
            <w:r>
              <w:rPr>
                <w:rFonts w:cs="Arial"/>
                <w:vanish/>
              </w:rPr>
              <w:t>BR_21.33</w:t>
            </w:r>
            <w:r w:rsidRPr="00323744">
              <w:rPr>
                <w:rStyle w:val="BullhornChar"/>
              </w:rPr>
              <w:t></w:t>
            </w:r>
            <w:r>
              <w:rPr>
                <w:rFonts w:ascii="Webdings" w:hAnsi="Webdings"/>
              </w:rPr>
              <w:t></w:t>
            </w:r>
            <w:r w:rsidRPr="00263B24">
              <w:t>Wh</w:t>
            </w:r>
            <w:r>
              <w:t>en the patient name does not match VBECS data for the TRW patient, VBECS emits an audible alert, warns the user, and instructs him to notify the physician immediately. VBECS allows the user to reenter the specimen UID or verify that the data are correct. VBECS requires a comment when there is no match and captures details for inclusion in an Exception Report (exception type: Transfusion Reaction Workup Specimen).</w:t>
            </w:r>
          </w:p>
          <w:p w14:paraId="26F9C123" w14:textId="77777777" w:rsidR="008E6E94" w:rsidRDefault="008E6E94" w:rsidP="007A413F">
            <w:pPr>
              <w:pStyle w:val="NotesText"/>
            </w:pPr>
          </w:p>
          <w:p w14:paraId="56732479" w14:textId="77777777" w:rsidR="008E6E94" w:rsidRDefault="008E6E94" w:rsidP="007A413F">
            <w:pPr>
              <w:pStyle w:val="NotesText"/>
            </w:pPr>
            <w:r>
              <w:rPr>
                <w:rFonts w:cs="Arial"/>
                <w:vanish/>
              </w:rPr>
              <w:t xml:space="preserve">BR_21.18 </w:t>
            </w:r>
            <w:r>
              <w:t xml:space="preserve">The user may enter “icteric,” “absent,” “1+,” “2+,” “3+,” or “4+” in the Hemolysis Inspection field to identify the presence or </w:t>
            </w:r>
            <w:r>
              <w:lastRenderedPageBreak/>
              <w:t xml:space="preserve">absence of hemolysis in the pre- and post-transfusion patient specimens or blood container, when available. </w:t>
            </w:r>
          </w:p>
        </w:tc>
      </w:tr>
      <w:tr w:rsidR="00C92B1A" w14:paraId="64F387BE" w14:textId="77777777">
        <w:tc>
          <w:tcPr>
            <w:tcW w:w="3240" w:type="dxa"/>
            <w:tcBorders>
              <w:top w:val="single" w:sz="4" w:space="0" w:color="auto"/>
              <w:left w:val="single" w:sz="4" w:space="0" w:color="auto"/>
              <w:bottom w:val="single" w:sz="4" w:space="0" w:color="auto"/>
              <w:right w:val="single" w:sz="4" w:space="0" w:color="auto"/>
            </w:tcBorders>
          </w:tcPr>
          <w:p w14:paraId="4C819897" w14:textId="3FCD3E8A" w:rsidR="00C92B1A" w:rsidRDefault="00C92B1A" w:rsidP="00A12663">
            <w:pPr>
              <w:pStyle w:val="TableTextNumbers"/>
            </w:pPr>
            <w:r>
              <w:lastRenderedPageBreak/>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r w:rsidR="00750760">
              <w:t xml:space="preserve"> (</w:t>
            </w:r>
            <w:r w:rsidR="00EE455E">
              <w:t xml:space="preserve">Figure </w:t>
            </w:r>
            <w:r w:rsidR="00EE455E">
              <w:rPr>
                <w:noProof/>
              </w:rPr>
              <w:t>102</w:t>
            </w:r>
            <w:r w:rsidR="00750760">
              <w:t>)</w:t>
            </w:r>
            <w:r>
              <w:t>.</w:t>
            </w:r>
          </w:p>
        </w:tc>
        <w:tc>
          <w:tcPr>
            <w:tcW w:w="6120" w:type="dxa"/>
            <w:tcBorders>
              <w:top w:val="single" w:sz="4" w:space="0" w:color="auto"/>
              <w:left w:val="single" w:sz="4" w:space="0" w:color="auto"/>
              <w:bottom w:val="single" w:sz="4" w:space="0" w:color="auto"/>
              <w:right w:val="single" w:sz="4" w:space="0" w:color="auto"/>
            </w:tcBorders>
          </w:tcPr>
          <w:p w14:paraId="22C7C594" w14:textId="77777777" w:rsidR="00C92B1A" w:rsidRDefault="00C92B1A" w:rsidP="007A413F">
            <w:pPr>
              <w:pStyle w:val="TableText"/>
            </w:pPr>
          </w:p>
        </w:tc>
      </w:tr>
      <w:tr w:rsidR="00A12663" w14:paraId="5D3D8D64" w14:textId="77777777">
        <w:tc>
          <w:tcPr>
            <w:tcW w:w="3240" w:type="dxa"/>
            <w:tcBorders>
              <w:top w:val="single" w:sz="4" w:space="0" w:color="auto"/>
              <w:left w:val="single" w:sz="4" w:space="0" w:color="auto"/>
              <w:bottom w:val="single" w:sz="4" w:space="0" w:color="auto"/>
              <w:right w:val="single" w:sz="4" w:space="0" w:color="auto"/>
            </w:tcBorders>
          </w:tcPr>
          <w:p w14:paraId="6DAB8114" w14:textId="77777777" w:rsidR="00A12663" w:rsidRDefault="00A12663" w:rsidP="007A413F">
            <w:pPr>
              <w:pStyle w:val="TableTextNumbers"/>
            </w:pPr>
            <w:r>
              <w:t xml:space="preserve">Click </w:t>
            </w:r>
            <w:r w:rsidRPr="00C92B1A">
              <w:rPr>
                <w:b/>
              </w:rPr>
              <w:t>OK</w:t>
            </w:r>
            <w:r>
              <w:t xml:space="preserve"> to save, and </w:t>
            </w:r>
            <w:r>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6783BC2C" w14:textId="77777777" w:rsidR="00120B78" w:rsidRDefault="00120B78" w:rsidP="00120B78">
            <w:pPr>
              <w:pStyle w:val="TableText"/>
            </w:pPr>
          </w:p>
          <w:p w14:paraId="43D6D101" w14:textId="7E7707B8" w:rsidR="00A12663" w:rsidRDefault="00A12663" w:rsidP="00A12663">
            <w:pPr>
              <w:pStyle w:val="TableText"/>
              <w:rPr>
                <w:b/>
                <w:bCs/>
                <w:szCs w:val="18"/>
              </w:rPr>
            </w:pPr>
            <w:r>
              <w:rPr>
                <w:b/>
                <w:bCs/>
                <w:szCs w:val="18"/>
              </w:rPr>
              <w:t>NOTES</w:t>
            </w:r>
          </w:p>
          <w:p w14:paraId="231CF838" w14:textId="77777777" w:rsidR="00A12663" w:rsidRDefault="00A12663" w:rsidP="00120B78">
            <w:pPr>
              <w:pStyle w:val="NotesText"/>
            </w:pPr>
          </w:p>
          <w:p w14:paraId="296B428E" w14:textId="77777777" w:rsidR="00120B78" w:rsidRDefault="00120B78" w:rsidP="00120B78">
            <w:pPr>
              <w:pStyle w:val="NotesText"/>
            </w:pPr>
            <w:r>
              <w:rPr>
                <w:rFonts w:cs="Arial"/>
                <w:vanish/>
              </w:rPr>
              <w:t xml:space="preserve">BR_21.11 </w:t>
            </w:r>
            <w:r>
              <w:t>When the user exits and saves the data, VBECS changes the task status of the TRW to “partially completed.”</w:t>
            </w:r>
          </w:p>
          <w:p w14:paraId="12E4FCA2" w14:textId="77777777" w:rsidR="00120B78" w:rsidRDefault="00120B78" w:rsidP="00120B78">
            <w:pPr>
              <w:pStyle w:val="NotesText"/>
            </w:pPr>
          </w:p>
          <w:p w14:paraId="75BC8B6B" w14:textId="77777777" w:rsidR="00A12663" w:rsidRDefault="00A12663" w:rsidP="00A12663">
            <w:pPr>
              <w:pStyle w:val="NotesText"/>
            </w:pPr>
            <w:r>
              <w:t>A partially completed TRW may be corrected only by invalidating and reentering the TRW.</w:t>
            </w:r>
          </w:p>
        </w:tc>
      </w:tr>
      <w:tr w:rsidR="008E6E94" w14:paraId="68533B0A" w14:textId="77777777">
        <w:tc>
          <w:tcPr>
            <w:tcW w:w="3240" w:type="dxa"/>
            <w:tcBorders>
              <w:top w:val="single" w:sz="4" w:space="0" w:color="auto"/>
              <w:left w:val="single" w:sz="4" w:space="0" w:color="auto"/>
              <w:bottom w:val="single" w:sz="4" w:space="0" w:color="auto"/>
              <w:right w:val="single" w:sz="4" w:space="0" w:color="auto"/>
            </w:tcBorders>
          </w:tcPr>
          <w:p w14:paraId="1D66298B" w14:textId="77777777" w:rsidR="008E6E94" w:rsidRDefault="008E6E94" w:rsidP="007A413F">
            <w:pPr>
              <w:pStyle w:val="TableTextNumbers"/>
            </w:pPr>
            <w:r>
              <w:t xml:space="preserve">Enter the date and time of the transfusion reaction </w:t>
            </w:r>
            <w:r w:rsidR="00685492">
              <w:t>noted</w:t>
            </w:r>
            <w:r>
              <w:t xml:space="preserve"> by the clinician and the date and time of the reaction investigation.</w:t>
            </w:r>
          </w:p>
        </w:tc>
        <w:tc>
          <w:tcPr>
            <w:tcW w:w="6120" w:type="dxa"/>
            <w:tcBorders>
              <w:top w:val="single" w:sz="4" w:space="0" w:color="auto"/>
              <w:left w:val="single" w:sz="4" w:space="0" w:color="auto"/>
              <w:bottom w:val="single" w:sz="4" w:space="0" w:color="auto"/>
              <w:right w:val="single" w:sz="4" w:space="0" w:color="auto"/>
            </w:tcBorders>
          </w:tcPr>
          <w:p w14:paraId="735488C4" w14:textId="77777777" w:rsidR="008E6E94" w:rsidRDefault="008E6E94" w:rsidP="007A413F">
            <w:pPr>
              <w:pStyle w:val="TableText"/>
            </w:pPr>
          </w:p>
          <w:p w14:paraId="0D0FCE27" w14:textId="37701D99" w:rsidR="008E6E94" w:rsidRDefault="008E6E94" w:rsidP="007A413F">
            <w:pPr>
              <w:pStyle w:val="TableText"/>
              <w:rPr>
                <w:b/>
                <w:bCs/>
                <w:szCs w:val="18"/>
              </w:rPr>
            </w:pPr>
            <w:r>
              <w:rPr>
                <w:b/>
                <w:bCs/>
                <w:szCs w:val="18"/>
              </w:rPr>
              <w:t>NOTES</w:t>
            </w:r>
          </w:p>
          <w:p w14:paraId="326466E4" w14:textId="77777777" w:rsidR="008E6E94" w:rsidRDefault="008E6E94" w:rsidP="007A413F">
            <w:pPr>
              <w:pStyle w:val="NotesText"/>
            </w:pPr>
          </w:p>
          <w:p w14:paraId="50CBFF8F" w14:textId="77777777" w:rsidR="008E6E94" w:rsidRDefault="008E6E94" w:rsidP="007A413F">
            <w:pPr>
              <w:pStyle w:val="NotesText"/>
            </w:pPr>
            <w:r>
              <w:rPr>
                <w:rFonts w:cs="Arial"/>
                <w:vanish/>
              </w:rPr>
              <w:t xml:space="preserve">BR_21.01 </w:t>
            </w:r>
            <w:r>
              <w:t xml:space="preserve">VBECS allows the user to enter the date and time of the reaction noted by the clinician. </w:t>
            </w:r>
          </w:p>
          <w:p w14:paraId="3D17FCC6" w14:textId="77777777" w:rsidR="008E6E94" w:rsidRDefault="008E6E94" w:rsidP="007A413F">
            <w:pPr>
              <w:pStyle w:val="NotesText"/>
            </w:pPr>
          </w:p>
          <w:p w14:paraId="5C48FA04" w14:textId="77777777" w:rsidR="008E6E94" w:rsidRDefault="008E6E94" w:rsidP="007A413F">
            <w:pPr>
              <w:pStyle w:val="NotesText"/>
            </w:pPr>
            <w:r>
              <w:rPr>
                <w:rFonts w:cs="Arial"/>
                <w:vanish/>
              </w:rPr>
              <w:t xml:space="preserve">BR_21.02 </w:t>
            </w:r>
            <w:r>
              <w:t>When the implicated unit is unknown, VBECS allows the user to continue without identifying a unit or entering implicated unit information.</w:t>
            </w:r>
          </w:p>
          <w:p w14:paraId="76AC4D3B" w14:textId="77777777" w:rsidR="008E6E94" w:rsidRDefault="008E6E94" w:rsidP="007A413F">
            <w:pPr>
              <w:pStyle w:val="NotesText"/>
            </w:pPr>
          </w:p>
          <w:p w14:paraId="4B1BD236" w14:textId="77777777" w:rsidR="008E6E94" w:rsidRDefault="008E6E94" w:rsidP="007A413F">
            <w:pPr>
              <w:pStyle w:val="NotesText"/>
            </w:pPr>
            <w:r>
              <w:rPr>
                <w:rFonts w:cs="Arial"/>
                <w:vanish/>
              </w:rPr>
              <w:t xml:space="preserve">BR_21.19 </w:t>
            </w:r>
            <w:r>
              <w:t>VBECS requires the user to enter the date and time of the TRW investigation (default: current date and time), including a date and time in the past for retrospective data entry. The user may not enter a future date and time.</w:t>
            </w:r>
          </w:p>
          <w:p w14:paraId="055C2C2D" w14:textId="77777777" w:rsidR="008E6E94" w:rsidRDefault="008E6E94" w:rsidP="007A413F">
            <w:pPr>
              <w:pStyle w:val="NotesText"/>
            </w:pPr>
          </w:p>
          <w:p w14:paraId="3C17638F" w14:textId="77777777" w:rsidR="008E6E94" w:rsidRDefault="008E6E94" w:rsidP="00E61994">
            <w:pPr>
              <w:pStyle w:val="NotesText"/>
            </w:pPr>
            <w:r>
              <w:t xml:space="preserve">If the user indicates that implicated units are unknown, he continues at Step </w:t>
            </w:r>
            <w:r w:rsidR="00E61994">
              <w:t>10</w:t>
            </w:r>
            <w:r>
              <w:t>.</w:t>
            </w:r>
          </w:p>
        </w:tc>
      </w:tr>
      <w:tr w:rsidR="008E6E94" w14:paraId="18280467" w14:textId="77777777">
        <w:tc>
          <w:tcPr>
            <w:tcW w:w="3240" w:type="dxa"/>
            <w:tcBorders>
              <w:top w:val="single" w:sz="4" w:space="0" w:color="auto"/>
              <w:left w:val="single" w:sz="4" w:space="0" w:color="auto"/>
              <w:bottom w:val="single" w:sz="4" w:space="0" w:color="auto"/>
              <w:right w:val="single" w:sz="4" w:space="0" w:color="auto"/>
            </w:tcBorders>
          </w:tcPr>
          <w:p w14:paraId="5C0CE385" w14:textId="77777777" w:rsidR="008F4AA6" w:rsidRDefault="00B44A92" w:rsidP="007A413F">
            <w:pPr>
              <w:pStyle w:val="TableTextNumbers"/>
            </w:pPr>
            <w:r>
              <w:t>In the Implicated Units tab, c</w:t>
            </w:r>
            <w:r w:rsidR="008E6E94">
              <w:t>lick the</w:t>
            </w:r>
            <w:r w:rsidR="008E6E94">
              <w:rPr>
                <w:b/>
              </w:rPr>
              <w:t xml:space="preserve"> Implicated Unit</w:t>
            </w:r>
            <w:r w:rsidR="00025A9B">
              <w:rPr>
                <w:b/>
              </w:rPr>
              <w:t>(</w:t>
            </w:r>
            <w:r w:rsidR="008E6E94">
              <w:rPr>
                <w:b/>
              </w:rPr>
              <w:t>s</w:t>
            </w:r>
            <w:r w:rsidR="00025A9B">
              <w:rPr>
                <w:b/>
              </w:rPr>
              <w:t>)</w:t>
            </w:r>
            <w:r w:rsidR="008E6E94">
              <w:rPr>
                <w:b/>
              </w:rPr>
              <w:t xml:space="preserve"> Identified </w:t>
            </w:r>
            <w:r w:rsidR="008E6E94" w:rsidRPr="00BF2E41">
              <w:t>radio button</w:t>
            </w:r>
            <w:r w:rsidR="0045387D">
              <w:t xml:space="preserve"> to select an implicated unit.</w:t>
            </w:r>
          </w:p>
          <w:p w14:paraId="75814CF0" w14:textId="77777777" w:rsidR="0045387D" w:rsidRDefault="0045387D" w:rsidP="0045387D">
            <w:pPr>
              <w:pStyle w:val="TableTextNumbersContinued"/>
            </w:pPr>
          </w:p>
          <w:p w14:paraId="7C719B67" w14:textId="77777777" w:rsidR="0045387D" w:rsidRDefault="0045387D" w:rsidP="0045387D">
            <w:pPr>
              <w:pStyle w:val="TableTextNumbersContinued"/>
            </w:pPr>
            <w:r>
              <w:t>Scan or enter the unit ID and product code.</w:t>
            </w:r>
          </w:p>
          <w:p w14:paraId="2D63C750" w14:textId="77777777" w:rsidR="0045387D" w:rsidRDefault="0045387D" w:rsidP="0045387D">
            <w:pPr>
              <w:pStyle w:val="TableTextNumbersContinued"/>
            </w:pPr>
          </w:p>
          <w:p w14:paraId="67E21C81" w14:textId="77777777" w:rsidR="0045387D" w:rsidRDefault="0045387D" w:rsidP="0045387D">
            <w:pPr>
              <w:pStyle w:val="TableTextNumbersContinued"/>
            </w:pPr>
            <w:r>
              <w:t xml:space="preserve">Click the </w:t>
            </w:r>
            <w:r w:rsidRPr="0045387D">
              <w:rPr>
                <w:b/>
              </w:rPr>
              <w:t>Blood Bag Returned</w:t>
            </w:r>
            <w:r>
              <w:t xml:space="preserve"> or </w:t>
            </w:r>
            <w:r w:rsidRPr="0045387D">
              <w:rPr>
                <w:b/>
              </w:rPr>
              <w:t xml:space="preserve">Blood Bank Not Returned </w:t>
            </w:r>
            <w:r w:rsidRPr="00BF2E41">
              <w:t>radio button</w:t>
            </w:r>
            <w:r>
              <w:t>.</w:t>
            </w:r>
          </w:p>
          <w:p w14:paraId="686C75E6" w14:textId="77777777" w:rsidR="00880C72" w:rsidRDefault="00880C72" w:rsidP="0045387D">
            <w:pPr>
              <w:pStyle w:val="TableTextNumbersContinued"/>
            </w:pPr>
          </w:p>
          <w:p w14:paraId="23F3EE1F" w14:textId="77777777" w:rsidR="00880C72" w:rsidRDefault="00880C72" w:rsidP="00880C72">
            <w:pPr>
              <w:pStyle w:val="TableTextNumbersContinued"/>
            </w:pPr>
            <w:r>
              <w:t>Select an item from the drop-down menu in the Hemolysis Inspection field.</w:t>
            </w:r>
          </w:p>
          <w:p w14:paraId="6002CE83" w14:textId="77777777" w:rsidR="00880C72" w:rsidRDefault="00880C72" w:rsidP="00880C72">
            <w:pPr>
              <w:pStyle w:val="TableTextNumbersContinued"/>
            </w:pPr>
          </w:p>
          <w:p w14:paraId="66B95AB8" w14:textId="77777777" w:rsidR="00880C72" w:rsidRDefault="00880C72" w:rsidP="00880C72">
            <w:pPr>
              <w:pStyle w:val="TableTextNumbersContinued"/>
            </w:pPr>
            <w:r>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p>
          <w:p w14:paraId="6FDA2A98" w14:textId="77777777" w:rsidR="008F4AA6" w:rsidRDefault="008F4AA6" w:rsidP="008F4AA6">
            <w:pPr>
              <w:pStyle w:val="TableTextNumbersContinued"/>
            </w:pPr>
          </w:p>
          <w:p w14:paraId="1FA0FCB0" w14:textId="48D17B0E" w:rsidR="00AA7470" w:rsidRDefault="00AA7470" w:rsidP="008F4AA6">
            <w:pPr>
              <w:pStyle w:val="TableTextNumbersContinued"/>
            </w:pPr>
            <w:r>
              <w:t>Enter a comment and details, as required</w:t>
            </w:r>
            <w:r w:rsidR="00750760">
              <w:t xml:space="preserve"> (</w:t>
            </w:r>
            <w:r w:rsidR="00EE455E">
              <w:t xml:space="preserve">Figure </w:t>
            </w:r>
            <w:r w:rsidR="00EE455E">
              <w:rPr>
                <w:noProof/>
              </w:rPr>
              <w:t>103</w:t>
            </w:r>
            <w:r w:rsidR="00750760">
              <w:t>)</w:t>
            </w:r>
            <w:r>
              <w:t>.</w:t>
            </w:r>
          </w:p>
          <w:p w14:paraId="7E0A9BF7" w14:textId="77777777" w:rsidR="00006D86" w:rsidRDefault="00006D86" w:rsidP="008F4AA6">
            <w:pPr>
              <w:pStyle w:val="TableTextNumbersContinued"/>
            </w:pPr>
          </w:p>
          <w:p w14:paraId="780E3D20" w14:textId="77777777" w:rsidR="00006D86" w:rsidRDefault="00006D86" w:rsidP="008F4AA6">
            <w:pPr>
              <w:pStyle w:val="TableTextNumbersContinued"/>
            </w:pPr>
            <w:r>
              <w:t xml:space="preserve">Click </w:t>
            </w:r>
            <w:r w:rsidRPr="00006D86">
              <w:rPr>
                <w:b/>
              </w:rPr>
              <w:t>Add</w:t>
            </w:r>
            <w:r>
              <w:t xml:space="preserve"> to add the unit.</w:t>
            </w:r>
          </w:p>
          <w:p w14:paraId="554BF221" w14:textId="77777777" w:rsidR="00AA7470" w:rsidRDefault="00AA7470" w:rsidP="008F4AA6">
            <w:pPr>
              <w:pStyle w:val="TableTextNumbersContinued"/>
            </w:pPr>
          </w:p>
          <w:p w14:paraId="5D94BF6B" w14:textId="77777777" w:rsidR="00025A9B" w:rsidRDefault="008E6E94" w:rsidP="008F4AA6">
            <w:pPr>
              <w:pStyle w:val="TableTextNumbersContinued"/>
            </w:pPr>
            <w:r>
              <w:t xml:space="preserve">or </w:t>
            </w:r>
          </w:p>
          <w:p w14:paraId="2E804723" w14:textId="77777777" w:rsidR="00025A9B" w:rsidRDefault="00025A9B" w:rsidP="008F4AA6">
            <w:pPr>
              <w:pStyle w:val="TableTextNumbersContinued"/>
            </w:pPr>
          </w:p>
          <w:p w14:paraId="0A35C656" w14:textId="77777777" w:rsidR="00025A9B" w:rsidRDefault="007B5D98" w:rsidP="008F4AA6">
            <w:pPr>
              <w:pStyle w:val="TableTextNumbersContinued"/>
            </w:pPr>
            <w:r>
              <w:t>C</w:t>
            </w:r>
            <w:r w:rsidR="008E6E94">
              <w:t xml:space="preserve">lick the </w:t>
            </w:r>
            <w:r w:rsidR="008E6E94">
              <w:rPr>
                <w:b/>
              </w:rPr>
              <w:t xml:space="preserve">No Implicated Units </w:t>
            </w:r>
            <w:r w:rsidR="008E6E94" w:rsidRPr="00BF2E41">
              <w:t>radio button</w:t>
            </w:r>
            <w:r w:rsidR="00025A9B">
              <w:t>.</w:t>
            </w:r>
          </w:p>
          <w:p w14:paraId="4C0682B2" w14:textId="77777777" w:rsidR="00025A9B" w:rsidRDefault="00025A9B" w:rsidP="008F4AA6">
            <w:pPr>
              <w:pStyle w:val="TableTextNumbersContinued"/>
            </w:pPr>
          </w:p>
          <w:p w14:paraId="30D0BC02" w14:textId="77777777" w:rsidR="008E6E94" w:rsidRDefault="00025A9B" w:rsidP="008F4AA6">
            <w:pPr>
              <w:pStyle w:val="TableTextNumbersContinued"/>
            </w:pPr>
            <w:r>
              <w:t xml:space="preserve">Click </w:t>
            </w:r>
            <w:r w:rsidRPr="00025A9B">
              <w:rPr>
                <w:b/>
              </w:rPr>
              <w:t>OK</w:t>
            </w:r>
            <w:r>
              <w:t xml:space="preserve"> to save</w:t>
            </w:r>
            <w:r w:rsidR="00006D86">
              <w:t xml:space="preserve">, and </w:t>
            </w:r>
            <w:r w:rsidR="00006D86" w:rsidRPr="00006D86">
              <w:rPr>
                <w:b/>
              </w:rPr>
              <w:t>Yes</w:t>
            </w:r>
            <w:r w:rsidR="00006D86">
              <w:t xml:space="preserve"> to confirm the save</w:t>
            </w:r>
            <w:r>
              <w:t>.</w:t>
            </w:r>
          </w:p>
        </w:tc>
        <w:tc>
          <w:tcPr>
            <w:tcW w:w="6120" w:type="dxa"/>
            <w:tcBorders>
              <w:top w:val="single" w:sz="4" w:space="0" w:color="auto"/>
              <w:left w:val="single" w:sz="4" w:space="0" w:color="auto"/>
              <w:bottom w:val="single" w:sz="4" w:space="0" w:color="auto"/>
              <w:right w:val="single" w:sz="4" w:space="0" w:color="auto"/>
            </w:tcBorders>
          </w:tcPr>
          <w:p w14:paraId="52C96E4B" w14:textId="77777777" w:rsidR="008E6E94" w:rsidRDefault="008E6E94" w:rsidP="007A413F">
            <w:pPr>
              <w:pStyle w:val="TableTextBullet"/>
            </w:pPr>
            <w:r>
              <w:rPr>
                <w:rFonts w:cs="Arial"/>
                <w:vanish/>
              </w:rPr>
              <w:lastRenderedPageBreak/>
              <w:t xml:space="preserve">BR_21.03 </w:t>
            </w:r>
            <w:r>
              <w:t>Allows the user to:</w:t>
            </w:r>
          </w:p>
          <w:p w14:paraId="14991DB9" w14:textId="77777777" w:rsidR="0045387D" w:rsidRDefault="0045387D" w:rsidP="0045387D">
            <w:pPr>
              <w:pStyle w:val="TableTextBullet1"/>
            </w:pPr>
            <w:r>
              <w:t>Enter implicated unit information.</w:t>
            </w:r>
          </w:p>
          <w:p w14:paraId="5115F9F4" w14:textId="77777777" w:rsidR="008E6E94" w:rsidRDefault="008E6E94" w:rsidP="007A413F">
            <w:pPr>
              <w:pStyle w:val="TableTextBullet1"/>
            </w:pPr>
            <w:r>
              <w:t>Indicate whether the bag and infusion set were returned.</w:t>
            </w:r>
          </w:p>
          <w:p w14:paraId="5322E4E0" w14:textId="77777777" w:rsidR="008E6E94" w:rsidRDefault="008E6E94" w:rsidP="007A413F">
            <w:pPr>
              <w:pStyle w:val="TableTextBullet1"/>
            </w:pPr>
            <w:r>
              <w:t>Review and/or edit the entered information.</w:t>
            </w:r>
          </w:p>
          <w:p w14:paraId="7CB33A0A" w14:textId="77777777" w:rsidR="008E6E94" w:rsidRDefault="008E6E94" w:rsidP="007A413F">
            <w:pPr>
              <w:pStyle w:val="TableText"/>
            </w:pPr>
          </w:p>
          <w:p w14:paraId="02C69B94" w14:textId="632C44E1" w:rsidR="008E6E94" w:rsidRDefault="008E6E94" w:rsidP="007A413F">
            <w:pPr>
              <w:pStyle w:val="TableText"/>
              <w:rPr>
                <w:b/>
                <w:bCs/>
                <w:szCs w:val="18"/>
              </w:rPr>
            </w:pPr>
            <w:r>
              <w:rPr>
                <w:b/>
                <w:bCs/>
                <w:szCs w:val="18"/>
              </w:rPr>
              <w:t>NOTES</w:t>
            </w:r>
          </w:p>
          <w:p w14:paraId="184B3FAE" w14:textId="77777777" w:rsidR="008E6E94" w:rsidRDefault="008E6E94" w:rsidP="007A413F">
            <w:pPr>
              <w:pStyle w:val="NotesText"/>
            </w:pPr>
          </w:p>
          <w:p w14:paraId="19D6B18F" w14:textId="77777777" w:rsidR="008E6E94" w:rsidRDefault="008E6E94" w:rsidP="007A413F">
            <w:pPr>
              <w:pStyle w:val="NotesText"/>
            </w:pPr>
            <w:r>
              <w:rPr>
                <w:rFonts w:cs="Arial"/>
                <w:vanish/>
              </w:rPr>
              <w:t xml:space="preserve">BR_21.10 </w:t>
            </w:r>
            <w:r>
              <w:t>When the user indicates that the blood bag was not returned, VBECS disables the hemolysis and clerical checks.</w:t>
            </w:r>
          </w:p>
          <w:p w14:paraId="5C668008" w14:textId="77777777" w:rsidR="008E6E94" w:rsidRDefault="008E6E94" w:rsidP="007A413F">
            <w:pPr>
              <w:pStyle w:val="NotesText"/>
            </w:pPr>
          </w:p>
          <w:p w14:paraId="634A9EE0" w14:textId="77777777" w:rsidR="008E6E94" w:rsidRDefault="008E6E94" w:rsidP="007A413F">
            <w:pPr>
              <w:pStyle w:val="NotesText"/>
            </w:pPr>
            <w:r>
              <w:rPr>
                <w:rFonts w:cs="Arial"/>
                <w:vanish/>
              </w:rPr>
              <w:t xml:space="preserve">BR_21.22 </w:t>
            </w:r>
            <w:r>
              <w:t>All implicated units entered are available for TRW ABO/Rh and TRW crossmatching. Actual data entry of test results for any entries is optional, based on a facility’s local policies and procedures.</w:t>
            </w:r>
          </w:p>
          <w:p w14:paraId="40BDEDC3" w14:textId="77777777" w:rsidR="008E6E94" w:rsidRDefault="008E6E94" w:rsidP="007A413F">
            <w:pPr>
              <w:pStyle w:val="NotesText"/>
            </w:pPr>
          </w:p>
          <w:p w14:paraId="51572B61" w14:textId="77777777" w:rsidR="008E6E94" w:rsidRDefault="008E6E94" w:rsidP="007A413F">
            <w:pPr>
              <w:pStyle w:val="NotesText"/>
            </w:pPr>
            <w:r>
              <w:t>The user may enter a free-text comment to document site-specific information such as other solutions or additives, urinary hemoglobin checks, and whether the product was warmed during transfusion.</w:t>
            </w:r>
          </w:p>
        </w:tc>
      </w:tr>
      <w:tr w:rsidR="008E6E94" w14:paraId="02C5558A" w14:textId="77777777">
        <w:tc>
          <w:tcPr>
            <w:tcW w:w="3240" w:type="dxa"/>
            <w:tcBorders>
              <w:top w:val="single" w:sz="4" w:space="0" w:color="auto"/>
              <w:left w:val="single" w:sz="4" w:space="0" w:color="auto"/>
              <w:bottom w:val="single" w:sz="4" w:space="0" w:color="auto"/>
              <w:right w:val="single" w:sz="4" w:space="0" w:color="auto"/>
            </w:tcBorders>
          </w:tcPr>
          <w:p w14:paraId="523DA6ED" w14:textId="77777777" w:rsidR="008E6E94" w:rsidRDefault="008E6E94" w:rsidP="007A413F">
            <w:pPr>
              <w:pStyle w:val="TableTextNumbers"/>
            </w:pPr>
            <w:r>
              <w:t xml:space="preserve">Repeat Step </w:t>
            </w:r>
            <w:r w:rsidR="00006D86">
              <w:t>8</w:t>
            </w:r>
            <w:r w:rsidR="00BF2379">
              <w:t xml:space="preserve"> for each implicated unit</w:t>
            </w:r>
            <w:r>
              <w:t>.</w:t>
            </w:r>
          </w:p>
        </w:tc>
        <w:tc>
          <w:tcPr>
            <w:tcW w:w="6120" w:type="dxa"/>
            <w:tcBorders>
              <w:top w:val="single" w:sz="4" w:space="0" w:color="auto"/>
              <w:left w:val="single" w:sz="4" w:space="0" w:color="auto"/>
              <w:bottom w:val="single" w:sz="4" w:space="0" w:color="auto"/>
              <w:right w:val="single" w:sz="4" w:space="0" w:color="auto"/>
            </w:tcBorders>
          </w:tcPr>
          <w:p w14:paraId="2239C531" w14:textId="77777777" w:rsidR="008E6E94" w:rsidRDefault="008E6E94" w:rsidP="007A413F">
            <w:pPr>
              <w:pStyle w:val="TableTextBullet"/>
            </w:pPr>
            <w:r>
              <w:t>Allows the user to enter the patient’s symptoms.</w:t>
            </w:r>
          </w:p>
          <w:p w14:paraId="1D4E9C47" w14:textId="77777777" w:rsidR="008E6E94" w:rsidRDefault="008E6E94" w:rsidP="007A413F">
            <w:pPr>
              <w:pStyle w:val="TableText"/>
            </w:pPr>
          </w:p>
          <w:p w14:paraId="6BCE2176" w14:textId="345B64D3" w:rsidR="008E6E94" w:rsidRDefault="008E6E94" w:rsidP="007A413F">
            <w:pPr>
              <w:pStyle w:val="TableText"/>
              <w:rPr>
                <w:b/>
                <w:bCs/>
                <w:szCs w:val="18"/>
              </w:rPr>
            </w:pPr>
            <w:r>
              <w:rPr>
                <w:b/>
                <w:bCs/>
                <w:szCs w:val="18"/>
              </w:rPr>
              <w:t>NOTES</w:t>
            </w:r>
          </w:p>
          <w:p w14:paraId="5DE6AB9E" w14:textId="77777777" w:rsidR="008E6E94" w:rsidRDefault="008E6E94" w:rsidP="007A413F">
            <w:pPr>
              <w:pStyle w:val="NotesText"/>
            </w:pPr>
          </w:p>
          <w:p w14:paraId="7552C10F" w14:textId="77777777" w:rsidR="008E6E94" w:rsidRDefault="008E6E94" w:rsidP="007A413F">
            <w:pPr>
              <w:pStyle w:val="NotesText"/>
            </w:pPr>
            <w:r>
              <w:rPr>
                <w:rFonts w:cs="Arial"/>
                <w:vanish/>
              </w:rPr>
              <w:t xml:space="preserve">BR_21.07 </w:t>
            </w:r>
            <w:r>
              <w:t>VBECS accepts data for multiple implicated units and stores and reports them as part of the clerical check. When the user enters implicated unit data, VBECS adds the unit to TRW serologic testing.</w:t>
            </w:r>
          </w:p>
        </w:tc>
      </w:tr>
      <w:tr w:rsidR="008E6E94" w14:paraId="76BE7A6B" w14:textId="77777777">
        <w:tc>
          <w:tcPr>
            <w:tcW w:w="3240" w:type="dxa"/>
            <w:tcBorders>
              <w:top w:val="single" w:sz="4" w:space="0" w:color="auto"/>
              <w:left w:val="single" w:sz="4" w:space="0" w:color="auto"/>
              <w:bottom w:val="single" w:sz="4" w:space="0" w:color="auto"/>
              <w:right w:val="single" w:sz="4" w:space="0" w:color="auto"/>
            </w:tcBorders>
          </w:tcPr>
          <w:p w14:paraId="676F30A0" w14:textId="77777777" w:rsidR="0069720B" w:rsidRDefault="0069720B" w:rsidP="007A413F">
            <w:pPr>
              <w:pStyle w:val="TableTextNumbers"/>
            </w:pPr>
            <w:r>
              <w:t xml:space="preserve">In the Symptoms tab, click the </w:t>
            </w:r>
            <w:r w:rsidRPr="0069720B">
              <w:rPr>
                <w:b/>
              </w:rPr>
              <w:t xml:space="preserve">Patient Symptoms Identified </w:t>
            </w:r>
            <w:r w:rsidRPr="00BF2E41">
              <w:t>radio button</w:t>
            </w:r>
            <w:r>
              <w:t>.</w:t>
            </w:r>
          </w:p>
          <w:p w14:paraId="2FA94B63" w14:textId="77777777" w:rsidR="0069720B" w:rsidRDefault="0069720B" w:rsidP="0069720B">
            <w:pPr>
              <w:pStyle w:val="TableTextNumbersContinued"/>
            </w:pPr>
          </w:p>
          <w:p w14:paraId="0CBDD69B" w14:textId="10AE594E" w:rsidR="0069720B" w:rsidRDefault="0069720B" w:rsidP="0069720B">
            <w:pPr>
              <w:pStyle w:val="TableTextNumbersContinued"/>
            </w:pPr>
            <w:r>
              <w:t>C</w:t>
            </w:r>
            <w:r w:rsidR="008E6E94">
              <w:t>lick the check boxes to select one or more</w:t>
            </w:r>
            <w:r>
              <w:t xml:space="preserve"> patient symptoms</w:t>
            </w:r>
            <w:r w:rsidR="00750760">
              <w:t xml:space="preserve"> (</w:t>
            </w:r>
            <w:r w:rsidR="00EE455E">
              <w:t xml:space="preserve">Figure </w:t>
            </w:r>
            <w:r w:rsidR="00EE455E">
              <w:rPr>
                <w:noProof/>
              </w:rPr>
              <w:t>104</w:t>
            </w:r>
            <w:r w:rsidR="00750760">
              <w:t>)</w:t>
            </w:r>
            <w:r w:rsidR="00F911DD">
              <w:t>,</w:t>
            </w:r>
          </w:p>
          <w:p w14:paraId="69DEB047" w14:textId="77777777" w:rsidR="0069720B" w:rsidRDefault="0069720B" w:rsidP="0069720B">
            <w:pPr>
              <w:pStyle w:val="TableTextNumbersContinued"/>
            </w:pPr>
          </w:p>
          <w:p w14:paraId="1F1D87EF" w14:textId="77777777" w:rsidR="008E6E94" w:rsidRDefault="0069720B" w:rsidP="0069720B">
            <w:pPr>
              <w:pStyle w:val="TableTextNumbersContinued"/>
            </w:pPr>
            <w:r>
              <w:t>or</w:t>
            </w:r>
          </w:p>
          <w:p w14:paraId="4AF4A421" w14:textId="77777777" w:rsidR="0069720B" w:rsidRDefault="0069720B" w:rsidP="0069720B">
            <w:pPr>
              <w:pStyle w:val="TableTextNumbersContinued"/>
            </w:pPr>
          </w:p>
          <w:p w14:paraId="26496AB2" w14:textId="77777777" w:rsidR="0069720B" w:rsidRDefault="0069720B" w:rsidP="0069720B">
            <w:pPr>
              <w:pStyle w:val="TableTextNumbersContinued"/>
            </w:pPr>
            <w:r>
              <w:t xml:space="preserve">Click the </w:t>
            </w:r>
            <w:r w:rsidRPr="0069720B">
              <w:rPr>
                <w:b/>
              </w:rPr>
              <w:t xml:space="preserve">No Patient Symptoms Identified </w:t>
            </w:r>
            <w:r w:rsidRPr="00BF2E41">
              <w:t>radio button</w:t>
            </w:r>
            <w:r>
              <w:t>.</w:t>
            </w:r>
          </w:p>
          <w:p w14:paraId="698EE6EF" w14:textId="77777777" w:rsidR="00F911DD" w:rsidRDefault="00F911DD" w:rsidP="0069720B">
            <w:pPr>
              <w:pStyle w:val="TableTextNumbersContinued"/>
            </w:pPr>
          </w:p>
          <w:p w14:paraId="2A3E487A" w14:textId="77777777" w:rsidR="00F911DD" w:rsidRDefault="00F911DD" w:rsidP="0069720B">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326F2825" w14:textId="77777777" w:rsidR="008E6E94" w:rsidRDefault="008E6E94" w:rsidP="007A413F">
            <w:pPr>
              <w:pStyle w:val="TableTextBullet"/>
            </w:pPr>
            <w:r>
              <w:t xml:space="preserve">Allows the user to review and/or edit the entered data before it saves the record. </w:t>
            </w:r>
          </w:p>
          <w:p w14:paraId="6D63D347" w14:textId="77777777" w:rsidR="008E6E94" w:rsidRDefault="008E6E94" w:rsidP="007A413F">
            <w:pPr>
              <w:pStyle w:val="TableTextBullet"/>
            </w:pPr>
            <w:r>
              <w:rPr>
                <w:rFonts w:cs="Arial"/>
                <w:vanish/>
              </w:rPr>
              <w:t xml:space="preserve">BR_21.12 </w:t>
            </w:r>
            <w:r>
              <w:t xml:space="preserve">Allows the user to indicate that the TRW is complete. </w:t>
            </w:r>
          </w:p>
          <w:p w14:paraId="29AD41B5" w14:textId="77777777" w:rsidR="008E6E94" w:rsidRDefault="008E6E94" w:rsidP="009B1E9C">
            <w:pPr>
              <w:pStyle w:val="NotesText"/>
              <w:ind w:left="0"/>
            </w:pPr>
          </w:p>
        </w:tc>
      </w:tr>
      <w:tr w:rsidR="008E6E94" w14:paraId="67F2F165" w14:textId="77777777">
        <w:tc>
          <w:tcPr>
            <w:tcW w:w="3240" w:type="dxa"/>
          </w:tcPr>
          <w:p w14:paraId="046B4785" w14:textId="77777777" w:rsidR="00470DA1" w:rsidRDefault="00470DA1" w:rsidP="007A413F">
            <w:pPr>
              <w:pStyle w:val="TableTextNumbers"/>
            </w:pPr>
            <w:r>
              <w:t>In the Serologic Tests tab, click a check box to select which tests to perform.</w:t>
            </w:r>
          </w:p>
          <w:p w14:paraId="22A37B7B" w14:textId="77777777" w:rsidR="00470DA1" w:rsidRDefault="00470DA1" w:rsidP="00120B78">
            <w:pPr>
              <w:pStyle w:val="TableTextNumbersContinued"/>
            </w:pPr>
          </w:p>
          <w:p w14:paraId="74C4E011" w14:textId="77777777" w:rsidR="00B81464" w:rsidRDefault="00B81464" w:rsidP="00120B78">
            <w:pPr>
              <w:pStyle w:val="TableTextNumbersContinued"/>
            </w:pPr>
            <w:r>
              <w:t>Select a rack from the drop-down list in the Rack field.</w:t>
            </w:r>
          </w:p>
          <w:p w14:paraId="3FD4E9D5" w14:textId="77777777" w:rsidR="00B81464" w:rsidRDefault="00B81464" w:rsidP="00120B78">
            <w:pPr>
              <w:pStyle w:val="TableTextNumbersContinued"/>
            </w:pPr>
          </w:p>
          <w:p w14:paraId="661B5B61" w14:textId="77777777" w:rsidR="00120B78" w:rsidRDefault="00120B78" w:rsidP="00120B78">
            <w:pPr>
              <w:pStyle w:val="TableTextNumbersContinued"/>
            </w:pPr>
            <w:r>
              <w:t xml:space="preserve">Click the </w:t>
            </w:r>
            <w:r w:rsidRPr="00120B78">
              <w:rPr>
                <w:b/>
              </w:rPr>
              <w:t xml:space="preserve">Using Automated Instrument </w:t>
            </w:r>
            <w:r w:rsidRPr="00D1100E">
              <w:t>check box</w:t>
            </w:r>
            <w:r>
              <w:t xml:space="preserve">, as required. </w:t>
            </w:r>
          </w:p>
          <w:p w14:paraId="428D919F" w14:textId="77777777" w:rsidR="00120B78" w:rsidRDefault="00120B78" w:rsidP="00120B78">
            <w:pPr>
              <w:pStyle w:val="TableTextNumbersContinued"/>
            </w:pPr>
          </w:p>
          <w:p w14:paraId="4C18647E" w14:textId="77777777" w:rsidR="00120B78" w:rsidRDefault="00120B78" w:rsidP="00120B78">
            <w:pPr>
              <w:pStyle w:val="TableTextNumbersContinued"/>
            </w:pPr>
            <w:r>
              <w:t>Enter the name of the instrument in the Name field.</w:t>
            </w:r>
          </w:p>
          <w:p w14:paraId="5ED4068B" w14:textId="77777777" w:rsidR="00120B78" w:rsidRDefault="00120B78" w:rsidP="00120B78">
            <w:pPr>
              <w:pStyle w:val="TableTextNumbersContinued"/>
            </w:pPr>
          </w:p>
          <w:p w14:paraId="070BFB5C" w14:textId="77777777" w:rsidR="00120B78" w:rsidRDefault="00120B78" w:rsidP="00120B78">
            <w:pPr>
              <w:pStyle w:val="TableTextNumbersContinued"/>
            </w:pPr>
            <w:r>
              <w:t xml:space="preserve">Click the </w:t>
            </w:r>
            <w:r w:rsidRPr="00120B78">
              <w:rPr>
                <w:b/>
              </w:rPr>
              <w:t xml:space="preserve">Instrument QC’d? </w:t>
            </w:r>
            <w:r w:rsidRPr="00D1100E">
              <w:t>check box</w:t>
            </w:r>
            <w:r>
              <w:t>, as appropriate.</w:t>
            </w:r>
          </w:p>
          <w:p w14:paraId="71B6AB5F" w14:textId="77777777" w:rsidR="00120B78" w:rsidRDefault="00120B78" w:rsidP="00120B78">
            <w:pPr>
              <w:pStyle w:val="TableTextNumbersContinued"/>
            </w:pPr>
          </w:p>
          <w:p w14:paraId="07D94923" w14:textId="6F14F363" w:rsidR="008E6E94" w:rsidRDefault="008E6E94" w:rsidP="00120B78">
            <w:pPr>
              <w:pStyle w:val="TableTextNumbersContinued"/>
            </w:pPr>
            <w:r>
              <w:t>Enter interpretations for TRW testing</w:t>
            </w:r>
            <w:r w:rsidR="00750760">
              <w:t xml:space="preserve"> (</w:t>
            </w:r>
            <w:r w:rsidR="00EE455E">
              <w:t xml:space="preserve">Figure </w:t>
            </w:r>
            <w:r w:rsidR="00EE455E">
              <w:rPr>
                <w:noProof/>
              </w:rPr>
              <w:t>105</w:t>
            </w:r>
            <w:r w:rsidR="00750760">
              <w:t>)</w:t>
            </w:r>
            <w:r>
              <w:t>.</w:t>
            </w:r>
          </w:p>
          <w:p w14:paraId="35D76D4D" w14:textId="77777777" w:rsidR="00120B78" w:rsidRDefault="00120B78" w:rsidP="00120B78">
            <w:pPr>
              <w:pStyle w:val="TableTextNumbersContinued"/>
              <w:ind w:left="0"/>
            </w:pPr>
          </w:p>
        </w:tc>
        <w:tc>
          <w:tcPr>
            <w:tcW w:w="6120" w:type="dxa"/>
          </w:tcPr>
          <w:p w14:paraId="2488F58C" w14:textId="77777777" w:rsidR="008E6E94" w:rsidRDefault="008E6E94" w:rsidP="007A413F">
            <w:pPr>
              <w:pStyle w:val="TableTextBullet"/>
            </w:pPr>
            <w:r>
              <w:t xml:space="preserve">Allows the user to enter one or more additional TRW test interpretations: </w:t>
            </w:r>
          </w:p>
          <w:p w14:paraId="3540B5C8" w14:textId="77777777" w:rsidR="008E6E94" w:rsidRDefault="008E6E94" w:rsidP="007A413F">
            <w:pPr>
              <w:pStyle w:val="TableTextBullet1"/>
            </w:pPr>
            <w:r>
              <w:t>TRW ABO/Rh testing</w:t>
            </w:r>
          </w:p>
          <w:p w14:paraId="0E8A7CCC" w14:textId="77777777" w:rsidR="008E6E94" w:rsidRDefault="008E6E94" w:rsidP="007A413F">
            <w:pPr>
              <w:pStyle w:val="TableTextBullet1"/>
            </w:pPr>
            <w:r>
              <w:t>TRW ABS testing</w:t>
            </w:r>
          </w:p>
          <w:p w14:paraId="71E247FE" w14:textId="77777777" w:rsidR="008E6E94" w:rsidRDefault="008E6E94" w:rsidP="007A413F">
            <w:pPr>
              <w:pStyle w:val="TableTextBullet1"/>
            </w:pPr>
            <w:r>
              <w:t xml:space="preserve">TRW DAT testing </w:t>
            </w:r>
          </w:p>
          <w:p w14:paraId="10F0C9B9" w14:textId="77777777" w:rsidR="008E6E94" w:rsidRDefault="008E6E94" w:rsidP="007A413F">
            <w:pPr>
              <w:pStyle w:val="TableTextBullet1"/>
            </w:pPr>
            <w:r>
              <w:t>TRW XM testing</w:t>
            </w:r>
          </w:p>
          <w:p w14:paraId="007767CC" w14:textId="77777777" w:rsidR="008E6E94" w:rsidRDefault="008E6E94" w:rsidP="007A413F">
            <w:pPr>
              <w:pStyle w:val="TableTextBullet"/>
            </w:pPr>
            <w:r>
              <w:t xml:space="preserve">Requires the user to enter the rack name and test method to be </w:t>
            </w:r>
            <w:r>
              <w:rPr>
                <w:iCs/>
              </w:rPr>
              <w:t xml:space="preserve">applied to </w:t>
            </w:r>
            <w:r>
              <w:t>the specimens selected in this testing group for serologic testing. The user must also indicate whether an automated instrument was used in testing.</w:t>
            </w:r>
          </w:p>
          <w:p w14:paraId="7FD5A950" w14:textId="77777777" w:rsidR="008E6E94" w:rsidRDefault="008E6E94" w:rsidP="007A413F">
            <w:pPr>
              <w:pStyle w:val="TableTextBullet"/>
            </w:pPr>
            <w:r>
              <w:t>Displays the date and time the testing was performed (default: current date and time), which the user may edit retrospectively.</w:t>
            </w:r>
          </w:p>
          <w:p w14:paraId="42CD68B6" w14:textId="77777777" w:rsidR="008E6E94" w:rsidRDefault="008E6E94" w:rsidP="007A413F">
            <w:pPr>
              <w:pStyle w:val="TableTextBullet"/>
            </w:pPr>
            <w:r>
              <w:t>Displays the testing technologist’s identification (default: current user). Lists valid division users for the user’s selection.</w:t>
            </w:r>
          </w:p>
          <w:p w14:paraId="5D36DCDE" w14:textId="77777777" w:rsidR="008E6E94" w:rsidRDefault="008E6E94" w:rsidP="007A413F">
            <w:pPr>
              <w:pStyle w:val="TableText"/>
            </w:pPr>
          </w:p>
          <w:p w14:paraId="1CC406D2" w14:textId="3137BA83" w:rsidR="008E6E94" w:rsidRDefault="008E6E94" w:rsidP="007A413F">
            <w:pPr>
              <w:pStyle w:val="TableText"/>
              <w:rPr>
                <w:b/>
                <w:bCs/>
                <w:szCs w:val="18"/>
              </w:rPr>
            </w:pPr>
            <w:r>
              <w:rPr>
                <w:b/>
                <w:bCs/>
                <w:szCs w:val="18"/>
              </w:rPr>
              <w:t>NOTES</w:t>
            </w:r>
          </w:p>
          <w:p w14:paraId="2746556C" w14:textId="77777777" w:rsidR="008E6E94" w:rsidRDefault="008E6E94" w:rsidP="007A413F">
            <w:pPr>
              <w:pStyle w:val="NotesText"/>
            </w:pPr>
          </w:p>
          <w:p w14:paraId="5047CD60" w14:textId="77777777" w:rsidR="008E6E94" w:rsidRDefault="008E6E94" w:rsidP="007A413F">
            <w:pPr>
              <w:pStyle w:val="NotesText"/>
            </w:pPr>
            <w:r>
              <w:rPr>
                <w:vanish/>
                <w:szCs w:val="18"/>
              </w:rPr>
              <w:t>BR_21.16</w:t>
            </w:r>
            <w:r w:rsidR="005D400B">
              <w:rPr>
                <w:vanish/>
                <w:szCs w:val="18"/>
              </w:rPr>
              <w:t>,</w:t>
            </w:r>
            <w:r>
              <w:rPr>
                <w:vanish/>
                <w:szCs w:val="18"/>
              </w:rPr>
              <w:t xml:space="preserve"> BR_21.24 </w:t>
            </w:r>
            <w:r>
              <w:t>When no units were implicated or no</w:t>
            </w:r>
            <w:r>
              <w:rPr>
                <w:color w:val="000000"/>
                <w:szCs w:val="18"/>
              </w:rPr>
              <w:t xml:space="preserve"> pre- or post-transfusion specimens are available, VBECS disables those</w:t>
            </w:r>
            <w:r>
              <w:t xml:space="preserve"> portions of the grid.</w:t>
            </w:r>
          </w:p>
          <w:p w14:paraId="6D9EBE1B" w14:textId="77777777" w:rsidR="008E6E94" w:rsidRDefault="008E6E94" w:rsidP="007A413F">
            <w:pPr>
              <w:pStyle w:val="NotesText"/>
            </w:pPr>
          </w:p>
          <w:p w14:paraId="7DEFF0AA" w14:textId="77777777" w:rsidR="008E6E94" w:rsidRDefault="008E6E94" w:rsidP="007A413F">
            <w:pPr>
              <w:pStyle w:val="NotesText"/>
            </w:pPr>
            <w:r>
              <w:rPr>
                <w:rFonts w:cs="Arial"/>
                <w:vanish/>
              </w:rPr>
              <w:t xml:space="preserve">BR_21.13 </w:t>
            </w:r>
            <w:r>
              <w:t>VBECS displays the standard TRW tests for the user to select to perform some</w:t>
            </w:r>
            <w:r w:rsidR="00DB68D8">
              <w:t>, none</w:t>
            </w:r>
            <w:r>
              <w:t xml:space="preserve"> or all.</w:t>
            </w:r>
            <w:r w:rsidR="00DB68D8">
              <w:t xml:space="preserve"> </w:t>
            </w:r>
            <w:r w:rsidR="00DB68D8" w:rsidRPr="00DB68D8">
              <w:rPr>
                <w:vanish/>
              </w:rPr>
              <w:t>DR 5100</w:t>
            </w:r>
          </w:p>
          <w:p w14:paraId="78F0A875" w14:textId="77777777" w:rsidR="008E6E94" w:rsidRDefault="008E6E94" w:rsidP="007A413F">
            <w:pPr>
              <w:pStyle w:val="NotesText"/>
            </w:pPr>
          </w:p>
          <w:p w14:paraId="437B96B3" w14:textId="77777777" w:rsidR="008E6E94" w:rsidRDefault="008E6E94" w:rsidP="007A413F">
            <w:pPr>
              <w:pStyle w:val="NotesText"/>
            </w:pPr>
            <w:r>
              <w:rPr>
                <w:rFonts w:cs="Arial"/>
                <w:vanish/>
              </w:rPr>
              <w:lastRenderedPageBreak/>
              <w:t xml:space="preserve">BR_56.14 </w:t>
            </w:r>
            <w:r>
              <w:t>When a facility is “full service” and an automated instrument was used for testing, a user must enter the name of the instrument and may indicate that successful quality control testing was done for the testing date.</w:t>
            </w:r>
          </w:p>
          <w:p w14:paraId="77513727" w14:textId="77777777" w:rsidR="008E6E94" w:rsidRDefault="008E6E94" w:rsidP="007A413F">
            <w:pPr>
              <w:pStyle w:val="NotesText"/>
            </w:pPr>
          </w:p>
          <w:p w14:paraId="01BDC31D" w14:textId="77777777" w:rsidR="008E6E94" w:rsidRDefault="008E6E94" w:rsidP="007A413F">
            <w:pPr>
              <w:pStyle w:val="NotesText"/>
            </w:pPr>
            <w:r>
              <w:rPr>
                <w:vanish/>
                <w:szCs w:val="18"/>
              </w:rPr>
              <w:t>BR_21.04</w:t>
            </w:r>
            <w:r w:rsidR="009078D6">
              <w:rPr>
                <w:vanish/>
                <w:szCs w:val="18"/>
              </w:rPr>
              <w:t>,</w:t>
            </w:r>
            <w:r>
              <w:rPr>
                <w:vanish/>
                <w:szCs w:val="18"/>
              </w:rPr>
              <w:t xml:space="preserve"> BR_21.22 </w:t>
            </w:r>
            <w:r>
              <w:t>For implicated units, the ABO/Rh TRW, ABS TRW, DAT TRW, and Crossmatch TRW testing data grids are pre-populated with pre- and post-specimen data. Data entry of test results is optional, based on a facility’s local policies and procedures.</w:t>
            </w:r>
          </w:p>
        </w:tc>
      </w:tr>
      <w:tr w:rsidR="008E6E94" w14:paraId="4ECBAD82" w14:textId="77777777">
        <w:tc>
          <w:tcPr>
            <w:tcW w:w="3240" w:type="dxa"/>
          </w:tcPr>
          <w:p w14:paraId="6E23A2EE" w14:textId="77777777" w:rsidR="00120B78" w:rsidRDefault="008E6E94" w:rsidP="007A413F">
            <w:pPr>
              <w:pStyle w:val="TableTextNumbers"/>
            </w:pPr>
            <w:r>
              <w:lastRenderedPageBreak/>
              <w:t>Review the entries</w:t>
            </w:r>
            <w:r w:rsidR="00120B78">
              <w:t>.</w:t>
            </w:r>
          </w:p>
          <w:p w14:paraId="682E833D" w14:textId="77777777" w:rsidR="00120B78" w:rsidRDefault="00120B78" w:rsidP="00120B78">
            <w:pPr>
              <w:pStyle w:val="TableTextNumbersContinued"/>
            </w:pPr>
          </w:p>
          <w:p w14:paraId="5B6DA1E3" w14:textId="77777777" w:rsidR="008E6E94" w:rsidRDefault="00120B78" w:rsidP="00120B78">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Pr>
          <w:p w14:paraId="17E85C6E" w14:textId="77777777" w:rsidR="008E6E94" w:rsidRDefault="008E6E94" w:rsidP="007A413F">
            <w:pPr>
              <w:pStyle w:val="TableTextBullet"/>
            </w:pPr>
            <w:r>
              <w:t>Stores data for retrieval.</w:t>
            </w:r>
          </w:p>
          <w:p w14:paraId="482EAF11" w14:textId="77777777" w:rsidR="008E6E94" w:rsidRDefault="008E6E94" w:rsidP="007A413F">
            <w:pPr>
              <w:pStyle w:val="TableTextBullet"/>
            </w:pPr>
            <w:r>
              <w:t>Makes the findings viewable through a CPRS query.</w:t>
            </w:r>
          </w:p>
          <w:p w14:paraId="41FF077A" w14:textId="77777777" w:rsidR="008E6E94" w:rsidRDefault="008E6E94" w:rsidP="007A413F">
            <w:pPr>
              <w:pStyle w:val="TableText"/>
            </w:pPr>
          </w:p>
          <w:p w14:paraId="6FCEA72A" w14:textId="41FAEE7C" w:rsidR="008E6E94" w:rsidRDefault="008E6E94" w:rsidP="007A413F">
            <w:pPr>
              <w:pStyle w:val="TableText"/>
              <w:rPr>
                <w:b/>
                <w:bCs/>
                <w:szCs w:val="18"/>
              </w:rPr>
            </w:pPr>
            <w:r>
              <w:rPr>
                <w:b/>
                <w:bCs/>
                <w:szCs w:val="18"/>
              </w:rPr>
              <w:t>NOTES</w:t>
            </w:r>
          </w:p>
          <w:p w14:paraId="65EFD9E9" w14:textId="77777777" w:rsidR="008E6E94" w:rsidRDefault="008E6E94" w:rsidP="007A413F">
            <w:pPr>
              <w:pStyle w:val="NotesText"/>
            </w:pPr>
          </w:p>
          <w:p w14:paraId="3D87AFF6" w14:textId="77777777" w:rsidR="008E6E94" w:rsidRDefault="008E6E94" w:rsidP="007A413F">
            <w:pPr>
              <w:pStyle w:val="NotesText"/>
            </w:pPr>
            <w:r>
              <w:rPr>
                <w:rFonts w:cs="Arial"/>
                <w:vanish/>
              </w:rPr>
              <w:t xml:space="preserve">BR_21.12 </w:t>
            </w:r>
            <w:r>
              <w:t>VBECS allows the user to indicate that the TRW is complete, then updates the TRW task status to “complete.”</w:t>
            </w:r>
          </w:p>
          <w:p w14:paraId="197654EC" w14:textId="77777777" w:rsidR="008E6E94" w:rsidRDefault="008E6E94" w:rsidP="007A413F">
            <w:pPr>
              <w:pStyle w:val="NotesText"/>
            </w:pPr>
          </w:p>
          <w:p w14:paraId="6BA4B26E" w14:textId="77777777" w:rsidR="008E6E94" w:rsidRDefault="008E6E94" w:rsidP="007A413F">
            <w:pPr>
              <w:pStyle w:val="NotesText"/>
            </w:pPr>
            <w:r>
              <w:rPr>
                <w:rFonts w:cs="Arial"/>
                <w:vanish/>
              </w:rPr>
              <w:t xml:space="preserve">BR_21.06 </w:t>
            </w:r>
            <w:r>
              <w:t>Once the TRW is completed, the summary of results and observations includes the comment, “Final report to follow in hard copy with medical director evaluation of the transfusion reaction workup.”</w:t>
            </w:r>
          </w:p>
          <w:p w14:paraId="285E17DB" w14:textId="77777777" w:rsidR="008E6E94" w:rsidRDefault="008E6E94" w:rsidP="007A413F">
            <w:pPr>
              <w:pStyle w:val="NotesText"/>
            </w:pPr>
          </w:p>
          <w:p w14:paraId="3CC5E3A2" w14:textId="77777777" w:rsidR="008E6E94" w:rsidRDefault="008E6E94" w:rsidP="007A413F">
            <w:pPr>
              <w:pStyle w:val="NotesText"/>
              <w:rPr>
                <w:color w:val="000000"/>
                <w:szCs w:val="18"/>
              </w:rPr>
            </w:pPr>
            <w:r>
              <w:rPr>
                <w:rFonts w:cs="Arial"/>
                <w:vanish/>
              </w:rPr>
              <w:t xml:space="preserve">BR_21.21 </w:t>
            </w:r>
            <w:r>
              <w:t xml:space="preserve">VBECS indicates on the </w:t>
            </w:r>
            <w:r>
              <w:rPr>
                <w:color w:val="000000"/>
                <w:szCs w:val="18"/>
              </w:rPr>
              <w:t>implicated unit’s patient transfusion record that it was implicated in a transfusion reaction and notes the patient’s name and ID and the date and time.</w:t>
            </w:r>
          </w:p>
          <w:p w14:paraId="0EBA84BD" w14:textId="77777777" w:rsidR="008E6E94" w:rsidRDefault="008E6E94" w:rsidP="007A413F">
            <w:pPr>
              <w:pStyle w:val="NotesText"/>
            </w:pPr>
          </w:p>
          <w:p w14:paraId="2482F3B2" w14:textId="77777777" w:rsidR="008E6E94" w:rsidRDefault="008E6E94" w:rsidP="007A413F">
            <w:pPr>
              <w:pStyle w:val="NotesText"/>
              <w:rPr>
                <w:szCs w:val="18"/>
              </w:rPr>
            </w:pPr>
            <w:r>
              <w:rPr>
                <w:rFonts w:cs="Arial"/>
                <w:vanish/>
              </w:rPr>
              <w:t>BR_21.28</w:t>
            </w:r>
            <w:r w:rsidRPr="00323744">
              <w:rPr>
                <w:rStyle w:val="BullhornChar"/>
              </w:rPr>
              <w:t></w:t>
            </w:r>
            <w:r>
              <w:rPr>
                <w:rFonts w:ascii="Webdings" w:hAnsi="Webdings"/>
              </w:rPr>
              <w:t></w:t>
            </w:r>
            <w:r>
              <w:rPr>
                <w:szCs w:val="18"/>
              </w:rPr>
              <w:t>VBECS saves the record and one or more clerical checks are marked “failed,” VBECS emits an audible alert, requires a comment, and captures details for inclusion in an Exception Report (exception type: Transfusion Reaction Workup).</w:t>
            </w:r>
          </w:p>
        </w:tc>
      </w:tr>
      <w:tr w:rsidR="008E6E94" w14:paraId="5E947E95" w14:textId="77777777">
        <w:tc>
          <w:tcPr>
            <w:tcW w:w="3240" w:type="dxa"/>
          </w:tcPr>
          <w:p w14:paraId="76CC36C1" w14:textId="10BD88CC" w:rsidR="00F676B6" w:rsidRDefault="00F676B6" w:rsidP="007A413F">
            <w:pPr>
              <w:pStyle w:val="TableTextNumbers"/>
            </w:pPr>
            <w:r>
              <w:t xml:space="preserve">Click </w:t>
            </w:r>
            <w:r w:rsidRPr="00F676B6">
              <w:rPr>
                <w:b/>
              </w:rPr>
              <w:t>Finalize/Print TRW</w:t>
            </w:r>
            <w:r>
              <w:t xml:space="preserve"> and continue at Finalize/Print TRW to finalize the TRW</w:t>
            </w:r>
            <w:r w:rsidR="00750760">
              <w:t xml:space="preserve"> (</w:t>
            </w:r>
            <w:r w:rsidR="00EE455E">
              <w:t xml:space="preserve">Figure </w:t>
            </w:r>
            <w:r w:rsidR="00EE455E">
              <w:rPr>
                <w:noProof/>
              </w:rPr>
              <w:t>106</w:t>
            </w:r>
            <w:r w:rsidR="00750760">
              <w:t>)</w:t>
            </w:r>
            <w:r>
              <w:t>, or</w:t>
            </w:r>
          </w:p>
          <w:p w14:paraId="135D84D9" w14:textId="77777777" w:rsidR="00F676B6" w:rsidRDefault="00F676B6" w:rsidP="00F676B6">
            <w:pPr>
              <w:pStyle w:val="TableTextNumbersContinued"/>
            </w:pPr>
          </w:p>
          <w:p w14:paraId="05BE40B1" w14:textId="77777777" w:rsidR="008E6E94" w:rsidRDefault="00F676B6" w:rsidP="00F676B6">
            <w:pPr>
              <w:pStyle w:val="TableTextNumbersContinued"/>
            </w:pPr>
            <w:r>
              <w:t>Click</w:t>
            </w:r>
            <w:r w:rsidR="00AA6C54">
              <w:t xml:space="preserve"> </w:t>
            </w:r>
            <w:r w:rsidRPr="00F676B6">
              <w:rPr>
                <w:b/>
              </w:rPr>
              <w:t>Cancel</w:t>
            </w:r>
            <w:r>
              <w:t xml:space="preserve"> to complete the TRW and exit</w:t>
            </w:r>
            <w:r w:rsidR="008E6E94">
              <w:t xml:space="preserve">. </w:t>
            </w:r>
            <w:r w:rsidR="008E6E94">
              <w:rPr>
                <w:vanish/>
                <w:color w:val="FFFFFF"/>
                <w:szCs w:val="18"/>
              </w:rPr>
              <w:fldChar w:fldCharType="begin"/>
            </w:r>
            <w:r w:rsidR="008E6E94">
              <w:rPr>
                <w:vanish/>
                <w:color w:val="FFFFFF"/>
                <w:szCs w:val="18"/>
              </w:rPr>
              <w:instrText xml:space="preserve"> LISTNUM \l 1 \s 0 </w:instrText>
            </w:r>
            <w:r w:rsidR="008E6E94">
              <w:rPr>
                <w:vanish/>
                <w:color w:val="FFFFFF"/>
                <w:szCs w:val="18"/>
              </w:rPr>
              <w:fldChar w:fldCharType="end"/>
            </w:r>
          </w:p>
        </w:tc>
        <w:tc>
          <w:tcPr>
            <w:tcW w:w="6120" w:type="dxa"/>
          </w:tcPr>
          <w:p w14:paraId="6EC48131" w14:textId="77777777" w:rsidR="00503680" w:rsidRPr="00503680" w:rsidRDefault="00503680" w:rsidP="00503680">
            <w:pPr>
              <w:pStyle w:val="TableText"/>
            </w:pPr>
          </w:p>
          <w:p w14:paraId="039D2C2A" w14:textId="529BDC0B" w:rsidR="008E6E94" w:rsidRDefault="008E6E94" w:rsidP="007A413F">
            <w:pPr>
              <w:pStyle w:val="TableText"/>
              <w:rPr>
                <w:b/>
                <w:bCs/>
                <w:szCs w:val="18"/>
              </w:rPr>
            </w:pPr>
            <w:r>
              <w:rPr>
                <w:b/>
                <w:bCs/>
                <w:szCs w:val="18"/>
              </w:rPr>
              <w:t>NOTES</w:t>
            </w:r>
          </w:p>
          <w:p w14:paraId="3FB4085F" w14:textId="77777777" w:rsidR="008E6E94" w:rsidRPr="007F427E" w:rsidRDefault="008E6E94" w:rsidP="007F427E">
            <w:pPr>
              <w:pStyle w:val="NotesText"/>
            </w:pPr>
          </w:p>
          <w:p w14:paraId="78B1F86E" w14:textId="77777777" w:rsidR="00F676B6" w:rsidRDefault="00F676B6" w:rsidP="007F427E">
            <w:pPr>
              <w:pStyle w:val="NotesText"/>
              <w:rPr>
                <w:color w:val="3366FF"/>
              </w:rPr>
            </w:pPr>
            <w:r w:rsidRPr="007F427E">
              <w:t>A completed TRW indicates that serologic testing was completed. A finalized TRW indicates that the medical director reviewed the TRW, classified the rea</w:t>
            </w:r>
            <w:r w:rsidR="007F427E" w:rsidRPr="007F427E">
              <w:t>ction, and may make recommendations for future transfusions.</w:t>
            </w:r>
          </w:p>
        </w:tc>
      </w:tr>
    </w:tbl>
    <w:p w14:paraId="01C90641" w14:textId="79B9C312" w:rsidR="008534C3" w:rsidRDefault="00772DD7" w:rsidP="008534C3">
      <w:pPr>
        <w:pStyle w:val="Caption"/>
      </w:pPr>
      <w:bookmarkStart w:id="485" w:name="_Ref12777118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102</w:t>
      </w:r>
      <w:r w:rsidR="004E20BD">
        <w:rPr>
          <w:noProof/>
        </w:rPr>
        <w:fldChar w:fldCharType="end"/>
      </w:r>
      <w:bookmarkEnd w:id="485"/>
      <w:r>
        <w:t>:</w:t>
      </w:r>
      <w:r w:rsidR="008534C3">
        <w:t xml:space="preserve"> Transfusion Reaction Workup</w:t>
      </w:r>
      <w:r w:rsidR="004645AA">
        <w:t>: Specimen</w:t>
      </w:r>
      <w:r w:rsidR="00A73927">
        <w:t xml:space="preserve"> Check</w:t>
      </w:r>
    </w:p>
    <w:p w14:paraId="1801A336" w14:textId="168E7FEB" w:rsidR="00772DD7" w:rsidRDefault="009227D1" w:rsidP="008534C3">
      <w:pPr>
        <w:pStyle w:val="BodyText"/>
      </w:pPr>
      <w:r>
        <w:rPr>
          <w:noProof/>
        </w:rPr>
        <w:drawing>
          <wp:inline distT="0" distB="0" distL="0" distR="0" wp14:anchorId="6278721E" wp14:editId="35395CCC">
            <wp:extent cx="5943600" cy="3822700"/>
            <wp:effectExtent l="0" t="0" r="0" b="6350"/>
            <wp:docPr id="188" name="Picture 188" descr="Example of Transfusion Reaction Workup: Specimen Check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Example of Transfusion Reaction Workup: Specimen Check screen captur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3600" cy="3822700"/>
                    </a:xfrm>
                    <a:prstGeom prst="rect">
                      <a:avLst/>
                    </a:prstGeom>
                    <a:noFill/>
                    <a:ln>
                      <a:noFill/>
                    </a:ln>
                  </pic:spPr>
                </pic:pic>
              </a:graphicData>
            </a:graphic>
          </wp:inline>
        </w:drawing>
      </w:r>
    </w:p>
    <w:p w14:paraId="11DF1FEB" w14:textId="67AD3FC0" w:rsidR="00772DD7" w:rsidRDefault="00772DD7" w:rsidP="00772DD7">
      <w:pPr>
        <w:pStyle w:val="Caption"/>
      </w:pPr>
      <w:bookmarkStart w:id="486" w:name="_Ref12777199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103</w:t>
      </w:r>
      <w:r w:rsidR="004E20BD">
        <w:rPr>
          <w:noProof/>
        </w:rPr>
        <w:fldChar w:fldCharType="end"/>
      </w:r>
      <w:bookmarkEnd w:id="486"/>
      <w:r>
        <w:t>:</w:t>
      </w:r>
      <w:r w:rsidR="004645AA">
        <w:t xml:space="preserve"> Transfusion </w:t>
      </w:r>
      <w:r w:rsidR="00A73927">
        <w:t>Reaction Workup: Clerical Check</w:t>
      </w:r>
    </w:p>
    <w:p w14:paraId="37D847EC" w14:textId="291905FA" w:rsidR="00772DD7" w:rsidRPr="00772DD7" w:rsidRDefault="009227D1" w:rsidP="00772DD7">
      <w:pPr>
        <w:pStyle w:val="BodyText"/>
      </w:pPr>
      <w:r>
        <w:rPr>
          <w:noProof/>
        </w:rPr>
        <w:drawing>
          <wp:inline distT="0" distB="0" distL="0" distR="0" wp14:anchorId="6AF32599" wp14:editId="74A9C18B">
            <wp:extent cx="5943600" cy="3869055"/>
            <wp:effectExtent l="0" t="0" r="0" b="0"/>
            <wp:docPr id="196" name="Picture 196" descr="Example of Transfusion Reaction Workup: Clerical Check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Example of Transfusion Reaction Workup: Clerical Check screen captur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3600" cy="3869055"/>
                    </a:xfrm>
                    <a:prstGeom prst="rect">
                      <a:avLst/>
                    </a:prstGeom>
                    <a:noFill/>
                    <a:ln>
                      <a:noFill/>
                    </a:ln>
                  </pic:spPr>
                </pic:pic>
              </a:graphicData>
            </a:graphic>
          </wp:inline>
        </w:drawing>
      </w:r>
    </w:p>
    <w:p w14:paraId="7F4C027F" w14:textId="398CD867" w:rsidR="00772DD7" w:rsidRDefault="00772DD7" w:rsidP="00772DD7">
      <w:pPr>
        <w:pStyle w:val="Caption"/>
      </w:pPr>
      <w:bookmarkStart w:id="487" w:name="_Ref12777407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104</w:t>
      </w:r>
      <w:r w:rsidR="004E20BD">
        <w:rPr>
          <w:noProof/>
        </w:rPr>
        <w:fldChar w:fldCharType="end"/>
      </w:r>
      <w:bookmarkEnd w:id="487"/>
      <w:r>
        <w:t>:</w:t>
      </w:r>
      <w:r w:rsidR="00390AEF">
        <w:t xml:space="preserve"> Transfusion Reaction Workup: Implicated Units</w:t>
      </w:r>
    </w:p>
    <w:p w14:paraId="2208B335" w14:textId="5641BA8F" w:rsidR="004A2487" w:rsidRPr="004A2487" w:rsidRDefault="009227D1" w:rsidP="004A2487">
      <w:pPr>
        <w:pStyle w:val="BodyText"/>
      </w:pPr>
      <w:r>
        <w:rPr>
          <w:noProof/>
        </w:rPr>
        <w:drawing>
          <wp:inline distT="0" distB="0" distL="0" distR="0" wp14:anchorId="4957ED90" wp14:editId="2F72DD9E">
            <wp:extent cx="5943600" cy="3820795"/>
            <wp:effectExtent l="0" t="0" r="0" b="8255"/>
            <wp:docPr id="197" name="Picture 197" descr="Example of Transfusion Reaction Workup: Implicated Uni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Example of Transfusion Reaction Workup: Implicated Units screen captur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3600" cy="3820795"/>
                    </a:xfrm>
                    <a:prstGeom prst="rect">
                      <a:avLst/>
                    </a:prstGeom>
                    <a:noFill/>
                    <a:ln>
                      <a:noFill/>
                    </a:ln>
                  </pic:spPr>
                </pic:pic>
              </a:graphicData>
            </a:graphic>
          </wp:inline>
        </w:drawing>
      </w:r>
    </w:p>
    <w:p w14:paraId="42CFAF7A" w14:textId="2C17AB52" w:rsidR="00772DD7" w:rsidRDefault="00772DD7" w:rsidP="00772DD7">
      <w:pPr>
        <w:pStyle w:val="Caption"/>
      </w:pPr>
      <w:bookmarkStart w:id="488" w:name="_Ref12777415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105</w:t>
      </w:r>
      <w:r w:rsidR="004E20BD">
        <w:rPr>
          <w:noProof/>
        </w:rPr>
        <w:fldChar w:fldCharType="end"/>
      </w:r>
      <w:bookmarkEnd w:id="488"/>
      <w:r>
        <w:t>:</w:t>
      </w:r>
      <w:r w:rsidR="00390AEF">
        <w:t xml:space="preserve"> Transfusion Reaction Workup: Symptoms</w:t>
      </w:r>
    </w:p>
    <w:p w14:paraId="348BB024" w14:textId="238D93A9" w:rsidR="00772DD7" w:rsidRPr="00772DD7" w:rsidRDefault="009227D1" w:rsidP="00772DD7">
      <w:pPr>
        <w:pStyle w:val="BodyText"/>
      </w:pPr>
      <w:r>
        <w:rPr>
          <w:noProof/>
        </w:rPr>
        <w:drawing>
          <wp:inline distT="0" distB="0" distL="0" distR="0" wp14:anchorId="0F479536" wp14:editId="64ACD46E">
            <wp:extent cx="5943600" cy="3836035"/>
            <wp:effectExtent l="0" t="0" r="0" b="0"/>
            <wp:docPr id="200" name="Picture 200" descr="Example of Transfusion Reaction Workup: Symptom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Example of Transfusion Reaction Workup: Symptoms screen captur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3836035"/>
                    </a:xfrm>
                    <a:prstGeom prst="rect">
                      <a:avLst/>
                    </a:prstGeom>
                    <a:noFill/>
                    <a:ln>
                      <a:noFill/>
                    </a:ln>
                  </pic:spPr>
                </pic:pic>
              </a:graphicData>
            </a:graphic>
          </wp:inline>
        </w:drawing>
      </w:r>
    </w:p>
    <w:p w14:paraId="6DF1203B" w14:textId="60FC1A6C" w:rsidR="00772DD7" w:rsidRDefault="00772DD7" w:rsidP="00772DD7">
      <w:pPr>
        <w:pStyle w:val="Caption"/>
      </w:pPr>
      <w:bookmarkStart w:id="489" w:name="_Ref12777419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106</w:t>
      </w:r>
      <w:r w:rsidR="004E20BD">
        <w:rPr>
          <w:noProof/>
        </w:rPr>
        <w:fldChar w:fldCharType="end"/>
      </w:r>
      <w:bookmarkEnd w:id="489"/>
      <w:r>
        <w:t>:</w:t>
      </w:r>
      <w:r w:rsidR="00390AEF">
        <w:t xml:space="preserve"> Transfusion Reaction Workup: Serologic Tests</w:t>
      </w:r>
    </w:p>
    <w:p w14:paraId="566E5864" w14:textId="5D3CD552" w:rsidR="00772DD7" w:rsidRPr="00772DD7" w:rsidRDefault="009227D1" w:rsidP="00772DD7">
      <w:pPr>
        <w:pStyle w:val="BodyText"/>
      </w:pPr>
      <w:r>
        <w:rPr>
          <w:noProof/>
        </w:rPr>
        <w:drawing>
          <wp:inline distT="0" distB="0" distL="0" distR="0" wp14:anchorId="6F303198" wp14:editId="555E7E97">
            <wp:extent cx="5943600" cy="3818890"/>
            <wp:effectExtent l="0" t="0" r="0" b="0"/>
            <wp:docPr id="201" name="Picture 201" descr="Example of Transfusion Reaction Workup: Serologic Tes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Example of Transfusion Reaction Workup: Serologic Tests screen captur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3818890"/>
                    </a:xfrm>
                    <a:prstGeom prst="rect">
                      <a:avLst/>
                    </a:prstGeom>
                    <a:noFill/>
                    <a:ln>
                      <a:noFill/>
                    </a:ln>
                  </pic:spPr>
                </pic:pic>
              </a:graphicData>
            </a:graphic>
          </wp:inline>
        </w:drawing>
      </w:r>
    </w:p>
    <w:p w14:paraId="6241CFF7" w14:textId="2A16A926" w:rsidR="00772DD7" w:rsidRDefault="00772DD7" w:rsidP="00772DD7">
      <w:pPr>
        <w:pStyle w:val="Caption"/>
      </w:pPr>
      <w:bookmarkStart w:id="490" w:name="_Ref12777421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107</w:t>
      </w:r>
      <w:r w:rsidR="004E20BD">
        <w:rPr>
          <w:noProof/>
        </w:rPr>
        <w:fldChar w:fldCharType="end"/>
      </w:r>
      <w:bookmarkEnd w:id="490"/>
      <w:r>
        <w:t>:</w:t>
      </w:r>
      <w:r w:rsidR="00453B6E">
        <w:t xml:space="preserve"> Transfusion Reaction Workup Report</w:t>
      </w:r>
    </w:p>
    <w:p w14:paraId="11D41631" w14:textId="53FEAB19" w:rsidR="00772DD7" w:rsidRPr="00772DD7" w:rsidRDefault="009227D1" w:rsidP="00772DD7">
      <w:pPr>
        <w:pStyle w:val="BodyText"/>
      </w:pPr>
      <w:r>
        <w:rPr>
          <w:noProof/>
        </w:rPr>
        <w:drawing>
          <wp:inline distT="0" distB="0" distL="0" distR="0" wp14:anchorId="3C5FB823" wp14:editId="252B3FA6">
            <wp:extent cx="5943600" cy="3765550"/>
            <wp:effectExtent l="0" t="0" r="0" b="6350"/>
            <wp:docPr id="223" name="Picture 223" descr="Example of Transfusion Reaction Workup Re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Example of Transfusion Reaction Workup Report screen captur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3600" cy="3765550"/>
                    </a:xfrm>
                    <a:prstGeom prst="rect">
                      <a:avLst/>
                    </a:prstGeom>
                    <a:noFill/>
                    <a:ln>
                      <a:noFill/>
                    </a:ln>
                  </pic:spPr>
                </pic:pic>
              </a:graphicData>
            </a:graphic>
          </wp:inline>
        </w:drawing>
      </w:r>
    </w:p>
    <w:p w14:paraId="10641904" w14:textId="77777777" w:rsidR="002A21AE" w:rsidRDefault="00AA0019">
      <w:pPr>
        <w:pStyle w:val="Heading3"/>
      </w:pPr>
      <w:bookmarkStart w:id="491" w:name="_Toc94938926"/>
      <w:bookmarkStart w:id="492" w:name="_Toc63680366"/>
      <w:r>
        <w:br w:type="page"/>
      </w:r>
      <w:bookmarkStart w:id="493" w:name="_Toc163644956"/>
      <w:r w:rsidR="002A21AE">
        <w:lastRenderedPageBreak/>
        <w:t>Finalize/Print TRW</w:t>
      </w:r>
      <w:bookmarkEnd w:id="493"/>
      <w:r w:rsidR="002A21AE">
        <w:fldChar w:fldCharType="begin"/>
      </w:r>
      <w:r w:rsidR="002A21AE">
        <w:instrText xml:space="preserve"> XE </w:instrText>
      </w:r>
      <w:r w:rsidR="00FA7E65">
        <w:instrText>“</w:instrText>
      </w:r>
      <w:r w:rsidR="002A21AE">
        <w:instrText>Finalize/Print TRW</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UC_78</w:t>
      </w:r>
      <w:bookmarkEnd w:id="491"/>
    </w:p>
    <w:p w14:paraId="6B205F4E" w14:textId="77777777" w:rsidR="002A21AE" w:rsidRDefault="002A21AE" w:rsidP="00FA7E65">
      <w:pPr>
        <w:pStyle w:val="BodyText"/>
      </w:pPr>
      <w:r>
        <w:t>The user finalizes</w:t>
      </w:r>
      <w:r w:rsidR="00EB1E5A">
        <w:t xml:space="preserve"> and</w:t>
      </w:r>
      <w:r>
        <w:t xml:space="preserve"> views </w:t>
      </w:r>
      <w:r w:rsidR="00EB1E5A">
        <w:t xml:space="preserve">and/or </w:t>
      </w:r>
      <w:r>
        <w:t>prints the Transfusion Reaction Workup Report.</w:t>
      </w:r>
    </w:p>
    <w:p w14:paraId="53F51DA9" w14:textId="77777777" w:rsidR="002A21AE" w:rsidRDefault="002A21AE">
      <w:pPr>
        <w:pStyle w:val="Heading4"/>
      </w:pPr>
      <w:r>
        <w:t>Assumptions</w:t>
      </w:r>
      <w:r>
        <w:rPr>
          <w:b w:val="0"/>
        </w:rPr>
        <w:t xml:space="preserve"> </w:t>
      </w:r>
    </w:p>
    <w:p w14:paraId="7D7FACA4" w14:textId="77777777" w:rsidR="002A21AE" w:rsidRDefault="002A21AE">
      <w:pPr>
        <w:pStyle w:val="ListBullet"/>
      </w:pPr>
      <w:r>
        <w:t>Patient Testing: Record a Transfusion Reaction Workup was completed.</w:t>
      </w:r>
    </w:p>
    <w:p w14:paraId="260EFE06" w14:textId="77777777" w:rsidR="002A21AE" w:rsidRDefault="002A21AE">
      <w:pPr>
        <w:pStyle w:val="Heading4"/>
      </w:pPr>
      <w:r>
        <w:t xml:space="preserve">Outcome </w:t>
      </w:r>
    </w:p>
    <w:p w14:paraId="2833FC21" w14:textId="77777777" w:rsidR="002A21AE" w:rsidRDefault="002A21AE">
      <w:pPr>
        <w:pStyle w:val="ListBullet"/>
      </w:pPr>
      <w:r>
        <w:t>The Transfusion Reaction Workup Report is available for printing and signing.</w:t>
      </w:r>
    </w:p>
    <w:p w14:paraId="6D5C508F" w14:textId="77777777" w:rsidR="0015352F" w:rsidRDefault="0015352F" w:rsidP="0015352F">
      <w:pPr>
        <w:pStyle w:val="ListBullet"/>
      </w:pPr>
      <w:r>
        <w:t>Final report findings are available for display in CPRS.</w:t>
      </w:r>
    </w:p>
    <w:p w14:paraId="098B5E3C" w14:textId="77777777" w:rsidR="002A21AE" w:rsidRDefault="002A21AE">
      <w:pPr>
        <w:pStyle w:val="Heading4"/>
        <w:rPr>
          <w:b w:val="0"/>
        </w:rPr>
      </w:pPr>
      <w:r>
        <w:t>Limitations and Restrictions</w:t>
      </w:r>
      <w:r>
        <w:rPr>
          <w:b w:val="0"/>
        </w:rPr>
        <w:t xml:space="preserve"> </w:t>
      </w:r>
    </w:p>
    <w:p w14:paraId="42AAE702" w14:textId="615D2774" w:rsidR="002A21AE" w:rsidRDefault="00D3121D">
      <w:pPr>
        <w:pStyle w:val="ListBullet"/>
      </w:pPr>
      <w:r>
        <w:t>The user cannot</w:t>
      </w:r>
      <w:r w:rsidR="00D23EF9" w:rsidRPr="00D23EF9">
        <w:t xml:space="preserve"> invalidate </w:t>
      </w:r>
      <w:r w:rsidR="00D23EF9">
        <w:t xml:space="preserve">or change </w:t>
      </w:r>
      <w:r w:rsidR="00D23EF9" w:rsidRPr="00D23EF9">
        <w:t>a finalized TRW.</w:t>
      </w:r>
      <w:r w:rsidR="00095CB3">
        <w:t xml:space="preserve"> Contact </w:t>
      </w:r>
      <w:r w:rsidR="00435359">
        <w:t>the Service</w:t>
      </w:r>
      <w:r w:rsidR="00095CB3">
        <w:t xml:space="preserve"> Desk if a TRW needs to be updated after finalization.</w:t>
      </w:r>
      <w:r w:rsidR="00FF7FFA">
        <w:t xml:space="preserve"> </w:t>
      </w:r>
      <w:r w:rsidR="00FF7FFA" w:rsidRPr="00FF7FFA">
        <w:rPr>
          <w:vanish/>
        </w:rPr>
        <w:t>Defect 212150</w:t>
      </w:r>
    </w:p>
    <w:p w14:paraId="316D0EF2" w14:textId="6DD0F818" w:rsidR="003E5C27" w:rsidRDefault="003E5C27">
      <w:pPr>
        <w:pStyle w:val="ListBullet"/>
      </w:pPr>
      <w:r>
        <w:t>Transfusion reaction reports are not available to clinicians through CPRS: they must be printed and filed with patient charts.</w:t>
      </w:r>
    </w:p>
    <w:p w14:paraId="04CAAB88" w14:textId="427FBDBA" w:rsidR="00D473B6" w:rsidRDefault="00D473B6">
      <w:pPr>
        <w:pStyle w:val="ListBullet"/>
      </w:pPr>
      <w:r>
        <w:t>There is no scroll bar on the TRW Serologic Tests tab. This limits</w:t>
      </w:r>
      <w:r w:rsidR="001C6E3F">
        <w:t xml:space="preserve"> </w:t>
      </w:r>
      <w:r w:rsidR="00780C90">
        <w:t xml:space="preserve">the number of visible implicated units to ten (10). When more than ten (10) units are implicated in the transfusion reaction, order additional TRW test(s) as required. </w:t>
      </w:r>
      <w:r w:rsidR="00780C90" w:rsidRPr="00780C90">
        <w:rPr>
          <w:vanish/>
        </w:rPr>
        <w:t>Defect 577597</w:t>
      </w:r>
    </w:p>
    <w:p w14:paraId="3FE31DE0" w14:textId="77777777" w:rsidR="00FF5006" w:rsidRPr="00764EF1" w:rsidRDefault="00FF5006" w:rsidP="00FF5006">
      <w:pPr>
        <w:pStyle w:val="ListBullet"/>
      </w:pPr>
      <w:r>
        <w:t>VBECS displays these default values for transfusion reactions converted from VistA to VBECS. They do not reflect actual interpretations or results:</w:t>
      </w:r>
      <w:r>
        <w:rPr>
          <w:vanish/>
        </w:rPr>
        <w:t xml:space="preserve"> (DR 2,</w:t>
      </w:r>
      <w:r w:rsidRPr="00FF5006">
        <w:rPr>
          <w:vanish/>
        </w:rPr>
        <w:t>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764EF1" w:rsidRPr="00887834" w14:paraId="07138B2A" w14:textId="77777777">
        <w:trPr>
          <w:tblHeader/>
        </w:trPr>
        <w:tc>
          <w:tcPr>
            <w:tcW w:w="4428" w:type="dxa"/>
            <w:shd w:val="clear" w:color="auto" w:fill="B3B3B3"/>
          </w:tcPr>
          <w:p w14:paraId="06FDEA8D" w14:textId="77777777" w:rsidR="00764EF1" w:rsidRPr="00887834" w:rsidRDefault="00764EF1" w:rsidP="00722031">
            <w:pPr>
              <w:pStyle w:val="TableText"/>
              <w:rPr>
                <w:b/>
              </w:rPr>
            </w:pPr>
            <w:r w:rsidRPr="00887834">
              <w:rPr>
                <w:b/>
              </w:rPr>
              <w:t>Converted Transfusion Reaction</w:t>
            </w:r>
          </w:p>
        </w:tc>
        <w:tc>
          <w:tcPr>
            <w:tcW w:w="2772" w:type="dxa"/>
            <w:shd w:val="clear" w:color="auto" w:fill="B3B3B3"/>
          </w:tcPr>
          <w:p w14:paraId="561BE456" w14:textId="77777777" w:rsidR="00764EF1" w:rsidRPr="00887834" w:rsidRDefault="00764EF1" w:rsidP="00722031">
            <w:pPr>
              <w:pStyle w:val="TableText"/>
              <w:rPr>
                <w:b/>
              </w:rPr>
            </w:pPr>
            <w:r w:rsidRPr="00887834">
              <w:rPr>
                <w:b/>
              </w:rPr>
              <w:t>Default</w:t>
            </w:r>
          </w:p>
        </w:tc>
      </w:tr>
      <w:tr w:rsidR="00764EF1" w14:paraId="4EA9B8FE" w14:textId="77777777">
        <w:tc>
          <w:tcPr>
            <w:tcW w:w="4428" w:type="dxa"/>
          </w:tcPr>
          <w:p w14:paraId="13CE8E85" w14:textId="77777777" w:rsidR="00764EF1" w:rsidRDefault="00764EF1" w:rsidP="00722031">
            <w:pPr>
              <w:pStyle w:val="TableText"/>
            </w:pPr>
            <w:r>
              <w:t xml:space="preserve">Pre-Transfusion Specimen Checks, Hemolysis Checks OK? </w:t>
            </w:r>
          </w:p>
        </w:tc>
        <w:tc>
          <w:tcPr>
            <w:tcW w:w="2772" w:type="dxa"/>
          </w:tcPr>
          <w:p w14:paraId="763E49FF" w14:textId="77777777" w:rsidR="00764EF1" w:rsidRDefault="00764EF1" w:rsidP="00722031">
            <w:pPr>
              <w:pStyle w:val="TableText"/>
            </w:pPr>
            <w:r>
              <w:t>Yes</w:t>
            </w:r>
          </w:p>
        </w:tc>
      </w:tr>
      <w:tr w:rsidR="00764EF1" w14:paraId="516560FC" w14:textId="77777777">
        <w:tc>
          <w:tcPr>
            <w:tcW w:w="4428" w:type="dxa"/>
          </w:tcPr>
          <w:p w14:paraId="602ABDC4" w14:textId="77777777" w:rsidR="00764EF1" w:rsidRDefault="00764EF1" w:rsidP="00722031">
            <w:pPr>
              <w:pStyle w:val="TableText"/>
            </w:pPr>
            <w:r>
              <w:t xml:space="preserve">Post-Transfusion Specimen Checks, Hemolysis Checks OK? </w:t>
            </w:r>
          </w:p>
        </w:tc>
        <w:tc>
          <w:tcPr>
            <w:tcW w:w="2772" w:type="dxa"/>
          </w:tcPr>
          <w:p w14:paraId="62BEEBB5" w14:textId="77777777" w:rsidR="00764EF1" w:rsidRDefault="00764EF1" w:rsidP="00722031">
            <w:pPr>
              <w:pStyle w:val="TableText"/>
            </w:pPr>
            <w:r>
              <w:t>Yes</w:t>
            </w:r>
          </w:p>
        </w:tc>
      </w:tr>
      <w:tr w:rsidR="00764EF1" w14:paraId="3109CD48" w14:textId="77777777">
        <w:tc>
          <w:tcPr>
            <w:tcW w:w="4428" w:type="dxa"/>
          </w:tcPr>
          <w:p w14:paraId="39468268" w14:textId="77777777" w:rsidR="00764EF1" w:rsidRDefault="00D35B68" w:rsidP="00722031">
            <w:pPr>
              <w:pStyle w:val="TableText"/>
            </w:pPr>
            <w:r>
              <w:t>Symptom</w:t>
            </w:r>
            <w:r w:rsidR="00764EF1">
              <w:t>s</w:t>
            </w:r>
          </w:p>
        </w:tc>
        <w:tc>
          <w:tcPr>
            <w:tcW w:w="2772" w:type="dxa"/>
          </w:tcPr>
          <w:p w14:paraId="6105A7F8" w14:textId="77777777" w:rsidR="00764EF1" w:rsidRDefault="00764EF1" w:rsidP="00722031">
            <w:pPr>
              <w:pStyle w:val="TableText"/>
            </w:pPr>
            <w:r>
              <w:t>No symptoms identified.</w:t>
            </w:r>
          </w:p>
        </w:tc>
      </w:tr>
      <w:tr w:rsidR="00764EF1" w14:paraId="76C04063" w14:textId="77777777">
        <w:tc>
          <w:tcPr>
            <w:tcW w:w="4428" w:type="dxa"/>
          </w:tcPr>
          <w:p w14:paraId="6015041E" w14:textId="77777777" w:rsidR="00764EF1" w:rsidRDefault="00764EF1" w:rsidP="00722031">
            <w:pPr>
              <w:pStyle w:val="TableText"/>
            </w:pPr>
            <w:r>
              <w:t>Implicated units</w:t>
            </w:r>
          </w:p>
        </w:tc>
        <w:tc>
          <w:tcPr>
            <w:tcW w:w="2772" w:type="dxa"/>
          </w:tcPr>
          <w:p w14:paraId="214BDF3F" w14:textId="77777777" w:rsidR="00764EF1" w:rsidRDefault="00764EF1" w:rsidP="00722031">
            <w:pPr>
              <w:pStyle w:val="TableText"/>
            </w:pPr>
            <w:r>
              <w:t>No units implicated in reaction.</w:t>
            </w:r>
          </w:p>
        </w:tc>
      </w:tr>
      <w:tr w:rsidR="00764EF1" w14:paraId="61E64C24" w14:textId="77777777">
        <w:tc>
          <w:tcPr>
            <w:tcW w:w="4428" w:type="dxa"/>
          </w:tcPr>
          <w:p w14:paraId="48730143" w14:textId="77777777" w:rsidR="00764EF1" w:rsidRDefault="00764EF1" w:rsidP="00722031">
            <w:pPr>
              <w:pStyle w:val="TableText"/>
            </w:pPr>
            <w:r>
              <w:t>Serologic tests</w:t>
            </w:r>
          </w:p>
        </w:tc>
        <w:tc>
          <w:tcPr>
            <w:tcW w:w="2772" w:type="dxa"/>
          </w:tcPr>
          <w:p w14:paraId="7F04455F" w14:textId="77777777" w:rsidR="00764EF1" w:rsidRDefault="00764EF1" w:rsidP="00722031">
            <w:pPr>
              <w:pStyle w:val="TableText"/>
            </w:pPr>
            <w:r>
              <w:t>No serologic tests performed.</w:t>
            </w:r>
          </w:p>
        </w:tc>
      </w:tr>
    </w:tbl>
    <w:p w14:paraId="5B03DA04" w14:textId="77777777" w:rsidR="002A21AE" w:rsidRDefault="002A21AE">
      <w:pPr>
        <w:pStyle w:val="Heading4"/>
      </w:pPr>
      <w:r>
        <w:t xml:space="preserve">Additional Information </w:t>
      </w:r>
    </w:p>
    <w:p w14:paraId="3DCFBC98" w14:textId="77777777" w:rsidR="002A21AE" w:rsidRDefault="002A21AE">
      <w:pPr>
        <w:pStyle w:val="ListBullet"/>
      </w:pPr>
      <w:r>
        <w:t>The medical director’s signature is on the patient’s printed chart.</w:t>
      </w:r>
    </w:p>
    <w:p w14:paraId="6582F7B2" w14:textId="3AE10255" w:rsidR="002A21AE" w:rsidRDefault="002A21AE">
      <w:pPr>
        <w:pStyle w:val="ListBullet"/>
      </w:pPr>
      <w:r>
        <w:t>If a report needs to be replaced, the user may retrieve this report after it is complete. The final report is a printed document with the medical director’s signature.</w:t>
      </w:r>
    </w:p>
    <w:p w14:paraId="652351B1" w14:textId="1EE3AE2A" w:rsidR="000E5481" w:rsidRDefault="000E5481" w:rsidP="000E5481">
      <w:pPr>
        <w:pStyle w:val="ListBullet"/>
      </w:pPr>
      <w:r w:rsidRPr="000E5481">
        <w:t xml:space="preserve">Do not use the barcode scanner to enter a transfusion reaction specimen </w:t>
      </w:r>
      <w:r w:rsidR="00405F70">
        <w:t>U</w:t>
      </w:r>
      <w:r w:rsidRPr="000E5481">
        <w:t>ID.</w:t>
      </w:r>
      <w:r w:rsidR="00DC3A9D">
        <w:t xml:space="preserve"> </w:t>
      </w:r>
      <w:r w:rsidR="00DC3A9D" w:rsidRPr="00DC3A9D">
        <w:rPr>
          <w:vanish/>
        </w:rPr>
        <w:t>Defect 210130</w:t>
      </w:r>
    </w:p>
    <w:p w14:paraId="52BBE7B4" w14:textId="1227321C" w:rsidR="000E5481" w:rsidRDefault="000E5481" w:rsidP="000E5481">
      <w:pPr>
        <w:pStyle w:val="ListBullet"/>
      </w:pPr>
      <w:r>
        <w:t>To avoid a system error, o</w:t>
      </w:r>
      <w:r w:rsidRPr="000E5481">
        <w:t xml:space="preserve">nce testing is entered, </w:t>
      </w:r>
      <w:r>
        <w:t xml:space="preserve">do not </w:t>
      </w:r>
      <w:r w:rsidRPr="000E5481">
        <w:t xml:space="preserve">uncheck the testing box </w:t>
      </w:r>
      <w:r w:rsidR="00DC3A9D">
        <w:t xml:space="preserve">and recheck it. </w:t>
      </w:r>
      <w:r w:rsidR="00DC3A9D" w:rsidRPr="00DC3A9D">
        <w:rPr>
          <w:vanish/>
        </w:rPr>
        <w:t>Defect 209736</w:t>
      </w:r>
    </w:p>
    <w:p w14:paraId="68BD934B" w14:textId="6CEC8903" w:rsidR="00392E5C" w:rsidRDefault="00EB421B" w:rsidP="000E5481">
      <w:pPr>
        <w:pStyle w:val="ListBullet"/>
      </w:pPr>
      <w:r>
        <w:t>Limit F</w:t>
      </w:r>
      <w:r w:rsidR="00392E5C">
        <w:t>inalize TRW comments to &lt;350 characters to allow saving and printing.</w:t>
      </w:r>
      <w:r w:rsidR="00DC3A9D">
        <w:t xml:space="preserve"> </w:t>
      </w:r>
      <w:r w:rsidR="00DC3A9D" w:rsidRPr="00DC3A9D">
        <w:rPr>
          <w:vanish/>
        </w:rPr>
        <w:t>Defect 209784</w:t>
      </w:r>
    </w:p>
    <w:p w14:paraId="49511DEB" w14:textId="19263987" w:rsidR="00DC3A9D" w:rsidRDefault="00DC3A9D" w:rsidP="000E5481">
      <w:pPr>
        <w:pStyle w:val="ListBullet"/>
      </w:pPr>
      <w:r>
        <w:t xml:space="preserve">A system error occurs if a user has a TRW open and then attempts to open a second instance of the same TRW. Restart the VBECS session and open one TRW to result and finalize. </w:t>
      </w:r>
      <w:r w:rsidRPr="00DC3A9D">
        <w:rPr>
          <w:vanish/>
        </w:rPr>
        <w:t>Defect 209747</w:t>
      </w:r>
    </w:p>
    <w:p w14:paraId="6C6557C1" w14:textId="0D60E993" w:rsidR="002A21AE" w:rsidRDefault="002A21AE">
      <w:pPr>
        <w:pStyle w:val="Heading4"/>
        <w:rPr>
          <w:b w:val="0"/>
        </w:rPr>
      </w:pPr>
      <w:r>
        <w:t>User Roles with Access to This Option</w:t>
      </w:r>
      <w:r>
        <w:rPr>
          <w:b w:val="0"/>
        </w:rPr>
        <w:t xml:space="preserve"> </w:t>
      </w:r>
    </w:p>
    <w:p w14:paraId="06E47D21" w14:textId="77777777" w:rsidR="00A13077" w:rsidRDefault="00A13077" w:rsidP="00A13077">
      <w:pPr>
        <w:pStyle w:val="Roles"/>
      </w:pPr>
      <w:r>
        <w:t>All users</w:t>
      </w:r>
    </w:p>
    <w:p w14:paraId="380BA8FF" w14:textId="77777777" w:rsidR="00F3651E" w:rsidRDefault="00F3651E">
      <w:pPr>
        <w:rPr>
          <w:rFonts w:ascii="Arial" w:hAnsi="Arial"/>
          <w:b/>
          <w:sz w:val="22"/>
        </w:rPr>
      </w:pPr>
      <w:r>
        <w:br w:type="page"/>
      </w:r>
    </w:p>
    <w:p w14:paraId="06A111C4" w14:textId="6A436F24" w:rsidR="002A21AE" w:rsidRDefault="002A21AE">
      <w:pPr>
        <w:pStyle w:val="Heading4"/>
      </w:pPr>
      <w:r>
        <w:lastRenderedPageBreak/>
        <w:t>Finalize Transfusion Reaction Workup Report</w:t>
      </w:r>
      <w:r>
        <w:fldChar w:fldCharType="begin"/>
      </w:r>
      <w:r>
        <w:instrText xml:space="preserve"> XE </w:instrText>
      </w:r>
      <w:r w:rsidR="00FA7E65">
        <w:instrText>“</w:instrText>
      </w:r>
      <w:r>
        <w:instrText>Finalize Transfusion Reaction Workup Report</w:instrText>
      </w:r>
      <w:r w:rsidR="00FA7E65">
        <w:instrText>”</w:instrText>
      </w:r>
      <w:r>
        <w:instrText xml:space="preserve"> </w:instrText>
      </w:r>
      <w:r>
        <w:fldChar w:fldCharType="end"/>
      </w:r>
    </w:p>
    <w:p w14:paraId="6C333736" w14:textId="77777777" w:rsidR="002A21AE" w:rsidRDefault="005C768D" w:rsidP="001C322D">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1C322D">
        <w:t xml:space="preserve">The Lead Technologist </w:t>
      </w:r>
      <w:r w:rsidR="002A21AE">
        <w:t>reviews the TRW details, identifies the type of reaction, and add</w:t>
      </w:r>
      <w:r w:rsidR="00B948D2">
        <w:t>s</w:t>
      </w:r>
      <w:r w:rsidR="002A21AE">
        <w:t xml:space="preserve"> comments, according to the medical director’s instructions. The user prints a copy for the medical director’s signature and </w:t>
      </w:r>
      <w:r w:rsidR="00B948D2">
        <w:t xml:space="preserve">the Lead Technologist </w:t>
      </w:r>
      <w:r w:rsidR="002A21AE">
        <w:t xml:space="preserve">finalizes the TRW, generating a preliminary report. The final printed report requires the signature of the medical director.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AAE2F5" w14:textId="77777777">
        <w:trPr>
          <w:cantSplit/>
          <w:tblHeader/>
        </w:trPr>
        <w:tc>
          <w:tcPr>
            <w:tcW w:w="3240" w:type="dxa"/>
            <w:shd w:val="pct30" w:color="auto" w:fill="auto"/>
            <w:vAlign w:val="bottom"/>
          </w:tcPr>
          <w:p w14:paraId="03D9F680" w14:textId="77777777" w:rsidR="002A21AE" w:rsidRDefault="002A21AE">
            <w:pPr>
              <w:pStyle w:val="TableText"/>
              <w:rPr>
                <w:b/>
              </w:rPr>
            </w:pPr>
            <w:r>
              <w:rPr>
                <w:b/>
              </w:rPr>
              <w:t>User Action</w:t>
            </w:r>
          </w:p>
        </w:tc>
        <w:tc>
          <w:tcPr>
            <w:tcW w:w="6120" w:type="dxa"/>
            <w:shd w:val="pct30" w:color="auto" w:fill="auto"/>
            <w:vAlign w:val="bottom"/>
          </w:tcPr>
          <w:p w14:paraId="5BD244EB" w14:textId="77777777" w:rsidR="002A21AE" w:rsidRDefault="002A21AE">
            <w:pPr>
              <w:pStyle w:val="TableText"/>
              <w:rPr>
                <w:b/>
              </w:rPr>
            </w:pPr>
            <w:r>
              <w:rPr>
                <w:b/>
              </w:rPr>
              <w:t>VBECS</w:t>
            </w:r>
          </w:p>
        </w:tc>
      </w:tr>
      <w:tr w:rsidR="002A21AE" w14:paraId="2E4C2879" w14:textId="77777777">
        <w:tc>
          <w:tcPr>
            <w:tcW w:w="3240" w:type="dxa"/>
            <w:tcBorders>
              <w:top w:val="single" w:sz="4" w:space="0" w:color="auto"/>
              <w:left w:val="single" w:sz="4" w:space="0" w:color="auto"/>
              <w:bottom w:val="single" w:sz="4" w:space="0" w:color="auto"/>
              <w:right w:val="single" w:sz="4" w:space="0" w:color="auto"/>
            </w:tcBorders>
          </w:tcPr>
          <w:p w14:paraId="32D1A6F3" w14:textId="77777777" w:rsidR="002A21AE" w:rsidRDefault="002A21AE">
            <w:pPr>
              <w:pStyle w:val="TableTextNumbers"/>
            </w:pPr>
            <w:r>
              <w:t xml:space="preserve">Select </w:t>
            </w:r>
            <w:r>
              <w:rPr>
                <w:b/>
              </w:rPr>
              <w:t>Reports</w:t>
            </w:r>
            <w:r>
              <w:t xml:space="preserve"> from the main menu.</w:t>
            </w:r>
          </w:p>
          <w:p w14:paraId="2FFE78DE" w14:textId="77777777" w:rsidR="002A21AE" w:rsidRDefault="002A21AE">
            <w:pPr>
              <w:pStyle w:val="TableTextNumbersContinued"/>
            </w:pPr>
          </w:p>
          <w:p w14:paraId="506FA627" w14:textId="77777777" w:rsidR="002A21AE" w:rsidRDefault="002A21AE">
            <w:pPr>
              <w:pStyle w:val="TableTextNumbersContinued"/>
            </w:pPr>
            <w:r>
              <w:t xml:space="preserve">Select </w:t>
            </w:r>
            <w:r>
              <w:rPr>
                <w:b/>
              </w:rPr>
              <w:t>Finalize/Print TRW</w:t>
            </w:r>
            <w:r>
              <w:t>.</w:t>
            </w:r>
          </w:p>
          <w:p w14:paraId="66460746" w14:textId="77777777" w:rsidR="002A21AE" w:rsidRDefault="002A21AE">
            <w:pPr>
              <w:pStyle w:val="TableTextNumbersContinued"/>
            </w:pPr>
          </w:p>
          <w:p w14:paraId="2791F1DB" w14:textId="2CB993DC" w:rsidR="00741357" w:rsidRDefault="00741357">
            <w:pPr>
              <w:pStyle w:val="TableTextNumbersContinued"/>
            </w:pPr>
            <w:r>
              <w:t xml:space="preserve">Click the </w:t>
            </w:r>
            <w:r w:rsidRPr="00741357">
              <w:rPr>
                <w:b/>
              </w:rPr>
              <w:t xml:space="preserve">Include Non-Finalized TRW Reports </w:t>
            </w:r>
            <w:r w:rsidRPr="00D1100E">
              <w:t>check box</w:t>
            </w:r>
            <w:r w:rsidR="00F40F83" w:rsidRPr="00F40F83">
              <w:t xml:space="preserve"> (</w:t>
            </w:r>
            <w:r w:rsidR="00EE455E">
              <w:t xml:space="preserve">Figure </w:t>
            </w:r>
            <w:r w:rsidR="00EE455E">
              <w:rPr>
                <w:noProof/>
              </w:rPr>
              <w:t>107</w:t>
            </w:r>
            <w:r w:rsidR="00F40F83" w:rsidRPr="00F40F83">
              <w:t>)</w:t>
            </w:r>
            <w:r>
              <w:t>.</w:t>
            </w:r>
          </w:p>
          <w:p w14:paraId="24F827D7" w14:textId="77777777" w:rsidR="00741357" w:rsidRDefault="00741357">
            <w:pPr>
              <w:pStyle w:val="TableTextNumbersContinued"/>
            </w:pPr>
          </w:p>
          <w:p w14:paraId="5F1D2F4E" w14:textId="77777777" w:rsidR="002A21AE" w:rsidRDefault="002A21AE">
            <w:pPr>
              <w:pStyle w:val="TableTextNumbersContinued"/>
            </w:pPr>
            <w:r>
              <w:t>Select a completed TRW</w:t>
            </w:r>
            <w:r w:rsidR="00741357">
              <w:t xml:space="preserve"> to finalize</w:t>
            </w:r>
            <w:r>
              <w:t>.</w:t>
            </w:r>
          </w:p>
          <w:p w14:paraId="7DACB91F" w14:textId="77777777" w:rsidR="00373926" w:rsidRDefault="00373926">
            <w:pPr>
              <w:pStyle w:val="TableTextNumbersContinued"/>
            </w:pPr>
          </w:p>
          <w:p w14:paraId="6646C8C7" w14:textId="77777777" w:rsidR="00373926" w:rsidRDefault="00373926">
            <w:pPr>
              <w:pStyle w:val="TableTextNumbersContinued"/>
            </w:pPr>
            <w:r>
              <w:t xml:space="preserve">Click </w:t>
            </w:r>
            <w:r w:rsidRPr="00373926">
              <w:rPr>
                <w:b/>
              </w:rPr>
              <w:t>OK</w:t>
            </w:r>
            <w:r>
              <w:t>.</w:t>
            </w:r>
          </w:p>
        </w:tc>
        <w:tc>
          <w:tcPr>
            <w:tcW w:w="6120" w:type="dxa"/>
            <w:tcBorders>
              <w:top w:val="single" w:sz="4" w:space="0" w:color="auto"/>
              <w:left w:val="single" w:sz="4" w:space="0" w:color="auto"/>
              <w:bottom w:val="single" w:sz="4" w:space="0" w:color="auto"/>
              <w:right w:val="single" w:sz="4" w:space="0" w:color="auto"/>
            </w:tcBorders>
          </w:tcPr>
          <w:p w14:paraId="44917780" w14:textId="77777777" w:rsidR="002A21AE" w:rsidRDefault="002A21AE">
            <w:pPr>
              <w:pStyle w:val="TableTextBullet"/>
            </w:pPr>
            <w:r>
              <w:t>Lists report names.</w:t>
            </w:r>
          </w:p>
          <w:p w14:paraId="1BA230FC" w14:textId="77777777" w:rsidR="00741357" w:rsidRDefault="00741357">
            <w:pPr>
              <w:pStyle w:val="TableTextBullet"/>
            </w:pPr>
            <w:r>
              <w:t>Lists the completed TRWs for selection.</w:t>
            </w:r>
          </w:p>
          <w:p w14:paraId="383DF1F7" w14:textId="77777777" w:rsidR="002A21AE" w:rsidRDefault="002A21AE" w:rsidP="00741357">
            <w:pPr>
              <w:pStyle w:val="TableText"/>
            </w:pPr>
            <w:r>
              <w:t xml:space="preserve"> </w:t>
            </w:r>
          </w:p>
          <w:p w14:paraId="3B784FF8" w14:textId="40557966" w:rsidR="002A21AE" w:rsidRDefault="002A21AE">
            <w:pPr>
              <w:pStyle w:val="TableText"/>
              <w:rPr>
                <w:b/>
                <w:bCs/>
                <w:szCs w:val="18"/>
              </w:rPr>
            </w:pPr>
            <w:r>
              <w:rPr>
                <w:b/>
                <w:bCs/>
                <w:szCs w:val="18"/>
              </w:rPr>
              <w:t>NOTES</w:t>
            </w:r>
          </w:p>
          <w:p w14:paraId="11A0C2A0" w14:textId="77777777" w:rsidR="002A21AE" w:rsidRDefault="002A21AE">
            <w:pPr>
              <w:pStyle w:val="NotesText"/>
            </w:pPr>
          </w:p>
          <w:p w14:paraId="5F572C52" w14:textId="77777777" w:rsidR="002A21AE" w:rsidRDefault="0080656D">
            <w:pPr>
              <w:pStyle w:val="NotesText"/>
            </w:pPr>
            <w:r>
              <w:rPr>
                <w:rFonts w:cs="Arial"/>
                <w:vanish/>
              </w:rPr>
              <w:t xml:space="preserve">BR_78.04 </w:t>
            </w:r>
            <w:r w:rsidR="004C00DF">
              <w:t>When the user enters and saves the portion recorded in Patient Testing: Record a Transfusion Reaction Workup, the TRW status is “completed.” When the Transfusion Reaction Workup Report is complete, the TRW status is “finalized.”</w:t>
            </w:r>
          </w:p>
        </w:tc>
      </w:tr>
      <w:tr w:rsidR="002A21AE" w14:paraId="60A60FC1" w14:textId="77777777">
        <w:tc>
          <w:tcPr>
            <w:tcW w:w="3240" w:type="dxa"/>
            <w:tcBorders>
              <w:top w:val="single" w:sz="4" w:space="0" w:color="auto"/>
              <w:left w:val="single" w:sz="4" w:space="0" w:color="auto"/>
              <w:bottom w:val="single" w:sz="4" w:space="0" w:color="auto"/>
              <w:right w:val="single" w:sz="4" w:space="0" w:color="auto"/>
            </w:tcBorders>
          </w:tcPr>
          <w:p w14:paraId="3AB965E6" w14:textId="77777777" w:rsidR="002A21AE" w:rsidRDefault="00F74A56">
            <w:pPr>
              <w:pStyle w:val="TableTextNumbers"/>
            </w:pPr>
            <w:r>
              <w:t xml:space="preserve">Click the </w:t>
            </w:r>
            <w:r w:rsidRPr="00F74A56">
              <w:rPr>
                <w:b/>
              </w:rPr>
              <w:t xml:space="preserve">Finalize Transfusion Reaction Workup Report </w:t>
            </w:r>
            <w:r w:rsidRPr="00D1100E">
              <w:t>check box</w:t>
            </w:r>
            <w:r w:rsidR="002A21AE">
              <w:t>.</w:t>
            </w:r>
          </w:p>
        </w:tc>
        <w:tc>
          <w:tcPr>
            <w:tcW w:w="6120" w:type="dxa"/>
            <w:tcBorders>
              <w:top w:val="single" w:sz="4" w:space="0" w:color="auto"/>
              <w:left w:val="single" w:sz="4" w:space="0" w:color="auto"/>
              <w:bottom w:val="single" w:sz="4" w:space="0" w:color="auto"/>
              <w:right w:val="single" w:sz="4" w:space="0" w:color="auto"/>
            </w:tcBorders>
          </w:tcPr>
          <w:p w14:paraId="75870E61" w14:textId="77777777" w:rsidR="002A21AE" w:rsidRDefault="002A21AE">
            <w:pPr>
              <w:pStyle w:val="TableTextBullet"/>
            </w:pPr>
            <w:r>
              <w:t>Prepares the completed report for review.</w:t>
            </w:r>
          </w:p>
          <w:p w14:paraId="593F99AB" w14:textId="77777777" w:rsidR="00F26AD6" w:rsidRDefault="00F74A56" w:rsidP="00F26AD6">
            <w:pPr>
              <w:pStyle w:val="TableTextBullet"/>
            </w:pPr>
            <w:r>
              <w:t xml:space="preserve">Displays the name of the blood bank medical director to sign the final report. </w:t>
            </w:r>
          </w:p>
          <w:p w14:paraId="77F72DD4" w14:textId="77777777" w:rsidR="002A21AE" w:rsidRDefault="00F26AD6" w:rsidP="00247208">
            <w:pPr>
              <w:pStyle w:val="TableTextBullet"/>
            </w:pPr>
            <w:r>
              <w:rPr>
                <w:rFonts w:cs="Arial"/>
                <w:vanish/>
              </w:rPr>
              <w:t xml:space="preserve">BR_78.03 </w:t>
            </w:r>
            <w:r>
              <w:t>VBECS recreates the final report for viewing or printing in the future.</w:t>
            </w:r>
          </w:p>
        </w:tc>
      </w:tr>
      <w:tr w:rsidR="002A21AE" w14:paraId="62B65692" w14:textId="77777777">
        <w:tc>
          <w:tcPr>
            <w:tcW w:w="3240" w:type="dxa"/>
            <w:tcBorders>
              <w:top w:val="single" w:sz="4" w:space="0" w:color="auto"/>
              <w:left w:val="single" w:sz="4" w:space="0" w:color="auto"/>
              <w:bottom w:val="single" w:sz="4" w:space="0" w:color="auto"/>
              <w:right w:val="single" w:sz="4" w:space="0" w:color="auto"/>
            </w:tcBorders>
          </w:tcPr>
          <w:p w14:paraId="63976DA6" w14:textId="5F73B2FC" w:rsidR="00A37337" w:rsidRDefault="00DC6C19" w:rsidP="00A37337">
            <w:pPr>
              <w:pStyle w:val="TableTextNumbers"/>
            </w:pPr>
            <w:r>
              <w:t>Select the Transfusion Reaction Type and complete the Transfusion Reaction Comments required fields</w:t>
            </w:r>
            <w:r w:rsidR="00A37337">
              <w:t xml:space="preserve"> (</w:t>
            </w:r>
            <w:r w:rsidR="00EE455E">
              <w:t xml:space="preserve">Figure </w:t>
            </w:r>
            <w:r w:rsidR="00EE455E">
              <w:rPr>
                <w:noProof/>
              </w:rPr>
              <w:t>108</w:t>
            </w:r>
            <w:r w:rsidR="00A37337">
              <w:t>).</w:t>
            </w:r>
          </w:p>
          <w:p w14:paraId="5DB75520" w14:textId="3968501E" w:rsidR="002A21AE" w:rsidRDefault="002A21AE" w:rsidP="00A37337">
            <w:pPr>
              <w:pStyle w:val="TableTextNumbers"/>
              <w:numPr>
                <w:ilvl w:val="0"/>
                <w:numId w:val="0"/>
              </w:numPr>
            </w:pPr>
          </w:p>
        </w:tc>
        <w:tc>
          <w:tcPr>
            <w:tcW w:w="6120" w:type="dxa"/>
            <w:tcBorders>
              <w:top w:val="single" w:sz="4" w:space="0" w:color="auto"/>
              <w:left w:val="single" w:sz="4" w:space="0" w:color="auto"/>
              <w:bottom w:val="single" w:sz="4" w:space="0" w:color="auto"/>
              <w:right w:val="single" w:sz="4" w:space="0" w:color="auto"/>
            </w:tcBorders>
          </w:tcPr>
          <w:p w14:paraId="5D4989AF" w14:textId="27EE9972" w:rsidR="00741357" w:rsidRDefault="00741357" w:rsidP="00741357">
            <w:pPr>
              <w:pStyle w:val="TableTextBullet"/>
              <w:rPr>
                <w:rFonts w:cs="Arial"/>
                <w:szCs w:val="18"/>
              </w:rPr>
            </w:pPr>
            <w:r w:rsidRPr="00F358AF">
              <w:rPr>
                <w:rFonts w:cs="Arial"/>
                <w:szCs w:val="18"/>
              </w:rPr>
              <w:t xml:space="preserve">Displays the selected Transfusion Reaction Workup Report data. </w:t>
            </w:r>
          </w:p>
          <w:p w14:paraId="71840507" w14:textId="5706FDBE" w:rsidR="00EE455E" w:rsidRPr="00EE455E" w:rsidRDefault="00741357" w:rsidP="00EE455E">
            <w:pPr>
              <w:pStyle w:val="TableTextBullet"/>
              <w:rPr>
                <w:rFonts w:cs="Arial"/>
                <w:szCs w:val="18"/>
              </w:rPr>
            </w:pPr>
            <w:r w:rsidRPr="00F358AF">
              <w:rPr>
                <w:rFonts w:cs="Arial"/>
                <w:szCs w:val="18"/>
              </w:rPr>
              <w:t xml:space="preserve">Requires the user to select a transfusion reaction type listed in </w:t>
            </w:r>
            <w:r w:rsidR="00EE455E" w:rsidRPr="00EE455E">
              <w:rPr>
                <w:rFonts w:cs="Arial"/>
                <w:szCs w:val="18"/>
              </w:rPr>
              <w:br w:type="page"/>
            </w:r>
          </w:p>
          <w:p w14:paraId="6933EF57" w14:textId="76F95A38" w:rsidR="00741357" w:rsidRDefault="00EE455E">
            <w:pPr>
              <w:pStyle w:val="TableTextBullet"/>
            </w:pPr>
            <w:r w:rsidRPr="00EE455E">
              <w:rPr>
                <w:rFonts w:cs="Arial"/>
                <w:szCs w:val="18"/>
              </w:rPr>
              <w:t>Table</w:t>
            </w:r>
            <w:r w:rsidRPr="00EE455E">
              <w:rPr>
                <w:rFonts w:cs="Arial"/>
                <w:noProof/>
                <w:szCs w:val="18"/>
              </w:rPr>
              <w:t xml:space="preserve"> </w:t>
            </w:r>
            <w:r w:rsidRPr="00EE455E">
              <w:rPr>
                <w:rFonts w:cs="Arial"/>
                <w:szCs w:val="18"/>
              </w:rPr>
              <w:t>12:</w:t>
            </w:r>
            <w:r w:rsidRPr="00EE455E">
              <w:rPr>
                <w:rFonts w:cs="Arial"/>
                <w:vanish/>
                <w:szCs w:val="18"/>
              </w:rPr>
              <w:t xml:space="preserve"> PT_78.01</w:t>
            </w:r>
            <w:r w:rsidRPr="00EE455E">
              <w:rPr>
                <w:rFonts w:cs="Arial"/>
                <w:szCs w:val="18"/>
              </w:rPr>
              <w:t xml:space="preserve"> Transfusion Reaction </w:t>
            </w:r>
            <w:r>
              <w:t>Types</w:t>
            </w:r>
            <w:r w:rsidR="00741357">
              <w:t>.</w:t>
            </w:r>
          </w:p>
          <w:p w14:paraId="0871C49C" w14:textId="77777777" w:rsidR="00741357" w:rsidRDefault="00741357" w:rsidP="00741357">
            <w:pPr>
              <w:pStyle w:val="TableTextBullet"/>
            </w:pPr>
            <w:r>
              <w:t xml:space="preserve">Allows the user to enter </w:t>
            </w:r>
            <w:r w:rsidR="009C033B">
              <w:t xml:space="preserve">a TRW comment (maximum 1,000 characters). </w:t>
            </w:r>
            <w:r w:rsidR="009C033B" w:rsidRPr="009C033B">
              <w:rPr>
                <w:vanish/>
              </w:rPr>
              <w:t>DR 4788</w:t>
            </w:r>
          </w:p>
          <w:p w14:paraId="0F904CA6" w14:textId="77777777" w:rsidR="00F74A56" w:rsidRDefault="00F74A56" w:rsidP="00F74A56">
            <w:pPr>
              <w:pStyle w:val="TableTextBullet"/>
            </w:pPr>
            <w:r>
              <w:t>Allows the user to save the data entered.</w:t>
            </w:r>
          </w:p>
          <w:p w14:paraId="2DD923B8" w14:textId="77777777" w:rsidR="00E62B9E" w:rsidRDefault="00E62B9E" w:rsidP="00E62B9E">
            <w:pPr>
              <w:pStyle w:val="TableText"/>
            </w:pPr>
          </w:p>
          <w:p w14:paraId="7E3C1225" w14:textId="2A1F0B02" w:rsidR="00E62B9E" w:rsidRDefault="00E62B9E" w:rsidP="00E62B9E">
            <w:pPr>
              <w:pStyle w:val="TableText"/>
              <w:rPr>
                <w:b/>
                <w:bCs/>
                <w:szCs w:val="18"/>
              </w:rPr>
            </w:pPr>
            <w:r>
              <w:rPr>
                <w:b/>
                <w:bCs/>
                <w:szCs w:val="18"/>
              </w:rPr>
              <w:t>NOTES</w:t>
            </w:r>
          </w:p>
          <w:p w14:paraId="61912082" w14:textId="77777777" w:rsidR="00E62B9E" w:rsidRDefault="00E62B9E" w:rsidP="00E62B9E">
            <w:pPr>
              <w:pStyle w:val="NotesText"/>
            </w:pPr>
          </w:p>
          <w:p w14:paraId="1798F9DD" w14:textId="77777777" w:rsidR="00741357" w:rsidRDefault="00E62B9E" w:rsidP="00E62B9E">
            <w:pPr>
              <w:pStyle w:val="NotesText"/>
            </w:pPr>
            <w:r>
              <w:rPr>
                <w:rFonts w:cs="Arial"/>
                <w:vanish/>
              </w:rPr>
              <w:t xml:space="preserve">BR_78.02 </w:t>
            </w:r>
            <w:r>
              <w:t>The user must indicate one transfusion reaction type. Entry of a comment is optional for all types except O (other), which requires details to be entered.</w:t>
            </w:r>
          </w:p>
        </w:tc>
      </w:tr>
      <w:tr w:rsidR="002A21AE" w14:paraId="19BE3468" w14:textId="77777777">
        <w:tc>
          <w:tcPr>
            <w:tcW w:w="3240" w:type="dxa"/>
            <w:tcBorders>
              <w:top w:val="single" w:sz="4" w:space="0" w:color="auto"/>
              <w:left w:val="single" w:sz="4" w:space="0" w:color="auto"/>
              <w:bottom w:val="single" w:sz="4" w:space="0" w:color="auto"/>
              <w:right w:val="single" w:sz="4" w:space="0" w:color="auto"/>
            </w:tcBorders>
          </w:tcPr>
          <w:p w14:paraId="0823FD3A" w14:textId="77777777" w:rsidR="002A21AE" w:rsidRDefault="0080656D">
            <w:pPr>
              <w:pStyle w:val="TableTextNumbers"/>
            </w:pPr>
            <w:r>
              <w:t xml:space="preserve">Click </w:t>
            </w:r>
            <w:r w:rsidRPr="0080656D">
              <w:rPr>
                <w:b/>
              </w:rPr>
              <w:t>OK</w:t>
            </w:r>
            <w:r>
              <w:t xml:space="preserve"> and </w:t>
            </w:r>
            <w:r w:rsidRPr="0080656D">
              <w:rPr>
                <w:b/>
              </w:rPr>
              <w:t>Yes</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67B659E8" w14:textId="77777777" w:rsidR="0080656D" w:rsidRDefault="00DC6C19" w:rsidP="00A902A8">
            <w:pPr>
              <w:pStyle w:val="TableTextBullet"/>
            </w:pPr>
            <w:r>
              <w:t>Updates the transfusion reaction to “finalized” in the database and prints a report for the medical director’s signature.</w:t>
            </w:r>
          </w:p>
          <w:p w14:paraId="59A41031" w14:textId="77777777" w:rsidR="00840DB0" w:rsidRDefault="00840DB0" w:rsidP="00840DB0">
            <w:pPr>
              <w:pStyle w:val="TableTextBullet"/>
              <w:numPr>
                <w:ilvl w:val="0"/>
                <w:numId w:val="0"/>
              </w:numPr>
            </w:pPr>
          </w:p>
          <w:p w14:paraId="060E0BC2" w14:textId="03F6141C" w:rsidR="00840DB0" w:rsidRDefault="00840DB0" w:rsidP="00840DB0">
            <w:pPr>
              <w:pStyle w:val="TableText"/>
              <w:rPr>
                <w:b/>
                <w:bCs/>
                <w:szCs w:val="18"/>
              </w:rPr>
            </w:pPr>
            <w:r>
              <w:rPr>
                <w:b/>
                <w:bCs/>
                <w:szCs w:val="18"/>
              </w:rPr>
              <w:t>NOTES</w:t>
            </w:r>
          </w:p>
          <w:p w14:paraId="63E5D0CA" w14:textId="77777777" w:rsidR="00D702AF" w:rsidRDefault="00D702AF" w:rsidP="00D702AF">
            <w:pPr>
              <w:pStyle w:val="NotesText"/>
            </w:pPr>
            <w:r w:rsidRPr="00F91233">
              <w:rPr>
                <w:vanish/>
              </w:rPr>
              <w:t xml:space="preserve">BR_78.06 </w:t>
            </w:r>
            <w:r>
              <w:t>VBECS notifies the user when DSS updates cannot be sent because VistALink is not active.</w:t>
            </w:r>
          </w:p>
          <w:p w14:paraId="0287C1E2" w14:textId="77777777" w:rsidR="00D702AF" w:rsidRDefault="00D702AF" w:rsidP="00D702AF">
            <w:pPr>
              <w:pStyle w:val="NotesText"/>
            </w:pPr>
          </w:p>
          <w:p w14:paraId="2D25AF2E" w14:textId="77777777" w:rsidR="00840DB0" w:rsidRDefault="00D702AF" w:rsidP="00D702AF">
            <w:pPr>
              <w:pStyle w:val="NotesText"/>
            </w:pPr>
            <w:r w:rsidRPr="00CE602E">
              <w:rPr>
                <w:vanish/>
              </w:rPr>
              <w:t xml:space="preserve">BR_102.09 </w:t>
            </w:r>
            <w:r>
              <w:t xml:space="preserve">VBECS will attempt to resend the DSS information when </w:t>
            </w:r>
            <w:r w:rsidR="00A2613A">
              <w:t>VistALink</w:t>
            </w:r>
            <w:r>
              <w:t xml:space="preserve"> is available after any user logs into the VBECS application’s </w:t>
            </w:r>
            <w:r w:rsidR="00A2613A">
              <w:t>VistALink</w:t>
            </w:r>
            <w:r>
              <w:t xml:space="preserve"> connection.</w:t>
            </w:r>
          </w:p>
        </w:tc>
      </w:tr>
      <w:tr w:rsidR="0080656D" w14:paraId="154D18EA" w14:textId="77777777">
        <w:tc>
          <w:tcPr>
            <w:tcW w:w="3240" w:type="dxa"/>
          </w:tcPr>
          <w:p w14:paraId="30ED4935" w14:textId="77777777" w:rsidR="0080656D" w:rsidRDefault="0080656D">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A1E3E6A" w14:textId="77777777" w:rsidR="0080656D" w:rsidRDefault="00A902A8" w:rsidP="00A902A8">
            <w:pPr>
              <w:pStyle w:val="TableTextBullet"/>
            </w:pPr>
            <w:r>
              <w:t>Prints the report on the selected printer.</w:t>
            </w:r>
          </w:p>
        </w:tc>
      </w:tr>
      <w:tr w:rsidR="002A21AE" w14:paraId="5806CF35" w14:textId="77777777">
        <w:tc>
          <w:tcPr>
            <w:tcW w:w="3240" w:type="dxa"/>
          </w:tcPr>
          <w:p w14:paraId="49C18985" w14:textId="77777777" w:rsidR="002A21AE" w:rsidRDefault="0080656D">
            <w:pPr>
              <w:pStyle w:val="TableTextNumbers"/>
            </w:pPr>
            <w:r>
              <w:t xml:space="preserve">Click </w:t>
            </w:r>
            <w:r w:rsidRPr="0080656D">
              <w:rPr>
                <w:b/>
              </w:rPr>
              <w:t>Close</w:t>
            </w:r>
            <w:r>
              <w:t xml:space="preserve"> to e</w:t>
            </w:r>
            <w:r w:rsidR="002A21AE">
              <w:t>xit.</w:t>
            </w:r>
            <w:r w:rsidR="002A21AE">
              <w:rPr>
                <w:vanish/>
                <w:szCs w:val="18"/>
              </w:rPr>
              <w:fldChar w:fldCharType="begin"/>
            </w:r>
            <w:r w:rsidR="002A21AE">
              <w:rPr>
                <w:vanish/>
                <w:szCs w:val="18"/>
              </w:rPr>
              <w:instrText xml:space="preserve"> LISTNUM \l 1 \s 0 </w:instrText>
            </w:r>
            <w:r w:rsidR="002A21AE">
              <w:rPr>
                <w:vanish/>
                <w:szCs w:val="18"/>
              </w:rPr>
              <w:fldChar w:fldCharType="end"/>
            </w:r>
          </w:p>
        </w:tc>
        <w:tc>
          <w:tcPr>
            <w:tcW w:w="6120" w:type="dxa"/>
          </w:tcPr>
          <w:p w14:paraId="20C59C38" w14:textId="77777777" w:rsidR="002A21AE" w:rsidRDefault="002A21AE">
            <w:pPr>
              <w:pStyle w:val="NotesText"/>
              <w:ind w:left="0"/>
            </w:pPr>
          </w:p>
        </w:tc>
      </w:tr>
    </w:tbl>
    <w:p w14:paraId="18480D4E" w14:textId="388E0EA8" w:rsidR="00772DD7" w:rsidRDefault="00772DD7" w:rsidP="00772DD7">
      <w:pPr>
        <w:pStyle w:val="Caption"/>
      </w:pPr>
      <w:bookmarkStart w:id="494" w:name="_Ref12777705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108</w:t>
      </w:r>
      <w:r w:rsidR="004E20BD">
        <w:rPr>
          <w:noProof/>
        </w:rPr>
        <w:fldChar w:fldCharType="end"/>
      </w:r>
      <w:bookmarkEnd w:id="494"/>
      <w:r>
        <w:t>:</w:t>
      </w:r>
      <w:r w:rsidR="00373926">
        <w:t xml:space="preserve"> Select Transfusion Reaction Workup</w:t>
      </w:r>
    </w:p>
    <w:p w14:paraId="1F333624" w14:textId="77777777" w:rsidR="00772DD7" w:rsidRPr="00772DD7" w:rsidRDefault="00057948" w:rsidP="00772DD7">
      <w:pPr>
        <w:pStyle w:val="BodyText"/>
      </w:pPr>
      <w:r>
        <w:rPr>
          <w:noProof/>
        </w:rPr>
        <w:drawing>
          <wp:inline distT="0" distB="0" distL="0" distR="0" wp14:anchorId="5556B42D" wp14:editId="6B88E369">
            <wp:extent cx="4119245" cy="2540000"/>
            <wp:effectExtent l="0" t="0" r="0" b="0"/>
            <wp:docPr id="250" name="Picture 250" descr="Example of Select Transfusion Reaction Work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Example of Select Transfusion Reaction Workup screen captur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19245" cy="2540000"/>
                    </a:xfrm>
                    <a:prstGeom prst="rect">
                      <a:avLst/>
                    </a:prstGeom>
                    <a:noFill/>
                    <a:ln>
                      <a:noFill/>
                    </a:ln>
                  </pic:spPr>
                </pic:pic>
              </a:graphicData>
            </a:graphic>
          </wp:inline>
        </w:drawing>
      </w:r>
    </w:p>
    <w:p w14:paraId="710E5271" w14:textId="2AEFBA3E" w:rsidR="00143C19" w:rsidRPr="00143C19" w:rsidRDefault="007C428C" w:rsidP="007C428C">
      <w:pPr>
        <w:pStyle w:val="Caption"/>
      </w:pPr>
      <w:bookmarkStart w:id="495" w:name="_Ref100908730"/>
      <w:bookmarkStart w:id="496" w:name="_Ref127777300"/>
      <w:r>
        <w:t xml:space="preserve">Figure </w:t>
      </w:r>
      <w:r w:rsidR="00E2140B">
        <w:fldChar w:fldCharType="begin"/>
      </w:r>
      <w:r w:rsidR="00E2140B">
        <w:instrText xml:space="preserve"> SEQ Figure \* ARABIC </w:instrText>
      </w:r>
      <w:r w:rsidR="00E2140B">
        <w:fldChar w:fldCharType="separate"/>
      </w:r>
      <w:r w:rsidR="00E2140B">
        <w:rPr>
          <w:noProof/>
        </w:rPr>
        <w:t>109</w:t>
      </w:r>
      <w:r w:rsidR="00E2140B">
        <w:rPr>
          <w:noProof/>
        </w:rPr>
        <w:fldChar w:fldCharType="end"/>
      </w:r>
      <w:bookmarkEnd w:id="495"/>
      <w:r>
        <w:t>: Finalize TRW Report</w:t>
      </w:r>
    </w:p>
    <w:p w14:paraId="3B617364" w14:textId="1FE1C4C8" w:rsidR="00143C19" w:rsidRDefault="00A32505" w:rsidP="00143C19">
      <w:pPr>
        <w:pStyle w:val="Caption"/>
      </w:pPr>
      <w:r>
        <w:rPr>
          <w:noProof/>
        </w:rPr>
        <w:drawing>
          <wp:inline distT="0" distB="0" distL="0" distR="0" wp14:anchorId="139344FE" wp14:editId="1F8E244F">
            <wp:extent cx="5943600" cy="3467735"/>
            <wp:effectExtent l="0" t="0" r="0" b="0"/>
            <wp:docPr id="8" name="Picture 8" descr="Example of Finalize TRW Re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Finalize TRW Report screen captur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3467735"/>
                    </a:xfrm>
                    <a:prstGeom prst="rect">
                      <a:avLst/>
                    </a:prstGeom>
                    <a:noFill/>
                    <a:ln>
                      <a:noFill/>
                    </a:ln>
                  </pic:spPr>
                </pic:pic>
              </a:graphicData>
            </a:graphic>
          </wp:inline>
        </w:drawing>
      </w:r>
    </w:p>
    <w:bookmarkEnd w:id="496"/>
    <w:p w14:paraId="3AE13033" w14:textId="2855EB93" w:rsidR="002A21AE" w:rsidRDefault="00310DBF">
      <w:pPr>
        <w:pStyle w:val="Heading4"/>
      </w:pPr>
      <w:r>
        <w:br w:type="page"/>
      </w:r>
      <w:r w:rsidR="002A21AE">
        <w:lastRenderedPageBreak/>
        <w:t>View/Print a Finalized Transfusion Reaction Workup Report</w:t>
      </w:r>
      <w:r w:rsidR="002A21AE">
        <w:fldChar w:fldCharType="begin"/>
      </w:r>
      <w:r w:rsidR="002A21AE">
        <w:instrText xml:space="preserve"> XE </w:instrText>
      </w:r>
      <w:r w:rsidR="00FA7E65">
        <w:instrText>“</w:instrText>
      </w:r>
      <w:r w:rsidR="002A21AE">
        <w:instrText>View/Print a Finalized Transfusion Reaction Workup Report</w:instrText>
      </w:r>
      <w:r w:rsidR="00FA7E65">
        <w:instrText>”</w:instrText>
      </w:r>
      <w:r w:rsidR="002A21AE">
        <w:instrText xml:space="preserve"> </w:instrText>
      </w:r>
      <w:r w:rsidR="002A21AE">
        <w:fldChar w:fldCharType="end"/>
      </w:r>
    </w:p>
    <w:p w14:paraId="6C02DF3A" w14:textId="77777777" w:rsidR="002624D5" w:rsidRPr="002624D5" w:rsidRDefault="002624D5" w:rsidP="00DD75E5">
      <w:pPr>
        <w:pStyle w:val="BodyText"/>
      </w:pPr>
      <w:r>
        <w:t>The user views and/or prints the</w:t>
      </w:r>
      <w:r w:rsidR="0016517C">
        <w:t xml:space="preserve"> finalized</w:t>
      </w:r>
      <w:r>
        <w:t xml:space="preserve"> Transfusion Reaction Workup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1B80A7B"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453AB7F2" w14:textId="77777777" w:rsidR="002A21AE" w:rsidRDefault="002A21AE">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78AF8CC3" w14:textId="77777777" w:rsidR="002A21AE" w:rsidRDefault="002A21AE">
            <w:pPr>
              <w:pStyle w:val="TableText"/>
              <w:rPr>
                <w:b/>
              </w:rPr>
            </w:pPr>
            <w:r>
              <w:rPr>
                <w:b/>
              </w:rPr>
              <w:t>VBECS</w:t>
            </w:r>
          </w:p>
        </w:tc>
      </w:tr>
      <w:tr w:rsidR="002A21AE" w14:paraId="54F85426" w14:textId="77777777">
        <w:tc>
          <w:tcPr>
            <w:tcW w:w="3240" w:type="dxa"/>
            <w:tcBorders>
              <w:top w:val="single" w:sz="4" w:space="0" w:color="auto"/>
              <w:left w:val="single" w:sz="4" w:space="0" w:color="auto"/>
              <w:bottom w:val="single" w:sz="4" w:space="0" w:color="auto"/>
              <w:right w:val="single" w:sz="4" w:space="0" w:color="auto"/>
            </w:tcBorders>
          </w:tcPr>
          <w:p w14:paraId="0C76CB0E" w14:textId="77777777" w:rsidR="002A21AE" w:rsidRDefault="002A21AE">
            <w:pPr>
              <w:pStyle w:val="TableTextNumbers"/>
            </w:pPr>
            <w:r>
              <w:t xml:space="preserve">Select </w:t>
            </w:r>
            <w:r>
              <w:rPr>
                <w:b/>
              </w:rPr>
              <w:t>Reports</w:t>
            </w:r>
            <w:r>
              <w:t xml:space="preserve"> from the main menu.</w:t>
            </w:r>
          </w:p>
          <w:p w14:paraId="44589EAC" w14:textId="77777777" w:rsidR="002A21AE" w:rsidRDefault="002A21AE">
            <w:pPr>
              <w:pStyle w:val="TableTextNumbersContinued"/>
            </w:pPr>
          </w:p>
          <w:p w14:paraId="16CBFB01" w14:textId="77777777" w:rsidR="002A21AE" w:rsidRDefault="002A21AE">
            <w:pPr>
              <w:pStyle w:val="TableTextNumbersContinued"/>
            </w:pPr>
            <w:r>
              <w:t xml:space="preserve">Select </w:t>
            </w:r>
            <w:r>
              <w:rPr>
                <w:b/>
              </w:rPr>
              <w:t>Finalize/Print TRW</w:t>
            </w:r>
            <w:r>
              <w:t>.</w:t>
            </w:r>
          </w:p>
          <w:p w14:paraId="2A690758" w14:textId="77777777" w:rsidR="002A21AE" w:rsidRDefault="002A21AE">
            <w:pPr>
              <w:pStyle w:val="TableTextNumbersContinued"/>
            </w:pPr>
          </w:p>
          <w:p w14:paraId="1A4B745E" w14:textId="41EE888D" w:rsidR="002A21AE" w:rsidRDefault="002A21AE">
            <w:pPr>
              <w:pStyle w:val="TableTextNumbersContinued"/>
            </w:pPr>
            <w:r>
              <w:t>Select a completed TRW</w:t>
            </w:r>
            <w:r w:rsidR="00F40F83">
              <w:t xml:space="preserve"> (</w:t>
            </w:r>
            <w:r w:rsidR="00EE455E">
              <w:t xml:space="preserve">Figure </w:t>
            </w:r>
            <w:r w:rsidR="00EE455E">
              <w:rPr>
                <w:noProof/>
              </w:rPr>
              <w:t>106</w:t>
            </w:r>
            <w:r w:rsidR="00F40F83">
              <w:t>)</w:t>
            </w:r>
            <w:r>
              <w:t>.</w:t>
            </w:r>
          </w:p>
        </w:tc>
        <w:tc>
          <w:tcPr>
            <w:tcW w:w="6120" w:type="dxa"/>
            <w:tcBorders>
              <w:top w:val="single" w:sz="4" w:space="0" w:color="auto"/>
              <w:left w:val="single" w:sz="4" w:space="0" w:color="auto"/>
              <w:bottom w:val="single" w:sz="4" w:space="0" w:color="auto"/>
              <w:right w:val="single" w:sz="4" w:space="0" w:color="auto"/>
            </w:tcBorders>
          </w:tcPr>
          <w:p w14:paraId="5BBBF2DE" w14:textId="77777777" w:rsidR="002A21AE" w:rsidRDefault="002A21AE">
            <w:pPr>
              <w:pStyle w:val="TableTextBullet"/>
            </w:pPr>
            <w:r>
              <w:t>Lists report names.</w:t>
            </w:r>
          </w:p>
          <w:p w14:paraId="54611BBE" w14:textId="77777777" w:rsidR="002A21AE" w:rsidRDefault="002A21AE">
            <w:pPr>
              <w:pStyle w:val="TableTextBullet"/>
            </w:pPr>
            <w:r>
              <w:t xml:space="preserve">Displays the selected Transfusion Reaction Workup Report data. </w:t>
            </w:r>
          </w:p>
          <w:p w14:paraId="2C7233D9" w14:textId="77777777" w:rsidR="002A21AE" w:rsidRDefault="002A21AE">
            <w:pPr>
              <w:pStyle w:val="TableTextBullet"/>
            </w:pPr>
            <w:r>
              <w:t>Displays an option to view and/or print a finalized TRW by selecting a patient.</w:t>
            </w:r>
          </w:p>
          <w:p w14:paraId="343BCDEB" w14:textId="77777777" w:rsidR="002A21AE" w:rsidRDefault="002A21AE">
            <w:pPr>
              <w:pStyle w:val="TableText"/>
            </w:pPr>
          </w:p>
          <w:p w14:paraId="75579226" w14:textId="126E3B7C" w:rsidR="002A21AE" w:rsidRDefault="002A21AE">
            <w:pPr>
              <w:pStyle w:val="TableText"/>
              <w:rPr>
                <w:b/>
                <w:bCs/>
              </w:rPr>
            </w:pPr>
            <w:r>
              <w:rPr>
                <w:b/>
                <w:bCs/>
              </w:rPr>
              <w:t>NOTES</w:t>
            </w:r>
          </w:p>
          <w:p w14:paraId="3B8EBD95" w14:textId="77777777" w:rsidR="002A21AE" w:rsidRDefault="002A21AE">
            <w:pPr>
              <w:pStyle w:val="NotesText"/>
            </w:pPr>
          </w:p>
          <w:p w14:paraId="6E0BC7AE" w14:textId="77777777" w:rsidR="002A21AE" w:rsidRDefault="002A21AE">
            <w:pPr>
              <w:pStyle w:val="NotesText"/>
            </w:pPr>
            <w:r>
              <w:rPr>
                <w:rFonts w:cs="Arial"/>
                <w:vanish/>
              </w:rPr>
              <w:t xml:space="preserve">BR_78.01 </w:t>
            </w:r>
            <w:r>
              <w:t>The user finalizing the report may not edit previously entered TRW data.</w:t>
            </w:r>
          </w:p>
        </w:tc>
      </w:tr>
      <w:tr w:rsidR="002A21AE" w14:paraId="1A53BB91" w14:textId="77777777">
        <w:tc>
          <w:tcPr>
            <w:tcW w:w="3240" w:type="dxa"/>
            <w:tcBorders>
              <w:top w:val="single" w:sz="4" w:space="0" w:color="auto"/>
              <w:left w:val="single" w:sz="4" w:space="0" w:color="auto"/>
              <w:bottom w:val="single" w:sz="4" w:space="0" w:color="auto"/>
              <w:right w:val="single" w:sz="4" w:space="0" w:color="auto"/>
            </w:tcBorders>
          </w:tcPr>
          <w:p w14:paraId="55C10C0C" w14:textId="77777777" w:rsidR="002A21AE" w:rsidRDefault="002A21AE">
            <w:pPr>
              <w:pStyle w:val="TableTextNumbers"/>
            </w:pPr>
            <w:r>
              <w:t>Select a patient.</w:t>
            </w:r>
          </w:p>
        </w:tc>
        <w:tc>
          <w:tcPr>
            <w:tcW w:w="6120" w:type="dxa"/>
            <w:tcBorders>
              <w:top w:val="single" w:sz="4" w:space="0" w:color="auto"/>
              <w:left w:val="single" w:sz="4" w:space="0" w:color="auto"/>
              <w:bottom w:val="single" w:sz="4" w:space="0" w:color="auto"/>
              <w:right w:val="single" w:sz="4" w:space="0" w:color="auto"/>
            </w:tcBorders>
          </w:tcPr>
          <w:p w14:paraId="69F804D2" w14:textId="77777777" w:rsidR="002A21AE" w:rsidRDefault="002A21AE">
            <w:pPr>
              <w:pStyle w:val="TableTextBullet"/>
            </w:pPr>
            <w:r>
              <w:t>Compiles the report and displays an option to print the report or exit.</w:t>
            </w:r>
          </w:p>
          <w:p w14:paraId="6ADDCBAC" w14:textId="77777777" w:rsidR="002A21AE" w:rsidRDefault="002A21AE">
            <w:pPr>
              <w:pStyle w:val="TableText"/>
            </w:pPr>
          </w:p>
          <w:p w14:paraId="59DB6817" w14:textId="29ECB833" w:rsidR="002A21AE" w:rsidRDefault="002A21AE">
            <w:pPr>
              <w:pStyle w:val="TableText"/>
              <w:rPr>
                <w:b/>
                <w:bCs/>
              </w:rPr>
            </w:pPr>
            <w:r>
              <w:rPr>
                <w:b/>
                <w:bCs/>
              </w:rPr>
              <w:t>NOTES</w:t>
            </w:r>
          </w:p>
          <w:p w14:paraId="513515B1" w14:textId="77777777" w:rsidR="002A21AE" w:rsidRDefault="002A21AE">
            <w:pPr>
              <w:pStyle w:val="NotesText"/>
            </w:pPr>
          </w:p>
          <w:p w14:paraId="7C8E113F" w14:textId="77777777" w:rsidR="002A21AE" w:rsidRDefault="002A21AE">
            <w:pPr>
              <w:pStyle w:val="NotesText"/>
            </w:pPr>
            <w:r>
              <w:rPr>
                <w:rFonts w:cs="Arial"/>
                <w:vanish/>
              </w:rPr>
              <w:t xml:space="preserve">BR_78.05 </w:t>
            </w:r>
            <w:r>
              <w:t>Details included in the finalized TRW report:</w:t>
            </w:r>
          </w:p>
          <w:p w14:paraId="713897F1" w14:textId="77777777" w:rsidR="002A21AE" w:rsidRDefault="002A21AE">
            <w:pPr>
              <w:pStyle w:val="NotesTextBullet"/>
            </w:pPr>
            <w:r>
              <w:t>Patient name</w:t>
            </w:r>
          </w:p>
          <w:p w14:paraId="2329F4B6" w14:textId="77777777" w:rsidR="002A21AE" w:rsidRDefault="002A21AE">
            <w:pPr>
              <w:pStyle w:val="NotesTextBullet"/>
            </w:pPr>
            <w:r>
              <w:t>Patient ID</w:t>
            </w:r>
          </w:p>
          <w:p w14:paraId="1B9D9CD9" w14:textId="77777777" w:rsidR="002A21AE" w:rsidRDefault="002A21AE">
            <w:pPr>
              <w:pStyle w:val="NotesTextBullet"/>
            </w:pPr>
            <w:r>
              <w:t>Specimen UID</w:t>
            </w:r>
          </w:p>
          <w:p w14:paraId="0896E330" w14:textId="77777777" w:rsidR="002A21AE" w:rsidRDefault="002A21AE">
            <w:pPr>
              <w:pStyle w:val="NotesTextBullet"/>
            </w:pPr>
            <w:r>
              <w:t>Reported symptoms</w:t>
            </w:r>
          </w:p>
          <w:p w14:paraId="1F965E50" w14:textId="77777777" w:rsidR="002A21AE" w:rsidRDefault="002A21AE">
            <w:pPr>
              <w:pStyle w:val="NotesTextBullet"/>
            </w:pPr>
            <w:r>
              <w:t>Specimen clerical checks (pre-, post-, and unit)</w:t>
            </w:r>
          </w:p>
          <w:p w14:paraId="66ACED8A" w14:textId="77777777" w:rsidR="002A21AE" w:rsidRDefault="002A21AE">
            <w:pPr>
              <w:pStyle w:val="NotesTextBullet"/>
            </w:pPr>
            <w:r>
              <w:t>Serologic testing (if performed, interpretations only)</w:t>
            </w:r>
          </w:p>
          <w:p w14:paraId="1321B61B" w14:textId="77777777" w:rsidR="002A21AE" w:rsidRDefault="002A21AE">
            <w:pPr>
              <w:pStyle w:val="NotesTextBullet"/>
            </w:pPr>
            <w:r>
              <w:t>Transfusion reaction type</w:t>
            </w:r>
          </w:p>
          <w:p w14:paraId="0F53DDAA" w14:textId="77777777" w:rsidR="002A21AE" w:rsidRDefault="002A21AE">
            <w:pPr>
              <w:pStyle w:val="NotesTextBullet"/>
            </w:pPr>
            <w:r>
              <w:t>Comment</w:t>
            </w:r>
          </w:p>
          <w:p w14:paraId="1F6B6A8C" w14:textId="691E39F5" w:rsidR="002A21AE" w:rsidRDefault="002A21AE">
            <w:pPr>
              <w:pStyle w:val="NotesTextBullet"/>
            </w:pPr>
            <w:r>
              <w:t xml:space="preserve">Implicated units (include from Patient Testing: Record a Transfusion Reaction </w:t>
            </w:r>
            <w:r w:rsidR="006549B7">
              <w:t>Workup)</w:t>
            </w:r>
          </w:p>
          <w:p w14:paraId="76E341A4" w14:textId="77777777" w:rsidR="002A21AE" w:rsidRDefault="002A21AE">
            <w:pPr>
              <w:pStyle w:val="NotesTextBullet"/>
            </w:pPr>
            <w:r>
              <w:t>TRW report completed by:</w:t>
            </w:r>
          </w:p>
          <w:p w14:paraId="075A270B" w14:textId="77777777" w:rsidR="002A21AE" w:rsidRDefault="002A21AE">
            <w:pPr>
              <w:pStyle w:val="NotesTextBullet1"/>
            </w:pPr>
            <w:r>
              <w:t>Date and time the report was completed</w:t>
            </w:r>
          </w:p>
          <w:p w14:paraId="28988B38" w14:textId="77777777" w:rsidR="002A21AE" w:rsidRDefault="002A21AE">
            <w:pPr>
              <w:pStyle w:val="NotesTextBullet1"/>
            </w:pPr>
            <w:r>
              <w:t>Signature line for the medical director</w:t>
            </w:r>
          </w:p>
          <w:p w14:paraId="7F219BFC" w14:textId="77777777" w:rsidR="002A21AE" w:rsidRDefault="002A21AE">
            <w:pPr>
              <w:pStyle w:val="NotesTextBullet1"/>
            </w:pPr>
            <w:r>
              <w:t>Line for the date and time the medical director completed the review</w:t>
            </w:r>
          </w:p>
          <w:p w14:paraId="476A1F0A" w14:textId="77777777" w:rsidR="002A21AE" w:rsidRDefault="002A21AE">
            <w:pPr>
              <w:pStyle w:val="NotesTextBullet1"/>
            </w:pPr>
            <w:r>
              <w:t>Finalized by</w:t>
            </w:r>
          </w:p>
          <w:p w14:paraId="4D358C49" w14:textId="77777777" w:rsidR="002A21AE" w:rsidRDefault="002A21AE">
            <w:pPr>
              <w:pStyle w:val="NotesTextBullet1"/>
            </w:pPr>
            <w:r>
              <w:t>Finalized date and time</w:t>
            </w:r>
          </w:p>
        </w:tc>
      </w:tr>
      <w:tr w:rsidR="00A902A8" w14:paraId="46F804C8" w14:textId="77777777">
        <w:tc>
          <w:tcPr>
            <w:tcW w:w="3240" w:type="dxa"/>
          </w:tcPr>
          <w:p w14:paraId="194F647F" w14:textId="77777777" w:rsidR="00A902A8" w:rsidRDefault="00A902A8" w:rsidP="00E21A6B">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5CF262B" w14:textId="77777777" w:rsidR="00A902A8" w:rsidRDefault="00A902A8" w:rsidP="00E21A6B">
            <w:pPr>
              <w:pStyle w:val="TableTextBullet"/>
            </w:pPr>
            <w:r>
              <w:t>Prints the report on the selected printer.</w:t>
            </w:r>
          </w:p>
        </w:tc>
      </w:tr>
      <w:tr w:rsidR="00A902A8" w14:paraId="02E572F2" w14:textId="77777777">
        <w:tc>
          <w:tcPr>
            <w:tcW w:w="3240" w:type="dxa"/>
          </w:tcPr>
          <w:p w14:paraId="33DC393C" w14:textId="77777777" w:rsidR="00A902A8" w:rsidRDefault="00A902A8" w:rsidP="00E21A6B">
            <w:pPr>
              <w:pStyle w:val="TableTextNumbers"/>
            </w:pPr>
            <w:r>
              <w:t xml:space="preserve">Click </w:t>
            </w:r>
            <w:r w:rsidRPr="0080656D">
              <w:rPr>
                <w:b/>
              </w:rPr>
              <w:t>Close</w:t>
            </w:r>
            <w:r>
              <w:t xml:space="preserve"> to exit.</w:t>
            </w:r>
            <w:r>
              <w:rPr>
                <w:vanish/>
                <w:szCs w:val="18"/>
              </w:rPr>
              <w:fldChar w:fldCharType="begin"/>
            </w:r>
            <w:r>
              <w:rPr>
                <w:vanish/>
                <w:szCs w:val="18"/>
              </w:rPr>
              <w:instrText xml:space="preserve"> LISTNUM \l 1 \s 0 </w:instrText>
            </w:r>
            <w:r>
              <w:rPr>
                <w:vanish/>
                <w:szCs w:val="18"/>
              </w:rPr>
              <w:fldChar w:fldCharType="end"/>
            </w:r>
          </w:p>
        </w:tc>
        <w:tc>
          <w:tcPr>
            <w:tcW w:w="6120" w:type="dxa"/>
          </w:tcPr>
          <w:p w14:paraId="228C7EB4" w14:textId="77777777" w:rsidR="00A902A8" w:rsidRDefault="00A902A8" w:rsidP="00E21A6B">
            <w:pPr>
              <w:pStyle w:val="NotesText"/>
              <w:ind w:left="0"/>
            </w:pPr>
          </w:p>
        </w:tc>
      </w:tr>
    </w:tbl>
    <w:p w14:paraId="36EAA41C" w14:textId="77777777" w:rsidR="009D0008" w:rsidRDefault="009D0008">
      <w:pPr>
        <w:rPr>
          <w:b/>
          <w:sz w:val="22"/>
          <w:szCs w:val="22"/>
        </w:rPr>
      </w:pPr>
      <w:bookmarkStart w:id="497" w:name="_Toc97523627"/>
      <w:bookmarkStart w:id="498" w:name="_Toc97527597"/>
      <w:bookmarkStart w:id="499" w:name="_Ref126504463"/>
      <w:r>
        <w:br w:type="page"/>
      </w:r>
    </w:p>
    <w:p w14:paraId="37776031" w14:textId="58BA4D50" w:rsidR="002A21AE" w:rsidRDefault="002A21AE">
      <w:pPr>
        <w:pStyle w:val="Caption"/>
      </w:pPr>
      <w:r>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12</w:t>
      </w:r>
      <w:r w:rsidR="004E20BD">
        <w:rPr>
          <w:noProof/>
        </w:rPr>
        <w:fldChar w:fldCharType="end"/>
      </w:r>
      <w:r>
        <w:t xml:space="preserve">: </w:t>
      </w:r>
      <w:r>
        <w:rPr>
          <w:vanish/>
        </w:rPr>
        <w:t xml:space="preserve">PT_78.01 </w:t>
      </w:r>
      <w:r>
        <w:t>Transfusion Reaction Types</w:t>
      </w:r>
      <w:bookmarkEnd w:id="497"/>
      <w:bookmarkEnd w:id="498"/>
      <w:bookmarkEnd w:id="499"/>
      <w:r>
        <w:t xml:space="preserve"> </w:t>
      </w:r>
      <w:r>
        <w:fldChar w:fldCharType="begin"/>
      </w:r>
      <w:r>
        <w:instrText xml:space="preserve"> XE </w:instrText>
      </w:r>
      <w:r w:rsidR="00FA7E65">
        <w:instrText>“</w:instrText>
      </w:r>
      <w:r>
        <w:instrText>Tables:Transfusion Reaction Types</w:instrText>
      </w:r>
      <w:r w:rsidR="00FA7E65">
        <w:instrText>”</w:instrText>
      </w:r>
      <w:r>
        <w:instrText xml:space="preserve"> </w:instrText>
      </w:r>
      <w:r>
        <w:fldChar w:fldCharType="end"/>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85"/>
      </w:tblGrid>
      <w:tr w:rsidR="008E18C4" w14:paraId="3EAC5124" w14:textId="77777777" w:rsidTr="006F799E">
        <w:trPr>
          <w:tblHeader/>
        </w:trPr>
        <w:tc>
          <w:tcPr>
            <w:tcW w:w="5985" w:type="dxa"/>
            <w:tcBorders>
              <w:top w:val="single" w:sz="4" w:space="0" w:color="auto"/>
              <w:bottom w:val="single" w:sz="6" w:space="0" w:color="auto"/>
            </w:tcBorders>
            <w:shd w:val="clear" w:color="auto" w:fill="B3B3B3"/>
            <w:vAlign w:val="bottom"/>
          </w:tcPr>
          <w:p w14:paraId="79B20D11" w14:textId="77777777" w:rsidR="008E18C4" w:rsidRDefault="008E18C4">
            <w:pPr>
              <w:pStyle w:val="TableText"/>
              <w:rPr>
                <w:b/>
              </w:rPr>
            </w:pPr>
            <w:bookmarkStart w:id="500" w:name="_Toc72723354"/>
            <w:r>
              <w:rPr>
                <w:b/>
              </w:rPr>
              <w:t>Transfusion Reaction Type Text</w:t>
            </w:r>
            <w:bookmarkEnd w:id="500"/>
          </w:p>
        </w:tc>
      </w:tr>
      <w:tr w:rsidR="007A1432" w14:paraId="1EF1CFD3" w14:textId="77777777" w:rsidTr="006F799E">
        <w:tc>
          <w:tcPr>
            <w:tcW w:w="5985" w:type="dxa"/>
            <w:vAlign w:val="bottom"/>
          </w:tcPr>
          <w:p w14:paraId="48F5F62C" w14:textId="6F812AAF" w:rsidR="007A1432" w:rsidRPr="00B70590" w:rsidRDefault="007A1432">
            <w:pPr>
              <w:pStyle w:val="TableText"/>
            </w:pPr>
            <w:r>
              <w:t>Acute hemolytic transfusion reaction (AHTR)</w:t>
            </w:r>
          </w:p>
        </w:tc>
      </w:tr>
      <w:tr w:rsidR="007A1432" w14:paraId="05A1B31C" w14:textId="77777777" w:rsidTr="007A1432">
        <w:tc>
          <w:tcPr>
            <w:tcW w:w="5985" w:type="dxa"/>
            <w:vAlign w:val="bottom"/>
          </w:tcPr>
          <w:p w14:paraId="5BE54555" w14:textId="184363E4" w:rsidR="007A1432" w:rsidRDefault="007A1432">
            <w:pPr>
              <w:pStyle w:val="TableText"/>
            </w:pPr>
            <w:r>
              <w:t>Allergic reaction (where severity is severe, life threatening, or death)</w:t>
            </w:r>
          </w:p>
        </w:tc>
      </w:tr>
      <w:tr w:rsidR="007A1432" w14:paraId="540A4C18" w14:textId="77777777" w:rsidTr="007A1432">
        <w:tc>
          <w:tcPr>
            <w:tcW w:w="5985" w:type="dxa"/>
            <w:vAlign w:val="bottom"/>
          </w:tcPr>
          <w:p w14:paraId="09607237" w14:textId="1CEAA431" w:rsidR="007A1432" w:rsidRDefault="007A1432">
            <w:pPr>
              <w:pStyle w:val="TableText"/>
            </w:pPr>
            <w:r>
              <w:t>Delayed hemolytic transfusion reaction (DHTR)</w:t>
            </w:r>
          </w:p>
        </w:tc>
      </w:tr>
      <w:tr w:rsidR="007A1432" w14:paraId="1472455C" w14:textId="77777777" w:rsidTr="007A1432">
        <w:tc>
          <w:tcPr>
            <w:tcW w:w="5985" w:type="dxa"/>
            <w:vAlign w:val="bottom"/>
          </w:tcPr>
          <w:p w14:paraId="3AF642ED" w14:textId="65678842" w:rsidR="007A1432" w:rsidRDefault="007A1432">
            <w:pPr>
              <w:pStyle w:val="TableText"/>
            </w:pPr>
            <w:r>
              <w:t>Delayed serologic transfusion reaction (DSTR)</w:t>
            </w:r>
          </w:p>
        </w:tc>
      </w:tr>
      <w:tr w:rsidR="007A1432" w14:paraId="54AFA932" w14:textId="77777777" w:rsidTr="007A1432">
        <w:tc>
          <w:tcPr>
            <w:tcW w:w="5985" w:type="dxa"/>
            <w:vAlign w:val="bottom"/>
          </w:tcPr>
          <w:p w14:paraId="5998C44D" w14:textId="3D049BBA" w:rsidR="007A1432" w:rsidRDefault="007A1432">
            <w:pPr>
              <w:pStyle w:val="TableText"/>
            </w:pPr>
            <w:r>
              <w:t>Febrile non-hemolytic transfusion reaction (FNHTR)</w:t>
            </w:r>
          </w:p>
        </w:tc>
      </w:tr>
      <w:tr w:rsidR="007A1432" w14:paraId="31167808" w14:textId="77777777" w:rsidTr="007A1432">
        <w:tc>
          <w:tcPr>
            <w:tcW w:w="5985" w:type="dxa"/>
            <w:vAlign w:val="bottom"/>
          </w:tcPr>
          <w:p w14:paraId="783F57C1" w14:textId="3592F2E5" w:rsidR="007A1432" w:rsidRDefault="007A1432">
            <w:pPr>
              <w:pStyle w:val="TableText"/>
            </w:pPr>
            <w:r>
              <w:t>Hypotensive transfusion reaction</w:t>
            </w:r>
          </w:p>
        </w:tc>
      </w:tr>
      <w:tr w:rsidR="007A1432" w14:paraId="7340EB62" w14:textId="77777777" w:rsidTr="007A1432">
        <w:tc>
          <w:tcPr>
            <w:tcW w:w="5985" w:type="dxa"/>
            <w:vAlign w:val="bottom"/>
          </w:tcPr>
          <w:p w14:paraId="1540D53B" w14:textId="00F6098B" w:rsidR="007A1432" w:rsidRDefault="007A1432">
            <w:pPr>
              <w:pStyle w:val="TableText"/>
            </w:pPr>
            <w:r>
              <w:t>Post-transfusion purpura (PTP)</w:t>
            </w:r>
          </w:p>
        </w:tc>
      </w:tr>
      <w:tr w:rsidR="007A1432" w14:paraId="5D0F40FB" w14:textId="77777777" w:rsidTr="007A1432">
        <w:tc>
          <w:tcPr>
            <w:tcW w:w="5985" w:type="dxa"/>
            <w:vAlign w:val="bottom"/>
          </w:tcPr>
          <w:p w14:paraId="0DA3B97A" w14:textId="76BB1157" w:rsidR="007A1432" w:rsidRDefault="007A1432">
            <w:pPr>
              <w:pStyle w:val="TableText"/>
            </w:pPr>
            <w:r>
              <w:t>Transfusion-associated circulatory overload (TACO)</w:t>
            </w:r>
          </w:p>
        </w:tc>
      </w:tr>
      <w:tr w:rsidR="007A1432" w14:paraId="15F29A88" w14:textId="77777777" w:rsidTr="007A1432">
        <w:tc>
          <w:tcPr>
            <w:tcW w:w="5985" w:type="dxa"/>
            <w:vAlign w:val="bottom"/>
          </w:tcPr>
          <w:p w14:paraId="50458455" w14:textId="24AF5CA9" w:rsidR="007A1432" w:rsidRDefault="007A1432">
            <w:pPr>
              <w:pStyle w:val="TableText"/>
            </w:pPr>
            <w:r>
              <w:t>Transfusion-associated dyspnea (TAD)</w:t>
            </w:r>
          </w:p>
        </w:tc>
      </w:tr>
      <w:tr w:rsidR="007A1432" w14:paraId="5B10DA02" w14:textId="77777777" w:rsidTr="007A1432">
        <w:tc>
          <w:tcPr>
            <w:tcW w:w="5985" w:type="dxa"/>
            <w:vAlign w:val="bottom"/>
          </w:tcPr>
          <w:p w14:paraId="0B266582" w14:textId="7F71E9CE" w:rsidR="007A1432" w:rsidRDefault="007A1432">
            <w:pPr>
              <w:pStyle w:val="TableText"/>
            </w:pPr>
            <w:r>
              <w:t>Transfusion-associated graft vs. host disease (TAGVHD)</w:t>
            </w:r>
          </w:p>
        </w:tc>
      </w:tr>
      <w:tr w:rsidR="007A1432" w14:paraId="53026994" w14:textId="77777777" w:rsidTr="007A1432">
        <w:tc>
          <w:tcPr>
            <w:tcW w:w="5985" w:type="dxa"/>
            <w:vAlign w:val="bottom"/>
          </w:tcPr>
          <w:p w14:paraId="7E425D4E" w14:textId="668D530B" w:rsidR="007A1432" w:rsidRDefault="007A1432">
            <w:pPr>
              <w:pStyle w:val="TableText"/>
            </w:pPr>
            <w:r>
              <w:t>Transfusion-related acute lunch injury (TRALI)</w:t>
            </w:r>
          </w:p>
        </w:tc>
      </w:tr>
      <w:tr w:rsidR="007A1432" w14:paraId="3D3EC8DB" w14:textId="77777777" w:rsidTr="007A1432">
        <w:tc>
          <w:tcPr>
            <w:tcW w:w="5985" w:type="dxa"/>
            <w:vAlign w:val="bottom"/>
          </w:tcPr>
          <w:p w14:paraId="60627C13" w14:textId="02E5EBEE" w:rsidR="007A1432" w:rsidRDefault="007A1432">
            <w:pPr>
              <w:pStyle w:val="TableText"/>
            </w:pPr>
            <w:r>
              <w:t>Transfusion-transmitted infection (TTI)</w:t>
            </w:r>
          </w:p>
        </w:tc>
      </w:tr>
      <w:tr w:rsidR="007A1432" w14:paraId="43F1609F" w14:textId="77777777" w:rsidTr="007A1432">
        <w:tc>
          <w:tcPr>
            <w:tcW w:w="5985" w:type="dxa"/>
            <w:vAlign w:val="bottom"/>
          </w:tcPr>
          <w:p w14:paraId="06389679" w14:textId="27CBB660" w:rsidR="007A1432" w:rsidRDefault="007A1432">
            <w:pPr>
              <w:pStyle w:val="TableText"/>
            </w:pPr>
            <w:r>
              <w:t>Other</w:t>
            </w:r>
          </w:p>
        </w:tc>
      </w:tr>
    </w:tbl>
    <w:p w14:paraId="457DE778" w14:textId="77777777" w:rsidR="002A21AE" w:rsidRDefault="00EE2299">
      <w:pPr>
        <w:pStyle w:val="Heading2"/>
      </w:pPr>
      <w:bookmarkStart w:id="501" w:name="_Maintain_Specimen"/>
      <w:bookmarkStart w:id="502" w:name="_Maintain_Specimen_1"/>
      <w:bookmarkStart w:id="503" w:name="_Toc63680372"/>
      <w:bookmarkEnd w:id="492"/>
      <w:bookmarkEnd w:id="501"/>
      <w:bookmarkEnd w:id="502"/>
      <w:r>
        <w:br w:type="page"/>
      </w:r>
      <w:bookmarkStart w:id="504" w:name="_Toc163644957"/>
      <w:r w:rsidR="002A21AE">
        <w:lastRenderedPageBreak/>
        <w:t>Maintain Patient Records</w:t>
      </w:r>
      <w:bookmarkEnd w:id="503"/>
      <w:bookmarkEnd w:id="504"/>
      <w:r w:rsidR="002A21AE">
        <w:fldChar w:fldCharType="begin"/>
      </w:r>
      <w:r w:rsidR="002A21AE">
        <w:instrText xml:space="preserve"> XE </w:instrText>
      </w:r>
      <w:r w:rsidR="00FA7E65">
        <w:instrText>“</w:instrText>
      </w:r>
      <w:r w:rsidR="002A21AE">
        <w:instrText>Maintain Patient Records</w:instrText>
      </w:r>
      <w:r w:rsidR="00FA7E65">
        <w:instrText>”</w:instrText>
      </w:r>
      <w:r w:rsidR="002A21AE">
        <w:instrText xml:space="preserve"> </w:instrText>
      </w:r>
      <w:r w:rsidR="002A21AE">
        <w:fldChar w:fldCharType="end"/>
      </w:r>
    </w:p>
    <w:p w14:paraId="0A25BAF7" w14:textId="77777777" w:rsidR="002A21AE" w:rsidRDefault="002A21AE">
      <w:pPr>
        <w:pStyle w:val="Heading3"/>
      </w:pPr>
      <w:bookmarkStart w:id="505" w:name="_Toc163644958"/>
      <w:r>
        <w:t>Special Instructions &amp; Transfusion Requirements: Enter a Transfusion Requirement</w:t>
      </w:r>
      <w:bookmarkEnd w:id="505"/>
      <w:r w:rsidRPr="00523956">
        <w:rPr>
          <w:rFonts w:ascii="Arial Bold" w:hAnsi="Arial Bold"/>
          <w:vanish/>
        </w:rPr>
        <w:fldChar w:fldCharType="begin"/>
      </w:r>
      <w:r w:rsidRPr="00523956">
        <w:rPr>
          <w:rFonts w:ascii="Arial Bold" w:hAnsi="Arial Bold"/>
          <w:vanish/>
        </w:rPr>
        <w:instrText xml:space="preserve"> XE </w:instrText>
      </w:r>
      <w:r w:rsidR="00FA7E65" w:rsidRPr="00523956">
        <w:rPr>
          <w:rFonts w:ascii="Arial Bold" w:hAnsi="Arial Bold"/>
          <w:vanish/>
        </w:rPr>
        <w:instrText>“</w:instrText>
      </w:r>
      <w:r w:rsidRPr="00523956">
        <w:rPr>
          <w:rFonts w:ascii="Arial Bold" w:hAnsi="Arial Bold"/>
          <w:vanish/>
        </w:rPr>
        <w:instrText>Special Instructions &amp; Transfusion Requirements\: Enter a Transfusion Requirement</w:instrText>
      </w:r>
      <w:r w:rsidR="00FA7E65" w:rsidRPr="00523956">
        <w:rPr>
          <w:rFonts w:ascii="Arial Bold" w:hAnsi="Arial Bold"/>
          <w:vanish/>
        </w:rPr>
        <w:instrText>”</w:instrText>
      </w:r>
      <w:r w:rsidRPr="00523956">
        <w:rPr>
          <w:rFonts w:ascii="Arial Bold" w:hAnsi="Arial Bold"/>
          <w:vanish/>
        </w:rPr>
        <w:instrText xml:space="preserve"> </w:instrText>
      </w:r>
      <w:r w:rsidRPr="00523956">
        <w:rPr>
          <w:rFonts w:ascii="Arial Bold" w:hAnsi="Arial Bold"/>
          <w:vanish/>
        </w:rPr>
        <w:fldChar w:fldCharType="end"/>
      </w:r>
      <w:r w:rsidRPr="00523956">
        <w:rPr>
          <w:rFonts w:ascii="Arial Bold" w:hAnsi="Arial Bold"/>
          <w:vanish/>
        </w:rPr>
        <w:t xml:space="preserve"> UC_38</w:t>
      </w:r>
    </w:p>
    <w:p w14:paraId="64825D6F" w14:textId="77777777" w:rsidR="002A21AE" w:rsidRDefault="002A21AE" w:rsidP="00FA7E65">
      <w:pPr>
        <w:pStyle w:val="BodyText"/>
      </w:pPr>
      <w:r>
        <w:t>The user enter</w:t>
      </w:r>
      <w:r w:rsidR="007C7B3C">
        <w:t>s</w:t>
      </w:r>
      <w:r>
        <w:t xml:space="preserve"> or inactivate</w:t>
      </w:r>
      <w:r w:rsidR="007C7B3C">
        <w:t>s</w:t>
      </w:r>
      <w:r>
        <w:t xml:space="preserve"> the Transfusion Requirements (TRs) in the patient’s record by division. </w:t>
      </w:r>
    </w:p>
    <w:p w14:paraId="78476501" w14:textId="77777777" w:rsidR="002A21AE" w:rsidRDefault="002A21AE">
      <w:pPr>
        <w:pStyle w:val="Heading4"/>
      </w:pPr>
      <w:r>
        <w:t>Assumptions</w:t>
      </w:r>
      <w:r>
        <w:rPr>
          <w:b w:val="0"/>
        </w:rPr>
        <w:t xml:space="preserve"> </w:t>
      </w:r>
    </w:p>
    <w:p w14:paraId="65FAD6F7" w14:textId="77777777" w:rsidR="002A21AE" w:rsidRDefault="002A21AE">
      <w:pPr>
        <w:pStyle w:val="ListBullet"/>
      </w:pPr>
      <w:r>
        <w:t>The patient exists in the VBECS database.</w:t>
      </w:r>
    </w:p>
    <w:p w14:paraId="6315A875" w14:textId="77777777" w:rsidR="002A21AE" w:rsidRDefault="002A21AE">
      <w:pPr>
        <w:pStyle w:val="Heading4"/>
      </w:pPr>
      <w:r>
        <w:t>Outcome</w:t>
      </w:r>
    </w:p>
    <w:p w14:paraId="50EC6B77" w14:textId="77777777" w:rsidR="002A21AE" w:rsidRDefault="002A21AE">
      <w:pPr>
        <w:pStyle w:val="ListBullet"/>
      </w:pPr>
      <w:r>
        <w:t>VBECS displays TRs to all divisions within a multidivisional database. The division in which they were entered maintains and controls them.</w:t>
      </w:r>
    </w:p>
    <w:p w14:paraId="18E3A1B4" w14:textId="77777777" w:rsidR="002A21AE" w:rsidRDefault="002A21AE">
      <w:pPr>
        <w:pStyle w:val="ListBullet"/>
      </w:pPr>
      <w:r>
        <w:t>VBECS maintains a historic record of changes to the patient’s TRs.</w:t>
      </w:r>
    </w:p>
    <w:p w14:paraId="6FBF3853" w14:textId="77777777" w:rsidR="002A21AE" w:rsidRDefault="002A21AE">
      <w:pPr>
        <w:pStyle w:val="Heading4"/>
      </w:pPr>
      <w:r>
        <w:t>Limitations and Restrictions</w:t>
      </w:r>
      <w:r>
        <w:rPr>
          <w:b w:val="0"/>
        </w:rPr>
        <w:t xml:space="preserve"> </w:t>
      </w:r>
    </w:p>
    <w:p w14:paraId="15E0C25D" w14:textId="77777777" w:rsidR="002A21AE" w:rsidRDefault="002A21AE">
      <w:pPr>
        <w:pStyle w:val="ListBullet"/>
      </w:pPr>
      <w:r>
        <w:t>Inactivation is defined and restricted by security level.</w:t>
      </w:r>
    </w:p>
    <w:p w14:paraId="6A8D2726" w14:textId="77777777" w:rsidR="002A21AE" w:rsidRDefault="00CA6E27">
      <w:pPr>
        <w:pStyle w:val="ListBullet"/>
      </w:pPr>
      <w:r w:rsidRPr="00CA6E27">
        <w:rPr>
          <w:bCs/>
        </w:rPr>
        <w:t>VistA</w:t>
      </w:r>
      <w:r w:rsidR="002A21AE">
        <w:t xml:space="preserve"> Special Instructions (SIs) from </w:t>
      </w:r>
      <w:r w:rsidR="00150930">
        <w:t>database conversion</w:t>
      </w:r>
      <w:r w:rsidR="002A21AE">
        <w:t xml:space="preserve"> do not become TRs: they remain SIs. SIs are information only and are not enforced unless entered in </w:t>
      </w:r>
      <w:r w:rsidR="001F561F">
        <w:t xml:space="preserve">the </w:t>
      </w:r>
      <w:r w:rsidR="0077268F">
        <w:t>Component</w:t>
      </w:r>
      <w:r w:rsidR="001F561F">
        <w:t xml:space="preserve"> </w:t>
      </w:r>
      <w:r w:rsidR="002A21AE">
        <w:t>R</w:t>
      </w:r>
      <w:r w:rsidR="001F561F">
        <w:t>equirement</w:t>
      </w:r>
      <w:r w:rsidR="002A21AE">
        <w:t>s</w:t>
      </w:r>
      <w:r w:rsidR="001F561F">
        <w:t xml:space="preserve"> tab in Special Instructions &amp; Transfusion Requirements</w:t>
      </w:r>
      <w:r w:rsidR="002A21AE">
        <w:t>.</w:t>
      </w:r>
    </w:p>
    <w:p w14:paraId="4423D3F1" w14:textId="77777777" w:rsidR="002A21AE" w:rsidRDefault="002A21AE">
      <w:pPr>
        <w:pStyle w:val="Heading4"/>
      </w:pPr>
      <w:r>
        <w:t>Additional Information</w:t>
      </w:r>
    </w:p>
    <w:p w14:paraId="2D86970C" w14:textId="77777777" w:rsidR="002A21AE" w:rsidRDefault="002A21AE">
      <w:pPr>
        <w:pStyle w:val="ListBullet"/>
      </w:pPr>
      <w:r>
        <w:t>No current patient specimen or order is required to access this option.</w:t>
      </w:r>
    </w:p>
    <w:p w14:paraId="1F5D80AD" w14:textId="77777777" w:rsidR="002A21AE" w:rsidRDefault="002A21AE">
      <w:pPr>
        <w:pStyle w:val="ListBullet"/>
      </w:pPr>
      <w:r>
        <w:t>When TRs are not met, VBECS prohibits the printing of the Caution Tag and Blood Transfusion Record Form (BTRF) and prevents issue of the blood unit.</w:t>
      </w:r>
    </w:p>
    <w:p w14:paraId="611E341A" w14:textId="77777777" w:rsidR="002A21AE" w:rsidRDefault="002A21AE">
      <w:pPr>
        <w:pStyle w:val="ListBullet"/>
      </w:pPr>
      <w:r>
        <w:rPr>
          <w:rFonts w:ascii="Arial" w:hAnsi="Arial" w:cs="Arial"/>
          <w:vanish/>
          <w:spacing w:val="0"/>
          <w:sz w:val="18"/>
        </w:rPr>
        <w:t xml:space="preserve">BR_38.04 </w:t>
      </w:r>
      <w:r>
        <w:t xml:space="preserve">User-entered antigen negative requirements are persistent. VBECS enforces them even when they are in conflict with the division’s antibody table settings. </w:t>
      </w:r>
    </w:p>
    <w:p w14:paraId="5EC1BFAE" w14:textId="77777777" w:rsidR="002A21AE" w:rsidRDefault="002A21AE">
      <w:pPr>
        <w:pStyle w:val="ListBullet"/>
      </w:pPr>
      <w:r>
        <w:t xml:space="preserve">Patient antibody identifications from </w:t>
      </w:r>
      <w:r w:rsidR="00CA6E27" w:rsidRPr="00CA6E27">
        <w:rPr>
          <w:bCs/>
        </w:rPr>
        <w:t>VistA</w:t>
      </w:r>
      <w:r>
        <w:t xml:space="preserve"> are included in the database conversion. </w:t>
      </w:r>
    </w:p>
    <w:p w14:paraId="49E3682D" w14:textId="77777777" w:rsidR="002A21AE" w:rsidRDefault="002A21AE">
      <w:pPr>
        <w:pStyle w:val="ListBullet"/>
      </w:pPr>
      <w:r>
        <w:t xml:space="preserve">By default, inactivation of an antibody removes requirements for antigen negative blood derived from the antibody entry. </w:t>
      </w:r>
    </w:p>
    <w:p w14:paraId="34206AC1" w14:textId="77777777" w:rsidR="002A21AE" w:rsidRDefault="002A21AE">
      <w:pPr>
        <w:pStyle w:val="Heading4"/>
        <w:rPr>
          <w:b w:val="0"/>
        </w:rPr>
      </w:pPr>
      <w:r>
        <w:t>User Roles with Access to This Option</w:t>
      </w:r>
      <w:r>
        <w:rPr>
          <w:b w:val="0"/>
        </w:rPr>
        <w:t xml:space="preserve"> </w:t>
      </w:r>
    </w:p>
    <w:p w14:paraId="5AAC30E0" w14:textId="77777777" w:rsidR="00AE271A" w:rsidRDefault="00AE271A" w:rsidP="00AE271A">
      <w:pPr>
        <w:pStyle w:val="Roles"/>
      </w:pPr>
      <w:r>
        <w:rPr>
          <w:snapToGrid w:val="0"/>
        </w:rPr>
        <w:t>All users</w:t>
      </w:r>
    </w:p>
    <w:p w14:paraId="1ADBD526" w14:textId="77777777" w:rsidR="002A21AE" w:rsidRDefault="002A21AE">
      <w:pPr>
        <w:pStyle w:val="Heading4"/>
      </w:pPr>
      <w:r>
        <w:t>Special Instructions &amp; Transfusion Requirements: Enter a Transfusion Requirement</w:t>
      </w:r>
    </w:p>
    <w:p w14:paraId="7E8CC920" w14:textId="77777777" w:rsidR="002A21AE" w:rsidRDefault="002A21AE" w:rsidP="00FA7E65">
      <w:pPr>
        <w:pStyle w:val="BodyText"/>
      </w:pPr>
      <w:r>
        <w:t xml:space="preserve">The user assigns patient blood component requirements or indicates the need for antigen negative blood to be applied during blood component selection and issue. </w:t>
      </w:r>
    </w:p>
    <w:p w14:paraId="7A0CC4E9" w14:textId="77777777" w:rsidR="002A21AE" w:rsidRDefault="002A21AE" w:rsidP="00FA7E65">
      <w:pPr>
        <w:pStyle w:val="BodyText"/>
      </w:pPr>
      <w:r>
        <w:t xml:space="preserve">VBECS displays TR data and applies requirements during blood unit selection. </w:t>
      </w:r>
    </w:p>
    <w:p w14:paraId="56EB1B40" w14:textId="77777777" w:rsidR="002A21AE" w:rsidRDefault="002A21AE" w:rsidP="00FA7E65">
      <w:pPr>
        <w:pStyle w:val="BodyText"/>
        <w:rPr>
          <w:b/>
        </w:rPr>
      </w:pPr>
      <w:r>
        <w:t xml:space="preserve">All items in these TR categories indicate the need for pre-transfusion processing of a unit before the unit may be issued to the patient. All users may activate entries.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Only a </w:t>
      </w:r>
      <w:r>
        <w:rPr>
          <w:snapToGrid w:val="0"/>
        </w:rPr>
        <w:t xml:space="preserve">Traditional Supervisor </w:t>
      </w:r>
      <w:r>
        <w:t xml:space="preserve">may inactivate a component requirement for a patient. A patient may have one or more TRs: </w:t>
      </w:r>
      <w:r>
        <w:rPr>
          <w:vanish/>
        </w:rPr>
        <w:t>BR_38.01</w:t>
      </w:r>
    </w:p>
    <w:p w14:paraId="148142CA" w14:textId="77777777" w:rsidR="002A21AE" w:rsidRDefault="00095CB3">
      <w:pPr>
        <w:pStyle w:val="ListBullet"/>
      </w:pPr>
      <w:r>
        <w:t>Pre-treated to Prevent G</w:t>
      </w:r>
      <w:r w:rsidR="00363C2C">
        <w:t>VHD</w:t>
      </w:r>
      <w:r w:rsidR="002A21AE">
        <w:t xml:space="preserve"> </w:t>
      </w:r>
    </w:p>
    <w:p w14:paraId="3DEBFF5F" w14:textId="77777777" w:rsidR="002A21AE" w:rsidRDefault="002A21AE">
      <w:pPr>
        <w:pStyle w:val="ListBullet"/>
      </w:pPr>
      <w:r>
        <w:t>Leuko</w:t>
      </w:r>
      <w:r w:rsidR="00363C2C">
        <w:t>-</w:t>
      </w:r>
      <w:r>
        <w:t>reduce cellular products</w:t>
      </w:r>
      <w:r w:rsidR="00363C2C">
        <w:t>*</w:t>
      </w:r>
    </w:p>
    <w:p w14:paraId="21B0BE00" w14:textId="77777777" w:rsidR="002A21AE" w:rsidRDefault="002A21AE">
      <w:pPr>
        <w:pStyle w:val="ListBullet"/>
      </w:pPr>
      <w:r>
        <w:t>Washed RBC products</w:t>
      </w:r>
    </w:p>
    <w:p w14:paraId="1475BB5A" w14:textId="77777777" w:rsidR="002A21AE" w:rsidRDefault="002A21AE">
      <w:pPr>
        <w:pStyle w:val="ListBullet"/>
      </w:pPr>
      <w:r>
        <w:lastRenderedPageBreak/>
        <w:t>Washed PLT products</w:t>
      </w:r>
    </w:p>
    <w:p w14:paraId="03A12BC3" w14:textId="77777777" w:rsidR="002A21AE" w:rsidRDefault="002A21AE">
      <w:pPr>
        <w:pStyle w:val="ListBullet"/>
      </w:pPr>
      <w:r>
        <w:t>Sickle Cell Negative RBC products</w:t>
      </w:r>
    </w:p>
    <w:p w14:paraId="591896EE" w14:textId="77777777" w:rsidR="002A21AE" w:rsidRDefault="002A21AE">
      <w:pPr>
        <w:pStyle w:val="ListBullet"/>
      </w:pPr>
      <w:r>
        <w:t>CMV negative cellular products</w:t>
      </w:r>
      <w:r w:rsidR="00550AB5">
        <w:t>*</w:t>
      </w:r>
    </w:p>
    <w:p w14:paraId="1F63000E" w14:textId="77777777" w:rsidR="002A21AE" w:rsidRDefault="00550AB5">
      <w:pPr>
        <w:pStyle w:val="BodyText"/>
      </w:pPr>
      <w:r>
        <w:t>*All product types in OTHER are evaluated for the requirement including those that are non-cellular.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6E0905" w14:textId="77777777">
        <w:trPr>
          <w:cantSplit/>
          <w:tblHeader/>
        </w:trPr>
        <w:tc>
          <w:tcPr>
            <w:tcW w:w="3240" w:type="dxa"/>
            <w:shd w:val="pct30" w:color="auto" w:fill="FFFFFF"/>
            <w:vAlign w:val="bottom"/>
          </w:tcPr>
          <w:p w14:paraId="3405D986" w14:textId="77777777" w:rsidR="002A21AE" w:rsidRDefault="002A21AE">
            <w:pPr>
              <w:pStyle w:val="TableText"/>
              <w:rPr>
                <w:b/>
              </w:rPr>
            </w:pPr>
            <w:r>
              <w:rPr>
                <w:b/>
              </w:rPr>
              <w:t>User Action</w:t>
            </w:r>
          </w:p>
        </w:tc>
        <w:tc>
          <w:tcPr>
            <w:tcW w:w="6120" w:type="dxa"/>
            <w:shd w:val="pct30" w:color="auto" w:fill="FFFFFF"/>
            <w:vAlign w:val="bottom"/>
          </w:tcPr>
          <w:p w14:paraId="5F76CB9C" w14:textId="77777777" w:rsidR="002A21AE" w:rsidRDefault="002A21AE">
            <w:pPr>
              <w:pStyle w:val="TableText"/>
              <w:rPr>
                <w:b/>
              </w:rPr>
            </w:pPr>
            <w:r>
              <w:rPr>
                <w:b/>
              </w:rPr>
              <w:t>VBECS</w:t>
            </w:r>
          </w:p>
        </w:tc>
      </w:tr>
      <w:tr w:rsidR="002A21AE" w14:paraId="2BBBB862" w14:textId="77777777">
        <w:tc>
          <w:tcPr>
            <w:tcW w:w="3240" w:type="dxa"/>
          </w:tcPr>
          <w:p w14:paraId="775CED7D" w14:textId="77777777" w:rsidR="002A21AE" w:rsidRDefault="002A21AE">
            <w:pPr>
              <w:pStyle w:val="TableTextNumbers"/>
            </w:pPr>
            <w:r>
              <w:t xml:space="preserve">Select </w:t>
            </w:r>
            <w:r>
              <w:rPr>
                <w:b/>
              </w:rPr>
              <w:t>Patients</w:t>
            </w:r>
            <w:r>
              <w:t xml:space="preserve"> from the main menu.</w:t>
            </w:r>
          </w:p>
          <w:p w14:paraId="430FCB2C" w14:textId="77777777" w:rsidR="002A21AE" w:rsidRDefault="002A21AE">
            <w:pPr>
              <w:pStyle w:val="TableTextNumbersContinued"/>
            </w:pPr>
          </w:p>
          <w:p w14:paraId="4FF22D14" w14:textId="77777777" w:rsidR="002A21AE" w:rsidRDefault="002A21AE" w:rsidP="0044084A">
            <w:pPr>
              <w:pStyle w:val="TableTextNumbersContinued"/>
            </w:pPr>
            <w:r>
              <w:t xml:space="preserve">Select </w:t>
            </w:r>
            <w:r>
              <w:rPr>
                <w:b/>
              </w:rPr>
              <w:t>Special Instructions &amp; Transfusion Requirements</w:t>
            </w:r>
            <w:r>
              <w:t>,</w:t>
            </w:r>
            <w:r w:rsidR="0044084A">
              <w:t xml:space="preserve"> or</w:t>
            </w:r>
          </w:p>
          <w:p w14:paraId="18B826CB" w14:textId="77777777" w:rsidR="0044084A" w:rsidRDefault="0044084A" w:rsidP="0044084A">
            <w:pPr>
              <w:pStyle w:val="TableTextNumbersContinued"/>
            </w:pPr>
          </w:p>
          <w:p w14:paraId="6BB4FB02" w14:textId="77777777" w:rsidR="0044084A" w:rsidRPr="0044084A" w:rsidRDefault="00B3702D" w:rsidP="00B3702D">
            <w:pPr>
              <w:pStyle w:val="TableTextNumbersContinued"/>
            </w:pPr>
            <w:r>
              <w:t xml:space="preserve">Click </w:t>
            </w:r>
            <w:r w:rsidR="00057948">
              <w:rPr>
                <w:noProof/>
              </w:rPr>
              <w:drawing>
                <wp:inline distT="0" distB="0" distL="0" distR="0" wp14:anchorId="020C6A1A" wp14:editId="21EB22DB">
                  <wp:extent cx="156845" cy="156845"/>
                  <wp:effectExtent l="0" t="0" r="0" b="0"/>
                  <wp:docPr id="252" name="Picture 252"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190E5D96" w14:textId="77777777" w:rsidR="002A21AE" w:rsidRDefault="002A21AE">
            <w:pPr>
              <w:pStyle w:val="TableTextBullet"/>
            </w:pPr>
            <w:r>
              <w:t>Displays options for processing patient-related functions.</w:t>
            </w:r>
          </w:p>
          <w:p w14:paraId="5728FFA9" w14:textId="77777777" w:rsidR="002A21AE" w:rsidRDefault="002A21AE">
            <w:pPr>
              <w:pStyle w:val="TableTextBullet"/>
            </w:pPr>
            <w:r>
              <w:t xml:space="preserve">Displays the option to select a patient, if one is not already selected. </w:t>
            </w:r>
          </w:p>
          <w:p w14:paraId="5AE4CAC3" w14:textId="77777777" w:rsidR="002A21AE" w:rsidRDefault="002A21AE">
            <w:pPr>
              <w:pStyle w:val="TableText"/>
              <w:rPr>
                <w:b/>
                <w:bCs/>
                <w:szCs w:val="18"/>
              </w:rPr>
            </w:pPr>
          </w:p>
          <w:p w14:paraId="164388EA" w14:textId="7963402F" w:rsidR="002A21AE" w:rsidRDefault="002A21AE">
            <w:pPr>
              <w:pStyle w:val="TableText"/>
              <w:rPr>
                <w:b/>
                <w:bCs/>
                <w:szCs w:val="18"/>
              </w:rPr>
            </w:pPr>
            <w:r>
              <w:rPr>
                <w:b/>
                <w:bCs/>
                <w:szCs w:val="18"/>
              </w:rPr>
              <w:t>NOTES</w:t>
            </w:r>
          </w:p>
          <w:p w14:paraId="37E825F7" w14:textId="77777777" w:rsidR="002A21AE" w:rsidRDefault="002A21AE">
            <w:pPr>
              <w:pStyle w:val="NotesText"/>
            </w:pPr>
          </w:p>
          <w:p w14:paraId="60054DF8" w14:textId="77777777" w:rsidR="002A21AE" w:rsidRDefault="002A21AE">
            <w:pPr>
              <w:pStyle w:val="NotesText"/>
            </w:pPr>
            <w:r>
              <w:t xml:space="preserve">The user may also click </w:t>
            </w:r>
            <w:r>
              <w:rPr>
                <w:b/>
              </w:rPr>
              <w:t>New SI or TR</w:t>
            </w:r>
            <w:r>
              <w:t xml:space="preserve"> in Patient Testing to access this option.</w:t>
            </w:r>
          </w:p>
          <w:p w14:paraId="468D09BF" w14:textId="77777777" w:rsidR="0044084A" w:rsidRDefault="0044084A" w:rsidP="00266B50">
            <w:pPr>
              <w:pStyle w:val="NotesText"/>
            </w:pPr>
            <w:r>
              <w:t xml:space="preserve"> </w:t>
            </w:r>
          </w:p>
        </w:tc>
      </w:tr>
      <w:tr w:rsidR="002A21AE" w14:paraId="1F2A8AF8" w14:textId="77777777">
        <w:tc>
          <w:tcPr>
            <w:tcW w:w="3240" w:type="dxa"/>
          </w:tcPr>
          <w:p w14:paraId="5B9D52D4" w14:textId="1D40E2DC" w:rsidR="002A21AE" w:rsidRDefault="002A21AE">
            <w:pPr>
              <w:pStyle w:val="TableTextNumbers"/>
            </w:pPr>
            <w:r>
              <w:t xml:space="preserve">Select the </w:t>
            </w:r>
            <w:r>
              <w:rPr>
                <w:b/>
              </w:rPr>
              <w:t>Antigen Negative RBCs</w:t>
            </w:r>
            <w:r>
              <w:t>,</w:t>
            </w:r>
            <w:r>
              <w:rPr>
                <w:b/>
              </w:rPr>
              <w:t xml:space="preserve"> Component Requirements</w:t>
            </w:r>
            <w:r>
              <w:t>,</w:t>
            </w:r>
            <w:r>
              <w:rPr>
                <w:b/>
              </w:rPr>
              <w:t xml:space="preserve"> </w:t>
            </w:r>
            <w:r>
              <w:t xml:space="preserve">or </w:t>
            </w:r>
            <w:r>
              <w:rPr>
                <w:b/>
              </w:rPr>
              <w:t xml:space="preserve">Antibodies Identified </w:t>
            </w:r>
            <w:r w:rsidRPr="00CC3C89">
              <w:t>tab</w:t>
            </w:r>
            <w:r w:rsidR="00994FF2" w:rsidRPr="00CC3C89">
              <w:t xml:space="preserve"> </w:t>
            </w:r>
            <w:r w:rsidR="00994FF2" w:rsidRPr="00994FF2">
              <w:t>(</w:t>
            </w:r>
            <w:r w:rsidR="00EE455E">
              <w:t xml:space="preserve">Figure </w:t>
            </w:r>
            <w:r w:rsidR="00EE455E">
              <w:rPr>
                <w:noProof/>
              </w:rPr>
              <w:t>109</w:t>
            </w:r>
            <w:r w:rsidR="00994FF2" w:rsidRPr="00994FF2">
              <w:t>)</w:t>
            </w:r>
            <w:r>
              <w:t>.</w:t>
            </w:r>
          </w:p>
          <w:p w14:paraId="3D7F76F1" w14:textId="77777777" w:rsidR="002A21AE" w:rsidRDefault="002A21AE">
            <w:pPr>
              <w:pStyle w:val="TableTextNumbersContinued"/>
              <w:rPr>
                <w:b/>
                <w:bCs/>
              </w:rPr>
            </w:pPr>
          </w:p>
          <w:p w14:paraId="5E02D2EA" w14:textId="77777777" w:rsidR="002A21AE" w:rsidRDefault="002A21AE">
            <w:pPr>
              <w:pStyle w:val="TableText"/>
            </w:pPr>
          </w:p>
        </w:tc>
        <w:tc>
          <w:tcPr>
            <w:tcW w:w="6120" w:type="dxa"/>
          </w:tcPr>
          <w:p w14:paraId="2D625345" w14:textId="77777777" w:rsidR="002A21AE" w:rsidRDefault="002A21AE">
            <w:pPr>
              <w:pStyle w:val="TableTextBullet"/>
            </w:pPr>
            <w:r>
              <w:t>Displays the patient’s TRs.</w:t>
            </w:r>
          </w:p>
          <w:p w14:paraId="30214600" w14:textId="77777777" w:rsidR="002A21AE" w:rsidRDefault="002A21AE">
            <w:pPr>
              <w:pStyle w:val="TableTextBullet"/>
            </w:pPr>
            <w:r>
              <w:t>Allows the user to add or inactivate information based on his security level.</w:t>
            </w:r>
          </w:p>
          <w:p w14:paraId="07872FDE" w14:textId="77777777" w:rsidR="002A21AE" w:rsidRDefault="002A21AE">
            <w:pPr>
              <w:pStyle w:val="TableText"/>
            </w:pPr>
          </w:p>
          <w:p w14:paraId="6843FE29" w14:textId="6FA24C19" w:rsidR="002A21AE" w:rsidRDefault="002A21AE">
            <w:pPr>
              <w:pStyle w:val="TableText"/>
              <w:rPr>
                <w:b/>
                <w:bCs/>
                <w:szCs w:val="18"/>
              </w:rPr>
            </w:pPr>
            <w:r>
              <w:rPr>
                <w:b/>
                <w:bCs/>
                <w:szCs w:val="18"/>
              </w:rPr>
              <w:t>NOTES</w:t>
            </w:r>
          </w:p>
          <w:p w14:paraId="137A52AC" w14:textId="77777777" w:rsidR="002A21AE" w:rsidRDefault="002A21AE">
            <w:pPr>
              <w:pStyle w:val="NotesText"/>
            </w:pPr>
          </w:p>
          <w:p w14:paraId="56C259EA" w14:textId="77777777" w:rsidR="001E4DCC" w:rsidRDefault="002A21AE" w:rsidP="00DB7814">
            <w:pPr>
              <w:pStyle w:val="NotesText"/>
            </w:pPr>
            <w:r>
              <w:rPr>
                <w:rFonts w:cs="Arial"/>
                <w:vanish/>
              </w:rPr>
              <w:t xml:space="preserve">BR_38.10 </w:t>
            </w:r>
            <w:r>
              <w:t xml:space="preserve">When a user accesses antigen negative requirements, </w:t>
            </w:r>
            <w:r w:rsidR="00C93B6B">
              <w:t xml:space="preserve">VBECS </w:t>
            </w:r>
            <w:r w:rsidR="005B2FFA">
              <w:t xml:space="preserve">displays and enforces the antigen negative requirement </w:t>
            </w:r>
            <w:r w:rsidR="00C93B6B">
              <w:t>for the patient, regardless of the division setting for the antibody.</w:t>
            </w:r>
          </w:p>
          <w:p w14:paraId="79004025" w14:textId="77777777" w:rsidR="001E4DCC" w:rsidRDefault="001E4DCC" w:rsidP="00DB7814">
            <w:pPr>
              <w:pStyle w:val="NotesText"/>
            </w:pPr>
          </w:p>
          <w:p w14:paraId="19A9B8FD" w14:textId="77777777" w:rsidR="002A21AE" w:rsidRDefault="00C93B6B" w:rsidP="00DB7814">
            <w:pPr>
              <w:pStyle w:val="NotesText"/>
            </w:pPr>
            <w:r>
              <w:t xml:space="preserve">When a user accesses </w:t>
            </w:r>
            <w:r w:rsidR="00AB225C">
              <w:t xml:space="preserve">the </w:t>
            </w:r>
            <w:r>
              <w:t>Antibodies Identified</w:t>
            </w:r>
            <w:r w:rsidR="00AB225C">
              <w:t xml:space="preserve"> tab</w:t>
            </w:r>
            <w:r>
              <w:t xml:space="preserve">, </w:t>
            </w:r>
            <w:r w:rsidR="00AB225C">
              <w:t>VBECS compares the patient’s a</w:t>
            </w:r>
            <w:r w:rsidR="002A21AE">
              <w:t xml:space="preserve">ntibodies with the division’s antibody table setting. When the antibody is set to require antigen negative blood at issue, VBECS displays and enforces the antigen negative requirement. </w:t>
            </w:r>
          </w:p>
        </w:tc>
      </w:tr>
      <w:tr w:rsidR="002A21AE" w14:paraId="39FAD855" w14:textId="77777777">
        <w:tc>
          <w:tcPr>
            <w:tcW w:w="3240" w:type="dxa"/>
          </w:tcPr>
          <w:p w14:paraId="3E220364" w14:textId="77777777" w:rsidR="002A21AE" w:rsidRDefault="002A21AE">
            <w:pPr>
              <w:pStyle w:val="TableTextNumbers"/>
            </w:pPr>
            <w:r>
              <w:t>Select a TR from the pick list, or enter an antigen or antibody, as the tab allows.</w:t>
            </w:r>
          </w:p>
          <w:p w14:paraId="39E8EF1E" w14:textId="77777777" w:rsidR="002A21AE" w:rsidRDefault="002A21AE">
            <w:pPr>
              <w:pStyle w:val="TableTextNumbersContinued"/>
            </w:pPr>
          </w:p>
          <w:p w14:paraId="382A18EE" w14:textId="77777777" w:rsidR="002A21AE" w:rsidRDefault="002A21AE">
            <w:pPr>
              <w:pStyle w:val="TableTextNumbersContinued"/>
            </w:pPr>
            <w:r>
              <w:t xml:space="preserve">Click </w:t>
            </w:r>
            <w:r>
              <w:rPr>
                <w:b/>
              </w:rPr>
              <w:t>Add</w:t>
            </w:r>
            <w:r>
              <w:t xml:space="preserve"> to move the selection to the patient’s record.</w:t>
            </w:r>
          </w:p>
          <w:p w14:paraId="420B43CB" w14:textId="77777777" w:rsidR="002A21AE" w:rsidRDefault="002A21AE">
            <w:pPr>
              <w:pStyle w:val="TableTextNumbersContinued"/>
            </w:pPr>
          </w:p>
          <w:p w14:paraId="45349AB6" w14:textId="77777777" w:rsidR="002A21AE" w:rsidRDefault="002A21AE">
            <w:pPr>
              <w:pStyle w:val="TableTextNumbersContinued"/>
            </w:pPr>
            <w:r>
              <w:t xml:space="preserve">Click </w:t>
            </w:r>
            <w:r>
              <w:rPr>
                <w:b/>
              </w:rPr>
              <w:t>OK</w:t>
            </w:r>
            <w:r>
              <w:t xml:space="preserve"> when all TRs are selected to save them to the patient’s record.</w:t>
            </w:r>
          </w:p>
          <w:p w14:paraId="0E201B67" w14:textId="77777777" w:rsidR="002A21AE" w:rsidRDefault="002A21AE">
            <w:pPr>
              <w:pStyle w:val="TableTextNumbersContinued"/>
            </w:pPr>
          </w:p>
          <w:p w14:paraId="00C7E563" w14:textId="77777777" w:rsidR="002A21AE" w:rsidRDefault="002A21AE">
            <w:pPr>
              <w:pStyle w:val="TableTextNumbersContinued"/>
            </w:pPr>
            <w:r>
              <w:t xml:space="preserve">Click </w:t>
            </w:r>
            <w:r>
              <w:rPr>
                <w:b/>
              </w:rPr>
              <w:t>Yes</w:t>
            </w:r>
            <w:r>
              <w:t xml:space="preserve"> to confirm changes and exit.</w:t>
            </w:r>
          </w:p>
        </w:tc>
        <w:tc>
          <w:tcPr>
            <w:tcW w:w="6120" w:type="dxa"/>
          </w:tcPr>
          <w:p w14:paraId="0FB7A577" w14:textId="77777777" w:rsidR="002A21AE" w:rsidRDefault="002A21AE">
            <w:pPr>
              <w:pStyle w:val="TableTextBullet"/>
            </w:pPr>
            <w:r>
              <w:rPr>
                <w:rFonts w:cs="Arial"/>
                <w:vanish/>
              </w:rPr>
              <w:t xml:space="preserve">BR_38.06 </w:t>
            </w:r>
            <w:r>
              <w:t xml:space="preserve">Allows multiple selections from the Component Requirements, Antibodies Identified, and Antigen Negative tabs. </w:t>
            </w:r>
          </w:p>
          <w:p w14:paraId="135376F0" w14:textId="77777777" w:rsidR="002A21AE" w:rsidRDefault="002A21AE">
            <w:pPr>
              <w:pStyle w:val="TableText"/>
            </w:pPr>
          </w:p>
          <w:p w14:paraId="040696B7" w14:textId="404E5331" w:rsidR="002A21AE" w:rsidRDefault="002A21AE">
            <w:pPr>
              <w:pStyle w:val="TableText"/>
              <w:rPr>
                <w:b/>
                <w:bCs/>
                <w:szCs w:val="18"/>
              </w:rPr>
            </w:pPr>
            <w:r>
              <w:rPr>
                <w:b/>
                <w:bCs/>
                <w:szCs w:val="18"/>
              </w:rPr>
              <w:t>NOTES</w:t>
            </w:r>
          </w:p>
          <w:p w14:paraId="0BD0AB2F" w14:textId="77777777" w:rsidR="002A21AE" w:rsidRDefault="002A21AE">
            <w:pPr>
              <w:pStyle w:val="TableText"/>
            </w:pPr>
          </w:p>
          <w:p w14:paraId="5F43EAD9" w14:textId="77777777" w:rsidR="002A21AE" w:rsidRDefault="002A21AE">
            <w:pPr>
              <w:pStyle w:val="NotesText"/>
            </w:pPr>
            <w:r>
              <w:t>VBECS applies the TR to component classes, as indicated.</w:t>
            </w:r>
          </w:p>
          <w:p w14:paraId="4B9574F0" w14:textId="77777777" w:rsidR="002A21AE" w:rsidRDefault="002A21AE">
            <w:pPr>
              <w:pStyle w:val="NotesText"/>
            </w:pPr>
          </w:p>
          <w:p w14:paraId="3FB40523" w14:textId="77777777" w:rsidR="002A21AE" w:rsidRDefault="002A21AE">
            <w:pPr>
              <w:pStyle w:val="NotesText"/>
            </w:pPr>
            <w:r>
              <w:rPr>
                <w:rFonts w:cs="Arial"/>
                <w:vanish/>
              </w:rPr>
              <w:t xml:space="preserve">BR_38.16 </w:t>
            </w:r>
            <w:r>
              <w:t xml:space="preserve">The user may not add duplicate SIs or TRs in the same session, but may duplicate them in another session. </w:t>
            </w:r>
          </w:p>
          <w:p w14:paraId="7835E368" w14:textId="77777777" w:rsidR="002A21AE" w:rsidRDefault="002A21AE">
            <w:pPr>
              <w:pStyle w:val="NotesText"/>
            </w:pPr>
          </w:p>
          <w:p w14:paraId="466208DD" w14:textId="3D5D87D9" w:rsidR="002A21AE" w:rsidRDefault="002A21AE">
            <w:pPr>
              <w:pStyle w:val="NotesText"/>
            </w:pPr>
            <w:r>
              <w:rPr>
                <w:rFonts w:cs="Arial"/>
                <w:vanish/>
              </w:rPr>
              <w:t xml:space="preserve">BR_38.07 </w:t>
            </w:r>
            <w:r>
              <w:t xml:space="preserve">The division code and date of entry are associated with the entered component or antigen negative requirement, or antibody specificity so that other divisions will know who to contact for further information, when needed. The original entries may have been made through Patient Testing (associated with an antibody identification) or TRs from any division within a multidivisional database. </w:t>
            </w:r>
          </w:p>
        </w:tc>
      </w:tr>
      <w:tr w:rsidR="002A21AE" w14:paraId="66E4751B" w14:textId="77777777" w:rsidTr="006C058D">
        <w:trPr>
          <w:cantSplit/>
        </w:trPr>
        <w:tc>
          <w:tcPr>
            <w:tcW w:w="3240" w:type="dxa"/>
          </w:tcPr>
          <w:p w14:paraId="674A0ABF" w14:textId="2802FBDA" w:rsidR="002A21AE" w:rsidRDefault="002A21AE">
            <w:pPr>
              <w:pStyle w:val="TableTextNumbers"/>
            </w:pPr>
            <w:r>
              <w:lastRenderedPageBreak/>
              <w:t>Select the TR to be inactivated</w:t>
            </w:r>
            <w:r w:rsidR="005346F4">
              <w:t xml:space="preserve"> (</w:t>
            </w:r>
            <w:r w:rsidR="00EE455E">
              <w:t xml:space="preserve">Figure </w:t>
            </w:r>
            <w:r w:rsidR="00EE455E">
              <w:rPr>
                <w:noProof/>
              </w:rPr>
              <w:t>110</w:t>
            </w:r>
            <w:r w:rsidR="005346F4">
              <w:t>)</w:t>
            </w:r>
            <w:r>
              <w:t>.</w:t>
            </w:r>
          </w:p>
          <w:p w14:paraId="1E8B215F" w14:textId="77777777" w:rsidR="002A21AE" w:rsidRDefault="002A21AE">
            <w:pPr>
              <w:pStyle w:val="TableTextNumbersContinued"/>
            </w:pPr>
          </w:p>
          <w:p w14:paraId="5A8C0723" w14:textId="77777777" w:rsidR="002A21AE" w:rsidRDefault="002A21AE">
            <w:pPr>
              <w:pStyle w:val="TableTextNumbersContinued"/>
            </w:pPr>
            <w:r>
              <w:t xml:space="preserve">Select and/or enter an explanatory comment and click </w:t>
            </w:r>
            <w:r>
              <w:rPr>
                <w:b/>
              </w:rPr>
              <w:t>OK</w:t>
            </w:r>
            <w:r>
              <w:t xml:space="preserve">. </w:t>
            </w:r>
          </w:p>
        </w:tc>
        <w:tc>
          <w:tcPr>
            <w:tcW w:w="6120" w:type="dxa"/>
          </w:tcPr>
          <w:p w14:paraId="48FAAA72" w14:textId="77777777" w:rsidR="002A21AE" w:rsidRDefault="002A21AE">
            <w:pPr>
              <w:pStyle w:val="TableTextBullet"/>
            </w:pPr>
            <w:r>
              <w:t>Allows the user to enter a comment.</w:t>
            </w:r>
          </w:p>
          <w:p w14:paraId="5369C45C" w14:textId="77777777" w:rsidR="002A21AE" w:rsidRDefault="002A21AE">
            <w:pPr>
              <w:pStyle w:val="TableText"/>
            </w:pPr>
          </w:p>
          <w:p w14:paraId="1B9EDB4F" w14:textId="17DA5F3C" w:rsidR="002A21AE" w:rsidRDefault="002A21AE">
            <w:pPr>
              <w:pStyle w:val="TableText"/>
              <w:rPr>
                <w:b/>
                <w:bCs/>
                <w:szCs w:val="18"/>
              </w:rPr>
            </w:pPr>
            <w:r>
              <w:rPr>
                <w:b/>
                <w:bCs/>
                <w:szCs w:val="18"/>
              </w:rPr>
              <w:t>NOTES</w:t>
            </w:r>
          </w:p>
          <w:p w14:paraId="38503007" w14:textId="77777777" w:rsidR="002A21AE" w:rsidRPr="00B31C95" w:rsidRDefault="002A21AE">
            <w:pPr>
              <w:pStyle w:val="NotesText"/>
              <w:rPr>
                <w:rFonts w:cs="Arial"/>
                <w:szCs w:val="18"/>
              </w:rPr>
            </w:pPr>
          </w:p>
          <w:p w14:paraId="774F5D92" w14:textId="77777777" w:rsidR="002D516C" w:rsidRPr="00B31C95" w:rsidRDefault="002A21AE" w:rsidP="002D516C">
            <w:pPr>
              <w:pStyle w:val="TableText"/>
              <w:ind w:left="720"/>
              <w:rPr>
                <w:rFonts w:cs="Arial"/>
                <w:szCs w:val="18"/>
              </w:rPr>
            </w:pPr>
            <w:r w:rsidRPr="00B31C95">
              <w:rPr>
                <w:rFonts w:cs="Arial"/>
                <w:vanish/>
                <w:szCs w:val="18"/>
              </w:rPr>
              <w:t xml:space="preserve">BR_38.13 </w:t>
            </w:r>
            <w:r w:rsidR="002D516C" w:rsidRPr="00B31C95">
              <w:rPr>
                <w:rFonts w:cs="Arial"/>
                <w:szCs w:val="18"/>
              </w:rPr>
              <w:t xml:space="preserve">When a Transfusion Requirement is inactivated in any division in a multidivisional configuration, a comment (free text or from a canned comment with the context: </w:t>
            </w:r>
            <w:r w:rsidR="00B31C95" w:rsidRPr="00B31C95">
              <w:rPr>
                <w:rStyle w:val="StyleTableText9ptCharChar"/>
                <w:rFonts w:cs="Arial"/>
                <w:szCs w:val="18"/>
              </w:rPr>
              <w:t>Transfusion Requirement Inactivation)</w:t>
            </w:r>
            <w:r w:rsidR="00B31C95" w:rsidRPr="00B31C95">
              <w:rPr>
                <w:rFonts w:cs="Arial"/>
                <w:szCs w:val="18"/>
              </w:rPr>
              <w:t xml:space="preserve"> must be added that will be saved and printed on the audit trail of originating division alerting the originating division of the change to the patient’s TR setting if they were not consulted regarding that change. </w:t>
            </w:r>
            <w:r w:rsidR="00B31C95" w:rsidRPr="00B31C95">
              <w:rPr>
                <w:rFonts w:cs="Arial"/>
                <w:vanish/>
                <w:szCs w:val="18"/>
              </w:rPr>
              <w:t>DR 4598</w:t>
            </w:r>
          </w:p>
          <w:p w14:paraId="3AC5B2DC" w14:textId="77777777" w:rsidR="002D516C" w:rsidRPr="00B31C95" w:rsidRDefault="002D516C" w:rsidP="002D516C">
            <w:pPr>
              <w:pStyle w:val="TableText"/>
              <w:rPr>
                <w:rFonts w:cs="Arial"/>
                <w:szCs w:val="18"/>
              </w:rPr>
            </w:pPr>
          </w:p>
          <w:p w14:paraId="4D6B6F79" w14:textId="77777777" w:rsidR="002A21AE" w:rsidRPr="00B31C95" w:rsidRDefault="002D516C" w:rsidP="002D516C">
            <w:pPr>
              <w:pStyle w:val="NotesText"/>
              <w:rPr>
                <w:rFonts w:cs="Arial"/>
                <w:szCs w:val="18"/>
              </w:rPr>
            </w:pPr>
            <w:r w:rsidRPr="00B31C95">
              <w:rPr>
                <w:rFonts w:cs="Arial"/>
                <w:szCs w:val="18"/>
              </w:rPr>
              <w:t xml:space="preserve">Note:  It is best practice that inactivating a TR in the non-originating division involves a consultation with the originating division and allowing the originating to make the change with any </w:t>
            </w:r>
            <w:r w:rsidR="00B31C95" w:rsidRPr="00B31C95">
              <w:rPr>
                <w:rFonts w:cs="Arial"/>
                <w:szCs w:val="18"/>
              </w:rPr>
              <w:t>locally required documentation.</w:t>
            </w:r>
          </w:p>
          <w:p w14:paraId="2DA04EB9" w14:textId="77777777" w:rsidR="00DB7814" w:rsidRPr="00B31C95" w:rsidRDefault="00DB7814">
            <w:pPr>
              <w:pStyle w:val="NotesText"/>
              <w:rPr>
                <w:rFonts w:cs="Arial"/>
                <w:szCs w:val="18"/>
              </w:rPr>
            </w:pPr>
          </w:p>
          <w:p w14:paraId="79F8D9E8" w14:textId="77777777" w:rsidR="00DB7814" w:rsidRPr="00B31C95" w:rsidRDefault="00DB7814" w:rsidP="00DB7814">
            <w:pPr>
              <w:pStyle w:val="NotesText"/>
              <w:rPr>
                <w:rFonts w:cs="Arial"/>
                <w:szCs w:val="18"/>
              </w:rPr>
            </w:pPr>
            <w:r w:rsidRPr="00B31C95">
              <w:rPr>
                <w:rFonts w:cs="Arial"/>
                <w:szCs w:val="18"/>
              </w:rPr>
              <w:t>For inactivation of an item:</w:t>
            </w:r>
          </w:p>
          <w:p w14:paraId="5ACC9D27" w14:textId="77777777" w:rsidR="00DB7814" w:rsidRPr="00B31C95" w:rsidRDefault="00DB7814" w:rsidP="00DB7814">
            <w:pPr>
              <w:pStyle w:val="NotesTextBullet"/>
              <w:rPr>
                <w:rFonts w:cs="Arial"/>
                <w:szCs w:val="18"/>
              </w:rPr>
            </w:pPr>
            <w:r w:rsidRPr="00B31C95">
              <w:rPr>
                <w:rFonts w:cs="Arial"/>
                <w:vanish/>
                <w:szCs w:val="18"/>
              </w:rPr>
              <w:t xml:space="preserve">BR_38.09, BR_38.12, BR_38.14 </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t xml:space="preserve"> </w:t>
            </w:r>
            <w:r w:rsidRPr="00B31C95">
              <w:rPr>
                <w:rFonts w:cs="Arial"/>
                <w:szCs w:val="18"/>
              </w:rPr>
              <w:t xml:space="preserve">A Traditional Supervisor from any division may inactivate TRs and persistent antigen negative requirements in a multidivisional database regardless of the source of the TR. </w:t>
            </w:r>
          </w:p>
          <w:p w14:paraId="76B5D561" w14:textId="77777777" w:rsidR="00994FF2" w:rsidRPr="00B31C95" w:rsidRDefault="00DB7814" w:rsidP="00994FF2">
            <w:pPr>
              <w:pStyle w:val="NotesTextBullet"/>
              <w:rPr>
                <w:rFonts w:cs="Arial"/>
                <w:szCs w:val="18"/>
              </w:rPr>
            </w:pPr>
            <w:r w:rsidRPr="00B31C95">
              <w:rPr>
                <w:rFonts w:cs="Arial"/>
                <w:vanish/>
                <w:szCs w:val="18"/>
              </w:rPr>
              <w:t xml:space="preserve">BR_38.15 </w:t>
            </w:r>
            <w:r w:rsidRPr="00B31C95">
              <w:rPr>
                <w:rFonts w:cs="Arial"/>
                <w:szCs w:val="18"/>
              </w:rPr>
              <w:t>When an antibody specificity is inactivated, VBECS inactivates the corresponding calculated (VBECS-generated) antigen negative requirement.</w:t>
            </w:r>
          </w:p>
          <w:p w14:paraId="38C7DFE0" w14:textId="77777777" w:rsidR="00DB7814" w:rsidRDefault="00DB7814" w:rsidP="00994FF2">
            <w:pPr>
              <w:pStyle w:val="NotesTextBullet"/>
            </w:pPr>
            <w:r w:rsidRPr="00B31C95">
              <w:rPr>
                <w:rFonts w:cs="Arial"/>
                <w:vanish/>
                <w:szCs w:val="18"/>
              </w:rPr>
              <w:t xml:space="preserve">BR_38.11, BR_38.03 </w:t>
            </w:r>
            <w:r w:rsidRPr="00B31C95">
              <w:rPr>
                <w:rFonts w:cs="Arial"/>
                <w:szCs w:val="18"/>
              </w:rPr>
              <w:t>For antibodies identified, VBECS displays a summary of antibodies currently associated with the patient and identifies their source. Additional antibodies may be added and previously identified antibodies may be inactivated.</w:t>
            </w:r>
          </w:p>
        </w:tc>
      </w:tr>
      <w:tr w:rsidR="002A21AE" w14:paraId="69802D54" w14:textId="77777777">
        <w:tc>
          <w:tcPr>
            <w:tcW w:w="3240" w:type="dxa"/>
          </w:tcPr>
          <w:p w14:paraId="656D79C1" w14:textId="77777777" w:rsidR="002A21AE" w:rsidRDefault="002A21AE">
            <w:pPr>
              <w:pStyle w:val="TableTextNumbers"/>
            </w:pPr>
            <w:r>
              <w:t>Return to Step 2 to continue editing the patient’s TRs.</w:t>
            </w:r>
          </w:p>
        </w:tc>
        <w:tc>
          <w:tcPr>
            <w:tcW w:w="6120" w:type="dxa"/>
          </w:tcPr>
          <w:p w14:paraId="33E4BF00" w14:textId="77777777" w:rsidR="002A21AE" w:rsidRDefault="002A21AE">
            <w:pPr>
              <w:pStyle w:val="TableText"/>
            </w:pPr>
          </w:p>
        </w:tc>
      </w:tr>
      <w:tr w:rsidR="002A21AE" w14:paraId="78C0E631" w14:textId="77777777">
        <w:tc>
          <w:tcPr>
            <w:tcW w:w="3240" w:type="dxa"/>
          </w:tcPr>
          <w:p w14:paraId="7557D08B" w14:textId="77777777" w:rsidR="002A21AE" w:rsidRDefault="002A21AE">
            <w:pPr>
              <w:pStyle w:val="TableTextNumbers"/>
            </w:pPr>
            <w:r>
              <w:t xml:space="preserve">Accept entries and exit, or </w:t>
            </w:r>
          </w:p>
          <w:p w14:paraId="44E86D51" w14:textId="77777777" w:rsidR="002A21AE" w:rsidRDefault="002A21AE">
            <w:pPr>
              <w:pStyle w:val="TableTextNumbersContinued"/>
            </w:pPr>
          </w:p>
          <w:p w14:paraId="23B689FB" w14:textId="77777777" w:rsidR="002A21AE" w:rsidRDefault="002A21AE">
            <w:pPr>
              <w:pStyle w:val="TableTextNumbersContinued"/>
            </w:pPr>
            <w:r>
              <w:t xml:space="preserve">Return to Step 1 to make entries for a different patient.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CD81596" w14:textId="77777777" w:rsidR="002A21AE" w:rsidRDefault="002A21AE">
            <w:pPr>
              <w:pStyle w:val="TableText"/>
            </w:pPr>
          </w:p>
        </w:tc>
      </w:tr>
    </w:tbl>
    <w:p w14:paraId="1B4BE9AD" w14:textId="75841549" w:rsidR="00994FF2" w:rsidRDefault="00994FF2" w:rsidP="00994FF2">
      <w:pPr>
        <w:pStyle w:val="Caption"/>
      </w:pPr>
      <w:bookmarkStart w:id="506" w:name="_Ref12709492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110</w:t>
      </w:r>
      <w:r w:rsidR="004E20BD">
        <w:rPr>
          <w:noProof/>
        </w:rPr>
        <w:fldChar w:fldCharType="end"/>
      </w:r>
      <w:bookmarkEnd w:id="506"/>
      <w:r>
        <w:t>: Enter Patient Special Instructions and Transfusion Requirements</w:t>
      </w:r>
    </w:p>
    <w:p w14:paraId="4A505FB3" w14:textId="77777777" w:rsidR="00994FF2" w:rsidRDefault="00057948" w:rsidP="00994FF2">
      <w:pPr>
        <w:pStyle w:val="BodyText"/>
      </w:pPr>
      <w:r>
        <w:rPr>
          <w:noProof/>
        </w:rPr>
        <w:drawing>
          <wp:inline distT="0" distB="0" distL="0" distR="0" wp14:anchorId="3D79FB35" wp14:editId="27DC2993">
            <wp:extent cx="5597525" cy="4313555"/>
            <wp:effectExtent l="0" t="0" r="3175" b="0"/>
            <wp:docPr id="253" name="Picture 253" descr="Example of Enter Patient Special Instructions and Transfusion Requiremen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Example of Enter Patient Special Instructions and Transfusion Requirements screen captur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97525" cy="4313555"/>
                    </a:xfrm>
                    <a:prstGeom prst="rect">
                      <a:avLst/>
                    </a:prstGeom>
                    <a:noFill/>
                    <a:ln>
                      <a:noFill/>
                    </a:ln>
                  </pic:spPr>
                </pic:pic>
              </a:graphicData>
            </a:graphic>
          </wp:inline>
        </w:drawing>
      </w:r>
    </w:p>
    <w:p w14:paraId="0874254E" w14:textId="0AA01329" w:rsidR="005346F4" w:rsidRDefault="005346F4" w:rsidP="005346F4">
      <w:pPr>
        <w:pStyle w:val="Caption"/>
      </w:pPr>
      <w:bookmarkStart w:id="507" w:name="_Ref12709516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111</w:t>
      </w:r>
      <w:r w:rsidR="004E20BD">
        <w:rPr>
          <w:noProof/>
        </w:rPr>
        <w:fldChar w:fldCharType="end"/>
      </w:r>
      <w:bookmarkEnd w:id="507"/>
      <w:r>
        <w:t>: Inactivate Component Requirements</w:t>
      </w:r>
    </w:p>
    <w:p w14:paraId="6AC7DB8E" w14:textId="77777777" w:rsidR="005346F4" w:rsidRDefault="00057948" w:rsidP="00994FF2">
      <w:pPr>
        <w:pStyle w:val="BodyText"/>
      </w:pPr>
      <w:r>
        <w:rPr>
          <w:noProof/>
        </w:rPr>
        <w:drawing>
          <wp:inline distT="0" distB="0" distL="0" distR="0" wp14:anchorId="209B9378" wp14:editId="0A144DA5">
            <wp:extent cx="5717540" cy="5089525"/>
            <wp:effectExtent l="0" t="0" r="0" b="0"/>
            <wp:docPr id="254" name="Picture 254" descr="Example of Inactivate Component Requremen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Example of Inactivate Component Requrements screen captur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17540" cy="5089525"/>
                    </a:xfrm>
                    <a:prstGeom prst="rect">
                      <a:avLst/>
                    </a:prstGeom>
                    <a:noFill/>
                    <a:ln>
                      <a:noFill/>
                    </a:ln>
                  </pic:spPr>
                </pic:pic>
              </a:graphicData>
            </a:graphic>
          </wp:inline>
        </w:drawing>
      </w:r>
    </w:p>
    <w:p w14:paraId="103EB599" w14:textId="77777777" w:rsidR="002A21AE" w:rsidRDefault="002A21AE">
      <w:pPr>
        <w:pStyle w:val="Heading3"/>
      </w:pPr>
      <w:r>
        <w:br w:type="page"/>
      </w:r>
      <w:bookmarkStart w:id="508" w:name="_Toc163644959"/>
      <w:r>
        <w:lastRenderedPageBreak/>
        <w:t>Special Instructions &amp; Transfusion Requirements: Enter and Remove Special Instructions</w:t>
      </w:r>
      <w:bookmarkEnd w:id="508"/>
      <w:r>
        <w:fldChar w:fldCharType="begin"/>
      </w:r>
      <w:r>
        <w:instrText xml:space="preserve"> XE </w:instrText>
      </w:r>
      <w:r w:rsidR="00FA7E65">
        <w:instrText>“</w:instrText>
      </w:r>
      <w:r>
        <w:instrText>Special Instructions &amp; Transfusion Requirements\: Enter and Remove Special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UC_37</w:t>
      </w:r>
    </w:p>
    <w:p w14:paraId="50C96E58" w14:textId="77777777" w:rsidR="002A21AE" w:rsidRDefault="002A21AE" w:rsidP="00FA7E65">
      <w:pPr>
        <w:pStyle w:val="BodyText"/>
      </w:pPr>
      <w:r>
        <w:t>The user enter</w:t>
      </w:r>
      <w:r w:rsidR="007C7B3C">
        <w:t>s</w:t>
      </w:r>
      <w:r>
        <w:t xml:space="preserve"> comments in a patient’s file that are not enforced by VBECS.</w:t>
      </w:r>
    </w:p>
    <w:p w14:paraId="5A9B15E9" w14:textId="77777777" w:rsidR="002A21AE" w:rsidRDefault="002A21AE">
      <w:pPr>
        <w:pStyle w:val="Heading4"/>
      </w:pPr>
      <w:r>
        <w:t>Assumptions</w:t>
      </w:r>
      <w:r>
        <w:rPr>
          <w:b w:val="0"/>
        </w:rPr>
        <w:t xml:space="preserve"> </w:t>
      </w:r>
    </w:p>
    <w:p w14:paraId="0AA473B9" w14:textId="77777777" w:rsidR="002A21AE" w:rsidRDefault="002A21AE">
      <w:pPr>
        <w:pStyle w:val="ListBullet"/>
      </w:pPr>
      <w:r>
        <w:t>Fields containing Special Instructions (SIs) may be populated during database conversion.</w:t>
      </w:r>
    </w:p>
    <w:p w14:paraId="61F83F25" w14:textId="77777777" w:rsidR="002A21AE" w:rsidRDefault="002A21AE">
      <w:pPr>
        <w:pStyle w:val="Heading4"/>
      </w:pPr>
      <w:r>
        <w:t xml:space="preserve">Outcome </w:t>
      </w:r>
    </w:p>
    <w:p w14:paraId="0B9B5E76" w14:textId="77777777" w:rsidR="002A21AE" w:rsidRDefault="002A21AE">
      <w:pPr>
        <w:pStyle w:val="ListBullet"/>
      </w:pPr>
      <w:r>
        <w:t xml:space="preserve">When the user searches for a patient or when the Patient Information Toolbar is displayed, VBECS displays </w:t>
      </w:r>
      <w:r w:rsidR="00057948">
        <w:rPr>
          <w:noProof/>
        </w:rPr>
        <w:drawing>
          <wp:inline distT="0" distB="0" distL="0" distR="0" wp14:anchorId="292C7C10" wp14:editId="564C1413">
            <wp:extent cx="156845" cy="156845"/>
            <wp:effectExtent l="0" t="0" r="0" b="0"/>
            <wp:docPr id="255" name="Picture 255"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alert the user to view the patient’s SI entries.</w:t>
      </w:r>
    </w:p>
    <w:p w14:paraId="62839D8C" w14:textId="77777777" w:rsidR="002A21AE" w:rsidRDefault="002A21AE">
      <w:pPr>
        <w:pStyle w:val="ListBullet"/>
      </w:pPr>
      <w:r>
        <w:t>When a user retrieves a patient record and is in a multidivisional setting, he may view SIs created in all divisions within the database.</w:t>
      </w:r>
    </w:p>
    <w:p w14:paraId="6E3FE50A" w14:textId="77777777" w:rsidR="002A21AE" w:rsidRDefault="002A21AE">
      <w:pPr>
        <w:pStyle w:val="Heading4"/>
      </w:pPr>
      <w:r>
        <w:t>Limitations and Restrictions</w:t>
      </w:r>
      <w:r>
        <w:rPr>
          <w:b w:val="0"/>
        </w:rPr>
        <w:t xml:space="preserve"> </w:t>
      </w:r>
    </w:p>
    <w:p w14:paraId="2442A107" w14:textId="77777777" w:rsidR="002A21AE" w:rsidRDefault="00F632F2">
      <w:pPr>
        <w:pStyle w:val="ListBullet"/>
      </w:pPr>
      <w:r>
        <w:t xml:space="preserve">VBECS does not enforce </w:t>
      </w:r>
      <w:r w:rsidR="002A21AE">
        <w:t xml:space="preserve">Transfusion Requirements (TRs) or antigen negative requirements </w:t>
      </w:r>
      <w:r>
        <w:t xml:space="preserve">entered </w:t>
      </w:r>
      <w:r w:rsidR="002A21AE">
        <w:t>through this option.</w:t>
      </w:r>
    </w:p>
    <w:p w14:paraId="2B284EB4" w14:textId="77777777" w:rsidR="002A21AE" w:rsidRDefault="002A21AE">
      <w:pPr>
        <w:pStyle w:val="ListBullet"/>
      </w:pPr>
      <w:r>
        <w:t xml:space="preserve">SIs moved to VBECS during the </w:t>
      </w:r>
      <w:r w:rsidR="00150930">
        <w:t>database conversion</w:t>
      </w:r>
      <w:r>
        <w:t xml:space="preserve"> </w:t>
      </w:r>
      <w:r w:rsidR="009A4A6D">
        <w:t xml:space="preserve">may contain information that must </w:t>
      </w:r>
      <w:r>
        <w:t xml:space="preserve">be entered as TRs in VBECS. Inactivate the old SI and create a TR and new updated SI: the </w:t>
      </w:r>
      <w:r w:rsidR="00150930">
        <w:t>database conversion</w:t>
      </w:r>
      <w:r>
        <w:t xml:space="preserve"> software cannot automatically translate the SI from database conversion into a rule-based TR.</w:t>
      </w:r>
    </w:p>
    <w:p w14:paraId="44601BF8" w14:textId="77777777" w:rsidR="002A21AE" w:rsidRDefault="009333B1">
      <w:pPr>
        <w:pStyle w:val="ListBullet"/>
      </w:pPr>
      <w:r>
        <w:t xml:space="preserve">VBECS will truncate </w:t>
      </w:r>
      <w:r w:rsidR="00DB7814">
        <w:t xml:space="preserve">SI text from </w:t>
      </w:r>
      <w:r w:rsidR="00837204">
        <w:t xml:space="preserve">the </w:t>
      </w:r>
      <w:r w:rsidR="00DB7814">
        <w:t xml:space="preserve">VistA </w:t>
      </w:r>
      <w:r w:rsidR="00150930">
        <w:t>database conversion</w:t>
      </w:r>
      <w:r w:rsidR="002A21AE">
        <w:t>.</w:t>
      </w:r>
    </w:p>
    <w:p w14:paraId="361DC4FF" w14:textId="77777777" w:rsidR="002A21AE" w:rsidRDefault="002A21AE">
      <w:pPr>
        <w:pStyle w:val="Heading4"/>
      </w:pPr>
      <w:r>
        <w:t>Additional Information</w:t>
      </w:r>
    </w:p>
    <w:p w14:paraId="2F1B448D" w14:textId="77777777" w:rsidR="002A21AE" w:rsidRDefault="002A21AE">
      <w:pPr>
        <w:pStyle w:val="ListBullet"/>
      </w:pPr>
      <w:r>
        <w:t xml:space="preserve">Inactivation of patient SI entries is allowed only in the division of entry. </w:t>
      </w:r>
    </w:p>
    <w:p w14:paraId="4421ADDD" w14:textId="77777777" w:rsidR="002A21AE" w:rsidRDefault="002A21AE">
      <w:pPr>
        <w:pStyle w:val="ListBullet"/>
      </w:pPr>
      <w:r>
        <w:t xml:space="preserve">Only currently active SIs at a division will automatically display via the database to all divisions. </w:t>
      </w:r>
    </w:p>
    <w:p w14:paraId="5B17CC8D" w14:textId="77777777" w:rsidR="002A21AE" w:rsidRDefault="002A21AE">
      <w:pPr>
        <w:pStyle w:val="ListBullet"/>
      </w:pPr>
      <w:r>
        <w:t xml:space="preserve">Inactive SIs are not deleted from the VBECS database. They may not be reactivated but may be viewed in the maintenance fields when requested. </w:t>
      </w:r>
    </w:p>
    <w:p w14:paraId="3B0F3230" w14:textId="77777777" w:rsidR="002A21AE" w:rsidRDefault="002A21AE">
      <w:pPr>
        <w:pStyle w:val="ListBullet"/>
      </w:pPr>
      <w:r>
        <w:t xml:space="preserve">Canned comments in the Special Instructions context must be entered by the division before they can be selected for use. </w:t>
      </w:r>
    </w:p>
    <w:p w14:paraId="510523AB" w14:textId="77777777" w:rsidR="002A21AE" w:rsidRDefault="002A21AE">
      <w:pPr>
        <w:pStyle w:val="ListBullet"/>
      </w:pPr>
      <w:r>
        <w:rPr>
          <w:rFonts w:ascii="Arial" w:hAnsi="Arial" w:cs="Arial"/>
          <w:vanish/>
          <w:spacing w:val="0"/>
          <w:sz w:val="18"/>
        </w:rPr>
        <w:t xml:space="preserve">BR_37.03 </w:t>
      </w:r>
      <w:r>
        <w:t>Previously saved Special Instructions that require editing due to context or spelling errors must be inactivated and reentered in total.</w:t>
      </w:r>
    </w:p>
    <w:p w14:paraId="4D3634DB" w14:textId="77777777" w:rsidR="002A21AE" w:rsidRDefault="00150930">
      <w:pPr>
        <w:pStyle w:val="ListBullet"/>
      </w:pPr>
      <w:r>
        <w:t>Database conversion</w:t>
      </w:r>
      <w:r w:rsidR="002A21AE">
        <w:t xml:space="preserve"> entries are labeled as such. </w:t>
      </w:r>
      <w:r w:rsidR="002A21AE">
        <w:rPr>
          <w:rFonts w:ascii="Arial" w:hAnsi="Arial" w:cs="Arial"/>
          <w:vanish/>
          <w:spacing w:val="0"/>
          <w:sz w:val="18"/>
        </w:rPr>
        <w:t xml:space="preserve">BR_37.05 </w:t>
      </w:r>
    </w:p>
    <w:p w14:paraId="33969851" w14:textId="77777777" w:rsidR="002A21AE" w:rsidRDefault="002A21AE">
      <w:pPr>
        <w:pStyle w:val="ListBullet"/>
      </w:pPr>
      <w:r>
        <w:t>SIs from database conversion may include component or antigen negative requirements that must be entered in TRs so that VBECS can enforce them.</w:t>
      </w:r>
    </w:p>
    <w:p w14:paraId="335E1E56" w14:textId="77777777" w:rsidR="002A21AE" w:rsidRDefault="002A21AE">
      <w:pPr>
        <w:pStyle w:val="Heading4"/>
        <w:rPr>
          <w:b w:val="0"/>
        </w:rPr>
      </w:pPr>
      <w:r>
        <w:t>User Roles with Access to This Option</w:t>
      </w:r>
      <w:r>
        <w:rPr>
          <w:b w:val="0"/>
        </w:rPr>
        <w:t xml:space="preserve"> </w:t>
      </w:r>
    </w:p>
    <w:p w14:paraId="3CBEAAF3" w14:textId="77777777" w:rsidR="001C7911" w:rsidRDefault="001C7911" w:rsidP="001C7911">
      <w:pPr>
        <w:pStyle w:val="Roles"/>
      </w:pPr>
      <w:r>
        <w:t>All users</w:t>
      </w:r>
    </w:p>
    <w:p w14:paraId="03B103B7" w14:textId="77777777" w:rsidR="00F3651E" w:rsidRDefault="00F3651E">
      <w:pPr>
        <w:rPr>
          <w:rFonts w:ascii="Arial" w:hAnsi="Arial"/>
          <w:b/>
          <w:sz w:val="22"/>
        </w:rPr>
      </w:pPr>
      <w:r>
        <w:br w:type="page"/>
      </w:r>
    </w:p>
    <w:p w14:paraId="79B100B8" w14:textId="325F0E36" w:rsidR="002A21AE" w:rsidRDefault="002A21AE">
      <w:pPr>
        <w:pStyle w:val="Heading4"/>
      </w:pPr>
      <w:r>
        <w:lastRenderedPageBreak/>
        <w:t>Special Instructions &amp; Transfusion Requirements: Enter a Special Instruction</w:t>
      </w:r>
    </w:p>
    <w:p w14:paraId="167587E2" w14:textId="77777777" w:rsidR="002A21AE" w:rsidRDefault="002A21AE" w:rsidP="00FA7E65">
      <w:pPr>
        <w:pStyle w:val="BodyText"/>
      </w:pPr>
      <w:r>
        <w:t>A user may add to and inactivate SI comments in a patient’s blood bank record. Users in all divisions in a multidivisional database may view these comments.</w:t>
      </w: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60A067" w14:textId="77777777">
        <w:tc>
          <w:tcPr>
            <w:tcW w:w="3240" w:type="dxa"/>
            <w:shd w:val="pct30" w:color="auto" w:fill="FFFFFF"/>
            <w:vAlign w:val="bottom"/>
          </w:tcPr>
          <w:p w14:paraId="35EAB874" w14:textId="77777777" w:rsidR="002A21AE" w:rsidRDefault="002A21AE">
            <w:pPr>
              <w:pStyle w:val="TableText"/>
              <w:rPr>
                <w:b/>
              </w:rPr>
            </w:pPr>
            <w:r>
              <w:rPr>
                <w:b/>
              </w:rPr>
              <w:t>User Action</w:t>
            </w:r>
          </w:p>
        </w:tc>
        <w:tc>
          <w:tcPr>
            <w:tcW w:w="6120" w:type="dxa"/>
            <w:shd w:val="pct30" w:color="auto" w:fill="FFFFFF"/>
            <w:vAlign w:val="bottom"/>
          </w:tcPr>
          <w:p w14:paraId="08B2FB55" w14:textId="77777777" w:rsidR="002A21AE" w:rsidRDefault="002A21AE">
            <w:pPr>
              <w:pStyle w:val="TableText"/>
              <w:rPr>
                <w:b/>
              </w:rPr>
            </w:pPr>
            <w:r>
              <w:rPr>
                <w:b/>
              </w:rPr>
              <w:t>VBECS</w:t>
            </w:r>
          </w:p>
        </w:tc>
      </w:tr>
      <w:tr w:rsidR="002A21AE" w14:paraId="02588AFD" w14:textId="77777777">
        <w:tc>
          <w:tcPr>
            <w:tcW w:w="3240" w:type="dxa"/>
          </w:tcPr>
          <w:p w14:paraId="76F675EB" w14:textId="77777777" w:rsidR="002A21AE" w:rsidRDefault="002A21AE">
            <w:pPr>
              <w:pStyle w:val="TableTextNumbers"/>
            </w:pPr>
            <w:r>
              <w:t xml:space="preserve">Select </w:t>
            </w:r>
            <w:r>
              <w:rPr>
                <w:b/>
              </w:rPr>
              <w:t>Patients</w:t>
            </w:r>
            <w:r>
              <w:t xml:space="preserve"> from the main menu.</w:t>
            </w:r>
          </w:p>
          <w:p w14:paraId="6816A4CA" w14:textId="77777777" w:rsidR="002A21AE" w:rsidRDefault="002A21AE">
            <w:pPr>
              <w:pStyle w:val="TableTextNumbersContinued"/>
            </w:pPr>
          </w:p>
          <w:p w14:paraId="47BCD34A" w14:textId="77777777" w:rsidR="002A21AE" w:rsidRDefault="002A21AE">
            <w:pPr>
              <w:pStyle w:val="TableTextNumbersContinued"/>
            </w:pPr>
            <w:r>
              <w:t xml:space="preserve">Select </w:t>
            </w:r>
            <w:r>
              <w:rPr>
                <w:b/>
              </w:rPr>
              <w:t>Special Instructions &amp; Transfusion Requirements</w:t>
            </w:r>
            <w:r>
              <w:t>, or</w:t>
            </w:r>
          </w:p>
          <w:p w14:paraId="3202AC07" w14:textId="77777777" w:rsidR="002A21AE" w:rsidRDefault="002A21AE">
            <w:pPr>
              <w:pStyle w:val="TableTextNumbersContinued"/>
            </w:pPr>
          </w:p>
          <w:p w14:paraId="2B8E62D5" w14:textId="77777777" w:rsidR="002A21AE" w:rsidRDefault="002A21AE">
            <w:pPr>
              <w:pStyle w:val="TableTextNumbersContinued"/>
            </w:pPr>
            <w:r>
              <w:t xml:space="preserve">Click </w:t>
            </w:r>
            <w:r w:rsidR="00057948">
              <w:rPr>
                <w:noProof/>
              </w:rPr>
              <w:drawing>
                <wp:inline distT="0" distB="0" distL="0" distR="0" wp14:anchorId="5E7B25C4" wp14:editId="1FAE4755">
                  <wp:extent cx="156845" cy="156845"/>
                  <wp:effectExtent l="0" t="0" r="0" b="0"/>
                  <wp:docPr id="256" name="Picture 256"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displayed.</w:t>
            </w:r>
          </w:p>
        </w:tc>
        <w:tc>
          <w:tcPr>
            <w:tcW w:w="6120" w:type="dxa"/>
          </w:tcPr>
          <w:p w14:paraId="10725A80" w14:textId="77777777" w:rsidR="002A21AE" w:rsidRDefault="002A21AE">
            <w:pPr>
              <w:pStyle w:val="TableTextBullet"/>
            </w:pPr>
            <w:r>
              <w:t>Displays options for processing patient-related functions.</w:t>
            </w:r>
          </w:p>
          <w:p w14:paraId="0E06A12B" w14:textId="77777777" w:rsidR="002A21AE" w:rsidRDefault="002A21AE">
            <w:pPr>
              <w:pStyle w:val="TableTextBullet"/>
            </w:pPr>
            <w:r>
              <w:t xml:space="preserve">Displays the option to select a patient, if one is not already selected. </w:t>
            </w:r>
          </w:p>
          <w:p w14:paraId="2F6198BB" w14:textId="77777777" w:rsidR="002A21AE" w:rsidRDefault="002A21AE">
            <w:pPr>
              <w:pStyle w:val="TableText"/>
              <w:rPr>
                <w:b/>
                <w:bCs/>
                <w:szCs w:val="18"/>
              </w:rPr>
            </w:pPr>
          </w:p>
          <w:p w14:paraId="4E2D1AEB" w14:textId="2F8451DF" w:rsidR="002A21AE" w:rsidRDefault="002A21AE">
            <w:pPr>
              <w:pStyle w:val="TableText"/>
              <w:rPr>
                <w:b/>
                <w:bCs/>
                <w:szCs w:val="18"/>
              </w:rPr>
            </w:pPr>
            <w:r>
              <w:rPr>
                <w:b/>
                <w:bCs/>
                <w:szCs w:val="18"/>
              </w:rPr>
              <w:t>NOTES</w:t>
            </w:r>
          </w:p>
          <w:p w14:paraId="336E932C" w14:textId="77777777" w:rsidR="002A21AE" w:rsidRDefault="002A21AE">
            <w:pPr>
              <w:pStyle w:val="NotesText"/>
            </w:pPr>
          </w:p>
          <w:p w14:paraId="3410C4BE" w14:textId="77777777" w:rsidR="002A21AE" w:rsidRDefault="002A21AE">
            <w:pPr>
              <w:pStyle w:val="NotesText"/>
            </w:pPr>
            <w:r>
              <w:t xml:space="preserve">The user may also click </w:t>
            </w:r>
            <w:r>
              <w:rPr>
                <w:b/>
              </w:rPr>
              <w:t>New SI or TR</w:t>
            </w:r>
            <w:r>
              <w:t xml:space="preserve"> in Patient Testing to access this option.</w:t>
            </w:r>
          </w:p>
        </w:tc>
      </w:tr>
      <w:tr w:rsidR="002A21AE" w14:paraId="2F7F3CAA" w14:textId="77777777">
        <w:tc>
          <w:tcPr>
            <w:tcW w:w="3240" w:type="dxa"/>
          </w:tcPr>
          <w:p w14:paraId="19D8B6D9" w14:textId="77777777" w:rsidR="002A21AE" w:rsidRDefault="002A21AE">
            <w:pPr>
              <w:pStyle w:val="TableTextNumbers"/>
            </w:pPr>
            <w:r>
              <w:t>Select a patient.</w:t>
            </w:r>
          </w:p>
          <w:p w14:paraId="29EB5962" w14:textId="77777777" w:rsidR="00DA5ED4" w:rsidRDefault="00DA5ED4" w:rsidP="00DA5ED4">
            <w:pPr>
              <w:pStyle w:val="TableTextNumbersContinued"/>
            </w:pPr>
          </w:p>
          <w:p w14:paraId="44D0D812" w14:textId="77777777" w:rsidR="00DA5ED4" w:rsidRDefault="00DA5ED4" w:rsidP="00DA5ED4">
            <w:pPr>
              <w:pStyle w:val="TableTextNumbersContinued"/>
            </w:pPr>
            <w:r>
              <w:t xml:space="preserve">Click </w:t>
            </w:r>
            <w:r w:rsidRPr="00DA5ED4">
              <w:rPr>
                <w:b/>
              </w:rPr>
              <w:t>OK</w:t>
            </w:r>
            <w:r>
              <w:t>.</w:t>
            </w:r>
          </w:p>
        </w:tc>
        <w:tc>
          <w:tcPr>
            <w:tcW w:w="6120" w:type="dxa"/>
          </w:tcPr>
          <w:p w14:paraId="1AFE11B8" w14:textId="77777777" w:rsidR="002A21AE" w:rsidRDefault="002A21AE">
            <w:pPr>
              <w:pStyle w:val="TableTextBullet"/>
            </w:pPr>
            <w:r>
              <w:t>Displays options to select a patient.</w:t>
            </w:r>
          </w:p>
          <w:p w14:paraId="1FFA77E4" w14:textId="77777777" w:rsidR="002A21AE" w:rsidRDefault="002A21AE">
            <w:pPr>
              <w:pStyle w:val="TableTextBullet"/>
            </w:pPr>
            <w:r>
              <w:t>Displays the option to enter a new comment or remove an existing comment in the division.</w:t>
            </w:r>
          </w:p>
          <w:p w14:paraId="66D63A92" w14:textId="77777777" w:rsidR="002A21AE" w:rsidRDefault="002A21AE">
            <w:pPr>
              <w:pStyle w:val="TableTextBullet"/>
            </w:pPr>
            <w:r>
              <w:t>Displays the active SI entries in reverse chronological order with all active SIs first, along with date, division code, and text of the entry.</w:t>
            </w:r>
          </w:p>
          <w:p w14:paraId="4391DD96" w14:textId="77777777" w:rsidR="002A21AE" w:rsidRDefault="002A21AE">
            <w:pPr>
              <w:pStyle w:val="TableText"/>
            </w:pPr>
          </w:p>
          <w:p w14:paraId="4DEEA892" w14:textId="0245A006" w:rsidR="002A21AE" w:rsidRDefault="002A21AE">
            <w:pPr>
              <w:pStyle w:val="TableText"/>
              <w:rPr>
                <w:b/>
                <w:bCs/>
                <w:szCs w:val="18"/>
              </w:rPr>
            </w:pPr>
            <w:r>
              <w:rPr>
                <w:b/>
                <w:bCs/>
                <w:szCs w:val="18"/>
              </w:rPr>
              <w:t>NOTES</w:t>
            </w:r>
          </w:p>
          <w:p w14:paraId="57C5C427" w14:textId="77777777" w:rsidR="002A21AE" w:rsidRDefault="002A21AE">
            <w:pPr>
              <w:pStyle w:val="NotesText"/>
            </w:pPr>
          </w:p>
          <w:p w14:paraId="5902E136" w14:textId="77777777" w:rsidR="002A21AE" w:rsidRDefault="002A21AE">
            <w:pPr>
              <w:pStyle w:val="NotesText"/>
            </w:pPr>
            <w:r>
              <w:t>The need for SIs is usually temporary and may not be required for all transfusions.</w:t>
            </w:r>
          </w:p>
          <w:p w14:paraId="5E86B4AC" w14:textId="77777777" w:rsidR="002A21AE" w:rsidRDefault="002A21AE">
            <w:pPr>
              <w:pStyle w:val="NotesText"/>
            </w:pPr>
          </w:p>
          <w:p w14:paraId="70CE2570" w14:textId="77777777" w:rsidR="002A21AE" w:rsidRDefault="002A21AE">
            <w:pPr>
              <w:pStyle w:val="NotesText"/>
            </w:pPr>
            <w:r>
              <w:t>The user may choose to display inactivated SI comments.</w:t>
            </w:r>
          </w:p>
        </w:tc>
      </w:tr>
      <w:tr w:rsidR="002A21AE" w14:paraId="7250B8E1" w14:textId="77777777">
        <w:tc>
          <w:tcPr>
            <w:tcW w:w="3240" w:type="dxa"/>
          </w:tcPr>
          <w:p w14:paraId="3F470CB7" w14:textId="41A4EC2A" w:rsidR="002A21AE" w:rsidRDefault="002A21AE">
            <w:pPr>
              <w:pStyle w:val="TableTextNumbers"/>
            </w:pPr>
            <w:r>
              <w:t xml:space="preserve">Select the </w:t>
            </w:r>
            <w:r>
              <w:rPr>
                <w:b/>
              </w:rPr>
              <w:t xml:space="preserve">Special Instructions </w:t>
            </w:r>
            <w:r w:rsidRPr="00CC3C89">
              <w:t>tab</w:t>
            </w:r>
            <w:r w:rsidR="00DA5ED4" w:rsidRPr="00CC3C89">
              <w:t xml:space="preserve"> </w:t>
            </w:r>
            <w:r w:rsidR="00DA5ED4" w:rsidRPr="00DA5ED4">
              <w:t>(</w:t>
            </w:r>
            <w:r w:rsidR="00EE455E">
              <w:t xml:space="preserve">Figure </w:t>
            </w:r>
            <w:r w:rsidR="00EE455E">
              <w:rPr>
                <w:noProof/>
              </w:rPr>
              <w:t>111</w:t>
            </w:r>
            <w:r w:rsidR="00DA5ED4" w:rsidRPr="00DA5ED4">
              <w:t>)</w:t>
            </w:r>
            <w:r>
              <w:t>.</w:t>
            </w:r>
          </w:p>
          <w:p w14:paraId="23BFA2D9" w14:textId="77777777" w:rsidR="00595334" w:rsidRDefault="00595334" w:rsidP="00595334">
            <w:pPr>
              <w:pStyle w:val="TableTextNumbersContinued"/>
            </w:pPr>
          </w:p>
          <w:p w14:paraId="09D7148F" w14:textId="761517D6" w:rsidR="00595334" w:rsidRDefault="00595334" w:rsidP="00595334">
            <w:pPr>
              <w:pStyle w:val="TableTextNumbersContinued"/>
            </w:pPr>
            <w:r>
              <w:t xml:space="preserve">Click the </w:t>
            </w:r>
            <w:r>
              <w:rPr>
                <w:b/>
              </w:rPr>
              <w:t xml:space="preserve">Show </w:t>
            </w:r>
            <w:r w:rsidR="00DB1399">
              <w:rPr>
                <w:b/>
              </w:rPr>
              <w:t>I</w:t>
            </w:r>
            <w:r>
              <w:rPr>
                <w:b/>
              </w:rPr>
              <w:t xml:space="preserve">nactive </w:t>
            </w:r>
            <w:r w:rsidR="00DB1399">
              <w:rPr>
                <w:b/>
              </w:rPr>
              <w:t>S</w:t>
            </w:r>
            <w:r>
              <w:rPr>
                <w:b/>
              </w:rPr>
              <w:t xml:space="preserve">pecial </w:t>
            </w:r>
            <w:r w:rsidR="00DB1399">
              <w:rPr>
                <w:b/>
              </w:rPr>
              <w:t>I</w:t>
            </w:r>
            <w:r>
              <w:rPr>
                <w:b/>
              </w:rPr>
              <w:t>nstructions</w:t>
            </w:r>
            <w:r>
              <w:t xml:space="preserve"> </w:t>
            </w:r>
            <w:r w:rsidRPr="00D1100E">
              <w:t>check box</w:t>
            </w:r>
            <w:r>
              <w:t xml:space="preserve"> to display inactivated SI entries.</w:t>
            </w:r>
          </w:p>
          <w:p w14:paraId="1B3C6E7E" w14:textId="77777777" w:rsidR="00595334" w:rsidRDefault="00595334" w:rsidP="005A1FF9">
            <w:pPr>
              <w:pStyle w:val="TableTextNumbers"/>
              <w:numPr>
                <w:ilvl w:val="0"/>
                <w:numId w:val="0"/>
              </w:numPr>
            </w:pPr>
          </w:p>
        </w:tc>
        <w:tc>
          <w:tcPr>
            <w:tcW w:w="6120" w:type="dxa"/>
          </w:tcPr>
          <w:p w14:paraId="7867A89E" w14:textId="77777777" w:rsidR="002A21AE" w:rsidRDefault="002A21AE">
            <w:pPr>
              <w:pStyle w:val="TableTextBullet"/>
            </w:pPr>
            <w:r>
              <w:t>Allows the user to enter or inactivate comments.</w:t>
            </w:r>
          </w:p>
          <w:p w14:paraId="3BBCB53A" w14:textId="77777777" w:rsidR="00595334" w:rsidRDefault="00595334">
            <w:pPr>
              <w:pStyle w:val="TableTextBullet"/>
            </w:pPr>
            <w:r>
              <w:t xml:space="preserve">Displays inactive Special Instructions </w:t>
            </w:r>
            <w:r w:rsidR="00E12CB9">
              <w:t>but</w:t>
            </w:r>
            <w:r>
              <w:t xml:space="preserve"> </w:t>
            </w:r>
            <w:r w:rsidR="00E12CB9">
              <w:t>does not allow</w:t>
            </w:r>
            <w:r>
              <w:t xml:space="preserve"> the user to reactivate them.</w:t>
            </w:r>
          </w:p>
          <w:p w14:paraId="5181476A" w14:textId="77777777" w:rsidR="002A21AE" w:rsidRDefault="002A21AE">
            <w:pPr>
              <w:pStyle w:val="TableText"/>
            </w:pPr>
          </w:p>
          <w:p w14:paraId="679D8313" w14:textId="4418A8A6" w:rsidR="002A21AE" w:rsidRDefault="002A21AE">
            <w:pPr>
              <w:pStyle w:val="TableText"/>
              <w:rPr>
                <w:b/>
                <w:bCs/>
                <w:szCs w:val="18"/>
              </w:rPr>
            </w:pPr>
            <w:r>
              <w:rPr>
                <w:b/>
                <w:bCs/>
                <w:szCs w:val="18"/>
              </w:rPr>
              <w:t>NOTES</w:t>
            </w:r>
          </w:p>
          <w:p w14:paraId="20BA5A61" w14:textId="77777777" w:rsidR="002A21AE" w:rsidRDefault="002A21AE">
            <w:pPr>
              <w:pStyle w:val="NotesText"/>
            </w:pPr>
          </w:p>
          <w:p w14:paraId="2829F2FD" w14:textId="77777777" w:rsidR="002A21AE" w:rsidRDefault="002A21AE">
            <w:pPr>
              <w:pStyle w:val="NotesText"/>
            </w:pPr>
            <w:r>
              <w:rPr>
                <w:rFonts w:cs="Arial"/>
                <w:vanish/>
              </w:rPr>
              <w:t xml:space="preserve">BR_37.01 </w:t>
            </w:r>
            <w:r>
              <w:t xml:space="preserve">A user may add or inactivate a patient-specific comment at any time in the division in which it was entered. </w:t>
            </w:r>
          </w:p>
          <w:p w14:paraId="6C5B8CC7" w14:textId="77777777" w:rsidR="002A21AE" w:rsidRDefault="002A21AE">
            <w:pPr>
              <w:pStyle w:val="NotesText"/>
            </w:pPr>
          </w:p>
          <w:p w14:paraId="0F34A954" w14:textId="77777777" w:rsidR="002A21AE" w:rsidRDefault="002A21AE">
            <w:pPr>
              <w:pStyle w:val="NotesText"/>
            </w:pPr>
            <w:r>
              <w:rPr>
                <w:rFonts w:cs="Arial"/>
                <w:vanish/>
              </w:rPr>
              <w:t xml:space="preserve">BR_37.06 </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t xml:space="preserve"> </w:t>
            </w:r>
            <w:r>
              <w:t>A Traditional Supervisor may inactivate SIs from database conversion.</w:t>
            </w:r>
          </w:p>
        </w:tc>
      </w:tr>
      <w:tr w:rsidR="002A21AE" w14:paraId="7E919B27" w14:textId="77777777">
        <w:trPr>
          <w:trHeight w:val="1988"/>
        </w:trPr>
        <w:tc>
          <w:tcPr>
            <w:tcW w:w="3240" w:type="dxa"/>
          </w:tcPr>
          <w:p w14:paraId="1DD186E0" w14:textId="77777777" w:rsidR="002A21AE" w:rsidRDefault="002A21AE">
            <w:pPr>
              <w:pStyle w:val="TableTextNumbers"/>
            </w:pPr>
            <w:r>
              <w:t>Confirm the activation of the entry and enter a comment.</w:t>
            </w:r>
          </w:p>
          <w:p w14:paraId="0A301206" w14:textId="77777777" w:rsidR="002A21AE" w:rsidRDefault="002A21AE">
            <w:pPr>
              <w:pStyle w:val="TableTextNumbersContinued"/>
            </w:pPr>
          </w:p>
          <w:p w14:paraId="71303111" w14:textId="77777777" w:rsidR="002A21AE" w:rsidRDefault="002A21AE">
            <w:pPr>
              <w:pStyle w:val="TableTextNumbersContinued"/>
            </w:pPr>
            <w:r>
              <w:t xml:space="preserve">Click </w:t>
            </w:r>
            <w:r>
              <w:rPr>
                <w:b/>
              </w:rPr>
              <w:t>OK</w:t>
            </w:r>
            <w:r>
              <w:t xml:space="preserve">. </w:t>
            </w:r>
          </w:p>
          <w:p w14:paraId="60D73E8D" w14:textId="77777777" w:rsidR="002A21AE" w:rsidRDefault="002A21AE">
            <w:pPr>
              <w:pStyle w:val="TableTextNumbersContinued"/>
            </w:pPr>
          </w:p>
          <w:p w14:paraId="3C879E49" w14:textId="77777777" w:rsidR="002A21AE" w:rsidRDefault="002A21AE">
            <w:pPr>
              <w:pStyle w:val="TableTextNumbersContinued"/>
            </w:pPr>
            <w:r>
              <w:t>Return to Step 2 to add more SIs for this patient.</w:t>
            </w:r>
          </w:p>
          <w:p w14:paraId="39D0220C" w14:textId="77777777" w:rsidR="002A21AE" w:rsidRDefault="002A21AE">
            <w:pPr>
              <w:pStyle w:val="TableTextNumbersContinued"/>
            </w:pPr>
          </w:p>
          <w:p w14:paraId="00B703CD" w14:textId="77777777" w:rsidR="002A21AE" w:rsidRDefault="002A21AE">
            <w:pPr>
              <w:pStyle w:val="TableTextNumbersContinued"/>
            </w:pPr>
            <w:r>
              <w:t>Select another patient and return to Step 1, if desired</w:t>
            </w:r>
            <w:r w:rsidR="00DA12E9">
              <w:t>.</w:t>
            </w:r>
          </w:p>
          <w:p w14:paraId="08196FFF" w14:textId="77777777" w:rsidR="002A21AE" w:rsidRDefault="002A21AE">
            <w:pPr>
              <w:pStyle w:val="TableTextNumbersContinued"/>
            </w:pPr>
          </w:p>
          <w:p w14:paraId="52EA36AB" w14:textId="77777777" w:rsidR="002A21AE" w:rsidRDefault="002A21AE">
            <w:pPr>
              <w:pStyle w:val="TableTextNumbersContinued"/>
              <w:rPr>
                <w:b/>
                <w:bCs/>
              </w:rPr>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7E4029D4" w14:textId="77777777" w:rsidR="002A21AE" w:rsidRDefault="002A21AE">
            <w:pPr>
              <w:pStyle w:val="TableTextBullet"/>
            </w:pPr>
            <w:r>
              <w:t>Saves the entry in the database.</w:t>
            </w:r>
          </w:p>
        </w:tc>
      </w:tr>
    </w:tbl>
    <w:p w14:paraId="32FA3229" w14:textId="3F616EDA" w:rsidR="009142E5" w:rsidRDefault="009142E5" w:rsidP="009142E5">
      <w:pPr>
        <w:pStyle w:val="Caption"/>
      </w:pPr>
      <w:bookmarkStart w:id="509" w:name="_Toc63680371"/>
      <w:r>
        <w:br w:type="page"/>
      </w:r>
      <w:bookmarkStart w:id="510" w:name="_Ref12726243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112</w:t>
      </w:r>
      <w:r w:rsidR="004E20BD">
        <w:rPr>
          <w:noProof/>
        </w:rPr>
        <w:fldChar w:fldCharType="end"/>
      </w:r>
      <w:bookmarkEnd w:id="510"/>
      <w:r>
        <w:t xml:space="preserve">: </w:t>
      </w:r>
      <w:r w:rsidRPr="00AB6967">
        <w:t>Enter Patient Special Instructions and Transfusion Requirements</w:t>
      </w:r>
    </w:p>
    <w:p w14:paraId="436326A3" w14:textId="77777777" w:rsidR="002A21AE" w:rsidRDefault="00057948" w:rsidP="00FA7E65">
      <w:pPr>
        <w:pStyle w:val="BodyText"/>
      </w:pPr>
      <w:r>
        <w:rPr>
          <w:noProof/>
        </w:rPr>
        <w:drawing>
          <wp:inline distT="0" distB="0" distL="0" distR="0" wp14:anchorId="0E7FAE8D" wp14:editId="5ACF05D8">
            <wp:extent cx="5939155" cy="3777615"/>
            <wp:effectExtent l="0" t="0" r="4445" b="0"/>
            <wp:docPr id="257" name="Picture 257" descr="Example of Enter Patient Special Instructions and Transfusion Requiremen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Example of Enter Patient Special Instructions and Transfusion Requirements screen captur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39155" cy="3777615"/>
                    </a:xfrm>
                    <a:prstGeom prst="rect">
                      <a:avLst/>
                    </a:prstGeom>
                    <a:noFill/>
                    <a:ln>
                      <a:noFill/>
                    </a:ln>
                  </pic:spPr>
                </pic:pic>
              </a:graphicData>
            </a:graphic>
          </wp:inline>
        </w:drawing>
      </w:r>
    </w:p>
    <w:p w14:paraId="4DCE0997" w14:textId="77777777" w:rsidR="00DA5ED4" w:rsidRDefault="00DA5ED4" w:rsidP="00FA7E65">
      <w:pPr>
        <w:pStyle w:val="BodyText"/>
        <w:sectPr w:rsidR="00DA5ED4" w:rsidSect="00EE771C">
          <w:pgSz w:w="12240" w:h="15840" w:code="1"/>
          <w:pgMar w:top="1440" w:right="1440" w:bottom="1440" w:left="1440" w:header="720" w:footer="720" w:gutter="0"/>
          <w:cols w:space="720"/>
          <w:docGrid w:linePitch="360"/>
        </w:sectPr>
      </w:pPr>
    </w:p>
    <w:p w14:paraId="7452BF8B" w14:textId="77777777" w:rsidR="002A21AE" w:rsidRDefault="002A21AE">
      <w:pPr>
        <w:pStyle w:val="Heading2"/>
      </w:pPr>
      <w:bookmarkStart w:id="511" w:name="_Post-Transfusion_Information"/>
      <w:bookmarkStart w:id="512" w:name="_Toc163644960"/>
      <w:bookmarkStart w:id="513" w:name="_Toc63680369"/>
      <w:bookmarkEnd w:id="341"/>
      <w:bookmarkEnd w:id="509"/>
      <w:bookmarkEnd w:id="511"/>
      <w:r>
        <w:lastRenderedPageBreak/>
        <w:t>Post-Transfusion Information</w:t>
      </w:r>
      <w:bookmarkEnd w:id="512"/>
      <w:r>
        <w:fldChar w:fldCharType="begin"/>
      </w:r>
      <w:r>
        <w:instrText xml:space="preserve"> XE </w:instrText>
      </w:r>
      <w:r w:rsidR="00FA7E65">
        <w:instrText>“</w:instrText>
      </w:r>
      <w:r>
        <w:instrText>Post-Transfusion Information</w:instrText>
      </w:r>
      <w:r w:rsidR="00FA7E65">
        <w:instrText>”</w:instrText>
      </w:r>
      <w:r>
        <w:instrText xml:space="preserve"> </w:instrText>
      </w:r>
      <w:r>
        <w:fldChar w:fldCharType="end"/>
      </w:r>
      <w:r>
        <w:rPr>
          <w:snapToGrid w:val="0"/>
        </w:rPr>
        <w:t xml:space="preserve"> </w:t>
      </w:r>
      <w:r w:rsidRPr="00DA5ED4">
        <w:rPr>
          <w:rFonts w:ascii="Arial Bold" w:hAnsi="Arial Bold"/>
          <w:vanish/>
        </w:rPr>
        <w:t>UC_69</w:t>
      </w:r>
    </w:p>
    <w:p w14:paraId="258B2199" w14:textId="77777777" w:rsidR="002A21AE" w:rsidRDefault="002A21AE" w:rsidP="00FA7E65">
      <w:pPr>
        <w:pStyle w:val="BodyText"/>
      </w:pPr>
      <w:r>
        <w:t>The user enters post-transfusion details from the Blood Transfusion Record Form (BTRF)</w:t>
      </w:r>
      <w:r w:rsidR="00EE44F1" w:rsidRPr="00EE44F1">
        <w:t xml:space="preserve"> </w:t>
      </w:r>
      <w:r w:rsidR="00EE44F1">
        <w:t>or VBECS saves post-transfusion det</w:t>
      </w:r>
      <w:r w:rsidR="007163E2">
        <w:t xml:space="preserve">ails received from the Transfusion Verification </w:t>
      </w:r>
      <w:r w:rsidR="00EE44F1">
        <w:t>System</w:t>
      </w:r>
      <w:r>
        <w:t xml:space="preserve">. </w:t>
      </w:r>
    </w:p>
    <w:p w14:paraId="6594A5D9" w14:textId="77777777" w:rsidR="002A21AE" w:rsidRDefault="002A21AE">
      <w:pPr>
        <w:pStyle w:val="Heading4"/>
      </w:pPr>
      <w:r>
        <w:t>Assumptions</w:t>
      </w:r>
    </w:p>
    <w:p w14:paraId="12AB69AD" w14:textId="77777777" w:rsidR="002A21AE" w:rsidRDefault="002A21AE">
      <w:pPr>
        <w:pStyle w:val="ListBullet"/>
        <w:ind w:left="720"/>
      </w:pPr>
      <w:r>
        <w:t>The BTRF is returned and completed for each unit.</w:t>
      </w:r>
    </w:p>
    <w:p w14:paraId="5501BE47" w14:textId="77777777" w:rsidR="002A21AE" w:rsidRDefault="002A21AE">
      <w:pPr>
        <w:pStyle w:val="ListBullet"/>
        <w:ind w:left="720"/>
      </w:pPr>
      <w:r>
        <w:t>The unit status is “issued” or “presumed transfused” in VBECS.</w:t>
      </w:r>
    </w:p>
    <w:p w14:paraId="3EED9EFB" w14:textId="77777777" w:rsidR="00EE44F1" w:rsidRDefault="00EE44F1" w:rsidP="00EE44F1">
      <w:pPr>
        <w:pStyle w:val="ListBullet"/>
        <w:ind w:left="720"/>
      </w:pPr>
      <w:r>
        <w:t>Interface connections to the BCE COTS system are enabled to receive transfusion update messages.</w:t>
      </w:r>
    </w:p>
    <w:p w14:paraId="3CF8E052" w14:textId="77777777" w:rsidR="002A21AE" w:rsidRDefault="002A21AE">
      <w:pPr>
        <w:pStyle w:val="Heading4"/>
      </w:pPr>
      <w:r>
        <w:t>Outcome</w:t>
      </w:r>
    </w:p>
    <w:p w14:paraId="32C27B2A" w14:textId="77777777" w:rsidR="002A21AE" w:rsidRDefault="002A21AE" w:rsidP="004D0C24">
      <w:pPr>
        <w:pStyle w:val="ListBullet"/>
        <w:ind w:left="720"/>
      </w:pPr>
      <w:r>
        <w:t>The unit status is updated to “transfused.”</w:t>
      </w:r>
    </w:p>
    <w:p w14:paraId="69FBB7C6" w14:textId="77777777" w:rsidR="002A21AE" w:rsidRDefault="002A21AE">
      <w:pPr>
        <w:pStyle w:val="ListBullet"/>
        <w:ind w:left="720"/>
      </w:pPr>
      <w:r>
        <w:t>The VBECS patient record includes the blood transfusion information.</w:t>
      </w:r>
    </w:p>
    <w:p w14:paraId="78C605A3" w14:textId="77777777" w:rsidR="002A21AE" w:rsidRDefault="002A21AE">
      <w:pPr>
        <w:pStyle w:val="Heading4"/>
      </w:pPr>
      <w:r>
        <w:t>Limitations and Restrictions</w:t>
      </w:r>
    </w:p>
    <w:p w14:paraId="5FD32ED5" w14:textId="77777777" w:rsidR="00EE44F1" w:rsidRDefault="006D40D4" w:rsidP="004D0C24">
      <w:pPr>
        <w:pStyle w:val="ListBullet"/>
      </w:pPr>
      <w:r>
        <w:t xml:space="preserve">VBECS cannot update a unit record to presumed transfused when a </w:t>
      </w:r>
      <w:r w:rsidR="004D0C24" w:rsidRPr="004D0C24">
        <w:t xml:space="preserve">user has </w:t>
      </w:r>
      <w:r>
        <w:t xml:space="preserve">that </w:t>
      </w:r>
      <w:r w:rsidR="004D0C24" w:rsidRPr="004D0C24">
        <w:t>unit record open (locked) in Enter Post Transfusion Information</w:t>
      </w:r>
      <w:r>
        <w:t xml:space="preserve">. VBECS will attempt to update the unit the next </w:t>
      </w:r>
      <w:r w:rsidR="004D0C24" w:rsidRPr="004D0C24">
        <w:t xml:space="preserve">time the </w:t>
      </w:r>
      <w:r>
        <w:t xml:space="preserve">presumed transfused background routing </w:t>
      </w:r>
      <w:r w:rsidR="004D0C24" w:rsidRPr="004D0C24">
        <w:t>runs if the unit remains in an issued status.</w:t>
      </w:r>
      <w:r w:rsidR="004309FB" w:rsidRPr="004309FB">
        <w:rPr>
          <w:vanish/>
        </w:rPr>
        <w:t xml:space="preserve"> </w:t>
      </w:r>
      <w:r w:rsidR="004309FB" w:rsidRPr="00EE44F1">
        <w:rPr>
          <w:vanish/>
        </w:rPr>
        <w:t>DR 3089</w:t>
      </w:r>
    </w:p>
    <w:p w14:paraId="43B87B85" w14:textId="77777777" w:rsidR="00F854CF" w:rsidRDefault="00EE44F1" w:rsidP="00EE44F1">
      <w:pPr>
        <w:pStyle w:val="ListBullet"/>
      </w:pPr>
      <w:r>
        <w:t>If post-transfusion information is not transmitted to VBECS</w:t>
      </w:r>
      <w:r w:rsidR="007163E2">
        <w:t xml:space="preserve"> by the BCE COTS interface</w:t>
      </w:r>
      <w:r>
        <w:t>, the user will need to enter that information to update the record from presumed transfused to transfused.</w:t>
      </w:r>
    </w:p>
    <w:p w14:paraId="17676480" w14:textId="77777777" w:rsidR="000E2D6A" w:rsidRDefault="000E2D6A" w:rsidP="00EE44F1">
      <w:pPr>
        <w:pStyle w:val="ListBullet"/>
      </w:pPr>
      <w:r>
        <w:t xml:space="preserve">The transfusion comments and volume transfused entered in the Transfusion Verification </w:t>
      </w:r>
      <w:r w:rsidR="00E20BD6">
        <w:t xml:space="preserve">application as an update to a completed transfusion </w:t>
      </w:r>
      <w:r>
        <w:t>are not sent to VBECS.</w:t>
      </w:r>
      <w:r>
        <w:rPr>
          <w:vanish/>
        </w:rPr>
        <w:t xml:space="preserve"> DR 4173</w:t>
      </w:r>
      <w:r>
        <w:t xml:space="preserve"> </w:t>
      </w:r>
    </w:p>
    <w:p w14:paraId="74874B67" w14:textId="77777777" w:rsidR="00D26DD7" w:rsidRDefault="00D26DD7" w:rsidP="00EE44F1">
      <w:pPr>
        <w:pStyle w:val="ListBullet"/>
      </w:pPr>
      <w:r>
        <w:t>Transfu</w:t>
      </w:r>
      <w:r w:rsidR="00A6148D">
        <w:t>sion reaction symptoms are not provided</w:t>
      </w:r>
      <w:r>
        <w:t xml:space="preserve"> to VBECS by the Transfusion Verification application unless a transfusion reaction has also been indicated for that event.</w:t>
      </w:r>
      <w:r>
        <w:rPr>
          <w:vanish/>
        </w:rPr>
        <w:t xml:space="preserve"> DR 4217</w:t>
      </w:r>
    </w:p>
    <w:p w14:paraId="0564A482" w14:textId="77777777" w:rsidR="002A21AE" w:rsidRDefault="002A21AE">
      <w:pPr>
        <w:pStyle w:val="Heading4"/>
      </w:pPr>
      <w:r>
        <w:t>Additional Information</w:t>
      </w:r>
    </w:p>
    <w:p w14:paraId="0107CCE6" w14:textId="77777777" w:rsidR="005F07D8" w:rsidRPr="004C51FE" w:rsidRDefault="00F854CF" w:rsidP="005F07D8">
      <w:pPr>
        <w:pStyle w:val="ListBullet"/>
      </w:pPr>
      <w:r>
        <w:rPr>
          <w:rFonts w:eastAsia="Arial Unicode MS"/>
        </w:rPr>
        <w:t>A</w:t>
      </w:r>
      <w:r w:rsidR="005F07D8">
        <w:rPr>
          <w:rFonts w:eastAsia="Arial Unicode MS"/>
        </w:rPr>
        <w:t xml:space="preserve"> user </w:t>
      </w:r>
      <w:r>
        <w:rPr>
          <w:rFonts w:eastAsia="Arial Unicode MS"/>
        </w:rPr>
        <w:t xml:space="preserve">with the appropriate security level </w:t>
      </w:r>
      <w:r w:rsidR="005F07D8">
        <w:rPr>
          <w:rFonts w:eastAsia="Arial Unicode MS"/>
        </w:rPr>
        <w:t xml:space="preserve">may </w:t>
      </w:r>
      <w:r w:rsidR="005F07D8" w:rsidRPr="005F07D8">
        <w:rPr>
          <w:rFonts w:eastAsia="Arial Unicode MS"/>
        </w:rPr>
        <w:t>enter</w:t>
      </w:r>
      <w:r w:rsidR="005F07D8">
        <w:rPr>
          <w:rFonts w:eastAsia="Arial Unicode MS"/>
        </w:rPr>
        <w:t xml:space="preserve"> </w:t>
      </w:r>
      <w:r>
        <w:rPr>
          <w:rFonts w:eastAsia="Arial Unicode MS"/>
        </w:rPr>
        <w:t xml:space="preserve">or edit </w:t>
      </w:r>
      <w:r w:rsidR="005F07D8">
        <w:rPr>
          <w:rFonts w:eastAsia="Arial Unicode MS"/>
        </w:rPr>
        <w:t>bedside verification information unless it is re</w:t>
      </w:r>
      <w:r w:rsidR="005109EB">
        <w:rPr>
          <w:rFonts w:eastAsia="Arial Unicode MS"/>
        </w:rPr>
        <w:t>ceiv</w:t>
      </w:r>
      <w:r w:rsidR="00CC58D8">
        <w:rPr>
          <w:rFonts w:eastAsia="Arial Unicode MS"/>
        </w:rPr>
        <w:t>ed from BCE COTS interface</w:t>
      </w:r>
      <w:r w:rsidR="005F07D8">
        <w:rPr>
          <w:rFonts w:eastAsia="Arial Unicode MS"/>
        </w:rPr>
        <w:t>.</w:t>
      </w:r>
    </w:p>
    <w:p w14:paraId="234C337A" w14:textId="77777777" w:rsidR="002A21AE" w:rsidRPr="004C51FE" w:rsidRDefault="002A21AE" w:rsidP="004C51FE">
      <w:pPr>
        <w:pStyle w:val="ListBullet"/>
      </w:pPr>
      <w:r w:rsidRPr="00D5161F">
        <w:rPr>
          <w:vanish/>
        </w:rPr>
        <w:t xml:space="preserve">BR_69.09 </w:t>
      </w:r>
      <w:r w:rsidRPr="004C51FE">
        <w:t>The user may indicate that a transfusion reaction and symptoms were noted on the BTRF as free text. Noting a transfusion reaction does not create an order for a transfusion reaction workup (TRW).</w:t>
      </w:r>
    </w:p>
    <w:p w14:paraId="3D5F9155" w14:textId="77777777" w:rsidR="004C51FE" w:rsidRDefault="00776AAE" w:rsidP="004C51FE">
      <w:pPr>
        <w:pStyle w:val="ListBullet"/>
      </w:pPr>
      <w:r>
        <w:t>R</w:t>
      </w:r>
      <w:r w:rsidR="004C51FE">
        <w:t>emove a “transfused” status</w:t>
      </w:r>
      <w:r>
        <w:t xml:space="preserve"> through</w:t>
      </w:r>
      <w:r w:rsidR="004C51FE">
        <w:t xml:space="preserve"> Remove Final Status</w:t>
      </w:r>
      <w:r w:rsidR="00A6148D">
        <w:t xml:space="preserve"> unless that unit was transfused by the Transfusion Verification application. See limitations in Remove Final Status</w:t>
      </w:r>
      <w:r w:rsidR="004C51FE">
        <w:t>.</w:t>
      </w:r>
    </w:p>
    <w:p w14:paraId="16575032" w14:textId="77777777" w:rsidR="002A21AE" w:rsidRDefault="002A21AE">
      <w:pPr>
        <w:pStyle w:val="Heading4"/>
      </w:pPr>
      <w:r>
        <w:t>User Roles with Access to This Option</w:t>
      </w:r>
    </w:p>
    <w:p w14:paraId="2EAC55F2" w14:textId="77777777" w:rsidR="007D4E77" w:rsidRDefault="007D4E77" w:rsidP="007D4E77">
      <w:pPr>
        <w:pStyle w:val="Roles"/>
        <w:rPr>
          <w:snapToGrid w:val="0"/>
        </w:rPr>
      </w:pPr>
      <w:r>
        <w:t>All users</w:t>
      </w:r>
    </w:p>
    <w:p w14:paraId="3DDF1A34" w14:textId="77777777" w:rsidR="00F3651E" w:rsidRDefault="00F3651E">
      <w:pPr>
        <w:rPr>
          <w:rFonts w:ascii="Arial" w:hAnsi="Arial"/>
          <w:b/>
          <w:sz w:val="22"/>
        </w:rPr>
      </w:pPr>
      <w:r>
        <w:br w:type="page"/>
      </w:r>
    </w:p>
    <w:p w14:paraId="2469FF34" w14:textId="38E82BA5" w:rsidR="002A21AE" w:rsidRDefault="002A21AE">
      <w:pPr>
        <w:pStyle w:val="Heading4"/>
      </w:pPr>
      <w:r>
        <w:lastRenderedPageBreak/>
        <w:t>Post-Transfusion Information</w:t>
      </w:r>
    </w:p>
    <w:p w14:paraId="11704303" w14:textId="77777777" w:rsidR="002A21AE" w:rsidRDefault="002A21AE" w:rsidP="00FA7E65">
      <w:pPr>
        <w:pStyle w:val="BodyText"/>
      </w:pPr>
      <w:r>
        <w:t>The user verifies the date and time transfused with a returned BTRF, adds other transfusion details, initiates a system check of the bedside verification information, enters that information, and indicates whether a</w:t>
      </w:r>
      <w:r w:rsidR="00A10483">
        <w:t xml:space="preserve"> </w:t>
      </w:r>
      <w:r>
        <w:t xml:space="preserve">reaction occurred during or immediately after the transfusion, as documented on the BTRF. </w:t>
      </w:r>
      <w:r w:rsidR="006B7AA9">
        <w:t xml:space="preserve">VBECS does not require entry of post-transfusion information: </w:t>
      </w:r>
      <w:r w:rsidR="00CA57D7">
        <w:t xml:space="preserve">once a day, </w:t>
      </w:r>
      <w:r w:rsidR="006B7AA9">
        <w:t xml:space="preserve">without user input, </w:t>
      </w:r>
      <w:r w:rsidR="00CA57D7">
        <w:t>VBECS moves units 48 hours after issue to</w:t>
      </w:r>
      <w:r w:rsidR="006B7AA9">
        <w:t xml:space="preserve"> “presumed transfused” status</w:t>
      </w:r>
      <w:r w:rsidR="005C7822" w:rsidRPr="00FE1F14">
        <w:rPr>
          <w:vanish/>
        </w:rPr>
        <w:t>UserDoc Task 1098</w:t>
      </w:r>
      <w:r w:rsidR="006B7AA9">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8C1FD7A" w14:textId="77777777">
        <w:trPr>
          <w:cantSplit/>
          <w:tblHeader/>
        </w:trPr>
        <w:tc>
          <w:tcPr>
            <w:tcW w:w="3240" w:type="dxa"/>
            <w:shd w:val="pct30" w:color="auto" w:fill="FFFFFF"/>
            <w:vAlign w:val="bottom"/>
          </w:tcPr>
          <w:p w14:paraId="1AC78AC1" w14:textId="77777777" w:rsidR="002A21AE" w:rsidRDefault="002A21AE">
            <w:pPr>
              <w:pStyle w:val="TableText"/>
              <w:rPr>
                <w:b/>
              </w:rPr>
            </w:pPr>
            <w:r>
              <w:rPr>
                <w:b/>
              </w:rPr>
              <w:t>User Action</w:t>
            </w:r>
          </w:p>
        </w:tc>
        <w:tc>
          <w:tcPr>
            <w:tcW w:w="6120" w:type="dxa"/>
            <w:shd w:val="pct30" w:color="auto" w:fill="FFFFFF"/>
            <w:vAlign w:val="bottom"/>
          </w:tcPr>
          <w:p w14:paraId="7422DE95" w14:textId="77777777" w:rsidR="002A21AE" w:rsidRDefault="002A21AE">
            <w:pPr>
              <w:pStyle w:val="TableText"/>
              <w:rPr>
                <w:b/>
              </w:rPr>
            </w:pPr>
            <w:r>
              <w:rPr>
                <w:b/>
              </w:rPr>
              <w:t>VBECS</w:t>
            </w:r>
          </w:p>
        </w:tc>
      </w:tr>
      <w:tr w:rsidR="002A21AE" w14:paraId="5CC12B4F" w14:textId="77777777">
        <w:tc>
          <w:tcPr>
            <w:tcW w:w="3240" w:type="dxa"/>
            <w:tcBorders>
              <w:top w:val="single" w:sz="4" w:space="0" w:color="auto"/>
              <w:left w:val="single" w:sz="4" w:space="0" w:color="auto"/>
              <w:bottom w:val="single" w:sz="4" w:space="0" w:color="auto"/>
              <w:right w:val="single" w:sz="4" w:space="0" w:color="auto"/>
            </w:tcBorders>
          </w:tcPr>
          <w:p w14:paraId="45261B32" w14:textId="77777777" w:rsidR="002A21AE" w:rsidRDefault="002A21AE">
            <w:pPr>
              <w:pStyle w:val="TableTextNumbers"/>
            </w:pPr>
            <w:r>
              <w:t xml:space="preserve">Select </w:t>
            </w:r>
            <w:r>
              <w:rPr>
                <w:b/>
              </w:rPr>
              <w:t>Patients</w:t>
            </w:r>
            <w:r>
              <w:t xml:space="preserve"> from the main menu.</w:t>
            </w:r>
          </w:p>
          <w:p w14:paraId="61EE19F7" w14:textId="77777777" w:rsidR="002A21AE" w:rsidRDefault="002A21AE">
            <w:pPr>
              <w:pStyle w:val="TableTextNumbersContinued"/>
            </w:pPr>
          </w:p>
          <w:p w14:paraId="0666F98B" w14:textId="77777777" w:rsidR="002A21AE" w:rsidRDefault="002A21AE">
            <w:pPr>
              <w:pStyle w:val="TableTextNumbersContinued"/>
            </w:pPr>
            <w:r>
              <w:t xml:space="preserve">Select </w:t>
            </w:r>
            <w:r>
              <w:rPr>
                <w:b/>
              </w:rPr>
              <w:t>Post-Transfusion Information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377FF0AF" w14:textId="77777777" w:rsidR="002A21AE" w:rsidRDefault="002A21AE">
            <w:pPr>
              <w:pStyle w:val="TableTextBullet"/>
            </w:pPr>
            <w:r>
              <w:t>Displays options for processing patient-related functions.</w:t>
            </w:r>
          </w:p>
          <w:p w14:paraId="42414357" w14:textId="77777777" w:rsidR="002A21AE" w:rsidRDefault="002A21AE">
            <w:pPr>
              <w:pStyle w:val="TableTextBullet"/>
            </w:pPr>
            <w:r>
              <w:t>Displays an option to scan the Caution Tag or enter a patient name or ID.</w:t>
            </w:r>
          </w:p>
        </w:tc>
      </w:tr>
      <w:tr w:rsidR="002A21AE" w14:paraId="0BE6B769" w14:textId="77777777">
        <w:tc>
          <w:tcPr>
            <w:tcW w:w="3240" w:type="dxa"/>
          </w:tcPr>
          <w:p w14:paraId="79A75335" w14:textId="77777777" w:rsidR="002A21AE" w:rsidRDefault="002A21AE">
            <w:pPr>
              <w:pStyle w:val="TableTextNumbers"/>
            </w:pPr>
            <w:r>
              <w:t xml:space="preserve">Select a patient and click </w:t>
            </w:r>
            <w:r>
              <w:rPr>
                <w:b/>
              </w:rPr>
              <w:t>OK</w:t>
            </w:r>
            <w:r>
              <w:t>.</w:t>
            </w:r>
          </w:p>
        </w:tc>
        <w:tc>
          <w:tcPr>
            <w:tcW w:w="6120" w:type="dxa"/>
          </w:tcPr>
          <w:p w14:paraId="23300C78" w14:textId="77777777" w:rsidR="002A21AE" w:rsidRDefault="002A21AE">
            <w:pPr>
              <w:pStyle w:val="TableTextBullet"/>
            </w:pPr>
            <w:r>
              <w:rPr>
                <w:rFonts w:cs="Arial"/>
                <w:vanish/>
              </w:rPr>
              <w:t xml:space="preserve">BR_69.02 </w:t>
            </w:r>
            <w:r>
              <w:t xml:space="preserve">Lists the units issued to the selected patient. </w:t>
            </w:r>
          </w:p>
          <w:p w14:paraId="055B26F2" w14:textId="77777777" w:rsidR="002A21AE" w:rsidRDefault="002A21AE">
            <w:pPr>
              <w:pStyle w:val="TableTextBullet"/>
            </w:pPr>
            <w:r>
              <w:t>Displays the issue date and time.</w:t>
            </w:r>
          </w:p>
          <w:p w14:paraId="14F1D31B" w14:textId="77777777" w:rsidR="002A21AE" w:rsidRDefault="002A21AE">
            <w:pPr>
              <w:pStyle w:val="TableTextBullet"/>
            </w:pPr>
            <w:r>
              <w:t>Displays the units one at a time for update in the order in which the user selected them.</w:t>
            </w:r>
          </w:p>
          <w:p w14:paraId="1C3C6756" w14:textId="77777777" w:rsidR="002A21AE" w:rsidRDefault="002A21AE">
            <w:pPr>
              <w:pStyle w:val="TableText"/>
            </w:pPr>
          </w:p>
          <w:p w14:paraId="54550E61" w14:textId="010AB111" w:rsidR="002A21AE" w:rsidRDefault="002A21AE">
            <w:pPr>
              <w:pStyle w:val="TableText"/>
              <w:rPr>
                <w:b/>
                <w:bCs/>
                <w:szCs w:val="18"/>
              </w:rPr>
            </w:pPr>
            <w:r>
              <w:rPr>
                <w:b/>
                <w:bCs/>
                <w:szCs w:val="18"/>
              </w:rPr>
              <w:t>NOTES</w:t>
            </w:r>
          </w:p>
          <w:p w14:paraId="5E158BA8" w14:textId="77777777" w:rsidR="002A21AE" w:rsidRDefault="002A21AE">
            <w:pPr>
              <w:pStyle w:val="NotesText"/>
            </w:pPr>
          </w:p>
          <w:p w14:paraId="7B9BA5DD" w14:textId="77777777" w:rsidR="00C341A6" w:rsidRDefault="00C341A6" w:rsidP="00C341A6">
            <w:pPr>
              <w:pStyle w:val="NotesText"/>
            </w:pPr>
            <w:r>
              <w:rPr>
                <w:rFonts w:cs="Arial"/>
                <w:vanish/>
              </w:rPr>
              <w:t xml:space="preserve">BR_69.03 </w:t>
            </w: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VBECS displays an option to obtain a list of transfused (those not received by BCE COTS) units for the patient when the user is a Traditional Supervisor or above.</w:t>
            </w:r>
          </w:p>
          <w:p w14:paraId="1D36F677" w14:textId="77777777" w:rsidR="002A21AE" w:rsidRDefault="002A21AE">
            <w:pPr>
              <w:pStyle w:val="NotesText"/>
            </w:pPr>
          </w:p>
          <w:p w14:paraId="6099EB5A" w14:textId="6E512E01" w:rsidR="00C341A6" w:rsidRDefault="00C341A6">
            <w:pPr>
              <w:pStyle w:val="NotesText"/>
            </w:pPr>
            <w:r w:rsidRPr="00E34E31">
              <w:rPr>
                <w:vanish/>
              </w:rPr>
              <w:t xml:space="preserve">BR_69.01 </w:t>
            </w:r>
            <w:r w:rsidRPr="00E34E31">
              <w:t>When post-transfusion information is not entered into VBECS within 48 hours from the date/time the unit was recorded as “issued”, VBECS will change the unit status to “transfused” with a presumed indicator after the execution of a scheduled background job. The unit will then be considered transfused by the system regarding report generation.</w:t>
            </w:r>
            <w:r w:rsidRPr="00B05DFD">
              <w:rPr>
                <w:vanish/>
              </w:rPr>
              <w:t xml:space="preserve"> If post-transfusion information is entered later, the presumed indicator is deactivated.</w:t>
            </w:r>
            <w:r w:rsidR="00B05DFD">
              <w:rPr>
                <w:vanish/>
              </w:rPr>
              <w:t xml:space="preserve"> (Bug 63797)</w:t>
            </w:r>
          </w:p>
        </w:tc>
      </w:tr>
      <w:tr w:rsidR="00D51EEA" w14:paraId="6EA84874" w14:textId="77777777">
        <w:tc>
          <w:tcPr>
            <w:tcW w:w="3240" w:type="dxa"/>
          </w:tcPr>
          <w:p w14:paraId="2D16F736" w14:textId="7F92BC49" w:rsidR="00D51EEA" w:rsidRDefault="00D51EEA">
            <w:pPr>
              <w:pStyle w:val="TableTextNumbers"/>
            </w:pPr>
            <w:r>
              <w:t>Click one or more check boxes to select units</w:t>
            </w:r>
            <w:r w:rsidR="00DA5ED4">
              <w:t xml:space="preserve"> (</w:t>
            </w:r>
            <w:r w:rsidR="00EE455E">
              <w:t xml:space="preserve">Figure </w:t>
            </w:r>
            <w:r w:rsidR="00EE455E">
              <w:rPr>
                <w:noProof/>
              </w:rPr>
              <w:t>112</w:t>
            </w:r>
            <w:r w:rsidR="00DA5ED4">
              <w:t>)</w:t>
            </w:r>
            <w:r>
              <w:t>.</w:t>
            </w:r>
          </w:p>
          <w:p w14:paraId="651691B4" w14:textId="77777777" w:rsidR="00AB0C95" w:rsidRDefault="00AB0C95" w:rsidP="00AB0C95">
            <w:pPr>
              <w:pStyle w:val="TableTextNumbersContinued"/>
            </w:pPr>
          </w:p>
          <w:p w14:paraId="2DE0A459" w14:textId="77777777" w:rsidR="00AB0C95" w:rsidRDefault="00AB0C95" w:rsidP="00AB0C95">
            <w:pPr>
              <w:pStyle w:val="TableTextNumbersContinued"/>
            </w:pPr>
            <w:r>
              <w:t xml:space="preserve">Click </w:t>
            </w:r>
            <w:r w:rsidRPr="00AB0C95">
              <w:rPr>
                <w:b/>
              </w:rPr>
              <w:t>OK</w:t>
            </w:r>
            <w:r>
              <w:t>.</w:t>
            </w:r>
          </w:p>
        </w:tc>
        <w:tc>
          <w:tcPr>
            <w:tcW w:w="6120" w:type="dxa"/>
          </w:tcPr>
          <w:p w14:paraId="1E0DAAC6" w14:textId="77777777" w:rsidR="00D51EEA" w:rsidRDefault="00D51EEA" w:rsidP="00D51EEA">
            <w:pPr>
              <w:pStyle w:val="TableTextBullet"/>
            </w:pPr>
            <w:r>
              <w:t>Allows the user to select units for which to enter post-transfusion information.</w:t>
            </w:r>
          </w:p>
          <w:p w14:paraId="0D5D2980" w14:textId="77777777" w:rsidR="00D51EEA" w:rsidRDefault="00D51EEA" w:rsidP="00D51EEA">
            <w:pPr>
              <w:pStyle w:val="TableText"/>
            </w:pPr>
          </w:p>
          <w:p w14:paraId="4A0DD67C" w14:textId="12378B9B" w:rsidR="00D51EEA" w:rsidRDefault="00D51EEA" w:rsidP="00D51EEA">
            <w:pPr>
              <w:pStyle w:val="TableText"/>
              <w:rPr>
                <w:b/>
                <w:bCs/>
                <w:szCs w:val="18"/>
              </w:rPr>
            </w:pPr>
            <w:r>
              <w:rPr>
                <w:b/>
                <w:bCs/>
                <w:szCs w:val="18"/>
              </w:rPr>
              <w:t>NOTES</w:t>
            </w:r>
          </w:p>
          <w:p w14:paraId="0FEA3BBA" w14:textId="77777777" w:rsidR="00D51EEA" w:rsidRDefault="00D51EEA" w:rsidP="00D51EEA">
            <w:pPr>
              <w:pStyle w:val="NotesText"/>
            </w:pPr>
          </w:p>
          <w:p w14:paraId="2801F888" w14:textId="77777777" w:rsidR="00D51EEA" w:rsidRDefault="00D51EEA" w:rsidP="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08E1C609" w14:textId="77777777" w:rsidTr="006C058D">
        <w:trPr>
          <w:cantSplit/>
        </w:trPr>
        <w:tc>
          <w:tcPr>
            <w:tcW w:w="3240" w:type="dxa"/>
          </w:tcPr>
          <w:p w14:paraId="48F07C2E" w14:textId="77777777" w:rsidR="002A21AE" w:rsidRDefault="002A21AE">
            <w:pPr>
              <w:pStyle w:val="TableTextNumbers"/>
            </w:pPr>
            <w:r>
              <w:lastRenderedPageBreak/>
              <w:t xml:space="preserve">Enter transfusion details for a blood unit. </w:t>
            </w:r>
          </w:p>
          <w:p w14:paraId="4CD8DC3C" w14:textId="77777777" w:rsidR="002A21AE" w:rsidRDefault="002A21AE">
            <w:pPr>
              <w:pStyle w:val="TableTextNumbersContinued"/>
            </w:pPr>
          </w:p>
          <w:p w14:paraId="3685B660" w14:textId="77777777" w:rsidR="002A21AE" w:rsidRDefault="002A21AE">
            <w:pPr>
              <w:pStyle w:val="TableTextNumbersContinued"/>
            </w:pPr>
            <w:r>
              <w:t>Verify the unit selection.</w:t>
            </w:r>
          </w:p>
        </w:tc>
        <w:tc>
          <w:tcPr>
            <w:tcW w:w="6120" w:type="dxa"/>
          </w:tcPr>
          <w:p w14:paraId="42B24CC7" w14:textId="77777777" w:rsidR="00557C79" w:rsidRDefault="00557C79" w:rsidP="00557C79">
            <w:pPr>
              <w:pStyle w:val="TableTextBullet"/>
            </w:pPr>
            <w:r>
              <w:t xml:space="preserve">Displays the unit information entered by the bedside verification check and allows the user to enter to edit the information. </w:t>
            </w:r>
          </w:p>
          <w:p w14:paraId="4D384835" w14:textId="77777777" w:rsidR="00132628" w:rsidRDefault="00132628" w:rsidP="00557C79">
            <w:pPr>
              <w:pStyle w:val="TableTextBullet"/>
            </w:pPr>
            <w:r>
              <w:t>Displays an option to enter or edit unit data.</w:t>
            </w:r>
          </w:p>
          <w:p w14:paraId="0336F1E6" w14:textId="77777777" w:rsidR="00557C79" w:rsidRDefault="00557C79" w:rsidP="00557C79">
            <w:pPr>
              <w:pStyle w:val="TableText"/>
            </w:pPr>
          </w:p>
          <w:p w14:paraId="6DEAB375" w14:textId="77F37626" w:rsidR="00557C79" w:rsidRDefault="00557C79" w:rsidP="00557C79">
            <w:pPr>
              <w:pStyle w:val="TableText"/>
              <w:rPr>
                <w:b/>
                <w:bCs/>
                <w:szCs w:val="18"/>
              </w:rPr>
            </w:pPr>
            <w:r>
              <w:rPr>
                <w:b/>
                <w:bCs/>
                <w:szCs w:val="18"/>
              </w:rPr>
              <w:t>NOTES</w:t>
            </w:r>
          </w:p>
          <w:p w14:paraId="5FF38478" w14:textId="77777777" w:rsidR="00557C79" w:rsidRDefault="00557C79" w:rsidP="00557C79">
            <w:pPr>
              <w:pStyle w:val="NotesText"/>
            </w:pPr>
          </w:p>
          <w:p w14:paraId="1C2DCED5" w14:textId="77777777" w:rsidR="002A21AE" w:rsidRDefault="00557C79" w:rsidP="00557C79">
            <w:pPr>
              <w:pStyle w:val="NotesText"/>
            </w:pPr>
            <w:r>
              <w:rPr>
                <w:rFonts w:cs="Arial"/>
                <w:vanish/>
              </w:rPr>
              <w:t xml:space="preserve">BR_69.05 </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t xml:space="preserve"> </w:t>
            </w:r>
            <w:r>
              <w:t xml:space="preserve">A user with a security setting of Traditional Supervisor may edit </w:t>
            </w:r>
            <w:r w:rsidR="00DA747E">
              <w:t>user</w:t>
            </w:r>
            <w:r>
              <w:t xml:space="preserve"> entered bedside verification, transfusion reaction, or post-transfusion detail information.</w:t>
            </w:r>
          </w:p>
          <w:p w14:paraId="24646FB0" w14:textId="77777777" w:rsidR="00132628" w:rsidRDefault="00132628" w:rsidP="00132628">
            <w:pPr>
              <w:pStyle w:val="NotesText"/>
            </w:pPr>
          </w:p>
          <w:p w14:paraId="3C1D7028" w14:textId="77777777" w:rsidR="003427EE" w:rsidRDefault="00132628" w:rsidP="003427EE">
            <w:pPr>
              <w:pStyle w:val="NotesText"/>
            </w:pPr>
            <w:r>
              <w:rPr>
                <w:rFonts w:cs="Arial"/>
                <w:vanish/>
              </w:rPr>
              <w:t xml:space="preserve">BR_69.08 </w:t>
            </w:r>
            <w:r>
              <w:t>VBECS displays an option to enter information for each unit.</w:t>
            </w:r>
            <w:r w:rsidR="00FE3062">
              <w:t xml:space="preserve"> This information is available for patient record retrieval.</w:t>
            </w:r>
          </w:p>
          <w:p w14:paraId="5064715E" w14:textId="77777777" w:rsidR="00927825" w:rsidRDefault="00927825" w:rsidP="003427EE">
            <w:pPr>
              <w:pStyle w:val="NotesText"/>
            </w:pPr>
          </w:p>
          <w:p w14:paraId="385DFDE3" w14:textId="77777777" w:rsidR="00927825" w:rsidRPr="003427EE" w:rsidRDefault="00E15CC5" w:rsidP="00E15CC5">
            <w:pPr>
              <w:pStyle w:val="NotesText"/>
            </w:pPr>
            <w:r w:rsidRPr="00E15CC5">
              <w:rPr>
                <w:vanish/>
              </w:rPr>
              <w:t xml:space="preserve">BR_69.08 </w:t>
            </w:r>
            <w:r w:rsidRPr="00E15CC5">
              <w:t>To prevent rejection of transfusion information exchanged between VBECS and the Transfusion Verification system, a variance of +/- five (5) minutes is permitted for time of issue and transfusion start and end times. The variance allows the two systems to communicate even when their internal time is not precisely synced to the minute.</w:t>
            </w:r>
            <w:r w:rsidR="004B714E" w:rsidRPr="004B714E">
              <w:rPr>
                <w:vanish/>
              </w:rPr>
              <w:t xml:space="preserve"> (Defect 371676)</w:t>
            </w:r>
          </w:p>
        </w:tc>
      </w:tr>
      <w:tr w:rsidR="002A21AE" w14:paraId="2225A9EC" w14:textId="77777777">
        <w:tc>
          <w:tcPr>
            <w:tcW w:w="3240" w:type="dxa"/>
          </w:tcPr>
          <w:p w14:paraId="5876EF35" w14:textId="77777777" w:rsidR="002A21AE" w:rsidRDefault="002A21AE">
            <w:pPr>
              <w:pStyle w:val="TableTextNumbers"/>
            </w:pPr>
            <w:r>
              <w:t>Select one or more units. Enter or edit the bedside verification check information with the proper security level.</w:t>
            </w:r>
          </w:p>
        </w:tc>
        <w:tc>
          <w:tcPr>
            <w:tcW w:w="6120" w:type="dxa"/>
          </w:tcPr>
          <w:p w14:paraId="65C396F9" w14:textId="77777777" w:rsidR="002A21AE" w:rsidRDefault="002A21AE">
            <w:pPr>
              <w:pStyle w:val="TableTextBullet"/>
            </w:pPr>
            <w:r>
              <w:t>Displays the entries for review, including the comment, until all details are entered.</w:t>
            </w:r>
          </w:p>
          <w:p w14:paraId="1B83BCAE" w14:textId="77777777" w:rsidR="002A21AE" w:rsidRDefault="002A21AE">
            <w:pPr>
              <w:pStyle w:val="TableTextBullet"/>
            </w:pPr>
            <w:r>
              <w:t>Displays an option to save the data and exit.</w:t>
            </w:r>
          </w:p>
          <w:p w14:paraId="27EA1A1B" w14:textId="77777777" w:rsidR="002A21AE" w:rsidRDefault="002A21AE">
            <w:pPr>
              <w:pStyle w:val="TableText"/>
            </w:pPr>
          </w:p>
          <w:p w14:paraId="5AF84ECE" w14:textId="52088807" w:rsidR="002A21AE" w:rsidRDefault="002A21AE">
            <w:pPr>
              <w:pStyle w:val="TableText"/>
              <w:rPr>
                <w:b/>
                <w:bCs/>
                <w:szCs w:val="18"/>
              </w:rPr>
            </w:pPr>
            <w:r>
              <w:rPr>
                <w:b/>
                <w:bCs/>
                <w:szCs w:val="18"/>
              </w:rPr>
              <w:t>NOTES</w:t>
            </w:r>
          </w:p>
          <w:p w14:paraId="02F41C3E" w14:textId="77777777" w:rsidR="002A21AE" w:rsidRDefault="002A21AE">
            <w:pPr>
              <w:pStyle w:val="NotesText"/>
            </w:pPr>
          </w:p>
          <w:p w14:paraId="69EC1D1C" w14:textId="77777777" w:rsidR="002A21AE" w:rsidRPr="00D6556D" w:rsidRDefault="002A21AE" w:rsidP="00D6556D">
            <w:pPr>
              <w:pStyle w:val="NotesText"/>
            </w:pPr>
            <w:r>
              <w:rPr>
                <w:rFonts w:cs="Arial"/>
                <w:vanish/>
              </w:rPr>
              <w:t xml:space="preserve">BR_69.12 </w:t>
            </w:r>
            <w:r>
              <w:t>Upon data entry and saving of the post-transfusion information, VBECS assigns a status of “transfused” for the unit of blood assigned to the indicated patient.</w:t>
            </w:r>
          </w:p>
        </w:tc>
      </w:tr>
      <w:tr w:rsidR="002A21AE" w14:paraId="7338AC95" w14:textId="77777777">
        <w:tc>
          <w:tcPr>
            <w:tcW w:w="3240" w:type="dxa"/>
          </w:tcPr>
          <w:p w14:paraId="19F478AF" w14:textId="77777777" w:rsidR="002A21AE" w:rsidRDefault="0014520D">
            <w:pPr>
              <w:pStyle w:val="TableTextNumbers"/>
            </w:pPr>
            <w:r>
              <w:t>Enter post-transfusion details, including:</w:t>
            </w:r>
          </w:p>
          <w:p w14:paraId="52C6A305" w14:textId="77777777" w:rsidR="0014520D" w:rsidRDefault="0014520D" w:rsidP="00506CA6">
            <w:pPr>
              <w:pStyle w:val="TableTextNumbersBullet"/>
              <w:tabs>
                <w:tab w:val="clear" w:pos="288"/>
              </w:tabs>
              <w:ind w:left="510" w:hanging="222"/>
            </w:pPr>
            <w:r>
              <w:t>Transfusion start and end dates and times</w:t>
            </w:r>
          </w:p>
          <w:p w14:paraId="2968E1AA" w14:textId="77777777" w:rsidR="0014520D" w:rsidRDefault="0014520D" w:rsidP="00506CA6">
            <w:pPr>
              <w:pStyle w:val="TableTextNumbersBullet"/>
              <w:tabs>
                <w:tab w:val="clear" w:pos="288"/>
              </w:tabs>
              <w:ind w:left="510" w:hanging="222"/>
            </w:pPr>
            <w:r>
              <w:t>Transfusionist ID</w:t>
            </w:r>
          </w:p>
          <w:p w14:paraId="37A61159" w14:textId="77777777" w:rsidR="0014520D" w:rsidRDefault="0014520D" w:rsidP="00506CA6">
            <w:pPr>
              <w:pStyle w:val="TableTextNumbersBullet"/>
              <w:tabs>
                <w:tab w:val="clear" w:pos="288"/>
              </w:tabs>
              <w:ind w:left="510" w:hanging="222"/>
            </w:pPr>
            <w:r>
              <w:t>Location of transfusion</w:t>
            </w:r>
          </w:p>
          <w:p w14:paraId="78F44DF5" w14:textId="77777777" w:rsidR="0014520D" w:rsidRDefault="0014520D" w:rsidP="00506CA6">
            <w:pPr>
              <w:pStyle w:val="TableTextNumbersBullet"/>
              <w:tabs>
                <w:tab w:val="clear" w:pos="288"/>
              </w:tabs>
              <w:ind w:left="510" w:hanging="222"/>
            </w:pPr>
            <w:r>
              <w:t>Whether the transfusion was completed or interrupted</w:t>
            </w:r>
          </w:p>
          <w:p w14:paraId="4F5FACE9" w14:textId="77777777" w:rsidR="0014520D" w:rsidRDefault="0014520D" w:rsidP="00506CA6">
            <w:pPr>
              <w:pStyle w:val="TableTextNumbersBullet"/>
              <w:tabs>
                <w:tab w:val="clear" w:pos="288"/>
              </w:tabs>
              <w:ind w:left="510" w:hanging="222"/>
            </w:pPr>
            <w:r>
              <w:t>If interrupted, the amount transfused</w:t>
            </w:r>
          </w:p>
          <w:p w14:paraId="247938B1" w14:textId="77777777" w:rsidR="0014520D" w:rsidRDefault="0014520D" w:rsidP="00506CA6">
            <w:pPr>
              <w:pStyle w:val="TableTextNumbersBullet"/>
              <w:tabs>
                <w:tab w:val="clear" w:pos="288"/>
              </w:tabs>
              <w:ind w:left="510" w:hanging="222"/>
            </w:pPr>
            <w:r>
              <w:t>Whether there was a transfusion reaction</w:t>
            </w:r>
          </w:p>
          <w:p w14:paraId="5980B42B" w14:textId="69DE27F1" w:rsidR="0014520D" w:rsidRDefault="0014520D" w:rsidP="00506CA6">
            <w:pPr>
              <w:pStyle w:val="TableTextNumbersBullet"/>
              <w:tabs>
                <w:tab w:val="clear" w:pos="288"/>
              </w:tabs>
              <w:ind w:left="510" w:hanging="222"/>
            </w:pPr>
            <w:r>
              <w:t>If there was a reaction, symptoms</w:t>
            </w:r>
            <w:r w:rsidR="00DA5ED4">
              <w:t xml:space="preserve"> (</w:t>
            </w:r>
            <w:r w:rsidR="00EE455E">
              <w:t xml:space="preserve">Figure </w:t>
            </w:r>
            <w:r w:rsidR="00EE455E">
              <w:rPr>
                <w:noProof/>
              </w:rPr>
              <w:t>113</w:t>
            </w:r>
            <w:r w:rsidR="00DA5ED4">
              <w:t>)</w:t>
            </w:r>
          </w:p>
          <w:p w14:paraId="398CB59B" w14:textId="77777777" w:rsidR="008A3A5A" w:rsidRDefault="008A3A5A" w:rsidP="008A3A5A">
            <w:pPr>
              <w:pStyle w:val="TableTextNumbersContinued"/>
            </w:pPr>
          </w:p>
          <w:p w14:paraId="661FC8EF" w14:textId="77777777" w:rsidR="008A3A5A" w:rsidRDefault="008A3A5A" w:rsidP="008A3A5A">
            <w:pPr>
              <w:pStyle w:val="TableTextNumbersContinued"/>
            </w:pPr>
            <w:r>
              <w:t xml:space="preserve">Click </w:t>
            </w:r>
            <w:r w:rsidRPr="008A3A5A">
              <w:rPr>
                <w:b/>
              </w:rPr>
              <w:t>OK</w:t>
            </w:r>
            <w:r>
              <w:t xml:space="preserve"> to save.</w:t>
            </w:r>
          </w:p>
        </w:tc>
        <w:tc>
          <w:tcPr>
            <w:tcW w:w="6120" w:type="dxa"/>
          </w:tcPr>
          <w:p w14:paraId="6C6C598E" w14:textId="77777777" w:rsidR="002A21AE" w:rsidRDefault="002A21AE">
            <w:pPr>
              <w:pStyle w:val="TableTextBullet"/>
            </w:pPr>
            <w:r>
              <w:t>Displays an option to enter unit data.</w:t>
            </w:r>
          </w:p>
          <w:p w14:paraId="13B48989" w14:textId="77777777" w:rsidR="002A21AE" w:rsidRDefault="002A21AE">
            <w:pPr>
              <w:pStyle w:val="TableTextBullet"/>
            </w:pPr>
            <w:r>
              <w:t>Warns the user or allows the user to continue to the next selected unit.</w:t>
            </w:r>
          </w:p>
          <w:p w14:paraId="100D0472" w14:textId="77777777" w:rsidR="002A21AE" w:rsidRDefault="002A21AE">
            <w:pPr>
              <w:pStyle w:val="TableText"/>
            </w:pPr>
          </w:p>
          <w:p w14:paraId="5E703B51" w14:textId="2C574C49" w:rsidR="002A21AE" w:rsidRDefault="002A21AE">
            <w:pPr>
              <w:pStyle w:val="TableText"/>
              <w:rPr>
                <w:b/>
                <w:bCs/>
                <w:szCs w:val="18"/>
              </w:rPr>
            </w:pPr>
            <w:r>
              <w:rPr>
                <w:b/>
                <w:bCs/>
                <w:szCs w:val="18"/>
              </w:rPr>
              <w:t>NOTES</w:t>
            </w:r>
          </w:p>
          <w:p w14:paraId="12A06B38" w14:textId="77777777" w:rsidR="002A21AE" w:rsidRDefault="002A21AE">
            <w:pPr>
              <w:pStyle w:val="NotesText"/>
            </w:pPr>
          </w:p>
          <w:p w14:paraId="2F3E0030" w14:textId="77777777" w:rsidR="008A3A5A" w:rsidRPr="008A3A5A" w:rsidRDefault="008A3A5A">
            <w:pPr>
              <w:pStyle w:val="NotesText"/>
              <w:rPr>
                <w:rFonts w:cs="Arial"/>
                <w:szCs w:val="18"/>
              </w:rPr>
            </w:pPr>
            <w:r w:rsidRPr="008A3A5A">
              <w:rPr>
                <w:rFonts w:cs="Arial"/>
                <w:szCs w:val="18"/>
              </w:rPr>
              <w:t xml:space="preserve">When a user </w:t>
            </w:r>
            <w:r>
              <w:rPr>
                <w:rFonts w:cs="Arial"/>
                <w:szCs w:val="18"/>
              </w:rPr>
              <w:t xml:space="preserve">indicates that </w:t>
            </w:r>
            <w:r w:rsidRPr="008A3A5A">
              <w:rPr>
                <w:rFonts w:cs="Arial"/>
                <w:szCs w:val="18"/>
              </w:rPr>
              <w:t>a transfusion reaction</w:t>
            </w:r>
            <w:r>
              <w:rPr>
                <w:rFonts w:cs="Arial"/>
                <w:szCs w:val="18"/>
              </w:rPr>
              <w:t xml:space="preserve"> occurred</w:t>
            </w:r>
            <w:r w:rsidRPr="008A3A5A">
              <w:rPr>
                <w:rFonts w:cs="Arial"/>
                <w:szCs w:val="18"/>
              </w:rPr>
              <w:t xml:space="preserve">, VBECS does not automatically order a TRW. </w:t>
            </w:r>
          </w:p>
          <w:p w14:paraId="7899F7CB" w14:textId="77777777" w:rsidR="008A3A5A" w:rsidRDefault="008A3A5A">
            <w:pPr>
              <w:pStyle w:val="NotesText"/>
              <w:rPr>
                <w:rFonts w:cs="Arial"/>
              </w:rPr>
            </w:pPr>
          </w:p>
          <w:p w14:paraId="45C41617" w14:textId="77777777" w:rsidR="00965B34" w:rsidRDefault="00965B34">
            <w:pPr>
              <w:pStyle w:val="NotesText"/>
              <w:rPr>
                <w:rFonts w:cs="Arial"/>
                <w:vanish/>
              </w:rPr>
            </w:pPr>
          </w:p>
          <w:p w14:paraId="0E904733" w14:textId="77777777" w:rsidR="002A21AE" w:rsidRDefault="002A21AE">
            <w:pPr>
              <w:pStyle w:val="NotesText"/>
            </w:pPr>
            <w:r>
              <w:rPr>
                <w:rFonts w:cs="Arial"/>
                <w:vanish/>
              </w:rPr>
              <w:t xml:space="preserve">BR_69.06 </w:t>
            </w:r>
            <w:r w:rsidR="00D6556D">
              <w:t xml:space="preserve">VBECS notifies the </w:t>
            </w:r>
            <w:r w:rsidR="00922AD8">
              <w:t>user when</w:t>
            </w:r>
            <w:r>
              <w:t xml:space="preserve"> the transfusion end date and time is earlier than the start or issue time. The user may correct the entry.</w:t>
            </w:r>
          </w:p>
          <w:p w14:paraId="50083702" w14:textId="77777777" w:rsidR="002A21AE" w:rsidRDefault="002A21AE">
            <w:pPr>
              <w:pStyle w:val="NotesText"/>
            </w:pPr>
          </w:p>
          <w:p w14:paraId="66332C81" w14:textId="77777777" w:rsidR="002A21AE" w:rsidRDefault="002A21AE">
            <w:pPr>
              <w:pStyle w:val="NotesText"/>
            </w:pPr>
            <w:r>
              <w:rPr>
                <w:rFonts w:cs="Arial"/>
                <w:vanish/>
              </w:rPr>
              <w:t xml:space="preserve">BR_69.10 </w:t>
            </w:r>
            <w:r>
              <w:t>When the unit was not issued to a remote storage location, VBECS compares the date and time the unit was issued to the start transfusion time entered.</w:t>
            </w:r>
          </w:p>
          <w:p w14:paraId="543F3677" w14:textId="77777777" w:rsidR="002A21AE" w:rsidRDefault="002A21AE">
            <w:pPr>
              <w:pStyle w:val="NotesText"/>
            </w:pPr>
          </w:p>
          <w:p w14:paraId="181958C3" w14:textId="77777777" w:rsidR="002A21AE" w:rsidRDefault="002A21AE">
            <w:pPr>
              <w:pStyle w:val="NotesText"/>
            </w:pPr>
            <w:r>
              <w:t xml:space="preserve">When the difference is greater than 30 minutes, VBECS notifies the user that this is a delayed start time and allows the user to edit the transfusion start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p w14:paraId="1F6EE90A" w14:textId="77777777" w:rsidR="002A21AE" w:rsidRDefault="002A21AE">
            <w:pPr>
              <w:pStyle w:val="NotesText"/>
            </w:pPr>
          </w:p>
          <w:p w14:paraId="7CEEE0F2" w14:textId="77777777" w:rsidR="002A21AE" w:rsidRDefault="002A21AE">
            <w:pPr>
              <w:pStyle w:val="NotesText"/>
            </w:pPr>
            <w:r>
              <w:rPr>
                <w:rFonts w:cs="Arial"/>
                <w:vanish/>
              </w:rPr>
              <w:t xml:space="preserve">BR_69.11 </w:t>
            </w:r>
            <w:r>
              <w:t xml:space="preserve">When the unit was not issued to a remote storage location, VBECS compares the date and time recorded as the transfusion end time to the start date, calculates the transfusion time in minutes, and compares this period to the maximum transfusion time for the component class. When the calculated transfusion </w:t>
            </w:r>
            <w:r>
              <w:lastRenderedPageBreak/>
              <w:t xml:space="preserve">time for this unit exceeds the defined maximum transfusion time for the component class, VBECS notifies the user that this is a prolonged transfusion and allows the user to edit the transfusion end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tc>
      </w:tr>
      <w:tr w:rsidR="002A21AE" w14:paraId="33114C76" w14:textId="77777777">
        <w:tc>
          <w:tcPr>
            <w:tcW w:w="3240" w:type="dxa"/>
          </w:tcPr>
          <w:p w14:paraId="6041B5F4" w14:textId="77777777" w:rsidR="002A21AE" w:rsidRDefault="002A21AE">
            <w:pPr>
              <w:pStyle w:val="TableTextNumbers"/>
            </w:pPr>
            <w:r>
              <w:lastRenderedPageBreak/>
              <w:t>Respond to warnings or continue to enter data for the next unit.</w:t>
            </w:r>
          </w:p>
        </w:tc>
        <w:tc>
          <w:tcPr>
            <w:tcW w:w="6120" w:type="dxa"/>
          </w:tcPr>
          <w:p w14:paraId="53EE4C26" w14:textId="77777777" w:rsidR="002A21AE" w:rsidRDefault="002A21AE">
            <w:pPr>
              <w:pStyle w:val="TableTextBullet"/>
            </w:pPr>
            <w:r>
              <w:t>Allows the user to repeat for subsequent selected units until all details are entered.</w:t>
            </w:r>
          </w:p>
          <w:p w14:paraId="77EC26F7" w14:textId="77777777" w:rsidR="002A21AE" w:rsidRDefault="002A21AE">
            <w:pPr>
              <w:pStyle w:val="TableTextBullet"/>
            </w:pPr>
            <w:r>
              <w:t>Displays an option to save the data and exit.</w:t>
            </w:r>
          </w:p>
          <w:p w14:paraId="399FD7C7" w14:textId="77777777" w:rsidR="002A21AE" w:rsidRDefault="002A21AE">
            <w:pPr>
              <w:pStyle w:val="TableText"/>
            </w:pPr>
          </w:p>
          <w:p w14:paraId="4425C57C" w14:textId="2C165AE5" w:rsidR="002A21AE" w:rsidRDefault="002A21AE">
            <w:pPr>
              <w:pStyle w:val="TableText"/>
              <w:rPr>
                <w:b/>
                <w:bCs/>
                <w:szCs w:val="18"/>
              </w:rPr>
            </w:pPr>
            <w:r>
              <w:rPr>
                <w:b/>
                <w:bCs/>
                <w:szCs w:val="18"/>
              </w:rPr>
              <w:t>NOTES</w:t>
            </w:r>
          </w:p>
          <w:p w14:paraId="7815F7DE" w14:textId="77777777" w:rsidR="002A21AE" w:rsidRDefault="002A21AE">
            <w:pPr>
              <w:pStyle w:val="NotesText"/>
            </w:pPr>
          </w:p>
          <w:p w14:paraId="7DD2E6F9" w14:textId="77777777" w:rsidR="002A21AE" w:rsidRDefault="002A21AE">
            <w:pPr>
              <w:pStyle w:val="NotesText"/>
            </w:pPr>
            <w:r>
              <w:rPr>
                <w:rFonts w:cs="Arial"/>
                <w:vanish/>
              </w:rPr>
              <w:t xml:space="preserve">BR_69.13 </w:t>
            </w:r>
            <w:r>
              <w:t>VBECS saves all transfusion information for future retrieval and reporting as part of the patient and unit historic records.</w:t>
            </w:r>
          </w:p>
          <w:p w14:paraId="1EF3CAE1" w14:textId="77777777" w:rsidR="00D6556D" w:rsidRDefault="00D6556D">
            <w:pPr>
              <w:pStyle w:val="NotesText"/>
            </w:pPr>
          </w:p>
          <w:p w14:paraId="09BAED49" w14:textId="77777777" w:rsidR="00D6556D" w:rsidRDefault="005759DC" w:rsidP="005759DC">
            <w:pPr>
              <w:pStyle w:val="NotesText"/>
            </w:pPr>
            <w:r w:rsidRPr="00F91233">
              <w:rPr>
                <w:vanish/>
              </w:rPr>
              <w:t xml:space="preserve">BR_78.06 </w:t>
            </w:r>
            <w:r w:rsidR="00F91233">
              <w:t>VBECS notifies the user when DSS updates cannot be sent because Vis</w:t>
            </w:r>
            <w:r w:rsidR="00D6556D">
              <w:t>tALink is not active.</w:t>
            </w:r>
          </w:p>
          <w:p w14:paraId="632DD14D" w14:textId="77777777" w:rsidR="00D6556D" w:rsidRDefault="00D6556D" w:rsidP="005759DC">
            <w:pPr>
              <w:pStyle w:val="NotesText"/>
            </w:pPr>
          </w:p>
          <w:p w14:paraId="6FC35142" w14:textId="77777777" w:rsidR="005759DC" w:rsidRPr="005759DC" w:rsidRDefault="00D6556D" w:rsidP="00A2613A">
            <w:pPr>
              <w:pStyle w:val="NotesText"/>
            </w:pPr>
            <w:r w:rsidRPr="00CE602E">
              <w:rPr>
                <w:vanish/>
              </w:rPr>
              <w:t xml:space="preserve">BR_102.09 </w:t>
            </w:r>
            <w:r>
              <w:t>VBECS will attempt to resend the DSS information when VistA</w:t>
            </w:r>
            <w:r w:rsidR="00A2613A">
              <w:t>L</w:t>
            </w:r>
            <w:r>
              <w:t xml:space="preserve">ink is available after any user logs into the VBECS application’s </w:t>
            </w:r>
            <w:r w:rsidR="00A2613A">
              <w:t>VistALink</w:t>
            </w:r>
            <w:r>
              <w:t xml:space="preserve"> connection</w:t>
            </w:r>
          </w:p>
        </w:tc>
      </w:tr>
      <w:tr w:rsidR="002A21AE" w14:paraId="1E1204BA" w14:textId="77777777">
        <w:tc>
          <w:tcPr>
            <w:tcW w:w="3240" w:type="dxa"/>
          </w:tcPr>
          <w:p w14:paraId="39AF0B88"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B5A30E2" w14:textId="77777777" w:rsidR="002A21AE" w:rsidRDefault="002A21AE">
            <w:pPr>
              <w:pStyle w:val="TableText"/>
            </w:pPr>
          </w:p>
        </w:tc>
      </w:tr>
    </w:tbl>
    <w:p w14:paraId="344C1702" w14:textId="74CE26BD" w:rsidR="00AF4568" w:rsidRDefault="00AF4568" w:rsidP="00AF4568">
      <w:pPr>
        <w:pStyle w:val="Caption"/>
      </w:pPr>
      <w:bookmarkStart w:id="514" w:name="_Ref12760763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113</w:t>
      </w:r>
      <w:r w:rsidR="004E20BD">
        <w:rPr>
          <w:noProof/>
        </w:rPr>
        <w:fldChar w:fldCharType="end"/>
      </w:r>
      <w:bookmarkEnd w:id="514"/>
      <w:r>
        <w:t>: Post-Transfusion Information</w:t>
      </w:r>
    </w:p>
    <w:p w14:paraId="661B6D7C" w14:textId="4D5DA452" w:rsidR="002A21AE" w:rsidRDefault="009227D1" w:rsidP="00AF4568">
      <w:pPr>
        <w:pStyle w:val="BodyText"/>
      </w:pPr>
      <w:r>
        <w:rPr>
          <w:noProof/>
        </w:rPr>
        <w:drawing>
          <wp:inline distT="0" distB="0" distL="0" distR="0" wp14:anchorId="6F0B776F" wp14:editId="07358026">
            <wp:extent cx="5943600" cy="3448685"/>
            <wp:effectExtent l="0" t="0" r="0" b="0"/>
            <wp:docPr id="224" name="Picture 224" descr="Example of Post-Transfusion Inform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xample of Post-Transfusion Information screen captur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3448685"/>
                    </a:xfrm>
                    <a:prstGeom prst="rect">
                      <a:avLst/>
                    </a:prstGeom>
                    <a:noFill/>
                    <a:ln>
                      <a:noFill/>
                    </a:ln>
                  </pic:spPr>
                </pic:pic>
              </a:graphicData>
            </a:graphic>
          </wp:inline>
        </w:drawing>
      </w:r>
    </w:p>
    <w:p w14:paraId="45440C02" w14:textId="235232AE" w:rsidR="00AF4568" w:rsidRDefault="00AF4568" w:rsidP="00AF4568">
      <w:pPr>
        <w:pStyle w:val="Caption"/>
      </w:pPr>
      <w:bookmarkStart w:id="515" w:name="_Ref12760783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114</w:t>
      </w:r>
      <w:r w:rsidR="004E20BD">
        <w:rPr>
          <w:noProof/>
        </w:rPr>
        <w:fldChar w:fldCharType="end"/>
      </w:r>
      <w:bookmarkEnd w:id="515"/>
      <w:r>
        <w:t>: Post-Transfusion Information Details</w:t>
      </w:r>
    </w:p>
    <w:p w14:paraId="5E8D7A06" w14:textId="27A38C10" w:rsidR="00B8081D" w:rsidRDefault="009227D1" w:rsidP="00B8081D">
      <w:pPr>
        <w:pStyle w:val="BodyText"/>
      </w:pPr>
      <w:r>
        <w:rPr>
          <w:noProof/>
        </w:rPr>
        <w:drawing>
          <wp:inline distT="0" distB="0" distL="0" distR="0" wp14:anchorId="7DE4E668" wp14:editId="2A81F82A">
            <wp:extent cx="5943600" cy="4457700"/>
            <wp:effectExtent l="0" t="0" r="0" b="0"/>
            <wp:docPr id="1154" name="Picture 1154" descr="Example of Post-Transfusion Information Detail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Example of Post-Transfusion Information Details screen captur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48F1516" w14:textId="77777777" w:rsidR="00FE1ABC" w:rsidRDefault="00746454" w:rsidP="00FE1ABC">
      <w:pPr>
        <w:pStyle w:val="Heading4"/>
      </w:pPr>
      <w:r w:rsidRPr="008000E5">
        <w:rPr>
          <w:snapToGrid w:val="0"/>
        </w:rPr>
        <w:br w:type="page"/>
      </w:r>
      <w:r w:rsidR="00FE1ABC">
        <w:lastRenderedPageBreak/>
        <w:t>Automated Entry of Post-Transfusion Details from BCE COTS Application</w:t>
      </w:r>
      <w:r w:rsidR="00FE1ABC">
        <w:fldChar w:fldCharType="begin"/>
      </w:r>
      <w:r w:rsidR="00FE1ABC">
        <w:instrText xml:space="preserve"> XE “Automated Entry of Post-Transfusion Details from BCE COTS Application” </w:instrText>
      </w:r>
      <w:r w:rsidR="00FE1ABC">
        <w:fldChar w:fldCharType="end"/>
      </w:r>
    </w:p>
    <w:p w14:paraId="3028F630" w14:textId="77777777" w:rsidR="00FE1ABC" w:rsidRPr="002624D5" w:rsidRDefault="00FE1ABC" w:rsidP="00FE1ABC">
      <w:pPr>
        <w:pStyle w:val="BodyText"/>
      </w:pPr>
      <w:r w:rsidRPr="008D4EF9">
        <w:t xml:space="preserve">VBECS receives and saves the details of </w:t>
      </w:r>
      <w:r>
        <w:t xml:space="preserve">a </w:t>
      </w:r>
      <w:r w:rsidRPr="008D4EF9">
        <w:t>unit transfusion episode as recorded in the BCE COTS system</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1ABC" w14:paraId="128AEFCD"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2E795965" w14:textId="77777777" w:rsidR="00FE1ABC" w:rsidRDefault="00FE1ABC" w:rsidP="0087088B">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006735E3" w14:textId="77777777" w:rsidR="00FE1ABC" w:rsidRDefault="00FE1ABC" w:rsidP="0087088B">
            <w:pPr>
              <w:pStyle w:val="TableText"/>
              <w:rPr>
                <w:b/>
              </w:rPr>
            </w:pPr>
            <w:r>
              <w:rPr>
                <w:b/>
              </w:rPr>
              <w:t>VBECS</w:t>
            </w:r>
          </w:p>
        </w:tc>
      </w:tr>
      <w:tr w:rsidR="00FE1ABC" w14:paraId="30EA5E44" w14:textId="77777777">
        <w:tc>
          <w:tcPr>
            <w:tcW w:w="3240" w:type="dxa"/>
            <w:tcBorders>
              <w:top w:val="single" w:sz="4" w:space="0" w:color="auto"/>
              <w:left w:val="single" w:sz="4" w:space="0" w:color="auto"/>
              <w:bottom w:val="single" w:sz="4" w:space="0" w:color="auto"/>
              <w:right w:val="single" w:sz="4" w:space="0" w:color="auto"/>
            </w:tcBorders>
          </w:tcPr>
          <w:p w14:paraId="771E5700" w14:textId="22407484" w:rsidR="00FE1ABC" w:rsidRDefault="00FE1ABC" w:rsidP="0087088B">
            <w:pPr>
              <w:pStyle w:val="TableTextNumbers"/>
            </w:pPr>
            <w:r>
              <w:t>BCE COTS system user completes a transfusion for a patient which triggers a</w:t>
            </w:r>
            <w:r w:rsidR="00DB1399">
              <w:t>n</w:t>
            </w:r>
            <w:r>
              <w:t xml:space="preserve"> HL7 message containing transfusion information to VBECS</w:t>
            </w:r>
            <w:r w:rsidR="00C62A42">
              <w:t xml:space="preserve"> for a blood unit</w:t>
            </w:r>
            <w:r>
              <w:t>.</w:t>
            </w:r>
          </w:p>
        </w:tc>
        <w:tc>
          <w:tcPr>
            <w:tcW w:w="6120" w:type="dxa"/>
            <w:tcBorders>
              <w:top w:val="single" w:sz="4" w:space="0" w:color="auto"/>
              <w:left w:val="single" w:sz="4" w:space="0" w:color="auto"/>
              <w:bottom w:val="single" w:sz="4" w:space="0" w:color="auto"/>
              <w:right w:val="single" w:sz="4" w:space="0" w:color="auto"/>
            </w:tcBorders>
          </w:tcPr>
          <w:p w14:paraId="61FC86CD" w14:textId="77777777" w:rsidR="00FE1ABC" w:rsidRPr="00B607E6" w:rsidRDefault="00FE1ABC" w:rsidP="0087088B">
            <w:pPr>
              <w:pStyle w:val="TableTextBullet"/>
            </w:pPr>
            <w:r>
              <w:rPr>
                <w:rFonts w:cs="Arial"/>
                <w:vanish/>
                <w:szCs w:val="18"/>
              </w:rPr>
              <w:t>BR_69.23</w:t>
            </w:r>
            <w:r>
              <w:rPr>
                <w:rFonts w:cs="Arial"/>
                <w:szCs w:val="18"/>
              </w:rPr>
              <w:t xml:space="preserve"> </w:t>
            </w:r>
            <w:r w:rsidRPr="003878EB">
              <w:rPr>
                <w:rFonts w:cs="Arial"/>
                <w:szCs w:val="18"/>
              </w:rPr>
              <w:t>VBECS reject</w:t>
            </w:r>
            <w:r>
              <w:rPr>
                <w:rFonts w:cs="Arial"/>
                <w:szCs w:val="18"/>
              </w:rPr>
              <w:t>s</w:t>
            </w:r>
            <w:r w:rsidRPr="003878EB">
              <w:rPr>
                <w:rFonts w:cs="Arial"/>
                <w:szCs w:val="18"/>
              </w:rPr>
              <w:t xml:space="preserve"> a BCE COTS </w:t>
            </w:r>
            <w:r>
              <w:rPr>
                <w:rFonts w:cs="Arial"/>
                <w:szCs w:val="18"/>
              </w:rPr>
              <w:t>HL7</w:t>
            </w:r>
            <w:r w:rsidRPr="003878EB">
              <w:rPr>
                <w:rFonts w:cs="Arial"/>
                <w:szCs w:val="18"/>
              </w:rPr>
              <w:t xml:space="preserve"> message when data elements are not acceptable per the data entry rules for manual entry</w:t>
            </w:r>
            <w:r>
              <w:rPr>
                <w:rFonts w:cs="Arial"/>
                <w:szCs w:val="18"/>
              </w:rPr>
              <w:t>.</w:t>
            </w:r>
          </w:p>
          <w:p w14:paraId="2FCC56CB" w14:textId="77777777" w:rsidR="00FE1ABC" w:rsidRDefault="00FE1ABC" w:rsidP="0087088B">
            <w:pPr>
              <w:pStyle w:val="TableText"/>
            </w:pPr>
          </w:p>
          <w:p w14:paraId="4D2A67F0" w14:textId="70A9DCE1" w:rsidR="00FE1ABC" w:rsidRDefault="00FE1ABC" w:rsidP="0087088B">
            <w:pPr>
              <w:pStyle w:val="TableText"/>
              <w:rPr>
                <w:b/>
                <w:bCs/>
              </w:rPr>
            </w:pPr>
            <w:r>
              <w:rPr>
                <w:b/>
                <w:bCs/>
              </w:rPr>
              <w:t>NOTES</w:t>
            </w:r>
          </w:p>
          <w:p w14:paraId="6EE232E2" w14:textId="77777777" w:rsidR="00FE1ABC" w:rsidRDefault="00FE1ABC" w:rsidP="0087088B">
            <w:pPr>
              <w:pStyle w:val="NotesText"/>
            </w:pPr>
          </w:p>
          <w:p w14:paraId="76C6F9FD" w14:textId="77777777" w:rsidR="00FE1ABC" w:rsidRDefault="00FE1ABC" w:rsidP="0087088B">
            <w:pPr>
              <w:pStyle w:val="NotesText"/>
              <w:rPr>
                <w:rFonts w:cs="Arial"/>
              </w:rPr>
            </w:pPr>
            <w:r w:rsidRPr="00E51FC8">
              <w:rPr>
                <w:rFonts w:cs="Arial"/>
              </w:rPr>
              <w:t>Units that are not updated by a BCE COTS message will be marked presumed transfused 48 hours after issue by a VBECS background process.</w:t>
            </w:r>
          </w:p>
          <w:p w14:paraId="4A7162B5" w14:textId="77777777" w:rsidR="00A55D3A" w:rsidRDefault="00A55D3A" w:rsidP="0087088B">
            <w:pPr>
              <w:pStyle w:val="NotesText"/>
              <w:rPr>
                <w:rFonts w:cs="Arial"/>
              </w:rPr>
            </w:pPr>
          </w:p>
          <w:p w14:paraId="7AE4A712" w14:textId="77777777" w:rsidR="00A55D3A" w:rsidRPr="00E51FC8" w:rsidRDefault="00A55D3A" w:rsidP="0087088B">
            <w:pPr>
              <w:pStyle w:val="NotesText"/>
            </w:pPr>
            <w:r>
              <w:t>Transfusion information is available in the Unit History Report.</w:t>
            </w:r>
          </w:p>
        </w:tc>
      </w:tr>
      <w:tr w:rsidR="00FE1ABC" w14:paraId="79D0E9F6" w14:textId="77777777">
        <w:tc>
          <w:tcPr>
            <w:tcW w:w="3240" w:type="dxa"/>
            <w:tcBorders>
              <w:top w:val="single" w:sz="4" w:space="0" w:color="auto"/>
              <w:left w:val="single" w:sz="4" w:space="0" w:color="auto"/>
              <w:bottom w:val="single" w:sz="4" w:space="0" w:color="auto"/>
              <w:right w:val="single" w:sz="4" w:space="0" w:color="auto"/>
            </w:tcBorders>
          </w:tcPr>
          <w:p w14:paraId="2A2F32F1" w14:textId="77777777" w:rsidR="00FE1ABC" w:rsidRDefault="00FE1ABC" w:rsidP="0087088B">
            <w:pPr>
              <w:pStyle w:val="TableTextNumbers"/>
            </w:pPr>
            <w:r w:rsidRPr="003878EB">
              <w:rPr>
                <w:rFonts w:cs="Arial"/>
                <w:szCs w:val="18"/>
              </w:rPr>
              <w:t xml:space="preserve">VBECS </w:t>
            </w:r>
            <w:r>
              <w:rPr>
                <w:rFonts w:cs="Arial"/>
                <w:szCs w:val="18"/>
              </w:rPr>
              <w:t>updates</w:t>
            </w:r>
            <w:r w:rsidRPr="003878EB">
              <w:rPr>
                <w:rFonts w:cs="Arial"/>
                <w:szCs w:val="18"/>
              </w:rPr>
              <w:t xml:space="preserve"> the patient transfusion record with the details received in the successfully acknowledged HL7 message</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6FC21207" w14:textId="77777777" w:rsidR="00FE1ABC" w:rsidRDefault="00FE1ABC" w:rsidP="0087088B">
            <w:pPr>
              <w:pStyle w:val="TableTextBullet"/>
            </w:pPr>
            <w:r>
              <w:rPr>
                <w:vanish/>
              </w:rPr>
              <w:t xml:space="preserve">BR_69.21 </w:t>
            </w:r>
            <w:r>
              <w:t xml:space="preserve">VBECS generates an exception report entry: </w:t>
            </w:r>
            <w:r w:rsidRPr="00B6437A">
              <w:t>Electronic Transfusion Record Update when a BCE COTS update to a previously saved manually or electronically entered transfusion record is received.</w:t>
            </w:r>
          </w:p>
          <w:p w14:paraId="033A8584" w14:textId="77777777" w:rsidR="00FE1ABC" w:rsidRDefault="00FE1ABC" w:rsidP="0087088B">
            <w:pPr>
              <w:pStyle w:val="TableTextBullet"/>
            </w:pPr>
            <w:r w:rsidRPr="00E51FC8">
              <w:rPr>
                <w:vanish/>
              </w:rPr>
              <w:t xml:space="preserve">BR_69.20 </w:t>
            </w:r>
            <w:r w:rsidRPr="00E51FC8">
              <w:t>When an update to a previously saved transfusion record is made by BCE COTS or a user, VBECS will display the original entry and the updated details in the Patient History and Unit History Reports.</w:t>
            </w:r>
          </w:p>
          <w:p w14:paraId="7720CCE0" w14:textId="77777777" w:rsidR="00FE1ABC" w:rsidRDefault="00FE1ABC" w:rsidP="0087088B">
            <w:pPr>
              <w:pStyle w:val="TableText"/>
            </w:pPr>
          </w:p>
          <w:p w14:paraId="4060A8DC" w14:textId="3F8B8DD6" w:rsidR="00FE1ABC" w:rsidRDefault="00FE1ABC" w:rsidP="0087088B">
            <w:pPr>
              <w:pStyle w:val="TableText"/>
              <w:rPr>
                <w:b/>
                <w:bCs/>
              </w:rPr>
            </w:pPr>
            <w:r>
              <w:rPr>
                <w:b/>
                <w:bCs/>
              </w:rPr>
              <w:t>NOTES</w:t>
            </w:r>
          </w:p>
          <w:p w14:paraId="573AD7A9" w14:textId="77777777" w:rsidR="00FE1ABC" w:rsidRDefault="00FE1ABC" w:rsidP="0087088B">
            <w:pPr>
              <w:pStyle w:val="NotesText"/>
            </w:pPr>
          </w:p>
          <w:p w14:paraId="07706323" w14:textId="77777777" w:rsidR="00FE1ABC" w:rsidRDefault="00FE1ABC" w:rsidP="0087088B">
            <w:pPr>
              <w:pStyle w:val="NotesText"/>
            </w:pPr>
            <w:r w:rsidRPr="00847BD8">
              <w:rPr>
                <w:vanish/>
              </w:rPr>
              <w:t xml:space="preserve">BR_69.18 </w:t>
            </w:r>
            <w:r w:rsidRPr="001D3A9F">
              <w:t>The</w:t>
            </w:r>
            <w:r w:rsidRPr="003878EB">
              <w:t xml:space="preserve"> BCE COTS system delivers </w:t>
            </w:r>
            <w:r>
              <w:t xml:space="preserve">these patient and unit specific </w:t>
            </w:r>
            <w:r w:rsidRPr="003878EB">
              <w:t>trans</w:t>
            </w:r>
            <w:r>
              <w:t>fusion data elements to VBECS for update</w:t>
            </w:r>
          </w:p>
          <w:p w14:paraId="7D97E90A" w14:textId="77777777" w:rsidR="00FE1ABC" w:rsidRPr="003878EB" w:rsidRDefault="00FE1ABC" w:rsidP="0087088B">
            <w:pPr>
              <w:pStyle w:val="NotesTextBullet"/>
            </w:pPr>
            <w:r w:rsidRPr="003878EB">
              <w:t>Bedside verification date and time</w:t>
            </w:r>
          </w:p>
          <w:p w14:paraId="47D40EBB" w14:textId="21507E47" w:rsidR="00FE1ABC" w:rsidRPr="003878EB" w:rsidRDefault="00FE1ABC" w:rsidP="0087088B">
            <w:pPr>
              <w:pStyle w:val="NotesTextBullet"/>
            </w:pPr>
            <w:r w:rsidRPr="003878EB">
              <w:t xml:space="preserve">Transfusion </w:t>
            </w:r>
            <w:r>
              <w:t>verification m</w:t>
            </w:r>
            <w:r w:rsidRPr="003878EB">
              <w:t>anual</w:t>
            </w:r>
            <w:r>
              <w:t xml:space="preserve"> Unit ID entry reason </w:t>
            </w:r>
          </w:p>
          <w:p w14:paraId="2D45FD91" w14:textId="77777777" w:rsidR="00FE1ABC" w:rsidRPr="003878EB" w:rsidRDefault="00FE1ABC" w:rsidP="0087088B">
            <w:pPr>
              <w:pStyle w:val="NotesTextBullet"/>
            </w:pPr>
            <w:r w:rsidRPr="003878EB">
              <w:t>Transfusion Start date and time</w:t>
            </w:r>
          </w:p>
          <w:p w14:paraId="711D7126" w14:textId="77777777" w:rsidR="00FE1ABC" w:rsidRPr="003878EB" w:rsidRDefault="00FE1ABC" w:rsidP="0087088B">
            <w:pPr>
              <w:pStyle w:val="NotesTextBullet"/>
            </w:pPr>
            <w:r w:rsidRPr="003878EB">
              <w:t>Transfusionist ID #1</w:t>
            </w:r>
          </w:p>
          <w:p w14:paraId="118AB7F8" w14:textId="77777777" w:rsidR="00FE1ABC" w:rsidRPr="003878EB" w:rsidRDefault="00FE1ABC" w:rsidP="0087088B">
            <w:pPr>
              <w:pStyle w:val="NotesTextBullet"/>
            </w:pPr>
            <w:r w:rsidRPr="003878EB">
              <w:t>Transfusionist ID #2 (may be blank if so configured in BCE COTS application)</w:t>
            </w:r>
          </w:p>
          <w:p w14:paraId="11C04DA2" w14:textId="77777777" w:rsidR="00FE1ABC" w:rsidRPr="003878EB" w:rsidRDefault="00FE1ABC" w:rsidP="0087088B">
            <w:pPr>
              <w:pStyle w:val="NotesTextBullet"/>
            </w:pPr>
            <w:r w:rsidRPr="003878EB">
              <w:t>Transfusion End Date and time</w:t>
            </w:r>
          </w:p>
          <w:p w14:paraId="196EFD98" w14:textId="77777777" w:rsidR="00FE1ABC" w:rsidRPr="003878EB" w:rsidRDefault="00FE1ABC" w:rsidP="0087088B">
            <w:pPr>
              <w:pStyle w:val="NotesTextBullet"/>
            </w:pPr>
            <w:r w:rsidRPr="003878EB">
              <w:t>Patient location at Transfusion</w:t>
            </w:r>
          </w:p>
          <w:p w14:paraId="52037D78" w14:textId="77777777" w:rsidR="00FE1ABC" w:rsidRPr="003878EB" w:rsidRDefault="00FE1ABC" w:rsidP="0087088B">
            <w:pPr>
              <w:pStyle w:val="NotesTextBullet"/>
            </w:pPr>
            <w:r w:rsidRPr="003878EB">
              <w:t>Transfusion interrupted indicator</w:t>
            </w:r>
          </w:p>
          <w:p w14:paraId="6AF148D8" w14:textId="77777777" w:rsidR="00FE1ABC" w:rsidRPr="003878EB" w:rsidRDefault="00FE1ABC" w:rsidP="0087088B">
            <w:pPr>
              <w:pStyle w:val="NotesTextBullet"/>
            </w:pPr>
            <w:r w:rsidRPr="003878EB">
              <w:t>Transfused volume, (ml not in fractions by the BCE COTS)</w:t>
            </w:r>
          </w:p>
          <w:p w14:paraId="45848805" w14:textId="77777777" w:rsidR="00FE1ABC" w:rsidRDefault="00FE1ABC" w:rsidP="0087088B">
            <w:pPr>
              <w:pStyle w:val="NotesTextBullet"/>
            </w:pPr>
            <w:r w:rsidRPr="003878EB">
              <w:t>Transfusion Reaction noted</w:t>
            </w:r>
          </w:p>
          <w:p w14:paraId="086303E8" w14:textId="77777777" w:rsidR="00FE1ABC" w:rsidRPr="003878EB" w:rsidRDefault="00FE1ABC" w:rsidP="0087088B">
            <w:pPr>
              <w:pStyle w:val="NotesTextBullet"/>
            </w:pPr>
            <w:r w:rsidRPr="003878EB">
              <w:t>Transfusion Reactions symptoms entered, if any</w:t>
            </w:r>
          </w:p>
          <w:p w14:paraId="599997D2" w14:textId="77777777" w:rsidR="00FE1ABC" w:rsidRDefault="00FE1ABC" w:rsidP="0087088B">
            <w:pPr>
              <w:pStyle w:val="NotesTextBullet"/>
            </w:pPr>
            <w:r w:rsidRPr="003878EB">
              <w:t>Transfusion comments, if any</w:t>
            </w:r>
          </w:p>
          <w:p w14:paraId="74624A7F" w14:textId="77777777" w:rsidR="00FE1ABC" w:rsidRDefault="00FE1ABC" w:rsidP="0087088B">
            <w:pPr>
              <w:pStyle w:val="NotesTextBullet"/>
              <w:numPr>
                <w:ilvl w:val="0"/>
                <w:numId w:val="0"/>
              </w:numPr>
              <w:ind w:left="1008"/>
            </w:pPr>
          </w:p>
        </w:tc>
      </w:tr>
    </w:tbl>
    <w:p w14:paraId="5EAC7E12" w14:textId="77777777" w:rsidR="002A21AE" w:rsidRPr="008000E5" w:rsidRDefault="00FE1ABC" w:rsidP="00542C41">
      <w:pPr>
        <w:pStyle w:val="Heading2"/>
      </w:pPr>
      <w:r>
        <w:rPr>
          <w:snapToGrid w:val="0"/>
        </w:rPr>
        <w:br w:type="page"/>
      </w:r>
      <w:bookmarkStart w:id="516" w:name="_Toc163644961"/>
      <w:r w:rsidR="002A21AE" w:rsidRPr="008000E5">
        <w:rPr>
          <w:snapToGrid w:val="0"/>
        </w:rPr>
        <w:lastRenderedPageBreak/>
        <w:t>Document ABO Incompatible Transfusions</w:t>
      </w:r>
      <w:bookmarkEnd w:id="516"/>
      <w:r w:rsidR="002A21AE" w:rsidRPr="00014BE4">
        <w:fldChar w:fldCharType="begin"/>
      </w:r>
      <w:r w:rsidR="002A21AE" w:rsidRPr="008000E5">
        <w:instrText xml:space="preserve"> XE </w:instrText>
      </w:r>
      <w:r w:rsidR="00FA7E65" w:rsidRPr="008000E5">
        <w:instrText>“</w:instrText>
      </w:r>
      <w:r w:rsidR="002A21AE" w:rsidRPr="008000E5">
        <w:instrText>Document ABO Incompatible Transfusions</w:instrText>
      </w:r>
      <w:r w:rsidR="00FA7E65" w:rsidRPr="008000E5">
        <w:instrText>”</w:instrText>
      </w:r>
      <w:r w:rsidR="002A21AE" w:rsidRPr="008000E5">
        <w:instrText xml:space="preserve"> </w:instrText>
      </w:r>
      <w:r w:rsidR="002A21AE" w:rsidRPr="00014BE4">
        <w:fldChar w:fldCharType="end"/>
      </w:r>
      <w:r w:rsidR="002A21AE" w:rsidRPr="00F854CF">
        <w:rPr>
          <w:rFonts w:ascii="Arial Bold" w:hAnsi="Arial Bold"/>
          <w:vanish/>
        </w:rPr>
        <w:t xml:space="preserve"> UC_69</w:t>
      </w:r>
    </w:p>
    <w:p w14:paraId="1A6D748C" w14:textId="16A2C8D5" w:rsidR="002A21AE" w:rsidRDefault="002A21AE" w:rsidP="00FA7E65">
      <w:pPr>
        <w:pStyle w:val="BodyText"/>
      </w:pPr>
      <w:bookmarkStart w:id="517" w:name="_Toc77405565"/>
      <w:r>
        <w:t>The user enters post-transfusion details from the Blood Transfusion Record Form (BTRF) to document ABO incompatible and other inadvertent transfusions.</w:t>
      </w:r>
      <w:r w:rsidR="00751497">
        <w:t xml:space="preserve"> (See </w:t>
      </w:r>
      <w:r w:rsidR="00751497" w:rsidRPr="00423A7F">
        <w:rPr>
          <w:i/>
          <w:iCs/>
        </w:rPr>
        <w:t>FAQ Handling ABO Incompatible Transfusion Situations</w:t>
      </w:r>
      <w:r w:rsidR="008470B0">
        <w:t>)</w:t>
      </w:r>
    </w:p>
    <w:p w14:paraId="741CE9EF" w14:textId="77777777" w:rsidR="002A21AE" w:rsidRDefault="002A21AE">
      <w:pPr>
        <w:pStyle w:val="Heading4"/>
      </w:pPr>
      <w:r>
        <w:t>Assumptions</w:t>
      </w:r>
    </w:p>
    <w:p w14:paraId="1447762E" w14:textId="77777777" w:rsidR="002A21AE" w:rsidRDefault="007C7B04" w:rsidP="007C7B04">
      <w:pPr>
        <w:pStyle w:val="ListBullet"/>
      </w:pPr>
      <w:r w:rsidRPr="00554296">
        <w:rPr>
          <w:rFonts w:eastAsia="Arial Unicode MS"/>
        </w:rPr>
        <w:t xml:space="preserve">A </w:t>
      </w:r>
      <w:r w:rsidRPr="007C7B04">
        <w:t>unit</w:t>
      </w:r>
      <w:r w:rsidR="00B26579">
        <w:rPr>
          <w:rFonts w:eastAsia="Arial Unicode MS"/>
        </w:rPr>
        <w:t xml:space="preserve"> was transfused to a patient</w:t>
      </w:r>
      <w:r w:rsidRPr="00554296">
        <w:rPr>
          <w:rFonts w:eastAsia="Arial Unicode MS"/>
        </w:rPr>
        <w:t xml:space="preserve"> other than the intended recipient</w:t>
      </w:r>
      <w:r w:rsidR="002A21AE">
        <w:t xml:space="preserve">. </w:t>
      </w:r>
    </w:p>
    <w:p w14:paraId="148D7C09" w14:textId="77777777" w:rsidR="00132F6A" w:rsidRDefault="00132F6A" w:rsidP="00132F6A">
      <w:pPr>
        <w:pStyle w:val="ListBullet"/>
      </w:pPr>
      <w:r>
        <w:t xml:space="preserve">The connection to </w:t>
      </w:r>
      <w:r w:rsidRPr="00CA6E27">
        <w:rPr>
          <w:bCs/>
        </w:rPr>
        <w:t>VistA</w:t>
      </w:r>
      <w:r>
        <w:t xml:space="preserve"> is active.</w:t>
      </w:r>
    </w:p>
    <w:p w14:paraId="12DC1706" w14:textId="77777777" w:rsidR="002A21AE" w:rsidRDefault="002A21AE">
      <w:pPr>
        <w:pStyle w:val="Heading4"/>
      </w:pPr>
      <w:r>
        <w:t>Outcome</w:t>
      </w:r>
    </w:p>
    <w:p w14:paraId="206C0C09" w14:textId="77777777" w:rsidR="002A21AE" w:rsidRDefault="002A21AE">
      <w:pPr>
        <w:pStyle w:val="ListBullet"/>
      </w:pPr>
      <w:r>
        <w:t>The unit status is updated to “transfused.”</w:t>
      </w:r>
    </w:p>
    <w:p w14:paraId="6C167A5A" w14:textId="77777777" w:rsidR="002A21AE" w:rsidRDefault="002A21AE">
      <w:pPr>
        <w:pStyle w:val="ListBullet"/>
      </w:pPr>
      <w:r>
        <w:t>The patient record includes the blood transfusion information.</w:t>
      </w:r>
    </w:p>
    <w:p w14:paraId="3560BAAB" w14:textId="77777777" w:rsidR="002A21AE" w:rsidRDefault="002A21AE">
      <w:pPr>
        <w:pStyle w:val="Heading4"/>
      </w:pPr>
      <w:r>
        <w:t>Limitations and Restrictions</w:t>
      </w:r>
    </w:p>
    <w:p w14:paraId="5AE60238" w14:textId="77777777" w:rsidR="002A21AE" w:rsidRDefault="002A21AE">
      <w:pPr>
        <w:pStyle w:val="ListBullet"/>
      </w:pPr>
      <w:r>
        <w:t>VBECS does not enforce compatibility checks between the patient and the unit.</w:t>
      </w:r>
    </w:p>
    <w:p w14:paraId="44EFFEDA" w14:textId="77777777" w:rsidR="003427EE" w:rsidRDefault="003427EE" w:rsidP="003427EE">
      <w:pPr>
        <w:pStyle w:val="ListBullet"/>
      </w:pPr>
      <w:r>
        <w:t>VBECS does not update CPRS component order status when the Document ABO Incompatible Transfusion option is used.</w:t>
      </w:r>
    </w:p>
    <w:p w14:paraId="4610C93C" w14:textId="77777777" w:rsidR="002A21AE" w:rsidRDefault="002A21AE">
      <w:pPr>
        <w:pStyle w:val="Heading4"/>
      </w:pPr>
      <w:r>
        <w:t>Additional Information</w:t>
      </w:r>
    </w:p>
    <w:p w14:paraId="0D04ED0C" w14:textId="77777777" w:rsidR="002A21AE" w:rsidRDefault="001E7158">
      <w:pPr>
        <w:pStyle w:val="ListBullet"/>
      </w:pPr>
      <w:r>
        <w:t>FDA guidances</w:t>
      </w:r>
      <w:r w:rsidR="005215D6">
        <w:t xml:space="preserve"> govern when to file blood product deviation reports</w:t>
      </w:r>
      <w:r w:rsidR="002A21AE">
        <w:t>.</w:t>
      </w:r>
    </w:p>
    <w:p w14:paraId="1106AE91" w14:textId="77777777" w:rsidR="00774A57" w:rsidRDefault="00774A57">
      <w:pPr>
        <w:pStyle w:val="ListBullet"/>
      </w:pPr>
      <w:r>
        <w:t>Follow local policy</w:t>
      </w:r>
      <w:r w:rsidR="001A0BF6">
        <w:t xml:space="preserve"> and procedures</w:t>
      </w:r>
      <w:r>
        <w:t xml:space="preserve"> for additional reporting requirements.</w:t>
      </w:r>
    </w:p>
    <w:p w14:paraId="4863B5E9" w14:textId="3CB44283" w:rsidR="00721A8D" w:rsidRDefault="00014BE4">
      <w:pPr>
        <w:pStyle w:val="ListBullet"/>
      </w:pPr>
      <w:r>
        <w:t xml:space="preserve">VBECS requires a specimen and an order placed through CPRS to process transfusions. </w:t>
      </w:r>
      <w:r w:rsidR="00721A8D">
        <w:t>When a patient was transfused and no specimen was collected or order placed for blood components,</w:t>
      </w:r>
      <w:r w:rsidR="003D71A3">
        <w:t xml:space="preserve"> </w:t>
      </w:r>
      <w:r w:rsidR="00721A8D" w:rsidRPr="00014BE4">
        <w:t xml:space="preserve">the user may </w:t>
      </w:r>
      <w:r w:rsidR="00721A8D">
        <w:t>record</w:t>
      </w:r>
      <w:r w:rsidR="00721A8D" w:rsidRPr="00014BE4">
        <w:t xml:space="preserve"> the transfusion using </w:t>
      </w:r>
      <w:r w:rsidR="00721A8D">
        <w:t xml:space="preserve">this </w:t>
      </w:r>
      <w:r w:rsidR="00721A8D" w:rsidRPr="00014BE4">
        <w:t>option</w:t>
      </w:r>
      <w:r w:rsidR="00721A8D">
        <w:t>.</w:t>
      </w:r>
      <w:r w:rsidR="004E7582" w:rsidRPr="004E7582">
        <w:rPr>
          <w:vanish/>
        </w:rPr>
        <w:t xml:space="preserve"> UserDoc Task 1087</w:t>
      </w:r>
    </w:p>
    <w:p w14:paraId="6A6865EB" w14:textId="1B8319E9" w:rsidR="00BC1FE7" w:rsidRDefault="00BC1FE7">
      <w:pPr>
        <w:pStyle w:val="ListBullet"/>
      </w:pPr>
      <w:r>
        <w:t>A record</w:t>
      </w:r>
      <w:r w:rsidR="002B6600">
        <w:t xml:space="preserve"> can be saved without entering the amount transfused and the Transfusion Interrupted option is selected. Enter the amount transfused before saving the transfusion. </w:t>
      </w:r>
      <w:r w:rsidR="002B6600" w:rsidRPr="002B6600">
        <w:rPr>
          <w:vanish/>
        </w:rPr>
        <w:t>Defect 2099</w:t>
      </w:r>
      <w:r w:rsidR="00CA745C">
        <w:rPr>
          <w:vanish/>
        </w:rPr>
        <w:t>9</w:t>
      </w:r>
      <w:r w:rsidR="002B6600" w:rsidRPr="002B6600">
        <w:rPr>
          <w:vanish/>
        </w:rPr>
        <w:t>2</w:t>
      </w:r>
    </w:p>
    <w:p w14:paraId="34467F31" w14:textId="77777777" w:rsidR="002A21AE" w:rsidRDefault="002A21AE">
      <w:pPr>
        <w:pStyle w:val="Heading4"/>
      </w:pPr>
      <w:r>
        <w:t>User Roles with Access to This Option</w:t>
      </w:r>
    </w:p>
    <w:p w14:paraId="0F8A4296" w14:textId="77777777" w:rsidR="002A21AE" w:rsidRDefault="007D4E77">
      <w:pPr>
        <w:pStyle w:val="Roles"/>
        <w:rPr>
          <w:snapToGrid w:val="0"/>
        </w:rPr>
      </w:pP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Traditional Supervisor</w:t>
      </w:r>
    </w:p>
    <w:bookmarkEnd w:id="517"/>
    <w:p w14:paraId="4629286B" w14:textId="77777777" w:rsidR="002A21AE" w:rsidRDefault="002A21AE">
      <w:pPr>
        <w:pStyle w:val="Heading4"/>
      </w:pPr>
      <w:r>
        <w:t>Document ABO Incompatible Transfusions</w:t>
      </w:r>
    </w:p>
    <w:p w14:paraId="340065FE" w14:textId="77777777" w:rsidR="009D00C1" w:rsidRDefault="009D00C1" w:rsidP="00FA7E65">
      <w:pPr>
        <w:pStyle w:val="BodyText"/>
      </w:pPr>
      <w:r>
        <w:t>When a unit is transfused to the incorrect patient</w:t>
      </w:r>
      <w:r w:rsidR="00F90DFB">
        <w:t xml:space="preserve">, </w:t>
      </w:r>
      <w:r>
        <w:t>t</w:t>
      </w:r>
      <w:r w:rsidR="002A21AE">
        <w:t xml:space="preserve">he user enters transfusion details for </w:t>
      </w:r>
      <w:r>
        <w:t xml:space="preserve">that unit. </w:t>
      </w:r>
    </w:p>
    <w:p w14:paraId="0E5581F1" w14:textId="77777777" w:rsidR="002A21AE" w:rsidRDefault="00057948" w:rsidP="00DC645C">
      <w:pPr>
        <w:pStyle w:val="Caution"/>
      </w:pPr>
      <w:r>
        <w:rPr>
          <w:noProof/>
        </w:rPr>
        <w:drawing>
          <wp:inline distT="0" distB="0" distL="0" distR="0" wp14:anchorId="1BF92278" wp14:editId="225BAB95">
            <wp:extent cx="267970" cy="221615"/>
            <wp:effectExtent l="0" t="0" r="0" b="6985"/>
            <wp:docPr id="260" name="Picture 26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C645C">
        <w:t xml:space="preserve"> </w:t>
      </w:r>
      <w:r w:rsidR="002A21AE">
        <w:t>VBECS does not enforce compatibility checks to allow consistent and accurate online availability of a unit’s final disposition.</w:t>
      </w:r>
      <w:r w:rsidR="002A21AE">
        <w:rPr>
          <w:b/>
        </w:rPr>
        <w:t xml:space="preserve"> </w:t>
      </w:r>
      <w:r w:rsidR="002A21AE">
        <w:t xml:space="preserve">Use of this </w:t>
      </w:r>
      <w:r w:rsidR="00932460">
        <w:t>option</w:t>
      </w:r>
      <w:r w:rsidR="002A21AE">
        <w:t xml:space="preserve"> is restricted to supervisory blood bank personnel who have thoroughly investigated the transfusion and documented the inability to use normal VBECS business processes to enter the transfusion documentation.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C5A709" w14:textId="77777777">
        <w:trPr>
          <w:cantSplit/>
          <w:tblHeader/>
        </w:trPr>
        <w:tc>
          <w:tcPr>
            <w:tcW w:w="3240" w:type="dxa"/>
            <w:shd w:val="pct30" w:color="auto" w:fill="FFFFFF"/>
            <w:vAlign w:val="bottom"/>
          </w:tcPr>
          <w:p w14:paraId="0166A4AA" w14:textId="77777777" w:rsidR="002A21AE" w:rsidRDefault="002A21AE">
            <w:pPr>
              <w:pStyle w:val="TableText"/>
              <w:rPr>
                <w:b/>
              </w:rPr>
            </w:pPr>
            <w:r>
              <w:rPr>
                <w:b/>
              </w:rPr>
              <w:t>User Action</w:t>
            </w:r>
          </w:p>
        </w:tc>
        <w:tc>
          <w:tcPr>
            <w:tcW w:w="6120" w:type="dxa"/>
            <w:shd w:val="pct30" w:color="auto" w:fill="FFFFFF"/>
            <w:vAlign w:val="bottom"/>
          </w:tcPr>
          <w:p w14:paraId="59C7C461" w14:textId="77777777" w:rsidR="002A21AE" w:rsidRDefault="002A21AE">
            <w:pPr>
              <w:pStyle w:val="TableText"/>
              <w:rPr>
                <w:b/>
              </w:rPr>
            </w:pPr>
            <w:r>
              <w:rPr>
                <w:b/>
              </w:rPr>
              <w:t>VBECS</w:t>
            </w:r>
          </w:p>
        </w:tc>
      </w:tr>
      <w:tr w:rsidR="002A21AE" w14:paraId="7036764C" w14:textId="77777777">
        <w:tc>
          <w:tcPr>
            <w:tcW w:w="3240" w:type="dxa"/>
            <w:tcBorders>
              <w:top w:val="single" w:sz="4" w:space="0" w:color="auto"/>
              <w:left w:val="single" w:sz="4" w:space="0" w:color="auto"/>
              <w:bottom w:val="single" w:sz="4" w:space="0" w:color="auto"/>
              <w:right w:val="single" w:sz="4" w:space="0" w:color="auto"/>
            </w:tcBorders>
          </w:tcPr>
          <w:p w14:paraId="3CA5FBDB" w14:textId="77777777" w:rsidR="002A21AE" w:rsidRDefault="002A21AE">
            <w:pPr>
              <w:pStyle w:val="TableTextNumbers"/>
            </w:pPr>
            <w:r>
              <w:t xml:space="preserve">Select </w:t>
            </w:r>
            <w:r>
              <w:rPr>
                <w:b/>
              </w:rPr>
              <w:t>Supervisor</w:t>
            </w:r>
            <w:r>
              <w:t xml:space="preserve"> from the main menu.</w:t>
            </w:r>
          </w:p>
          <w:p w14:paraId="46BBD680" w14:textId="77777777" w:rsidR="002A21AE" w:rsidRDefault="002A21AE">
            <w:pPr>
              <w:pStyle w:val="TableTextNumbersContinued"/>
            </w:pPr>
          </w:p>
          <w:p w14:paraId="2F20D374" w14:textId="77777777" w:rsidR="002A21AE" w:rsidRPr="001E3F01" w:rsidRDefault="002A21AE">
            <w:pPr>
              <w:pStyle w:val="TableTextNumbersContinued"/>
              <w:rPr>
                <w:lang w:val="fr-CA"/>
              </w:rPr>
            </w:pPr>
            <w:r w:rsidRPr="001E3F01">
              <w:rPr>
                <w:lang w:val="fr-CA"/>
              </w:rPr>
              <w:t xml:space="preserve">Select </w:t>
            </w:r>
            <w:r w:rsidRPr="001E3F01">
              <w:rPr>
                <w:b/>
                <w:lang w:val="fr-CA"/>
              </w:rPr>
              <w:t>Document ABO Incompatible Transfusion</w:t>
            </w:r>
            <w:r w:rsidRPr="001E3F01">
              <w:rPr>
                <w:lang w:val="fr-CA"/>
              </w:rPr>
              <w:t>.</w:t>
            </w:r>
          </w:p>
        </w:tc>
        <w:tc>
          <w:tcPr>
            <w:tcW w:w="6120" w:type="dxa"/>
            <w:tcBorders>
              <w:top w:val="single" w:sz="4" w:space="0" w:color="auto"/>
              <w:left w:val="single" w:sz="4" w:space="0" w:color="auto"/>
              <w:bottom w:val="single" w:sz="4" w:space="0" w:color="auto"/>
              <w:right w:val="single" w:sz="4" w:space="0" w:color="auto"/>
            </w:tcBorders>
          </w:tcPr>
          <w:p w14:paraId="195CD2A6" w14:textId="77777777" w:rsidR="002A21AE" w:rsidRDefault="002A21AE">
            <w:pPr>
              <w:pStyle w:val="TableTextBullet"/>
            </w:pPr>
            <w:r>
              <w:t>Displays options for processing patient-related functions.</w:t>
            </w:r>
          </w:p>
          <w:p w14:paraId="1909E50D" w14:textId="77777777" w:rsidR="002A21AE" w:rsidRDefault="002A21AE">
            <w:pPr>
              <w:pStyle w:val="TableTextBullet"/>
            </w:pPr>
            <w:r>
              <w:t>Displays an option to scan the Caution Tag or enter a patient name or ID.</w:t>
            </w:r>
          </w:p>
          <w:p w14:paraId="2BA4E6C9" w14:textId="77777777" w:rsidR="002A21AE" w:rsidRDefault="002A21AE">
            <w:pPr>
              <w:pStyle w:val="NotesText"/>
            </w:pPr>
          </w:p>
        </w:tc>
      </w:tr>
      <w:tr w:rsidR="002A21AE" w14:paraId="0E85F3BA" w14:textId="77777777" w:rsidTr="00F3651E">
        <w:trPr>
          <w:cantSplit/>
        </w:trPr>
        <w:tc>
          <w:tcPr>
            <w:tcW w:w="3240" w:type="dxa"/>
          </w:tcPr>
          <w:p w14:paraId="7465342C" w14:textId="77777777" w:rsidR="002A21AE" w:rsidRDefault="002A21AE">
            <w:pPr>
              <w:pStyle w:val="TableTextNumbers"/>
            </w:pPr>
            <w:r>
              <w:lastRenderedPageBreak/>
              <w:t xml:space="preserve">Select a patient and click </w:t>
            </w:r>
            <w:r>
              <w:rPr>
                <w:b/>
              </w:rPr>
              <w:t>OK</w:t>
            </w:r>
            <w:r>
              <w:t>.</w:t>
            </w:r>
          </w:p>
        </w:tc>
        <w:tc>
          <w:tcPr>
            <w:tcW w:w="6120" w:type="dxa"/>
          </w:tcPr>
          <w:p w14:paraId="698F71D8" w14:textId="77777777" w:rsidR="001C50C2" w:rsidRDefault="002A21AE" w:rsidP="001C50C2">
            <w:pPr>
              <w:pStyle w:val="TableText"/>
            </w:pPr>
            <w:r>
              <w:t>Displays an option to select a patient that may not be available from the VBECS files.</w:t>
            </w:r>
            <w:r w:rsidR="001C50C2">
              <w:t xml:space="preserve"> </w:t>
            </w:r>
          </w:p>
          <w:p w14:paraId="3F0F6108" w14:textId="77777777" w:rsidR="001C50C2" w:rsidRDefault="001C50C2" w:rsidP="001C50C2">
            <w:pPr>
              <w:pStyle w:val="TableText"/>
            </w:pPr>
          </w:p>
          <w:p w14:paraId="4C0A4985" w14:textId="67CD2C5F" w:rsidR="001C50C2" w:rsidRDefault="001C50C2" w:rsidP="001C50C2">
            <w:pPr>
              <w:pStyle w:val="TableText"/>
            </w:pPr>
            <w:r>
              <w:rPr>
                <w:b/>
                <w:bCs/>
                <w:szCs w:val="18"/>
              </w:rPr>
              <w:t>NOTES</w:t>
            </w:r>
          </w:p>
          <w:p w14:paraId="41B35672" w14:textId="77777777" w:rsidR="001C50C2" w:rsidRDefault="001C50C2" w:rsidP="001C50C2">
            <w:pPr>
              <w:pStyle w:val="TableTextBullet"/>
              <w:numPr>
                <w:ilvl w:val="0"/>
                <w:numId w:val="0"/>
              </w:numPr>
              <w:ind w:left="288" w:hanging="288"/>
              <w:rPr>
                <w:rFonts w:cs="Arial"/>
              </w:rPr>
            </w:pPr>
          </w:p>
          <w:p w14:paraId="1808392B" w14:textId="77777777" w:rsidR="001C50C2" w:rsidRDefault="001C50C2" w:rsidP="001C50C2">
            <w:pPr>
              <w:pStyle w:val="TableTextBullet"/>
              <w:numPr>
                <w:ilvl w:val="0"/>
                <w:numId w:val="0"/>
              </w:numPr>
              <w:ind w:left="720"/>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tc>
      </w:tr>
      <w:tr w:rsidR="002A21AE" w14:paraId="74FAD4C0" w14:textId="77777777">
        <w:tc>
          <w:tcPr>
            <w:tcW w:w="3240" w:type="dxa"/>
          </w:tcPr>
          <w:p w14:paraId="43E3D686" w14:textId="77777777" w:rsidR="002A21AE" w:rsidRDefault="0087088B" w:rsidP="0087088B">
            <w:pPr>
              <w:pStyle w:val="TableTextNumbers"/>
            </w:pPr>
            <w:r>
              <w:t xml:space="preserve">Select a </w:t>
            </w:r>
            <w:r w:rsidR="00922AD8">
              <w:t>unit to</w:t>
            </w:r>
            <w:r w:rsidR="002A21AE">
              <w:t xml:space="preserve"> document a</w:t>
            </w:r>
            <w:r w:rsidR="00B26579">
              <w:t xml:space="preserve"> </w:t>
            </w:r>
            <w:r w:rsidR="002A21AE">
              <w:t>transfusion</w:t>
            </w:r>
            <w:r w:rsidR="00F37D55">
              <w:t xml:space="preserve"> that does not follow system rules</w:t>
            </w:r>
            <w:r w:rsidR="002A21AE">
              <w:t>.</w:t>
            </w:r>
          </w:p>
        </w:tc>
        <w:tc>
          <w:tcPr>
            <w:tcW w:w="6120" w:type="dxa"/>
          </w:tcPr>
          <w:p w14:paraId="16A9B61D" w14:textId="77777777" w:rsidR="002A21AE" w:rsidRDefault="002A21AE">
            <w:pPr>
              <w:pStyle w:val="TableTextBullet"/>
            </w:pPr>
            <w:r>
              <w:t>Displays an option to enter a unit ID and product code or search for one.</w:t>
            </w:r>
          </w:p>
          <w:p w14:paraId="07BC2B70" w14:textId="77777777" w:rsidR="002A21AE" w:rsidRDefault="002A21AE">
            <w:pPr>
              <w:pStyle w:val="TableText"/>
            </w:pPr>
          </w:p>
          <w:p w14:paraId="58DB244E" w14:textId="452C2C5A" w:rsidR="002A21AE" w:rsidRDefault="002A21AE">
            <w:pPr>
              <w:pStyle w:val="TableText"/>
              <w:rPr>
                <w:b/>
                <w:bCs/>
                <w:szCs w:val="18"/>
              </w:rPr>
            </w:pPr>
            <w:r>
              <w:rPr>
                <w:b/>
                <w:bCs/>
                <w:szCs w:val="18"/>
              </w:rPr>
              <w:t>NOTES</w:t>
            </w:r>
          </w:p>
          <w:p w14:paraId="6A0C9C26" w14:textId="77777777" w:rsidR="002A21AE" w:rsidRDefault="002A21AE">
            <w:pPr>
              <w:pStyle w:val="NotesText"/>
            </w:pPr>
          </w:p>
          <w:p w14:paraId="710ECD4E" w14:textId="52AD1627" w:rsidR="007F00C5" w:rsidRPr="002B5E51" w:rsidRDefault="007F00C5" w:rsidP="007F00C5">
            <w:pPr>
              <w:pStyle w:val="NotesText"/>
              <w:rPr>
                <w:rFonts w:cs="Arial"/>
                <w:vanish/>
              </w:rPr>
            </w:pPr>
            <w:r>
              <w:rPr>
                <w:rFonts w:cs="Arial"/>
              </w:rPr>
              <w:t>VBECS presents all units in the system for selection when the search button is used. This search will require time to complete as the number of units to display increases.</w:t>
            </w:r>
            <w:r w:rsidR="00B878DF">
              <w:rPr>
                <w:rFonts w:cs="Arial"/>
              </w:rPr>
              <w:t xml:space="preserve"> </w:t>
            </w:r>
            <w:r>
              <w:rPr>
                <w:rFonts w:cs="Arial"/>
                <w:vanish/>
              </w:rPr>
              <w:t xml:space="preserve"> DR 3516</w:t>
            </w:r>
          </w:p>
          <w:p w14:paraId="5FE725DD" w14:textId="77777777" w:rsidR="007F00C5" w:rsidRDefault="007F00C5" w:rsidP="007F00C5">
            <w:pPr>
              <w:pStyle w:val="NotesText"/>
              <w:rPr>
                <w:rFonts w:cs="Arial"/>
                <w:vanish/>
              </w:rPr>
            </w:pPr>
          </w:p>
          <w:p w14:paraId="41A48B4B" w14:textId="77777777" w:rsidR="007F00C5" w:rsidRDefault="007F00C5" w:rsidP="007F00C5">
            <w:pPr>
              <w:pStyle w:val="NotesText"/>
            </w:pPr>
            <w:r>
              <w:rPr>
                <w:rFonts w:cs="Arial"/>
                <w:vanish/>
              </w:rPr>
              <w:t xml:space="preserve">BR_69.14 </w:t>
            </w:r>
            <w:r>
              <w:t>VBECS does not enforce compatibility checks in this option.</w:t>
            </w:r>
          </w:p>
          <w:p w14:paraId="60808753" w14:textId="77777777" w:rsidR="007F00C5" w:rsidRDefault="007F00C5" w:rsidP="007F00C5">
            <w:pPr>
              <w:pStyle w:val="NotesText"/>
              <w:rPr>
                <w:rFonts w:cs="Arial"/>
              </w:rPr>
            </w:pPr>
          </w:p>
          <w:p w14:paraId="1DB99E4E" w14:textId="3DD45524" w:rsidR="002A21AE" w:rsidRDefault="007F00C5" w:rsidP="007F00C5">
            <w:pPr>
              <w:pStyle w:val="NotesText"/>
              <w:rPr>
                <w:rFonts w:cs="Arial"/>
              </w:rPr>
            </w:pPr>
            <w:r w:rsidRPr="00896F17">
              <w:rPr>
                <w:rStyle w:val="BullhornChar"/>
              </w:rPr>
              <w:t></w:t>
            </w:r>
            <w:r>
              <w:rPr>
                <w:color w:val="000000"/>
                <w:szCs w:val="18"/>
              </w:rPr>
              <w:t xml:space="preserve"> </w:t>
            </w:r>
            <w:r>
              <w:rPr>
                <w:rFonts w:cs="Arial"/>
                <w:vanish/>
              </w:rPr>
              <w:t xml:space="preserve">BR_70.06 </w:t>
            </w:r>
            <w:r>
              <w:t>When a user enters a unit with a final status, VBECS alerts the user and clears the screen. The user may select another unit.</w:t>
            </w:r>
          </w:p>
        </w:tc>
      </w:tr>
      <w:tr w:rsidR="002A21AE" w14:paraId="1B6FB2E9" w14:textId="77777777">
        <w:tc>
          <w:tcPr>
            <w:tcW w:w="3240" w:type="dxa"/>
          </w:tcPr>
          <w:p w14:paraId="55C0AF5A" w14:textId="77777777" w:rsidR="002A21AE" w:rsidRDefault="002A21AE">
            <w:pPr>
              <w:pStyle w:val="TableTextNumbers"/>
            </w:pPr>
            <w:r>
              <w:t>Enter post-transfusion details</w:t>
            </w:r>
            <w:r w:rsidR="00BB5288">
              <w:t xml:space="preserve"> and a comment</w:t>
            </w:r>
            <w:r>
              <w:t>.</w:t>
            </w:r>
          </w:p>
        </w:tc>
        <w:tc>
          <w:tcPr>
            <w:tcW w:w="6120" w:type="dxa"/>
          </w:tcPr>
          <w:p w14:paraId="5C13F539" w14:textId="77777777" w:rsidR="002A21AE" w:rsidRDefault="002A21AE">
            <w:pPr>
              <w:pStyle w:val="TableTextBullet"/>
            </w:pPr>
            <w:r>
              <w:t>Displays an option to enter or edit unit data. See Post-Transfusion Information.</w:t>
            </w:r>
          </w:p>
          <w:p w14:paraId="04B36A45" w14:textId="77777777" w:rsidR="002A21AE" w:rsidRDefault="002A21AE">
            <w:pPr>
              <w:pStyle w:val="TableTextBullet"/>
            </w:pPr>
            <w:r>
              <w:rPr>
                <w:rFonts w:cs="Arial"/>
                <w:vanish/>
              </w:rPr>
              <w:t>BR_69.16</w:t>
            </w:r>
            <w:r w:rsidR="00C549FA" w:rsidRPr="00323744">
              <w:rPr>
                <w:rStyle w:val="BullhornChar"/>
              </w:rPr>
              <w:t></w:t>
            </w:r>
            <w:r w:rsidR="00C549FA">
              <w:rPr>
                <w:rFonts w:ascii="Webdings" w:hAnsi="Webdings"/>
              </w:rPr>
              <w:t></w:t>
            </w:r>
            <w:r>
              <w:t xml:space="preserve">VBECS emits an audible alert, requires a comment, and captures the transaction details for inclusion in </w:t>
            </w:r>
            <w:r w:rsidR="00C549FA">
              <w:t>an Exception Report (exception t</w:t>
            </w:r>
            <w:r>
              <w:t>ype: ABO incompatible unit transfused).</w:t>
            </w:r>
          </w:p>
          <w:p w14:paraId="72009562" w14:textId="77777777" w:rsidR="00BB5288" w:rsidRDefault="00BB5288" w:rsidP="00BB5288">
            <w:pPr>
              <w:pStyle w:val="TableTextBullet"/>
            </w:pPr>
            <w:r>
              <w:t>Displays the entries for review, including the comment, until all details are entered.</w:t>
            </w:r>
          </w:p>
        </w:tc>
      </w:tr>
      <w:tr w:rsidR="00767921" w14:paraId="7FB0FCA5" w14:textId="77777777">
        <w:tc>
          <w:tcPr>
            <w:tcW w:w="3240" w:type="dxa"/>
          </w:tcPr>
          <w:p w14:paraId="272F541C" w14:textId="77777777" w:rsidR="00767921" w:rsidRDefault="00767921">
            <w:pPr>
              <w:pStyle w:val="TableTextNumbers"/>
            </w:pPr>
            <w:r>
              <w:t xml:space="preserve">Click </w:t>
            </w:r>
            <w:r w:rsidRPr="00767921">
              <w:rPr>
                <w:b/>
              </w:rPr>
              <w:t>OK</w:t>
            </w:r>
            <w:r>
              <w:t xml:space="preserve"> and </w:t>
            </w:r>
            <w:r w:rsidRPr="00767921">
              <w:rPr>
                <w:b/>
              </w:rPr>
              <w:t>Yes</w:t>
            </w:r>
            <w:r>
              <w:t xml:space="preserve"> to save.</w:t>
            </w:r>
          </w:p>
        </w:tc>
        <w:tc>
          <w:tcPr>
            <w:tcW w:w="6120" w:type="dxa"/>
          </w:tcPr>
          <w:p w14:paraId="5DBA8A3D" w14:textId="77777777" w:rsidR="00767921" w:rsidRDefault="00767921">
            <w:pPr>
              <w:pStyle w:val="TableTextBullet"/>
            </w:pPr>
            <w:r>
              <w:t>Saves the data.</w:t>
            </w:r>
          </w:p>
          <w:p w14:paraId="58563EB8" w14:textId="77777777" w:rsidR="00BC3647" w:rsidRDefault="00BC3647">
            <w:pPr>
              <w:pStyle w:val="TableTextBullet"/>
            </w:pPr>
            <w:r>
              <w:t>Allows the user to enter comments and details.</w:t>
            </w:r>
          </w:p>
        </w:tc>
      </w:tr>
      <w:tr w:rsidR="002A21AE" w14:paraId="764882E1" w14:textId="77777777">
        <w:tc>
          <w:tcPr>
            <w:tcW w:w="3240" w:type="dxa"/>
          </w:tcPr>
          <w:p w14:paraId="43D9440C" w14:textId="77777777" w:rsidR="00FE39F0" w:rsidRDefault="00FE39F0">
            <w:pPr>
              <w:pStyle w:val="TableTextNumbers"/>
            </w:pPr>
            <w:r>
              <w:t xml:space="preserve">Enter or select a comment and details, in accordance with local policy and procedures. </w:t>
            </w:r>
          </w:p>
          <w:p w14:paraId="01144ED0" w14:textId="77777777" w:rsidR="00FE39F0" w:rsidRDefault="00FE39F0" w:rsidP="00FE39F0">
            <w:pPr>
              <w:pStyle w:val="TableTextNumbersContinued"/>
            </w:pPr>
          </w:p>
          <w:p w14:paraId="03203BDC" w14:textId="77777777" w:rsidR="002A21AE" w:rsidRDefault="00FE39F0" w:rsidP="00FE39F0">
            <w:pPr>
              <w:pStyle w:val="TableTextNumbersContinued"/>
            </w:pPr>
            <w:r>
              <w:t xml:space="preserve">Click </w:t>
            </w:r>
            <w:r w:rsidRPr="00FE39F0">
              <w:rPr>
                <w:b/>
              </w:rPr>
              <w:t>OK</w:t>
            </w:r>
            <w:r>
              <w:t>.</w:t>
            </w:r>
          </w:p>
        </w:tc>
        <w:tc>
          <w:tcPr>
            <w:tcW w:w="6120" w:type="dxa"/>
          </w:tcPr>
          <w:p w14:paraId="06A5268A" w14:textId="77777777" w:rsidR="002A21AE" w:rsidRDefault="002A21AE">
            <w:pPr>
              <w:pStyle w:val="TableText"/>
            </w:pPr>
          </w:p>
          <w:p w14:paraId="08C44347" w14:textId="4AAE4B7E" w:rsidR="002A21AE" w:rsidRDefault="002A21AE">
            <w:pPr>
              <w:pStyle w:val="TableText"/>
              <w:rPr>
                <w:b/>
                <w:bCs/>
                <w:szCs w:val="18"/>
              </w:rPr>
            </w:pPr>
            <w:r>
              <w:rPr>
                <w:b/>
                <w:bCs/>
                <w:szCs w:val="18"/>
              </w:rPr>
              <w:t>NOTES</w:t>
            </w:r>
          </w:p>
          <w:p w14:paraId="6C55BC66" w14:textId="77777777" w:rsidR="002A21AE" w:rsidRDefault="002A21AE">
            <w:pPr>
              <w:pStyle w:val="NotesText"/>
            </w:pPr>
          </w:p>
          <w:p w14:paraId="30299258" w14:textId="77777777" w:rsidR="0018209A" w:rsidRDefault="0018209A" w:rsidP="0018209A">
            <w:pPr>
              <w:pStyle w:val="NotesText"/>
            </w:pPr>
            <w:r>
              <w:rPr>
                <w:rFonts w:cs="Arial"/>
                <w:vanish/>
              </w:rPr>
              <w:t xml:space="preserve">BR_69.13 </w:t>
            </w:r>
            <w:r>
              <w:t>VBECS saves transfusion information for future retrieval and reporting as part of the patient and unit historic records.</w:t>
            </w:r>
          </w:p>
          <w:p w14:paraId="45E017B4" w14:textId="77777777" w:rsidR="0018209A" w:rsidRDefault="0018209A">
            <w:pPr>
              <w:pStyle w:val="NotesText"/>
              <w:rPr>
                <w:rFonts w:cs="Arial"/>
              </w:rPr>
            </w:pPr>
          </w:p>
          <w:p w14:paraId="40FA3725" w14:textId="77777777" w:rsidR="002A21AE" w:rsidRDefault="002A21AE">
            <w:pPr>
              <w:pStyle w:val="NotesText"/>
            </w:pPr>
            <w:r>
              <w:rPr>
                <w:rFonts w:cs="Arial"/>
                <w:vanish/>
              </w:rPr>
              <w:t xml:space="preserve">BR_69.12 </w:t>
            </w:r>
            <w:r>
              <w:t xml:space="preserve">Upon data entry and saving of the post-transfusion information, VBECS assigns a status of “transfused” to the unit of </w:t>
            </w:r>
            <w:r w:rsidR="00191CFE">
              <w:t>blood</w:t>
            </w:r>
            <w:r>
              <w:t xml:space="preserve"> for the indicated patient.</w:t>
            </w:r>
          </w:p>
          <w:p w14:paraId="5A226FB7" w14:textId="77777777" w:rsidR="002A21AE" w:rsidRDefault="002A21AE">
            <w:pPr>
              <w:pStyle w:val="NotesText"/>
              <w:rPr>
                <w:rFonts w:cs="Arial"/>
              </w:rPr>
            </w:pPr>
          </w:p>
          <w:p w14:paraId="7624A12F" w14:textId="77777777" w:rsidR="00BC3647" w:rsidRDefault="00BC3647">
            <w:pPr>
              <w:pStyle w:val="NotesText"/>
              <w:rPr>
                <w:rFonts w:cs="Arial"/>
              </w:rPr>
            </w:pPr>
            <w:r>
              <w:rPr>
                <w:rFonts w:cs="Arial"/>
              </w:rPr>
              <w:t>VBECS captures details of this override in an Exception Report.</w:t>
            </w:r>
          </w:p>
        </w:tc>
      </w:tr>
      <w:tr w:rsidR="002A21AE" w14:paraId="77671825" w14:textId="77777777">
        <w:tc>
          <w:tcPr>
            <w:tcW w:w="3240" w:type="dxa"/>
          </w:tcPr>
          <w:p w14:paraId="56D1E6DA"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D920F70" w14:textId="77777777" w:rsidR="002A21AE" w:rsidRDefault="002A21AE">
            <w:pPr>
              <w:pStyle w:val="TableText"/>
            </w:pPr>
          </w:p>
        </w:tc>
      </w:tr>
      <w:bookmarkEnd w:id="513"/>
    </w:tbl>
    <w:p w14:paraId="7702991D" w14:textId="77777777" w:rsidR="002A21AE" w:rsidRDefault="00F55832">
      <w:pPr>
        <w:pStyle w:val="Heading3"/>
      </w:pPr>
      <w:r>
        <w:br w:type="page"/>
      </w:r>
      <w:bookmarkStart w:id="518" w:name="_Toc163644962"/>
      <w:r w:rsidR="002A21AE">
        <w:lastRenderedPageBreak/>
        <w:t>Justify ABO/Rh Change</w:t>
      </w:r>
      <w:bookmarkEnd w:id="518"/>
      <w:r w:rsidR="002A21AE">
        <w:fldChar w:fldCharType="begin"/>
      </w:r>
      <w:r w:rsidR="002A21AE">
        <w:instrText xml:space="preserve"> XE </w:instrText>
      </w:r>
      <w:r w:rsidR="00FA7E65">
        <w:instrText>“</w:instrText>
      </w:r>
      <w:r w:rsidR="002A21AE">
        <w:instrText>Justify ABO/Rh Change</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UC_100</w:t>
      </w:r>
    </w:p>
    <w:p w14:paraId="39B8F634" w14:textId="77777777" w:rsidR="002A21AE" w:rsidRDefault="002A21AE" w:rsidP="00FA7E65">
      <w:pPr>
        <w:pStyle w:val="BodyText"/>
      </w:pPr>
      <w:bookmarkStart w:id="519" w:name="_Toc63680378"/>
      <w:r>
        <w:t>The user changes a patient’s historical blood type only when there is a clinical change in blood type, not to correct an error.</w:t>
      </w:r>
      <w:r w:rsidR="005215D6">
        <w:t xml:space="preserve"> (See Invalidate Test Results.)</w:t>
      </w:r>
    </w:p>
    <w:p w14:paraId="07CA0EB9" w14:textId="77777777" w:rsidR="002A21AE" w:rsidRDefault="002A21AE">
      <w:pPr>
        <w:pStyle w:val="Heading4"/>
      </w:pPr>
      <w:r>
        <w:t>Assumptions</w:t>
      </w:r>
      <w:r>
        <w:rPr>
          <w:b w:val="0"/>
        </w:rPr>
        <w:t xml:space="preserve"> </w:t>
      </w:r>
    </w:p>
    <w:p w14:paraId="6DA37CE9" w14:textId="77777777" w:rsidR="002A21AE" w:rsidRDefault="002A21AE">
      <w:pPr>
        <w:pStyle w:val="ListBullet"/>
      </w:pPr>
      <w:r>
        <w:t xml:space="preserve">The patient has a previous ABO/Rh on record from the user’s current division, from a different division within the database, or from </w:t>
      </w:r>
      <w:r w:rsidR="00AB59B8">
        <w:t xml:space="preserve">the </w:t>
      </w:r>
      <w:r>
        <w:t>database conversion.</w:t>
      </w:r>
    </w:p>
    <w:p w14:paraId="33FBEF35" w14:textId="77777777" w:rsidR="002A21AE" w:rsidRDefault="002A21AE">
      <w:pPr>
        <w:pStyle w:val="ListBullet"/>
      </w:pPr>
      <w:r>
        <w:t>The patient has a current specimen test result with an ABO/Rh interpretation that does</w:t>
      </w:r>
      <w:r>
        <w:rPr>
          <w:i/>
        </w:rPr>
        <w:t xml:space="preserve"> </w:t>
      </w:r>
      <w:r>
        <w:t>not match the historical record. Both previous and current specimen test results are valid.</w:t>
      </w:r>
    </w:p>
    <w:p w14:paraId="631481C5" w14:textId="77777777" w:rsidR="002A21AE" w:rsidRDefault="002A21AE">
      <w:pPr>
        <w:pStyle w:val="Heading4"/>
      </w:pPr>
      <w:r>
        <w:t>Outcome</w:t>
      </w:r>
      <w:r>
        <w:rPr>
          <w:rFonts w:ascii="Times New Roman" w:hAnsi="Times New Roman"/>
          <w:i/>
          <w:color w:val="0000FF"/>
          <w:sz w:val="24"/>
        </w:rPr>
        <w:t xml:space="preserve"> </w:t>
      </w:r>
    </w:p>
    <w:p w14:paraId="24C34147" w14:textId="77777777" w:rsidR="002A21AE" w:rsidRDefault="002A21AE">
      <w:pPr>
        <w:pStyle w:val="ListBullet"/>
      </w:pPr>
      <w:r>
        <w:rPr>
          <w:rFonts w:ascii="Arial" w:hAnsi="Arial" w:cs="Arial"/>
          <w:vanish/>
          <w:spacing w:val="0"/>
          <w:sz w:val="18"/>
        </w:rPr>
        <w:t xml:space="preserve">BR_100.03 </w:t>
      </w:r>
      <w:r>
        <w:t xml:space="preserve">VBECS </w:t>
      </w:r>
      <w:r w:rsidR="00326CD8">
        <w:t xml:space="preserve">permanently </w:t>
      </w:r>
      <w:r>
        <w:t xml:space="preserve">marks the patient record and the specimen test to indicate that the patient has a justified ABO/Rh change, regardless of the user’s division. </w:t>
      </w:r>
    </w:p>
    <w:p w14:paraId="71AC0B0B" w14:textId="77777777" w:rsidR="002A21AE" w:rsidRDefault="002A21AE">
      <w:pPr>
        <w:pStyle w:val="ListBullet"/>
      </w:pPr>
      <w:r>
        <w:rPr>
          <w:rFonts w:ascii="Arial" w:hAnsi="Arial" w:cs="Arial"/>
          <w:vanish/>
          <w:spacing w:val="0"/>
          <w:sz w:val="18"/>
        </w:rPr>
        <w:t xml:space="preserve">BR_100.05 </w:t>
      </w:r>
      <w:r>
        <w:t>The justified ABO/Rh on the patient record forces the user’s selection to be used as the new historical record, replacing the current test result as the historic record. VBECS does not check for ABO/Rh discrepancies with tests entered for this patient prior to the justified test result.</w:t>
      </w:r>
    </w:p>
    <w:p w14:paraId="7030A56C" w14:textId="77777777" w:rsidR="002A21AE" w:rsidRDefault="002A21AE">
      <w:pPr>
        <w:pStyle w:val="ListBullet"/>
      </w:pPr>
      <w:r>
        <w:t>VBECS permanently disallows electronic crossmatch (eXM) for this patient.</w:t>
      </w:r>
    </w:p>
    <w:p w14:paraId="154706F7" w14:textId="77777777" w:rsidR="002A21AE" w:rsidRDefault="002A21AE">
      <w:pPr>
        <w:pStyle w:val="Heading4"/>
      </w:pPr>
      <w:r>
        <w:t>Limitations and Restrictions</w:t>
      </w:r>
    </w:p>
    <w:p w14:paraId="60E2E667" w14:textId="77777777" w:rsidR="002A21AE" w:rsidRDefault="002A21AE">
      <w:pPr>
        <w:pStyle w:val="ListBullet"/>
      </w:pPr>
      <w:r>
        <w:t>VBECS does not allow the selection or issue of certain blood components that may appear ABO/Rh compatible when discrepant ABO/Rh results are not justified.</w:t>
      </w:r>
    </w:p>
    <w:p w14:paraId="7BADF1DA" w14:textId="77777777" w:rsidR="002A21AE" w:rsidRDefault="002A21AE">
      <w:pPr>
        <w:pStyle w:val="Heading4"/>
      </w:pPr>
      <w:r>
        <w:t>Additional Information</w:t>
      </w:r>
      <w:r>
        <w:rPr>
          <w:rFonts w:ascii="Times New Roman" w:hAnsi="Times New Roman"/>
          <w:i/>
          <w:color w:val="0000FF"/>
          <w:sz w:val="24"/>
        </w:rPr>
        <w:t xml:space="preserve"> </w:t>
      </w:r>
    </w:p>
    <w:p w14:paraId="5B2442BD" w14:textId="77777777" w:rsidR="002A21AE" w:rsidRDefault="002A21AE">
      <w:pPr>
        <w:pStyle w:val="ListBullet"/>
      </w:pPr>
      <w:r>
        <w:rPr>
          <w:rFonts w:ascii="Arial" w:hAnsi="Arial" w:cs="Arial"/>
          <w:vanish/>
          <w:spacing w:val="0"/>
          <w:sz w:val="18"/>
        </w:rPr>
        <w:t xml:space="preserve">BR_100.07 </w:t>
      </w:r>
      <w:r>
        <w:t>When the discrepant ABO/Rh tests are on the same specimen, the user may not justify the patient’s ABO/Rh.</w:t>
      </w:r>
    </w:p>
    <w:p w14:paraId="192120F5" w14:textId="77777777" w:rsidR="002A21AE" w:rsidRDefault="002A21AE">
      <w:pPr>
        <w:pStyle w:val="ListBullet"/>
      </w:pPr>
      <w:r>
        <w:t xml:space="preserve">Do not use this option for ABO/Rh discrepancies that occur because the patient had a recent transfusion of a component of a type other than his own. </w:t>
      </w:r>
    </w:p>
    <w:p w14:paraId="26FA17BE" w14:textId="77777777" w:rsidR="002A21AE" w:rsidRDefault="002A21AE">
      <w:pPr>
        <w:pStyle w:val="ListBullet"/>
      </w:pPr>
      <w:r>
        <w:t>ABO/Rh discrepancies that occur because the previously tested or current specimen was tested in error are handled by inactivating the previously recorded test results through Invalidate Test Results.</w:t>
      </w:r>
    </w:p>
    <w:p w14:paraId="636DAB77" w14:textId="77777777" w:rsidR="002A21AE" w:rsidRDefault="002A21AE">
      <w:pPr>
        <w:pStyle w:val="ListBullet"/>
      </w:pPr>
      <w:r>
        <w:t xml:space="preserve">Subsequent specimens may need to be justified in the presence of continued discrepant ABO results. </w:t>
      </w:r>
    </w:p>
    <w:p w14:paraId="0157CD19" w14:textId="77777777" w:rsidR="002A21AE" w:rsidRDefault="002A21AE">
      <w:pPr>
        <w:pStyle w:val="ListBullet"/>
      </w:pPr>
      <w:r>
        <w:t>This option is used in rare clinical situations such as following bone marrow transplant.</w:t>
      </w:r>
    </w:p>
    <w:p w14:paraId="2063FBE5" w14:textId="77777777" w:rsidR="002A21AE" w:rsidRDefault="002A21AE">
      <w:pPr>
        <w:pStyle w:val="Heading4"/>
        <w:rPr>
          <w:b w:val="0"/>
        </w:rPr>
      </w:pPr>
      <w:r>
        <w:t>User Roles with Access to This Option</w:t>
      </w:r>
      <w:r>
        <w:rPr>
          <w:b w:val="0"/>
        </w:rPr>
        <w:t xml:space="preserve"> </w:t>
      </w:r>
    </w:p>
    <w:p w14:paraId="36C3426E" w14:textId="77777777" w:rsidR="002A21AE" w:rsidRDefault="00FE459D" w:rsidP="00FE459D">
      <w:pPr>
        <w:pStyle w:val="Roles"/>
        <w:rPr>
          <w:snapToGrid w:val="0"/>
        </w:rPr>
      </w:pPr>
      <w:r w:rsidRPr="00FE459D">
        <w:rPr>
          <w:rFonts w:ascii="Wingdings 3" w:hAnsi="Wingdings 3"/>
        </w:rPr>
        <w:t></w:t>
      </w:r>
      <w:r w:rsidRPr="00FE459D">
        <w:rPr>
          <w:rFonts w:ascii="Wingdings 3" w:hAnsi="Wingdings 3"/>
        </w:rPr>
        <w:t></w:t>
      </w:r>
      <w:r w:rsidRPr="00FE459D">
        <w:rPr>
          <w:rFonts w:ascii="Wingdings 3" w:hAnsi="Wingdings 3"/>
        </w:rPr>
        <w:t></w:t>
      </w:r>
      <w:r w:rsidRPr="00FE459D">
        <w:rPr>
          <w:rFonts w:ascii="Wingdings 3" w:hAnsi="Wingdings 3"/>
        </w:rPr>
        <w:t></w:t>
      </w:r>
      <w:r>
        <w:t xml:space="preserve"> Traditional Supervisor</w:t>
      </w:r>
    </w:p>
    <w:p w14:paraId="7BD84AD0" w14:textId="77777777" w:rsidR="002A21AE" w:rsidRDefault="002A21AE">
      <w:pPr>
        <w:pStyle w:val="Heading4"/>
      </w:pPr>
      <w:r>
        <w:t>Justify ABO/Rh Change</w:t>
      </w:r>
    </w:p>
    <w:p w14:paraId="33BB15C9" w14:textId="77777777" w:rsidR="002A21AE" w:rsidRDefault="002A21AE" w:rsidP="00FA7E65">
      <w:pPr>
        <w:pStyle w:val="BodyText"/>
      </w:pPr>
      <w:r>
        <w:t>The user determines that the patient’s current ABO/Rh testing results are valid, although they differ from previously recorded results, and that the patient requires a justification indicator on his record.</w:t>
      </w:r>
    </w:p>
    <w:p w14:paraId="2B3F7C30" w14:textId="77777777" w:rsidR="00E661A1" w:rsidRDefault="002A21AE" w:rsidP="00FA7E65">
      <w:pPr>
        <w:pStyle w:val="BodyText"/>
      </w:pPr>
      <w:r>
        <w:t>This option is used only when both the previous specimen testing and the current specimen testing are considered valid. There is a valid explanation for why the ABO/Rh interpretations do not match and invalidation of the test result is not appropriate. Once the current patient ABO/Rh result change is justified, VBECS marks the patient’s record so that special handling for component orders for the patient apply from this</w:t>
      </w:r>
      <w:r w:rsidRPr="00D86197">
        <w:rPr>
          <w:b/>
        </w:rPr>
        <w:t xml:space="preserve"> </w:t>
      </w:r>
      <w:r w:rsidRPr="00A752B1">
        <w:t>p</w:t>
      </w:r>
      <w:r>
        <w:t>oint forward and remain in effect until the patient record is inactivated by the recording of his death in VBECS or by removing the justification.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EDB4930" w14:textId="77777777">
        <w:trPr>
          <w:cantSplit/>
          <w:tblHeader/>
        </w:trPr>
        <w:tc>
          <w:tcPr>
            <w:tcW w:w="3240" w:type="dxa"/>
            <w:shd w:val="pct30" w:color="auto" w:fill="FFFFFF"/>
            <w:vAlign w:val="bottom"/>
          </w:tcPr>
          <w:p w14:paraId="4193F9E8" w14:textId="39C3BD67" w:rsidR="002A21AE" w:rsidRDefault="00E661A1">
            <w:pPr>
              <w:pStyle w:val="TableText"/>
              <w:rPr>
                <w:b/>
              </w:rPr>
            </w:pPr>
            <w:r>
              <w:lastRenderedPageBreak/>
              <w:br w:type="page"/>
            </w:r>
            <w:r w:rsidR="002A21AE">
              <w:rPr>
                <w:b/>
              </w:rPr>
              <w:t>User Action</w:t>
            </w:r>
          </w:p>
        </w:tc>
        <w:tc>
          <w:tcPr>
            <w:tcW w:w="6120" w:type="dxa"/>
            <w:shd w:val="pct30" w:color="auto" w:fill="FFFFFF"/>
            <w:vAlign w:val="bottom"/>
          </w:tcPr>
          <w:p w14:paraId="64E70C99" w14:textId="77777777" w:rsidR="002A21AE" w:rsidRDefault="002A21AE">
            <w:pPr>
              <w:pStyle w:val="TableText"/>
              <w:rPr>
                <w:b/>
              </w:rPr>
            </w:pPr>
            <w:r>
              <w:rPr>
                <w:b/>
              </w:rPr>
              <w:t>VBECS</w:t>
            </w:r>
          </w:p>
        </w:tc>
      </w:tr>
      <w:tr w:rsidR="002A21AE" w14:paraId="14FAC8D7" w14:textId="77777777">
        <w:tc>
          <w:tcPr>
            <w:tcW w:w="3240" w:type="dxa"/>
          </w:tcPr>
          <w:p w14:paraId="0D9376BB" w14:textId="77777777" w:rsidR="002A21AE" w:rsidRDefault="002A21AE">
            <w:pPr>
              <w:pStyle w:val="TableTextNumbers"/>
            </w:pPr>
            <w:r>
              <w:t xml:space="preserve">Select </w:t>
            </w:r>
            <w:r>
              <w:rPr>
                <w:b/>
              </w:rPr>
              <w:t>Supervisor</w:t>
            </w:r>
            <w:r>
              <w:t xml:space="preserve"> from the main menu.</w:t>
            </w:r>
          </w:p>
          <w:p w14:paraId="6D3E9190" w14:textId="77777777" w:rsidR="002A21AE" w:rsidRDefault="002A21AE">
            <w:pPr>
              <w:pStyle w:val="TableTextNumbersContinued"/>
            </w:pPr>
          </w:p>
          <w:p w14:paraId="146332E8" w14:textId="77777777" w:rsidR="002A21AE" w:rsidRDefault="002A21AE">
            <w:pPr>
              <w:pStyle w:val="TableTextNumbersContinued"/>
            </w:pPr>
            <w:r>
              <w:t xml:space="preserve">Select </w:t>
            </w:r>
            <w:r>
              <w:rPr>
                <w:b/>
              </w:rPr>
              <w:t>Justify ABO/Rh Change</w:t>
            </w:r>
            <w:r>
              <w:t>.</w:t>
            </w:r>
          </w:p>
        </w:tc>
        <w:tc>
          <w:tcPr>
            <w:tcW w:w="6120" w:type="dxa"/>
          </w:tcPr>
          <w:p w14:paraId="3CA4AFD8" w14:textId="77777777" w:rsidR="002A21AE" w:rsidRDefault="002A21AE">
            <w:pPr>
              <w:pStyle w:val="TableTextBullet"/>
            </w:pPr>
            <w:r>
              <w:t>Displays options available to supervisors.</w:t>
            </w:r>
          </w:p>
        </w:tc>
      </w:tr>
      <w:tr w:rsidR="002A21AE" w14:paraId="1520E1BB" w14:textId="77777777">
        <w:tc>
          <w:tcPr>
            <w:tcW w:w="3240" w:type="dxa"/>
          </w:tcPr>
          <w:p w14:paraId="73F78BA3" w14:textId="77777777" w:rsidR="002A21AE" w:rsidRDefault="002A21AE">
            <w:pPr>
              <w:pStyle w:val="TableTextNumbers"/>
            </w:pPr>
            <w:r>
              <w:t xml:space="preserve">Enter a patient name in the Patient field and click </w:t>
            </w:r>
            <w:r>
              <w:rPr>
                <w:b/>
                <w:bCs/>
              </w:rPr>
              <w:t>Search</w:t>
            </w:r>
            <w:r>
              <w:t xml:space="preserve"> to select a patient. </w:t>
            </w:r>
          </w:p>
          <w:p w14:paraId="7AB4DA82" w14:textId="77777777" w:rsidR="002A21AE" w:rsidRDefault="002A21AE">
            <w:pPr>
              <w:pStyle w:val="TableTextNumbersContinued"/>
            </w:pPr>
          </w:p>
          <w:p w14:paraId="072F9575" w14:textId="77777777" w:rsidR="002A21AE" w:rsidRDefault="002A21AE">
            <w:pPr>
              <w:pStyle w:val="TableTextNumbersContinued"/>
            </w:pPr>
            <w:r>
              <w:t>Select a patient.</w:t>
            </w:r>
          </w:p>
          <w:p w14:paraId="47855018" w14:textId="77777777" w:rsidR="00D86197" w:rsidRDefault="00D86197">
            <w:pPr>
              <w:pStyle w:val="TableTextNumbersContinued"/>
            </w:pPr>
          </w:p>
          <w:p w14:paraId="605E7119" w14:textId="77777777" w:rsidR="00D86197" w:rsidRDefault="00D86197">
            <w:pPr>
              <w:pStyle w:val="TableTextNumbersContinued"/>
            </w:pPr>
            <w:r>
              <w:t xml:space="preserve">Click </w:t>
            </w:r>
            <w:r w:rsidRPr="00D86197">
              <w:rPr>
                <w:b/>
              </w:rPr>
              <w:t>OK</w:t>
            </w:r>
            <w:r>
              <w:t>.</w:t>
            </w:r>
          </w:p>
        </w:tc>
        <w:tc>
          <w:tcPr>
            <w:tcW w:w="6120" w:type="dxa"/>
          </w:tcPr>
          <w:p w14:paraId="2225B7C2" w14:textId="77777777" w:rsidR="002A21AE" w:rsidRDefault="002A21AE">
            <w:pPr>
              <w:pStyle w:val="TableTextBullet"/>
            </w:pPr>
            <w:r>
              <w:t>Displays a screen for patient selection.</w:t>
            </w:r>
          </w:p>
          <w:p w14:paraId="1C0741A1" w14:textId="77777777" w:rsidR="002A21AE" w:rsidRDefault="002A21AE">
            <w:pPr>
              <w:pStyle w:val="TableTextBullet"/>
            </w:pPr>
            <w:r>
              <w:t>Disallows the justification or allows the user to continue.</w:t>
            </w:r>
          </w:p>
          <w:p w14:paraId="5D6D8126" w14:textId="77777777" w:rsidR="002A21AE" w:rsidRDefault="002A21AE">
            <w:pPr>
              <w:pStyle w:val="TableText"/>
            </w:pPr>
          </w:p>
          <w:p w14:paraId="4D006978" w14:textId="1B92EF9A" w:rsidR="002A21AE" w:rsidRDefault="002A21AE">
            <w:pPr>
              <w:pStyle w:val="TableText"/>
              <w:rPr>
                <w:b/>
                <w:bCs/>
                <w:szCs w:val="18"/>
              </w:rPr>
            </w:pPr>
            <w:r>
              <w:rPr>
                <w:b/>
                <w:bCs/>
                <w:szCs w:val="18"/>
              </w:rPr>
              <w:t>NOTES</w:t>
            </w:r>
          </w:p>
          <w:p w14:paraId="23DAF231" w14:textId="77777777" w:rsidR="002A21AE" w:rsidRDefault="002A21AE">
            <w:pPr>
              <w:pStyle w:val="NotesText"/>
            </w:pPr>
          </w:p>
          <w:p w14:paraId="218A1439" w14:textId="77777777" w:rsidR="002A21AE" w:rsidRDefault="002A21AE">
            <w:pPr>
              <w:pStyle w:val="NotesText"/>
            </w:pPr>
            <w:r>
              <w:rPr>
                <w:rFonts w:cs="Arial"/>
                <w:vanish/>
              </w:rPr>
              <w:t xml:space="preserve">BR_100.01 </w:t>
            </w:r>
            <w:r>
              <w:t>VBECS compares the results of the current ABO/Rh with the previous ABO/Rh results. When there is no discrepancy, VBECS warns that no justification is required. There is no override. VBECS clears the screen and the user may select another patient.</w:t>
            </w:r>
          </w:p>
          <w:p w14:paraId="4936A10E" w14:textId="77777777" w:rsidR="002A21AE" w:rsidRDefault="002A21AE">
            <w:pPr>
              <w:pStyle w:val="NotesText"/>
            </w:pPr>
          </w:p>
          <w:p w14:paraId="4FCD6177" w14:textId="057E7290" w:rsidR="00DA3007" w:rsidRDefault="002A21AE" w:rsidP="0027202D">
            <w:pPr>
              <w:pStyle w:val="NotesText"/>
            </w:pPr>
            <w:r>
              <w:rPr>
                <w:rFonts w:cs="Arial"/>
                <w:vanish/>
              </w:rPr>
              <w:t xml:space="preserve">BR_100.06 </w:t>
            </w:r>
            <w:r>
              <w:t>VBECS warns the user to use this option only when both the current and previous specimen tests are valid, otherwise, use Invalidate</w:t>
            </w:r>
            <w:r w:rsidR="008902F4">
              <w:t xml:space="preserve"> Patient Test</w:t>
            </w:r>
            <w:r>
              <w:t xml:space="preserve"> Results</w:t>
            </w:r>
            <w:r w:rsidR="0027202D">
              <w:t>.</w:t>
            </w:r>
          </w:p>
        </w:tc>
      </w:tr>
      <w:tr w:rsidR="002A21AE" w14:paraId="2E3B3960" w14:textId="77777777">
        <w:tc>
          <w:tcPr>
            <w:tcW w:w="3240" w:type="dxa"/>
          </w:tcPr>
          <w:p w14:paraId="2980920F" w14:textId="028CBEF2" w:rsidR="002A21AE" w:rsidRDefault="002A21AE">
            <w:pPr>
              <w:pStyle w:val="TableTextNumbers"/>
            </w:pPr>
            <w:r>
              <w:t>Select an ABO/Rh interpretation as the patient’s justified historical record</w:t>
            </w:r>
            <w:r w:rsidR="0052270D">
              <w:t xml:space="preserve"> (</w:t>
            </w:r>
            <w:r w:rsidR="00EE455E">
              <w:t xml:space="preserve">Figure </w:t>
            </w:r>
            <w:r w:rsidR="00EE455E">
              <w:rPr>
                <w:noProof/>
              </w:rPr>
              <w:t>114</w:t>
            </w:r>
            <w:r w:rsidR="0052270D">
              <w:t>)</w:t>
            </w:r>
            <w:r>
              <w:t>.</w:t>
            </w:r>
          </w:p>
        </w:tc>
        <w:tc>
          <w:tcPr>
            <w:tcW w:w="6120" w:type="dxa"/>
          </w:tcPr>
          <w:p w14:paraId="44701C18" w14:textId="77777777" w:rsidR="002A21AE" w:rsidRDefault="002A21AE">
            <w:pPr>
              <w:pStyle w:val="TableTextBullet"/>
            </w:pPr>
            <w:r>
              <w:t xml:space="preserve">Displays details of the historic and current ABO/Rh testing for comparison and a list of available ABO and Rh types for user selection. </w:t>
            </w:r>
          </w:p>
          <w:p w14:paraId="1BF2ABF9" w14:textId="77777777" w:rsidR="002A21AE" w:rsidRDefault="002A21AE">
            <w:pPr>
              <w:pStyle w:val="TableTextBullet"/>
            </w:pPr>
            <w:r>
              <w:t>Requires a comment to continue.</w:t>
            </w:r>
          </w:p>
          <w:p w14:paraId="47BC2E79" w14:textId="77777777" w:rsidR="002A21AE" w:rsidRDefault="002A21AE">
            <w:pPr>
              <w:pStyle w:val="TableText"/>
            </w:pPr>
          </w:p>
          <w:p w14:paraId="194FA895" w14:textId="6EFE9DB7" w:rsidR="002A21AE" w:rsidRDefault="002A21AE">
            <w:pPr>
              <w:pStyle w:val="TableText"/>
              <w:rPr>
                <w:b/>
                <w:bCs/>
                <w:szCs w:val="18"/>
              </w:rPr>
            </w:pPr>
            <w:r>
              <w:rPr>
                <w:b/>
                <w:bCs/>
                <w:szCs w:val="18"/>
              </w:rPr>
              <w:t>NOTES</w:t>
            </w:r>
          </w:p>
          <w:p w14:paraId="200320B1" w14:textId="77777777" w:rsidR="002A21AE" w:rsidRDefault="002A21AE">
            <w:pPr>
              <w:pStyle w:val="NotesText"/>
            </w:pPr>
          </w:p>
          <w:p w14:paraId="3309E17F" w14:textId="77777777" w:rsidR="002A21AE" w:rsidRDefault="002A21AE">
            <w:pPr>
              <w:pStyle w:val="NotesText"/>
            </w:pPr>
            <w:r>
              <w:rPr>
                <w:rFonts w:cs="Arial"/>
                <w:vanish/>
              </w:rPr>
              <w:t xml:space="preserve">BR_100.04 </w:t>
            </w:r>
            <w:r>
              <w:t>The user may select one ABO group and one Rh type for the patient to serve as the justified ABO/Rh typing in the historic record. VBECS displays the current ABO and Rh interpretations as the defaults.</w:t>
            </w:r>
          </w:p>
          <w:p w14:paraId="1D1C8BA6" w14:textId="77777777" w:rsidR="002A21AE" w:rsidRDefault="002A21AE">
            <w:pPr>
              <w:pStyle w:val="NotesText"/>
            </w:pPr>
          </w:p>
          <w:p w14:paraId="6B260FDB" w14:textId="77777777" w:rsidR="002A21AE" w:rsidRDefault="002A21AE">
            <w:pPr>
              <w:pStyle w:val="NotesText"/>
            </w:pPr>
            <w:r>
              <w:rPr>
                <w:rFonts w:cs="Arial"/>
                <w:vanish/>
              </w:rPr>
              <w:t xml:space="preserve">BR_100.02 </w:t>
            </w:r>
            <w:r>
              <w:t>VBECS requires a comment to continue.</w:t>
            </w:r>
          </w:p>
        </w:tc>
      </w:tr>
      <w:tr w:rsidR="002A21AE" w14:paraId="7A2CEF1E" w14:textId="77777777">
        <w:tc>
          <w:tcPr>
            <w:tcW w:w="3240" w:type="dxa"/>
          </w:tcPr>
          <w:p w14:paraId="3114D23F" w14:textId="77777777" w:rsidR="002A21AE" w:rsidRDefault="002A21AE">
            <w:pPr>
              <w:pStyle w:val="TableTextNumbers"/>
            </w:pPr>
            <w:r>
              <w:t xml:space="preserve">Confirm the update of the database with the justified ABO/Rh. </w:t>
            </w:r>
          </w:p>
          <w:p w14:paraId="06D28179" w14:textId="77777777" w:rsidR="002A21AE" w:rsidRDefault="002A21AE">
            <w:pPr>
              <w:pStyle w:val="TableTextNumbersContinued"/>
            </w:pPr>
          </w:p>
          <w:p w14:paraId="54BDB67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0D0E5704" w14:textId="77777777" w:rsidR="002A21AE" w:rsidRDefault="002A21AE">
            <w:pPr>
              <w:pStyle w:val="TableTextBullet"/>
            </w:pPr>
            <w:r>
              <w:t>Updates the patient record.</w:t>
            </w:r>
          </w:p>
        </w:tc>
      </w:tr>
    </w:tbl>
    <w:p w14:paraId="28DE5AB8" w14:textId="2FFEC425" w:rsidR="00830A4C" w:rsidRDefault="00830A4C" w:rsidP="00830A4C">
      <w:pPr>
        <w:pStyle w:val="Caption"/>
      </w:pPr>
      <w:bookmarkStart w:id="520" w:name="_Ref12853582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115</w:t>
      </w:r>
      <w:r w:rsidR="004E20BD">
        <w:rPr>
          <w:noProof/>
        </w:rPr>
        <w:fldChar w:fldCharType="end"/>
      </w:r>
      <w:bookmarkEnd w:id="520"/>
      <w:r>
        <w:t>: Justify ABO/Rh Change</w:t>
      </w:r>
    </w:p>
    <w:p w14:paraId="754B1264" w14:textId="77777777" w:rsidR="00830A4C" w:rsidRDefault="00057948" w:rsidP="00830A4C">
      <w:pPr>
        <w:pStyle w:val="BodyText"/>
      </w:pPr>
      <w:r>
        <w:rPr>
          <w:noProof/>
        </w:rPr>
        <w:drawing>
          <wp:inline distT="0" distB="0" distL="0" distR="0" wp14:anchorId="300F4409" wp14:editId="3291F5C5">
            <wp:extent cx="4572000" cy="3204845"/>
            <wp:effectExtent l="0" t="0" r="0" b="0"/>
            <wp:docPr id="261" name="Picture 261" descr="Example of Justify ABO/Rh Chang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Example of Justify ABO/Rh Change screen captur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72000" cy="3204845"/>
                    </a:xfrm>
                    <a:prstGeom prst="rect">
                      <a:avLst/>
                    </a:prstGeom>
                    <a:noFill/>
                    <a:ln>
                      <a:noFill/>
                    </a:ln>
                  </pic:spPr>
                </pic:pic>
              </a:graphicData>
            </a:graphic>
          </wp:inline>
        </w:drawing>
      </w:r>
    </w:p>
    <w:p w14:paraId="623B94E9" w14:textId="77777777" w:rsidR="009D0008" w:rsidRDefault="009D0008">
      <w:pPr>
        <w:rPr>
          <w:sz w:val="22"/>
          <w:szCs w:val="22"/>
        </w:rPr>
      </w:pPr>
      <w:r>
        <w:rPr>
          <w:sz w:val="22"/>
          <w:szCs w:val="22"/>
        </w:rPr>
        <w:br w:type="page"/>
      </w:r>
    </w:p>
    <w:p w14:paraId="5C0D8674" w14:textId="10D00E86" w:rsidR="007A4841" w:rsidRDefault="007A4841" w:rsidP="007A49E1">
      <w:pPr>
        <w:pStyle w:val="Heading1"/>
      </w:pPr>
      <w:bookmarkStart w:id="521" w:name="_Toc163644963"/>
      <w:r>
        <w:lastRenderedPageBreak/>
        <w:t>Automated Testing</w:t>
      </w:r>
      <w:bookmarkEnd w:id="521"/>
      <w:r w:rsidRPr="00B31DA1">
        <w:rPr>
          <w:vanish/>
        </w:rPr>
        <w:t>{ XE “Automated Testing” }</w:t>
      </w:r>
      <w:r w:rsidRPr="00B31DA1">
        <w:rPr>
          <w:i/>
          <w:vanish/>
        </w:rPr>
        <w:t>UC_114, UC_115</w:t>
      </w:r>
    </w:p>
    <w:p w14:paraId="0DEC015C" w14:textId="77777777" w:rsidR="00B45FA2" w:rsidRDefault="00B45FA2" w:rsidP="007A4841">
      <w:pPr>
        <w:pStyle w:val="Heading2"/>
      </w:pPr>
      <w:bookmarkStart w:id="522" w:name="_Toc163644964"/>
      <w:r>
        <w:t>Automated Testing Interface</w:t>
      </w:r>
      <w:bookmarkEnd w:id="522"/>
      <w:r>
        <w:fldChar w:fldCharType="begin"/>
      </w:r>
      <w:r>
        <w:instrText xml:space="preserve"> XE “Automated Testing Interface” </w:instrText>
      </w:r>
      <w:r>
        <w:fldChar w:fldCharType="end"/>
      </w:r>
      <w:r>
        <w:t xml:space="preserve"> </w:t>
      </w:r>
      <w:r>
        <w:rPr>
          <w:rFonts w:ascii="Times New Roman" w:hAnsi="Times New Roman" w:cs="Times New Roman"/>
          <w:b w:val="0"/>
          <w:i w:val="0"/>
          <w:vanish/>
          <w:sz w:val="22"/>
        </w:rPr>
        <w:t>UC_114</w:t>
      </w:r>
    </w:p>
    <w:p w14:paraId="31FCEB82" w14:textId="77777777" w:rsidR="007B52EA" w:rsidRDefault="00B45FA2" w:rsidP="00B45FA2">
      <w:pPr>
        <w:pStyle w:val="BodyText"/>
      </w:pPr>
      <w:r w:rsidRPr="00311A54">
        <w:t xml:space="preserve">The user </w:t>
      </w:r>
      <w:r w:rsidR="0081699D" w:rsidRPr="00311A54">
        <w:t>sends test results to VBECS</w:t>
      </w:r>
      <w:r w:rsidR="00F27904">
        <w:t xml:space="preserve"> from an automated instrument</w:t>
      </w:r>
      <w:r w:rsidRPr="00311A54">
        <w:t>.</w:t>
      </w:r>
    </w:p>
    <w:p w14:paraId="4EE39FD6" w14:textId="1E643B5C" w:rsidR="007B52EA" w:rsidRDefault="007B52EA" w:rsidP="007B52EA">
      <w:pPr>
        <w:pStyle w:val="BodyText"/>
      </w:pPr>
      <w:r>
        <w:t xml:space="preserve">For details about interface configuration please refer to the </w:t>
      </w:r>
      <w:r w:rsidR="00531617" w:rsidRPr="00531617">
        <w:rPr>
          <w:i/>
        </w:rPr>
        <w:t>V</w:t>
      </w:r>
      <w:r w:rsidR="00BA2EAA">
        <w:rPr>
          <w:i/>
        </w:rPr>
        <w:t>BECS 2.</w:t>
      </w:r>
      <w:r w:rsidR="00397587">
        <w:rPr>
          <w:i/>
        </w:rPr>
        <w:t>4.0</w:t>
      </w:r>
      <w:r w:rsidR="00BA2EAA">
        <w:rPr>
          <w:i/>
        </w:rPr>
        <w:t xml:space="preserve"> Admin User</w:t>
      </w:r>
      <w:r w:rsidRPr="00531617">
        <w:rPr>
          <w:i/>
        </w:rPr>
        <w:t xml:space="preserve"> Guide</w:t>
      </w:r>
      <w:r w:rsidR="004A1C69">
        <w:t>.</w:t>
      </w:r>
    </w:p>
    <w:p w14:paraId="0D77A4C5" w14:textId="77777777" w:rsidR="00B45FA2" w:rsidRDefault="00B45FA2" w:rsidP="00B45FA2">
      <w:pPr>
        <w:pStyle w:val="Heading4"/>
      </w:pPr>
      <w:r>
        <w:t>Assumptions</w:t>
      </w:r>
      <w:r>
        <w:rPr>
          <w:b w:val="0"/>
        </w:rPr>
        <w:t xml:space="preserve"> </w:t>
      </w:r>
    </w:p>
    <w:p w14:paraId="41F8CCBE" w14:textId="77777777" w:rsidR="004926E0" w:rsidRDefault="004926E0" w:rsidP="00925CAD">
      <w:pPr>
        <w:pStyle w:val="TableTextBullet"/>
        <w:numPr>
          <w:ilvl w:val="0"/>
          <w:numId w:val="42"/>
        </w:numPr>
        <w:ind w:right="63"/>
        <w:rPr>
          <w:rFonts w:ascii="Times New Roman" w:hAnsi="Times New Roman"/>
          <w:spacing w:val="-5"/>
          <w:sz w:val="22"/>
          <w:szCs w:val="22"/>
        </w:rPr>
      </w:pPr>
      <w:r>
        <w:rPr>
          <w:rFonts w:ascii="Times New Roman" w:hAnsi="Times New Roman"/>
          <w:spacing w:val="-5"/>
          <w:sz w:val="22"/>
          <w:szCs w:val="22"/>
        </w:rPr>
        <w:t>Test Results have been reviewed and released on the instrument to be transmitted to VBECS.</w:t>
      </w:r>
      <w:r w:rsidR="00FC74A0">
        <w:rPr>
          <w:rFonts w:ascii="Times New Roman" w:hAnsi="Times New Roman"/>
          <w:spacing w:val="-5"/>
          <w:sz w:val="22"/>
          <w:szCs w:val="22"/>
        </w:rPr>
        <w:t xml:space="preserve"> </w:t>
      </w:r>
      <w:r w:rsidR="00FC74A0" w:rsidRPr="00FC74A0">
        <w:rPr>
          <w:rFonts w:ascii="Times New Roman" w:hAnsi="Times New Roman"/>
          <w:vanish/>
          <w:spacing w:val="-5"/>
          <w:sz w:val="22"/>
          <w:szCs w:val="22"/>
        </w:rPr>
        <w:t xml:space="preserve">Defect </w:t>
      </w:r>
      <w:r w:rsidR="00FC74A0" w:rsidRPr="00FC74A0">
        <w:rPr>
          <w:vanish/>
        </w:rPr>
        <w:t>357490</w:t>
      </w:r>
    </w:p>
    <w:p w14:paraId="00D37130"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A patient testing order must be accepted in VBECS and pending test results.</w:t>
      </w:r>
    </w:p>
    <w:p w14:paraId="4AAA01F3"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A blood unit must be received in the VBECS division.</w:t>
      </w:r>
    </w:p>
    <w:p w14:paraId="77199401"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The testing instrument is fully functional and available for use:  The instrument QC is completed and valid, no maintenance is required and test results are available for transmission to VBECS.</w:t>
      </w:r>
    </w:p>
    <w:p w14:paraId="2B4FCFAB" w14:textId="77777777" w:rsidR="00B45FA2"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 xml:space="preserve">Interface Control Parameters </w:t>
      </w:r>
      <w:r>
        <w:rPr>
          <w:rFonts w:ascii="Times New Roman" w:hAnsi="Times New Roman"/>
          <w:spacing w:val="-5"/>
          <w:sz w:val="22"/>
          <w:szCs w:val="22"/>
        </w:rPr>
        <w:t>have</w:t>
      </w:r>
      <w:r w:rsidRPr="00B23B06">
        <w:rPr>
          <w:rFonts w:ascii="Times New Roman" w:hAnsi="Times New Roman"/>
          <w:spacing w:val="-5"/>
          <w:sz w:val="22"/>
          <w:szCs w:val="22"/>
        </w:rPr>
        <w:t xml:space="preserve"> been completed and </w:t>
      </w:r>
      <w:r>
        <w:rPr>
          <w:rFonts w:ascii="Times New Roman" w:hAnsi="Times New Roman"/>
          <w:spacing w:val="-5"/>
          <w:sz w:val="22"/>
          <w:szCs w:val="22"/>
        </w:rPr>
        <w:t>are</w:t>
      </w:r>
      <w:r w:rsidRPr="00B23B06">
        <w:rPr>
          <w:rFonts w:ascii="Times New Roman" w:hAnsi="Times New Roman"/>
          <w:spacing w:val="-5"/>
          <w:sz w:val="22"/>
          <w:szCs w:val="22"/>
        </w:rPr>
        <w:t xml:space="preserve"> enabled for the automated instrument interface</w:t>
      </w:r>
      <w:r w:rsidR="00F27904">
        <w:rPr>
          <w:rFonts w:ascii="Times New Roman" w:hAnsi="Times New Roman"/>
          <w:spacing w:val="-5"/>
          <w:sz w:val="22"/>
          <w:szCs w:val="22"/>
        </w:rPr>
        <w:t xml:space="preserve"> in the VBECS Administrator</w:t>
      </w:r>
      <w:r w:rsidRPr="00B23B06">
        <w:rPr>
          <w:rFonts w:ascii="Times New Roman" w:hAnsi="Times New Roman"/>
          <w:spacing w:val="-5"/>
          <w:sz w:val="22"/>
          <w:szCs w:val="22"/>
        </w:rPr>
        <w:t>.</w:t>
      </w:r>
    </w:p>
    <w:p w14:paraId="2FDE9CC7"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Pr>
          <w:rFonts w:ascii="Times New Roman" w:hAnsi="Times New Roman"/>
          <w:spacing w:val="-5"/>
          <w:sz w:val="22"/>
          <w:szCs w:val="22"/>
        </w:rPr>
        <w:t>Data Innovations Instrument Manager message interface is properly and completely configured.</w:t>
      </w:r>
    </w:p>
    <w:p w14:paraId="0A3146FA" w14:textId="77777777" w:rsidR="00B45FA2" w:rsidRDefault="00B45FA2" w:rsidP="00B45FA2">
      <w:pPr>
        <w:pStyle w:val="Heading4"/>
      </w:pPr>
      <w:r>
        <w:t xml:space="preserve">Outcome </w:t>
      </w:r>
    </w:p>
    <w:p w14:paraId="1F7C9FA4" w14:textId="77777777" w:rsidR="00B45FA2" w:rsidRDefault="0081699D" w:rsidP="00B45FA2">
      <w:pPr>
        <w:pStyle w:val="ListBullet"/>
      </w:pPr>
      <w:r w:rsidRPr="00311A54">
        <w:t>Test results are received by VBECS</w:t>
      </w:r>
      <w:r w:rsidR="00B45FA2" w:rsidRPr="00311A54">
        <w:t>.</w:t>
      </w:r>
    </w:p>
    <w:p w14:paraId="0B05209C" w14:textId="77777777" w:rsidR="00F27904" w:rsidRPr="00311A54" w:rsidRDefault="00F27904" w:rsidP="00B45FA2">
      <w:pPr>
        <w:pStyle w:val="ListBullet"/>
      </w:pPr>
      <w:r>
        <w:t>Task status is updated for tests pending completion.</w:t>
      </w:r>
    </w:p>
    <w:p w14:paraId="5EC0C5D4" w14:textId="77777777" w:rsidR="00B45FA2" w:rsidRDefault="00B45FA2" w:rsidP="00B45FA2">
      <w:pPr>
        <w:pStyle w:val="Heading4"/>
      </w:pPr>
      <w:r>
        <w:t>Limitations and Restrictions</w:t>
      </w:r>
      <w:r>
        <w:rPr>
          <w:b w:val="0"/>
        </w:rPr>
        <w:t xml:space="preserve"> </w:t>
      </w:r>
    </w:p>
    <w:p w14:paraId="247248F5" w14:textId="77777777" w:rsidR="00586388" w:rsidRPr="00586388" w:rsidRDefault="00586388" w:rsidP="00925CAD">
      <w:pPr>
        <w:pStyle w:val="TableTextBullet"/>
        <w:numPr>
          <w:ilvl w:val="0"/>
          <w:numId w:val="42"/>
        </w:numPr>
        <w:ind w:right="63"/>
        <w:rPr>
          <w:rFonts w:ascii="Times New Roman" w:hAnsi="Times New Roman"/>
          <w:spacing w:val="-5"/>
          <w:sz w:val="22"/>
          <w:szCs w:val="22"/>
        </w:rPr>
      </w:pPr>
      <w:r w:rsidRPr="00586388">
        <w:rPr>
          <w:rFonts w:ascii="Times New Roman" w:hAnsi="Times New Roman"/>
          <w:sz w:val="22"/>
          <w:szCs w:val="22"/>
        </w:rPr>
        <w:t xml:space="preserve">VBECS has only been tested with one automated instrument connected. </w:t>
      </w:r>
      <w:r w:rsidRPr="00586388">
        <w:rPr>
          <w:rFonts w:ascii="Times New Roman" w:hAnsi="Times New Roman"/>
          <w:vanish/>
          <w:sz w:val="22"/>
          <w:szCs w:val="22"/>
        </w:rPr>
        <w:t>Defect 357490</w:t>
      </w:r>
    </w:p>
    <w:p w14:paraId="4F65AAE8"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Not available for transmission to Transfusion only facilities from a blood center due to constraints of VA’s security software.</w:t>
      </w:r>
    </w:p>
    <w:p w14:paraId="0A5A6033"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The results of Antibody Panels (ABID) will not be accepted by the VBECS Automated Interface.</w:t>
      </w:r>
    </w:p>
    <w:p w14:paraId="482936CE" w14:textId="77777777" w:rsidR="00B45FA2"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The results of QC information from automated instruments will not be accepted by the VBECS Automated Interface.</w:t>
      </w:r>
    </w:p>
    <w:p w14:paraId="7028521A" w14:textId="087D2D96" w:rsidR="00D33B43" w:rsidRDefault="00B45FA2" w:rsidP="00925CAD">
      <w:pPr>
        <w:pStyle w:val="TableTextBullet"/>
        <w:numPr>
          <w:ilvl w:val="0"/>
          <w:numId w:val="42"/>
        </w:numPr>
        <w:ind w:right="63"/>
        <w:rPr>
          <w:rFonts w:ascii="Times New Roman" w:hAnsi="Times New Roman"/>
          <w:spacing w:val="-5"/>
          <w:sz w:val="22"/>
          <w:szCs w:val="22"/>
        </w:rPr>
      </w:pPr>
      <w:r w:rsidRPr="004926E0">
        <w:rPr>
          <w:rFonts w:ascii="Times New Roman" w:hAnsi="Times New Roman"/>
          <w:spacing w:val="-5"/>
          <w:sz w:val="22"/>
          <w:szCs w:val="22"/>
        </w:rPr>
        <w:t>Time zone will not be included in HL7 message date time from the broadcasting application (Instrument Manager). The time zone is determined from the division code contained in the message header (MSH) segment of the message.</w:t>
      </w:r>
      <w:r w:rsidR="00D33B43" w:rsidRPr="004926E0">
        <w:rPr>
          <w:rFonts w:ascii="Times New Roman" w:hAnsi="Times New Roman"/>
          <w:vanish/>
          <w:spacing w:val="-5"/>
          <w:sz w:val="22"/>
          <w:szCs w:val="22"/>
        </w:rPr>
        <w:t xml:space="preserve">Defects 290088, 290166 </w:t>
      </w:r>
    </w:p>
    <w:p w14:paraId="454A986D" w14:textId="0F666D88" w:rsidR="004F6172" w:rsidRPr="004F6172" w:rsidRDefault="004F6172" w:rsidP="004F6172">
      <w:pPr>
        <w:pStyle w:val="TableTextBullet"/>
        <w:numPr>
          <w:ilvl w:val="0"/>
          <w:numId w:val="42"/>
        </w:numPr>
        <w:ind w:right="63"/>
        <w:rPr>
          <w:rFonts w:ascii="Times New Roman" w:hAnsi="Times New Roman"/>
          <w:spacing w:val="-5"/>
          <w:sz w:val="22"/>
          <w:szCs w:val="22"/>
        </w:rPr>
      </w:pPr>
      <w:r w:rsidRPr="004F6172">
        <w:rPr>
          <w:rFonts w:ascii="Times New Roman" w:hAnsi="Times New Roman"/>
          <w:spacing w:val="-5"/>
          <w:sz w:val="22"/>
          <w:szCs w:val="22"/>
        </w:rPr>
        <w:t>For VBECS to process automated test results, a specimen record needs to exist.</w:t>
      </w:r>
      <w:r w:rsidR="0093638C">
        <w:rPr>
          <w:rFonts w:ascii="Times New Roman" w:hAnsi="Times New Roman"/>
          <w:spacing w:val="-5"/>
          <w:sz w:val="22"/>
          <w:szCs w:val="22"/>
        </w:rPr>
        <w:t xml:space="preserve"> </w:t>
      </w:r>
      <w:r w:rsidRPr="004F6172">
        <w:rPr>
          <w:rFonts w:ascii="Times New Roman" w:hAnsi="Times New Roman"/>
          <w:spacing w:val="-5"/>
          <w:sz w:val="22"/>
          <w:szCs w:val="22"/>
        </w:rPr>
        <w:t>VBECS cannot accept A</w:t>
      </w:r>
      <w:r w:rsidR="0093638C">
        <w:rPr>
          <w:rFonts w:ascii="Times New Roman" w:hAnsi="Times New Roman"/>
          <w:spacing w:val="-5"/>
          <w:sz w:val="22"/>
          <w:szCs w:val="22"/>
        </w:rPr>
        <w:t xml:space="preserve">utomated </w:t>
      </w:r>
      <w:r w:rsidRPr="004F6172">
        <w:rPr>
          <w:rFonts w:ascii="Times New Roman" w:hAnsi="Times New Roman"/>
          <w:spacing w:val="-5"/>
          <w:sz w:val="22"/>
          <w:szCs w:val="22"/>
        </w:rPr>
        <w:t>I</w:t>
      </w:r>
      <w:r w:rsidR="0093638C">
        <w:rPr>
          <w:rFonts w:ascii="Times New Roman" w:hAnsi="Times New Roman"/>
          <w:spacing w:val="-5"/>
          <w:sz w:val="22"/>
          <w:szCs w:val="22"/>
        </w:rPr>
        <w:t>n</w:t>
      </w:r>
      <w:r w:rsidR="00227337">
        <w:rPr>
          <w:rFonts w:ascii="Times New Roman" w:hAnsi="Times New Roman"/>
          <w:spacing w:val="-5"/>
          <w:sz w:val="22"/>
          <w:szCs w:val="22"/>
        </w:rPr>
        <w:t>strument</w:t>
      </w:r>
      <w:r w:rsidRPr="004F6172">
        <w:rPr>
          <w:rFonts w:ascii="Times New Roman" w:hAnsi="Times New Roman"/>
          <w:spacing w:val="-5"/>
          <w:sz w:val="22"/>
          <w:szCs w:val="22"/>
        </w:rPr>
        <w:t xml:space="preserve"> test results for specimens that are more than 5 years old. To work around this limitation for maintainable specimens, first change the expiration date and then send the test results.</w:t>
      </w:r>
    </w:p>
    <w:p w14:paraId="55E2A468" w14:textId="77777777" w:rsidR="00B45FA2" w:rsidRDefault="00B45FA2" w:rsidP="00B45FA2">
      <w:pPr>
        <w:pStyle w:val="Heading4"/>
      </w:pPr>
      <w:r>
        <w:t xml:space="preserve">Additional Information </w:t>
      </w:r>
    </w:p>
    <w:p w14:paraId="72CA1873" w14:textId="77777777" w:rsidR="00B45FA2" w:rsidRDefault="00B45FA2" w:rsidP="00B45FA2">
      <w:pPr>
        <w:pStyle w:val="ListBullet"/>
      </w:pPr>
      <w:r>
        <w:t xml:space="preserve">VBECS </w:t>
      </w:r>
      <w:r w:rsidRPr="00BA0C95">
        <w:t xml:space="preserve">will accommodate </w:t>
      </w:r>
      <w:r>
        <w:t xml:space="preserve">antigen typing test results </w:t>
      </w:r>
      <w:r w:rsidRPr="00BA0C95">
        <w:t>where antigen typing tests are available in VBECS.</w:t>
      </w:r>
    </w:p>
    <w:p w14:paraId="4E18D87B" w14:textId="77777777" w:rsidR="002C3F2F" w:rsidRDefault="00057948" w:rsidP="002C3F2F">
      <w:pPr>
        <w:pStyle w:val="ListBullet"/>
      </w:pPr>
      <w:r>
        <w:rPr>
          <w:noProof/>
        </w:rPr>
        <w:drawing>
          <wp:inline distT="0" distB="0" distL="0" distR="0" wp14:anchorId="48A86715" wp14:editId="67D1E673">
            <wp:extent cx="276860" cy="221615"/>
            <wp:effectExtent l="0" t="0" r="8890" b="6985"/>
            <wp:docPr id="262" name="Picture 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2A35C552" w14:textId="77777777" w:rsidR="00B45FA2" w:rsidRDefault="00B45FA2" w:rsidP="00B45FA2">
      <w:pPr>
        <w:pStyle w:val="Heading4"/>
        <w:rPr>
          <w:b w:val="0"/>
        </w:rPr>
      </w:pPr>
      <w:r>
        <w:t>User Roles with Access to This Option</w:t>
      </w:r>
      <w:r>
        <w:rPr>
          <w:b w:val="0"/>
        </w:rPr>
        <w:t xml:space="preserve"> </w:t>
      </w:r>
    </w:p>
    <w:p w14:paraId="6BDF9E13" w14:textId="77777777" w:rsidR="00B45FA2" w:rsidRDefault="00B45FA2" w:rsidP="00B45FA2">
      <w:pPr>
        <w:pStyle w:val="Roles"/>
      </w:pPr>
      <w:r>
        <w:t>All users</w:t>
      </w:r>
    </w:p>
    <w:p w14:paraId="7CC01D15" w14:textId="77777777" w:rsidR="00B45FA2" w:rsidRDefault="009068D5" w:rsidP="00B45FA2">
      <w:pPr>
        <w:pStyle w:val="Heading4"/>
      </w:pPr>
      <w:r>
        <w:lastRenderedPageBreak/>
        <w:t>Automated Testing Interface</w:t>
      </w:r>
    </w:p>
    <w:p w14:paraId="7128BB44" w14:textId="77777777" w:rsidR="00B45FA2" w:rsidRDefault="00311A54" w:rsidP="00B45FA2">
      <w:pPr>
        <w:pStyle w:val="BodyText"/>
      </w:pPr>
      <w:r>
        <w:t xml:space="preserve">This </w:t>
      </w:r>
      <w:r w:rsidR="00F27904">
        <w:t>feature</w:t>
      </w:r>
      <w:r>
        <w:t xml:space="preserve"> allows the interface of automated blood banking instruments with VBECS through Data Innovat</w:t>
      </w:r>
      <w:r w:rsidR="00F27904">
        <w:t>ions Instrument Manager. It</w:t>
      </w:r>
      <w:r>
        <w:t xml:space="preserve"> eliminate</w:t>
      </w:r>
      <w:r w:rsidR="00F27904">
        <w:t>s</w:t>
      </w:r>
      <w:r>
        <w:t xml:space="preserve"> the potential for human error associated with the manual entry of results from an automated instrument into</w:t>
      </w:r>
      <w:r w:rsidR="00F27904">
        <w:t xml:space="preserve"> </w:t>
      </w:r>
      <w:r>
        <w:t>VBECS</w:t>
      </w:r>
      <w:r w:rsidR="00F27904">
        <w:t xml:space="preserve">. </w:t>
      </w:r>
      <w:r w:rsidR="00640909">
        <w:t>It also eliminates t</w:t>
      </w:r>
      <w:r>
        <w:t>he potential for transcription errors that can lead to a patient safety issue of ABO incompatible transfusion. In addition to safety, these enhancements will also reduce the time spent entering results manually</w:t>
      </w:r>
      <w:r w:rsidR="00B45FA2"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BE3592D" w14:textId="77777777" w:rsidTr="003F6E8A">
        <w:trPr>
          <w:cantSplit/>
          <w:tblHeader/>
        </w:trPr>
        <w:tc>
          <w:tcPr>
            <w:tcW w:w="3240" w:type="dxa"/>
            <w:shd w:val="pct30" w:color="auto" w:fill="FFFFFF"/>
            <w:vAlign w:val="bottom"/>
          </w:tcPr>
          <w:p w14:paraId="42A51DA8" w14:textId="77777777" w:rsidR="00B45FA2" w:rsidRDefault="00B45FA2" w:rsidP="003F6E8A">
            <w:pPr>
              <w:pStyle w:val="TableText"/>
              <w:rPr>
                <w:b/>
              </w:rPr>
            </w:pPr>
            <w:r>
              <w:rPr>
                <w:b/>
              </w:rPr>
              <w:t>User Action</w:t>
            </w:r>
          </w:p>
        </w:tc>
        <w:tc>
          <w:tcPr>
            <w:tcW w:w="6120" w:type="dxa"/>
            <w:shd w:val="pct30" w:color="auto" w:fill="FFFFFF"/>
            <w:vAlign w:val="bottom"/>
          </w:tcPr>
          <w:p w14:paraId="536F9CE8" w14:textId="77777777" w:rsidR="00B45FA2" w:rsidRDefault="00B45FA2" w:rsidP="003F6E8A">
            <w:pPr>
              <w:pStyle w:val="TableText"/>
              <w:rPr>
                <w:b/>
              </w:rPr>
            </w:pPr>
            <w:r>
              <w:rPr>
                <w:b/>
              </w:rPr>
              <w:t>VBECS</w:t>
            </w:r>
          </w:p>
        </w:tc>
      </w:tr>
      <w:tr w:rsidR="00B45FA2" w14:paraId="0FA84AC9" w14:textId="77777777" w:rsidTr="003F6E8A">
        <w:tc>
          <w:tcPr>
            <w:tcW w:w="3240" w:type="dxa"/>
          </w:tcPr>
          <w:p w14:paraId="5BE11EF0" w14:textId="77777777" w:rsidR="00B45FA2" w:rsidRDefault="007B08C6" w:rsidP="007B08C6">
            <w:pPr>
              <w:pStyle w:val="TableTextNumbers"/>
            </w:pPr>
            <w:r>
              <w:t xml:space="preserve">User sends test results </w:t>
            </w:r>
            <w:r w:rsidR="00D5538E">
              <w:t xml:space="preserve">from the Automated Instrument </w:t>
            </w:r>
            <w:r>
              <w:t>to VBECS.</w:t>
            </w:r>
          </w:p>
        </w:tc>
        <w:tc>
          <w:tcPr>
            <w:tcW w:w="6120" w:type="dxa"/>
          </w:tcPr>
          <w:p w14:paraId="666CC64F" w14:textId="77777777" w:rsidR="00B45FA2" w:rsidRDefault="00D279DE" w:rsidP="003F6E8A">
            <w:pPr>
              <w:pStyle w:val="TableTextBullet"/>
            </w:pPr>
            <w:r>
              <w:t>U</w:t>
            </w:r>
            <w:r w:rsidR="00B45FA2">
              <w:t>pdates the task status on the Pending Task List (PTL) upon successful receipt of testing.</w:t>
            </w:r>
          </w:p>
          <w:p w14:paraId="7600BED4" w14:textId="77777777" w:rsidR="00B45FA2" w:rsidRDefault="00D279DE" w:rsidP="003F6E8A">
            <w:pPr>
              <w:pStyle w:val="TableTextBullet"/>
            </w:pPr>
            <w:r>
              <w:t>S</w:t>
            </w:r>
            <w:r w:rsidR="00B45FA2">
              <w:t>tores received results for review, processing and acceptance by a user.</w:t>
            </w:r>
          </w:p>
          <w:p w14:paraId="15A5CE11" w14:textId="77777777" w:rsidR="00D95812" w:rsidRDefault="00D95812" w:rsidP="00D95812">
            <w:pPr>
              <w:pStyle w:val="TableTextBullet"/>
              <w:numPr>
                <w:ilvl w:val="0"/>
                <w:numId w:val="0"/>
              </w:numPr>
              <w:ind w:left="288" w:hanging="288"/>
            </w:pPr>
          </w:p>
          <w:p w14:paraId="14DF302E" w14:textId="38F56D37" w:rsidR="00D95812" w:rsidRDefault="00D95812" w:rsidP="00D95812">
            <w:pPr>
              <w:pStyle w:val="TableText"/>
              <w:rPr>
                <w:b/>
                <w:bCs/>
                <w:szCs w:val="18"/>
              </w:rPr>
            </w:pPr>
            <w:r>
              <w:rPr>
                <w:b/>
                <w:bCs/>
                <w:szCs w:val="18"/>
              </w:rPr>
              <w:t>NOTES</w:t>
            </w:r>
          </w:p>
          <w:p w14:paraId="51480B8F" w14:textId="77777777" w:rsidR="00D95812" w:rsidRDefault="00D95812" w:rsidP="00D95812">
            <w:pPr>
              <w:pStyle w:val="NotesText"/>
            </w:pPr>
          </w:p>
          <w:p w14:paraId="53F0454A" w14:textId="77777777" w:rsidR="00D95812" w:rsidRDefault="00F27904" w:rsidP="00D95812">
            <w:pPr>
              <w:pStyle w:val="NotesText"/>
            </w:pPr>
            <w:r w:rsidRPr="00DC70D1">
              <w:rPr>
                <w:rFonts w:cs="Arial"/>
                <w:vanish/>
              </w:rPr>
              <w:t xml:space="preserve">BR_114.01 </w:t>
            </w:r>
            <w:r w:rsidR="00D95812">
              <w:rPr>
                <w:rFonts w:cs="Arial"/>
                <w:vanish/>
              </w:rPr>
              <w:t xml:space="preserve">BR_85.01 </w:t>
            </w:r>
            <w:r w:rsidR="00D95812">
              <w:t>If the blood unit record is not found, the message is rejected</w:t>
            </w:r>
            <w:r>
              <w:t xml:space="preserve"> and results are not available for review</w:t>
            </w:r>
            <w:r w:rsidR="00D95812">
              <w:t>.</w:t>
            </w:r>
          </w:p>
          <w:p w14:paraId="439F07A4" w14:textId="77777777" w:rsidR="00D95812" w:rsidRDefault="00D95812" w:rsidP="00D95812">
            <w:pPr>
              <w:pStyle w:val="NotesText"/>
            </w:pPr>
          </w:p>
          <w:p w14:paraId="46F4FDA9" w14:textId="77777777" w:rsidR="00D95812" w:rsidRDefault="00F27904" w:rsidP="00D95812">
            <w:pPr>
              <w:pStyle w:val="NotesText"/>
            </w:pPr>
            <w:r w:rsidRPr="00DC70D1">
              <w:rPr>
                <w:vanish/>
              </w:rPr>
              <w:t xml:space="preserve">BR_114.02 </w:t>
            </w:r>
            <w:r w:rsidR="00D95812">
              <w:t>If the patient specimen is not associated with an active patient order, the message is rejected</w:t>
            </w:r>
            <w:r>
              <w:t xml:space="preserve"> and results are not available for review</w:t>
            </w:r>
            <w:r w:rsidR="00D95812">
              <w:t>.</w:t>
            </w:r>
          </w:p>
          <w:p w14:paraId="3FB4297E" w14:textId="77777777" w:rsidR="00D95812" w:rsidRDefault="00D95812" w:rsidP="00D95812">
            <w:pPr>
              <w:pStyle w:val="NotesText"/>
            </w:pPr>
          </w:p>
          <w:p w14:paraId="7DA88C3B" w14:textId="77777777" w:rsidR="00D95812" w:rsidRDefault="00F27904" w:rsidP="00D95812">
            <w:pPr>
              <w:pStyle w:val="NotesText"/>
            </w:pPr>
            <w:r w:rsidRPr="00DC70D1">
              <w:rPr>
                <w:vanish/>
              </w:rPr>
              <w:t xml:space="preserve">BR_114.03 </w:t>
            </w:r>
            <w:r w:rsidR="00D95812">
              <w:t>If the cross-matched units are not assigned to a patient order, the message containing crossmatch results is rejected</w:t>
            </w:r>
            <w:r>
              <w:t xml:space="preserve"> and results are not available for review</w:t>
            </w:r>
            <w:r w:rsidR="00D95812">
              <w:t>.</w:t>
            </w:r>
          </w:p>
          <w:p w14:paraId="46189BE2" w14:textId="77777777" w:rsidR="00D95812" w:rsidRDefault="00D95812" w:rsidP="00D95812">
            <w:pPr>
              <w:pStyle w:val="NotesText"/>
            </w:pPr>
          </w:p>
          <w:p w14:paraId="39210F09" w14:textId="77777777" w:rsidR="00D95812" w:rsidRDefault="00F27904" w:rsidP="00D95812">
            <w:pPr>
              <w:pStyle w:val="NotesText"/>
            </w:pPr>
            <w:r w:rsidRPr="00DC70D1">
              <w:rPr>
                <w:vanish/>
              </w:rPr>
              <w:t xml:space="preserve">BR_114.04 </w:t>
            </w:r>
            <w:r w:rsidR="00D95812">
              <w:t>Patient specimen blood test results pending review must be rejected by the user in VBECS before replacement results can be received.</w:t>
            </w:r>
          </w:p>
          <w:p w14:paraId="444A8F41" w14:textId="77777777" w:rsidR="00D95812" w:rsidRDefault="00D95812" w:rsidP="00D95812">
            <w:pPr>
              <w:pStyle w:val="NotesText"/>
            </w:pPr>
          </w:p>
          <w:p w14:paraId="7B669949" w14:textId="77777777" w:rsidR="00D95812" w:rsidRDefault="00F27904" w:rsidP="00D95812">
            <w:pPr>
              <w:pStyle w:val="NotesText"/>
            </w:pPr>
            <w:r w:rsidRPr="00DC70D1">
              <w:rPr>
                <w:vanish/>
              </w:rPr>
              <w:t xml:space="preserve">BR_114.07 </w:t>
            </w:r>
            <w:r w:rsidR="00D95812">
              <w:t>If test results currently exist for a patient order (entered manually or by the Automated Instrument), the replacement test results will not be accepted into VBECS until the user invalidates the existing test results.</w:t>
            </w:r>
          </w:p>
          <w:p w14:paraId="2A137C35" w14:textId="77777777" w:rsidR="00D95812" w:rsidRDefault="00D95812" w:rsidP="00D95812">
            <w:pPr>
              <w:pStyle w:val="NotesText"/>
            </w:pPr>
          </w:p>
          <w:p w14:paraId="4890CC4E" w14:textId="77777777" w:rsidR="00D95812" w:rsidRDefault="00F27904" w:rsidP="00D95812">
            <w:pPr>
              <w:pStyle w:val="NotesText"/>
              <w:rPr>
                <w:rFonts w:cs="Arial"/>
                <w:bCs/>
                <w:color w:val="000000"/>
                <w:szCs w:val="18"/>
              </w:rPr>
            </w:pPr>
            <w:r w:rsidRPr="00DC70D1">
              <w:rPr>
                <w:rFonts w:cs="Arial"/>
                <w:bCs/>
                <w:vanish/>
                <w:color w:val="000000"/>
                <w:szCs w:val="18"/>
              </w:rPr>
              <w:t xml:space="preserve">BR_114.10 </w:t>
            </w:r>
            <w:r w:rsidR="00D95812">
              <w:rPr>
                <w:rFonts w:cs="Arial"/>
                <w:bCs/>
                <w:color w:val="000000"/>
                <w:szCs w:val="18"/>
              </w:rPr>
              <w:t xml:space="preserve">When patient test results </w:t>
            </w:r>
            <w:r w:rsidR="00D95812" w:rsidRPr="00CA7FBC">
              <w:rPr>
                <w:rFonts w:cs="Arial"/>
                <w:bCs/>
                <w:color w:val="000000"/>
                <w:szCs w:val="18"/>
              </w:rPr>
              <w:t xml:space="preserve">are sent to VBECS and multiple orders </w:t>
            </w:r>
            <w:r w:rsidR="00D95812">
              <w:rPr>
                <w:rFonts w:cs="Arial"/>
                <w:bCs/>
                <w:color w:val="000000"/>
                <w:szCs w:val="18"/>
              </w:rPr>
              <w:t xml:space="preserve">exist </w:t>
            </w:r>
            <w:r w:rsidR="00D95812" w:rsidRPr="00CA7FBC">
              <w:rPr>
                <w:rFonts w:cs="Arial"/>
                <w:bCs/>
                <w:color w:val="000000"/>
                <w:szCs w:val="18"/>
              </w:rPr>
              <w:t xml:space="preserve">for the same test type </w:t>
            </w:r>
            <w:r w:rsidR="00D95812">
              <w:rPr>
                <w:rFonts w:cs="Arial"/>
                <w:bCs/>
                <w:color w:val="000000"/>
                <w:szCs w:val="18"/>
              </w:rPr>
              <w:t>and</w:t>
            </w:r>
            <w:r w:rsidR="00D95812" w:rsidRPr="00CA7FBC">
              <w:rPr>
                <w:rFonts w:cs="Arial"/>
                <w:bCs/>
                <w:color w:val="000000"/>
                <w:szCs w:val="18"/>
              </w:rPr>
              <w:t xml:space="preserve"> the same specimen UID on the VBECS P</w:t>
            </w:r>
            <w:r w:rsidR="00D95812">
              <w:rPr>
                <w:rFonts w:cs="Arial"/>
                <w:bCs/>
                <w:color w:val="000000"/>
                <w:szCs w:val="18"/>
              </w:rPr>
              <w:t>TL</w:t>
            </w:r>
            <w:r w:rsidR="00D95812" w:rsidRPr="00CA7FBC">
              <w:rPr>
                <w:rFonts w:cs="Arial"/>
                <w:bCs/>
                <w:color w:val="000000"/>
                <w:szCs w:val="18"/>
              </w:rPr>
              <w:t>, the message is rejected.</w:t>
            </w:r>
            <w:r w:rsidR="00D95812">
              <w:rPr>
                <w:rFonts w:cs="Arial"/>
                <w:bCs/>
                <w:color w:val="000000"/>
                <w:szCs w:val="18"/>
              </w:rPr>
              <w:t xml:space="preserve"> </w:t>
            </w:r>
            <w:r w:rsidR="00D95812" w:rsidRPr="00CA7FBC">
              <w:rPr>
                <w:rFonts w:cs="Arial"/>
                <w:bCs/>
                <w:color w:val="000000"/>
                <w:szCs w:val="18"/>
              </w:rPr>
              <w:t xml:space="preserve">For example: </w:t>
            </w:r>
            <w:r w:rsidR="00D95812">
              <w:rPr>
                <w:rFonts w:cs="Arial"/>
                <w:bCs/>
                <w:color w:val="000000"/>
                <w:szCs w:val="18"/>
              </w:rPr>
              <w:t>When</w:t>
            </w:r>
            <w:r w:rsidR="00D95812" w:rsidRPr="00CA7FBC">
              <w:rPr>
                <w:rFonts w:cs="Arial"/>
                <w:bCs/>
                <w:color w:val="000000"/>
                <w:szCs w:val="18"/>
              </w:rPr>
              <w:t xml:space="preserve"> ABS </w:t>
            </w:r>
            <w:r w:rsidR="00D95812">
              <w:rPr>
                <w:rFonts w:cs="Arial"/>
                <w:bCs/>
                <w:color w:val="000000"/>
                <w:szCs w:val="18"/>
              </w:rPr>
              <w:t xml:space="preserve">test results </w:t>
            </w:r>
            <w:r w:rsidR="00D95812" w:rsidRPr="00CA7FBC">
              <w:rPr>
                <w:rFonts w:cs="Arial"/>
                <w:bCs/>
                <w:color w:val="000000"/>
                <w:szCs w:val="18"/>
              </w:rPr>
              <w:t xml:space="preserve">and Repeat ABS </w:t>
            </w:r>
            <w:r w:rsidR="00D95812">
              <w:rPr>
                <w:rFonts w:cs="Arial"/>
                <w:bCs/>
                <w:color w:val="000000"/>
                <w:szCs w:val="18"/>
              </w:rPr>
              <w:t>test results for the same speci</w:t>
            </w:r>
            <w:r w:rsidR="00D95812" w:rsidRPr="00CA7FBC">
              <w:rPr>
                <w:rFonts w:cs="Arial"/>
                <w:bCs/>
                <w:color w:val="000000"/>
                <w:szCs w:val="18"/>
              </w:rPr>
              <w:t>men UID</w:t>
            </w:r>
            <w:r w:rsidR="00D95812">
              <w:rPr>
                <w:rFonts w:cs="Arial"/>
                <w:bCs/>
                <w:color w:val="000000"/>
                <w:szCs w:val="18"/>
              </w:rPr>
              <w:t xml:space="preserve"> are sent to VBECS at the same time</w:t>
            </w:r>
            <w:r w:rsidR="00D95812" w:rsidRPr="00CA7FBC">
              <w:rPr>
                <w:rFonts w:cs="Arial"/>
                <w:bCs/>
                <w:color w:val="000000"/>
                <w:szCs w:val="18"/>
              </w:rPr>
              <w:t xml:space="preserve">, </w:t>
            </w:r>
            <w:r w:rsidR="00D95812">
              <w:rPr>
                <w:rFonts w:cs="Arial"/>
                <w:bCs/>
                <w:color w:val="000000"/>
                <w:szCs w:val="18"/>
              </w:rPr>
              <w:t>because the Automated Instrument does not indicate which test is primary and which test is reflex, the message must be rejected.</w:t>
            </w:r>
          </w:p>
          <w:p w14:paraId="75FA9803" w14:textId="77777777" w:rsidR="00D95812" w:rsidRDefault="00D95812" w:rsidP="00D95812">
            <w:pPr>
              <w:pStyle w:val="NotesText"/>
              <w:rPr>
                <w:rFonts w:cs="Arial"/>
                <w:bCs/>
                <w:color w:val="000000"/>
                <w:szCs w:val="18"/>
              </w:rPr>
            </w:pPr>
          </w:p>
          <w:p w14:paraId="29A69677" w14:textId="77777777" w:rsidR="00D95812" w:rsidRDefault="00F27904" w:rsidP="00D95812">
            <w:pPr>
              <w:pStyle w:val="NotesText"/>
              <w:rPr>
                <w:rFonts w:cs="Arial"/>
                <w:szCs w:val="18"/>
              </w:rPr>
            </w:pPr>
            <w:r w:rsidRPr="00DC70D1">
              <w:rPr>
                <w:rFonts w:cs="Arial"/>
                <w:vanish/>
                <w:szCs w:val="18"/>
              </w:rPr>
              <w:t xml:space="preserve">BR_114.08 </w:t>
            </w:r>
            <w:r w:rsidR="00D95812">
              <w:rPr>
                <w:rFonts w:cs="Arial"/>
                <w:szCs w:val="18"/>
              </w:rPr>
              <w:t>When the</w:t>
            </w:r>
            <w:r w:rsidR="00D95812" w:rsidRPr="00F61FA8">
              <w:rPr>
                <w:rFonts w:cs="Arial"/>
                <w:szCs w:val="18"/>
              </w:rPr>
              <w:t xml:space="preserve"> </w:t>
            </w:r>
            <w:r w:rsidR="006E3236">
              <w:rPr>
                <w:rFonts w:cs="Arial"/>
                <w:szCs w:val="18"/>
              </w:rPr>
              <w:t>testing instrument for the patient</w:t>
            </w:r>
            <w:r w:rsidR="00D95812" w:rsidRPr="00F61FA8">
              <w:rPr>
                <w:rFonts w:cs="Arial"/>
                <w:szCs w:val="18"/>
              </w:rPr>
              <w:t xml:space="preserve"> ABO/Rh message contains results for Anti-D1 and Anti-D2 which do not conflict (both are positive or both are negative), </w:t>
            </w:r>
            <w:r w:rsidR="003350E0">
              <w:rPr>
                <w:rFonts w:cs="Arial"/>
                <w:szCs w:val="18"/>
              </w:rPr>
              <w:t xml:space="preserve">the </w:t>
            </w:r>
            <w:r w:rsidR="00D95812" w:rsidRPr="00F61FA8">
              <w:rPr>
                <w:rFonts w:cs="Arial"/>
                <w:szCs w:val="18"/>
              </w:rPr>
              <w:t xml:space="preserve">Anti-D1 </w:t>
            </w:r>
            <w:r w:rsidR="003350E0">
              <w:rPr>
                <w:rFonts w:cs="Arial"/>
                <w:szCs w:val="18"/>
              </w:rPr>
              <w:t>result</w:t>
            </w:r>
            <w:r w:rsidR="00D95812" w:rsidRPr="00F61FA8">
              <w:rPr>
                <w:rFonts w:cs="Arial"/>
                <w:szCs w:val="18"/>
              </w:rPr>
              <w:t xml:space="preserve"> will be stored in VBECS</w:t>
            </w:r>
            <w:r w:rsidR="00D95812">
              <w:rPr>
                <w:rFonts w:cs="Arial"/>
                <w:szCs w:val="18"/>
              </w:rPr>
              <w:t>.</w:t>
            </w:r>
          </w:p>
          <w:p w14:paraId="76E711F1" w14:textId="77777777" w:rsidR="00D95812" w:rsidRDefault="00D95812" w:rsidP="00D95812">
            <w:pPr>
              <w:pStyle w:val="NotesText"/>
              <w:rPr>
                <w:rFonts w:cs="Arial"/>
                <w:szCs w:val="18"/>
              </w:rPr>
            </w:pPr>
          </w:p>
          <w:p w14:paraId="19A84C08" w14:textId="77777777" w:rsidR="00D95812" w:rsidRDefault="006E3236" w:rsidP="00D95812">
            <w:pPr>
              <w:pStyle w:val="NotesText"/>
              <w:rPr>
                <w:rFonts w:cs="Arial"/>
                <w:szCs w:val="18"/>
              </w:rPr>
            </w:pPr>
            <w:r>
              <w:rPr>
                <w:rFonts w:cs="Arial"/>
                <w:szCs w:val="18"/>
              </w:rPr>
              <w:t>When the</w:t>
            </w:r>
            <w:r w:rsidRPr="00F61FA8">
              <w:rPr>
                <w:rFonts w:cs="Arial"/>
                <w:szCs w:val="18"/>
              </w:rPr>
              <w:t xml:space="preserve"> </w:t>
            </w:r>
            <w:r>
              <w:rPr>
                <w:rFonts w:cs="Arial"/>
                <w:szCs w:val="18"/>
              </w:rPr>
              <w:t>testing instrument for the patient</w:t>
            </w:r>
            <w:r w:rsidR="00B5630B">
              <w:rPr>
                <w:rFonts w:cs="Arial"/>
                <w:szCs w:val="18"/>
              </w:rPr>
              <w:t xml:space="preserve"> </w:t>
            </w:r>
            <w:r w:rsidR="00B5630B" w:rsidRPr="00F61FA8">
              <w:rPr>
                <w:rFonts w:cs="Arial"/>
                <w:szCs w:val="18"/>
              </w:rPr>
              <w:t>ABO/Rh message contains conflicting results for Anti-D1 and Anti-D2 (one is positive and the othe</w:t>
            </w:r>
            <w:r w:rsidR="00B5630B">
              <w:rPr>
                <w:rFonts w:cs="Arial"/>
                <w:szCs w:val="18"/>
              </w:rPr>
              <w:t>r negative), the message is</w:t>
            </w:r>
            <w:r w:rsidR="00B5630B" w:rsidRPr="00F61FA8">
              <w:rPr>
                <w:rFonts w:cs="Arial"/>
                <w:szCs w:val="18"/>
              </w:rPr>
              <w:t xml:space="preserve"> rejected</w:t>
            </w:r>
            <w:r w:rsidR="003350E0">
              <w:rPr>
                <w:rFonts w:cs="Arial"/>
                <w:szCs w:val="18"/>
              </w:rPr>
              <w:t xml:space="preserve"> </w:t>
            </w:r>
            <w:r w:rsidR="003350E0">
              <w:t>and results are not available for review</w:t>
            </w:r>
            <w:r w:rsidR="00B5630B" w:rsidRPr="00F61FA8">
              <w:rPr>
                <w:rFonts w:cs="Arial"/>
                <w:szCs w:val="18"/>
              </w:rPr>
              <w:t>.</w:t>
            </w:r>
          </w:p>
          <w:p w14:paraId="68797D96" w14:textId="77777777" w:rsidR="00B5630B" w:rsidRDefault="00B5630B" w:rsidP="00D95812">
            <w:pPr>
              <w:pStyle w:val="NotesText"/>
              <w:rPr>
                <w:rFonts w:cs="Arial"/>
                <w:szCs w:val="18"/>
              </w:rPr>
            </w:pPr>
          </w:p>
          <w:p w14:paraId="17D3C38E" w14:textId="77777777" w:rsidR="00B5630B" w:rsidRDefault="00F27904" w:rsidP="00D95812">
            <w:pPr>
              <w:pStyle w:val="NotesText"/>
              <w:rPr>
                <w:rFonts w:cs="Arial"/>
                <w:szCs w:val="18"/>
              </w:rPr>
            </w:pPr>
            <w:r w:rsidRPr="00DC70D1">
              <w:rPr>
                <w:rFonts w:cs="Arial"/>
                <w:vanish/>
                <w:szCs w:val="18"/>
              </w:rPr>
              <w:t xml:space="preserve">BR_114.05 </w:t>
            </w:r>
            <w:r w:rsidR="00B5630B" w:rsidRPr="00D82F90">
              <w:rPr>
                <w:rFonts w:cs="Arial"/>
                <w:szCs w:val="18"/>
              </w:rPr>
              <w:t xml:space="preserve">The message is </w:t>
            </w:r>
            <w:r w:rsidR="00B5630B">
              <w:rPr>
                <w:rFonts w:cs="Arial"/>
                <w:szCs w:val="18"/>
              </w:rPr>
              <w:t xml:space="preserve">processed by the VBECS system. </w:t>
            </w:r>
            <w:r w:rsidR="00B5630B" w:rsidRPr="00D82F90">
              <w:rPr>
                <w:rFonts w:cs="Arial"/>
                <w:szCs w:val="18"/>
              </w:rPr>
              <w:t>If the message is accept</w:t>
            </w:r>
            <w:r w:rsidR="00B5630B">
              <w:rPr>
                <w:rFonts w:cs="Arial"/>
                <w:szCs w:val="18"/>
              </w:rPr>
              <w:t>ed</w:t>
            </w:r>
            <w:r w:rsidR="00B5630B" w:rsidRPr="00D82F90">
              <w:rPr>
                <w:rFonts w:cs="Arial"/>
                <w:szCs w:val="18"/>
              </w:rPr>
              <w:t xml:space="preserve"> (per the approved HL7 message profile specification), a success reply is sent; otherwise, a rejection </w:t>
            </w:r>
            <w:r w:rsidR="00B5630B" w:rsidRPr="00D82F90">
              <w:rPr>
                <w:rFonts w:cs="Arial"/>
                <w:szCs w:val="18"/>
              </w:rPr>
              <w:lastRenderedPageBreak/>
              <w:t>reply is sent to the broadcasting application</w:t>
            </w:r>
            <w:r w:rsidR="003350E0">
              <w:rPr>
                <w:rFonts w:cs="Arial"/>
                <w:szCs w:val="18"/>
              </w:rPr>
              <w:t xml:space="preserve"> </w:t>
            </w:r>
            <w:r w:rsidR="003350E0">
              <w:t>and results are not available for review</w:t>
            </w:r>
            <w:r w:rsidR="00B5630B">
              <w:rPr>
                <w:rFonts w:cs="Arial"/>
                <w:szCs w:val="18"/>
              </w:rPr>
              <w:t>.</w:t>
            </w:r>
          </w:p>
          <w:p w14:paraId="3201CCD1" w14:textId="77777777" w:rsidR="00B5630B" w:rsidRDefault="00B5630B" w:rsidP="00D95812">
            <w:pPr>
              <w:pStyle w:val="NotesText"/>
              <w:rPr>
                <w:rFonts w:cs="Arial"/>
                <w:szCs w:val="18"/>
              </w:rPr>
            </w:pPr>
          </w:p>
          <w:p w14:paraId="0A1B4A8A" w14:textId="77777777" w:rsidR="00B5630B" w:rsidRDefault="00F27904" w:rsidP="00B5630B">
            <w:pPr>
              <w:ind w:left="720"/>
              <w:rPr>
                <w:rFonts w:ascii="Arial" w:hAnsi="Arial" w:cs="Arial"/>
                <w:sz w:val="18"/>
                <w:szCs w:val="18"/>
              </w:rPr>
            </w:pPr>
            <w:r w:rsidRPr="00DC70D1">
              <w:rPr>
                <w:rFonts w:ascii="Arial" w:hAnsi="Arial" w:cs="Arial"/>
                <w:vanish/>
                <w:sz w:val="18"/>
                <w:szCs w:val="18"/>
              </w:rPr>
              <w:t xml:space="preserve">BR_114.06 </w:t>
            </w:r>
            <w:r w:rsidR="00B5630B">
              <w:rPr>
                <w:rFonts w:ascii="Arial" w:hAnsi="Arial" w:cs="Arial"/>
                <w:sz w:val="18"/>
                <w:szCs w:val="18"/>
              </w:rPr>
              <w:t>The system associa</w:t>
            </w:r>
            <w:r w:rsidR="006E3236">
              <w:rPr>
                <w:rFonts w:ascii="Arial" w:hAnsi="Arial" w:cs="Arial"/>
                <w:sz w:val="18"/>
                <w:szCs w:val="18"/>
              </w:rPr>
              <w:t xml:space="preserve">tes </w:t>
            </w:r>
            <w:r w:rsidR="00B5630B">
              <w:rPr>
                <w:rFonts w:ascii="Arial" w:hAnsi="Arial" w:cs="Arial"/>
                <w:sz w:val="18"/>
                <w:szCs w:val="18"/>
              </w:rPr>
              <w:t>inte</w:t>
            </w:r>
            <w:r w:rsidR="006E3236">
              <w:rPr>
                <w:rFonts w:ascii="Arial" w:hAnsi="Arial" w:cs="Arial"/>
                <w:sz w:val="18"/>
                <w:szCs w:val="18"/>
              </w:rPr>
              <w:t xml:space="preserve">rpretation with </w:t>
            </w:r>
            <w:r w:rsidR="00B5630B">
              <w:rPr>
                <w:rFonts w:ascii="Arial" w:hAnsi="Arial" w:cs="Arial"/>
                <w:sz w:val="18"/>
                <w:szCs w:val="18"/>
              </w:rPr>
              <w:t>test results received from an Automated Instrument as follows:</w:t>
            </w:r>
          </w:p>
          <w:p w14:paraId="54075717" w14:textId="77777777" w:rsidR="00B5630B" w:rsidRPr="00B5630B" w:rsidRDefault="00B5630B" w:rsidP="00925CAD">
            <w:pPr>
              <w:numPr>
                <w:ilvl w:val="0"/>
                <w:numId w:val="45"/>
              </w:numPr>
              <w:rPr>
                <w:rFonts w:ascii="Arial" w:hAnsi="Arial" w:cs="Arial"/>
                <w:sz w:val="18"/>
                <w:szCs w:val="18"/>
              </w:rPr>
            </w:pPr>
            <w:r w:rsidRPr="00B5630B">
              <w:rPr>
                <w:rFonts w:ascii="Arial" w:hAnsi="Arial"/>
                <w:sz w:val="18"/>
              </w:rPr>
              <w:t>1 is a Positive</w:t>
            </w:r>
          </w:p>
          <w:p w14:paraId="38A4E7B8" w14:textId="77777777" w:rsidR="00B5630B" w:rsidRPr="00B5630B" w:rsidRDefault="00B5630B" w:rsidP="00925CAD">
            <w:pPr>
              <w:numPr>
                <w:ilvl w:val="0"/>
                <w:numId w:val="45"/>
              </w:numPr>
              <w:rPr>
                <w:rFonts w:ascii="Arial" w:hAnsi="Arial" w:cs="Arial"/>
                <w:sz w:val="18"/>
                <w:szCs w:val="18"/>
              </w:rPr>
            </w:pPr>
            <w:r>
              <w:rPr>
                <w:rFonts w:ascii="Arial" w:hAnsi="Arial"/>
                <w:sz w:val="18"/>
              </w:rPr>
              <w:t>2 is a Positive</w:t>
            </w:r>
          </w:p>
          <w:p w14:paraId="295A59EF" w14:textId="77777777" w:rsidR="00B5630B" w:rsidRPr="00B5630B" w:rsidRDefault="00B5630B" w:rsidP="00925CAD">
            <w:pPr>
              <w:numPr>
                <w:ilvl w:val="0"/>
                <w:numId w:val="45"/>
              </w:numPr>
              <w:rPr>
                <w:rFonts w:ascii="Arial" w:hAnsi="Arial" w:cs="Arial"/>
                <w:sz w:val="18"/>
                <w:szCs w:val="18"/>
              </w:rPr>
            </w:pPr>
            <w:r>
              <w:rPr>
                <w:rFonts w:ascii="Arial" w:hAnsi="Arial"/>
                <w:sz w:val="18"/>
              </w:rPr>
              <w:t>3 is a Positive</w:t>
            </w:r>
          </w:p>
          <w:p w14:paraId="0A38E25F" w14:textId="77777777" w:rsidR="00B5630B" w:rsidRPr="00B5630B" w:rsidRDefault="00B5630B" w:rsidP="00925CAD">
            <w:pPr>
              <w:numPr>
                <w:ilvl w:val="0"/>
                <w:numId w:val="45"/>
              </w:numPr>
              <w:rPr>
                <w:rFonts w:ascii="Arial" w:hAnsi="Arial" w:cs="Arial"/>
                <w:sz w:val="18"/>
                <w:szCs w:val="18"/>
              </w:rPr>
            </w:pPr>
            <w:r>
              <w:rPr>
                <w:rFonts w:ascii="Arial" w:hAnsi="Arial"/>
                <w:sz w:val="18"/>
              </w:rPr>
              <w:t>4 is a Positive</w:t>
            </w:r>
          </w:p>
          <w:p w14:paraId="435100FF" w14:textId="77777777" w:rsidR="00B5630B" w:rsidRPr="005477A8" w:rsidRDefault="00B5630B" w:rsidP="00925CAD">
            <w:pPr>
              <w:numPr>
                <w:ilvl w:val="0"/>
                <w:numId w:val="45"/>
              </w:numPr>
              <w:rPr>
                <w:rFonts w:ascii="Arial" w:hAnsi="Arial" w:cs="Arial"/>
                <w:sz w:val="18"/>
                <w:szCs w:val="18"/>
              </w:rPr>
            </w:pPr>
            <w:r>
              <w:rPr>
                <w:rFonts w:ascii="Arial" w:hAnsi="Arial"/>
                <w:sz w:val="18"/>
              </w:rPr>
              <w:t>0 is a Negative</w:t>
            </w:r>
          </w:p>
          <w:p w14:paraId="15A0101B" w14:textId="77777777" w:rsidR="00D95812" w:rsidRDefault="00D95812" w:rsidP="00D95812">
            <w:pPr>
              <w:pStyle w:val="TableTextBullet"/>
              <w:numPr>
                <w:ilvl w:val="0"/>
                <w:numId w:val="0"/>
              </w:numPr>
              <w:ind w:left="288" w:hanging="288"/>
            </w:pPr>
          </w:p>
          <w:p w14:paraId="0D583BF5" w14:textId="0746991F" w:rsidR="00863F6D" w:rsidRPr="004831F9" w:rsidRDefault="00D5538E" w:rsidP="00863F6D">
            <w:pPr>
              <w:ind w:left="720"/>
              <w:rPr>
                <w:rFonts w:ascii="Arial" w:hAnsi="Arial" w:cs="Arial"/>
                <w:sz w:val="18"/>
                <w:szCs w:val="18"/>
              </w:rPr>
            </w:pPr>
            <w:r w:rsidRPr="004831F9">
              <w:rPr>
                <w:rFonts w:ascii="Arial" w:hAnsi="Arial" w:cs="Arial"/>
                <w:sz w:val="18"/>
                <w:szCs w:val="18"/>
              </w:rPr>
              <w:t>Se</w:t>
            </w:r>
            <w:r w:rsidR="00C931C4" w:rsidRPr="004831F9">
              <w:rPr>
                <w:rFonts w:ascii="Arial" w:hAnsi="Arial" w:cs="Arial"/>
                <w:sz w:val="18"/>
                <w:szCs w:val="18"/>
              </w:rPr>
              <w:t>e</w:t>
            </w:r>
            <w:r w:rsidR="004831F9" w:rsidRPr="004831F9">
              <w:rPr>
                <w:rFonts w:ascii="Arial" w:hAnsi="Arial" w:cs="Arial"/>
                <w:sz w:val="18"/>
                <w:szCs w:val="18"/>
              </w:rPr>
              <w:t xml:space="preserve"> </w:t>
            </w:r>
            <w:r w:rsidR="00EE455E" w:rsidRPr="00EE455E">
              <w:rPr>
                <w:rFonts w:ascii="Arial" w:hAnsi="Arial" w:cs="Arial"/>
                <w:sz w:val="18"/>
                <w:szCs w:val="18"/>
              </w:rPr>
              <w:t xml:space="preserve">Table </w:t>
            </w:r>
            <w:r w:rsidR="00EE455E" w:rsidRPr="00EE455E">
              <w:rPr>
                <w:rFonts w:ascii="Arial" w:hAnsi="Arial" w:cs="Arial"/>
                <w:noProof/>
                <w:sz w:val="18"/>
                <w:szCs w:val="18"/>
              </w:rPr>
              <w:t>13</w:t>
            </w:r>
            <w:r w:rsidR="00EE455E" w:rsidRPr="00EE455E">
              <w:rPr>
                <w:rFonts w:ascii="Arial" w:hAnsi="Arial" w:cs="Arial"/>
                <w:sz w:val="18"/>
                <w:szCs w:val="18"/>
              </w:rPr>
              <w:t>: HL7 Tests Accepted by VBECS</w:t>
            </w:r>
            <w:r w:rsidR="00863F6D" w:rsidRPr="00863F6D">
              <w:rPr>
                <w:rFonts w:ascii="Arial" w:hAnsi="Arial" w:cs="Arial"/>
                <w:sz w:val="18"/>
                <w:szCs w:val="18"/>
              </w:rPr>
              <w:t>.</w:t>
            </w:r>
          </w:p>
          <w:p w14:paraId="38968AA4" w14:textId="1ACDD3D1" w:rsidR="00D5538E" w:rsidRPr="004831F9" w:rsidRDefault="00D5538E" w:rsidP="008964A9">
            <w:pPr>
              <w:ind w:left="720"/>
              <w:rPr>
                <w:rFonts w:ascii="Arial" w:hAnsi="Arial" w:cs="Arial"/>
                <w:sz w:val="18"/>
                <w:szCs w:val="18"/>
              </w:rPr>
            </w:pPr>
          </w:p>
          <w:p w14:paraId="02517D37" w14:textId="77777777" w:rsidR="00D5538E" w:rsidRDefault="00D5538E" w:rsidP="005477A8">
            <w:pPr>
              <w:ind w:left="720"/>
              <w:rPr>
                <w:rFonts w:ascii="Arial" w:hAnsi="Arial" w:cs="Arial"/>
                <w:sz w:val="18"/>
                <w:szCs w:val="18"/>
              </w:rPr>
            </w:pPr>
          </w:p>
          <w:p w14:paraId="0B3D4CF9" w14:textId="77777777" w:rsidR="005477A8" w:rsidRPr="00E85CBB" w:rsidRDefault="00D5538E" w:rsidP="005477A8">
            <w:pPr>
              <w:ind w:left="720"/>
              <w:rPr>
                <w:rFonts w:ascii="Arial" w:hAnsi="Arial" w:cs="Arial"/>
                <w:sz w:val="18"/>
                <w:szCs w:val="18"/>
              </w:rPr>
            </w:pPr>
            <w:r w:rsidRPr="00F47ABD">
              <w:rPr>
                <w:rFonts w:ascii="Arial" w:hAnsi="Arial" w:cs="Arial"/>
                <w:vanish/>
                <w:sz w:val="18"/>
                <w:szCs w:val="18"/>
              </w:rPr>
              <w:t xml:space="preserve">BR_114.09 </w:t>
            </w:r>
            <w:r>
              <w:rPr>
                <w:rFonts w:ascii="Arial" w:hAnsi="Arial" w:cs="Arial"/>
                <w:sz w:val="18"/>
                <w:szCs w:val="18"/>
              </w:rPr>
              <w:t xml:space="preserve">VBECS </w:t>
            </w:r>
            <w:r w:rsidR="005477A8" w:rsidRPr="00E85CBB">
              <w:rPr>
                <w:rFonts w:ascii="Arial" w:hAnsi="Arial" w:cs="Arial"/>
                <w:sz w:val="18"/>
                <w:szCs w:val="18"/>
              </w:rPr>
              <w:t>stores the following information:</w:t>
            </w:r>
          </w:p>
          <w:p w14:paraId="49BEA375" w14:textId="77777777" w:rsidR="005477A8" w:rsidRPr="005477A8" w:rsidRDefault="005477A8" w:rsidP="00925CAD">
            <w:pPr>
              <w:numPr>
                <w:ilvl w:val="0"/>
                <w:numId w:val="45"/>
              </w:numPr>
              <w:rPr>
                <w:rFonts w:ascii="Arial" w:hAnsi="Arial"/>
                <w:sz w:val="18"/>
              </w:rPr>
            </w:pPr>
            <w:r w:rsidRPr="005477A8">
              <w:rPr>
                <w:rFonts w:ascii="Arial" w:hAnsi="Arial"/>
                <w:sz w:val="18"/>
              </w:rPr>
              <w:t>Test Results</w:t>
            </w:r>
          </w:p>
          <w:p w14:paraId="3191966A" w14:textId="77777777" w:rsidR="005477A8" w:rsidRPr="005477A8" w:rsidRDefault="005477A8" w:rsidP="00925CAD">
            <w:pPr>
              <w:numPr>
                <w:ilvl w:val="0"/>
                <w:numId w:val="45"/>
              </w:numPr>
              <w:rPr>
                <w:rFonts w:ascii="Arial" w:hAnsi="Arial"/>
                <w:sz w:val="18"/>
              </w:rPr>
            </w:pPr>
            <w:r w:rsidRPr="005477A8">
              <w:rPr>
                <w:rFonts w:ascii="Arial" w:hAnsi="Arial"/>
                <w:sz w:val="18"/>
              </w:rPr>
              <w:t>Test Interpretations</w:t>
            </w:r>
          </w:p>
          <w:p w14:paraId="39441FAC" w14:textId="77777777" w:rsidR="005477A8" w:rsidRPr="005477A8" w:rsidRDefault="005477A8" w:rsidP="00925CAD">
            <w:pPr>
              <w:numPr>
                <w:ilvl w:val="0"/>
                <w:numId w:val="45"/>
              </w:numPr>
              <w:rPr>
                <w:rFonts w:ascii="Arial" w:hAnsi="Arial"/>
                <w:sz w:val="18"/>
              </w:rPr>
            </w:pPr>
            <w:r w:rsidRPr="005477A8">
              <w:rPr>
                <w:rFonts w:ascii="Arial" w:hAnsi="Arial"/>
                <w:sz w:val="18"/>
              </w:rPr>
              <w:t>Testing Tech ID</w:t>
            </w:r>
          </w:p>
          <w:p w14:paraId="057FE80C" w14:textId="77777777" w:rsidR="005477A8" w:rsidRPr="005477A8" w:rsidRDefault="005477A8" w:rsidP="00925CAD">
            <w:pPr>
              <w:numPr>
                <w:ilvl w:val="0"/>
                <w:numId w:val="45"/>
              </w:numPr>
              <w:rPr>
                <w:rFonts w:ascii="Arial" w:hAnsi="Arial"/>
                <w:sz w:val="18"/>
              </w:rPr>
            </w:pPr>
            <w:r w:rsidRPr="005477A8">
              <w:rPr>
                <w:rFonts w:ascii="Arial" w:hAnsi="Arial"/>
                <w:sz w:val="18"/>
              </w:rPr>
              <w:t>Automated Instrument identifier</w:t>
            </w:r>
          </w:p>
          <w:p w14:paraId="16F5D0AE" w14:textId="77777777" w:rsidR="005477A8" w:rsidRPr="005477A8" w:rsidRDefault="005477A8" w:rsidP="00925CAD">
            <w:pPr>
              <w:numPr>
                <w:ilvl w:val="0"/>
                <w:numId w:val="45"/>
              </w:numPr>
              <w:rPr>
                <w:rFonts w:ascii="Arial" w:hAnsi="Arial"/>
                <w:sz w:val="18"/>
              </w:rPr>
            </w:pPr>
            <w:r w:rsidRPr="005477A8">
              <w:rPr>
                <w:rFonts w:ascii="Arial" w:hAnsi="Arial"/>
                <w:sz w:val="18"/>
              </w:rPr>
              <w:t>Date and Time Tested</w:t>
            </w:r>
          </w:p>
          <w:p w14:paraId="6F535F27" w14:textId="77777777" w:rsidR="005477A8" w:rsidRPr="005477A8" w:rsidRDefault="005477A8" w:rsidP="00925CAD">
            <w:pPr>
              <w:numPr>
                <w:ilvl w:val="0"/>
                <w:numId w:val="45"/>
              </w:numPr>
              <w:rPr>
                <w:rFonts w:ascii="Arial" w:hAnsi="Arial"/>
                <w:sz w:val="18"/>
              </w:rPr>
            </w:pPr>
            <w:r w:rsidRPr="005477A8">
              <w:rPr>
                <w:rFonts w:ascii="Arial" w:hAnsi="Arial"/>
                <w:sz w:val="18"/>
              </w:rPr>
              <w:t>Automated Instrument Test Comments</w:t>
            </w:r>
          </w:p>
          <w:p w14:paraId="6C7640FE" w14:textId="77777777" w:rsidR="005477A8" w:rsidRDefault="005477A8" w:rsidP="005477A8">
            <w:pPr>
              <w:pStyle w:val="TableTextBullet"/>
              <w:numPr>
                <w:ilvl w:val="0"/>
                <w:numId w:val="0"/>
              </w:numPr>
              <w:ind w:left="288" w:hanging="288"/>
            </w:pPr>
          </w:p>
        </w:tc>
      </w:tr>
      <w:tr w:rsidR="00B45FA2" w14:paraId="3A453B54" w14:textId="77777777" w:rsidTr="003F6E8A">
        <w:tc>
          <w:tcPr>
            <w:tcW w:w="3240" w:type="dxa"/>
          </w:tcPr>
          <w:p w14:paraId="4649B3E5" w14:textId="77777777" w:rsidR="00B45FA2" w:rsidRDefault="005477A8" w:rsidP="005477A8">
            <w:pPr>
              <w:pStyle w:val="TableTextNumbers"/>
            </w:pPr>
            <w:r>
              <w:lastRenderedPageBreak/>
              <w:t xml:space="preserve">The </w:t>
            </w:r>
            <w:r w:rsidR="00D5538E">
              <w:t>user logs into VBECS to review and approve messages.</w:t>
            </w:r>
          </w:p>
          <w:p w14:paraId="14873ED9" w14:textId="77777777" w:rsidR="00D5538E" w:rsidRDefault="00D5538E" w:rsidP="00D5538E">
            <w:pPr>
              <w:pStyle w:val="TableTextNumbers"/>
              <w:numPr>
                <w:ilvl w:val="0"/>
                <w:numId w:val="0"/>
              </w:numPr>
              <w:ind w:left="288" w:hanging="288"/>
            </w:pPr>
          </w:p>
          <w:p w14:paraId="2382B877" w14:textId="77777777" w:rsidR="00D5538E" w:rsidRDefault="00D5538E" w:rsidP="00D279DE">
            <w:pPr>
              <w:pStyle w:val="TableTextNumbers"/>
              <w:numPr>
                <w:ilvl w:val="0"/>
                <w:numId w:val="0"/>
              </w:numPr>
              <w:ind w:left="288"/>
            </w:pPr>
            <w:r>
              <w:t xml:space="preserve">Refer to Automated Testing </w:t>
            </w:r>
            <w:r w:rsidR="002A4CB4">
              <w:t>Review for</w:t>
            </w:r>
            <w:r w:rsidR="007B52EA">
              <w:t xml:space="preserve"> Blood Units or Automated T</w:t>
            </w:r>
            <w:r w:rsidR="002275D4">
              <w:t>esting Review for Patient</w:t>
            </w:r>
            <w:r w:rsidR="007B52EA">
              <w:t>s</w:t>
            </w:r>
            <w:r>
              <w:t>.</w:t>
            </w:r>
          </w:p>
          <w:p w14:paraId="68EB7875" w14:textId="77777777" w:rsidR="007160AE" w:rsidRDefault="007160AE" w:rsidP="007B52EA">
            <w:pPr>
              <w:pStyle w:val="TableTextNumbers"/>
              <w:numPr>
                <w:ilvl w:val="0"/>
                <w:numId w:val="0"/>
              </w:numPr>
              <w:ind w:left="288" w:hanging="288"/>
            </w:pPr>
          </w:p>
        </w:tc>
        <w:tc>
          <w:tcPr>
            <w:tcW w:w="6120" w:type="dxa"/>
          </w:tcPr>
          <w:p w14:paraId="2C79086E" w14:textId="77777777" w:rsidR="00B45FA2" w:rsidRDefault="00B45FA2" w:rsidP="005477A8">
            <w:pPr>
              <w:pStyle w:val="TableTextBullet"/>
              <w:numPr>
                <w:ilvl w:val="0"/>
                <w:numId w:val="0"/>
              </w:numPr>
            </w:pPr>
          </w:p>
        </w:tc>
      </w:tr>
    </w:tbl>
    <w:p w14:paraId="002A80FF" w14:textId="77777777" w:rsidR="00486D34" w:rsidRDefault="00486D34">
      <w:pPr>
        <w:rPr>
          <w:b/>
          <w:sz w:val="22"/>
          <w:szCs w:val="22"/>
        </w:rPr>
      </w:pPr>
      <w:bookmarkStart w:id="523" w:name="_Ref446932282"/>
      <w:r>
        <w:br w:type="page"/>
      </w:r>
    </w:p>
    <w:p w14:paraId="1AB1C571" w14:textId="2E84D8C6" w:rsidR="008964A9" w:rsidRPr="008964A9" w:rsidRDefault="008964A9" w:rsidP="008964A9">
      <w:pPr>
        <w:pStyle w:val="Caption"/>
      </w:pPr>
      <w:bookmarkStart w:id="524" w:name="_Ref524693853"/>
      <w:r w:rsidRPr="008964A9">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13</w:t>
      </w:r>
      <w:r w:rsidR="004E20BD">
        <w:rPr>
          <w:noProof/>
        </w:rPr>
        <w:fldChar w:fldCharType="end"/>
      </w:r>
      <w:bookmarkEnd w:id="523"/>
      <w:r w:rsidR="004831F9">
        <w:t>: HL7 Tests Accepted by VBECS</w:t>
      </w:r>
      <w:bookmarkEnd w:id="524"/>
      <w:r w:rsidR="00812371">
        <w:fldChar w:fldCharType="begin"/>
      </w:r>
      <w:r w:rsidR="00812371">
        <w:instrText xml:space="preserve"> XE "Tables:HL7 Tests Accepted by VBECS" </w:instrText>
      </w:r>
      <w:r w:rsidR="00812371">
        <w:fldChar w:fldCharType="end"/>
      </w:r>
    </w:p>
    <w:p w14:paraId="30F041EA" w14:textId="77777777" w:rsidR="008964A9" w:rsidRPr="008964A9" w:rsidRDefault="008964A9" w:rsidP="008964A9">
      <w:pPr>
        <w:rPr>
          <w:sz w:val="22"/>
          <w:szCs w:val="22"/>
        </w:rPr>
      </w:pPr>
      <w:r w:rsidRPr="008964A9">
        <w:rPr>
          <w:sz w:val="22"/>
          <w:szCs w:val="22"/>
        </w:rPr>
        <w:t>The first result received is considered the primary test. Once the primary test is accepted into VBECS, a second message with the same testing result will fill the repeat test.</w:t>
      </w:r>
    </w:p>
    <w:p w14:paraId="0C1D7AE3" w14:textId="77777777" w:rsidR="008964A9" w:rsidRDefault="008964A9" w:rsidP="008964A9"/>
    <w:tbl>
      <w:tblPr>
        <w:tblW w:w="45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600"/>
      </w:tblGrid>
      <w:tr w:rsidR="008964A9" w:rsidRPr="002800C8" w14:paraId="0E2B37C3" w14:textId="77777777" w:rsidTr="008964A9">
        <w:trPr>
          <w:trHeight w:val="179"/>
        </w:trPr>
        <w:tc>
          <w:tcPr>
            <w:tcW w:w="990" w:type="dxa"/>
            <w:shd w:val="clear" w:color="auto" w:fill="D9D9D9"/>
            <w:vAlign w:val="bottom"/>
          </w:tcPr>
          <w:p w14:paraId="620017E0"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Row ID</w:t>
            </w:r>
          </w:p>
        </w:tc>
        <w:tc>
          <w:tcPr>
            <w:tcW w:w="3600" w:type="dxa"/>
            <w:shd w:val="clear" w:color="auto" w:fill="D9D9D9"/>
            <w:noWrap/>
            <w:vAlign w:val="bottom"/>
          </w:tcPr>
          <w:p w14:paraId="38A0DC2B"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Tests</w:t>
            </w:r>
          </w:p>
        </w:tc>
      </w:tr>
      <w:tr w:rsidR="008964A9" w:rsidRPr="00490D9B" w14:paraId="2BCCC1B8" w14:textId="77777777" w:rsidTr="008964A9">
        <w:trPr>
          <w:trHeight w:val="259"/>
        </w:trPr>
        <w:tc>
          <w:tcPr>
            <w:tcW w:w="990" w:type="dxa"/>
            <w:vAlign w:val="center"/>
          </w:tcPr>
          <w:p w14:paraId="2B06FB06"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w:t>
            </w:r>
          </w:p>
        </w:tc>
        <w:tc>
          <w:tcPr>
            <w:tcW w:w="3600" w:type="dxa"/>
            <w:shd w:val="clear" w:color="auto" w:fill="auto"/>
            <w:noWrap/>
            <w:vAlign w:val="bottom"/>
            <w:hideMark/>
          </w:tcPr>
          <w:p w14:paraId="45D8DE1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Type and Screen (TAS)</w:t>
            </w:r>
          </w:p>
        </w:tc>
      </w:tr>
      <w:tr w:rsidR="008964A9" w:rsidRPr="00490D9B" w14:paraId="6FBC5362" w14:textId="77777777" w:rsidTr="008964A9">
        <w:trPr>
          <w:trHeight w:val="259"/>
        </w:trPr>
        <w:tc>
          <w:tcPr>
            <w:tcW w:w="990" w:type="dxa"/>
            <w:vAlign w:val="center"/>
          </w:tcPr>
          <w:p w14:paraId="69306D82"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2.</w:t>
            </w:r>
          </w:p>
        </w:tc>
        <w:tc>
          <w:tcPr>
            <w:tcW w:w="3600" w:type="dxa"/>
            <w:shd w:val="clear" w:color="auto" w:fill="auto"/>
            <w:noWrap/>
            <w:vAlign w:val="bottom"/>
            <w:hideMark/>
          </w:tcPr>
          <w:p w14:paraId="01E600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ABO/Rh</w:t>
            </w:r>
          </w:p>
        </w:tc>
      </w:tr>
      <w:tr w:rsidR="008964A9" w:rsidRPr="00490D9B" w14:paraId="159D035D" w14:textId="77777777" w:rsidTr="008964A9">
        <w:trPr>
          <w:trHeight w:val="259"/>
        </w:trPr>
        <w:tc>
          <w:tcPr>
            <w:tcW w:w="990" w:type="dxa"/>
            <w:vAlign w:val="center"/>
          </w:tcPr>
          <w:p w14:paraId="26D7D7C8"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3.</w:t>
            </w:r>
          </w:p>
        </w:tc>
        <w:tc>
          <w:tcPr>
            <w:tcW w:w="3600" w:type="dxa"/>
            <w:shd w:val="clear" w:color="auto" w:fill="auto"/>
            <w:noWrap/>
            <w:vAlign w:val="bottom"/>
            <w:hideMark/>
          </w:tcPr>
          <w:p w14:paraId="417DE3E8"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ABO/Rh</w:t>
            </w:r>
          </w:p>
        </w:tc>
      </w:tr>
      <w:tr w:rsidR="008964A9" w:rsidRPr="00490D9B" w14:paraId="49A59D26" w14:textId="77777777" w:rsidTr="008964A9">
        <w:trPr>
          <w:trHeight w:val="259"/>
        </w:trPr>
        <w:tc>
          <w:tcPr>
            <w:tcW w:w="990" w:type="dxa"/>
            <w:vAlign w:val="center"/>
          </w:tcPr>
          <w:p w14:paraId="4396D695"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4.</w:t>
            </w:r>
          </w:p>
        </w:tc>
        <w:tc>
          <w:tcPr>
            <w:tcW w:w="3600" w:type="dxa"/>
            <w:shd w:val="clear" w:color="auto" w:fill="auto"/>
            <w:noWrap/>
            <w:vAlign w:val="bottom"/>
            <w:hideMark/>
          </w:tcPr>
          <w:p w14:paraId="0CB2FD2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ABS</w:t>
            </w:r>
          </w:p>
        </w:tc>
      </w:tr>
      <w:tr w:rsidR="008964A9" w:rsidRPr="00490D9B" w14:paraId="243863BE" w14:textId="77777777" w:rsidTr="008964A9">
        <w:trPr>
          <w:trHeight w:val="259"/>
        </w:trPr>
        <w:tc>
          <w:tcPr>
            <w:tcW w:w="990" w:type="dxa"/>
            <w:vAlign w:val="center"/>
          </w:tcPr>
          <w:p w14:paraId="718AA38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5.</w:t>
            </w:r>
          </w:p>
        </w:tc>
        <w:tc>
          <w:tcPr>
            <w:tcW w:w="3600" w:type="dxa"/>
            <w:shd w:val="clear" w:color="auto" w:fill="auto"/>
            <w:noWrap/>
            <w:vAlign w:val="bottom"/>
            <w:hideMark/>
          </w:tcPr>
          <w:p w14:paraId="6EB155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ABS</w:t>
            </w:r>
          </w:p>
        </w:tc>
      </w:tr>
      <w:tr w:rsidR="008964A9" w:rsidRPr="00490D9B" w14:paraId="66077A3B" w14:textId="77777777" w:rsidTr="008964A9">
        <w:trPr>
          <w:trHeight w:val="259"/>
        </w:trPr>
        <w:tc>
          <w:tcPr>
            <w:tcW w:w="990" w:type="dxa"/>
            <w:vAlign w:val="center"/>
          </w:tcPr>
          <w:p w14:paraId="2257431F"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6.</w:t>
            </w:r>
          </w:p>
        </w:tc>
        <w:tc>
          <w:tcPr>
            <w:tcW w:w="3600" w:type="dxa"/>
            <w:shd w:val="clear" w:color="auto" w:fill="auto"/>
            <w:noWrap/>
            <w:vAlign w:val="bottom"/>
            <w:hideMark/>
          </w:tcPr>
          <w:p w14:paraId="08B6C09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AHG DAT</w:t>
            </w:r>
          </w:p>
        </w:tc>
      </w:tr>
      <w:tr w:rsidR="008964A9" w:rsidRPr="00490D9B" w14:paraId="1FAC1D06" w14:textId="77777777" w:rsidTr="008964A9">
        <w:trPr>
          <w:trHeight w:val="259"/>
        </w:trPr>
        <w:tc>
          <w:tcPr>
            <w:tcW w:w="990" w:type="dxa"/>
            <w:vAlign w:val="center"/>
          </w:tcPr>
          <w:p w14:paraId="47E922A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7.</w:t>
            </w:r>
          </w:p>
        </w:tc>
        <w:tc>
          <w:tcPr>
            <w:tcW w:w="3600" w:type="dxa"/>
            <w:shd w:val="clear" w:color="auto" w:fill="auto"/>
            <w:noWrap/>
            <w:vAlign w:val="bottom"/>
            <w:hideMark/>
          </w:tcPr>
          <w:p w14:paraId="55E3CFE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AHG DAT</w:t>
            </w:r>
          </w:p>
        </w:tc>
      </w:tr>
      <w:tr w:rsidR="008964A9" w:rsidRPr="00490D9B" w14:paraId="0D6EE69D" w14:textId="77777777" w:rsidTr="008964A9">
        <w:trPr>
          <w:trHeight w:val="259"/>
        </w:trPr>
        <w:tc>
          <w:tcPr>
            <w:tcW w:w="990" w:type="dxa"/>
            <w:vAlign w:val="center"/>
          </w:tcPr>
          <w:p w14:paraId="28E240EE"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8.</w:t>
            </w:r>
          </w:p>
        </w:tc>
        <w:tc>
          <w:tcPr>
            <w:tcW w:w="3600" w:type="dxa"/>
            <w:shd w:val="clear" w:color="auto" w:fill="auto"/>
            <w:noWrap/>
            <w:vAlign w:val="bottom"/>
            <w:hideMark/>
          </w:tcPr>
          <w:p w14:paraId="0AE1A47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Crossmatch</w:t>
            </w:r>
          </w:p>
        </w:tc>
      </w:tr>
      <w:tr w:rsidR="008964A9" w:rsidRPr="00490D9B" w14:paraId="3FBB00D0" w14:textId="77777777" w:rsidTr="008964A9">
        <w:trPr>
          <w:trHeight w:val="259"/>
        </w:trPr>
        <w:tc>
          <w:tcPr>
            <w:tcW w:w="990" w:type="dxa"/>
            <w:vAlign w:val="center"/>
          </w:tcPr>
          <w:p w14:paraId="7291BACC"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9.</w:t>
            </w:r>
          </w:p>
        </w:tc>
        <w:tc>
          <w:tcPr>
            <w:tcW w:w="3600" w:type="dxa"/>
            <w:shd w:val="clear" w:color="auto" w:fill="auto"/>
            <w:noWrap/>
            <w:vAlign w:val="bottom"/>
            <w:hideMark/>
          </w:tcPr>
          <w:p w14:paraId="5BB812ED"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Crossmatch</w:t>
            </w:r>
          </w:p>
        </w:tc>
      </w:tr>
      <w:tr w:rsidR="008964A9" w:rsidRPr="00490D9B" w14:paraId="4BCF469B" w14:textId="77777777" w:rsidTr="008964A9">
        <w:trPr>
          <w:trHeight w:val="259"/>
        </w:trPr>
        <w:tc>
          <w:tcPr>
            <w:tcW w:w="990" w:type="dxa"/>
            <w:vAlign w:val="center"/>
          </w:tcPr>
          <w:p w14:paraId="041B08E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10.</w:t>
            </w:r>
          </w:p>
        </w:tc>
        <w:tc>
          <w:tcPr>
            <w:tcW w:w="3600" w:type="dxa"/>
            <w:shd w:val="clear" w:color="auto" w:fill="auto"/>
            <w:noWrap/>
            <w:vAlign w:val="bottom"/>
            <w:hideMark/>
          </w:tcPr>
          <w:p w14:paraId="1C322C04"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IgG DAT AHG</w:t>
            </w:r>
          </w:p>
        </w:tc>
      </w:tr>
      <w:tr w:rsidR="008964A9" w:rsidRPr="00490D9B" w14:paraId="201FE1F7" w14:textId="77777777" w:rsidTr="008964A9">
        <w:trPr>
          <w:trHeight w:val="259"/>
        </w:trPr>
        <w:tc>
          <w:tcPr>
            <w:tcW w:w="990" w:type="dxa"/>
            <w:vAlign w:val="center"/>
          </w:tcPr>
          <w:p w14:paraId="69D48824"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11.</w:t>
            </w:r>
          </w:p>
        </w:tc>
        <w:tc>
          <w:tcPr>
            <w:tcW w:w="3600" w:type="dxa"/>
            <w:shd w:val="clear" w:color="auto" w:fill="auto"/>
            <w:noWrap/>
            <w:vAlign w:val="bottom"/>
            <w:hideMark/>
          </w:tcPr>
          <w:p w14:paraId="1977B322"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IgG DAT AHG</w:t>
            </w:r>
          </w:p>
        </w:tc>
      </w:tr>
      <w:tr w:rsidR="008964A9" w:rsidRPr="00490D9B" w14:paraId="227542B4" w14:textId="77777777" w:rsidTr="008964A9">
        <w:trPr>
          <w:trHeight w:val="259"/>
        </w:trPr>
        <w:tc>
          <w:tcPr>
            <w:tcW w:w="990" w:type="dxa"/>
            <w:vAlign w:val="center"/>
          </w:tcPr>
          <w:p w14:paraId="022C8691"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12.</w:t>
            </w:r>
          </w:p>
        </w:tc>
        <w:tc>
          <w:tcPr>
            <w:tcW w:w="3600" w:type="dxa"/>
            <w:shd w:val="clear" w:color="auto" w:fill="auto"/>
            <w:noWrap/>
            <w:vAlign w:val="bottom"/>
            <w:hideMark/>
          </w:tcPr>
          <w:p w14:paraId="0133273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C3 DAT AHG</w:t>
            </w:r>
          </w:p>
        </w:tc>
      </w:tr>
      <w:tr w:rsidR="008964A9" w:rsidRPr="00490D9B" w14:paraId="76914DD6" w14:textId="77777777" w:rsidTr="008964A9">
        <w:trPr>
          <w:trHeight w:val="259"/>
        </w:trPr>
        <w:tc>
          <w:tcPr>
            <w:tcW w:w="990" w:type="dxa"/>
            <w:vAlign w:val="center"/>
          </w:tcPr>
          <w:p w14:paraId="078CC150"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13.</w:t>
            </w:r>
          </w:p>
        </w:tc>
        <w:tc>
          <w:tcPr>
            <w:tcW w:w="3600" w:type="dxa"/>
            <w:shd w:val="clear" w:color="auto" w:fill="auto"/>
            <w:noWrap/>
            <w:vAlign w:val="bottom"/>
            <w:hideMark/>
          </w:tcPr>
          <w:p w14:paraId="3DE0DD29"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C3 DAT AHG</w:t>
            </w:r>
          </w:p>
        </w:tc>
      </w:tr>
      <w:tr w:rsidR="008964A9" w:rsidRPr="00490D9B" w14:paraId="1AF6FF7D" w14:textId="77777777" w:rsidTr="008964A9">
        <w:trPr>
          <w:trHeight w:val="259"/>
        </w:trPr>
        <w:tc>
          <w:tcPr>
            <w:tcW w:w="990" w:type="dxa"/>
            <w:vAlign w:val="center"/>
          </w:tcPr>
          <w:p w14:paraId="3F640E77"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14.</w:t>
            </w:r>
          </w:p>
        </w:tc>
        <w:tc>
          <w:tcPr>
            <w:tcW w:w="3600" w:type="dxa"/>
            <w:shd w:val="clear" w:color="auto" w:fill="auto"/>
            <w:noWrap/>
            <w:vAlign w:val="bottom"/>
            <w:hideMark/>
          </w:tcPr>
          <w:p w14:paraId="7C8BD1A7"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Antigen Typing</w:t>
            </w:r>
          </w:p>
        </w:tc>
      </w:tr>
      <w:tr w:rsidR="008964A9" w:rsidRPr="00490D9B" w14:paraId="1C149A2B" w14:textId="77777777" w:rsidTr="008964A9">
        <w:trPr>
          <w:trHeight w:val="259"/>
        </w:trPr>
        <w:tc>
          <w:tcPr>
            <w:tcW w:w="990" w:type="dxa"/>
            <w:vAlign w:val="center"/>
          </w:tcPr>
          <w:p w14:paraId="10B40FC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15.</w:t>
            </w:r>
          </w:p>
        </w:tc>
        <w:tc>
          <w:tcPr>
            <w:tcW w:w="3600" w:type="dxa"/>
            <w:shd w:val="clear" w:color="auto" w:fill="auto"/>
            <w:noWrap/>
            <w:vAlign w:val="bottom"/>
            <w:hideMark/>
          </w:tcPr>
          <w:p w14:paraId="66CE86C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Antigen Typing</w:t>
            </w:r>
          </w:p>
        </w:tc>
      </w:tr>
      <w:tr w:rsidR="008964A9" w:rsidRPr="00490D9B" w14:paraId="714DE6C6" w14:textId="77777777" w:rsidTr="008964A9">
        <w:trPr>
          <w:trHeight w:val="259"/>
        </w:trPr>
        <w:tc>
          <w:tcPr>
            <w:tcW w:w="990" w:type="dxa"/>
            <w:vAlign w:val="center"/>
          </w:tcPr>
          <w:p w14:paraId="5D6B275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16.</w:t>
            </w:r>
          </w:p>
        </w:tc>
        <w:tc>
          <w:tcPr>
            <w:tcW w:w="3600" w:type="dxa"/>
            <w:shd w:val="clear" w:color="auto" w:fill="auto"/>
            <w:noWrap/>
            <w:vAlign w:val="bottom"/>
            <w:hideMark/>
          </w:tcPr>
          <w:p w14:paraId="72D1AFB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ABO/Rh</w:t>
            </w:r>
          </w:p>
        </w:tc>
      </w:tr>
      <w:tr w:rsidR="008964A9" w:rsidRPr="00490D9B" w14:paraId="45B31D80" w14:textId="77777777" w:rsidTr="008964A9">
        <w:trPr>
          <w:trHeight w:val="259"/>
        </w:trPr>
        <w:tc>
          <w:tcPr>
            <w:tcW w:w="990" w:type="dxa"/>
            <w:vAlign w:val="center"/>
          </w:tcPr>
          <w:p w14:paraId="549B333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17.</w:t>
            </w:r>
          </w:p>
        </w:tc>
        <w:tc>
          <w:tcPr>
            <w:tcW w:w="3600" w:type="dxa"/>
            <w:shd w:val="clear" w:color="auto" w:fill="auto"/>
            <w:noWrap/>
            <w:vAlign w:val="bottom"/>
            <w:hideMark/>
          </w:tcPr>
          <w:p w14:paraId="610987F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Antigen Typing</w:t>
            </w:r>
          </w:p>
        </w:tc>
      </w:tr>
    </w:tbl>
    <w:p w14:paraId="037F8581" w14:textId="77777777" w:rsidR="00B45FA2" w:rsidRDefault="00B45FA2" w:rsidP="007A4841">
      <w:pPr>
        <w:pStyle w:val="Heading2"/>
      </w:pPr>
      <w:r>
        <w:br w:type="page"/>
      </w:r>
      <w:bookmarkStart w:id="525" w:name="_Toc163644965"/>
      <w:r>
        <w:lastRenderedPageBreak/>
        <w:t>Automated Testing Review</w:t>
      </w:r>
      <w:r w:rsidR="00836786">
        <w:t xml:space="preserve"> for Blood Unit</w:t>
      </w:r>
      <w:r w:rsidR="007B52EA">
        <w:t>s</w:t>
      </w:r>
      <w:bookmarkEnd w:id="525"/>
      <w:r w:rsidR="00836786" w:rsidRPr="00836786">
        <w:rPr>
          <w:vanish/>
        </w:rPr>
        <w:t>{ XE “Automated Testing Review f</w:t>
      </w:r>
      <w:r w:rsidR="00BE554D" w:rsidRPr="00836786">
        <w:rPr>
          <w:vanish/>
        </w:rPr>
        <w:t xml:space="preserve">or </w:t>
      </w:r>
      <w:r w:rsidR="00F130A1" w:rsidRPr="00836786">
        <w:rPr>
          <w:vanish/>
        </w:rPr>
        <w:t>Blood Unit ABO/Rh</w:t>
      </w:r>
      <w:r w:rsidR="00836786" w:rsidRPr="00836786">
        <w:rPr>
          <w:vanish/>
        </w:rPr>
        <w:t>” }</w:t>
      </w:r>
      <w:r w:rsidRPr="00836786">
        <w:rPr>
          <w:rFonts w:ascii="Times New Roman" w:hAnsi="Times New Roman" w:cs="Times New Roman"/>
          <w:b w:val="0"/>
          <w:i w:val="0"/>
          <w:vanish/>
          <w:sz w:val="22"/>
        </w:rPr>
        <w:t>UC_115</w:t>
      </w:r>
    </w:p>
    <w:p w14:paraId="4E315CB6" w14:textId="7EF7C50C" w:rsidR="00D23C29" w:rsidRDefault="00D23C29" w:rsidP="00B45FA2">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s</w:t>
      </w:r>
      <w:r w:rsidR="00B80078">
        <w:rPr>
          <w:rFonts w:ascii="Times New Roman" w:hAnsi="Times New Roman"/>
          <w:b w:val="0"/>
          <w:spacing w:val="-5"/>
          <w:szCs w:val="22"/>
        </w:rPr>
        <w:t xml:space="preserve"> the user to review and approve testing results completed on an automated instrument and transmitted </w:t>
      </w:r>
      <w:r w:rsidR="006549B7">
        <w:rPr>
          <w:rFonts w:ascii="Times New Roman" w:hAnsi="Times New Roman"/>
          <w:b w:val="0"/>
          <w:spacing w:val="-5"/>
          <w:szCs w:val="22"/>
        </w:rPr>
        <w:t>to VBECS</w:t>
      </w:r>
      <w:r w:rsidRPr="00D23C29">
        <w:rPr>
          <w:rFonts w:ascii="Times New Roman" w:hAnsi="Times New Roman"/>
          <w:b w:val="0"/>
          <w:spacing w:val="-5"/>
          <w:szCs w:val="22"/>
        </w:rPr>
        <w:t>.</w:t>
      </w:r>
    </w:p>
    <w:p w14:paraId="56BE8A75" w14:textId="77777777" w:rsidR="00B45FA2" w:rsidRPr="00D23C29" w:rsidRDefault="00B45FA2" w:rsidP="00B45FA2">
      <w:pPr>
        <w:pStyle w:val="Heading4"/>
      </w:pPr>
      <w:r w:rsidRPr="00D23C29">
        <w:t xml:space="preserve">Assumptions </w:t>
      </w:r>
      <w:r w:rsidR="00A134D8" w:rsidRPr="00A134D8">
        <w:rPr>
          <w:rFonts w:ascii="Arial Bold" w:hAnsi="Arial Bold"/>
          <w:vanish/>
        </w:rPr>
        <w:t>Defect 357490</w:t>
      </w:r>
    </w:p>
    <w:p w14:paraId="66D28A43"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360F0B6D"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7A361B54"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Message is received</w:t>
      </w:r>
      <w:r w:rsidR="00B80078">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08C35157" w14:textId="77777777" w:rsidR="00B45FA2" w:rsidRPr="009A3F10" w:rsidRDefault="00B45FA2" w:rsidP="00925CAD">
      <w:pPr>
        <w:pStyle w:val="TableTextBullet"/>
        <w:numPr>
          <w:ilvl w:val="0"/>
          <w:numId w:val="42"/>
        </w:numPr>
        <w:rPr>
          <w:rFonts w:ascii="Times New Roman" w:hAnsi="Times New Roman"/>
          <w:spacing w:val="-5"/>
          <w:sz w:val="22"/>
          <w:szCs w:val="22"/>
        </w:rPr>
      </w:pPr>
      <w:r w:rsidRPr="009A3F10">
        <w:rPr>
          <w:rFonts w:ascii="Times New Roman" w:hAnsi="Times New Roman"/>
          <w:spacing w:val="-5"/>
          <w:sz w:val="22"/>
          <w:szCs w:val="22"/>
        </w:rPr>
        <w:t>The blood unit records are in the VBECS database for ABO/Rh confirmation or Unit Antigen Typing.</w:t>
      </w:r>
    </w:p>
    <w:p w14:paraId="481438C4" w14:textId="77777777" w:rsidR="00B45FA2" w:rsidRPr="009A3F10" w:rsidRDefault="00B45FA2" w:rsidP="00925CAD">
      <w:pPr>
        <w:numPr>
          <w:ilvl w:val="0"/>
          <w:numId w:val="42"/>
        </w:numPr>
        <w:rPr>
          <w:spacing w:val="-5"/>
          <w:sz w:val="22"/>
          <w:szCs w:val="22"/>
        </w:rPr>
      </w:pPr>
      <w:r w:rsidRPr="009A3F10">
        <w:rPr>
          <w:spacing w:val="-5"/>
          <w:sz w:val="22"/>
          <w:szCs w:val="22"/>
        </w:rPr>
        <w:t>Each transmitted test must include its results and interpretati</w:t>
      </w:r>
      <w:r w:rsidR="00B80078">
        <w:rPr>
          <w:spacing w:val="-5"/>
          <w:sz w:val="22"/>
          <w:szCs w:val="22"/>
        </w:rPr>
        <w:t>on</w:t>
      </w:r>
      <w:r w:rsidRPr="009A3F10">
        <w:rPr>
          <w:spacing w:val="-5"/>
          <w:sz w:val="22"/>
          <w:szCs w:val="22"/>
        </w:rPr>
        <w:t>.</w:t>
      </w:r>
    </w:p>
    <w:p w14:paraId="4AD29FF4" w14:textId="77777777" w:rsidR="00B45FA2" w:rsidRDefault="00B45FA2" w:rsidP="00B45FA2">
      <w:pPr>
        <w:pStyle w:val="Heading4"/>
      </w:pPr>
      <w:r>
        <w:t xml:space="preserve">Outcome </w:t>
      </w:r>
    </w:p>
    <w:p w14:paraId="0D4F2AEF" w14:textId="77777777" w:rsidR="003F0E4F" w:rsidRPr="00D23C29" w:rsidRDefault="003F0E4F"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312EDDC1" w14:textId="77777777" w:rsidR="003F0E4F" w:rsidRPr="00D23C29" w:rsidRDefault="003F0E4F"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Unit(s) will have ABO/Rh and antigen test results recorded in the database.</w:t>
      </w:r>
    </w:p>
    <w:p w14:paraId="6DFE012A" w14:textId="77777777" w:rsidR="003F0E4F" w:rsidRPr="00D23C29" w:rsidRDefault="003F0E4F"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system updates the workload reporting in VBECS</w:t>
      </w:r>
      <w:r w:rsidR="00A134D8">
        <w:rPr>
          <w:rFonts w:ascii="Times New Roman" w:hAnsi="Times New Roman"/>
          <w:spacing w:val="-5"/>
          <w:sz w:val="22"/>
          <w:szCs w:val="22"/>
        </w:rPr>
        <w:t xml:space="preserve">. </w:t>
      </w:r>
      <w:r w:rsidR="00A134D8" w:rsidRPr="00A134D8">
        <w:rPr>
          <w:rFonts w:ascii="Times New Roman" w:hAnsi="Times New Roman"/>
          <w:vanish/>
          <w:spacing w:val="-5"/>
          <w:sz w:val="22"/>
          <w:szCs w:val="22"/>
        </w:rPr>
        <w:t>Defect 357490</w:t>
      </w:r>
    </w:p>
    <w:p w14:paraId="447F901C" w14:textId="77777777" w:rsidR="00B45FA2" w:rsidRDefault="00B45FA2" w:rsidP="003F0E4F">
      <w:pPr>
        <w:pStyle w:val="Heading4"/>
      </w:pPr>
      <w:r>
        <w:t>Limitations and Restrictions</w:t>
      </w:r>
      <w:r>
        <w:rPr>
          <w:b w:val="0"/>
        </w:rPr>
        <w:t xml:space="preserve"> </w:t>
      </w:r>
    </w:p>
    <w:p w14:paraId="6CC852B8"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5C1A40CC" w14:textId="77777777" w:rsidR="00B45FA2" w:rsidRPr="009A3F10" w:rsidRDefault="00E43DE4" w:rsidP="00925CAD">
      <w:pPr>
        <w:pStyle w:val="TableText"/>
        <w:numPr>
          <w:ilvl w:val="0"/>
          <w:numId w:val="42"/>
        </w:numPr>
        <w:rPr>
          <w:rFonts w:ascii="Times New Roman" w:hAnsi="Times New Roman"/>
          <w:spacing w:val="-5"/>
          <w:sz w:val="22"/>
          <w:szCs w:val="22"/>
        </w:rPr>
      </w:pPr>
      <w:r>
        <w:rPr>
          <w:rFonts w:ascii="Times New Roman" w:hAnsi="Times New Roman"/>
          <w:spacing w:val="-5"/>
          <w:sz w:val="22"/>
          <w:szCs w:val="22"/>
        </w:rPr>
        <w:t>Pooled</w:t>
      </w:r>
      <w:r w:rsidR="00B45FA2" w:rsidRPr="009A3F10">
        <w:rPr>
          <w:rFonts w:ascii="Times New Roman" w:hAnsi="Times New Roman"/>
          <w:spacing w:val="-5"/>
          <w:sz w:val="22"/>
          <w:szCs w:val="22"/>
        </w:rPr>
        <w:t xml:space="preserve"> Product Types labeled with an Rh type of “Pooled” is considered an Rh Positive unit which does not require confirmation testing.</w:t>
      </w:r>
    </w:p>
    <w:p w14:paraId="7634B7EF" w14:textId="77777777" w:rsidR="00B45FA2"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Pooled Product Types</w:t>
      </w:r>
      <w:r w:rsidRPr="009A3F10" w:rsidDel="00922FC4">
        <w:rPr>
          <w:rFonts w:ascii="Times New Roman" w:hAnsi="Times New Roman"/>
          <w:spacing w:val="-5"/>
          <w:sz w:val="22"/>
          <w:szCs w:val="22"/>
        </w:rPr>
        <w:t xml:space="preserve"> </w:t>
      </w:r>
      <w:r w:rsidRPr="009A3F10">
        <w:rPr>
          <w:rFonts w:ascii="Times New Roman" w:hAnsi="Times New Roman"/>
          <w:spacing w:val="-5"/>
          <w:sz w:val="22"/>
          <w:szCs w:val="22"/>
        </w:rPr>
        <w:t>that require confirmation, labeled with an ABO group of “Pooled” cannot be confirmed. A blood component unit received as “POOLED ABO” will have to be transfused using the Supervisory option, Document ABO Incompatible Transfusion.</w:t>
      </w:r>
    </w:p>
    <w:p w14:paraId="5F814641" w14:textId="77777777" w:rsidR="004926E0" w:rsidRPr="00DA27C7" w:rsidRDefault="00057948" w:rsidP="00925CAD">
      <w:pPr>
        <w:pStyle w:val="TableText"/>
        <w:numPr>
          <w:ilvl w:val="0"/>
          <w:numId w:val="42"/>
        </w:numPr>
        <w:rPr>
          <w:rFonts w:ascii="Times New Roman" w:hAnsi="Times New Roman"/>
          <w:spacing w:val="-5"/>
          <w:sz w:val="22"/>
          <w:szCs w:val="22"/>
        </w:rPr>
      </w:pPr>
      <w:r>
        <w:rPr>
          <w:noProof/>
        </w:rPr>
        <w:drawing>
          <wp:inline distT="0" distB="0" distL="0" distR="0" wp14:anchorId="14C72851" wp14:editId="05356340">
            <wp:extent cx="267970" cy="221615"/>
            <wp:effectExtent l="0" t="0" r="0" b="6985"/>
            <wp:docPr id="263" name="Picture 26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926E0">
        <w:t xml:space="preserve"> </w:t>
      </w:r>
      <w:r w:rsidR="004926E0" w:rsidRPr="00D33B43">
        <w:rPr>
          <w:rFonts w:ascii="Times New Roman" w:hAnsi="Times New Roman"/>
          <w:spacing w:val="-5"/>
          <w:sz w:val="22"/>
          <w:szCs w:val="22"/>
        </w:rPr>
        <w:t>Users 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rsidR="00A134D8">
        <w:rPr>
          <w:rFonts w:ascii="Times New Roman" w:hAnsi="Times New Roman"/>
          <w:spacing w:val="-5"/>
          <w:sz w:val="22"/>
          <w:szCs w:val="22"/>
        </w:rPr>
        <w:t xml:space="preserve"> </w:t>
      </w:r>
      <w:r w:rsidR="00A134D8" w:rsidRPr="005028F8">
        <w:rPr>
          <w:rFonts w:ascii="Times New Roman" w:hAnsi="Times New Roman"/>
          <w:vanish/>
          <w:spacing w:val="-5"/>
          <w:sz w:val="22"/>
          <w:szCs w:val="22"/>
        </w:rPr>
        <w:t>Defect 357490</w:t>
      </w:r>
    </w:p>
    <w:p w14:paraId="7D712452" w14:textId="77777777" w:rsidR="00D31EC9" w:rsidRPr="009A3F10" w:rsidRDefault="00D31EC9" w:rsidP="00925CAD">
      <w:pPr>
        <w:pStyle w:val="TableText"/>
        <w:numPr>
          <w:ilvl w:val="0"/>
          <w:numId w:val="42"/>
        </w:numPr>
        <w:rPr>
          <w:rFonts w:ascii="Times New Roman" w:hAnsi="Times New Roman"/>
          <w:spacing w:val="-5"/>
          <w:sz w:val="22"/>
          <w:szCs w:val="22"/>
        </w:rPr>
      </w:pPr>
      <w:r w:rsidRPr="00D31EC9">
        <w:rPr>
          <w:rFonts w:ascii="Times New Roman" w:hAnsi="Times New Roman"/>
          <w:spacing w:val="-5"/>
          <w:sz w:val="22"/>
          <w:szCs w:val="22"/>
        </w:rPr>
        <w:t>When a user chooses to reject a transmitted test, a comment is required. The comment is stored but is not available for review on a report at this time. It is recommended that the test is reviewed in the instrument and not sent to VBECS as a result for rejection.</w:t>
      </w:r>
      <w:r>
        <w:rPr>
          <w:rFonts w:ascii="Times New Roman" w:hAnsi="Times New Roman"/>
          <w:spacing w:val="-5"/>
          <w:sz w:val="22"/>
          <w:szCs w:val="22"/>
        </w:rPr>
        <w:t xml:space="preserve"> </w:t>
      </w:r>
      <w:r w:rsidRPr="005028F8">
        <w:rPr>
          <w:rFonts w:ascii="Times New Roman" w:hAnsi="Times New Roman"/>
          <w:vanish/>
          <w:spacing w:val="-5"/>
          <w:sz w:val="22"/>
          <w:szCs w:val="22"/>
        </w:rPr>
        <w:t>Defect 382981</w:t>
      </w:r>
    </w:p>
    <w:p w14:paraId="788B4F87" w14:textId="77777777" w:rsidR="00B45FA2" w:rsidRDefault="00B45FA2" w:rsidP="00B45FA2">
      <w:pPr>
        <w:pStyle w:val="Heading4"/>
      </w:pPr>
      <w:r>
        <w:t xml:space="preserve">Additional Information </w:t>
      </w:r>
    </w:p>
    <w:p w14:paraId="1376E40F" w14:textId="77777777" w:rsidR="00B45FA2" w:rsidRPr="002275D4" w:rsidRDefault="00B45FA2" w:rsidP="00925CAD">
      <w:pPr>
        <w:pStyle w:val="TableText"/>
        <w:numPr>
          <w:ilvl w:val="0"/>
          <w:numId w:val="42"/>
        </w:numPr>
        <w:rPr>
          <w:rFonts w:ascii="Times New Roman" w:hAnsi="Times New Roman"/>
          <w:spacing w:val="-5"/>
          <w:sz w:val="22"/>
          <w:szCs w:val="22"/>
        </w:rPr>
      </w:pPr>
      <w:r w:rsidRPr="006E44D8">
        <w:rPr>
          <w:rFonts w:ascii="Times New Roman" w:hAnsi="Times New Roman"/>
          <w:spacing w:val="-5"/>
          <w:sz w:val="22"/>
          <w:szCs w:val="22"/>
        </w:rPr>
        <w:t>When Workload is</w:t>
      </w:r>
      <w:r w:rsidR="00B80078">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5317CA39" w14:textId="77777777" w:rsidR="00B45FA2" w:rsidRDefault="00B45FA2" w:rsidP="00B45FA2">
      <w:pPr>
        <w:pStyle w:val="Heading4"/>
        <w:rPr>
          <w:b w:val="0"/>
        </w:rPr>
      </w:pPr>
      <w:r>
        <w:t>User Roles with Access to This Option</w:t>
      </w:r>
      <w:r>
        <w:rPr>
          <w:b w:val="0"/>
        </w:rPr>
        <w:t xml:space="preserve"> </w:t>
      </w:r>
    </w:p>
    <w:p w14:paraId="52B5BE14" w14:textId="77777777" w:rsidR="00B45FA2" w:rsidRDefault="00B45FA2" w:rsidP="00B45FA2">
      <w:pPr>
        <w:pStyle w:val="Roles"/>
      </w:pPr>
      <w:r>
        <w:t>All users</w:t>
      </w:r>
    </w:p>
    <w:p w14:paraId="2149E926" w14:textId="77777777" w:rsidR="00B45FA2" w:rsidRPr="00311A54" w:rsidRDefault="009068D5" w:rsidP="00B45FA2">
      <w:pPr>
        <w:pStyle w:val="Heading4"/>
      </w:pPr>
      <w:r w:rsidRPr="00311A54">
        <w:lastRenderedPageBreak/>
        <w:t>Automated Testing Review</w:t>
      </w:r>
    </w:p>
    <w:p w14:paraId="2B820F27" w14:textId="77777777" w:rsidR="008F1BE0" w:rsidRDefault="00311A54" w:rsidP="00311A54">
      <w:pPr>
        <w:pStyle w:val="BodyText"/>
      </w:pPr>
      <w:r>
        <w:t xml:space="preserve">This </w:t>
      </w:r>
      <w:r w:rsidR="00640909">
        <w:t>feature</w:t>
      </w:r>
      <w:r>
        <w:t xml:space="preserve"> allows the interface of automated blood banking instruments with VBECS through Data Innovati</w:t>
      </w:r>
      <w:r w:rsidR="00640909">
        <w:t xml:space="preserve">ons Instrument Manager. It </w:t>
      </w:r>
      <w:r>
        <w:t>eliminate</w:t>
      </w:r>
      <w:r w:rsidR="00640909">
        <w:t>s</w:t>
      </w:r>
      <w:r>
        <w:t xml:space="preserve"> the potential for human error associated with the manual entry of results from an automated instrument into</w:t>
      </w:r>
      <w:r w:rsidR="00640909">
        <w:t xml:space="preserve"> VBECS. It also eliminates the</w:t>
      </w:r>
      <w:r>
        <w:t xml:space="preserv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7780C2F" w14:textId="77777777" w:rsidTr="003F6E8A">
        <w:trPr>
          <w:cantSplit/>
          <w:tblHeader/>
        </w:trPr>
        <w:tc>
          <w:tcPr>
            <w:tcW w:w="3240" w:type="dxa"/>
            <w:shd w:val="pct30" w:color="auto" w:fill="FFFFFF"/>
            <w:vAlign w:val="bottom"/>
          </w:tcPr>
          <w:p w14:paraId="378C156C" w14:textId="77777777" w:rsidR="00B45FA2" w:rsidRDefault="00B45FA2" w:rsidP="003F6E8A">
            <w:pPr>
              <w:pStyle w:val="TableText"/>
              <w:rPr>
                <w:b/>
              </w:rPr>
            </w:pPr>
            <w:r>
              <w:rPr>
                <w:b/>
              </w:rPr>
              <w:t>User Action</w:t>
            </w:r>
          </w:p>
        </w:tc>
        <w:tc>
          <w:tcPr>
            <w:tcW w:w="6120" w:type="dxa"/>
            <w:shd w:val="pct30" w:color="auto" w:fill="FFFFFF"/>
            <w:vAlign w:val="bottom"/>
          </w:tcPr>
          <w:p w14:paraId="141EAA4D" w14:textId="77777777" w:rsidR="00B45FA2" w:rsidRDefault="00B45FA2" w:rsidP="003F6E8A">
            <w:pPr>
              <w:pStyle w:val="TableText"/>
              <w:rPr>
                <w:b/>
              </w:rPr>
            </w:pPr>
            <w:r>
              <w:rPr>
                <w:b/>
              </w:rPr>
              <w:t>VBECS</w:t>
            </w:r>
          </w:p>
        </w:tc>
      </w:tr>
      <w:tr w:rsidR="00B45FA2" w14:paraId="6BC96257" w14:textId="77777777" w:rsidTr="003F6E8A">
        <w:tc>
          <w:tcPr>
            <w:tcW w:w="3240" w:type="dxa"/>
          </w:tcPr>
          <w:p w14:paraId="53785A77" w14:textId="77777777" w:rsidR="00B45FA2" w:rsidRDefault="00141AB2" w:rsidP="00925CAD">
            <w:pPr>
              <w:pStyle w:val="TableTextNumbers"/>
              <w:numPr>
                <w:ilvl w:val="0"/>
                <w:numId w:val="46"/>
              </w:numPr>
            </w:pPr>
            <w:r>
              <w:t xml:space="preserve">User logs into VBECS and selects </w:t>
            </w:r>
            <w:r w:rsidRPr="00307125">
              <w:rPr>
                <w:b/>
              </w:rPr>
              <w:t xml:space="preserve">Blood Units, </w:t>
            </w:r>
            <w:r w:rsidR="00307125" w:rsidRPr="00307125">
              <w:rPr>
                <w:b/>
              </w:rPr>
              <w:t>Automated Testing</w:t>
            </w:r>
            <w:r w:rsidR="00307125">
              <w:t xml:space="preserve"> from the main menu.</w:t>
            </w:r>
          </w:p>
          <w:p w14:paraId="4B335694" w14:textId="77777777" w:rsidR="00307125" w:rsidRDefault="00307125" w:rsidP="00307125">
            <w:pPr>
              <w:pStyle w:val="TableTextNumbers"/>
              <w:numPr>
                <w:ilvl w:val="0"/>
                <w:numId w:val="0"/>
              </w:numPr>
              <w:ind w:left="288"/>
            </w:pPr>
          </w:p>
          <w:p w14:paraId="0B8D5352" w14:textId="77777777" w:rsidR="00307125" w:rsidRDefault="00307125" w:rsidP="00307125">
            <w:pPr>
              <w:pStyle w:val="TableTextNumbers"/>
              <w:numPr>
                <w:ilvl w:val="0"/>
                <w:numId w:val="0"/>
              </w:numPr>
              <w:ind w:left="288"/>
            </w:pPr>
            <w:r>
              <w:t>Or</w:t>
            </w:r>
          </w:p>
          <w:p w14:paraId="47C22550" w14:textId="77777777" w:rsidR="00307125" w:rsidRDefault="00307125" w:rsidP="00307125">
            <w:pPr>
              <w:pStyle w:val="TableTextNumbers"/>
              <w:numPr>
                <w:ilvl w:val="0"/>
                <w:numId w:val="0"/>
              </w:numPr>
              <w:ind w:left="288"/>
            </w:pPr>
          </w:p>
          <w:p w14:paraId="7E1E5490" w14:textId="301E26FF" w:rsidR="00307125" w:rsidRDefault="00307125" w:rsidP="00307125">
            <w:pPr>
              <w:pStyle w:val="TableTextNumbers"/>
              <w:numPr>
                <w:ilvl w:val="0"/>
                <w:numId w:val="0"/>
              </w:numPr>
              <w:ind w:left="288"/>
            </w:pPr>
            <w:r>
              <w:t xml:space="preserve">User logs into VBECS and clicks on the </w:t>
            </w:r>
            <w:r w:rsidRPr="00307125">
              <w:rPr>
                <w:b/>
              </w:rPr>
              <w:t>Automated Testing Toolbar Icon</w:t>
            </w:r>
            <w:r>
              <w:t xml:space="preserve"> (blood drop with </w:t>
            </w:r>
            <w:r w:rsidR="002E5AC8">
              <w:t>lightning</w:t>
            </w:r>
            <w:r>
              <w:t xml:space="preserve"> bolt).</w:t>
            </w:r>
          </w:p>
        </w:tc>
        <w:tc>
          <w:tcPr>
            <w:tcW w:w="6120" w:type="dxa"/>
          </w:tcPr>
          <w:p w14:paraId="6C9F04BB" w14:textId="77777777" w:rsidR="00DB1497" w:rsidRDefault="00D279DE" w:rsidP="00BA1FF8">
            <w:pPr>
              <w:pStyle w:val="TableTextBullet"/>
            </w:pPr>
            <w:r>
              <w:t>Displays</w:t>
            </w:r>
            <w:r w:rsidR="00307125">
              <w:t xml:space="preserve"> the Automated Testing – Pending Blood Units window.</w:t>
            </w:r>
          </w:p>
          <w:p w14:paraId="2B8573D8" w14:textId="77777777" w:rsidR="00307125" w:rsidRDefault="00307125" w:rsidP="00BA1FF8">
            <w:pPr>
              <w:pStyle w:val="TableTextBullet"/>
            </w:pPr>
            <w:r>
              <w:t>Displays message when no pending blood units were found to review.</w:t>
            </w:r>
          </w:p>
          <w:p w14:paraId="39B9ED53" w14:textId="77777777" w:rsidR="00425938" w:rsidRDefault="00425938" w:rsidP="00425938">
            <w:pPr>
              <w:pStyle w:val="TableTextBullet"/>
              <w:numPr>
                <w:ilvl w:val="0"/>
                <w:numId w:val="0"/>
              </w:numPr>
              <w:ind w:left="288" w:hanging="288"/>
            </w:pPr>
          </w:p>
          <w:p w14:paraId="2CD26A69" w14:textId="3A6BBB03" w:rsidR="00425938" w:rsidRDefault="00425938" w:rsidP="00425938">
            <w:pPr>
              <w:pStyle w:val="TableText"/>
              <w:rPr>
                <w:b/>
                <w:bCs/>
                <w:szCs w:val="18"/>
              </w:rPr>
            </w:pPr>
            <w:r>
              <w:rPr>
                <w:b/>
                <w:bCs/>
                <w:szCs w:val="18"/>
              </w:rPr>
              <w:t>NOTES</w:t>
            </w:r>
          </w:p>
          <w:p w14:paraId="1F490F25" w14:textId="77777777" w:rsidR="00425938" w:rsidRDefault="00425938" w:rsidP="00425938">
            <w:pPr>
              <w:pStyle w:val="TableTextBullet"/>
              <w:numPr>
                <w:ilvl w:val="0"/>
                <w:numId w:val="0"/>
              </w:numPr>
              <w:ind w:left="288" w:hanging="288"/>
            </w:pPr>
          </w:p>
          <w:p w14:paraId="50D6BF7A" w14:textId="77777777" w:rsidR="00425938" w:rsidRDefault="00425938" w:rsidP="00425938">
            <w:pPr>
              <w:pStyle w:val="TableText"/>
              <w:ind w:left="720"/>
            </w:pPr>
            <w:r w:rsidRPr="00425938">
              <w:rPr>
                <w:vanish/>
              </w:rPr>
              <w:t xml:space="preserve">BR_2.43 </w:t>
            </w:r>
            <w:r>
              <w:t>The functionality is not accessible if division is defined as a Transfusion Only facility.</w:t>
            </w:r>
          </w:p>
          <w:p w14:paraId="597C9EA2" w14:textId="77777777" w:rsidR="00425938" w:rsidRDefault="00425938" w:rsidP="00425938">
            <w:pPr>
              <w:pStyle w:val="TableText"/>
              <w:ind w:left="720"/>
            </w:pPr>
          </w:p>
          <w:p w14:paraId="1CDE9B99" w14:textId="77777777" w:rsidR="00425938" w:rsidRDefault="00425938" w:rsidP="00036095">
            <w:pPr>
              <w:pStyle w:val="TableText"/>
              <w:ind w:left="720"/>
            </w:pPr>
            <w:r w:rsidRPr="00425938">
              <w:rPr>
                <w:vanish/>
              </w:rPr>
              <w:t xml:space="preserve">BR_2.01 </w:t>
            </w:r>
            <w:r w:rsidRPr="00425938">
              <w:t>Only data within the user’s division can be accessed for any type of processing.</w:t>
            </w:r>
          </w:p>
          <w:p w14:paraId="230401E5" w14:textId="77777777" w:rsidR="00425938" w:rsidRPr="00BA1FF8" w:rsidRDefault="00425938" w:rsidP="00425938">
            <w:pPr>
              <w:pStyle w:val="TableText"/>
              <w:ind w:left="720"/>
            </w:pPr>
          </w:p>
        </w:tc>
      </w:tr>
      <w:tr w:rsidR="00B45FA2" w14:paraId="0BD3AC11" w14:textId="77777777" w:rsidTr="003F6E8A">
        <w:tc>
          <w:tcPr>
            <w:tcW w:w="3240" w:type="dxa"/>
          </w:tcPr>
          <w:p w14:paraId="27CE8DA1" w14:textId="76FC827E" w:rsidR="00665554" w:rsidRDefault="00665554" w:rsidP="003F6E8A">
            <w:pPr>
              <w:pStyle w:val="TableTextNumbers"/>
            </w:pPr>
            <w:r w:rsidRPr="00396B2B">
              <w:t>User selec</w:t>
            </w:r>
            <w:r>
              <w:t>ts from the testing tabs that are enabled on the Automated Testing – Pending Blood Units window</w:t>
            </w:r>
            <w:r w:rsidR="00937534">
              <w:t xml:space="preserve"> (</w:t>
            </w:r>
            <w:r w:rsidR="00EE455E">
              <w:t xml:space="preserve">Figure </w:t>
            </w:r>
            <w:r w:rsidR="00EE455E">
              <w:rPr>
                <w:noProof/>
              </w:rPr>
              <w:t>115</w:t>
            </w:r>
            <w:r w:rsidR="00937534">
              <w:t>)</w:t>
            </w:r>
            <w:r>
              <w:t>.</w:t>
            </w:r>
          </w:p>
          <w:p w14:paraId="3A1C343A" w14:textId="77777777" w:rsidR="00665554" w:rsidRDefault="00665554" w:rsidP="00665554">
            <w:pPr>
              <w:pStyle w:val="TableTextNumbers"/>
              <w:numPr>
                <w:ilvl w:val="0"/>
                <w:numId w:val="0"/>
              </w:numPr>
              <w:ind w:left="288"/>
            </w:pPr>
          </w:p>
          <w:p w14:paraId="670C6DA2" w14:textId="77777777" w:rsidR="00B45FA2" w:rsidRDefault="00602E53" w:rsidP="00665554">
            <w:pPr>
              <w:pStyle w:val="TableTextNumbers"/>
              <w:numPr>
                <w:ilvl w:val="0"/>
                <w:numId w:val="0"/>
              </w:numPr>
              <w:ind w:left="288"/>
            </w:pPr>
            <w:r>
              <w:rPr>
                <w:b/>
              </w:rPr>
              <w:t xml:space="preserve">Unit ABO-Rh </w:t>
            </w:r>
            <w:r w:rsidRPr="00602E53">
              <w:t>tab</w:t>
            </w:r>
          </w:p>
          <w:p w14:paraId="62D6D483" w14:textId="77777777" w:rsidR="00307125" w:rsidRDefault="00307125" w:rsidP="00307125">
            <w:pPr>
              <w:pStyle w:val="TableTextNumbers"/>
              <w:numPr>
                <w:ilvl w:val="0"/>
                <w:numId w:val="0"/>
              </w:numPr>
              <w:ind w:left="288"/>
            </w:pPr>
          </w:p>
          <w:p w14:paraId="66A39EAC" w14:textId="77777777" w:rsidR="00307125" w:rsidRDefault="00307125" w:rsidP="00307125">
            <w:pPr>
              <w:pStyle w:val="TableTextNumbers"/>
              <w:numPr>
                <w:ilvl w:val="0"/>
                <w:numId w:val="0"/>
              </w:numPr>
              <w:ind w:left="288"/>
            </w:pPr>
            <w:r w:rsidRPr="00307125">
              <w:rPr>
                <w:b/>
              </w:rPr>
              <w:t>Unit Antigen Typing</w:t>
            </w:r>
            <w:r w:rsidR="002615AD" w:rsidRPr="002615AD">
              <w:t xml:space="preserve"> tab.</w:t>
            </w:r>
          </w:p>
        </w:tc>
        <w:tc>
          <w:tcPr>
            <w:tcW w:w="6120" w:type="dxa"/>
          </w:tcPr>
          <w:p w14:paraId="2E0B1AB5" w14:textId="77777777" w:rsidR="00602E53" w:rsidRDefault="00D279DE" w:rsidP="00602E53">
            <w:pPr>
              <w:pStyle w:val="TableTextBullet"/>
            </w:pPr>
            <w:r>
              <w:t>D</w:t>
            </w:r>
            <w:r w:rsidR="00602E53">
              <w:t>etermines that all appropriate test results were entered for the blood unit. Row validation and test validation are completed.</w:t>
            </w:r>
          </w:p>
          <w:p w14:paraId="7B0C4CA5" w14:textId="77777777" w:rsidR="00DB1497" w:rsidRDefault="00DB1497" w:rsidP="00DB1497">
            <w:pPr>
              <w:pStyle w:val="TableTextBullet"/>
              <w:numPr>
                <w:ilvl w:val="0"/>
                <w:numId w:val="0"/>
              </w:numPr>
              <w:ind w:left="288" w:hanging="288"/>
            </w:pPr>
          </w:p>
          <w:p w14:paraId="21E54D4E" w14:textId="51F2285F" w:rsidR="00DB1497" w:rsidRDefault="00DB1497" w:rsidP="00DB1497">
            <w:pPr>
              <w:pStyle w:val="TableText"/>
              <w:rPr>
                <w:b/>
                <w:bCs/>
                <w:szCs w:val="18"/>
              </w:rPr>
            </w:pPr>
            <w:r>
              <w:rPr>
                <w:b/>
                <w:bCs/>
                <w:szCs w:val="18"/>
              </w:rPr>
              <w:t>NOTES</w:t>
            </w:r>
          </w:p>
          <w:p w14:paraId="74D36A72" w14:textId="77777777" w:rsidR="00DB1497" w:rsidRDefault="00DB1497" w:rsidP="00DB1497">
            <w:pPr>
              <w:pStyle w:val="NotesText"/>
            </w:pPr>
          </w:p>
          <w:p w14:paraId="6DA791B2" w14:textId="77777777" w:rsidR="00DB1497" w:rsidRDefault="00602E53" w:rsidP="00DB1497">
            <w:pPr>
              <w:pStyle w:val="TableText"/>
              <w:ind w:left="720"/>
            </w:pPr>
            <w:r w:rsidRPr="00602E53">
              <w:rPr>
                <w:vanish/>
              </w:rPr>
              <w:t xml:space="preserve">BR_115.09 </w:t>
            </w:r>
            <w:r>
              <w:t xml:space="preserve">The unit ID </w:t>
            </w:r>
            <w:r w:rsidRPr="00820C25">
              <w:t>and product code</w:t>
            </w:r>
            <w:r>
              <w:t xml:space="preserve"> are used to identify a specific unit from inventory. The pick list of Units for ABO/Rh or Antigen Typing will only display the product codes of units in an Active status and per the typing requirements.</w:t>
            </w:r>
          </w:p>
          <w:p w14:paraId="508D4449" w14:textId="77777777" w:rsidR="001F08A5" w:rsidRDefault="001F08A5" w:rsidP="00DB1497">
            <w:pPr>
              <w:pStyle w:val="TableText"/>
              <w:ind w:left="720"/>
            </w:pPr>
          </w:p>
          <w:p w14:paraId="568190A4" w14:textId="77777777" w:rsidR="00711E45" w:rsidRDefault="00711E45" w:rsidP="00711E45">
            <w:pPr>
              <w:pStyle w:val="TableText"/>
              <w:ind w:left="720"/>
              <w:rPr>
                <w:rFonts w:cs="Arial"/>
                <w:szCs w:val="18"/>
              </w:rPr>
            </w:pPr>
            <w:r w:rsidRPr="00711E45">
              <w:rPr>
                <w:rFonts w:cs="Arial"/>
                <w:vanish/>
                <w:szCs w:val="18"/>
              </w:rPr>
              <w:t xml:space="preserve">BR_115.10 </w:t>
            </w:r>
            <w:r w:rsidRPr="00E25BE5">
              <w:rPr>
                <w:rFonts w:cs="Arial"/>
                <w:szCs w:val="18"/>
              </w:rPr>
              <w:t xml:space="preserve">When </w:t>
            </w:r>
            <w:r>
              <w:rPr>
                <w:rFonts w:cs="Arial"/>
                <w:szCs w:val="18"/>
              </w:rPr>
              <w:t xml:space="preserve">a </w:t>
            </w:r>
            <w:r w:rsidRPr="00E25BE5">
              <w:rPr>
                <w:rFonts w:cs="Arial"/>
                <w:szCs w:val="18"/>
              </w:rPr>
              <w:t>weak D antigen typing test</w:t>
            </w:r>
            <w:r>
              <w:rPr>
                <w:rFonts w:cs="Arial"/>
                <w:szCs w:val="18"/>
              </w:rPr>
              <w:t xml:space="preserve"> is received on a blood unit that is Rh positive, the test is marked as in error (E) </w:t>
            </w:r>
            <w:r w:rsidRPr="00E25BE5">
              <w:rPr>
                <w:rFonts w:cs="Arial"/>
                <w:szCs w:val="18"/>
              </w:rPr>
              <w:t>the system provides a</w:t>
            </w:r>
            <w:r>
              <w:rPr>
                <w:rFonts w:cs="Arial"/>
                <w:szCs w:val="18"/>
              </w:rPr>
              <w:t xml:space="preserve"> w</w:t>
            </w:r>
            <w:r w:rsidRPr="00E25BE5">
              <w:rPr>
                <w:rFonts w:cs="Arial"/>
                <w:szCs w:val="18"/>
              </w:rPr>
              <w:t>arning message</w:t>
            </w:r>
            <w:r>
              <w:rPr>
                <w:rFonts w:cs="Arial"/>
                <w:szCs w:val="18"/>
              </w:rPr>
              <w:t>:</w:t>
            </w:r>
          </w:p>
          <w:p w14:paraId="4396C18A" w14:textId="77777777" w:rsidR="00711E45" w:rsidRDefault="00711E45" w:rsidP="00711E45">
            <w:pPr>
              <w:pStyle w:val="TableText"/>
              <w:ind w:left="720"/>
              <w:rPr>
                <w:rFonts w:cs="Arial"/>
                <w:szCs w:val="18"/>
              </w:rPr>
            </w:pPr>
          </w:p>
          <w:p w14:paraId="098B9C6F" w14:textId="77777777" w:rsidR="00711E45" w:rsidRDefault="00711E45" w:rsidP="00711E45">
            <w:pPr>
              <w:pStyle w:val="TableText"/>
              <w:ind w:left="720"/>
              <w:rPr>
                <w:rFonts w:cs="Arial"/>
                <w:szCs w:val="18"/>
              </w:rPr>
            </w:pPr>
            <w:r w:rsidRPr="00E25BE5">
              <w:rPr>
                <w:rFonts w:cs="Arial"/>
                <w:szCs w:val="18"/>
              </w:rPr>
              <w:t>“Cannot perform weak D testing on Rh positive unit.”</w:t>
            </w:r>
            <w:r>
              <w:rPr>
                <w:rFonts w:cs="Arial"/>
                <w:szCs w:val="18"/>
              </w:rPr>
              <w:t xml:space="preserve"> </w:t>
            </w:r>
          </w:p>
          <w:p w14:paraId="4BFD04DF" w14:textId="77777777" w:rsidR="00711E45" w:rsidRDefault="00711E45" w:rsidP="00711E45">
            <w:pPr>
              <w:pStyle w:val="TableText"/>
              <w:ind w:left="720"/>
              <w:rPr>
                <w:rFonts w:cs="Arial"/>
                <w:szCs w:val="18"/>
              </w:rPr>
            </w:pPr>
          </w:p>
          <w:p w14:paraId="44B0C1D8" w14:textId="77777777" w:rsidR="00711E45" w:rsidRDefault="00711E45" w:rsidP="00711E45">
            <w:pPr>
              <w:pStyle w:val="TableText"/>
              <w:ind w:left="720"/>
              <w:rPr>
                <w:rFonts w:cs="Arial"/>
                <w:szCs w:val="18"/>
              </w:rPr>
            </w:pPr>
            <w:r>
              <w:rPr>
                <w:rFonts w:cs="Arial"/>
                <w:szCs w:val="18"/>
              </w:rPr>
              <w:t>The test cannot be saved in VBECS and must be rejected.</w:t>
            </w:r>
          </w:p>
          <w:p w14:paraId="4C094559" w14:textId="77777777" w:rsidR="00711E45" w:rsidRDefault="00711E45" w:rsidP="00DB1497">
            <w:pPr>
              <w:pStyle w:val="TableText"/>
              <w:ind w:left="720"/>
            </w:pPr>
          </w:p>
          <w:p w14:paraId="1AB644EC" w14:textId="77777777" w:rsidR="00602E53" w:rsidRDefault="00602E53" w:rsidP="00602E53">
            <w:pPr>
              <w:pStyle w:val="TableText"/>
              <w:ind w:left="720"/>
            </w:pPr>
            <w:r w:rsidRPr="00602E53">
              <w:rPr>
                <w:vanish/>
              </w:rPr>
              <w:t xml:space="preserve">BR_115.11 </w:t>
            </w:r>
            <w:r>
              <w:t>The list view of test results on the Blood Unit windows is sortable by unit ID or date/time of test completion.</w:t>
            </w:r>
          </w:p>
          <w:p w14:paraId="5D7EC030" w14:textId="77777777" w:rsidR="00602E53" w:rsidRDefault="00602E53" w:rsidP="00602E53">
            <w:pPr>
              <w:pStyle w:val="TableText"/>
              <w:ind w:left="720"/>
            </w:pPr>
            <w:r>
              <w:t>Default sort order is on unit ID.</w:t>
            </w:r>
          </w:p>
          <w:p w14:paraId="629FE2F4" w14:textId="77777777" w:rsidR="00602E53" w:rsidRDefault="00602E53" w:rsidP="00602E53">
            <w:pPr>
              <w:pStyle w:val="TableText"/>
              <w:ind w:left="720"/>
            </w:pPr>
          </w:p>
          <w:p w14:paraId="2AD28B99" w14:textId="77777777" w:rsidR="00602E53" w:rsidRDefault="00602E53" w:rsidP="00602E53">
            <w:pPr>
              <w:pStyle w:val="TableText"/>
              <w:ind w:left="720"/>
            </w:pPr>
            <w:r w:rsidRPr="00602E53">
              <w:rPr>
                <w:vanish/>
              </w:rPr>
              <w:t xml:space="preserve">BR_115.16 </w:t>
            </w:r>
            <w:r>
              <w:t xml:space="preserve">When testing is received for an inactivated unit or unit in final status, the system provides a warning message: “Cannot perform testing on an inactivated unit or a unit in final status.” </w:t>
            </w:r>
            <w:r w:rsidRPr="00602E53">
              <w:t>The test cannot be saved in VBECS and must be rejected.</w:t>
            </w:r>
          </w:p>
          <w:p w14:paraId="6A424811" w14:textId="77777777" w:rsidR="00D0496E" w:rsidRPr="00602E53" w:rsidRDefault="00D0496E" w:rsidP="004A39DB">
            <w:pPr>
              <w:pStyle w:val="TableText"/>
            </w:pPr>
          </w:p>
        </w:tc>
      </w:tr>
      <w:tr w:rsidR="00B45FA2" w14:paraId="28CE06A6" w14:textId="77777777" w:rsidTr="003F6E8A">
        <w:tc>
          <w:tcPr>
            <w:tcW w:w="3240" w:type="dxa"/>
          </w:tcPr>
          <w:p w14:paraId="527CAD44" w14:textId="77777777" w:rsidR="00B45FA2" w:rsidRDefault="00602E53" w:rsidP="00665554">
            <w:pPr>
              <w:pStyle w:val="TableTextNumbers"/>
            </w:pPr>
            <w:r>
              <w:rPr>
                <w:rFonts w:cs="Arial"/>
                <w:szCs w:val="18"/>
              </w:rPr>
              <w:t xml:space="preserve">User selects a </w:t>
            </w:r>
            <w:r w:rsidR="00665554">
              <w:rPr>
                <w:rFonts w:cs="Arial"/>
                <w:szCs w:val="18"/>
              </w:rPr>
              <w:t xml:space="preserve">unit </w:t>
            </w:r>
            <w:r>
              <w:rPr>
                <w:rFonts w:cs="Arial"/>
                <w:szCs w:val="18"/>
              </w:rPr>
              <w:t>for review</w:t>
            </w:r>
            <w:r w:rsidR="00C95ED8">
              <w:rPr>
                <w:rFonts w:cs="Arial"/>
                <w:szCs w:val="18"/>
              </w:rPr>
              <w:t xml:space="preserve"> by clicking the check box next to a unit</w:t>
            </w:r>
            <w:r>
              <w:rPr>
                <w:rFonts w:cs="Arial"/>
                <w:szCs w:val="18"/>
              </w:rPr>
              <w:t>.</w:t>
            </w:r>
          </w:p>
        </w:tc>
        <w:tc>
          <w:tcPr>
            <w:tcW w:w="6120" w:type="dxa"/>
          </w:tcPr>
          <w:p w14:paraId="140FE02C" w14:textId="77777777" w:rsidR="00B45FA2" w:rsidRDefault="00B45FA2" w:rsidP="003F6E8A">
            <w:pPr>
              <w:pStyle w:val="TableTextBullet"/>
            </w:pPr>
            <w:r>
              <w:rPr>
                <w:rFonts w:cs="Arial"/>
                <w:vanish/>
              </w:rPr>
              <w:t xml:space="preserve">BR_85.02 </w:t>
            </w:r>
            <w:r w:rsidR="00D279DE">
              <w:t>Al</w:t>
            </w:r>
            <w:r w:rsidR="00602E53">
              <w:t>lows selection of</w:t>
            </w:r>
            <w:r w:rsidR="00D85353">
              <w:t xml:space="preserve"> blood unit test results</w:t>
            </w:r>
            <w:r>
              <w:t>.</w:t>
            </w:r>
          </w:p>
          <w:p w14:paraId="4017C2FD" w14:textId="77777777" w:rsidR="00D85353" w:rsidRDefault="00D85353" w:rsidP="00DB1497">
            <w:pPr>
              <w:pStyle w:val="TableTextBullet"/>
              <w:numPr>
                <w:ilvl w:val="0"/>
                <w:numId w:val="0"/>
              </w:numPr>
              <w:ind w:left="288" w:hanging="288"/>
            </w:pPr>
          </w:p>
          <w:p w14:paraId="6AA036EE" w14:textId="5203ACE3" w:rsidR="00DB1497" w:rsidRDefault="00DB1497" w:rsidP="00DB1497">
            <w:pPr>
              <w:pStyle w:val="TableText"/>
              <w:rPr>
                <w:b/>
                <w:bCs/>
                <w:szCs w:val="18"/>
              </w:rPr>
            </w:pPr>
            <w:r>
              <w:rPr>
                <w:b/>
                <w:bCs/>
                <w:szCs w:val="18"/>
              </w:rPr>
              <w:t>NOTES</w:t>
            </w:r>
          </w:p>
          <w:p w14:paraId="1F682C31" w14:textId="77777777" w:rsidR="00DB1497" w:rsidRDefault="00DB1497" w:rsidP="00DB1497">
            <w:pPr>
              <w:pStyle w:val="NotesText"/>
            </w:pPr>
          </w:p>
          <w:p w14:paraId="7A742492" w14:textId="77777777" w:rsidR="00DB1497" w:rsidRDefault="00D85353" w:rsidP="00DB1497">
            <w:pPr>
              <w:pStyle w:val="TableText"/>
              <w:ind w:left="720"/>
            </w:pPr>
            <w:r w:rsidRPr="00D85353">
              <w:rPr>
                <w:vanish/>
              </w:rPr>
              <w:t xml:space="preserve">BR_115.13 </w:t>
            </w:r>
            <w:r>
              <w:t>Selection of multiple tests with a Valid indicator is permitted.</w:t>
            </w:r>
          </w:p>
          <w:p w14:paraId="54ABEDE6" w14:textId="77777777" w:rsidR="00D85353" w:rsidRDefault="00D85353" w:rsidP="00DB1497">
            <w:pPr>
              <w:pStyle w:val="TableText"/>
              <w:ind w:left="720"/>
            </w:pPr>
          </w:p>
          <w:p w14:paraId="62D269F1" w14:textId="77777777" w:rsidR="004A39DB" w:rsidRDefault="004A39DB" w:rsidP="00DB1497">
            <w:pPr>
              <w:pStyle w:val="TableText"/>
              <w:ind w:left="720"/>
            </w:pPr>
            <w:r w:rsidRPr="00D85353">
              <w:rPr>
                <w:vanish/>
              </w:rPr>
              <w:t xml:space="preserve">BR_115.25 </w:t>
            </w:r>
            <w:r>
              <w:t xml:space="preserve">Tests with a </w:t>
            </w:r>
            <w:r>
              <w:rPr>
                <w:rFonts w:cs="Arial"/>
              </w:rPr>
              <w:t>Warning or Error indicator can only be selected and processed one at a time (no batch selection).</w:t>
            </w:r>
          </w:p>
          <w:p w14:paraId="3D373724" w14:textId="77777777" w:rsidR="004A39DB" w:rsidRDefault="004A39DB" w:rsidP="00DB1497">
            <w:pPr>
              <w:pStyle w:val="TableText"/>
              <w:ind w:left="720"/>
            </w:pPr>
          </w:p>
          <w:p w14:paraId="0A4B2BD6" w14:textId="77777777" w:rsidR="00711E45" w:rsidRDefault="00711E45" w:rsidP="00711E45">
            <w:pPr>
              <w:pStyle w:val="TableText"/>
              <w:ind w:left="720"/>
            </w:pPr>
            <w:r w:rsidRPr="00B30800">
              <w:rPr>
                <w:vanish/>
              </w:rPr>
              <w:t xml:space="preserve">BR_115.32 </w:t>
            </w:r>
            <w:r>
              <w:t xml:space="preserve">If the unit id transferred from the instrument does not uniquely identify the unit In VBECS, then the system will prompt the user </w:t>
            </w:r>
            <w:r>
              <w:lastRenderedPageBreak/>
              <w:t>to select the correct product code for the unit available in VBECS.</w:t>
            </w:r>
          </w:p>
          <w:p w14:paraId="00DD565C" w14:textId="77777777" w:rsidR="00711E45" w:rsidRDefault="00711E45" w:rsidP="00711E45">
            <w:pPr>
              <w:pStyle w:val="TableText"/>
              <w:ind w:left="720"/>
            </w:pPr>
          </w:p>
          <w:p w14:paraId="4646C1F1" w14:textId="77777777" w:rsidR="00D85353" w:rsidRDefault="00D85353" w:rsidP="00D85353">
            <w:pPr>
              <w:pStyle w:val="TableText"/>
              <w:ind w:left="720"/>
            </w:pPr>
            <w:r>
              <w:t>Selection of blood products is based on product codes that require ABO/Rh confirmation.</w:t>
            </w:r>
          </w:p>
          <w:p w14:paraId="238B0F13" w14:textId="77777777" w:rsidR="00D85353" w:rsidRDefault="00D85353" w:rsidP="004A39DB">
            <w:pPr>
              <w:pStyle w:val="TableText"/>
            </w:pPr>
          </w:p>
        </w:tc>
      </w:tr>
      <w:tr w:rsidR="00B45FA2" w14:paraId="714BED40" w14:textId="77777777" w:rsidTr="003F6E8A">
        <w:tc>
          <w:tcPr>
            <w:tcW w:w="3240" w:type="dxa"/>
          </w:tcPr>
          <w:p w14:paraId="02E1D15F" w14:textId="77777777" w:rsidR="00665554" w:rsidRPr="00665554" w:rsidRDefault="00665554" w:rsidP="00665554">
            <w:pPr>
              <w:pStyle w:val="TableTextNumbers"/>
            </w:pPr>
            <w:r>
              <w:rPr>
                <w:rFonts w:cs="Arial"/>
                <w:szCs w:val="18"/>
              </w:rPr>
              <w:lastRenderedPageBreak/>
              <w:t xml:space="preserve">User </w:t>
            </w:r>
            <w:r w:rsidRPr="00665554">
              <w:rPr>
                <w:rFonts w:cs="Arial"/>
                <w:b/>
                <w:szCs w:val="18"/>
              </w:rPr>
              <w:t>Accepts</w:t>
            </w:r>
            <w:r>
              <w:rPr>
                <w:rFonts w:cs="Arial"/>
                <w:szCs w:val="18"/>
              </w:rPr>
              <w:t xml:space="preserve"> or </w:t>
            </w:r>
            <w:r w:rsidRPr="00665554">
              <w:rPr>
                <w:rFonts w:cs="Arial"/>
                <w:b/>
                <w:szCs w:val="18"/>
              </w:rPr>
              <w:t>R</w:t>
            </w:r>
            <w:r w:rsidR="00D85353" w:rsidRPr="00665554">
              <w:rPr>
                <w:rFonts w:cs="Arial"/>
                <w:b/>
                <w:szCs w:val="18"/>
              </w:rPr>
              <w:t>ejects</w:t>
            </w:r>
            <w:r w:rsidR="00D85353" w:rsidRPr="00F130A1">
              <w:rPr>
                <w:rFonts w:cs="Arial"/>
                <w:szCs w:val="18"/>
              </w:rPr>
              <w:t xml:space="preserve"> the selected unit test</w:t>
            </w:r>
            <w:r>
              <w:rPr>
                <w:rFonts w:cs="Arial"/>
                <w:szCs w:val="18"/>
              </w:rPr>
              <w:t xml:space="preserve"> results</w:t>
            </w:r>
            <w:r w:rsidR="00D85353" w:rsidRPr="00F130A1">
              <w:rPr>
                <w:rFonts w:cs="Arial"/>
                <w:szCs w:val="18"/>
              </w:rPr>
              <w:t>.</w:t>
            </w:r>
          </w:p>
          <w:p w14:paraId="2C29CC6E" w14:textId="77777777" w:rsidR="00665554" w:rsidRDefault="00665554" w:rsidP="00665554">
            <w:pPr>
              <w:pStyle w:val="TableTextNumbers"/>
              <w:numPr>
                <w:ilvl w:val="0"/>
                <w:numId w:val="0"/>
              </w:numPr>
              <w:ind w:left="288" w:hanging="288"/>
            </w:pPr>
          </w:p>
        </w:tc>
        <w:tc>
          <w:tcPr>
            <w:tcW w:w="6120" w:type="dxa"/>
          </w:tcPr>
          <w:p w14:paraId="5A94642A" w14:textId="77777777" w:rsidR="00B45FA2" w:rsidRPr="00004A4C" w:rsidRDefault="00B45FA2" w:rsidP="00D85353">
            <w:pPr>
              <w:pStyle w:val="TableTextBullet"/>
            </w:pPr>
            <w:r>
              <w:rPr>
                <w:rFonts w:cs="Arial"/>
                <w:vanish/>
              </w:rPr>
              <w:t xml:space="preserve">BR_74.01 </w:t>
            </w:r>
            <w:r w:rsidR="00D279DE">
              <w:t>P</w:t>
            </w:r>
            <w:r w:rsidR="00D85353">
              <w:t>rocesses any applicable overrides.</w:t>
            </w:r>
          </w:p>
          <w:p w14:paraId="09D385B0" w14:textId="77777777" w:rsidR="00004A4C" w:rsidRDefault="00004A4C" w:rsidP="00004A4C">
            <w:pPr>
              <w:pStyle w:val="TableText"/>
            </w:pPr>
          </w:p>
          <w:p w14:paraId="12BC7008" w14:textId="720C5B46" w:rsidR="00004A4C" w:rsidRDefault="00004A4C" w:rsidP="00004A4C">
            <w:pPr>
              <w:pStyle w:val="TableText"/>
              <w:rPr>
                <w:b/>
                <w:bCs/>
                <w:szCs w:val="18"/>
              </w:rPr>
            </w:pPr>
            <w:r>
              <w:rPr>
                <w:b/>
                <w:bCs/>
                <w:szCs w:val="18"/>
              </w:rPr>
              <w:t>NOTES</w:t>
            </w:r>
          </w:p>
          <w:p w14:paraId="62229422" w14:textId="77777777" w:rsidR="00004A4C" w:rsidRDefault="00004A4C" w:rsidP="00004A4C">
            <w:pPr>
              <w:pStyle w:val="NotesText"/>
            </w:pPr>
          </w:p>
          <w:p w14:paraId="6399C327" w14:textId="77777777" w:rsidR="00665554" w:rsidRPr="00920163" w:rsidRDefault="00665554" w:rsidP="00665554">
            <w:pPr>
              <w:pStyle w:val="TableText"/>
              <w:ind w:left="720"/>
              <w:rPr>
                <w:rFonts w:eastAsia="Calibri"/>
                <w:szCs w:val="18"/>
              </w:rPr>
            </w:pPr>
            <w:r>
              <w:rPr>
                <w:vanish/>
              </w:rPr>
              <w:t xml:space="preserve">BR_115.05 </w:t>
            </w:r>
            <w:r>
              <w:t xml:space="preserve">When the test is rejected, the system will: </w:t>
            </w:r>
          </w:p>
          <w:p w14:paraId="1CE0911A" w14:textId="77777777" w:rsidR="00665554" w:rsidRPr="00064B9D" w:rsidRDefault="00665554" w:rsidP="00925CAD">
            <w:pPr>
              <w:pStyle w:val="TableText"/>
              <w:numPr>
                <w:ilvl w:val="0"/>
                <w:numId w:val="49"/>
              </w:numPr>
              <w:ind w:left="1080"/>
              <w:rPr>
                <w:sz w:val="20"/>
              </w:rPr>
            </w:pPr>
            <w:r>
              <w:t>Prompt user to confirm they want to reject.</w:t>
            </w:r>
          </w:p>
          <w:p w14:paraId="6E2B556E" w14:textId="77777777" w:rsidR="00064B9D" w:rsidRDefault="00064B9D" w:rsidP="00925CAD">
            <w:pPr>
              <w:pStyle w:val="TableText"/>
              <w:numPr>
                <w:ilvl w:val="0"/>
                <w:numId w:val="49"/>
              </w:numPr>
              <w:ind w:left="1080"/>
              <w:rPr>
                <w:sz w:val="20"/>
              </w:rPr>
            </w:pPr>
            <w:r>
              <w:t>Prompt user to enter a comment reason for rejection.</w:t>
            </w:r>
            <w:r w:rsidR="00987559">
              <w:t xml:space="preserve"> </w:t>
            </w:r>
            <w:r w:rsidR="00987559" w:rsidRPr="00987559">
              <w:rPr>
                <w:vanish/>
              </w:rPr>
              <w:t>Defect 357490</w:t>
            </w:r>
          </w:p>
          <w:p w14:paraId="0F7945A4" w14:textId="77777777" w:rsidR="00665554" w:rsidRDefault="00665554" w:rsidP="00925CAD">
            <w:pPr>
              <w:pStyle w:val="TableText"/>
              <w:numPr>
                <w:ilvl w:val="0"/>
                <w:numId w:val="49"/>
              </w:numPr>
              <w:ind w:left="1080"/>
            </w:pPr>
            <w:r>
              <w:t>Remove the test from the list for acceptance.</w:t>
            </w:r>
          </w:p>
          <w:p w14:paraId="3A714E9D" w14:textId="77777777" w:rsidR="00665554" w:rsidRDefault="00665554" w:rsidP="00925CAD">
            <w:pPr>
              <w:pStyle w:val="TableText"/>
              <w:numPr>
                <w:ilvl w:val="0"/>
                <w:numId w:val="49"/>
              </w:numPr>
              <w:ind w:left="1080"/>
            </w:pPr>
            <w:r>
              <w:t>No rejection message is sent to the instrument.</w:t>
            </w:r>
          </w:p>
          <w:p w14:paraId="27E1B30E" w14:textId="77777777" w:rsidR="00665554" w:rsidRDefault="00665554" w:rsidP="00925CAD">
            <w:pPr>
              <w:pStyle w:val="TableText"/>
              <w:numPr>
                <w:ilvl w:val="0"/>
                <w:numId w:val="49"/>
              </w:numPr>
              <w:ind w:left="1080"/>
            </w:pPr>
            <w:r>
              <w:t>The Diagnostic test returns to the previous status and ready for testing.</w:t>
            </w:r>
          </w:p>
          <w:p w14:paraId="189EE7A5" w14:textId="77777777" w:rsidR="00064B9D" w:rsidRDefault="00064B9D" w:rsidP="00064B9D">
            <w:pPr>
              <w:pStyle w:val="TableText"/>
              <w:ind w:left="1080"/>
            </w:pPr>
          </w:p>
          <w:p w14:paraId="23296A54" w14:textId="77777777" w:rsidR="00665554" w:rsidRDefault="00665554" w:rsidP="004A39DB">
            <w:pPr>
              <w:pStyle w:val="TableText"/>
              <w:ind w:left="720"/>
            </w:pPr>
          </w:p>
          <w:p w14:paraId="06E0D3A3" w14:textId="77777777" w:rsidR="006020B2" w:rsidRDefault="006020B2" w:rsidP="004A39DB">
            <w:pPr>
              <w:pStyle w:val="TableText"/>
              <w:ind w:left="720"/>
              <w:rPr>
                <w:vanish/>
              </w:rPr>
            </w:pPr>
          </w:p>
          <w:p w14:paraId="7A23D3C0" w14:textId="40494893" w:rsidR="00004A4C" w:rsidRDefault="00D0496E" w:rsidP="004A39DB">
            <w:pPr>
              <w:pStyle w:val="TableText"/>
              <w:ind w:left="720"/>
            </w:pPr>
            <w:r w:rsidRPr="00D0496E">
              <w:rPr>
                <w:vanish/>
              </w:rPr>
              <w:t xml:space="preserve">BR_2.21 </w:t>
            </w:r>
            <w:r>
              <w:t>When an interpretation of “Inconclusive” is verified for either the ABO or Rh interpretation, the unit is given an indicator of “Quarantine” and the details of the testing are captured for inclusion in an exception report. The system provides an audible alert.</w:t>
            </w:r>
          </w:p>
          <w:p w14:paraId="4B7F6E27" w14:textId="77777777" w:rsidR="00D0496E" w:rsidRDefault="00D0496E" w:rsidP="004A39DB">
            <w:pPr>
              <w:pStyle w:val="TableText"/>
              <w:ind w:left="720"/>
              <w:rPr>
                <w:noProof/>
                <w:color w:val="000000"/>
              </w:rPr>
            </w:pPr>
          </w:p>
          <w:p w14:paraId="72B19C51" w14:textId="77777777" w:rsidR="00D0496E" w:rsidRDefault="004A39DB" w:rsidP="004A39DB">
            <w:pPr>
              <w:pStyle w:val="TableText"/>
              <w:ind w:left="720"/>
              <w:rPr>
                <w:noProof/>
              </w:rPr>
            </w:pPr>
            <w:r>
              <w:rPr>
                <w:vanish/>
              </w:rPr>
              <w:t>BR_2.1</w:t>
            </w:r>
            <w:r w:rsidR="00DC7696" w:rsidRPr="00DC7696">
              <w:rPr>
                <w:vanish/>
              </w:rPr>
              <w:t xml:space="preserve">7 </w:t>
            </w:r>
            <w:r w:rsidR="00D0496E">
              <w:t xml:space="preserve">The system provides an audible alert and a warning message requiring override is generated if the ABO and/or Rh confirmation interpretation does not match the ABO and/or Rh of the unit at initial login. Upon user confirmation of the discrepancy (override), inventory units whose ABO/Rh confirmation does not match the ABO/Rh at login are given an indicator of “Quarantine” and the details of the transaction are captured for inclusion in an exception report. </w:t>
            </w:r>
          </w:p>
          <w:p w14:paraId="22C6BA93" w14:textId="77777777" w:rsidR="00F130A1" w:rsidRDefault="00F130A1" w:rsidP="004A39DB">
            <w:pPr>
              <w:pStyle w:val="StyleTableText9ptChar"/>
              <w:ind w:left="720"/>
            </w:pPr>
          </w:p>
          <w:p w14:paraId="3CF069A7" w14:textId="77777777" w:rsidR="00F130A1" w:rsidRDefault="00F130A1" w:rsidP="00F130A1">
            <w:pPr>
              <w:pStyle w:val="TableText"/>
              <w:ind w:left="720"/>
            </w:pPr>
            <w:r w:rsidRPr="00F130A1">
              <w:rPr>
                <w:vanish/>
              </w:rPr>
              <w:t xml:space="preserve">BR_2.18 </w:t>
            </w:r>
            <w:r>
              <w:t>The system displays all data input during the session and accommodates editing prior to the user electing to update the database. The system will warn the user that if he chooses to cancel using the cancel or “X” button</w:t>
            </w:r>
            <w:r w:rsidR="008A7BDA">
              <w:t xml:space="preserve"> or by leaving/refreshing the current page</w:t>
            </w:r>
            <w:r>
              <w:t>, the system will not save any data changes entered during the session.</w:t>
            </w:r>
          </w:p>
          <w:p w14:paraId="6E11F3BF" w14:textId="77777777" w:rsidR="00F130A1" w:rsidRDefault="00F130A1" w:rsidP="00F130A1">
            <w:pPr>
              <w:pStyle w:val="TableText"/>
              <w:ind w:left="720"/>
              <w:rPr>
                <w:noProof/>
                <w:color w:val="000000"/>
              </w:rPr>
            </w:pPr>
          </w:p>
          <w:p w14:paraId="41C0DC8D" w14:textId="77777777" w:rsidR="00F130A1" w:rsidRDefault="00F130A1" w:rsidP="00F130A1">
            <w:pPr>
              <w:pStyle w:val="TableText"/>
              <w:ind w:left="720"/>
            </w:pPr>
            <w:r w:rsidRPr="00F130A1">
              <w:rPr>
                <w:vanish/>
              </w:rPr>
              <w:t xml:space="preserve">BR_27.15 </w:t>
            </w:r>
            <w:r>
              <w:t>The u</w:t>
            </w:r>
            <w:r w:rsidRPr="00C441A9">
              <w:t>nit has had a quarantine indicator assigne</w:t>
            </w:r>
            <w:r>
              <w:t>d. T</w:t>
            </w:r>
            <w:r w:rsidRPr="00C441A9">
              <w:t>he system will release any patient assignment. Any patient restriction associated with the unit remains intact</w:t>
            </w:r>
            <w:r w:rsidR="006020B2">
              <w:t xml:space="preserve"> (e.g., Directed or Autologous)</w:t>
            </w:r>
            <w:r w:rsidRPr="00C441A9">
              <w:t>.</w:t>
            </w:r>
          </w:p>
          <w:p w14:paraId="1ED9D1EF" w14:textId="77777777" w:rsidR="00F130A1" w:rsidRDefault="00F130A1" w:rsidP="00F130A1">
            <w:pPr>
              <w:pStyle w:val="TableText"/>
              <w:ind w:left="720"/>
              <w:rPr>
                <w:noProof/>
                <w:color w:val="000000"/>
              </w:rPr>
            </w:pPr>
          </w:p>
          <w:p w14:paraId="255786F5" w14:textId="77777777" w:rsidR="00711E45" w:rsidRDefault="00711E45" w:rsidP="00711E45">
            <w:pPr>
              <w:pStyle w:val="TableText"/>
              <w:ind w:left="720"/>
            </w:pPr>
            <w:r w:rsidRPr="00DC7696">
              <w:rPr>
                <w:vanish/>
              </w:rPr>
              <w:t xml:space="preserve">BR_41.12 </w:t>
            </w:r>
            <w:r w:rsidRPr="00702789">
              <w:t xml:space="preserve">The system compares the antigen typing interpretation entered by the technologist to any previously assigned antigen typing for the same antigen (Incoming Shipment, Edit Unit Information, or antigen typing test </w:t>
            </w:r>
            <w:r w:rsidRPr="00DC7696">
              <w:t>other than weak D</w:t>
            </w:r>
            <w:r w:rsidRPr="00702789">
              <w:t>). If the current interpretation does not match the previously identified antigen type, the system displays a warning mes</w:t>
            </w:r>
            <w:r>
              <w:t xml:space="preserve">sage and quarantines the unit: </w:t>
            </w:r>
            <w:r w:rsidRPr="00702789">
              <w:t>Current antigen type does not match previously recorded antigen type (login, update, or test). This must be resolved before this unit can be used. Unit has been quarantined.</w:t>
            </w:r>
          </w:p>
          <w:p w14:paraId="29E12345" w14:textId="77777777" w:rsidR="00711E45" w:rsidRDefault="00711E45" w:rsidP="00711E45">
            <w:pPr>
              <w:pStyle w:val="TableText"/>
              <w:ind w:left="720"/>
            </w:pPr>
          </w:p>
          <w:p w14:paraId="3D12E5BC" w14:textId="77777777" w:rsidR="00711E45" w:rsidRPr="00DC7696" w:rsidRDefault="00711E45" w:rsidP="00711E45">
            <w:pPr>
              <w:pStyle w:val="TableText"/>
              <w:ind w:left="720"/>
            </w:pPr>
            <w:r w:rsidRPr="00DC7696">
              <w:rPr>
                <w:rFonts w:cs="Arial"/>
                <w:vanish/>
              </w:rPr>
              <w:t xml:space="preserve">BR_41.22 </w:t>
            </w:r>
            <w:r w:rsidRPr="00183123">
              <w:rPr>
                <w:rFonts w:cs="Arial"/>
              </w:rPr>
              <w:t xml:space="preserve">When a weak D interpretation is positive or inconclusive and is verified for a tested blood unit that was labeled as (Rh) D negative, display a warning message and add the quarantine indicator to the unit: "Unit is weak D positive or inconclusive: unit </w:t>
            </w:r>
            <w:r>
              <w:rPr>
                <w:rFonts w:cs="Arial"/>
              </w:rPr>
              <w:t>will be</w:t>
            </w:r>
            <w:r w:rsidRPr="00183123">
              <w:rPr>
                <w:rFonts w:cs="Arial"/>
              </w:rPr>
              <w:t xml:space="preserve"> quarantined." No user action is required.</w:t>
            </w:r>
          </w:p>
          <w:p w14:paraId="190424B5" w14:textId="77777777" w:rsidR="00711E45" w:rsidRDefault="00711E45" w:rsidP="00711E45">
            <w:pPr>
              <w:pStyle w:val="TableText"/>
              <w:ind w:left="720"/>
              <w:rPr>
                <w:noProof/>
                <w:color w:val="000000"/>
              </w:rPr>
            </w:pPr>
          </w:p>
          <w:p w14:paraId="4F00EB33" w14:textId="77777777" w:rsidR="00F130A1" w:rsidRPr="00004A4C" w:rsidRDefault="00987559" w:rsidP="00003BE9">
            <w:pPr>
              <w:pStyle w:val="TableText"/>
              <w:ind w:left="720"/>
              <w:rPr>
                <w:noProof/>
                <w:color w:val="000000"/>
              </w:rPr>
            </w:pPr>
            <w:r w:rsidRPr="00987559">
              <w:rPr>
                <w:vanish/>
              </w:rPr>
              <w:t xml:space="preserve">Defect 357490 </w:t>
            </w:r>
            <w:r w:rsidR="00711E45" w:rsidRPr="00DC7696">
              <w:rPr>
                <w:vanish/>
              </w:rPr>
              <w:t xml:space="preserve">BR_56.29 </w:t>
            </w:r>
            <w:r w:rsidR="00711E45">
              <w:t>When a unit was issued and a conflicting test result found that indicates a potential unit incompatibility with the patient, such as a patient ABO/Rh discrepancy, or the unit is antigen positive where antigen negative is required on the tested specimen, VBECS displays a warning message</w:t>
            </w:r>
            <w:r w:rsidR="00711E45" w:rsidRPr="007C05B4">
              <w:t xml:space="preserve"> such as: Unit has been issued. Notify the physician of this potential problem IMMEDIATELY, per hospital policy! </w:t>
            </w:r>
            <w:r w:rsidR="00711E45">
              <w:t>The warning message displays during the execution of the various tests related to the compatibility of a blood unit. An exception report entry is generated at the save.</w:t>
            </w:r>
          </w:p>
        </w:tc>
      </w:tr>
      <w:tr w:rsidR="00C95ED8" w14:paraId="07961710" w14:textId="77777777" w:rsidTr="003F6E8A">
        <w:tc>
          <w:tcPr>
            <w:tcW w:w="3240" w:type="dxa"/>
          </w:tcPr>
          <w:p w14:paraId="08D99568" w14:textId="77777777" w:rsidR="00C95ED8" w:rsidRDefault="00C95ED8" w:rsidP="00307125">
            <w:pPr>
              <w:pStyle w:val="TableTextNumbers"/>
            </w:pPr>
            <w:r>
              <w:lastRenderedPageBreak/>
              <w:t xml:space="preserve">User clicks </w:t>
            </w:r>
            <w:r w:rsidRPr="00C95ED8">
              <w:rPr>
                <w:b/>
              </w:rPr>
              <w:t>Yes</w:t>
            </w:r>
            <w:r>
              <w:t xml:space="preserve"> to acknowledge acceptance or rejection of test results</w:t>
            </w:r>
            <w:r w:rsidR="00DA6624">
              <w:t>.</w:t>
            </w:r>
          </w:p>
        </w:tc>
        <w:tc>
          <w:tcPr>
            <w:tcW w:w="6120" w:type="dxa"/>
          </w:tcPr>
          <w:p w14:paraId="1E4572A7" w14:textId="77777777" w:rsidR="00C95ED8" w:rsidRPr="00004A4C" w:rsidRDefault="00C95ED8" w:rsidP="00C95ED8">
            <w:pPr>
              <w:pStyle w:val="TableTextBullet"/>
            </w:pPr>
            <w:r>
              <w:t>Saves user input.</w:t>
            </w:r>
          </w:p>
          <w:p w14:paraId="694C2929" w14:textId="77777777" w:rsidR="00C95ED8" w:rsidRDefault="00C95ED8" w:rsidP="00C95ED8">
            <w:pPr>
              <w:pStyle w:val="TableText"/>
            </w:pPr>
          </w:p>
          <w:p w14:paraId="29D40873" w14:textId="5F169253" w:rsidR="00C95ED8" w:rsidRDefault="00C95ED8" w:rsidP="00C95ED8">
            <w:pPr>
              <w:pStyle w:val="TableText"/>
              <w:rPr>
                <w:b/>
                <w:bCs/>
                <w:szCs w:val="18"/>
              </w:rPr>
            </w:pPr>
            <w:r>
              <w:rPr>
                <w:b/>
                <w:bCs/>
                <w:szCs w:val="18"/>
              </w:rPr>
              <w:t>NOTES</w:t>
            </w:r>
          </w:p>
          <w:p w14:paraId="4654F599" w14:textId="77777777" w:rsidR="00C95ED8" w:rsidRDefault="00C95ED8" w:rsidP="00C95ED8">
            <w:pPr>
              <w:pStyle w:val="NotesText"/>
            </w:pPr>
          </w:p>
          <w:p w14:paraId="445ED5E9" w14:textId="77777777" w:rsidR="004A39DB" w:rsidRDefault="00987559" w:rsidP="004A39DB">
            <w:pPr>
              <w:pStyle w:val="TableTextBullet"/>
              <w:numPr>
                <w:ilvl w:val="0"/>
                <w:numId w:val="0"/>
              </w:numPr>
              <w:ind w:left="720"/>
            </w:pPr>
            <w:r w:rsidRPr="00987559">
              <w:rPr>
                <w:vanish/>
              </w:rPr>
              <w:t xml:space="preserve">Defect 357490 </w:t>
            </w:r>
            <w:r w:rsidR="00C95ED8" w:rsidRPr="00F130A1">
              <w:rPr>
                <w:vanish/>
              </w:rPr>
              <w:t xml:space="preserve">BR_2.12 </w:t>
            </w:r>
            <w:r w:rsidR="00C95ED8">
              <w:t>Upon successful completion of ABO/Rh confirmation</w:t>
            </w:r>
            <w:r w:rsidR="00064B9D">
              <w:t xml:space="preserve"> and/or Antigen Typing completion</w:t>
            </w:r>
            <w:r w:rsidR="00C95ED8">
              <w:t>, the unit status is updated. Successful completion means that the ABO and Rh (if required) interpretation is consistent with recorded observed results and matches the ABO/Rh at unit login and any repeat ABO/Rh tests on the unit that are not invalidated</w:t>
            </w:r>
          </w:p>
          <w:p w14:paraId="054111A2" w14:textId="77777777" w:rsidR="004A39DB" w:rsidRDefault="004A39DB" w:rsidP="004A39DB">
            <w:pPr>
              <w:pStyle w:val="TableTextBullet"/>
              <w:numPr>
                <w:ilvl w:val="0"/>
                <w:numId w:val="0"/>
              </w:numPr>
              <w:ind w:left="720"/>
            </w:pPr>
          </w:p>
          <w:p w14:paraId="2C4E19FE" w14:textId="77777777" w:rsidR="004A39DB" w:rsidRPr="00920163" w:rsidRDefault="004A39DB" w:rsidP="004A39DB">
            <w:pPr>
              <w:pStyle w:val="TableText"/>
              <w:ind w:left="720"/>
              <w:rPr>
                <w:rFonts w:eastAsia="Calibri"/>
                <w:szCs w:val="18"/>
              </w:rPr>
            </w:pPr>
            <w:r w:rsidRPr="004A39DB">
              <w:rPr>
                <w:vanish/>
              </w:rPr>
              <w:t xml:space="preserve">BR_115.05 </w:t>
            </w:r>
            <w:r>
              <w:t xml:space="preserve">When the test is rejected, the system will: </w:t>
            </w:r>
          </w:p>
          <w:p w14:paraId="4B47EA35" w14:textId="77777777" w:rsidR="004A39DB" w:rsidRDefault="004A39DB" w:rsidP="00925CAD">
            <w:pPr>
              <w:pStyle w:val="TableText"/>
              <w:numPr>
                <w:ilvl w:val="0"/>
                <w:numId w:val="49"/>
              </w:numPr>
              <w:ind w:left="1080"/>
              <w:rPr>
                <w:sz w:val="20"/>
              </w:rPr>
            </w:pPr>
            <w:r>
              <w:t>Prompt user to confirm they want to reject.</w:t>
            </w:r>
          </w:p>
          <w:p w14:paraId="20F0D14B" w14:textId="77777777" w:rsidR="004A39DB" w:rsidRDefault="004A39DB" w:rsidP="00925CAD">
            <w:pPr>
              <w:pStyle w:val="TableText"/>
              <w:numPr>
                <w:ilvl w:val="0"/>
                <w:numId w:val="49"/>
              </w:numPr>
              <w:ind w:left="1080"/>
            </w:pPr>
            <w:r>
              <w:t>Remove the test from the list for acceptance.</w:t>
            </w:r>
          </w:p>
          <w:p w14:paraId="5199DC26" w14:textId="77777777" w:rsidR="004A39DB" w:rsidRDefault="004A39DB" w:rsidP="00925CAD">
            <w:pPr>
              <w:pStyle w:val="TableText"/>
              <w:numPr>
                <w:ilvl w:val="0"/>
                <w:numId w:val="49"/>
              </w:numPr>
              <w:ind w:left="1080"/>
            </w:pPr>
            <w:r>
              <w:t>No rejection message is sent to the instrument.</w:t>
            </w:r>
          </w:p>
          <w:p w14:paraId="169F7699" w14:textId="77777777" w:rsidR="004A39DB" w:rsidRDefault="004A39DB" w:rsidP="00925CAD">
            <w:pPr>
              <w:pStyle w:val="TableText"/>
              <w:numPr>
                <w:ilvl w:val="0"/>
                <w:numId w:val="49"/>
              </w:numPr>
              <w:ind w:left="1080"/>
            </w:pPr>
            <w:r>
              <w:t>The Diagnostic test returns to the previous status and ready for testing.</w:t>
            </w:r>
          </w:p>
          <w:p w14:paraId="7E95886C" w14:textId="77777777" w:rsidR="004A39DB" w:rsidRDefault="004A39DB" w:rsidP="004A39DB">
            <w:pPr>
              <w:pStyle w:val="TableTextBullet"/>
              <w:numPr>
                <w:ilvl w:val="0"/>
                <w:numId w:val="0"/>
              </w:numPr>
              <w:ind w:left="720"/>
            </w:pPr>
          </w:p>
          <w:p w14:paraId="499F83F4" w14:textId="77777777" w:rsidR="004A39DB" w:rsidRDefault="004A39DB" w:rsidP="004A39DB">
            <w:pPr>
              <w:pStyle w:val="TableTextBullet"/>
              <w:numPr>
                <w:ilvl w:val="0"/>
                <w:numId w:val="0"/>
              </w:numPr>
              <w:ind w:left="288" w:hanging="288"/>
            </w:pPr>
          </w:p>
        </w:tc>
      </w:tr>
    </w:tbl>
    <w:p w14:paraId="23FF781D" w14:textId="48188DD9" w:rsidR="00937534" w:rsidRDefault="00937534" w:rsidP="00937534">
      <w:pPr>
        <w:pStyle w:val="Caption"/>
      </w:pPr>
      <w:bookmarkStart w:id="526" w:name="_Ref44716807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116</w:t>
      </w:r>
      <w:r w:rsidR="004E20BD">
        <w:rPr>
          <w:noProof/>
        </w:rPr>
        <w:fldChar w:fldCharType="end"/>
      </w:r>
      <w:bookmarkEnd w:id="526"/>
      <w:r>
        <w:t>: Automated Testing – Pending Blood Units Window</w:t>
      </w:r>
    </w:p>
    <w:p w14:paraId="1AAFA5F6" w14:textId="77777777" w:rsidR="005E6617" w:rsidRPr="005E6617" w:rsidRDefault="00057948" w:rsidP="005E6617">
      <w:pPr>
        <w:pStyle w:val="BodyText"/>
      </w:pPr>
      <w:r>
        <w:rPr>
          <w:noProof/>
        </w:rPr>
        <w:drawing>
          <wp:inline distT="0" distB="0" distL="0" distR="0" wp14:anchorId="7BC3C39B" wp14:editId="5BABFBAE">
            <wp:extent cx="5163185" cy="1311275"/>
            <wp:effectExtent l="0" t="0" r="0" b="3175"/>
            <wp:docPr id="264" name="Picture 264" descr="Example of Automated Testing - Pending Blood Unit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Example of Automated Testing - Pending Blood Units Window screen captur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63185" cy="1311275"/>
                    </a:xfrm>
                    <a:prstGeom prst="rect">
                      <a:avLst/>
                    </a:prstGeom>
                    <a:noFill/>
                    <a:ln>
                      <a:noFill/>
                    </a:ln>
                  </pic:spPr>
                </pic:pic>
              </a:graphicData>
            </a:graphic>
          </wp:inline>
        </w:drawing>
      </w:r>
    </w:p>
    <w:p w14:paraId="5F7E9566" w14:textId="77777777" w:rsidR="00BE554D" w:rsidRDefault="005E6617" w:rsidP="005E6617">
      <w:pPr>
        <w:pStyle w:val="Heading2"/>
      </w:pPr>
      <w:r>
        <w:br w:type="page"/>
      </w:r>
      <w:bookmarkStart w:id="527" w:name="_Toc163644966"/>
      <w:r w:rsidR="00BE554D" w:rsidRPr="00937534">
        <w:lastRenderedPageBreak/>
        <w:t>Automated Testing Review for Patients</w:t>
      </w:r>
      <w:bookmarkEnd w:id="527"/>
      <w:r w:rsidR="00B31DA1" w:rsidRPr="00836786">
        <w:rPr>
          <w:vanish/>
        </w:rPr>
        <w:t xml:space="preserve">{ XE “Automated Testing Review for </w:t>
      </w:r>
      <w:r w:rsidR="00B31DA1">
        <w:rPr>
          <w:vanish/>
        </w:rPr>
        <w:t>Patients</w:t>
      </w:r>
      <w:r w:rsidR="00B31DA1" w:rsidRPr="00836786">
        <w:rPr>
          <w:vanish/>
        </w:rPr>
        <w:t>” }</w:t>
      </w:r>
      <w:r w:rsidR="00B31DA1">
        <w:t xml:space="preserve"> </w:t>
      </w:r>
      <w:r w:rsidR="00BE554D">
        <w:rPr>
          <w:vanish/>
        </w:rPr>
        <w:t>UC_115</w:t>
      </w:r>
    </w:p>
    <w:p w14:paraId="16364B64" w14:textId="28091E52" w:rsidR="00BE554D" w:rsidRDefault="00BE554D" w:rsidP="00BE554D">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 xml:space="preserve">s the user to review and approve testing results completed on an automated instrument and transmitted to </w:t>
      </w:r>
      <w:r w:rsidRPr="00D23C29">
        <w:rPr>
          <w:rFonts w:ascii="Times New Roman" w:hAnsi="Times New Roman"/>
          <w:b w:val="0"/>
          <w:spacing w:val="-5"/>
          <w:szCs w:val="22"/>
        </w:rPr>
        <w:t>VBECS.</w:t>
      </w:r>
    </w:p>
    <w:p w14:paraId="3BF6ECEE" w14:textId="77777777" w:rsidR="00BE554D" w:rsidRPr="00D23C29" w:rsidRDefault="00BE554D" w:rsidP="00BE554D">
      <w:pPr>
        <w:pStyle w:val="Heading4"/>
      </w:pPr>
      <w:r w:rsidRPr="00D23C29">
        <w:t xml:space="preserve">Assumptions </w:t>
      </w:r>
    </w:p>
    <w:p w14:paraId="0AEC49BF"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25D5CB5A"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15E7008F"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Message is received</w:t>
      </w:r>
      <w:r>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5A0D1EA7" w14:textId="77777777" w:rsidR="00BE554D" w:rsidRPr="009A3F10" w:rsidRDefault="00BE554D" w:rsidP="00925CAD">
      <w:pPr>
        <w:pStyle w:val="TableTextBullet"/>
        <w:numPr>
          <w:ilvl w:val="0"/>
          <w:numId w:val="42"/>
        </w:numPr>
        <w:ind w:right="63"/>
        <w:rPr>
          <w:rFonts w:ascii="Times New Roman" w:hAnsi="Times New Roman"/>
          <w:spacing w:val="-5"/>
          <w:sz w:val="22"/>
          <w:szCs w:val="22"/>
        </w:rPr>
      </w:pPr>
      <w:r w:rsidRPr="009A3F10">
        <w:rPr>
          <w:rFonts w:ascii="Times New Roman" w:hAnsi="Times New Roman"/>
          <w:spacing w:val="-5"/>
          <w:sz w:val="22"/>
          <w:szCs w:val="22"/>
        </w:rPr>
        <w:t>VBECS database contains an active patient order for diagnostic tests or blood components including reflex tests that have been accepted and appear on the Pending Task List.</w:t>
      </w:r>
    </w:p>
    <w:p w14:paraId="445DC90E" w14:textId="77777777" w:rsidR="00BE554D" w:rsidRPr="009A3F10" w:rsidRDefault="00BE554D" w:rsidP="00925CAD">
      <w:pPr>
        <w:numPr>
          <w:ilvl w:val="0"/>
          <w:numId w:val="42"/>
        </w:numPr>
        <w:rPr>
          <w:spacing w:val="-5"/>
          <w:sz w:val="22"/>
          <w:szCs w:val="22"/>
        </w:rPr>
      </w:pPr>
      <w:r>
        <w:rPr>
          <w:spacing w:val="-5"/>
          <w:sz w:val="22"/>
          <w:szCs w:val="22"/>
        </w:rPr>
        <w:t xml:space="preserve">Blood Units are </w:t>
      </w:r>
      <w:r w:rsidRPr="009A3F10">
        <w:rPr>
          <w:spacing w:val="-5"/>
          <w:sz w:val="22"/>
          <w:szCs w:val="22"/>
        </w:rPr>
        <w:t>selected for a patient for serologic crossmatch testing</w:t>
      </w:r>
      <w:r>
        <w:rPr>
          <w:spacing w:val="-5"/>
          <w:sz w:val="22"/>
          <w:szCs w:val="22"/>
        </w:rPr>
        <w:t xml:space="preserve"> prior to</w:t>
      </w:r>
      <w:r w:rsidRPr="009A3F10">
        <w:rPr>
          <w:spacing w:val="-5"/>
          <w:sz w:val="22"/>
          <w:szCs w:val="22"/>
        </w:rPr>
        <w:t xml:space="preserve"> result transmission</w:t>
      </w:r>
      <w:r>
        <w:rPr>
          <w:spacing w:val="-5"/>
          <w:sz w:val="22"/>
          <w:szCs w:val="22"/>
        </w:rPr>
        <w:t xml:space="preserve"> from an automated instrument</w:t>
      </w:r>
      <w:r w:rsidRPr="009A3F10">
        <w:rPr>
          <w:spacing w:val="-5"/>
          <w:sz w:val="22"/>
          <w:szCs w:val="22"/>
        </w:rPr>
        <w:t>.</w:t>
      </w:r>
    </w:p>
    <w:p w14:paraId="5CF6F680" w14:textId="77777777" w:rsidR="00BE554D" w:rsidRPr="009A3F10" w:rsidRDefault="00BE554D" w:rsidP="00925CAD">
      <w:pPr>
        <w:numPr>
          <w:ilvl w:val="0"/>
          <w:numId w:val="42"/>
        </w:numPr>
        <w:rPr>
          <w:spacing w:val="-5"/>
          <w:sz w:val="22"/>
          <w:szCs w:val="22"/>
        </w:rPr>
      </w:pPr>
      <w:r w:rsidRPr="009A3F10">
        <w:rPr>
          <w:spacing w:val="-5"/>
          <w:sz w:val="22"/>
          <w:szCs w:val="22"/>
        </w:rPr>
        <w:t>Each transmitted test must include its results and interpretati</w:t>
      </w:r>
      <w:r>
        <w:rPr>
          <w:spacing w:val="-5"/>
          <w:sz w:val="22"/>
          <w:szCs w:val="22"/>
        </w:rPr>
        <w:t>on</w:t>
      </w:r>
      <w:r w:rsidRPr="009A3F10">
        <w:rPr>
          <w:spacing w:val="-5"/>
          <w:sz w:val="22"/>
          <w:szCs w:val="22"/>
        </w:rPr>
        <w:t>.</w:t>
      </w:r>
    </w:p>
    <w:p w14:paraId="095B733B" w14:textId="77777777" w:rsidR="00BE554D" w:rsidRDefault="00BE554D" w:rsidP="00BE554D">
      <w:pPr>
        <w:pStyle w:val="Heading4"/>
      </w:pPr>
      <w:r>
        <w:t xml:space="preserve">Outcome </w:t>
      </w:r>
    </w:p>
    <w:p w14:paraId="14605309" w14:textId="77777777" w:rsidR="00BE554D" w:rsidRPr="00D23C29" w:rsidRDefault="00BE554D"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4E5E4760" w14:textId="77777777" w:rsidR="00BE554D" w:rsidRPr="00D23C29" w:rsidRDefault="00BE554D"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system updates the task status, the workload reporting in VBECS and the order status in VBECS and VistA.</w:t>
      </w:r>
    </w:p>
    <w:p w14:paraId="11E5162E" w14:textId="77777777" w:rsidR="00BE554D" w:rsidRDefault="00BE554D" w:rsidP="00BE554D">
      <w:pPr>
        <w:pStyle w:val="Heading4"/>
      </w:pPr>
      <w:r>
        <w:t>Limitations and Restrictions</w:t>
      </w:r>
      <w:r>
        <w:rPr>
          <w:b w:val="0"/>
        </w:rPr>
        <w:t xml:space="preserve"> </w:t>
      </w:r>
    </w:p>
    <w:p w14:paraId="1C909032"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70F88B74"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VBECS does not accept inconclusive interpretations for antibody screen tests.</w:t>
      </w:r>
    </w:p>
    <w:p w14:paraId="0A0AD150"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Immediate spin crossmatch is not allowed via au</w:t>
      </w:r>
      <w:r>
        <w:rPr>
          <w:rFonts w:ascii="Times New Roman" w:hAnsi="Times New Roman"/>
          <w:spacing w:val="-5"/>
          <w:sz w:val="22"/>
          <w:szCs w:val="22"/>
        </w:rPr>
        <w:t xml:space="preserve">tomated test entry. </w:t>
      </w:r>
    </w:p>
    <w:p w14:paraId="5C0C9A64"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 xml:space="preserve">Patient Antigen typing applies only to patient specimens </w:t>
      </w:r>
      <w:r>
        <w:rPr>
          <w:rFonts w:ascii="Times New Roman" w:hAnsi="Times New Roman"/>
          <w:spacing w:val="-5"/>
          <w:sz w:val="22"/>
          <w:szCs w:val="22"/>
        </w:rPr>
        <w:t>that contain red blood cells.</w:t>
      </w:r>
    </w:p>
    <w:p w14:paraId="6A8BCE3C"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system does not check the specificity of a patient’s antibody against an existing patient antigen typing.</w:t>
      </w:r>
    </w:p>
    <w:p w14:paraId="1073C0D2" w14:textId="77777777" w:rsidR="00BE554D"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patient antigen typing result is not reported to the CPRS record.</w:t>
      </w:r>
    </w:p>
    <w:p w14:paraId="43B8F6C8" w14:textId="77777777" w:rsidR="00DA27C7" w:rsidRDefault="00DA27C7" w:rsidP="00925CAD">
      <w:pPr>
        <w:pStyle w:val="TableText"/>
        <w:numPr>
          <w:ilvl w:val="0"/>
          <w:numId w:val="42"/>
        </w:numPr>
        <w:rPr>
          <w:rFonts w:ascii="Times New Roman" w:hAnsi="Times New Roman"/>
          <w:spacing w:val="-5"/>
          <w:sz w:val="22"/>
          <w:szCs w:val="22"/>
        </w:rPr>
      </w:pPr>
      <w:r w:rsidRPr="00DA27C7">
        <w:rPr>
          <w:rFonts w:ascii="Times New Roman" w:hAnsi="Times New Roman"/>
          <w:spacing w:val="-5"/>
          <w:sz w:val="22"/>
          <w:szCs w:val="22"/>
        </w:rPr>
        <w:t>Order Rejection comment entry is required but is not visible on a report.</w:t>
      </w:r>
    </w:p>
    <w:p w14:paraId="29E01CDE" w14:textId="77777777" w:rsidR="00BE554D" w:rsidRDefault="00770FF0" w:rsidP="00BE554D">
      <w:pPr>
        <w:pStyle w:val="Heading4"/>
      </w:pPr>
      <w:r>
        <w:t>Additional Information</w:t>
      </w:r>
    </w:p>
    <w:p w14:paraId="15C02BB2" w14:textId="77777777" w:rsidR="002C3F2F" w:rsidRPr="002C3F2F" w:rsidRDefault="00057948" w:rsidP="00925CAD">
      <w:pPr>
        <w:pStyle w:val="ListBullet"/>
        <w:numPr>
          <w:ilvl w:val="0"/>
          <w:numId w:val="42"/>
        </w:numPr>
      </w:pPr>
      <w:r>
        <w:rPr>
          <w:noProof/>
        </w:rPr>
        <w:drawing>
          <wp:inline distT="0" distB="0" distL="0" distR="0" wp14:anchorId="08F53BE4" wp14:editId="1DF1DD3F">
            <wp:extent cx="276860" cy="221615"/>
            <wp:effectExtent l="0" t="0" r="8890" b="6985"/>
            <wp:docPr id="265"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0859043D" w14:textId="77777777" w:rsidR="00BE554D" w:rsidRPr="006E44D8" w:rsidRDefault="00BE554D" w:rsidP="00925CAD">
      <w:pPr>
        <w:pStyle w:val="TableText"/>
        <w:numPr>
          <w:ilvl w:val="0"/>
          <w:numId w:val="42"/>
        </w:numPr>
        <w:rPr>
          <w:rFonts w:ascii="Times New Roman" w:hAnsi="Times New Roman"/>
          <w:spacing w:val="-5"/>
          <w:sz w:val="22"/>
          <w:szCs w:val="22"/>
        </w:rPr>
      </w:pPr>
      <w:r w:rsidRPr="006E44D8">
        <w:rPr>
          <w:rFonts w:ascii="Times New Roman" w:hAnsi="Times New Roman"/>
          <w:spacing w:val="-5"/>
          <w:sz w:val="22"/>
          <w:szCs w:val="22"/>
        </w:rPr>
        <w:t>The patient’s antigen t</w:t>
      </w:r>
      <w:r>
        <w:rPr>
          <w:rFonts w:ascii="Times New Roman" w:hAnsi="Times New Roman"/>
          <w:spacing w:val="-5"/>
          <w:sz w:val="22"/>
          <w:szCs w:val="22"/>
        </w:rPr>
        <w:t xml:space="preserve">yping information will display in </w:t>
      </w:r>
      <w:r w:rsidRPr="006E44D8">
        <w:rPr>
          <w:rFonts w:ascii="Times New Roman" w:hAnsi="Times New Roman"/>
          <w:spacing w:val="-5"/>
          <w:sz w:val="22"/>
          <w:szCs w:val="22"/>
        </w:rPr>
        <w:t>Display Patient VBECS Data, but will not appear as part of the Transfusion Requirements or Special Instructi</w:t>
      </w:r>
      <w:r>
        <w:rPr>
          <w:rFonts w:ascii="Times New Roman" w:hAnsi="Times New Roman"/>
          <w:spacing w:val="-5"/>
          <w:sz w:val="22"/>
          <w:szCs w:val="22"/>
        </w:rPr>
        <w:t xml:space="preserve">ons that display in </w:t>
      </w:r>
      <w:r w:rsidRPr="006E44D8">
        <w:rPr>
          <w:rFonts w:ascii="Times New Roman" w:hAnsi="Times New Roman"/>
          <w:spacing w:val="-5"/>
          <w:sz w:val="22"/>
          <w:szCs w:val="22"/>
        </w:rPr>
        <w:t>Display Patient Transfusion Requirements and Special Instructions.</w:t>
      </w:r>
    </w:p>
    <w:p w14:paraId="5A0450F4" w14:textId="77777777" w:rsidR="00BE554D" w:rsidRPr="00E82F44" w:rsidRDefault="00E82F44" w:rsidP="00925CAD">
      <w:pPr>
        <w:pStyle w:val="TableText"/>
        <w:numPr>
          <w:ilvl w:val="0"/>
          <w:numId w:val="42"/>
        </w:numPr>
        <w:rPr>
          <w:rFonts w:ascii="Times New Roman" w:hAnsi="Times New Roman"/>
          <w:spacing w:val="-5"/>
          <w:sz w:val="22"/>
          <w:szCs w:val="22"/>
        </w:rPr>
      </w:pPr>
      <w:r w:rsidRPr="00E82F44">
        <w:rPr>
          <w:rFonts w:ascii="Times New Roman" w:hAnsi="Times New Roman"/>
          <w:vanish/>
          <w:spacing w:val="-5"/>
          <w:sz w:val="22"/>
          <w:szCs w:val="22"/>
        </w:rPr>
        <w:t xml:space="preserve">Defect 279095 </w:t>
      </w:r>
      <w:r w:rsidR="00BE554D" w:rsidRPr="00E82F44">
        <w:rPr>
          <w:rFonts w:ascii="Times New Roman" w:hAnsi="Times New Roman"/>
          <w:spacing w:val="-5"/>
          <w:sz w:val="22"/>
          <w:szCs w:val="22"/>
        </w:rPr>
        <w:t>When the Antibody Screen test is configured with a Direct Antiglobulin Test (DAT) for manual testing, that DAT test must be executed as a separate test when using an automated instrument for testing and displays on the DAT tab, not the TAS tab.</w:t>
      </w:r>
      <w:r w:rsidR="00770FF0">
        <w:rPr>
          <w:rFonts w:ascii="Times New Roman" w:hAnsi="Times New Roman"/>
          <w:spacing w:val="-5"/>
          <w:sz w:val="22"/>
          <w:szCs w:val="22"/>
        </w:rPr>
        <w:t xml:space="preserve"> </w:t>
      </w:r>
      <w:r w:rsidR="00770FF0" w:rsidRPr="00770FF0">
        <w:rPr>
          <w:rFonts w:ascii="Times New Roman" w:hAnsi="Times New Roman"/>
          <w:spacing w:val="-5"/>
          <w:sz w:val="22"/>
          <w:szCs w:val="22"/>
        </w:rPr>
        <w:t xml:space="preserve">Attempts to send the DAT to VBECS without a separate standalone DAT order (either a DAT ordered in CPRS or a Reflex DAT entered in VBECS) will result </w:t>
      </w:r>
      <w:r w:rsidR="00770FF0" w:rsidRPr="00770FF0">
        <w:rPr>
          <w:rFonts w:ascii="Times New Roman" w:hAnsi="Times New Roman"/>
          <w:spacing w:val="-5"/>
          <w:sz w:val="22"/>
          <w:szCs w:val="22"/>
        </w:rPr>
        <w:lastRenderedPageBreak/>
        <w:t>in a rejection of the DAT result message. Users must have a separate DAT test pending in order to send test results from the Automated Instrument.</w:t>
      </w:r>
    </w:p>
    <w:p w14:paraId="72A294B4" w14:textId="77777777" w:rsidR="00BE554D" w:rsidRDefault="00BE554D" w:rsidP="00925CAD">
      <w:pPr>
        <w:pStyle w:val="TableText"/>
        <w:numPr>
          <w:ilvl w:val="0"/>
          <w:numId w:val="42"/>
        </w:numPr>
        <w:rPr>
          <w:rFonts w:ascii="Times New Roman" w:hAnsi="Times New Roman"/>
          <w:spacing w:val="-5"/>
          <w:sz w:val="22"/>
          <w:szCs w:val="22"/>
        </w:rPr>
      </w:pPr>
      <w:r w:rsidRPr="006E44D8">
        <w:rPr>
          <w:rFonts w:ascii="Times New Roman" w:hAnsi="Times New Roman"/>
          <w:spacing w:val="-5"/>
          <w:sz w:val="22"/>
          <w:szCs w:val="22"/>
        </w:rPr>
        <w:t>When Workload is</w:t>
      </w:r>
      <w:r>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622FA517" w14:textId="77777777" w:rsidR="00ED1FEE" w:rsidRPr="00ED1FEE" w:rsidRDefault="00ED1FEE" w:rsidP="00925CAD">
      <w:pPr>
        <w:pStyle w:val="TableText"/>
        <w:numPr>
          <w:ilvl w:val="0"/>
          <w:numId w:val="42"/>
        </w:numPr>
        <w:rPr>
          <w:rFonts w:ascii="Times New Roman" w:hAnsi="Times New Roman"/>
          <w:spacing w:val="-5"/>
          <w:sz w:val="22"/>
          <w:szCs w:val="22"/>
        </w:rPr>
      </w:pPr>
      <w:r w:rsidRPr="00672710">
        <w:rPr>
          <w:rFonts w:ascii="Times New Roman" w:hAnsi="Times New Roman"/>
          <w:spacing w:val="-5"/>
          <w:sz w:val="22"/>
          <w:szCs w:val="22"/>
        </w:rPr>
        <w:t>Review comment entered for ABO/Rh test results from an automated instrument is associated with both ABO and Rh interpretation and will be displayed for both on reports.</w:t>
      </w:r>
      <w:r>
        <w:rPr>
          <w:rFonts w:ascii="Times New Roman" w:hAnsi="Times New Roman"/>
          <w:spacing w:val="-5"/>
          <w:sz w:val="22"/>
          <w:szCs w:val="22"/>
        </w:rPr>
        <w:t xml:space="preserve"> </w:t>
      </w:r>
      <w:r w:rsidRPr="00672710">
        <w:rPr>
          <w:rFonts w:ascii="Times New Roman" w:hAnsi="Times New Roman"/>
          <w:vanish/>
          <w:spacing w:val="-5"/>
          <w:sz w:val="22"/>
          <w:szCs w:val="22"/>
        </w:rPr>
        <w:t>Defect 382981</w:t>
      </w:r>
    </w:p>
    <w:p w14:paraId="58DD4C2E" w14:textId="77777777" w:rsidR="00BE554D" w:rsidRDefault="00BE554D" w:rsidP="00BE554D">
      <w:pPr>
        <w:pStyle w:val="Heading4"/>
        <w:rPr>
          <w:b w:val="0"/>
        </w:rPr>
      </w:pPr>
      <w:r>
        <w:t>User Roles with Access to This Option</w:t>
      </w:r>
      <w:r>
        <w:rPr>
          <w:b w:val="0"/>
        </w:rPr>
        <w:t xml:space="preserve"> </w:t>
      </w:r>
    </w:p>
    <w:p w14:paraId="3CC05EF9" w14:textId="77777777" w:rsidR="00BE554D" w:rsidRDefault="00BE554D" w:rsidP="00BE554D">
      <w:pPr>
        <w:pStyle w:val="Roles"/>
      </w:pPr>
      <w:r>
        <w:t>All users</w:t>
      </w:r>
    </w:p>
    <w:p w14:paraId="3B083D44" w14:textId="77777777" w:rsidR="00BE554D" w:rsidRPr="00311A54" w:rsidRDefault="00BE554D" w:rsidP="00BE554D">
      <w:pPr>
        <w:pStyle w:val="Heading4"/>
      </w:pPr>
      <w:r w:rsidRPr="00311A54">
        <w:t>Automated Testing Review</w:t>
      </w:r>
    </w:p>
    <w:p w14:paraId="46232621" w14:textId="77777777" w:rsidR="00BE554D" w:rsidRDefault="00BE554D" w:rsidP="00BE554D">
      <w:pPr>
        <w:pStyle w:val="BodyText"/>
      </w:pPr>
      <w:r>
        <w:t>This feature allows the interface of automated blood banking instruments with VBECS through Data Innovations Instrument Manager. It eliminates the potential for human error associated with the manual entry of results from an automated instrument into VBECS. It also eliminates the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E554D" w14:paraId="6656C105" w14:textId="77777777" w:rsidTr="00381224">
        <w:trPr>
          <w:cantSplit/>
          <w:tblHeader/>
        </w:trPr>
        <w:tc>
          <w:tcPr>
            <w:tcW w:w="3240" w:type="dxa"/>
            <w:shd w:val="pct30" w:color="auto" w:fill="FFFFFF"/>
            <w:vAlign w:val="bottom"/>
          </w:tcPr>
          <w:p w14:paraId="4D7AA451" w14:textId="77777777" w:rsidR="00BE554D" w:rsidRDefault="00BE554D" w:rsidP="00381224">
            <w:pPr>
              <w:pStyle w:val="TableText"/>
              <w:rPr>
                <w:b/>
              </w:rPr>
            </w:pPr>
            <w:r>
              <w:rPr>
                <w:b/>
              </w:rPr>
              <w:t>User Action</w:t>
            </w:r>
          </w:p>
        </w:tc>
        <w:tc>
          <w:tcPr>
            <w:tcW w:w="6120" w:type="dxa"/>
            <w:shd w:val="pct30" w:color="auto" w:fill="FFFFFF"/>
            <w:vAlign w:val="bottom"/>
          </w:tcPr>
          <w:p w14:paraId="74FE9994" w14:textId="77777777" w:rsidR="00BE554D" w:rsidRDefault="00BE554D" w:rsidP="00381224">
            <w:pPr>
              <w:pStyle w:val="TableText"/>
              <w:rPr>
                <w:b/>
              </w:rPr>
            </w:pPr>
            <w:r>
              <w:rPr>
                <w:b/>
              </w:rPr>
              <w:t>VBECS</w:t>
            </w:r>
          </w:p>
        </w:tc>
      </w:tr>
      <w:tr w:rsidR="00BE554D" w14:paraId="6E3DB6DD" w14:textId="77777777" w:rsidTr="00381224">
        <w:tc>
          <w:tcPr>
            <w:tcW w:w="3240" w:type="dxa"/>
          </w:tcPr>
          <w:p w14:paraId="2937B934" w14:textId="77777777" w:rsidR="001631DF" w:rsidRDefault="001631DF" w:rsidP="00925CAD">
            <w:pPr>
              <w:pStyle w:val="TableTextNumbers"/>
              <w:numPr>
                <w:ilvl w:val="0"/>
                <w:numId w:val="47"/>
              </w:numPr>
            </w:pPr>
            <w:r>
              <w:t xml:space="preserve">User logs into VBECS and selects </w:t>
            </w:r>
            <w:r>
              <w:rPr>
                <w:b/>
              </w:rPr>
              <w:t>Patients</w:t>
            </w:r>
            <w:r w:rsidRPr="001631DF">
              <w:rPr>
                <w:b/>
              </w:rPr>
              <w:t>, Automated Testing</w:t>
            </w:r>
            <w:r>
              <w:t xml:space="preserve"> from the main menu.</w:t>
            </w:r>
          </w:p>
          <w:p w14:paraId="59C8D84E" w14:textId="77777777" w:rsidR="001631DF" w:rsidRDefault="001631DF" w:rsidP="001631DF">
            <w:pPr>
              <w:pStyle w:val="TableTextNumbers"/>
              <w:numPr>
                <w:ilvl w:val="0"/>
                <w:numId w:val="0"/>
              </w:numPr>
              <w:ind w:left="288"/>
            </w:pPr>
          </w:p>
          <w:p w14:paraId="091F0F11" w14:textId="77777777" w:rsidR="001631DF" w:rsidRDefault="001631DF" w:rsidP="001631DF">
            <w:pPr>
              <w:pStyle w:val="TableTextNumbers"/>
              <w:numPr>
                <w:ilvl w:val="0"/>
                <w:numId w:val="0"/>
              </w:numPr>
              <w:ind w:left="288"/>
            </w:pPr>
            <w:r>
              <w:t>Or</w:t>
            </w:r>
          </w:p>
          <w:p w14:paraId="0791B3C7" w14:textId="77777777" w:rsidR="001631DF" w:rsidRDefault="001631DF" w:rsidP="001631DF">
            <w:pPr>
              <w:pStyle w:val="TableTextNumbers"/>
              <w:numPr>
                <w:ilvl w:val="0"/>
                <w:numId w:val="0"/>
              </w:numPr>
              <w:ind w:left="288"/>
            </w:pPr>
          </w:p>
          <w:p w14:paraId="7BAAA066" w14:textId="671A0058" w:rsidR="00BE554D" w:rsidRDefault="001631DF" w:rsidP="001631DF">
            <w:pPr>
              <w:pStyle w:val="TableTextNumbers"/>
              <w:numPr>
                <w:ilvl w:val="0"/>
                <w:numId w:val="0"/>
              </w:numPr>
              <w:ind w:left="288"/>
            </w:pPr>
            <w:r>
              <w:t xml:space="preserve">User logs into VBECS and clicks on the </w:t>
            </w:r>
            <w:r w:rsidRPr="001631DF">
              <w:rPr>
                <w:b/>
              </w:rPr>
              <w:t>Automated Testing Toolbar Icon</w:t>
            </w:r>
            <w:r>
              <w:t xml:space="preserve"> (patient face with </w:t>
            </w:r>
            <w:r w:rsidR="002E5AC8">
              <w:t>lightning</w:t>
            </w:r>
            <w:r>
              <w:t xml:space="preserve"> bolt)</w:t>
            </w:r>
          </w:p>
        </w:tc>
        <w:tc>
          <w:tcPr>
            <w:tcW w:w="6120" w:type="dxa"/>
          </w:tcPr>
          <w:p w14:paraId="5BD8515A" w14:textId="77777777" w:rsidR="001631DF" w:rsidRDefault="00D279DE" w:rsidP="001631DF">
            <w:pPr>
              <w:pStyle w:val="TableTextBullet"/>
            </w:pPr>
            <w:r>
              <w:t>Displays</w:t>
            </w:r>
            <w:r w:rsidR="001631DF">
              <w:t xml:space="preserve"> the Automated Testing – Pending Patient Orders window.</w:t>
            </w:r>
          </w:p>
          <w:p w14:paraId="14B5E3E8" w14:textId="77777777" w:rsidR="001631DF" w:rsidRDefault="001631DF" w:rsidP="001631DF">
            <w:pPr>
              <w:pStyle w:val="TableTextBullet"/>
            </w:pPr>
            <w:r>
              <w:rPr>
                <w:rFonts w:cs="Arial"/>
                <w:vanish/>
              </w:rPr>
              <w:t xml:space="preserve">BR_85.02 </w:t>
            </w:r>
            <w:r w:rsidR="00D279DE">
              <w:t xml:space="preserve">Allows a user </w:t>
            </w:r>
            <w:r>
              <w:t>to select a patient.</w:t>
            </w:r>
          </w:p>
          <w:p w14:paraId="20F4F893" w14:textId="77777777" w:rsidR="001631DF" w:rsidRDefault="001631DF" w:rsidP="001631DF">
            <w:pPr>
              <w:pStyle w:val="TableTextBullet"/>
            </w:pPr>
            <w:r>
              <w:t xml:space="preserve">Displays message when no pending </w:t>
            </w:r>
            <w:r w:rsidR="004A39DB">
              <w:t>patient specimens</w:t>
            </w:r>
            <w:r>
              <w:t xml:space="preserve"> were found to review.</w:t>
            </w:r>
          </w:p>
          <w:p w14:paraId="70F0E934" w14:textId="77777777" w:rsidR="00BE554D" w:rsidRDefault="00BE554D" w:rsidP="00381224">
            <w:pPr>
              <w:pStyle w:val="TableTextBullet"/>
              <w:numPr>
                <w:ilvl w:val="0"/>
                <w:numId w:val="0"/>
              </w:numPr>
              <w:ind w:left="288" w:hanging="288"/>
            </w:pPr>
          </w:p>
          <w:p w14:paraId="652F6CDE" w14:textId="7FF86AC4" w:rsidR="00BE554D" w:rsidRDefault="00BE554D" w:rsidP="00381224">
            <w:pPr>
              <w:pStyle w:val="TableText"/>
              <w:rPr>
                <w:b/>
                <w:bCs/>
                <w:szCs w:val="18"/>
              </w:rPr>
            </w:pPr>
            <w:r>
              <w:rPr>
                <w:b/>
                <w:bCs/>
                <w:szCs w:val="18"/>
              </w:rPr>
              <w:t>NOTES</w:t>
            </w:r>
          </w:p>
          <w:p w14:paraId="67707FF3" w14:textId="77777777" w:rsidR="00BE554D" w:rsidRDefault="00BE554D" w:rsidP="00381224">
            <w:pPr>
              <w:pStyle w:val="NotesText"/>
            </w:pPr>
          </w:p>
          <w:p w14:paraId="61E97E6B" w14:textId="77777777" w:rsidR="001631DF" w:rsidRDefault="001631DF" w:rsidP="001631DF">
            <w:pPr>
              <w:pStyle w:val="TableText"/>
              <w:ind w:left="720"/>
            </w:pPr>
            <w:r w:rsidRPr="00425938">
              <w:rPr>
                <w:vanish/>
              </w:rPr>
              <w:t xml:space="preserve">BR_2.43 </w:t>
            </w:r>
            <w:r>
              <w:t>The functionality is not accessible if division is defined as a Transfusion Only facility.</w:t>
            </w:r>
          </w:p>
          <w:p w14:paraId="55A3B359" w14:textId="77777777" w:rsidR="001631DF" w:rsidRDefault="001631DF" w:rsidP="001631DF">
            <w:pPr>
              <w:pStyle w:val="NotesText"/>
            </w:pPr>
          </w:p>
          <w:p w14:paraId="04244D6E" w14:textId="77777777" w:rsidR="001631DF" w:rsidRDefault="001631DF" w:rsidP="001631DF">
            <w:pPr>
              <w:pStyle w:val="TableText"/>
              <w:ind w:left="720"/>
            </w:pPr>
            <w:r w:rsidRPr="00F47ABD">
              <w:rPr>
                <w:vanish/>
              </w:rPr>
              <w:t xml:space="preserve">BR_115.03 </w:t>
            </w:r>
            <w:r>
              <w:t>The list displayed contains only those patients associated with pending results from an instrument message.</w:t>
            </w:r>
          </w:p>
          <w:p w14:paraId="7FBB1E3E" w14:textId="77777777" w:rsidR="001631DF" w:rsidRDefault="001631DF" w:rsidP="001631DF">
            <w:pPr>
              <w:pStyle w:val="TableText"/>
              <w:ind w:left="720"/>
            </w:pPr>
          </w:p>
          <w:p w14:paraId="488433F3" w14:textId="77777777" w:rsidR="001631DF" w:rsidRDefault="001631DF" w:rsidP="001631DF">
            <w:pPr>
              <w:pStyle w:val="TableText"/>
              <w:ind w:left="720"/>
            </w:pPr>
            <w:r w:rsidRPr="00F47ABD">
              <w:rPr>
                <w:vanish/>
              </w:rPr>
              <w:t xml:space="preserve">BR_115.04 </w:t>
            </w:r>
            <w:r>
              <w:t>System displays a list of patients who have pending test results from Auto Instrument including the following information:</w:t>
            </w:r>
          </w:p>
          <w:p w14:paraId="12C9BBD6" w14:textId="77777777" w:rsidR="001631DF" w:rsidRDefault="001631DF" w:rsidP="00925CAD">
            <w:pPr>
              <w:pStyle w:val="TableText"/>
              <w:numPr>
                <w:ilvl w:val="0"/>
                <w:numId w:val="43"/>
              </w:numPr>
            </w:pPr>
            <w:r>
              <w:t>Patient name</w:t>
            </w:r>
          </w:p>
          <w:p w14:paraId="6037A9F3" w14:textId="77777777" w:rsidR="001631DF" w:rsidRDefault="001631DF" w:rsidP="00925CAD">
            <w:pPr>
              <w:pStyle w:val="TableText"/>
              <w:numPr>
                <w:ilvl w:val="0"/>
                <w:numId w:val="43"/>
              </w:numPr>
            </w:pPr>
            <w:r>
              <w:t>Patient ID</w:t>
            </w:r>
          </w:p>
          <w:p w14:paraId="527FCBBC" w14:textId="77777777" w:rsidR="001631DF" w:rsidRDefault="001631DF" w:rsidP="00925CAD">
            <w:pPr>
              <w:pStyle w:val="TableText"/>
              <w:numPr>
                <w:ilvl w:val="0"/>
                <w:numId w:val="43"/>
              </w:numPr>
            </w:pPr>
            <w:r>
              <w:t>Patient Historic ABO/Rh</w:t>
            </w:r>
          </w:p>
          <w:p w14:paraId="0BB7B9D3" w14:textId="77777777" w:rsidR="001631DF" w:rsidRDefault="001631DF" w:rsidP="00925CAD">
            <w:pPr>
              <w:pStyle w:val="TableText"/>
              <w:numPr>
                <w:ilvl w:val="0"/>
                <w:numId w:val="43"/>
              </w:numPr>
            </w:pPr>
            <w:r>
              <w:t>Specimen UIDs</w:t>
            </w:r>
          </w:p>
          <w:p w14:paraId="226094EB" w14:textId="77777777" w:rsidR="00BE554D" w:rsidRPr="000D7828" w:rsidRDefault="00D00CAC" w:rsidP="00925CAD">
            <w:pPr>
              <w:pStyle w:val="TableText"/>
              <w:numPr>
                <w:ilvl w:val="0"/>
                <w:numId w:val="43"/>
              </w:numPr>
            </w:pPr>
            <w:r>
              <w:t>List of pending auto instrument tests for patient</w:t>
            </w:r>
          </w:p>
        </w:tc>
      </w:tr>
      <w:tr w:rsidR="00BE554D" w14:paraId="25FA24B6" w14:textId="77777777" w:rsidTr="00381224">
        <w:tc>
          <w:tcPr>
            <w:tcW w:w="3240" w:type="dxa"/>
          </w:tcPr>
          <w:p w14:paraId="509D1EAA" w14:textId="77777777" w:rsidR="001631DF" w:rsidRPr="00061040" w:rsidRDefault="00BE554D" w:rsidP="00381224">
            <w:pPr>
              <w:pStyle w:val="TableTextNumbers"/>
            </w:pPr>
            <w:r w:rsidRPr="00061040">
              <w:t xml:space="preserve">User selects </w:t>
            </w:r>
            <w:r w:rsidR="00D044A1" w:rsidRPr="00061040">
              <w:t>the</w:t>
            </w:r>
            <w:r w:rsidR="001631DF" w:rsidRPr="00061040">
              <w:t xml:space="preserve"> </w:t>
            </w:r>
            <w:r w:rsidR="00D044A1" w:rsidRPr="00061040">
              <w:t>p</w:t>
            </w:r>
            <w:r w:rsidR="001631DF" w:rsidRPr="00061040">
              <w:t>atient to review from the list of pending results</w:t>
            </w:r>
            <w:r w:rsidR="00D044A1" w:rsidRPr="00061040">
              <w:t xml:space="preserve"> and clicks </w:t>
            </w:r>
            <w:r w:rsidR="00D044A1" w:rsidRPr="00061040">
              <w:rPr>
                <w:b/>
              </w:rPr>
              <w:t>OK</w:t>
            </w:r>
            <w:r w:rsidR="00D044A1" w:rsidRPr="00061040">
              <w:t>.</w:t>
            </w:r>
          </w:p>
          <w:p w14:paraId="36AE4CA1" w14:textId="77777777" w:rsidR="00BE554D" w:rsidRDefault="00BE554D" w:rsidP="001631DF">
            <w:pPr>
              <w:pStyle w:val="TableTextNumbers"/>
              <w:numPr>
                <w:ilvl w:val="0"/>
                <w:numId w:val="0"/>
              </w:numPr>
              <w:ind w:left="288"/>
            </w:pPr>
          </w:p>
        </w:tc>
        <w:tc>
          <w:tcPr>
            <w:tcW w:w="6120" w:type="dxa"/>
          </w:tcPr>
          <w:p w14:paraId="57BE9367" w14:textId="77777777" w:rsidR="00D044A1" w:rsidRDefault="00D044A1" w:rsidP="00D044A1">
            <w:pPr>
              <w:pStyle w:val="TableTextBullet"/>
            </w:pPr>
            <w:r>
              <w:rPr>
                <w:rFonts w:cs="Arial"/>
                <w:vanish/>
              </w:rPr>
              <w:t xml:space="preserve">BR_115.14 </w:t>
            </w:r>
            <w:r w:rsidR="00D279DE">
              <w:t>D</w:t>
            </w:r>
            <w:r>
              <w:t>isplays information about the patient selected.</w:t>
            </w:r>
          </w:p>
          <w:p w14:paraId="4529CB3B" w14:textId="77777777" w:rsidR="00BE554D" w:rsidRDefault="00BE554D" w:rsidP="00381224">
            <w:pPr>
              <w:pStyle w:val="TableTextBullet"/>
              <w:numPr>
                <w:ilvl w:val="0"/>
                <w:numId w:val="0"/>
              </w:numPr>
              <w:ind w:left="288" w:hanging="288"/>
            </w:pPr>
          </w:p>
          <w:p w14:paraId="6F667717" w14:textId="7824E1A1" w:rsidR="00BE554D" w:rsidRDefault="00BE554D" w:rsidP="00381224">
            <w:pPr>
              <w:pStyle w:val="TableText"/>
              <w:rPr>
                <w:b/>
                <w:bCs/>
                <w:szCs w:val="18"/>
              </w:rPr>
            </w:pPr>
            <w:r>
              <w:rPr>
                <w:b/>
                <w:bCs/>
                <w:szCs w:val="18"/>
              </w:rPr>
              <w:t>NOTES</w:t>
            </w:r>
          </w:p>
          <w:p w14:paraId="48F39355" w14:textId="77777777" w:rsidR="00BE554D" w:rsidRDefault="00BE554D" w:rsidP="00381224">
            <w:pPr>
              <w:pStyle w:val="NotesText"/>
            </w:pPr>
          </w:p>
          <w:p w14:paraId="436805F6" w14:textId="77777777" w:rsidR="00BE554D" w:rsidRDefault="00BE554D" w:rsidP="00381224">
            <w:pPr>
              <w:pStyle w:val="TableText"/>
              <w:ind w:left="720"/>
            </w:pPr>
            <w:r w:rsidRPr="00F47ABD">
              <w:rPr>
                <w:vanish/>
              </w:rPr>
              <w:t xml:space="preserve">BR_115.03 </w:t>
            </w:r>
            <w:r>
              <w:t>The list displayed contains only those patients associated with pending results from an instrument message.</w:t>
            </w:r>
          </w:p>
          <w:p w14:paraId="08B97F4B" w14:textId="77777777" w:rsidR="00D044A1" w:rsidRDefault="00D044A1" w:rsidP="00381224">
            <w:pPr>
              <w:pStyle w:val="TableText"/>
              <w:ind w:left="720"/>
            </w:pPr>
          </w:p>
          <w:p w14:paraId="4F551A51" w14:textId="77777777" w:rsidR="00BE554D" w:rsidRDefault="00BE554D" w:rsidP="00381224">
            <w:pPr>
              <w:pStyle w:val="TableText"/>
              <w:ind w:left="720"/>
            </w:pPr>
            <w:r w:rsidRPr="00F47ABD">
              <w:rPr>
                <w:vanish/>
              </w:rPr>
              <w:t xml:space="preserve">BR_115.04 </w:t>
            </w:r>
            <w:r>
              <w:t>System displays a list of patients who have pending test results from Auto Instrument including the following information:</w:t>
            </w:r>
          </w:p>
          <w:p w14:paraId="0EDF6680" w14:textId="77777777" w:rsidR="00BE554D" w:rsidRDefault="00BE554D" w:rsidP="00925CAD">
            <w:pPr>
              <w:pStyle w:val="TableText"/>
              <w:numPr>
                <w:ilvl w:val="0"/>
                <w:numId w:val="43"/>
              </w:numPr>
            </w:pPr>
            <w:r>
              <w:t>Patient name</w:t>
            </w:r>
          </w:p>
          <w:p w14:paraId="2B6C0482" w14:textId="77777777" w:rsidR="00BE554D" w:rsidRDefault="00BE554D" w:rsidP="00925CAD">
            <w:pPr>
              <w:pStyle w:val="TableText"/>
              <w:numPr>
                <w:ilvl w:val="0"/>
                <w:numId w:val="43"/>
              </w:numPr>
            </w:pPr>
            <w:r>
              <w:t>Patient ID</w:t>
            </w:r>
          </w:p>
          <w:p w14:paraId="69F5B80E" w14:textId="77777777" w:rsidR="00BE554D" w:rsidRDefault="00BE554D" w:rsidP="00925CAD">
            <w:pPr>
              <w:pStyle w:val="TableText"/>
              <w:numPr>
                <w:ilvl w:val="0"/>
                <w:numId w:val="43"/>
              </w:numPr>
            </w:pPr>
            <w:r>
              <w:t>Patient Historic ABO/Rh</w:t>
            </w:r>
          </w:p>
          <w:p w14:paraId="12A2E035" w14:textId="77777777" w:rsidR="00BE554D" w:rsidRDefault="00BE554D" w:rsidP="00925CAD">
            <w:pPr>
              <w:pStyle w:val="TableText"/>
              <w:numPr>
                <w:ilvl w:val="0"/>
                <w:numId w:val="43"/>
              </w:numPr>
            </w:pPr>
            <w:r>
              <w:t>Specimen UIDs</w:t>
            </w:r>
          </w:p>
          <w:p w14:paraId="0D80130B" w14:textId="77777777" w:rsidR="00BE554D" w:rsidRDefault="00BE554D" w:rsidP="00925CAD">
            <w:pPr>
              <w:pStyle w:val="TableText"/>
              <w:numPr>
                <w:ilvl w:val="0"/>
                <w:numId w:val="43"/>
              </w:numPr>
            </w:pPr>
            <w:r>
              <w:t>List of pending auto instrument tests for patient</w:t>
            </w:r>
          </w:p>
          <w:p w14:paraId="056752E8" w14:textId="77777777" w:rsidR="00D044A1" w:rsidRDefault="00D044A1" w:rsidP="00D044A1">
            <w:pPr>
              <w:pStyle w:val="TableText"/>
              <w:ind w:left="720"/>
              <w:rPr>
                <w:vanish/>
              </w:rPr>
            </w:pPr>
          </w:p>
          <w:p w14:paraId="67E453D0" w14:textId="77777777" w:rsidR="00D044A1" w:rsidRDefault="00D044A1" w:rsidP="00D044A1">
            <w:pPr>
              <w:pStyle w:val="TableText"/>
              <w:ind w:left="720"/>
            </w:pPr>
            <w:r w:rsidRPr="00F47ABD">
              <w:rPr>
                <w:vanish/>
              </w:rPr>
              <w:t xml:space="preserve">BR_115.14 </w:t>
            </w:r>
            <w:r>
              <w:t>When patient is selected the system displays the following information:</w:t>
            </w:r>
          </w:p>
          <w:p w14:paraId="3D7041FB" w14:textId="77777777" w:rsidR="00D044A1" w:rsidRDefault="00D044A1" w:rsidP="00925CAD">
            <w:pPr>
              <w:pStyle w:val="TableText"/>
              <w:numPr>
                <w:ilvl w:val="0"/>
                <w:numId w:val="43"/>
              </w:numPr>
            </w:pPr>
            <w:r>
              <w:lastRenderedPageBreak/>
              <w:t>Patient name</w:t>
            </w:r>
          </w:p>
          <w:p w14:paraId="16A017D9" w14:textId="77777777" w:rsidR="00D044A1" w:rsidRDefault="00D044A1" w:rsidP="00925CAD">
            <w:pPr>
              <w:pStyle w:val="TableText"/>
              <w:numPr>
                <w:ilvl w:val="0"/>
                <w:numId w:val="43"/>
              </w:numPr>
            </w:pPr>
            <w:r>
              <w:t>Patient ID</w:t>
            </w:r>
          </w:p>
          <w:p w14:paraId="16BF9542" w14:textId="77777777" w:rsidR="00D044A1" w:rsidRDefault="00D044A1" w:rsidP="00925CAD">
            <w:pPr>
              <w:pStyle w:val="TableText"/>
              <w:numPr>
                <w:ilvl w:val="0"/>
                <w:numId w:val="43"/>
              </w:numPr>
            </w:pPr>
            <w:r>
              <w:t>Patient DOB</w:t>
            </w:r>
          </w:p>
          <w:p w14:paraId="4ECDCC02" w14:textId="77777777" w:rsidR="00D044A1" w:rsidRDefault="00D044A1" w:rsidP="00925CAD">
            <w:pPr>
              <w:pStyle w:val="TableText"/>
              <w:numPr>
                <w:ilvl w:val="0"/>
                <w:numId w:val="43"/>
              </w:numPr>
            </w:pPr>
            <w:r>
              <w:t>Patient Historic ABO/Rh</w:t>
            </w:r>
          </w:p>
          <w:p w14:paraId="48184A0F" w14:textId="77777777" w:rsidR="00D044A1" w:rsidRDefault="00D044A1" w:rsidP="00925CAD">
            <w:pPr>
              <w:pStyle w:val="TableText"/>
              <w:numPr>
                <w:ilvl w:val="0"/>
                <w:numId w:val="43"/>
              </w:numPr>
            </w:pPr>
            <w:r>
              <w:t>Patient Sex</w:t>
            </w:r>
          </w:p>
          <w:p w14:paraId="66DDF96A" w14:textId="77777777" w:rsidR="00D044A1" w:rsidRDefault="00D044A1" w:rsidP="00925CAD">
            <w:pPr>
              <w:pStyle w:val="TableText"/>
              <w:numPr>
                <w:ilvl w:val="0"/>
                <w:numId w:val="43"/>
              </w:numPr>
            </w:pPr>
            <w:r>
              <w:t>Patient location</w:t>
            </w:r>
          </w:p>
          <w:p w14:paraId="6CB63AC9" w14:textId="77777777" w:rsidR="00D044A1" w:rsidRDefault="00D044A1" w:rsidP="00D044A1">
            <w:pPr>
              <w:pStyle w:val="TableText"/>
            </w:pPr>
          </w:p>
        </w:tc>
      </w:tr>
      <w:tr w:rsidR="00BE554D" w14:paraId="67E4EC09" w14:textId="77777777" w:rsidTr="00381224">
        <w:tc>
          <w:tcPr>
            <w:tcW w:w="3240" w:type="dxa"/>
          </w:tcPr>
          <w:p w14:paraId="085F1EFB" w14:textId="2D13B133" w:rsidR="0071317D" w:rsidRDefault="00BE554D" w:rsidP="00381224">
            <w:pPr>
              <w:pStyle w:val="TableTextNumbers"/>
            </w:pPr>
            <w:r w:rsidRPr="00396B2B">
              <w:lastRenderedPageBreak/>
              <w:t>User selec</w:t>
            </w:r>
            <w:r>
              <w:t xml:space="preserve">ts </w:t>
            </w:r>
            <w:r w:rsidR="0071317D">
              <w:t>from the testing tabs that are enabled on the Automated Testing – Pending Specimen Tests window</w:t>
            </w:r>
            <w:r w:rsidR="00937534">
              <w:t xml:space="preserve"> (</w:t>
            </w:r>
            <w:r w:rsidR="00EE455E">
              <w:t xml:space="preserve">Figure </w:t>
            </w:r>
            <w:r w:rsidR="00EE455E">
              <w:rPr>
                <w:noProof/>
              </w:rPr>
              <w:t>116</w:t>
            </w:r>
            <w:r w:rsidR="00937534">
              <w:t>)</w:t>
            </w:r>
            <w:r w:rsidR="0071317D">
              <w:t>.</w:t>
            </w:r>
          </w:p>
          <w:p w14:paraId="443433E3" w14:textId="77777777" w:rsidR="0071317D" w:rsidRPr="0071317D" w:rsidRDefault="0071317D" w:rsidP="0071317D">
            <w:pPr>
              <w:pStyle w:val="TableTextNumbers"/>
              <w:numPr>
                <w:ilvl w:val="0"/>
                <w:numId w:val="0"/>
              </w:numPr>
              <w:ind w:left="288"/>
            </w:pPr>
          </w:p>
          <w:p w14:paraId="21B767DB" w14:textId="77777777" w:rsidR="0071317D" w:rsidRDefault="002615AD" w:rsidP="0071317D">
            <w:pPr>
              <w:pStyle w:val="TableTextNumbers"/>
              <w:numPr>
                <w:ilvl w:val="0"/>
                <w:numId w:val="0"/>
              </w:numPr>
              <w:ind w:left="288"/>
            </w:pPr>
            <w:r w:rsidRPr="002615AD">
              <w:rPr>
                <w:b/>
              </w:rPr>
              <w:t>TAS</w:t>
            </w:r>
            <w:r>
              <w:t xml:space="preserve"> tab </w:t>
            </w:r>
          </w:p>
          <w:p w14:paraId="1417EE9D" w14:textId="77777777" w:rsidR="0071317D" w:rsidRPr="002615AD" w:rsidRDefault="0071317D" w:rsidP="0071317D">
            <w:pPr>
              <w:pStyle w:val="TableTextNumbers"/>
              <w:numPr>
                <w:ilvl w:val="0"/>
                <w:numId w:val="0"/>
              </w:numPr>
              <w:ind w:left="288"/>
              <w:rPr>
                <w:b/>
              </w:rPr>
            </w:pPr>
          </w:p>
          <w:p w14:paraId="7529BD65" w14:textId="77777777" w:rsidR="00BE554D" w:rsidRDefault="002615AD" w:rsidP="0071317D">
            <w:pPr>
              <w:pStyle w:val="TableTextNumbers"/>
              <w:numPr>
                <w:ilvl w:val="0"/>
                <w:numId w:val="0"/>
              </w:numPr>
              <w:ind w:left="288"/>
            </w:pPr>
            <w:r w:rsidRPr="002615AD">
              <w:rPr>
                <w:b/>
              </w:rPr>
              <w:t>ABO/Rh</w:t>
            </w:r>
            <w:r>
              <w:t xml:space="preserve"> tab</w:t>
            </w:r>
          </w:p>
          <w:p w14:paraId="5D53CD04" w14:textId="77777777" w:rsidR="002615AD" w:rsidRDefault="002615AD" w:rsidP="0071317D">
            <w:pPr>
              <w:pStyle w:val="TableTextNumbers"/>
              <w:numPr>
                <w:ilvl w:val="0"/>
                <w:numId w:val="0"/>
              </w:numPr>
              <w:ind w:left="288"/>
            </w:pPr>
          </w:p>
          <w:p w14:paraId="72ED0012" w14:textId="77777777" w:rsidR="002615AD" w:rsidRPr="002615AD" w:rsidRDefault="002615AD" w:rsidP="0071317D">
            <w:pPr>
              <w:pStyle w:val="TableTextNumbers"/>
              <w:numPr>
                <w:ilvl w:val="0"/>
                <w:numId w:val="0"/>
              </w:numPr>
              <w:ind w:left="288"/>
            </w:pPr>
            <w:r>
              <w:rPr>
                <w:b/>
              </w:rPr>
              <w:t>ABS</w:t>
            </w:r>
            <w:r>
              <w:t xml:space="preserve"> tab.</w:t>
            </w:r>
          </w:p>
          <w:p w14:paraId="0928A8C8" w14:textId="77777777" w:rsidR="002615AD" w:rsidRDefault="002615AD" w:rsidP="0071317D">
            <w:pPr>
              <w:pStyle w:val="TableTextNumbers"/>
              <w:numPr>
                <w:ilvl w:val="0"/>
                <w:numId w:val="0"/>
              </w:numPr>
              <w:ind w:left="288"/>
              <w:rPr>
                <w:b/>
              </w:rPr>
            </w:pPr>
          </w:p>
          <w:p w14:paraId="77DFA60B" w14:textId="77777777" w:rsidR="002615AD" w:rsidRDefault="002615AD" w:rsidP="0071317D">
            <w:pPr>
              <w:pStyle w:val="TableTextNumbers"/>
              <w:numPr>
                <w:ilvl w:val="0"/>
                <w:numId w:val="0"/>
              </w:numPr>
              <w:ind w:left="288"/>
            </w:pPr>
            <w:r>
              <w:rPr>
                <w:b/>
              </w:rPr>
              <w:t xml:space="preserve">DAT </w:t>
            </w:r>
            <w:r>
              <w:t>tab.</w:t>
            </w:r>
          </w:p>
          <w:p w14:paraId="59F1E656" w14:textId="77777777" w:rsidR="0071317D" w:rsidRDefault="0071317D" w:rsidP="0071317D">
            <w:pPr>
              <w:pStyle w:val="TableTextNumbers"/>
              <w:numPr>
                <w:ilvl w:val="0"/>
                <w:numId w:val="0"/>
              </w:numPr>
              <w:ind w:left="288"/>
              <w:rPr>
                <w:b/>
              </w:rPr>
            </w:pPr>
          </w:p>
          <w:p w14:paraId="301E5247" w14:textId="77777777" w:rsidR="0071317D" w:rsidRPr="0071317D" w:rsidRDefault="0071317D" w:rsidP="0071317D">
            <w:pPr>
              <w:pStyle w:val="TableTextNumbers"/>
              <w:numPr>
                <w:ilvl w:val="0"/>
                <w:numId w:val="0"/>
              </w:numPr>
              <w:ind w:left="288"/>
            </w:pPr>
            <w:r>
              <w:rPr>
                <w:b/>
              </w:rPr>
              <w:t>An</w:t>
            </w:r>
            <w:r w:rsidR="00D3261A">
              <w:rPr>
                <w:b/>
              </w:rPr>
              <w:t>t</w:t>
            </w:r>
            <w:r>
              <w:rPr>
                <w:b/>
              </w:rPr>
              <w:t xml:space="preserve">igen Typing </w:t>
            </w:r>
            <w:r>
              <w:t>tab</w:t>
            </w:r>
          </w:p>
          <w:p w14:paraId="164729E3" w14:textId="77777777" w:rsidR="002615AD" w:rsidRDefault="002615AD" w:rsidP="0071317D">
            <w:pPr>
              <w:pStyle w:val="TableTextNumbers"/>
              <w:numPr>
                <w:ilvl w:val="0"/>
                <w:numId w:val="0"/>
              </w:numPr>
              <w:ind w:left="288"/>
              <w:rPr>
                <w:b/>
              </w:rPr>
            </w:pPr>
          </w:p>
          <w:p w14:paraId="7AB5D143" w14:textId="340C32B2" w:rsidR="00BE554D" w:rsidRDefault="00E82F44" w:rsidP="00FB2A8A">
            <w:pPr>
              <w:pStyle w:val="TableTextNumbers"/>
              <w:numPr>
                <w:ilvl w:val="0"/>
                <w:numId w:val="0"/>
              </w:numPr>
              <w:ind w:left="288"/>
            </w:pPr>
            <w:r>
              <w:t>See S</w:t>
            </w:r>
            <w:r w:rsidR="002615AD">
              <w:t xml:space="preserve">tep </w:t>
            </w:r>
            <w:r w:rsidR="00B16194">
              <w:t>7</w:t>
            </w:r>
            <w:r w:rsidR="002615AD">
              <w:t xml:space="preserve"> for process when the User selects </w:t>
            </w:r>
            <w:r w:rsidR="002615AD">
              <w:rPr>
                <w:b/>
              </w:rPr>
              <w:t>XMatch</w:t>
            </w:r>
            <w:r w:rsidR="002615AD">
              <w:t xml:space="preserve"> tab.</w:t>
            </w:r>
          </w:p>
        </w:tc>
        <w:tc>
          <w:tcPr>
            <w:tcW w:w="6120" w:type="dxa"/>
          </w:tcPr>
          <w:p w14:paraId="2C29FA77" w14:textId="77777777" w:rsidR="0071317D" w:rsidRDefault="00D279DE" w:rsidP="00381224">
            <w:pPr>
              <w:pStyle w:val="TableTextBullet"/>
            </w:pPr>
            <w:r>
              <w:t>D</w:t>
            </w:r>
            <w:r w:rsidR="0071317D">
              <w:t>isplays the first tab from the left side of the screen that has test results to review.</w:t>
            </w:r>
          </w:p>
          <w:p w14:paraId="617A7C46" w14:textId="77777777" w:rsidR="0020636F" w:rsidRDefault="00D279DE" w:rsidP="00381224">
            <w:pPr>
              <w:pStyle w:val="TableTextBullet"/>
            </w:pPr>
            <w:r>
              <w:t>D</w:t>
            </w:r>
            <w:r w:rsidR="0020636F">
              <w:t>etermines that all appropriate test results were entered for the patient.</w:t>
            </w:r>
          </w:p>
          <w:p w14:paraId="32FE697D" w14:textId="77777777" w:rsidR="00BE554D" w:rsidRDefault="00D279DE" w:rsidP="00381224">
            <w:pPr>
              <w:pStyle w:val="TableTextBullet"/>
            </w:pPr>
            <w:r>
              <w:t>V</w:t>
            </w:r>
            <w:r w:rsidR="0020636F">
              <w:t>alidates test results and displays Warning or Error indicator when results do not match expected pattern.</w:t>
            </w:r>
          </w:p>
          <w:p w14:paraId="6521B501" w14:textId="77777777" w:rsidR="0020636F" w:rsidRDefault="0020636F" w:rsidP="00381224">
            <w:pPr>
              <w:pStyle w:val="TableTextBullet"/>
            </w:pPr>
            <w:r>
              <w:t>Displays comments from the Automated Instrument.</w:t>
            </w:r>
          </w:p>
          <w:p w14:paraId="5929C3F9" w14:textId="77777777" w:rsidR="00BE554D" w:rsidRDefault="00BE554D" w:rsidP="00381224">
            <w:pPr>
              <w:pStyle w:val="TableText"/>
            </w:pPr>
          </w:p>
          <w:p w14:paraId="325014C7" w14:textId="39F0C437" w:rsidR="00BE554D" w:rsidRDefault="00BE554D" w:rsidP="00381224">
            <w:pPr>
              <w:pStyle w:val="TableText"/>
              <w:rPr>
                <w:b/>
                <w:bCs/>
                <w:szCs w:val="18"/>
              </w:rPr>
            </w:pPr>
            <w:r>
              <w:rPr>
                <w:b/>
                <w:bCs/>
                <w:szCs w:val="18"/>
              </w:rPr>
              <w:t>NOTES</w:t>
            </w:r>
          </w:p>
          <w:p w14:paraId="4539F0A8" w14:textId="77777777" w:rsidR="00BE554D" w:rsidRDefault="00BE554D" w:rsidP="00381224">
            <w:pPr>
              <w:pStyle w:val="NotesText"/>
            </w:pPr>
          </w:p>
          <w:p w14:paraId="69870732" w14:textId="73BDE881" w:rsidR="007F00C5" w:rsidRDefault="007F00C5" w:rsidP="007F00C5">
            <w:pPr>
              <w:pStyle w:val="TableText"/>
              <w:ind w:left="720"/>
              <w:rPr>
                <w:vanish/>
              </w:rPr>
            </w:pPr>
            <w:r w:rsidRPr="0020636F">
              <w:rPr>
                <w:vanish/>
              </w:rPr>
              <w:t xml:space="preserve">BR_16.01 </w:t>
            </w:r>
            <w:r>
              <w:t xml:space="preserve">The system provides a visual and audible indication to the user when there are patient Special Instructions or Transfusion Requirements to be viewed. </w:t>
            </w:r>
          </w:p>
          <w:p w14:paraId="7C2BF821" w14:textId="77777777" w:rsidR="007F00C5" w:rsidRDefault="007F00C5" w:rsidP="007F00C5">
            <w:pPr>
              <w:pStyle w:val="TableText"/>
              <w:ind w:left="720"/>
              <w:rPr>
                <w:vanish/>
              </w:rPr>
            </w:pPr>
          </w:p>
          <w:p w14:paraId="0F05ADB0" w14:textId="77777777" w:rsidR="00BE554D" w:rsidRPr="00004A4C" w:rsidRDefault="007F00C5" w:rsidP="007F00C5">
            <w:pPr>
              <w:pStyle w:val="TableText"/>
              <w:ind w:left="720"/>
              <w:rPr>
                <w:noProof/>
                <w:color w:val="000000"/>
              </w:rPr>
            </w:pPr>
            <w:r w:rsidRPr="00F47ABD">
              <w:rPr>
                <w:vanish/>
              </w:rPr>
              <w:t xml:space="preserve">BR_115.15 </w:t>
            </w:r>
            <w:r>
              <w:t xml:space="preserve">When the user has unsaved changes and attempts to close the Automated Testing window, the application will warn the user that the changes will not be saved. Clicking </w:t>
            </w:r>
            <w:r>
              <w:rPr>
                <w:b/>
              </w:rPr>
              <w:t>Yes</w:t>
            </w:r>
            <w:r>
              <w:t xml:space="preserve"> closes the form; clicking </w:t>
            </w:r>
            <w:r>
              <w:rPr>
                <w:b/>
              </w:rPr>
              <w:t>No</w:t>
            </w:r>
            <w:r>
              <w:t xml:space="preserve"> returns the user to the Automated Testing – Pending Specimen Tests window.</w:t>
            </w:r>
          </w:p>
        </w:tc>
      </w:tr>
      <w:tr w:rsidR="0020636F" w14:paraId="00BB0174" w14:textId="77777777" w:rsidTr="00381224">
        <w:tc>
          <w:tcPr>
            <w:tcW w:w="3240" w:type="dxa"/>
          </w:tcPr>
          <w:p w14:paraId="544010D3" w14:textId="77777777" w:rsidR="0020636F" w:rsidRDefault="005F3685" w:rsidP="005F3685">
            <w:pPr>
              <w:pStyle w:val="TableTextNumbers"/>
            </w:pPr>
            <w:r>
              <w:t>User clicks on the checkbox next to the result to be accepted or rejected.</w:t>
            </w:r>
          </w:p>
          <w:p w14:paraId="38D25CA6" w14:textId="77777777" w:rsidR="005F3685" w:rsidRDefault="005F3685" w:rsidP="005F3685">
            <w:pPr>
              <w:pStyle w:val="TableTextNumbers"/>
              <w:numPr>
                <w:ilvl w:val="0"/>
                <w:numId w:val="0"/>
              </w:numPr>
              <w:ind w:left="288"/>
            </w:pPr>
          </w:p>
          <w:p w14:paraId="793918A7" w14:textId="77777777" w:rsidR="008E6859" w:rsidRDefault="005F3685" w:rsidP="00E01AD8">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1E73C265" w14:textId="77777777" w:rsidR="0020636F" w:rsidRDefault="00D279DE" w:rsidP="00381224">
            <w:pPr>
              <w:pStyle w:val="TableTextBullet"/>
            </w:pPr>
            <w:r>
              <w:t>P</w:t>
            </w:r>
            <w:r w:rsidR="005F3685">
              <w:t>resents appropriate warning messages to the user.</w:t>
            </w:r>
          </w:p>
          <w:p w14:paraId="59F55CC1" w14:textId="77777777" w:rsidR="008D134F" w:rsidRDefault="00EB70AF" w:rsidP="00381224">
            <w:pPr>
              <w:pStyle w:val="TableTextBullet"/>
            </w:pPr>
            <w:r w:rsidRPr="00EB70AF">
              <w:rPr>
                <w:vanish/>
              </w:rPr>
              <w:t xml:space="preserve">BR_115.13 </w:t>
            </w:r>
            <w:r w:rsidR="00D279DE">
              <w:t>A</w:t>
            </w:r>
            <w:r w:rsidR="008D134F">
              <w:t>llows</w:t>
            </w:r>
            <w:r w:rsidR="00D279DE">
              <w:t xml:space="preserve"> user </w:t>
            </w:r>
            <w:r w:rsidR="008D134F">
              <w:t>selection of multiple tests with a Valid indicator.</w:t>
            </w:r>
          </w:p>
          <w:p w14:paraId="34F43D91" w14:textId="77777777" w:rsidR="008D134F" w:rsidRDefault="00EB70AF" w:rsidP="00381224">
            <w:pPr>
              <w:pStyle w:val="TableTextBullet"/>
            </w:pPr>
            <w:r w:rsidRPr="00EB70AF">
              <w:rPr>
                <w:vanish/>
              </w:rPr>
              <w:t xml:space="preserve">BR_115.25 </w:t>
            </w:r>
            <w:r w:rsidR="00D279DE">
              <w:t>R</w:t>
            </w:r>
            <w:r w:rsidR="008D134F">
              <w:t xml:space="preserve">estricts the processing of tests with a Warning or Error indicator to </w:t>
            </w:r>
            <w:r>
              <w:t>one at a time.</w:t>
            </w:r>
          </w:p>
          <w:p w14:paraId="18EABB45" w14:textId="77777777" w:rsidR="005F3685" w:rsidRDefault="005F3685" w:rsidP="005F3685">
            <w:pPr>
              <w:pStyle w:val="TableText"/>
            </w:pPr>
          </w:p>
          <w:p w14:paraId="001F0682" w14:textId="64A44D04" w:rsidR="005F3685" w:rsidRDefault="005F3685" w:rsidP="005F3685">
            <w:pPr>
              <w:pStyle w:val="TableText"/>
              <w:rPr>
                <w:b/>
                <w:bCs/>
                <w:szCs w:val="18"/>
              </w:rPr>
            </w:pPr>
            <w:r>
              <w:rPr>
                <w:b/>
                <w:bCs/>
                <w:szCs w:val="18"/>
              </w:rPr>
              <w:t>NOTES</w:t>
            </w:r>
          </w:p>
          <w:p w14:paraId="414964CB" w14:textId="77777777" w:rsidR="005F3685" w:rsidRDefault="005F3685" w:rsidP="005F3685">
            <w:pPr>
              <w:pStyle w:val="NotesText"/>
            </w:pPr>
          </w:p>
          <w:p w14:paraId="37ACA919" w14:textId="77777777" w:rsidR="005F3685" w:rsidRDefault="005F3685" w:rsidP="005F3685">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p w14:paraId="75DFF4C7" w14:textId="77777777" w:rsidR="00C82313" w:rsidRDefault="00C82313" w:rsidP="005F3685">
            <w:pPr>
              <w:pStyle w:val="NotesText"/>
            </w:pPr>
          </w:p>
          <w:p w14:paraId="2BBE682F" w14:textId="77777777" w:rsidR="00501170" w:rsidRDefault="00C82313" w:rsidP="005F3685">
            <w:pPr>
              <w:pStyle w:val="NotesText"/>
              <w:rPr>
                <w:rFonts w:cs="Arial"/>
                <w:szCs w:val="18"/>
              </w:rPr>
            </w:pPr>
            <w:r w:rsidRPr="00C82313">
              <w:rPr>
                <w:rFonts w:cs="Arial"/>
                <w:vanish/>
                <w:szCs w:val="18"/>
              </w:rPr>
              <w:t xml:space="preserve">BR_115.18 </w:t>
            </w:r>
            <w:r w:rsidRPr="00E206E0">
              <w:rPr>
                <w:rFonts w:cs="Arial"/>
                <w:szCs w:val="18"/>
              </w:rPr>
              <w:t xml:space="preserve">When row validation for a patient ABO or Rh test results matches the </w:t>
            </w:r>
            <w:r>
              <w:rPr>
                <w:rFonts w:cs="Arial"/>
                <w:szCs w:val="18"/>
              </w:rPr>
              <w:t>instrument</w:t>
            </w:r>
            <w:r w:rsidRPr="00E206E0">
              <w:rPr>
                <w:rFonts w:cs="Arial"/>
                <w:szCs w:val="18"/>
              </w:rPr>
              <w:t xml:space="preserve"> interpretation and does not match the previous ABO</w:t>
            </w:r>
            <w:r w:rsidR="0001680D">
              <w:rPr>
                <w:rFonts w:cs="Arial"/>
                <w:szCs w:val="18"/>
              </w:rPr>
              <w:t xml:space="preserve"> or Rh interpretation on record, the system emits</w:t>
            </w:r>
          </w:p>
          <w:p w14:paraId="42AFB083" w14:textId="77777777" w:rsidR="00C82313" w:rsidRDefault="00C82313" w:rsidP="005F3685">
            <w:pPr>
              <w:pStyle w:val="NotesText"/>
              <w:rPr>
                <w:rFonts w:cs="Arial"/>
                <w:szCs w:val="18"/>
              </w:rPr>
            </w:pPr>
            <w:r w:rsidRPr="00E206E0">
              <w:rPr>
                <w:rFonts w:cs="Arial"/>
                <w:szCs w:val="18"/>
              </w:rPr>
              <w:t>an audible alert and displays a warning message that the current ABO/Rh does not match previous interpretations. The user is required to enter a comment (free text or canned from the “patient testing” context) to continue. The comment and the details of the transaction are captured for inclusion in an exception report</w:t>
            </w:r>
            <w:r>
              <w:rPr>
                <w:rFonts w:cs="Arial"/>
                <w:szCs w:val="18"/>
              </w:rPr>
              <w:t>.</w:t>
            </w:r>
          </w:p>
          <w:p w14:paraId="69135878" w14:textId="77777777" w:rsidR="00D14444" w:rsidRDefault="00D14444" w:rsidP="005F3685">
            <w:pPr>
              <w:pStyle w:val="NotesText"/>
              <w:rPr>
                <w:rFonts w:cs="Arial"/>
                <w:szCs w:val="18"/>
              </w:rPr>
            </w:pPr>
          </w:p>
          <w:p w14:paraId="2635ED5B" w14:textId="709CB1FF" w:rsidR="00D14444" w:rsidRDefault="00D14444" w:rsidP="005F3685">
            <w:pPr>
              <w:pStyle w:val="NotesText"/>
            </w:pPr>
            <w:r w:rsidRPr="00D14444">
              <w:rPr>
                <w:vanish/>
              </w:rPr>
              <w:t xml:space="preserve">BR_115.27 </w:t>
            </w:r>
            <w:r>
              <w:t>The</w:t>
            </w:r>
            <w:r w:rsidRPr="000E14BF">
              <w:t xml:space="preserve"> system check</w:t>
            </w:r>
            <w:r>
              <w:t>s</w:t>
            </w:r>
            <w:r w:rsidRPr="000E14BF">
              <w:t xml:space="preserve"> if a repeat ABO/Rh was performed on the patient specimen. When performed, the repeat ABO/Rh interpretation must match the original ABO/Rh interpretation. If they do not match, the system will provide an audible warning and display a warning message: “Original a</w:t>
            </w:r>
            <w:r>
              <w:t xml:space="preserve">nd repeat ABO/Rh interpretation </w:t>
            </w:r>
            <w:r w:rsidRPr="000E14BF">
              <w:t>do</w:t>
            </w:r>
            <w:r>
              <w:t>es</w:t>
            </w:r>
            <w:r w:rsidRPr="000E14BF">
              <w:t xml:space="preserve"> not match. You must resolve the discrepancy </w:t>
            </w:r>
            <w:r w:rsidRPr="000E14BF">
              <w:lastRenderedPageBreak/>
              <w:t>before this specimen may be used.” Continue to save?” A “No” response clears the ABO/Rh testing results and interpretation from the screen. A “Yes” response requires a comment (free text or canned from the “patient testing” context) and the details of the transaction are captured for inclusion in an exception report</w:t>
            </w:r>
            <w:r>
              <w:t>.</w:t>
            </w:r>
          </w:p>
          <w:p w14:paraId="46657740" w14:textId="3D9CB694" w:rsidR="00065638" w:rsidRDefault="00065638" w:rsidP="005F3685">
            <w:pPr>
              <w:pStyle w:val="NotesText"/>
            </w:pPr>
          </w:p>
          <w:p w14:paraId="40152DEC" w14:textId="45EB73DB" w:rsidR="00065638" w:rsidRDefault="00065638" w:rsidP="005F3685">
            <w:pPr>
              <w:pStyle w:val="NotesText"/>
            </w:pPr>
            <w:r w:rsidRPr="00065638">
              <w:rPr>
                <w:vanish/>
              </w:rPr>
              <w:t xml:space="preserve">BR_53.08 </w:t>
            </w:r>
            <w:r>
              <w:t>If the antibody screen is positive, the system emits an audible alert and warning that displays that the Patient has a POSITIVE Antibody Screen Result. Perform Antibody Identification on this patient prior to issue of blood components.</w:t>
            </w:r>
          </w:p>
          <w:p w14:paraId="7DDF75E6" w14:textId="77777777" w:rsidR="005F3685" w:rsidRDefault="005F3685" w:rsidP="005F3685">
            <w:pPr>
              <w:pStyle w:val="TableTextBullet"/>
              <w:numPr>
                <w:ilvl w:val="0"/>
                <w:numId w:val="0"/>
              </w:numPr>
              <w:ind w:left="288" w:hanging="288"/>
            </w:pPr>
          </w:p>
        </w:tc>
      </w:tr>
      <w:tr w:rsidR="00BE554D" w14:paraId="445F3DBA" w14:textId="77777777" w:rsidTr="00381224">
        <w:tc>
          <w:tcPr>
            <w:tcW w:w="3240" w:type="dxa"/>
          </w:tcPr>
          <w:p w14:paraId="21336D39" w14:textId="77777777" w:rsidR="00A80240" w:rsidRDefault="00BE554D" w:rsidP="00A80240">
            <w:pPr>
              <w:pStyle w:val="TableTextNumbers"/>
            </w:pPr>
            <w:r>
              <w:lastRenderedPageBreak/>
              <w:t xml:space="preserve">User </w:t>
            </w:r>
            <w:r w:rsidR="00B571AC" w:rsidRPr="00B571AC">
              <w:rPr>
                <w:b/>
              </w:rPr>
              <w:t>Accepts</w:t>
            </w:r>
            <w:r w:rsidR="00B571AC">
              <w:t xml:space="preserve"> or </w:t>
            </w:r>
            <w:r w:rsidR="00B571AC" w:rsidRPr="00B571AC">
              <w:rPr>
                <w:b/>
              </w:rPr>
              <w:t>Rejects</w:t>
            </w:r>
            <w:r w:rsidR="00B571AC">
              <w:t xml:space="preserve"> the selected patient test results.</w:t>
            </w:r>
          </w:p>
        </w:tc>
        <w:tc>
          <w:tcPr>
            <w:tcW w:w="6120" w:type="dxa"/>
          </w:tcPr>
          <w:p w14:paraId="4CF1F262" w14:textId="77777777" w:rsidR="00D279DE" w:rsidRDefault="00D279DE" w:rsidP="00381224">
            <w:pPr>
              <w:pStyle w:val="TableTextBullet"/>
            </w:pPr>
            <w:r>
              <w:t>Verifies the results for save.</w:t>
            </w:r>
          </w:p>
          <w:p w14:paraId="78EC744D" w14:textId="77777777" w:rsidR="00BE554D" w:rsidRDefault="00CA1AFE" w:rsidP="00381224">
            <w:pPr>
              <w:pStyle w:val="TableTextBullet"/>
            </w:pPr>
            <w:r>
              <w:t>Gathers comments from user for rejected results prior to saving.</w:t>
            </w:r>
          </w:p>
          <w:p w14:paraId="22369646" w14:textId="77777777" w:rsidR="00BE554D" w:rsidRDefault="00BE554D" w:rsidP="00381224">
            <w:pPr>
              <w:pStyle w:val="TableTextBullet"/>
              <w:numPr>
                <w:ilvl w:val="0"/>
                <w:numId w:val="0"/>
              </w:numPr>
              <w:ind w:left="288" w:hanging="288"/>
            </w:pPr>
          </w:p>
          <w:p w14:paraId="232FCF47" w14:textId="0E2B86E5" w:rsidR="00BE554D" w:rsidRDefault="00BE554D" w:rsidP="00381224">
            <w:pPr>
              <w:pStyle w:val="TableText"/>
              <w:rPr>
                <w:b/>
                <w:bCs/>
                <w:szCs w:val="18"/>
              </w:rPr>
            </w:pPr>
            <w:r>
              <w:rPr>
                <w:b/>
                <w:bCs/>
                <w:szCs w:val="18"/>
              </w:rPr>
              <w:t>NOTES</w:t>
            </w:r>
          </w:p>
          <w:p w14:paraId="7C2F9415" w14:textId="77777777" w:rsidR="00BE554D" w:rsidRDefault="00BE554D" w:rsidP="00381224">
            <w:pPr>
              <w:pStyle w:val="NotesText"/>
            </w:pPr>
          </w:p>
          <w:p w14:paraId="4850D9CC" w14:textId="77777777" w:rsidR="00B571AC" w:rsidRPr="00136C64" w:rsidRDefault="00B571AC" w:rsidP="00B571AC">
            <w:pPr>
              <w:pStyle w:val="NotesText"/>
              <w:rPr>
                <w:rFonts w:cs="Arial"/>
              </w:rPr>
            </w:pPr>
            <w:r w:rsidRPr="00F47ABD">
              <w:rPr>
                <w:rFonts w:cs="Arial"/>
                <w:vanish/>
              </w:rPr>
              <w:t xml:space="preserve">BR_115.07 </w:t>
            </w:r>
            <w:r>
              <w:rPr>
                <w:rFonts w:cs="Arial"/>
              </w:rPr>
              <w:t>When</w:t>
            </w:r>
            <w:r w:rsidRPr="00136C64">
              <w:rPr>
                <w:rFonts w:cs="Arial"/>
              </w:rPr>
              <w:t xml:space="preserve"> the test is accepted, the system will save the following:</w:t>
            </w:r>
          </w:p>
          <w:p w14:paraId="60C03DCD" w14:textId="77777777" w:rsidR="00B571AC" w:rsidRPr="00A51E88" w:rsidRDefault="00B571AC" w:rsidP="00925CAD">
            <w:pPr>
              <w:pStyle w:val="TableText"/>
              <w:numPr>
                <w:ilvl w:val="0"/>
                <w:numId w:val="43"/>
              </w:numPr>
            </w:pPr>
            <w:r>
              <w:t>R</w:t>
            </w:r>
            <w:r w:rsidRPr="00A51E88">
              <w:t>eviewing Tech ID (Name)</w:t>
            </w:r>
          </w:p>
          <w:p w14:paraId="4A0FC161" w14:textId="77777777" w:rsidR="00B571AC" w:rsidRPr="00A51E88" w:rsidRDefault="00B571AC" w:rsidP="00925CAD">
            <w:pPr>
              <w:pStyle w:val="TableText"/>
              <w:numPr>
                <w:ilvl w:val="0"/>
                <w:numId w:val="43"/>
              </w:numPr>
            </w:pPr>
            <w:r w:rsidRPr="00A51E88">
              <w:t>Testing Tech ID (Name)</w:t>
            </w:r>
          </w:p>
          <w:p w14:paraId="597A9342" w14:textId="77777777" w:rsidR="00B571AC" w:rsidRPr="00A51E88" w:rsidRDefault="00B571AC" w:rsidP="00925CAD">
            <w:pPr>
              <w:pStyle w:val="TableText"/>
              <w:numPr>
                <w:ilvl w:val="0"/>
                <w:numId w:val="43"/>
              </w:numPr>
            </w:pPr>
            <w:r w:rsidRPr="00A51E88">
              <w:t xml:space="preserve">Interfaced instrument id (Name) as transmitted from instrument, </w:t>
            </w:r>
          </w:p>
          <w:p w14:paraId="4E702FD4" w14:textId="77777777" w:rsidR="00B571AC" w:rsidRDefault="00B571AC" w:rsidP="00925CAD">
            <w:pPr>
              <w:pStyle w:val="TableText"/>
              <w:numPr>
                <w:ilvl w:val="0"/>
                <w:numId w:val="43"/>
              </w:numPr>
            </w:pPr>
            <w:r>
              <w:t>D</w:t>
            </w:r>
            <w:r w:rsidRPr="00A51E88">
              <w:t>ate and time te</w:t>
            </w:r>
            <w:r>
              <w:t>sted</w:t>
            </w:r>
          </w:p>
          <w:p w14:paraId="40E7C496" w14:textId="77777777" w:rsidR="00B571AC" w:rsidRDefault="00B571AC" w:rsidP="00925CAD">
            <w:pPr>
              <w:pStyle w:val="TableText"/>
              <w:numPr>
                <w:ilvl w:val="0"/>
                <w:numId w:val="43"/>
              </w:numPr>
            </w:pPr>
            <w:r>
              <w:t xml:space="preserve">Date and time reviewed </w:t>
            </w:r>
          </w:p>
          <w:p w14:paraId="166D8FE7" w14:textId="77777777" w:rsidR="00B571AC" w:rsidRPr="00F0612B" w:rsidRDefault="00B571AC" w:rsidP="00925CAD">
            <w:pPr>
              <w:pStyle w:val="TableText"/>
              <w:numPr>
                <w:ilvl w:val="0"/>
                <w:numId w:val="43"/>
              </w:numPr>
            </w:pPr>
            <w:r>
              <w:t>Test information: test results, test interpretations, and test comments.</w:t>
            </w:r>
          </w:p>
          <w:p w14:paraId="0436497E" w14:textId="77777777" w:rsidR="00B571AC" w:rsidRDefault="00B571AC" w:rsidP="00381224">
            <w:pPr>
              <w:pStyle w:val="NotesText"/>
              <w:rPr>
                <w:rFonts w:cs="Arial"/>
                <w:vanish/>
              </w:rPr>
            </w:pPr>
          </w:p>
          <w:p w14:paraId="31AE1F92" w14:textId="77777777" w:rsidR="00BE554D" w:rsidRDefault="00BE554D" w:rsidP="00381224">
            <w:pPr>
              <w:pStyle w:val="NotesText"/>
            </w:pPr>
            <w:r w:rsidRPr="00F47ABD">
              <w:rPr>
                <w:rFonts w:cs="Arial"/>
                <w:vanish/>
              </w:rPr>
              <w:t xml:space="preserve">BR_115.05 </w:t>
            </w:r>
            <w:r>
              <w:rPr>
                <w:rFonts w:cs="Arial"/>
              </w:rPr>
              <w:t>When the</w:t>
            </w:r>
            <w:r>
              <w:t xml:space="preserve"> test is rejected, the system will:</w:t>
            </w:r>
          </w:p>
          <w:p w14:paraId="7FFDF1BC" w14:textId="77777777" w:rsidR="00BE554D" w:rsidRDefault="00BE554D" w:rsidP="00925CAD">
            <w:pPr>
              <w:pStyle w:val="TableText"/>
              <w:numPr>
                <w:ilvl w:val="0"/>
                <w:numId w:val="43"/>
              </w:numPr>
            </w:pPr>
            <w:r>
              <w:t>Prompt user to confirm they want to reject.</w:t>
            </w:r>
          </w:p>
          <w:p w14:paraId="4C2FC75C" w14:textId="77777777" w:rsidR="00BE554D" w:rsidRDefault="00BE554D" w:rsidP="00925CAD">
            <w:pPr>
              <w:pStyle w:val="TableText"/>
              <w:numPr>
                <w:ilvl w:val="0"/>
                <w:numId w:val="43"/>
              </w:numPr>
            </w:pPr>
            <w:r>
              <w:t>Remove the test from the list for acceptance.</w:t>
            </w:r>
          </w:p>
          <w:p w14:paraId="5FFFFD3F" w14:textId="77777777" w:rsidR="00BE554D" w:rsidRDefault="00BE554D" w:rsidP="00925CAD">
            <w:pPr>
              <w:pStyle w:val="TableText"/>
              <w:numPr>
                <w:ilvl w:val="0"/>
                <w:numId w:val="43"/>
              </w:numPr>
            </w:pPr>
            <w:r>
              <w:t>No rejection message is sent to the instrument.</w:t>
            </w:r>
          </w:p>
          <w:p w14:paraId="7AA33825" w14:textId="77777777" w:rsidR="00BE554D" w:rsidRDefault="00BE554D" w:rsidP="00925CAD">
            <w:pPr>
              <w:pStyle w:val="TableText"/>
              <w:numPr>
                <w:ilvl w:val="0"/>
                <w:numId w:val="43"/>
              </w:numPr>
            </w:pPr>
            <w:r>
              <w:t>The Diagnostic test returns to the previous status and is ready for testing.</w:t>
            </w:r>
          </w:p>
          <w:p w14:paraId="62ADD09C" w14:textId="77777777" w:rsidR="00BE554D" w:rsidRDefault="00BE554D" w:rsidP="00381224">
            <w:pPr>
              <w:pStyle w:val="NotesText"/>
            </w:pPr>
          </w:p>
          <w:p w14:paraId="4128E38A" w14:textId="77777777" w:rsidR="00BE554D" w:rsidRPr="00016C78" w:rsidRDefault="00BE554D" w:rsidP="00381224">
            <w:pPr>
              <w:pStyle w:val="NotesText"/>
            </w:pPr>
            <w:r w:rsidRPr="00016C78">
              <w:rPr>
                <w:vanish/>
              </w:rPr>
              <w:t xml:space="preserve">BR_115.31 </w:t>
            </w:r>
            <w:r w:rsidRPr="00016C78">
              <w:t>Changes test Task status Completed for all tests except for Type and Screen which must have ABO/Rh and ABS saved before the TAS goes to a task status of Completed.</w:t>
            </w:r>
          </w:p>
          <w:p w14:paraId="58ADEA11" w14:textId="77777777" w:rsidR="00BE554D" w:rsidRPr="00016C78" w:rsidRDefault="00BE554D" w:rsidP="00381224">
            <w:pPr>
              <w:pStyle w:val="NotesText"/>
            </w:pPr>
          </w:p>
          <w:p w14:paraId="22F96C36" w14:textId="77777777" w:rsidR="00BE554D" w:rsidRDefault="00BE554D" w:rsidP="00B571AC">
            <w:pPr>
              <w:pStyle w:val="NotesText"/>
            </w:pPr>
            <w:r w:rsidRPr="00016C78">
              <w:rPr>
                <w:vanish/>
              </w:rPr>
              <w:t xml:space="preserve">BR_115.31 </w:t>
            </w:r>
            <w:r w:rsidRPr="00016C78">
              <w:t>If the user saves only the ABO/Rh and rejects ABS or only saves the ABS and rejects the ABO-Rh, the TAS goes to a task status of Partially Completed and is then selectable from the Pending Task List.</w:t>
            </w:r>
          </w:p>
          <w:p w14:paraId="55B92BE2" w14:textId="77777777" w:rsidR="00B571AC" w:rsidRDefault="00B571AC" w:rsidP="00B571AC">
            <w:pPr>
              <w:pStyle w:val="NotesText"/>
            </w:pPr>
          </w:p>
          <w:p w14:paraId="3BD555E4" w14:textId="77777777" w:rsidR="00B571AC" w:rsidRDefault="00B571AC" w:rsidP="00B571AC">
            <w:pPr>
              <w:pStyle w:val="NotesText"/>
            </w:pPr>
            <w:r w:rsidRPr="00B571AC">
              <w:rPr>
                <w:vanish/>
              </w:rPr>
              <w:t xml:space="preserve">BR_56.05 </w:t>
            </w:r>
            <w:r>
              <w:t>The system will update the order status when a valid interpretation is entered and saved for a test, the status of the ordered test is updated to “completed,” and an order status update message is sent to CPRS.</w:t>
            </w:r>
          </w:p>
          <w:p w14:paraId="024CEF0A" w14:textId="77777777" w:rsidR="00DE3FDB" w:rsidRDefault="00DE3FDB" w:rsidP="00B571AC">
            <w:pPr>
              <w:pStyle w:val="NotesText"/>
            </w:pPr>
          </w:p>
          <w:p w14:paraId="5C7AF2A0" w14:textId="77777777" w:rsidR="00DE3FDB" w:rsidRDefault="00DE3FDB" w:rsidP="00B571AC">
            <w:pPr>
              <w:pStyle w:val="NotesText"/>
            </w:pPr>
            <w:r w:rsidRPr="00DE3FDB">
              <w:rPr>
                <w:vanish/>
              </w:rPr>
              <w:t xml:space="preserve">BR_56.29 </w:t>
            </w:r>
            <w:r>
              <w:t>When a unit was issued and a conflicting test result found that indicates a potential unit incompatibility with the patient, such as a patient ABO/Rh discrepancy, the unit crossmatch is incompatible with the patient, the patient antibody screen test is positive, the patient DAT is positive, or the unit is antigen positive where antigen negative is required on the tested specimen, VBECS displays a warning message</w:t>
            </w:r>
            <w:r w:rsidRPr="007C05B4">
              <w:t xml:space="preserve"> such as: Unit has been emergency issued. Notify the physician of this potential problem IMMEDIATELY, per hospital policy! </w:t>
            </w:r>
            <w:r>
              <w:t xml:space="preserve">The warning message displays during the execution of the various tests related to the </w:t>
            </w:r>
            <w:r>
              <w:lastRenderedPageBreak/>
              <w:t>compatibility of a blood unit. An exception report entry is generated at the save.</w:t>
            </w:r>
          </w:p>
          <w:p w14:paraId="73BAD378" w14:textId="77777777" w:rsidR="00DE3FDB" w:rsidRDefault="002275D4" w:rsidP="00B571AC">
            <w:pPr>
              <w:pStyle w:val="NotesText"/>
            </w:pPr>
            <w:r>
              <w:t xml:space="preserve"> </w:t>
            </w:r>
          </w:p>
          <w:p w14:paraId="614F9049" w14:textId="77777777" w:rsidR="00DE3FDB" w:rsidRDefault="002275D4" w:rsidP="0071317D">
            <w:pPr>
              <w:pStyle w:val="NotesText"/>
            </w:pPr>
            <w:r w:rsidRPr="002275D4">
              <w:rPr>
                <w:vanish/>
              </w:rPr>
              <w:t xml:space="preserve">BR_54.07 </w:t>
            </w:r>
            <w:r>
              <w:t xml:space="preserve">A </w:t>
            </w:r>
            <w:r>
              <w:rPr>
                <w:vanish/>
              </w:rPr>
              <w:t>BRBR</w:t>
            </w:r>
            <w:r w:rsidR="00DE3FDB">
              <w:t xml:space="preserve">comment </w:t>
            </w:r>
            <w:r w:rsidR="0071317D">
              <w:t xml:space="preserve">appears on CPRS reports for patients with a </w:t>
            </w:r>
            <w:r w:rsidR="00DE3FDB">
              <w:t xml:space="preserve">positive </w:t>
            </w:r>
            <w:r w:rsidR="0071317D">
              <w:t xml:space="preserve">Antibody Screen or </w:t>
            </w:r>
            <w:r w:rsidR="00DE3FDB">
              <w:t xml:space="preserve">Direct Antiglobulin Test: </w:t>
            </w:r>
            <w:r w:rsidR="00DE3FDB" w:rsidRPr="0093080E">
              <w:t>Preparation of red cell components for transfusion may be delayed due to serologic problems. Contact transfusion service for information on potential clinical significance and availability of blood components</w:t>
            </w:r>
            <w:r>
              <w:t>.</w:t>
            </w:r>
          </w:p>
        </w:tc>
      </w:tr>
      <w:tr w:rsidR="00A80240" w14:paraId="07A0EDFA" w14:textId="77777777" w:rsidTr="00381224">
        <w:tc>
          <w:tcPr>
            <w:tcW w:w="3240" w:type="dxa"/>
          </w:tcPr>
          <w:p w14:paraId="14CFD00E" w14:textId="77777777" w:rsidR="00A80240" w:rsidRPr="00396B2B" w:rsidRDefault="00A80240" w:rsidP="008E6859">
            <w:pPr>
              <w:pStyle w:val="TableTextNumbers"/>
            </w:pPr>
            <w:r>
              <w:lastRenderedPageBreak/>
              <w:t xml:space="preserve">User clicks </w:t>
            </w:r>
            <w:r w:rsidRPr="00A80240">
              <w:rPr>
                <w:b/>
              </w:rPr>
              <w:t>Yes</w:t>
            </w:r>
            <w:r>
              <w:t xml:space="preserve"> to confirm the acceptance or rejection of the selected test(s).</w:t>
            </w:r>
          </w:p>
        </w:tc>
        <w:tc>
          <w:tcPr>
            <w:tcW w:w="6120" w:type="dxa"/>
          </w:tcPr>
          <w:p w14:paraId="036D6781" w14:textId="49804CDF" w:rsidR="00A80240" w:rsidRDefault="00A80240" w:rsidP="00A80240">
            <w:pPr>
              <w:pStyle w:val="TableTextBullet"/>
            </w:pPr>
            <w:r>
              <w:t>Closes the Automated Testing – Pending Specimen Tests window and displays the desktop when there a</w:t>
            </w:r>
            <w:r w:rsidR="0017153D">
              <w:t>re</w:t>
            </w:r>
            <w:r>
              <w:t xml:space="preserve"> no more pending tests to review.</w:t>
            </w:r>
          </w:p>
          <w:p w14:paraId="17287F1B" w14:textId="77777777" w:rsidR="00A80240" w:rsidRDefault="00A80240" w:rsidP="00A80240">
            <w:pPr>
              <w:pStyle w:val="TableTextBullet"/>
            </w:pPr>
            <w:r>
              <w:t>Closes the Automated Testing – Pending Specimen Tests window and displays the Automated Testing – Pending Patient Orders window when there are pending tests to review.</w:t>
            </w:r>
          </w:p>
        </w:tc>
      </w:tr>
      <w:tr w:rsidR="008E6859" w14:paraId="0028F079" w14:textId="77777777" w:rsidTr="00381224">
        <w:tc>
          <w:tcPr>
            <w:tcW w:w="3240" w:type="dxa"/>
          </w:tcPr>
          <w:p w14:paraId="43D64804" w14:textId="77777777" w:rsidR="00B16194" w:rsidRPr="00B16194" w:rsidRDefault="00B16194" w:rsidP="00B16194">
            <w:pPr>
              <w:pStyle w:val="TableTextNumbers"/>
              <w:numPr>
                <w:ilvl w:val="0"/>
                <w:numId w:val="0"/>
              </w:numPr>
              <w:ind w:left="288"/>
              <w:rPr>
                <w:b/>
                <w:i/>
              </w:rPr>
            </w:pPr>
            <w:r w:rsidRPr="00B16194">
              <w:rPr>
                <w:b/>
                <w:i/>
              </w:rPr>
              <w:t>CROSSMATCH</w:t>
            </w:r>
          </w:p>
          <w:p w14:paraId="0E95A423" w14:textId="77777777" w:rsidR="008E6859" w:rsidRDefault="0062092C" w:rsidP="008E6859">
            <w:pPr>
              <w:pStyle w:val="TableTextNumbers"/>
            </w:pPr>
            <w:r w:rsidRPr="00396B2B">
              <w:t>User selec</w:t>
            </w:r>
            <w:r>
              <w:t xml:space="preserve">ts </w:t>
            </w:r>
            <w:r w:rsidRPr="0062092C">
              <w:rPr>
                <w:b/>
              </w:rPr>
              <w:t>XMatch</w:t>
            </w:r>
            <w:r>
              <w:t xml:space="preserve"> from the testing tabs that are enabled on the Automated Testing – Pending Specimen Tests window</w:t>
            </w:r>
            <w:r w:rsidR="008F406C">
              <w:t>.</w:t>
            </w:r>
          </w:p>
        </w:tc>
        <w:tc>
          <w:tcPr>
            <w:tcW w:w="6120" w:type="dxa"/>
          </w:tcPr>
          <w:p w14:paraId="1DC68EA9" w14:textId="77777777" w:rsidR="00274D41" w:rsidRDefault="004A39DB" w:rsidP="00274D41">
            <w:pPr>
              <w:pStyle w:val="TableTextBullet"/>
            </w:pPr>
            <w:r>
              <w:t>D</w:t>
            </w:r>
            <w:r w:rsidR="00274D41">
              <w:t>etermines that all appropriate test results were entered for the patient.</w:t>
            </w:r>
          </w:p>
          <w:p w14:paraId="655BA8DB" w14:textId="77777777" w:rsidR="00274D41" w:rsidRDefault="004A39DB" w:rsidP="00274D41">
            <w:pPr>
              <w:pStyle w:val="TableTextBullet"/>
            </w:pPr>
            <w:r>
              <w:t>V</w:t>
            </w:r>
            <w:r w:rsidR="00274D41">
              <w:t>alidates test results and displays Warning or Error indicator when results do not match expected pattern.</w:t>
            </w:r>
          </w:p>
          <w:p w14:paraId="0869D3FF" w14:textId="77777777" w:rsidR="00274D41" w:rsidRDefault="00274D41" w:rsidP="00274D41">
            <w:pPr>
              <w:pStyle w:val="TableTextBullet"/>
            </w:pPr>
            <w:r>
              <w:t>Displays comments from the Automated Instrument.</w:t>
            </w:r>
          </w:p>
          <w:p w14:paraId="5EF68978" w14:textId="77777777" w:rsidR="0062092C" w:rsidRDefault="0062092C" w:rsidP="0062092C">
            <w:pPr>
              <w:pStyle w:val="TableText"/>
            </w:pPr>
          </w:p>
          <w:p w14:paraId="3304A466" w14:textId="36E2BD02" w:rsidR="0062092C" w:rsidRDefault="0062092C" w:rsidP="0062092C">
            <w:pPr>
              <w:pStyle w:val="TableText"/>
              <w:rPr>
                <w:b/>
                <w:bCs/>
                <w:szCs w:val="18"/>
              </w:rPr>
            </w:pPr>
            <w:r>
              <w:rPr>
                <w:b/>
                <w:bCs/>
                <w:szCs w:val="18"/>
              </w:rPr>
              <w:t>NOTES</w:t>
            </w:r>
          </w:p>
          <w:p w14:paraId="5423B4CB" w14:textId="77777777" w:rsidR="0062092C" w:rsidRDefault="0062092C" w:rsidP="0062092C">
            <w:pPr>
              <w:pStyle w:val="NotesText"/>
            </w:pPr>
          </w:p>
          <w:p w14:paraId="220DA2BD" w14:textId="5301B047" w:rsidR="00274D41" w:rsidRPr="00FB2A8A" w:rsidRDefault="0062092C" w:rsidP="00FB2A8A">
            <w:pPr>
              <w:pStyle w:val="TableText"/>
              <w:ind w:left="720"/>
              <w:rPr>
                <w:rFonts w:cs="Arial"/>
                <w:szCs w:val="18"/>
              </w:rPr>
            </w:pPr>
            <w:r w:rsidRPr="0062092C">
              <w:rPr>
                <w:rFonts w:cs="Arial"/>
                <w:vanish/>
                <w:szCs w:val="18"/>
              </w:rPr>
              <w:t xml:space="preserve">BR_115.19 </w:t>
            </w:r>
            <w:r>
              <w:rPr>
                <w:rFonts w:cs="Arial"/>
                <w:szCs w:val="18"/>
              </w:rPr>
              <w:t>Units for</w:t>
            </w:r>
            <w:r w:rsidR="00274D41">
              <w:rPr>
                <w:rFonts w:cs="Arial"/>
                <w:szCs w:val="18"/>
              </w:rPr>
              <w:t xml:space="preserve"> crossmatch must be selected for the patient</w:t>
            </w:r>
            <w:r>
              <w:rPr>
                <w:rFonts w:cs="Arial"/>
                <w:szCs w:val="18"/>
              </w:rPr>
              <w:t xml:space="preserve"> prior to results transmission from the Automated Instrument for the results to appear </w:t>
            </w:r>
            <w:r w:rsidR="00274D41">
              <w:rPr>
                <w:rFonts w:cs="Arial"/>
                <w:szCs w:val="18"/>
              </w:rPr>
              <w:t>in</w:t>
            </w:r>
            <w:r>
              <w:rPr>
                <w:rFonts w:cs="Arial"/>
                <w:szCs w:val="18"/>
              </w:rPr>
              <w:t xml:space="preserve"> the </w:t>
            </w:r>
            <w:r w:rsidR="00274D41">
              <w:rPr>
                <w:rFonts w:cs="Arial"/>
                <w:szCs w:val="18"/>
              </w:rPr>
              <w:t xml:space="preserve">Automated Testing – Pending </w:t>
            </w:r>
            <w:r w:rsidR="002A4CB4">
              <w:rPr>
                <w:rFonts w:cs="Arial"/>
                <w:szCs w:val="18"/>
              </w:rPr>
              <w:t>Specimen</w:t>
            </w:r>
            <w:r w:rsidR="00274D41">
              <w:rPr>
                <w:rFonts w:cs="Arial"/>
                <w:szCs w:val="18"/>
              </w:rPr>
              <w:t xml:space="preserve"> Tests window on the XMatch tab</w:t>
            </w:r>
            <w:r>
              <w:rPr>
                <w:rFonts w:cs="Arial"/>
                <w:szCs w:val="18"/>
              </w:rPr>
              <w:t xml:space="preserve"> for review.</w:t>
            </w:r>
          </w:p>
        </w:tc>
      </w:tr>
      <w:tr w:rsidR="00274D41" w14:paraId="19B95070" w14:textId="77777777" w:rsidTr="00381224">
        <w:tc>
          <w:tcPr>
            <w:tcW w:w="3240" w:type="dxa"/>
          </w:tcPr>
          <w:p w14:paraId="3D9E1432" w14:textId="77777777" w:rsidR="00274D41" w:rsidRDefault="00274D41" w:rsidP="00274D41">
            <w:pPr>
              <w:pStyle w:val="TableTextNumbers"/>
            </w:pPr>
            <w:r>
              <w:t>User clicks on the checkbox next to the Unit crossmatch result to be accepted or rejected.</w:t>
            </w:r>
          </w:p>
          <w:p w14:paraId="74798B84" w14:textId="77777777" w:rsidR="00274D41" w:rsidRDefault="00274D41" w:rsidP="00274D41">
            <w:pPr>
              <w:pStyle w:val="TableTextNumbers"/>
              <w:numPr>
                <w:ilvl w:val="0"/>
                <w:numId w:val="0"/>
              </w:numPr>
              <w:ind w:left="288"/>
            </w:pPr>
          </w:p>
          <w:p w14:paraId="75EA4EDF" w14:textId="77777777" w:rsidR="00274D41" w:rsidRDefault="00274D41" w:rsidP="00274D41">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38E0AE08" w14:textId="77777777" w:rsidR="00274D41" w:rsidRDefault="004A39DB" w:rsidP="00682345">
            <w:pPr>
              <w:pStyle w:val="TableTextBullet"/>
            </w:pPr>
            <w:r>
              <w:t>P</w:t>
            </w:r>
            <w:r w:rsidR="00274D41">
              <w:t>resents appropriate warning messages to the user.</w:t>
            </w:r>
          </w:p>
          <w:p w14:paraId="1E814DD6" w14:textId="77777777" w:rsidR="00274D41" w:rsidRPr="00274D41" w:rsidRDefault="00274D41" w:rsidP="00682345">
            <w:pPr>
              <w:pStyle w:val="TableTextBullet"/>
            </w:pPr>
            <w:r w:rsidRPr="00274D41">
              <w:rPr>
                <w:vanish/>
              </w:rPr>
              <w:t xml:space="preserve">BR_115.33 </w:t>
            </w:r>
            <w:r w:rsidR="004A39DB">
              <w:t>R</w:t>
            </w:r>
            <w:r>
              <w:t>equires the user to select the product code for the unit crossmatched when there are more than one unit selected for the patient with the same unit ID.</w:t>
            </w:r>
          </w:p>
          <w:p w14:paraId="6193D7EB" w14:textId="77777777" w:rsidR="00274D41" w:rsidRDefault="00274D41" w:rsidP="00682345">
            <w:pPr>
              <w:pStyle w:val="TableTextBullet"/>
            </w:pPr>
            <w:r w:rsidRPr="00EB70AF">
              <w:rPr>
                <w:vanish/>
              </w:rPr>
              <w:t xml:space="preserve">BR_115.13 </w:t>
            </w:r>
            <w:r w:rsidR="004A39DB">
              <w:t>A</w:t>
            </w:r>
            <w:r>
              <w:t>llows selection of multiple tests with a Valid indicator.</w:t>
            </w:r>
          </w:p>
          <w:p w14:paraId="7FCF2FA7" w14:textId="77777777" w:rsidR="00274D41" w:rsidRDefault="00274D41" w:rsidP="00682345">
            <w:pPr>
              <w:pStyle w:val="TableTextBullet"/>
            </w:pPr>
            <w:r w:rsidRPr="00EB70AF">
              <w:rPr>
                <w:vanish/>
              </w:rPr>
              <w:t xml:space="preserve">BR_115.25 </w:t>
            </w:r>
            <w:r w:rsidR="004A39DB">
              <w:t>R</w:t>
            </w:r>
            <w:r>
              <w:t>estricts the processing of tests with a Warning or Error indicator to one at a time.</w:t>
            </w:r>
          </w:p>
          <w:p w14:paraId="4A641F57" w14:textId="77777777" w:rsidR="00274D41" w:rsidRDefault="00274D41" w:rsidP="00682345">
            <w:pPr>
              <w:pStyle w:val="TableText"/>
            </w:pPr>
          </w:p>
          <w:p w14:paraId="7E13283D" w14:textId="3379C9F2" w:rsidR="00274D41" w:rsidRDefault="00274D41" w:rsidP="00682345">
            <w:pPr>
              <w:pStyle w:val="TableText"/>
              <w:rPr>
                <w:b/>
                <w:bCs/>
                <w:szCs w:val="18"/>
              </w:rPr>
            </w:pPr>
            <w:r>
              <w:rPr>
                <w:b/>
                <w:bCs/>
                <w:szCs w:val="18"/>
              </w:rPr>
              <w:t>NOTES</w:t>
            </w:r>
          </w:p>
          <w:p w14:paraId="3FFBB1FC" w14:textId="77777777" w:rsidR="00274D41" w:rsidRDefault="00274D41" w:rsidP="00682345">
            <w:pPr>
              <w:pStyle w:val="NotesText"/>
            </w:pPr>
          </w:p>
          <w:p w14:paraId="35E7D3E9" w14:textId="77777777" w:rsidR="00274D41" w:rsidRDefault="00274D41" w:rsidP="00AF08FF">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tc>
      </w:tr>
      <w:tr w:rsidR="00F414D6" w14:paraId="0CC5B541" w14:textId="77777777" w:rsidTr="00381224">
        <w:tc>
          <w:tcPr>
            <w:tcW w:w="3240" w:type="dxa"/>
          </w:tcPr>
          <w:p w14:paraId="754F9467" w14:textId="7127EF51" w:rsidR="00F414D6" w:rsidRDefault="00F414D6" w:rsidP="00274D41">
            <w:pPr>
              <w:pStyle w:val="TableTextNumbers"/>
            </w:pPr>
            <w:r>
              <w:t xml:space="preserve">User can change the XMatch Interp by using the </w:t>
            </w:r>
            <w:r w:rsidR="006549B7">
              <w:t>drop-down</w:t>
            </w:r>
            <w:r>
              <w:t xml:space="preserve"> arrow to select another interpretation.</w:t>
            </w:r>
          </w:p>
        </w:tc>
        <w:tc>
          <w:tcPr>
            <w:tcW w:w="6120" w:type="dxa"/>
          </w:tcPr>
          <w:p w14:paraId="08FD2AB5" w14:textId="77777777" w:rsidR="00F414D6" w:rsidRDefault="00F414D6" w:rsidP="00F414D6">
            <w:pPr>
              <w:pStyle w:val="TableTextBullet"/>
            </w:pPr>
            <w:r>
              <w:t xml:space="preserve">Displays the </w:t>
            </w:r>
            <w:r w:rsidR="001809EC">
              <w:t>crossmatch results from the Automated Instrument and allows the user to edit that interpretation before saving.</w:t>
            </w:r>
            <w:r>
              <w:t xml:space="preserve"> </w:t>
            </w:r>
          </w:p>
          <w:p w14:paraId="735C1BD2" w14:textId="77777777" w:rsidR="00F414D6" w:rsidRDefault="00F414D6" w:rsidP="00F414D6">
            <w:pPr>
              <w:pStyle w:val="TableTextBullet"/>
              <w:numPr>
                <w:ilvl w:val="0"/>
                <w:numId w:val="0"/>
              </w:numPr>
              <w:ind w:left="288"/>
            </w:pPr>
          </w:p>
          <w:p w14:paraId="2FA43EBA" w14:textId="6245290C" w:rsidR="00F414D6" w:rsidRDefault="00F414D6" w:rsidP="00F414D6">
            <w:pPr>
              <w:pStyle w:val="TableText"/>
              <w:rPr>
                <w:b/>
                <w:bCs/>
                <w:szCs w:val="18"/>
              </w:rPr>
            </w:pPr>
            <w:r>
              <w:rPr>
                <w:b/>
                <w:bCs/>
                <w:szCs w:val="18"/>
              </w:rPr>
              <w:t>NOTES</w:t>
            </w:r>
          </w:p>
          <w:p w14:paraId="4B072DBA" w14:textId="77777777" w:rsidR="00F414D6" w:rsidRDefault="00F414D6" w:rsidP="00F414D6">
            <w:pPr>
              <w:pStyle w:val="NotesText"/>
            </w:pPr>
          </w:p>
          <w:p w14:paraId="6D720F56" w14:textId="77777777" w:rsidR="001809EC" w:rsidRDefault="001809EC" w:rsidP="001809EC">
            <w:pPr>
              <w:pStyle w:val="TableTextBullet"/>
              <w:numPr>
                <w:ilvl w:val="0"/>
                <w:numId w:val="0"/>
              </w:numPr>
              <w:ind w:left="720"/>
            </w:pPr>
            <w:r w:rsidRPr="001809EC">
              <w:rPr>
                <w:vanish/>
              </w:rPr>
              <w:t xml:space="preserve">BR_115.29 </w:t>
            </w:r>
            <w:r>
              <w:t xml:space="preserve">The system allows a user to change a final crossmatch interpretation of </w:t>
            </w:r>
            <w:r w:rsidRPr="00815BE1">
              <w:rPr>
                <w:b/>
                <w:i/>
              </w:rPr>
              <w:t>Crossmatch Compatible</w:t>
            </w:r>
            <w:r>
              <w:t xml:space="preserve"> (C) to </w:t>
            </w:r>
            <w:r w:rsidRPr="00815BE1">
              <w:rPr>
                <w:i/>
              </w:rPr>
              <w:t>Crossmatch Compatible: don’t transfuse</w:t>
            </w:r>
            <w:r>
              <w:t xml:space="preserve"> (D) prior to saving. The system re-evaluates changes made to the test interpretation and allows saving.</w:t>
            </w:r>
          </w:p>
          <w:p w14:paraId="4BC33D1E" w14:textId="77777777" w:rsidR="001809EC" w:rsidRDefault="001809EC" w:rsidP="001809EC">
            <w:pPr>
              <w:pStyle w:val="TableTextBullet"/>
              <w:numPr>
                <w:ilvl w:val="0"/>
                <w:numId w:val="0"/>
              </w:numPr>
              <w:ind w:left="720"/>
            </w:pPr>
          </w:p>
          <w:p w14:paraId="1C0C90E0" w14:textId="77777777" w:rsidR="001809EC" w:rsidRDefault="001809EC" w:rsidP="001809EC">
            <w:pPr>
              <w:pStyle w:val="TableTextBullet"/>
              <w:numPr>
                <w:ilvl w:val="0"/>
                <w:numId w:val="0"/>
              </w:numPr>
              <w:ind w:left="720"/>
            </w:pPr>
            <w:r>
              <w:t xml:space="preserve">The system allows a user to change a final crossmatch interpretation of </w:t>
            </w:r>
            <w:r w:rsidRPr="00815BE1">
              <w:rPr>
                <w:b/>
                <w:i/>
              </w:rPr>
              <w:t>Crossmatch Incompatible</w:t>
            </w:r>
            <w:r>
              <w:t xml:space="preserve"> (I) to </w:t>
            </w:r>
            <w:r>
              <w:rPr>
                <w:i/>
              </w:rPr>
              <w:t xml:space="preserve">Crossmatch </w:t>
            </w:r>
            <w:r>
              <w:rPr>
                <w:i/>
              </w:rPr>
              <w:lastRenderedPageBreak/>
              <w:t>Inc</w:t>
            </w:r>
            <w:r w:rsidRPr="00815BE1">
              <w:rPr>
                <w:i/>
              </w:rPr>
              <w:t xml:space="preserve">ompatible: </w:t>
            </w:r>
            <w:r>
              <w:rPr>
                <w:i/>
              </w:rPr>
              <w:t>give only with Medical Director approval</w:t>
            </w:r>
            <w:r>
              <w:t xml:space="preserve"> (G) prior to saving. The system re-evaluates changes made to the test interpretation and allows the user to save with appropriate warning messages and overrides.</w:t>
            </w:r>
          </w:p>
          <w:p w14:paraId="291EA736" w14:textId="77777777" w:rsidR="001809EC" w:rsidRDefault="001809EC" w:rsidP="001809EC">
            <w:pPr>
              <w:pStyle w:val="TableTextBullet"/>
              <w:numPr>
                <w:ilvl w:val="0"/>
                <w:numId w:val="0"/>
              </w:numPr>
              <w:ind w:left="720"/>
            </w:pPr>
          </w:p>
          <w:p w14:paraId="1801812F" w14:textId="08D114FC" w:rsidR="00F414D6" w:rsidRDefault="00F414D6" w:rsidP="008F1BE0">
            <w:pPr>
              <w:pStyle w:val="TableTextBullet"/>
              <w:numPr>
                <w:ilvl w:val="0"/>
                <w:numId w:val="0"/>
              </w:numPr>
              <w:ind w:left="720"/>
            </w:pPr>
            <w:r>
              <w:t>Refer to</w:t>
            </w:r>
            <w:r w:rsidR="008F1BE0">
              <w:t xml:space="preserve"> </w:t>
            </w:r>
            <w:r w:rsidR="00EE455E">
              <w:t xml:space="preserve">Table </w:t>
            </w:r>
            <w:r w:rsidR="00EE455E">
              <w:rPr>
                <w:noProof/>
              </w:rPr>
              <w:t>11</w:t>
            </w:r>
            <w:r w:rsidR="00EE455E">
              <w:t xml:space="preserve">: </w:t>
            </w:r>
            <w:r w:rsidR="00EE455E">
              <w:rPr>
                <w:rFonts w:cs="Arial"/>
                <w:vanish/>
              </w:rPr>
              <w:t xml:space="preserve">BR_40.14 </w:t>
            </w:r>
            <w:r w:rsidR="00EE455E">
              <w:t>Crossmatch Interpretations for Print Unit Caution Tag &amp; Transfusion Record Form</w:t>
            </w:r>
            <w:r w:rsidR="008F1BE0">
              <w:t>.</w:t>
            </w:r>
          </w:p>
        </w:tc>
      </w:tr>
      <w:tr w:rsidR="00A80240" w14:paraId="3405E2E7" w14:textId="77777777" w:rsidTr="00381224">
        <w:tc>
          <w:tcPr>
            <w:tcW w:w="3240" w:type="dxa"/>
          </w:tcPr>
          <w:p w14:paraId="17C7358A" w14:textId="77777777" w:rsidR="00A80240" w:rsidRDefault="00E82F44" w:rsidP="00274D41">
            <w:pPr>
              <w:pStyle w:val="TableTextNumbers"/>
            </w:pPr>
            <w:r>
              <w:lastRenderedPageBreak/>
              <w:t>Refer to S</w:t>
            </w:r>
            <w:r w:rsidR="00B16194">
              <w:t>tep</w:t>
            </w:r>
            <w:r>
              <w:t xml:space="preserve"> 5 and S</w:t>
            </w:r>
            <w:r w:rsidR="00D279DE">
              <w:t>tep 6 for process to save the crossmatch results.</w:t>
            </w:r>
          </w:p>
        </w:tc>
        <w:tc>
          <w:tcPr>
            <w:tcW w:w="6120" w:type="dxa"/>
          </w:tcPr>
          <w:p w14:paraId="505DA814" w14:textId="77777777" w:rsidR="00A80240" w:rsidRDefault="00A80240" w:rsidP="00D279DE">
            <w:pPr>
              <w:pStyle w:val="TableTextBullet"/>
              <w:numPr>
                <w:ilvl w:val="0"/>
                <w:numId w:val="0"/>
              </w:numPr>
              <w:ind w:left="288"/>
            </w:pPr>
          </w:p>
        </w:tc>
      </w:tr>
    </w:tbl>
    <w:p w14:paraId="56622773" w14:textId="59A0A2BB" w:rsidR="00937534" w:rsidRDefault="00937534" w:rsidP="00937534">
      <w:pPr>
        <w:pStyle w:val="Caption"/>
      </w:pPr>
      <w:bookmarkStart w:id="528" w:name="_Ref44716824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117</w:t>
      </w:r>
      <w:r w:rsidR="004E20BD">
        <w:rPr>
          <w:noProof/>
        </w:rPr>
        <w:fldChar w:fldCharType="end"/>
      </w:r>
      <w:bookmarkEnd w:id="528"/>
      <w:r>
        <w:t>: Automated Testing</w:t>
      </w:r>
      <w:r w:rsidR="00B46534">
        <w:t xml:space="preserve"> - Pending Specimen</w:t>
      </w:r>
      <w:r>
        <w:t xml:space="preserve"> Tests Window</w:t>
      </w:r>
    </w:p>
    <w:p w14:paraId="0E903DFF" w14:textId="77777777" w:rsidR="00481912" w:rsidRDefault="00057948" w:rsidP="00481912">
      <w:r>
        <w:rPr>
          <w:noProof/>
        </w:rPr>
        <w:drawing>
          <wp:inline distT="0" distB="0" distL="0" distR="0" wp14:anchorId="197F4026" wp14:editId="4515B9BF">
            <wp:extent cx="3860800" cy="1920875"/>
            <wp:effectExtent l="0" t="0" r="6350" b="3175"/>
            <wp:docPr id="266" name="Picture 266" descr="Example of Automated Testing - Pending Specimen Tests Windo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Example of Automated Testing - Pending Specimen Tests Windos screen captur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60800" cy="1920875"/>
                    </a:xfrm>
                    <a:prstGeom prst="rect">
                      <a:avLst/>
                    </a:prstGeom>
                    <a:noFill/>
                    <a:ln>
                      <a:noFill/>
                    </a:ln>
                  </pic:spPr>
                </pic:pic>
              </a:graphicData>
            </a:graphic>
          </wp:inline>
        </w:drawing>
      </w:r>
    </w:p>
    <w:p w14:paraId="7D0D74C0" w14:textId="77777777" w:rsidR="00F328F5" w:rsidRPr="00C36D9B" w:rsidRDefault="00C36D9B" w:rsidP="00C36D9B">
      <w:pPr>
        <w:pStyle w:val="Heading1"/>
      </w:pPr>
      <w:r>
        <w:rPr>
          <w:rStyle w:val="BodyTextChar"/>
          <w:rFonts w:ascii="Times New Roman" w:hAnsi="Times New Roman" w:cs="Times New Roman"/>
          <w:b w:val="0"/>
        </w:rPr>
        <w:br w:type="page"/>
      </w:r>
      <w:bookmarkStart w:id="529" w:name="_Toc163644967"/>
      <w:r w:rsidR="002A21AE" w:rsidRPr="00C36D9B">
        <w:lastRenderedPageBreak/>
        <w:t>Reports</w:t>
      </w:r>
      <w:bookmarkEnd w:id="529"/>
    </w:p>
    <w:p w14:paraId="0844F798" w14:textId="644DAE31" w:rsidR="00E22860" w:rsidRDefault="00E22860" w:rsidP="00E22860">
      <w:pPr>
        <w:rPr>
          <w:sz w:val="22"/>
          <w:szCs w:val="22"/>
        </w:rPr>
      </w:pPr>
      <w:r w:rsidRPr="00716B49">
        <w:rPr>
          <w:sz w:val="22"/>
          <w:szCs w:val="22"/>
        </w:rPr>
        <w:t>The report information that is presented on-screen, not the print preview, can be sorted by clicking on each</w:t>
      </w:r>
      <w:r w:rsidR="000B4E47" w:rsidRPr="00716B49">
        <w:rPr>
          <w:sz w:val="22"/>
          <w:szCs w:val="22"/>
        </w:rPr>
        <w:t xml:space="preserve"> column header. The sort changes made do not apply to the printed reports. Reports print in a default sort order.</w:t>
      </w:r>
    </w:p>
    <w:p w14:paraId="132089F6" w14:textId="62595504" w:rsidR="000A0FDE" w:rsidRDefault="000A0FDE" w:rsidP="00E22860">
      <w:pPr>
        <w:rPr>
          <w:sz w:val="22"/>
          <w:szCs w:val="22"/>
        </w:rPr>
      </w:pPr>
    </w:p>
    <w:p w14:paraId="6BC7896C" w14:textId="77777777" w:rsidR="00283DF4" w:rsidRDefault="00CA1FAF" w:rsidP="00E22860">
      <w:pPr>
        <w:rPr>
          <w:sz w:val="22"/>
          <w:szCs w:val="22"/>
        </w:rPr>
      </w:pPr>
      <w:r w:rsidRPr="00716B49">
        <w:rPr>
          <w:b/>
          <w:sz w:val="22"/>
          <w:szCs w:val="22"/>
        </w:rPr>
        <w:t>Note</w:t>
      </w:r>
      <w:r w:rsidR="00283DF4">
        <w:rPr>
          <w:b/>
          <w:sz w:val="22"/>
          <w:szCs w:val="22"/>
        </w:rPr>
        <w:t xml:space="preserve"> 1</w:t>
      </w:r>
      <w:r w:rsidRPr="00716B49">
        <w:rPr>
          <w:b/>
          <w:sz w:val="22"/>
          <w:szCs w:val="22"/>
        </w:rPr>
        <w:t>:</w:t>
      </w:r>
      <w:r w:rsidRPr="00716B49">
        <w:rPr>
          <w:sz w:val="22"/>
          <w:szCs w:val="22"/>
        </w:rPr>
        <w:t xml:space="preserve"> </w:t>
      </w:r>
      <w:r w:rsidR="00422E94">
        <w:rPr>
          <w:sz w:val="22"/>
          <w:szCs w:val="22"/>
        </w:rPr>
        <w:t xml:space="preserve">Switching to Normal layout view from Print layout view so the user can search the report may cause the error message </w:t>
      </w:r>
      <w:r w:rsidR="00422E94" w:rsidRPr="00716B49">
        <w:rPr>
          <w:b/>
          <w:sz w:val="22"/>
          <w:szCs w:val="22"/>
        </w:rPr>
        <w:t>“Error. Thread was being aborted</w:t>
      </w:r>
      <w:r w:rsidR="00422E94">
        <w:rPr>
          <w:b/>
          <w:sz w:val="22"/>
          <w:szCs w:val="22"/>
        </w:rPr>
        <w:t>.</w:t>
      </w:r>
      <w:r w:rsidR="00422E94" w:rsidRPr="00716B49">
        <w:rPr>
          <w:b/>
          <w:sz w:val="22"/>
          <w:szCs w:val="22"/>
        </w:rPr>
        <w:t>”</w:t>
      </w:r>
      <w:r w:rsidR="00422E94">
        <w:rPr>
          <w:sz w:val="22"/>
          <w:szCs w:val="22"/>
        </w:rPr>
        <w:t xml:space="preserve"> to appear for a large report. </w:t>
      </w:r>
      <w:r w:rsidRPr="00716B49">
        <w:rPr>
          <w:sz w:val="22"/>
          <w:szCs w:val="22"/>
        </w:rPr>
        <w:t>The report</w:t>
      </w:r>
      <w:r w:rsidR="00D441C9" w:rsidRPr="00716B49">
        <w:rPr>
          <w:sz w:val="22"/>
          <w:szCs w:val="22"/>
        </w:rPr>
        <w:t xml:space="preserve"> proceeds to load in the different layout </w:t>
      </w:r>
      <w:r w:rsidR="00422E94">
        <w:rPr>
          <w:sz w:val="22"/>
          <w:szCs w:val="22"/>
        </w:rPr>
        <w:t xml:space="preserve">view </w:t>
      </w:r>
      <w:r w:rsidR="00D441C9" w:rsidRPr="00716B49">
        <w:rPr>
          <w:sz w:val="22"/>
          <w:szCs w:val="22"/>
        </w:rPr>
        <w:t>chosen by the user. This is a normal behavior of a report engine and no harm is done.</w:t>
      </w:r>
      <w:r w:rsidR="00716B49" w:rsidRPr="00716B49">
        <w:rPr>
          <w:sz w:val="22"/>
          <w:szCs w:val="22"/>
        </w:rPr>
        <w:t xml:space="preserve"> </w:t>
      </w:r>
      <w:r w:rsidR="00283DF4" w:rsidRPr="00283DF4">
        <w:rPr>
          <w:vanish/>
          <w:sz w:val="22"/>
          <w:szCs w:val="22"/>
        </w:rPr>
        <w:t>DR 5059</w:t>
      </w:r>
    </w:p>
    <w:p w14:paraId="60EFDC29" w14:textId="77777777" w:rsidR="00283DF4" w:rsidRDefault="00283DF4" w:rsidP="00E22860">
      <w:pPr>
        <w:rPr>
          <w:sz w:val="22"/>
          <w:szCs w:val="22"/>
        </w:rPr>
      </w:pPr>
    </w:p>
    <w:p w14:paraId="6CDDE855" w14:textId="631980B5" w:rsidR="00733A12" w:rsidRPr="00716B49" w:rsidRDefault="00283DF4" w:rsidP="00E22860">
      <w:pPr>
        <w:rPr>
          <w:sz w:val="22"/>
          <w:szCs w:val="22"/>
        </w:rPr>
      </w:pPr>
      <w:r w:rsidRPr="00716B49">
        <w:rPr>
          <w:b/>
          <w:sz w:val="22"/>
          <w:szCs w:val="22"/>
        </w:rPr>
        <w:t>Note</w:t>
      </w:r>
      <w:r>
        <w:rPr>
          <w:b/>
          <w:sz w:val="22"/>
          <w:szCs w:val="22"/>
        </w:rPr>
        <w:t xml:space="preserve"> 2</w:t>
      </w:r>
      <w:r w:rsidRPr="00716B49">
        <w:rPr>
          <w:b/>
          <w:sz w:val="22"/>
          <w:szCs w:val="22"/>
        </w:rPr>
        <w:t>:</w:t>
      </w:r>
      <w:r w:rsidRPr="00716B49">
        <w:rPr>
          <w:sz w:val="22"/>
          <w:szCs w:val="22"/>
        </w:rPr>
        <w:t xml:space="preserve"> </w:t>
      </w:r>
      <w:r>
        <w:rPr>
          <w:sz w:val="22"/>
          <w:szCs w:val="22"/>
        </w:rPr>
        <w:t xml:space="preserve">The transfusion count total may indicate a site needs to complete a National Blood Collection and Utilization Survey if the total transfusions is greater than or equal to 100. </w:t>
      </w:r>
      <w:r w:rsidR="00E605B1" w:rsidRPr="00E605B1">
        <w:rPr>
          <w:vanish/>
          <w:sz w:val="22"/>
          <w:szCs w:val="22"/>
        </w:rPr>
        <w:t>Task 503042</w:t>
      </w:r>
    </w:p>
    <w:p w14:paraId="1827041C" w14:textId="77777777" w:rsidR="007A6EB0" w:rsidRDefault="007A6EB0" w:rsidP="007A6EB0">
      <w:pPr>
        <w:pStyle w:val="Heading2"/>
      </w:pPr>
      <w:bookmarkStart w:id="530" w:name="_Toc163644968"/>
      <w:bookmarkStart w:id="531" w:name="_Toc63680379"/>
      <w:bookmarkEnd w:id="519"/>
      <w:r>
        <w:t>Administrative Data Report</w:t>
      </w:r>
      <w:bookmarkEnd w:id="530"/>
      <w:r>
        <w:fldChar w:fldCharType="begin"/>
      </w:r>
      <w:r>
        <w:instrText xml:space="preserve"> XE “Administrative Data Report” </w:instrText>
      </w:r>
      <w:r>
        <w:fldChar w:fldCharType="end"/>
      </w:r>
      <w:r>
        <w:t xml:space="preserve"> </w:t>
      </w:r>
      <w:r>
        <w:rPr>
          <w:rFonts w:ascii="Times New Roman" w:hAnsi="Times New Roman" w:cs="Times New Roman"/>
          <w:b w:val="0"/>
          <w:i w:val="0"/>
          <w:vanish/>
          <w:sz w:val="22"/>
        </w:rPr>
        <w:t>UC_107</w:t>
      </w:r>
    </w:p>
    <w:p w14:paraId="2BD56A22" w14:textId="77777777" w:rsidR="007A6EB0" w:rsidRDefault="007A6EB0" w:rsidP="007A6EB0">
      <w:pPr>
        <w:pStyle w:val="BodyText"/>
      </w:pPr>
      <w:r>
        <w:t>The user views and</w:t>
      </w:r>
      <w:r w:rsidR="00EB1E5A">
        <w:t>/or</w:t>
      </w:r>
      <w:r>
        <w:t xml:space="preserve"> prints the Administrative Data Report.</w:t>
      </w:r>
    </w:p>
    <w:p w14:paraId="35556A87" w14:textId="77777777" w:rsidR="007A6EB0" w:rsidRDefault="007A6EB0" w:rsidP="007A6EB0">
      <w:pPr>
        <w:pStyle w:val="Heading4"/>
      </w:pPr>
      <w:r>
        <w:t>Assumptions</w:t>
      </w:r>
      <w:r>
        <w:rPr>
          <w:b w:val="0"/>
        </w:rPr>
        <w:t xml:space="preserve"> </w:t>
      </w:r>
    </w:p>
    <w:p w14:paraId="28E47E28" w14:textId="77777777" w:rsidR="007A6EB0" w:rsidRDefault="007A6EB0" w:rsidP="007A6EB0">
      <w:pPr>
        <w:pStyle w:val="ListBullet"/>
        <w:rPr>
          <w:b/>
        </w:rPr>
      </w:pPr>
      <w:r>
        <w:t>Data are available for inclusion in the report.</w:t>
      </w:r>
    </w:p>
    <w:p w14:paraId="60C89873" w14:textId="77777777" w:rsidR="00AE521B" w:rsidRDefault="007A6EB0" w:rsidP="007A6EB0">
      <w:pPr>
        <w:pStyle w:val="Heading4"/>
      </w:pPr>
      <w:r>
        <w:t xml:space="preserve">Outcome </w:t>
      </w:r>
    </w:p>
    <w:p w14:paraId="0A8D5E67" w14:textId="77777777" w:rsidR="007A6EB0" w:rsidRDefault="00AE521B" w:rsidP="00AE521B">
      <w:pPr>
        <w:pStyle w:val="ListBullet"/>
      </w:pPr>
      <w:r>
        <w:t>The user views and/or prints the report</w:t>
      </w:r>
      <w:r w:rsidR="007A6EB0">
        <w:t>.</w:t>
      </w:r>
    </w:p>
    <w:p w14:paraId="6C6B5B19" w14:textId="77777777" w:rsidR="007A6EB0" w:rsidRDefault="007A6EB0" w:rsidP="007A6EB0">
      <w:pPr>
        <w:pStyle w:val="Heading4"/>
        <w:rPr>
          <w:b w:val="0"/>
        </w:rPr>
      </w:pPr>
      <w:r>
        <w:t>Limitations and Restrictions</w:t>
      </w:r>
      <w:r>
        <w:rPr>
          <w:b w:val="0"/>
        </w:rPr>
        <w:t xml:space="preserve"> </w:t>
      </w:r>
    </w:p>
    <w:p w14:paraId="6D92CB6F" w14:textId="77777777" w:rsidR="007A6EB0" w:rsidRDefault="007A6EB0" w:rsidP="007A6EB0">
      <w:pPr>
        <w:pStyle w:val="ListBullet"/>
      </w:pPr>
      <w:r>
        <w:t>None</w:t>
      </w:r>
    </w:p>
    <w:p w14:paraId="33935D2F" w14:textId="77777777" w:rsidR="007A6EB0" w:rsidRDefault="007A6EB0" w:rsidP="007A6EB0">
      <w:pPr>
        <w:pStyle w:val="Heading4"/>
      </w:pPr>
      <w:r>
        <w:t xml:space="preserve">Additional Information </w:t>
      </w:r>
    </w:p>
    <w:p w14:paraId="376A914B" w14:textId="77777777" w:rsidR="007A6EB0" w:rsidRDefault="007A6EB0" w:rsidP="007A6EB0">
      <w:pPr>
        <w:pStyle w:val="ListBullet"/>
      </w:pPr>
      <w:r>
        <w:t>The report is available as a single-division or multidivisional (all divisions) report.</w:t>
      </w:r>
    </w:p>
    <w:p w14:paraId="0E54AD16" w14:textId="77777777" w:rsidR="007A6EB0" w:rsidRDefault="007A6EB0" w:rsidP="007A6EB0">
      <w:pPr>
        <w:pStyle w:val="Heading4"/>
        <w:rPr>
          <w:b w:val="0"/>
        </w:rPr>
      </w:pPr>
      <w:r>
        <w:t>User Roles with Access to This Option</w:t>
      </w:r>
      <w:r>
        <w:rPr>
          <w:b w:val="0"/>
        </w:rPr>
        <w:t xml:space="preserve"> </w:t>
      </w:r>
    </w:p>
    <w:p w14:paraId="6180D95E" w14:textId="77777777" w:rsidR="007A6EB0" w:rsidRDefault="007A6EB0" w:rsidP="007A6EB0">
      <w:pPr>
        <w:pStyle w:val="Roles"/>
      </w:pPr>
      <w:r>
        <w:t>All users</w:t>
      </w:r>
    </w:p>
    <w:p w14:paraId="271FC3B7" w14:textId="77777777" w:rsidR="007A6EB0" w:rsidRDefault="007A6EB0" w:rsidP="007A6EB0">
      <w:pPr>
        <w:pStyle w:val="Heading4"/>
      </w:pPr>
      <w:r>
        <w:t xml:space="preserve">Administrative Data Report </w:t>
      </w:r>
    </w:p>
    <w:p w14:paraId="08A411C9" w14:textId="77777777" w:rsidR="007A6EB0" w:rsidRDefault="007A6EB0" w:rsidP="007A6EB0">
      <w:pPr>
        <w:pStyle w:val="BodyText"/>
      </w:pPr>
      <w:r>
        <w:t xml:space="preserve">The user </w:t>
      </w:r>
      <w:r w:rsidR="00FF1708">
        <w:t xml:space="preserve">views </w:t>
      </w:r>
      <w:r w:rsidR="00EB1E5A">
        <w:t>and/or</w:t>
      </w:r>
      <w:r w:rsidR="00FF1708">
        <w:t xml:space="preserve"> prints </w:t>
      </w:r>
      <w:r>
        <w:t>the Administrative Data Report</w:t>
      </w:r>
      <w:r w:rsidR="00A611B6">
        <w:t>, which includes blood product transactions</w:t>
      </w:r>
      <w:r>
        <w:t xml:space="preserve"> for a given date range.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6EB0" w14:paraId="3EF79EFA" w14:textId="77777777">
        <w:trPr>
          <w:tblHeader/>
        </w:trPr>
        <w:tc>
          <w:tcPr>
            <w:tcW w:w="3240" w:type="dxa"/>
            <w:shd w:val="pct30" w:color="auto" w:fill="FFFFFF"/>
            <w:vAlign w:val="bottom"/>
          </w:tcPr>
          <w:p w14:paraId="194AF861" w14:textId="77777777" w:rsidR="007A6EB0" w:rsidRDefault="007A6EB0" w:rsidP="007A6EB0">
            <w:pPr>
              <w:pStyle w:val="TableText"/>
              <w:rPr>
                <w:b/>
              </w:rPr>
            </w:pPr>
            <w:r>
              <w:rPr>
                <w:b/>
              </w:rPr>
              <w:t>User Action</w:t>
            </w:r>
          </w:p>
        </w:tc>
        <w:tc>
          <w:tcPr>
            <w:tcW w:w="6120" w:type="dxa"/>
            <w:shd w:val="pct30" w:color="auto" w:fill="FFFFFF"/>
            <w:vAlign w:val="bottom"/>
          </w:tcPr>
          <w:p w14:paraId="6C276918" w14:textId="77777777" w:rsidR="007A6EB0" w:rsidRDefault="007A6EB0" w:rsidP="007A6EB0">
            <w:pPr>
              <w:pStyle w:val="TableText"/>
              <w:rPr>
                <w:b/>
              </w:rPr>
            </w:pPr>
            <w:r>
              <w:rPr>
                <w:b/>
              </w:rPr>
              <w:t>VBECS</w:t>
            </w:r>
          </w:p>
        </w:tc>
      </w:tr>
      <w:tr w:rsidR="007A6EB0" w14:paraId="17BE1CD6" w14:textId="77777777">
        <w:tc>
          <w:tcPr>
            <w:tcW w:w="3240" w:type="dxa"/>
          </w:tcPr>
          <w:p w14:paraId="3C9AADF8" w14:textId="77777777" w:rsidR="007A6EB0" w:rsidRDefault="007A6EB0" w:rsidP="00925CAD">
            <w:pPr>
              <w:pStyle w:val="TableTextNumbers"/>
              <w:numPr>
                <w:ilvl w:val="0"/>
                <w:numId w:val="50"/>
              </w:numPr>
            </w:pPr>
            <w:r>
              <w:t xml:space="preserve">Select </w:t>
            </w:r>
            <w:r w:rsidRPr="004831F9">
              <w:rPr>
                <w:b/>
              </w:rPr>
              <w:t>Reports</w:t>
            </w:r>
            <w:r>
              <w:t xml:space="preserve"> from the main menu.</w:t>
            </w:r>
          </w:p>
          <w:p w14:paraId="1510D212" w14:textId="77777777" w:rsidR="007A6EB0" w:rsidRDefault="007A6EB0" w:rsidP="007A6EB0">
            <w:pPr>
              <w:pStyle w:val="TableTextNumbersContinued"/>
            </w:pPr>
          </w:p>
          <w:p w14:paraId="4157C140" w14:textId="77777777" w:rsidR="007A6EB0" w:rsidRDefault="007A6EB0" w:rsidP="007A6EB0">
            <w:pPr>
              <w:pStyle w:val="TableTextNumbersContinued"/>
            </w:pPr>
            <w:r>
              <w:t xml:space="preserve">Select </w:t>
            </w:r>
            <w:r>
              <w:rPr>
                <w:b/>
              </w:rPr>
              <w:t>Administrative Data Report</w:t>
            </w:r>
            <w:r>
              <w:t>.</w:t>
            </w:r>
          </w:p>
        </w:tc>
        <w:tc>
          <w:tcPr>
            <w:tcW w:w="6120" w:type="dxa"/>
          </w:tcPr>
          <w:p w14:paraId="5E9D7D61" w14:textId="77777777" w:rsidR="007A6EB0" w:rsidRDefault="007A6EB0" w:rsidP="007A6EB0">
            <w:pPr>
              <w:pStyle w:val="TableTextBullet"/>
            </w:pPr>
            <w:r>
              <w:t>Lists report names.</w:t>
            </w:r>
          </w:p>
          <w:p w14:paraId="5ADFD6DE" w14:textId="77777777" w:rsidR="007A6EB0" w:rsidRDefault="007A6EB0" w:rsidP="007A6EB0">
            <w:pPr>
              <w:pStyle w:val="TableTextBullet"/>
            </w:pPr>
            <w:r>
              <w:t xml:space="preserve">Displays report compilation criteria. </w:t>
            </w:r>
          </w:p>
          <w:p w14:paraId="5842DA50" w14:textId="77777777" w:rsidR="007A6EB0" w:rsidRDefault="007A6EB0" w:rsidP="007A6EB0">
            <w:pPr>
              <w:pStyle w:val="TableTextBullet"/>
            </w:pPr>
            <w:r>
              <w:t>Displays a date range for selection.</w:t>
            </w:r>
          </w:p>
        </w:tc>
      </w:tr>
      <w:tr w:rsidR="007A6EB0" w14:paraId="469FFE36" w14:textId="77777777" w:rsidTr="00FB2A8A">
        <w:trPr>
          <w:cantSplit/>
        </w:trPr>
        <w:tc>
          <w:tcPr>
            <w:tcW w:w="3240" w:type="dxa"/>
          </w:tcPr>
          <w:p w14:paraId="7364F530" w14:textId="77777777" w:rsidR="0038145B" w:rsidRDefault="0038145B" w:rsidP="007A6EB0">
            <w:pPr>
              <w:pStyle w:val="TableTextNumbers"/>
            </w:pPr>
            <w:r>
              <w:lastRenderedPageBreak/>
              <w:t>Enter or select start and end dates.</w:t>
            </w:r>
          </w:p>
          <w:p w14:paraId="031F1C2A" w14:textId="77777777" w:rsidR="0038145B" w:rsidRDefault="0038145B" w:rsidP="0038145B">
            <w:pPr>
              <w:pStyle w:val="TableTextNumbers"/>
              <w:numPr>
                <w:ilvl w:val="0"/>
                <w:numId w:val="0"/>
              </w:numPr>
              <w:ind w:left="288"/>
            </w:pPr>
          </w:p>
          <w:p w14:paraId="5B88361F" w14:textId="77777777" w:rsidR="007A6EB0" w:rsidRDefault="007A6EB0" w:rsidP="0038145B">
            <w:pPr>
              <w:pStyle w:val="TableTextNumbers"/>
              <w:numPr>
                <w:ilvl w:val="0"/>
                <w:numId w:val="0"/>
              </w:numPr>
              <w:ind w:left="288"/>
            </w:pPr>
            <w:r>
              <w:t xml:space="preserve">Click the </w:t>
            </w:r>
            <w:r>
              <w:rPr>
                <w:b/>
              </w:rPr>
              <w:t>Current Divisions</w:t>
            </w:r>
            <w:r>
              <w:t xml:space="preserve"> or</w:t>
            </w:r>
            <w:r>
              <w:rPr>
                <w:b/>
              </w:rPr>
              <w:t xml:space="preserve"> All Divisions </w:t>
            </w:r>
            <w:r w:rsidRPr="00BF2E41">
              <w:t>radio button</w:t>
            </w:r>
            <w:r>
              <w:t>.</w:t>
            </w:r>
          </w:p>
        </w:tc>
        <w:tc>
          <w:tcPr>
            <w:tcW w:w="6120" w:type="dxa"/>
          </w:tcPr>
          <w:p w14:paraId="13912C51" w14:textId="77777777" w:rsidR="007A6EB0" w:rsidRDefault="007A6EB0" w:rsidP="007A6EB0">
            <w:pPr>
              <w:pStyle w:val="TableTextBullet"/>
            </w:pPr>
            <w:r>
              <w:t>Allows the user to select one or all divisions.</w:t>
            </w:r>
          </w:p>
          <w:p w14:paraId="435DDCDE" w14:textId="77777777" w:rsidR="007A6EB0" w:rsidRDefault="007A6EB0" w:rsidP="007A6EB0">
            <w:pPr>
              <w:pStyle w:val="TableText"/>
              <w:rPr>
                <w:b/>
                <w:bCs/>
                <w:szCs w:val="18"/>
              </w:rPr>
            </w:pPr>
          </w:p>
          <w:p w14:paraId="02EF0865" w14:textId="12448CED" w:rsidR="007A6EB0" w:rsidRDefault="007A6EB0" w:rsidP="007A6EB0">
            <w:pPr>
              <w:pStyle w:val="TableText"/>
              <w:rPr>
                <w:b/>
                <w:bCs/>
                <w:szCs w:val="18"/>
              </w:rPr>
            </w:pPr>
            <w:r>
              <w:rPr>
                <w:b/>
                <w:bCs/>
                <w:szCs w:val="18"/>
              </w:rPr>
              <w:t>NOTES</w:t>
            </w:r>
          </w:p>
          <w:p w14:paraId="2721B2B4" w14:textId="77777777" w:rsidR="007A6EB0" w:rsidRDefault="007A6EB0" w:rsidP="007A6EB0">
            <w:pPr>
              <w:pStyle w:val="NotesText"/>
            </w:pPr>
          </w:p>
          <w:p w14:paraId="52D17D15" w14:textId="77777777" w:rsidR="007A6EB0" w:rsidRDefault="007A6EB0" w:rsidP="007A6EB0">
            <w:pPr>
              <w:pStyle w:val="NotesText"/>
            </w:pPr>
            <w:r>
              <w:t>For each component class and its subdivisions, VBECS tallies:</w:t>
            </w:r>
          </w:p>
          <w:p w14:paraId="49B8695E" w14:textId="77777777" w:rsidR="007A6EB0" w:rsidRDefault="007A6EB0" w:rsidP="007A6EB0">
            <w:pPr>
              <w:pStyle w:val="NotesTextBullet"/>
              <w:tabs>
                <w:tab w:val="clear" w:pos="1008"/>
                <w:tab w:val="num" w:pos="288"/>
              </w:tabs>
            </w:pPr>
            <w:r>
              <w:rPr>
                <w:rFonts w:cs="Arial"/>
                <w:vanish/>
              </w:rPr>
              <w:t xml:space="preserve">BR_107.01 </w:t>
            </w:r>
            <w:r>
              <w:t>Products received</w:t>
            </w:r>
          </w:p>
          <w:p w14:paraId="42AF13B7" w14:textId="77777777" w:rsidR="007A6EB0" w:rsidRDefault="007A6EB0" w:rsidP="007A6EB0">
            <w:pPr>
              <w:pStyle w:val="NotesTextBullet"/>
              <w:tabs>
                <w:tab w:val="clear" w:pos="1008"/>
                <w:tab w:val="num" w:pos="288"/>
              </w:tabs>
            </w:pPr>
            <w:r>
              <w:rPr>
                <w:rFonts w:cs="Arial"/>
                <w:vanish/>
              </w:rPr>
              <w:t xml:space="preserve">BR_107.02 </w:t>
            </w:r>
            <w:r>
              <w:t>Products modified/prepared</w:t>
            </w:r>
          </w:p>
          <w:p w14:paraId="519421C8" w14:textId="77777777" w:rsidR="007A6EB0" w:rsidRDefault="007A6EB0" w:rsidP="007A6EB0">
            <w:pPr>
              <w:pStyle w:val="NotesTextBullet"/>
              <w:tabs>
                <w:tab w:val="clear" w:pos="1008"/>
                <w:tab w:val="num" w:pos="288"/>
              </w:tabs>
            </w:pPr>
            <w:r>
              <w:rPr>
                <w:rFonts w:cs="Arial"/>
                <w:vanish/>
              </w:rPr>
              <w:t xml:space="preserve">BR_107.03 </w:t>
            </w:r>
            <w:r>
              <w:t>Units transfused</w:t>
            </w:r>
          </w:p>
          <w:p w14:paraId="3AE0C861" w14:textId="77777777" w:rsidR="007A6EB0" w:rsidRDefault="007A6EB0" w:rsidP="007A6EB0">
            <w:pPr>
              <w:pStyle w:val="NotesTextBullet"/>
              <w:tabs>
                <w:tab w:val="clear" w:pos="1008"/>
                <w:tab w:val="num" w:pos="288"/>
              </w:tabs>
            </w:pPr>
            <w:r>
              <w:rPr>
                <w:rFonts w:cs="Arial"/>
                <w:vanish/>
              </w:rPr>
              <w:t xml:space="preserve">BR_107.04 </w:t>
            </w:r>
            <w:r>
              <w:t>Units shipped</w:t>
            </w:r>
          </w:p>
          <w:p w14:paraId="5C73F918" w14:textId="77777777" w:rsidR="007A6EB0" w:rsidRDefault="007A6EB0" w:rsidP="007A6EB0">
            <w:pPr>
              <w:pStyle w:val="NotesTextBullet"/>
              <w:tabs>
                <w:tab w:val="clear" w:pos="1008"/>
                <w:tab w:val="num" w:pos="288"/>
              </w:tabs>
            </w:pPr>
            <w:r>
              <w:rPr>
                <w:rFonts w:cs="Arial"/>
                <w:vanish/>
              </w:rPr>
              <w:t xml:space="preserve">BR_107.05 </w:t>
            </w:r>
            <w:r>
              <w:t>Outdated units</w:t>
            </w:r>
          </w:p>
          <w:p w14:paraId="6872D175" w14:textId="77777777" w:rsidR="00007B62" w:rsidRDefault="00007B62" w:rsidP="00CB0319">
            <w:pPr>
              <w:pStyle w:val="NotesTextBullet"/>
              <w:numPr>
                <w:ilvl w:val="0"/>
                <w:numId w:val="0"/>
              </w:numPr>
              <w:ind w:left="720"/>
              <w:rPr>
                <w:rFonts w:cs="Arial"/>
                <w:vanish/>
              </w:rPr>
            </w:pPr>
          </w:p>
          <w:p w14:paraId="6827EEF9" w14:textId="73503E4C" w:rsidR="007A6EB0" w:rsidRPr="00CB0319" w:rsidRDefault="007A6EB0" w:rsidP="00CB0319">
            <w:pPr>
              <w:pStyle w:val="NotesTextBullet"/>
              <w:numPr>
                <w:ilvl w:val="0"/>
                <w:numId w:val="0"/>
              </w:numPr>
              <w:ind w:left="720"/>
              <w:rPr>
                <w:rFonts w:cs="Arial"/>
                <w:szCs w:val="18"/>
              </w:rPr>
            </w:pPr>
            <w:r>
              <w:rPr>
                <w:rFonts w:cs="Arial"/>
                <w:vanish/>
              </w:rPr>
              <w:t xml:space="preserve">BR_107.06 </w:t>
            </w:r>
            <w:r w:rsidR="00CB0319" w:rsidRPr="006F59A1">
              <w:rPr>
                <w:rFonts w:cs="Arial"/>
                <w:szCs w:val="18"/>
              </w:rPr>
              <w:t>Tallies are presented for total units received as well as subtotals for donation type categories, allogeneic, directed, and autologous.</w:t>
            </w:r>
          </w:p>
          <w:p w14:paraId="5F07BDD1" w14:textId="77777777" w:rsidR="00623790" w:rsidRDefault="00623790" w:rsidP="00CB0319">
            <w:pPr>
              <w:pStyle w:val="NotesTextBullet"/>
              <w:numPr>
                <w:ilvl w:val="0"/>
                <w:numId w:val="0"/>
              </w:numPr>
              <w:tabs>
                <w:tab w:val="num" w:pos="288"/>
              </w:tabs>
            </w:pPr>
          </w:p>
          <w:p w14:paraId="4709E254"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BR_107.08 </w:t>
            </w:r>
            <w:r w:rsidRPr="006F59A1">
              <w:rPr>
                <w:rFonts w:cs="Arial"/>
                <w:szCs w:val="18"/>
              </w:rPr>
              <w:t>Tallies are presented for total units received as well as subtotals for donation type categories, allogeneic, directed, and autologous.</w:t>
            </w:r>
          </w:p>
          <w:p w14:paraId="613C7D77" w14:textId="77777777" w:rsidR="00623790" w:rsidRDefault="00623790" w:rsidP="00623790">
            <w:pPr>
              <w:pStyle w:val="NotesTextBullet"/>
              <w:numPr>
                <w:ilvl w:val="0"/>
                <w:numId w:val="0"/>
              </w:numPr>
              <w:ind w:left="1008" w:hanging="288"/>
              <w:rPr>
                <w:rFonts w:cs="Arial"/>
                <w:szCs w:val="18"/>
              </w:rPr>
            </w:pPr>
          </w:p>
          <w:p w14:paraId="68A62CF9"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BR_107.09 </w:t>
            </w:r>
            <w:r w:rsidRPr="006F59A1">
              <w:rPr>
                <w:rFonts w:cs="Arial"/>
                <w:szCs w:val="18"/>
              </w:rPr>
              <w:t>All categories are calculated within the selected date range, not for a total in the system.</w:t>
            </w:r>
          </w:p>
          <w:p w14:paraId="4A183821" w14:textId="77777777" w:rsidR="00623790" w:rsidRDefault="00623790" w:rsidP="00623790">
            <w:pPr>
              <w:pStyle w:val="NotesTextBullet"/>
              <w:numPr>
                <w:ilvl w:val="0"/>
                <w:numId w:val="0"/>
              </w:numPr>
              <w:ind w:left="1008" w:hanging="288"/>
              <w:rPr>
                <w:rFonts w:cs="Arial"/>
                <w:szCs w:val="18"/>
              </w:rPr>
            </w:pPr>
          </w:p>
          <w:p w14:paraId="1E2E2481" w14:textId="228964AF" w:rsidR="00623790" w:rsidRPr="006F59A1" w:rsidRDefault="00623790" w:rsidP="00623790">
            <w:pPr>
              <w:pStyle w:val="NotesTextBullet"/>
              <w:numPr>
                <w:ilvl w:val="0"/>
                <w:numId w:val="0"/>
              </w:numPr>
              <w:ind w:left="720"/>
              <w:rPr>
                <w:rFonts w:cs="Arial"/>
                <w:szCs w:val="18"/>
              </w:rPr>
            </w:pPr>
            <w:r w:rsidRPr="00623790">
              <w:rPr>
                <w:rFonts w:cs="Arial"/>
                <w:vanish/>
                <w:szCs w:val="18"/>
              </w:rPr>
              <w:t xml:space="preserve">BR_107.10 </w:t>
            </w:r>
            <w:r w:rsidRPr="006F59A1">
              <w:rPr>
                <w:rFonts w:cs="Arial"/>
                <w:szCs w:val="18"/>
              </w:rPr>
              <w:t xml:space="preserve">If there is no calculation for a given field, the system will display </w:t>
            </w:r>
            <w:r w:rsidR="00007B62">
              <w:rPr>
                <w:rFonts w:cs="Arial"/>
                <w:szCs w:val="18"/>
              </w:rPr>
              <w:t>0 (zero)</w:t>
            </w:r>
            <w:r w:rsidRPr="006F59A1">
              <w:rPr>
                <w:rFonts w:cs="Arial"/>
                <w:szCs w:val="18"/>
              </w:rPr>
              <w:t>.</w:t>
            </w:r>
          </w:p>
          <w:p w14:paraId="6B3B2C85" w14:textId="77777777" w:rsidR="00623790" w:rsidRDefault="00623790" w:rsidP="00623790">
            <w:pPr>
              <w:pStyle w:val="NotesTextBullet"/>
              <w:numPr>
                <w:ilvl w:val="0"/>
                <w:numId w:val="0"/>
              </w:numPr>
              <w:ind w:left="1008" w:hanging="288"/>
            </w:pPr>
          </w:p>
          <w:p w14:paraId="5827EB57"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BR_107.11 </w:t>
            </w:r>
            <w:r w:rsidRPr="006F59A1">
              <w:rPr>
                <w:rFonts w:cs="Arial"/>
                <w:szCs w:val="18"/>
              </w:rPr>
              <w:t>Identify split/divided units using the unit product code in ISBT 128</w:t>
            </w:r>
            <w:r>
              <w:rPr>
                <w:rFonts w:cs="Arial"/>
                <w:szCs w:val="18"/>
              </w:rPr>
              <w:t>;</w:t>
            </w:r>
            <w:r w:rsidRPr="006F59A1">
              <w:rPr>
                <w:rFonts w:cs="Arial"/>
                <w:szCs w:val="18"/>
              </w:rPr>
              <w:t xml:space="preserve"> labeling contains the unit division code in the seventh and eighth characters or may be a separ</w:t>
            </w:r>
            <w:r>
              <w:rPr>
                <w:rFonts w:cs="Arial"/>
                <w:szCs w:val="18"/>
              </w:rPr>
              <w:t xml:space="preserve">ate product code, indicated as </w:t>
            </w:r>
            <w:r w:rsidRPr="006F59A1">
              <w:rPr>
                <w:rFonts w:cs="Arial"/>
                <w:szCs w:val="18"/>
              </w:rPr>
              <w:t>1st container, 2nd container, and so on.</w:t>
            </w:r>
          </w:p>
          <w:p w14:paraId="0E7C60B8" w14:textId="77777777" w:rsidR="00623790" w:rsidRDefault="00623790" w:rsidP="00623790">
            <w:pPr>
              <w:pStyle w:val="NotesTextBullet"/>
              <w:numPr>
                <w:ilvl w:val="0"/>
                <w:numId w:val="0"/>
              </w:numPr>
              <w:ind w:left="1008" w:hanging="288"/>
              <w:rPr>
                <w:rFonts w:cs="Arial"/>
                <w:szCs w:val="18"/>
              </w:rPr>
            </w:pPr>
          </w:p>
          <w:p w14:paraId="54972CD6" w14:textId="77777777" w:rsidR="00623790" w:rsidRDefault="00623790" w:rsidP="00623790">
            <w:pPr>
              <w:pStyle w:val="NotesTextBullet"/>
              <w:numPr>
                <w:ilvl w:val="0"/>
                <w:numId w:val="0"/>
              </w:numPr>
              <w:ind w:left="720"/>
            </w:pPr>
            <w:r w:rsidRPr="00623790">
              <w:rPr>
                <w:rFonts w:cs="Arial"/>
                <w:vanish/>
                <w:szCs w:val="18"/>
              </w:rPr>
              <w:t xml:space="preserve">BR_107.12 </w:t>
            </w:r>
            <w:r w:rsidRPr="006F59A1">
              <w:rPr>
                <w:rFonts w:cs="Arial"/>
                <w:szCs w:val="18"/>
              </w:rPr>
              <w:t>For Pooled totals PREPARED in VBECS, include two numbers, the first being the total number of units included in those pools. The second number is number of pools created</w:t>
            </w:r>
            <w:r>
              <w:rPr>
                <w:rFonts w:cs="Arial"/>
                <w:szCs w:val="18"/>
              </w:rPr>
              <w:t>, for</w:t>
            </w:r>
            <w:r w:rsidRPr="006F59A1">
              <w:rPr>
                <w:rFonts w:cs="Arial"/>
                <w:szCs w:val="18"/>
              </w:rPr>
              <w:t xml:space="preserve"> example</w:t>
            </w:r>
            <w:r>
              <w:rPr>
                <w:rFonts w:cs="Arial"/>
                <w:szCs w:val="18"/>
              </w:rPr>
              <w:t>,</w:t>
            </w:r>
            <w:r w:rsidRPr="006F59A1">
              <w:rPr>
                <w:rFonts w:cs="Arial"/>
                <w:szCs w:val="18"/>
              </w:rPr>
              <w:t xml:space="preserve"> (2) 1</w:t>
            </w:r>
            <w:r>
              <w:rPr>
                <w:rFonts w:cs="Arial"/>
                <w:szCs w:val="18"/>
              </w:rPr>
              <w:t>.</w:t>
            </w:r>
          </w:p>
        </w:tc>
      </w:tr>
      <w:tr w:rsidR="007A6EB0" w14:paraId="447D023B" w14:textId="77777777">
        <w:tc>
          <w:tcPr>
            <w:tcW w:w="3240" w:type="dxa"/>
          </w:tcPr>
          <w:p w14:paraId="02E829C0" w14:textId="77777777" w:rsidR="007A6EB0" w:rsidRDefault="007A6EB0" w:rsidP="007A6EB0">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F964CD8" w14:textId="77777777" w:rsidR="007A6EB0" w:rsidRDefault="007A6EB0" w:rsidP="007A6EB0">
            <w:pPr>
              <w:pStyle w:val="TableTextNumbersContinued"/>
            </w:pPr>
          </w:p>
          <w:p w14:paraId="640EC6BF" w14:textId="77777777" w:rsidR="007A6EB0" w:rsidRDefault="007A6EB0" w:rsidP="007A6EB0">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5EB7AC9" w14:textId="77777777" w:rsidR="005B6A94" w:rsidRDefault="00F64B5C" w:rsidP="00AA2B2E">
            <w:pPr>
              <w:pStyle w:val="TableTextBullet"/>
            </w:pPr>
            <w:r>
              <w:t>Compiles and displays the report.</w:t>
            </w:r>
          </w:p>
          <w:p w14:paraId="55D22BFD" w14:textId="77777777" w:rsidR="00EA1A6F" w:rsidRDefault="00EA1A6F" w:rsidP="00EA1A6F">
            <w:pPr>
              <w:pStyle w:val="TableTextBullet"/>
              <w:numPr>
                <w:ilvl w:val="0"/>
                <w:numId w:val="0"/>
              </w:numPr>
              <w:ind w:left="288" w:hanging="288"/>
            </w:pPr>
          </w:p>
          <w:p w14:paraId="7AEE60DF" w14:textId="6ADF1239" w:rsidR="00EA1A6F" w:rsidRDefault="00EA1A6F" w:rsidP="00EA1A6F">
            <w:pPr>
              <w:pStyle w:val="TableText"/>
              <w:rPr>
                <w:b/>
                <w:bCs/>
                <w:szCs w:val="18"/>
              </w:rPr>
            </w:pPr>
            <w:r>
              <w:rPr>
                <w:b/>
                <w:bCs/>
                <w:szCs w:val="18"/>
              </w:rPr>
              <w:t>NOTES</w:t>
            </w:r>
          </w:p>
          <w:p w14:paraId="0BCA3428" w14:textId="77777777" w:rsidR="00EA1A6F" w:rsidRDefault="00EA1A6F" w:rsidP="00786F85">
            <w:pPr>
              <w:pStyle w:val="NotesText"/>
              <w:ind w:left="0"/>
            </w:pPr>
          </w:p>
          <w:p w14:paraId="673F8F1D" w14:textId="6C6B0C99" w:rsidR="00EA1A6F" w:rsidRDefault="00490777" w:rsidP="00EA1A6F">
            <w:pPr>
              <w:pStyle w:val="NotesText"/>
            </w:pPr>
            <w:r w:rsidRPr="00490777">
              <w:rPr>
                <w:vanish/>
              </w:rPr>
              <w:t xml:space="preserve">BR_77.11 </w:t>
            </w:r>
            <w:r w:rsidR="00D5504F">
              <w:t>The user may choose to schedule a report to run at a future date and time and print on a designated printer. When a date range is supplied for the report, the report's end date must occur before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w:t>
            </w:r>
          </w:p>
          <w:p w14:paraId="0C623F4B" w14:textId="77777777" w:rsidR="00490777" w:rsidRDefault="00490777" w:rsidP="00EA1A6F">
            <w:pPr>
              <w:pStyle w:val="NotesText"/>
            </w:pPr>
          </w:p>
          <w:p w14:paraId="3022DCCA" w14:textId="77777777" w:rsidR="00490777" w:rsidRDefault="00490777" w:rsidP="00EA1A6F">
            <w:pPr>
              <w:pStyle w:val="NotesText"/>
            </w:pPr>
            <w:r w:rsidRPr="00490777">
              <w:rPr>
                <w:vanish/>
              </w:rPr>
              <w:t xml:space="preserve">BR_20.17 </w:t>
            </w:r>
            <w:r>
              <w:t>When the user chooses to a view report, the system always displays the report. The user may elect to print a hard copy of the report on a designated printer or exit.</w:t>
            </w:r>
          </w:p>
        </w:tc>
      </w:tr>
      <w:tr w:rsidR="007A6EB0" w14:paraId="3D986362" w14:textId="77777777" w:rsidTr="007E500E">
        <w:trPr>
          <w:cantSplit/>
        </w:trPr>
        <w:tc>
          <w:tcPr>
            <w:tcW w:w="3240" w:type="dxa"/>
          </w:tcPr>
          <w:p w14:paraId="0ACB6AE7" w14:textId="435A1CF0" w:rsidR="007A6EB0" w:rsidRDefault="007A6EB0" w:rsidP="007A6EB0">
            <w:pPr>
              <w:pStyle w:val="TableTextNumbers"/>
            </w:pPr>
            <w:bookmarkStart w:id="532" w:name="_Hlk2774996"/>
            <w:r w:rsidRPr="0076371D">
              <w:t xml:space="preserve">Select </w:t>
            </w:r>
            <w:r w:rsidRPr="0076371D">
              <w:rPr>
                <w:b/>
              </w:rPr>
              <w:t>Print</w:t>
            </w:r>
            <w:r w:rsidR="000A0FDE" w:rsidRPr="0076371D">
              <w:rPr>
                <w:b/>
              </w:rPr>
              <w:t xml:space="preserve"> </w:t>
            </w:r>
            <w:r w:rsidRPr="0076371D">
              <w:t>to print the repor</w:t>
            </w:r>
            <w:r w:rsidR="00E9352F">
              <w:t>t</w:t>
            </w:r>
            <w:r w:rsidR="00D330A4" w:rsidRPr="0076371D">
              <w:t xml:space="preserve">, </w:t>
            </w:r>
            <w:r w:rsidR="00D330A4" w:rsidRPr="0076371D">
              <w:rPr>
                <w:b/>
              </w:rPr>
              <w:t>Export</w:t>
            </w:r>
            <w:r w:rsidR="00D330A4" w:rsidRPr="0076371D">
              <w:t xml:space="preserve"> </w:t>
            </w:r>
            <w:r w:rsidR="00E60477">
              <w:t xml:space="preserve">to export the report </w:t>
            </w:r>
            <w:r w:rsidR="00E9352F" w:rsidRPr="0076371D">
              <w:rPr>
                <w:szCs w:val="18"/>
              </w:rPr>
              <w:t xml:space="preserve">(See </w:t>
            </w:r>
            <w:r w:rsidR="00EE455E" w:rsidRPr="00EE455E">
              <w:rPr>
                <w:szCs w:val="18"/>
              </w:rPr>
              <w:t>Report Export</w:t>
            </w:r>
            <w:r w:rsidR="00E9352F">
              <w:rPr>
                <w:szCs w:val="18"/>
              </w:rPr>
              <w:t xml:space="preserve"> section</w:t>
            </w:r>
            <w:r w:rsidR="00E9352F" w:rsidRPr="0076371D">
              <w:rPr>
                <w:szCs w:val="18"/>
              </w:rPr>
              <w:t>)</w:t>
            </w:r>
            <w:r w:rsidR="00E9352F">
              <w:t xml:space="preserve">, </w:t>
            </w:r>
            <w:r w:rsidR="00E9352F">
              <w:rPr>
                <w:szCs w:val="18"/>
              </w:rPr>
              <w:t xml:space="preserve">or </w:t>
            </w:r>
            <w:r w:rsidRPr="0076371D">
              <w:t xml:space="preserve">click </w:t>
            </w:r>
            <w:r w:rsidRPr="0076371D">
              <w:rPr>
                <w:b/>
              </w:rPr>
              <w:t>Close</w:t>
            </w:r>
            <w:r w:rsidRPr="0076371D">
              <w:t xml:space="preserve"> to exit</w:t>
            </w:r>
            <w:r w:rsidR="005C22EF">
              <w:t xml:space="preserve"> without printing</w:t>
            </w:r>
            <w:r w:rsidRPr="0076371D">
              <w:t>.</w:t>
            </w:r>
            <w:r w:rsidRPr="0076371D">
              <w:rPr>
                <w:rStyle w:val="StyleTableTextNumbersWhite1Char"/>
              </w:rPr>
              <w:t xml:space="preserve"> </w:t>
            </w:r>
            <w:bookmarkEnd w:id="532"/>
          </w:p>
        </w:tc>
        <w:tc>
          <w:tcPr>
            <w:tcW w:w="6120" w:type="dxa"/>
          </w:tcPr>
          <w:p w14:paraId="7FEAFD0C" w14:textId="70A44A1A" w:rsidR="007A6EB0" w:rsidRDefault="00E9352F" w:rsidP="007A6EB0">
            <w:pPr>
              <w:pStyle w:val="TableTextBullet"/>
            </w:pPr>
            <w:r>
              <w:t>If Print is selected, p</w:t>
            </w:r>
            <w:r w:rsidR="007A6EB0">
              <w:t xml:space="preserve">rints the report on the </w:t>
            </w:r>
            <w:r>
              <w:t>designated</w:t>
            </w:r>
            <w:r w:rsidR="007A6EB0">
              <w:t xml:space="preserve"> printer</w:t>
            </w:r>
            <w:r>
              <w:t>.</w:t>
            </w:r>
          </w:p>
          <w:p w14:paraId="774BAADC" w14:textId="0D0E73D9" w:rsidR="00E9352F" w:rsidRDefault="00E9352F" w:rsidP="007A6EB0">
            <w:pPr>
              <w:pStyle w:val="TableTextBullet"/>
            </w:pPr>
            <w:r>
              <w:t>If Export is selected, exports the report to the designated file.</w:t>
            </w:r>
          </w:p>
          <w:p w14:paraId="38D0CEC0" w14:textId="071F9704" w:rsidR="00E9352F" w:rsidRDefault="00E9352F" w:rsidP="007A6EB0">
            <w:pPr>
              <w:pStyle w:val="TableTextBullet"/>
            </w:pPr>
            <w:r>
              <w:t>If Close is selected, exits the report preview.</w:t>
            </w:r>
          </w:p>
        </w:tc>
      </w:tr>
    </w:tbl>
    <w:p w14:paraId="432BD800" w14:textId="77777777" w:rsidR="002A21AE" w:rsidRDefault="00F55832" w:rsidP="007A6EB0">
      <w:pPr>
        <w:pStyle w:val="Heading2"/>
      </w:pPr>
      <w:r>
        <w:br w:type="page"/>
      </w:r>
      <w:bookmarkStart w:id="533" w:name="_Toc163644969"/>
      <w:r w:rsidR="002A21AE">
        <w:lastRenderedPageBreak/>
        <w:t>Audit Trail</w:t>
      </w:r>
      <w:bookmarkEnd w:id="533"/>
      <w:r w:rsidR="002A21AE">
        <w:fldChar w:fldCharType="begin"/>
      </w:r>
      <w:r w:rsidR="002A21AE">
        <w:instrText xml:space="preserve"> XE </w:instrText>
      </w:r>
      <w:r w:rsidR="00FA7E65">
        <w:instrText>“</w:instrText>
      </w:r>
      <w:r w:rsidR="002A21AE">
        <w:instrText>Audit Trail</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UC_77</w:t>
      </w:r>
    </w:p>
    <w:bookmarkEnd w:id="531"/>
    <w:p w14:paraId="040A5E48" w14:textId="77777777" w:rsidR="002A21AE" w:rsidRDefault="002A21AE" w:rsidP="00FA7E65">
      <w:pPr>
        <w:pStyle w:val="BodyText"/>
      </w:pPr>
      <w:r>
        <w:t xml:space="preserve">The user views </w:t>
      </w:r>
      <w:r w:rsidR="00EB1E5A">
        <w:t>and/or</w:t>
      </w:r>
      <w:r>
        <w:t xml:space="preserve"> prints an Audit Trail Report. </w:t>
      </w:r>
    </w:p>
    <w:p w14:paraId="1CCFA150" w14:textId="77777777" w:rsidR="002A21AE" w:rsidRDefault="002A21AE">
      <w:pPr>
        <w:pStyle w:val="Heading4"/>
      </w:pPr>
      <w:r>
        <w:t>Assumptions</w:t>
      </w:r>
    </w:p>
    <w:p w14:paraId="646C3388" w14:textId="77777777" w:rsidR="002A21AE" w:rsidRDefault="002A21AE">
      <w:pPr>
        <w:pStyle w:val="ListBullet"/>
        <w:rPr>
          <w:b/>
        </w:rPr>
      </w:pPr>
      <w:r>
        <w:t>Data are available for inclusion in the report.</w:t>
      </w:r>
    </w:p>
    <w:p w14:paraId="2601CE76" w14:textId="77777777" w:rsidR="002A21AE" w:rsidRDefault="002A21AE">
      <w:pPr>
        <w:pStyle w:val="ListBullet"/>
      </w:pPr>
      <w:r>
        <w:t>The user must be logged into the division in which the report is to be generated.</w:t>
      </w:r>
    </w:p>
    <w:p w14:paraId="2E5A477B" w14:textId="77777777" w:rsidR="002A21AE" w:rsidRDefault="002A21AE">
      <w:pPr>
        <w:pStyle w:val="Heading4"/>
      </w:pPr>
      <w:r>
        <w:t xml:space="preserve">Outcome </w:t>
      </w:r>
    </w:p>
    <w:p w14:paraId="5874FF84" w14:textId="77777777" w:rsidR="002A21AE" w:rsidRDefault="00AE521B">
      <w:pPr>
        <w:pStyle w:val="ListBullet"/>
      </w:pPr>
      <w:r>
        <w:t>The user views and/or prints the report</w:t>
      </w:r>
      <w:r w:rsidR="002A21AE">
        <w:t xml:space="preserve">. </w:t>
      </w:r>
    </w:p>
    <w:p w14:paraId="1B7B4FE2" w14:textId="77777777" w:rsidR="002A21AE" w:rsidRDefault="002A21AE">
      <w:pPr>
        <w:pStyle w:val="Heading4"/>
        <w:rPr>
          <w:b w:val="0"/>
        </w:rPr>
      </w:pPr>
      <w:r>
        <w:t>Limitations and Restrictions</w:t>
      </w:r>
      <w:r>
        <w:rPr>
          <w:b w:val="0"/>
        </w:rPr>
        <w:t xml:space="preserve"> </w:t>
      </w:r>
    </w:p>
    <w:p w14:paraId="64B45E47" w14:textId="77777777" w:rsidR="002A21AE" w:rsidRDefault="00170EEF" w:rsidP="005753B8">
      <w:pPr>
        <w:pStyle w:val="ListBullet"/>
      </w:pPr>
      <w:r>
        <w:t>VBECS does not accommodate online review (verification, signature) of reports.</w:t>
      </w:r>
    </w:p>
    <w:p w14:paraId="7691A713" w14:textId="77777777" w:rsidR="002A21AE" w:rsidRDefault="002A21AE">
      <w:pPr>
        <w:pStyle w:val="Heading4"/>
      </w:pPr>
      <w:r>
        <w:t>Additional Information</w:t>
      </w:r>
    </w:p>
    <w:p w14:paraId="4CC38993" w14:textId="17C0F801" w:rsidR="002A21AE" w:rsidRDefault="002A21AE">
      <w:pPr>
        <w:pStyle w:val="ListBullet"/>
      </w:pPr>
      <w:r>
        <w:t xml:space="preserve">Audit trail entries reflect the actual date and time the change was made. </w:t>
      </w:r>
    </w:p>
    <w:p w14:paraId="4119A250" w14:textId="00DCEFEF" w:rsidR="007E33DF" w:rsidRDefault="00684888" w:rsidP="001C651F">
      <w:pPr>
        <w:pStyle w:val="ListBullet"/>
      </w:pPr>
      <w:r>
        <w:t>When a unit is rec</w:t>
      </w:r>
      <w:r w:rsidR="00147B9F">
        <w:t>eived with RBC antigens</w:t>
      </w:r>
      <w:r w:rsidR="00532FD9">
        <w:t xml:space="preserve"> selected, that unit may appear on the Audit Trail Report. See the Unit History Report for RBC </w:t>
      </w:r>
      <w:r w:rsidR="002E1949">
        <w:t xml:space="preserve">antigen typing entered for the unit during Incoming Shipment. </w:t>
      </w:r>
      <w:r w:rsidR="00532FD9" w:rsidRPr="002E1949">
        <w:rPr>
          <w:vanish/>
        </w:rPr>
        <w:t>Defect 373942</w:t>
      </w:r>
    </w:p>
    <w:p w14:paraId="0481A80B" w14:textId="77777777" w:rsidR="002A21AE" w:rsidRDefault="002A21AE">
      <w:pPr>
        <w:pStyle w:val="Heading4"/>
        <w:rPr>
          <w:b w:val="0"/>
        </w:rPr>
      </w:pPr>
      <w:r>
        <w:t>User Roles with Access to This Option</w:t>
      </w:r>
      <w:r>
        <w:rPr>
          <w:b w:val="0"/>
        </w:rPr>
        <w:t xml:space="preserve"> </w:t>
      </w:r>
    </w:p>
    <w:p w14:paraId="7D186717" w14:textId="77777777" w:rsidR="002A21AE" w:rsidRDefault="00080A13">
      <w:pPr>
        <w:pStyle w:val="Roles"/>
        <w:rPr>
          <w:snapToGrid w:val="0"/>
        </w:rPr>
      </w:pPr>
      <w:r>
        <w:t>All users</w:t>
      </w:r>
    </w:p>
    <w:p w14:paraId="2C37C6EE" w14:textId="77777777" w:rsidR="002A21AE" w:rsidRDefault="002A21AE">
      <w:pPr>
        <w:pStyle w:val="Heading4"/>
      </w:pPr>
      <w:r>
        <w:t>Audit Trail</w:t>
      </w:r>
    </w:p>
    <w:p w14:paraId="72D76FC0" w14:textId="77777777" w:rsidR="002A21AE" w:rsidRDefault="00EB1E5A" w:rsidP="00FA7E65">
      <w:pPr>
        <w:pStyle w:val="BodyText"/>
      </w:pPr>
      <w:r>
        <w:t>The user views and/or prints an Audit Trail Report, which</w:t>
      </w:r>
      <w:r w:rsidR="002A21AE">
        <w:t xml:space="preserve"> lists changes to specific patient, unit, and division configuration settings. It is a regulatory requirement to maintain documentation proving that these changes were reviewed. </w:t>
      </w:r>
      <w:r w:rsidR="00B25CE5" w:rsidRPr="00BE7BF6">
        <w:t>Modi</w:t>
      </w:r>
      <w:r w:rsidR="00B25CE5">
        <w:t>f</w:t>
      </w:r>
      <w:r w:rsidR="00B25CE5" w:rsidRPr="00BE7BF6">
        <w:t>y local record retention policy to instruct users to print, review, document, and save these reports.</w:t>
      </w:r>
      <w:r w:rsidR="002A21AE">
        <w:t xml:space="preserve"> The Audit Trail Report contains only data changes generated in the user’s login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02F836" w14:textId="77777777">
        <w:trPr>
          <w:cantSplit/>
          <w:tblHeader/>
        </w:trPr>
        <w:tc>
          <w:tcPr>
            <w:tcW w:w="3240" w:type="dxa"/>
            <w:shd w:val="pct30" w:color="auto" w:fill="FFFFFF"/>
            <w:vAlign w:val="bottom"/>
          </w:tcPr>
          <w:p w14:paraId="4DE70A0B" w14:textId="77777777" w:rsidR="002A21AE" w:rsidRDefault="002A21AE">
            <w:pPr>
              <w:pStyle w:val="TableText"/>
              <w:rPr>
                <w:b/>
              </w:rPr>
            </w:pPr>
            <w:r>
              <w:rPr>
                <w:b/>
              </w:rPr>
              <w:t>User Action</w:t>
            </w:r>
          </w:p>
        </w:tc>
        <w:tc>
          <w:tcPr>
            <w:tcW w:w="6120" w:type="dxa"/>
            <w:shd w:val="pct30" w:color="auto" w:fill="FFFFFF"/>
            <w:vAlign w:val="bottom"/>
          </w:tcPr>
          <w:p w14:paraId="3379140D" w14:textId="77777777" w:rsidR="002A21AE" w:rsidRDefault="002A21AE">
            <w:pPr>
              <w:pStyle w:val="TableText"/>
              <w:rPr>
                <w:b/>
              </w:rPr>
            </w:pPr>
            <w:r>
              <w:rPr>
                <w:b/>
              </w:rPr>
              <w:t>VBECS</w:t>
            </w:r>
          </w:p>
        </w:tc>
      </w:tr>
      <w:tr w:rsidR="002A21AE" w14:paraId="2C667136" w14:textId="77777777">
        <w:tc>
          <w:tcPr>
            <w:tcW w:w="3240" w:type="dxa"/>
          </w:tcPr>
          <w:p w14:paraId="57F90004" w14:textId="77777777" w:rsidR="002A21AE" w:rsidRDefault="002A21AE" w:rsidP="00925CAD">
            <w:pPr>
              <w:pStyle w:val="TableTextNumbers"/>
              <w:numPr>
                <w:ilvl w:val="0"/>
                <w:numId w:val="72"/>
              </w:numPr>
            </w:pPr>
            <w:r>
              <w:t xml:space="preserve">Select </w:t>
            </w:r>
            <w:r w:rsidRPr="00946DA2">
              <w:rPr>
                <w:b/>
              </w:rPr>
              <w:t>Reports</w:t>
            </w:r>
            <w:r>
              <w:t xml:space="preserve"> from the main menu.</w:t>
            </w:r>
          </w:p>
          <w:p w14:paraId="06826F7A" w14:textId="77777777" w:rsidR="002A21AE" w:rsidRDefault="002A21AE">
            <w:pPr>
              <w:pStyle w:val="TableTextNumbersContinued"/>
            </w:pPr>
          </w:p>
          <w:p w14:paraId="54FB3C83" w14:textId="77777777" w:rsidR="002A21AE" w:rsidRDefault="002A21AE">
            <w:pPr>
              <w:pStyle w:val="TableTextNumbersContinued"/>
            </w:pPr>
            <w:r>
              <w:t xml:space="preserve">Select </w:t>
            </w:r>
            <w:r>
              <w:rPr>
                <w:b/>
              </w:rPr>
              <w:t>Audit Trail</w:t>
            </w:r>
            <w:r>
              <w:t>.</w:t>
            </w:r>
          </w:p>
        </w:tc>
        <w:tc>
          <w:tcPr>
            <w:tcW w:w="6120" w:type="dxa"/>
          </w:tcPr>
          <w:p w14:paraId="454D5956" w14:textId="77777777" w:rsidR="002A21AE" w:rsidRDefault="002A21AE">
            <w:pPr>
              <w:pStyle w:val="TableTextBullet"/>
            </w:pPr>
            <w:r>
              <w:t>Lists report names.</w:t>
            </w:r>
          </w:p>
          <w:p w14:paraId="436919B9" w14:textId="77777777" w:rsidR="002A21AE" w:rsidRDefault="002A21AE">
            <w:pPr>
              <w:pStyle w:val="TableTextBullet"/>
            </w:pPr>
            <w:r>
              <w:t xml:space="preserve">Displays report compilation criteria. </w:t>
            </w:r>
          </w:p>
          <w:p w14:paraId="320CB41C" w14:textId="77777777" w:rsidR="002A21AE" w:rsidRDefault="002A21AE">
            <w:pPr>
              <w:pStyle w:val="TableTextBullet"/>
            </w:pPr>
            <w:r>
              <w:t>Displays a date range for selection.</w:t>
            </w:r>
          </w:p>
        </w:tc>
      </w:tr>
      <w:tr w:rsidR="002A21AE" w14:paraId="65395DFB" w14:textId="77777777">
        <w:tc>
          <w:tcPr>
            <w:tcW w:w="3240" w:type="dxa"/>
          </w:tcPr>
          <w:p w14:paraId="7111F2B1" w14:textId="77777777" w:rsidR="002A21AE" w:rsidRDefault="002A21AE">
            <w:pPr>
              <w:pStyle w:val="TableTextNumbers"/>
            </w:pPr>
            <w:r>
              <w:t>Enter or select start and end dates.</w:t>
            </w:r>
          </w:p>
        </w:tc>
        <w:tc>
          <w:tcPr>
            <w:tcW w:w="6120" w:type="dxa"/>
          </w:tcPr>
          <w:p w14:paraId="5898547B" w14:textId="77777777" w:rsidR="002A21AE" w:rsidRDefault="002A21AE">
            <w:pPr>
              <w:pStyle w:val="TableText"/>
            </w:pPr>
          </w:p>
          <w:p w14:paraId="66EDC6FA" w14:textId="0ACB0268" w:rsidR="002A21AE" w:rsidRDefault="002A21AE">
            <w:pPr>
              <w:pStyle w:val="TableText"/>
              <w:rPr>
                <w:b/>
                <w:bCs/>
                <w:szCs w:val="18"/>
              </w:rPr>
            </w:pPr>
            <w:r>
              <w:rPr>
                <w:b/>
                <w:bCs/>
                <w:szCs w:val="18"/>
              </w:rPr>
              <w:t>NOTES</w:t>
            </w:r>
          </w:p>
          <w:p w14:paraId="4AF74BEC" w14:textId="77777777" w:rsidR="002A21AE" w:rsidRDefault="002A21AE">
            <w:pPr>
              <w:pStyle w:val="NotesText"/>
            </w:pPr>
          </w:p>
          <w:p w14:paraId="0C28742E" w14:textId="77777777" w:rsidR="002A21AE" w:rsidRDefault="002A21AE">
            <w:pPr>
              <w:pStyle w:val="NotesText"/>
            </w:pPr>
            <w:r>
              <w:rPr>
                <w:rFonts w:cs="Arial"/>
                <w:vanish/>
              </w:rPr>
              <w:t xml:space="preserve">BR_77.06 </w:t>
            </w:r>
            <w:r>
              <w:t xml:space="preserve">The parameter table and Transfusion Requirements </w:t>
            </w:r>
            <w:r w:rsidR="00981F3F">
              <w:t>R</w:t>
            </w:r>
            <w:r>
              <w:t>eport sections include changes from no previous entry to an entry and from an entry to no entry.</w:t>
            </w:r>
          </w:p>
          <w:p w14:paraId="06FDBB37" w14:textId="77777777" w:rsidR="002A21AE" w:rsidRDefault="002A21AE">
            <w:pPr>
              <w:pStyle w:val="NotesText"/>
            </w:pPr>
          </w:p>
          <w:p w14:paraId="4F03F0CA" w14:textId="77777777" w:rsidR="002A21AE" w:rsidRDefault="002A21AE">
            <w:pPr>
              <w:pStyle w:val="NotesText"/>
            </w:pPr>
            <w:r>
              <w:rPr>
                <w:rFonts w:cs="Arial"/>
                <w:vanish/>
              </w:rPr>
              <w:t xml:space="preserve">BR_77.08 </w:t>
            </w:r>
            <w:r>
              <w:t>Each entry includes an area for supervisor acknowledgement (signature or initials and date of review) and comment.</w:t>
            </w:r>
          </w:p>
        </w:tc>
      </w:tr>
      <w:tr w:rsidR="002A21AE" w14:paraId="3207A558" w14:textId="77777777" w:rsidTr="00F3651E">
        <w:trPr>
          <w:cantSplit/>
        </w:trPr>
        <w:tc>
          <w:tcPr>
            <w:tcW w:w="3240" w:type="dxa"/>
          </w:tcPr>
          <w:p w14:paraId="64D755E6"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4075217" w14:textId="77777777" w:rsidR="002A21AE" w:rsidRDefault="002A21AE">
            <w:pPr>
              <w:pStyle w:val="TableTextNumbersContinued"/>
            </w:pPr>
          </w:p>
          <w:p w14:paraId="17E507A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863A6ED" w14:textId="77777777" w:rsidR="005B6A94" w:rsidRPr="00AA2B2E" w:rsidRDefault="00F64B5C" w:rsidP="00AA2B2E">
            <w:pPr>
              <w:pStyle w:val="TableTextBullet"/>
            </w:pPr>
            <w:r>
              <w:t>Compiles and displays the report.</w:t>
            </w:r>
          </w:p>
        </w:tc>
      </w:tr>
      <w:tr w:rsidR="002A21AE" w14:paraId="3D7B352A" w14:textId="77777777">
        <w:tc>
          <w:tcPr>
            <w:tcW w:w="3240" w:type="dxa"/>
          </w:tcPr>
          <w:p w14:paraId="6A5EF33D" w14:textId="29AB6846"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42C2F8AF" w14:textId="77777777" w:rsidR="005C22EF" w:rsidRDefault="005C22EF" w:rsidP="005C22EF">
            <w:pPr>
              <w:pStyle w:val="TableTextBullet"/>
            </w:pPr>
            <w:r>
              <w:t>If Print is selected, prints the report on the designated printer.</w:t>
            </w:r>
          </w:p>
          <w:p w14:paraId="4CCB20FF" w14:textId="77777777" w:rsidR="005C22EF" w:rsidRDefault="005C22EF" w:rsidP="005C22EF">
            <w:pPr>
              <w:pStyle w:val="TableTextBullet"/>
            </w:pPr>
            <w:r>
              <w:t>If Export is selected, exports the report to the designated file.</w:t>
            </w:r>
          </w:p>
          <w:p w14:paraId="05FE587D" w14:textId="77777777" w:rsidR="005C22EF" w:rsidRDefault="005C22EF" w:rsidP="005C22EF">
            <w:pPr>
              <w:pStyle w:val="TableTextBullet"/>
            </w:pPr>
            <w:r>
              <w:t>If Close is selected, exits the report preview.</w:t>
            </w:r>
          </w:p>
          <w:p w14:paraId="233B8572" w14:textId="5DB9E35F" w:rsidR="002A21AE" w:rsidRDefault="00245B2C" w:rsidP="005C22EF">
            <w:pPr>
              <w:pStyle w:val="TableTextBullet"/>
            </w:pPr>
            <w:r>
              <w:t xml:space="preserve">See </w:t>
            </w:r>
            <w:r w:rsidR="00EE455E">
              <w:t xml:space="preserve">Appendix </w:t>
            </w:r>
            <w:r w:rsidR="00EE455E">
              <w:rPr>
                <w:noProof/>
              </w:rPr>
              <w:t>B</w:t>
            </w:r>
            <w:r>
              <w:t xml:space="preserve">: </w:t>
            </w:r>
            <w:r w:rsidR="00EE455E">
              <w:t xml:space="preserve">Table </w:t>
            </w:r>
            <w:r w:rsidR="00EE455E">
              <w:rPr>
                <w:noProof/>
              </w:rPr>
              <w:t>20</w:t>
            </w:r>
            <w:r w:rsidR="00EE455E">
              <w:t xml:space="preserve">: </w:t>
            </w:r>
            <w:r w:rsidR="00EE455E">
              <w:rPr>
                <w:vanish/>
              </w:rPr>
              <w:t xml:space="preserve">TT_77.01 </w:t>
            </w:r>
            <w:r w:rsidR="00EE455E">
              <w:t>Details in Audit Trail Report</w:t>
            </w:r>
            <w:r w:rsidR="002A21AE">
              <w:t>.</w:t>
            </w:r>
          </w:p>
        </w:tc>
      </w:tr>
    </w:tbl>
    <w:p w14:paraId="3AB3626D" w14:textId="77777777" w:rsidR="002A21AE" w:rsidRDefault="00F55832">
      <w:pPr>
        <w:pStyle w:val="Heading2"/>
      </w:pPr>
      <w:r>
        <w:br w:type="page"/>
      </w:r>
      <w:bookmarkStart w:id="534" w:name="_Toc163644970"/>
      <w:r w:rsidR="002A21AE">
        <w:lastRenderedPageBreak/>
        <w:t>Blood Availability</w:t>
      </w:r>
      <w:bookmarkEnd w:id="534"/>
      <w:r w:rsidR="002A21AE">
        <w:fldChar w:fldCharType="begin"/>
      </w:r>
      <w:r w:rsidR="002A21AE">
        <w:instrText xml:space="preserve"> XE </w:instrText>
      </w:r>
      <w:r w:rsidR="00FA7E65">
        <w:instrText>“</w:instrText>
      </w:r>
      <w:r w:rsidR="002A21AE">
        <w:instrText>Blood Availability</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UC_49</w:t>
      </w:r>
    </w:p>
    <w:p w14:paraId="0ED3C518" w14:textId="77777777" w:rsidR="002A21AE" w:rsidRDefault="002A21AE" w:rsidP="00FA7E65">
      <w:pPr>
        <w:pStyle w:val="BodyText"/>
      </w:pPr>
      <w:r>
        <w:t xml:space="preserve">The user </w:t>
      </w:r>
      <w:r w:rsidR="00FF1708">
        <w:t xml:space="preserve">views </w:t>
      </w:r>
      <w:r w:rsidR="00EB1E5A">
        <w:t>and/or</w:t>
      </w:r>
      <w:r w:rsidR="00FF1708">
        <w:t xml:space="preserve"> prints the Blood Availability Report</w:t>
      </w:r>
      <w:r>
        <w:t>.</w:t>
      </w:r>
    </w:p>
    <w:p w14:paraId="6D3CE6DC" w14:textId="77777777" w:rsidR="002A21AE" w:rsidRDefault="002A21AE">
      <w:pPr>
        <w:pStyle w:val="Heading4"/>
      </w:pPr>
      <w:r>
        <w:t>Assumptions</w:t>
      </w:r>
      <w:r>
        <w:rPr>
          <w:b w:val="0"/>
        </w:rPr>
        <w:t xml:space="preserve"> </w:t>
      </w:r>
    </w:p>
    <w:p w14:paraId="54716827" w14:textId="77777777" w:rsidR="002A21AE" w:rsidRDefault="002A21AE">
      <w:pPr>
        <w:pStyle w:val="ListBullet"/>
      </w:pPr>
      <w:r>
        <w:t>A blood unit is logged into a division in the database.</w:t>
      </w:r>
    </w:p>
    <w:p w14:paraId="1DB57F1B" w14:textId="77777777" w:rsidR="002A21AE" w:rsidRDefault="002A21AE">
      <w:pPr>
        <w:pStyle w:val="Heading4"/>
      </w:pPr>
      <w:r>
        <w:t xml:space="preserve">Outcome </w:t>
      </w:r>
    </w:p>
    <w:p w14:paraId="56D9E79A" w14:textId="77777777" w:rsidR="002A21AE" w:rsidRDefault="002A21AE">
      <w:pPr>
        <w:pStyle w:val="ListBullet"/>
      </w:pPr>
      <w:r>
        <w:t>VBECS users may view available blood unit data in several formats.</w:t>
      </w:r>
    </w:p>
    <w:p w14:paraId="0096F303" w14:textId="77777777" w:rsidR="002A21AE" w:rsidRDefault="002A21AE">
      <w:pPr>
        <w:pStyle w:val="Heading4"/>
      </w:pPr>
      <w:r>
        <w:t>Limitations and Restrictions</w:t>
      </w:r>
      <w:r>
        <w:rPr>
          <w:b w:val="0"/>
        </w:rPr>
        <w:t xml:space="preserve"> </w:t>
      </w:r>
    </w:p>
    <w:p w14:paraId="39F57B6E" w14:textId="77777777" w:rsidR="008F2BFA" w:rsidRDefault="00C3558E">
      <w:pPr>
        <w:pStyle w:val="ListBullet"/>
      </w:pPr>
      <w:r>
        <w:t>None.</w:t>
      </w:r>
    </w:p>
    <w:p w14:paraId="198CED6D" w14:textId="77777777" w:rsidR="002A21AE" w:rsidRDefault="002A21AE">
      <w:pPr>
        <w:pStyle w:val="Heading4"/>
      </w:pPr>
      <w:r>
        <w:t xml:space="preserve">Additional Information </w:t>
      </w:r>
    </w:p>
    <w:p w14:paraId="4E7D31F5" w14:textId="77777777" w:rsidR="002A21AE" w:rsidRDefault="002A21AE">
      <w:pPr>
        <w:pStyle w:val="ListBullet"/>
      </w:pPr>
      <w:r>
        <w:t>VBECS displays the defined reports and allows the user to view an individual Patient Blood Availability Report or to create a custom report.</w:t>
      </w:r>
    </w:p>
    <w:p w14:paraId="33F26928" w14:textId="1C722CCD" w:rsidR="00F86A79" w:rsidRDefault="00F86A79" w:rsidP="00F86A79">
      <w:pPr>
        <w:pStyle w:val="ListBullet"/>
      </w:pPr>
      <w:r>
        <w:t>The report is available as a single-division or multidivisional (all divisions) report.</w:t>
      </w:r>
    </w:p>
    <w:p w14:paraId="75B9059C" w14:textId="77777777" w:rsidR="002A21AE" w:rsidRPr="00C32FB5" w:rsidRDefault="002A21AE" w:rsidP="00A922BB">
      <w:pPr>
        <w:pStyle w:val="Heading4"/>
        <w:rPr>
          <w:b w:val="0"/>
        </w:rPr>
      </w:pPr>
      <w:r>
        <w:t>User Roles with Access to This Option</w:t>
      </w:r>
      <w:r w:rsidRPr="00C32FB5">
        <w:rPr>
          <w:b w:val="0"/>
        </w:rPr>
        <w:t xml:space="preserve"> </w:t>
      </w:r>
    </w:p>
    <w:p w14:paraId="561928F5" w14:textId="77777777" w:rsidR="002A21AE" w:rsidRDefault="00080A13">
      <w:pPr>
        <w:pStyle w:val="Roles"/>
      </w:pPr>
      <w:r>
        <w:t>All users</w:t>
      </w:r>
    </w:p>
    <w:p w14:paraId="1E451F70" w14:textId="77777777" w:rsidR="002A21AE" w:rsidRDefault="002A21AE">
      <w:pPr>
        <w:pStyle w:val="Heading4"/>
      </w:pPr>
      <w:r>
        <w:t>Blood Availability</w:t>
      </w:r>
    </w:p>
    <w:p w14:paraId="5CD3DCC2" w14:textId="77777777" w:rsidR="002A21AE" w:rsidRDefault="002A21AE" w:rsidP="00FA7E65">
      <w:pPr>
        <w:pStyle w:val="BodyText"/>
      </w:pPr>
      <w:r>
        <w:t xml:space="preserve">The user may check the blood availability for a specific patient and view </w:t>
      </w:r>
      <w:r w:rsidR="00EB1E5A">
        <w:t>and/or</w:t>
      </w:r>
      <w:r>
        <w:t xml:space="preserve"> print a variety of Blood Inventory Reports from the user’s and other divisions, as available. Blood </w:t>
      </w:r>
      <w:r w:rsidR="001E776B">
        <w:t>A</w:t>
      </w:r>
      <w:r>
        <w:t xml:space="preserve">vailability </w:t>
      </w:r>
      <w:r w:rsidR="001E776B">
        <w:t>R</w:t>
      </w:r>
      <w:r>
        <w:t>eports include the product’s unit status, indicators, patient information for units in the “assigned” and “issued” statuses, restrictions, and special testing or handling of a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068784" w14:textId="77777777">
        <w:trPr>
          <w:cantSplit/>
          <w:tblHeader/>
        </w:trPr>
        <w:tc>
          <w:tcPr>
            <w:tcW w:w="3240" w:type="dxa"/>
            <w:shd w:val="pct30" w:color="auto" w:fill="FFFFFF"/>
            <w:vAlign w:val="bottom"/>
          </w:tcPr>
          <w:p w14:paraId="46C8ECD9" w14:textId="77777777" w:rsidR="002A21AE" w:rsidRDefault="002A21AE">
            <w:pPr>
              <w:pStyle w:val="TableText"/>
              <w:rPr>
                <w:b/>
              </w:rPr>
            </w:pPr>
            <w:r>
              <w:rPr>
                <w:b/>
              </w:rPr>
              <w:t>User Action</w:t>
            </w:r>
          </w:p>
        </w:tc>
        <w:tc>
          <w:tcPr>
            <w:tcW w:w="6120" w:type="dxa"/>
            <w:shd w:val="pct30" w:color="auto" w:fill="FFFFFF"/>
            <w:vAlign w:val="bottom"/>
          </w:tcPr>
          <w:p w14:paraId="253309AA" w14:textId="77777777" w:rsidR="002A21AE" w:rsidRDefault="002A21AE">
            <w:pPr>
              <w:pStyle w:val="TableText"/>
              <w:rPr>
                <w:b/>
              </w:rPr>
            </w:pPr>
            <w:r>
              <w:rPr>
                <w:b/>
              </w:rPr>
              <w:t>VBECS</w:t>
            </w:r>
          </w:p>
        </w:tc>
      </w:tr>
      <w:tr w:rsidR="002A21AE" w14:paraId="76C6472E" w14:textId="77777777">
        <w:tc>
          <w:tcPr>
            <w:tcW w:w="3240" w:type="dxa"/>
          </w:tcPr>
          <w:p w14:paraId="3F8994BE" w14:textId="77777777" w:rsidR="002A21AE" w:rsidRDefault="002A21AE">
            <w:pPr>
              <w:pStyle w:val="TableTextNumbers"/>
            </w:pPr>
            <w:r>
              <w:t xml:space="preserve">For a non-individual report, select </w:t>
            </w:r>
            <w:r>
              <w:rPr>
                <w:b/>
              </w:rPr>
              <w:t>Reports</w:t>
            </w:r>
            <w:r>
              <w:t xml:space="preserve"> from the main menu.</w:t>
            </w:r>
          </w:p>
          <w:p w14:paraId="1C1C02EF" w14:textId="77777777" w:rsidR="002A21AE" w:rsidRDefault="002A21AE">
            <w:pPr>
              <w:pStyle w:val="TableTextNumbersContinued"/>
            </w:pPr>
          </w:p>
          <w:p w14:paraId="79A9505B" w14:textId="77777777" w:rsidR="002A21AE" w:rsidRDefault="002A21AE">
            <w:pPr>
              <w:pStyle w:val="TableTextNumbersContinued"/>
            </w:pPr>
            <w:r>
              <w:t xml:space="preserve">Select </w:t>
            </w:r>
            <w:r>
              <w:rPr>
                <w:b/>
              </w:rPr>
              <w:t>Blood Availability</w:t>
            </w:r>
            <w:r>
              <w:t>, or</w:t>
            </w:r>
          </w:p>
          <w:p w14:paraId="6F7CA279" w14:textId="77777777" w:rsidR="002A21AE" w:rsidRDefault="002A21AE">
            <w:pPr>
              <w:pStyle w:val="TableTextNumbersContinued"/>
            </w:pPr>
          </w:p>
          <w:p w14:paraId="1B72000F" w14:textId="77777777" w:rsidR="002A21AE" w:rsidRDefault="002A21AE">
            <w:pPr>
              <w:pStyle w:val="TableTextNumbersContinued"/>
            </w:pPr>
            <w:r>
              <w:t xml:space="preserve">For a patient-specific report, select </w:t>
            </w:r>
            <w:r>
              <w:rPr>
                <w:b/>
              </w:rPr>
              <w:t>Patients</w:t>
            </w:r>
            <w:r>
              <w:t xml:space="preserve"> from the main menu.</w:t>
            </w:r>
          </w:p>
          <w:p w14:paraId="7F78FBEA" w14:textId="77777777" w:rsidR="002A21AE" w:rsidRDefault="002A21AE">
            <w:pPr>
              <w:pStyle w:val="TableTextNumbersContinued"/>
            </w:pPr>
          </w:p>
          <w:p w14:paraId="5F653040" w14:textId="77777777" w:rsidR="002A21AE" w:rsidRDefault="002A21AE">
            <w:pPr>
              <w:pStyle w:val="TableTextNumbersContinued"/>
            </w:pPr>
            <w:r>
              <w:t xml:space="preserve">Select </w:t>
            </w:r>
            <w:r>
              <w:rPr>
                <w:b/>
              </w:rPr>
              <w:t>Blood Availability</w:t>
            </w:r>
            <w:r>
              <w:t>.</w:t>
            </w:r>
          </w:p>
        </w:tc>
        <w:tc>
          <w:tcPr>
            <w:tcW w:w="6120" w:type="dxa"/>
          </w:tcPr>
          <w:p w14:paraId="47F8E4FC" w14:textId="77777777" w:rsidR="002A21AE" w:rsidRDefault="002A21AE">
            <w:pPr>
              <w:pStyle w:val="TableTextBullet"/>
            </w:pPr>
            <w:r>
              <w:t>Displays options for generating, viewing, and printing blood reports.</w:t>
            </w:r>
          </w:p>
          <w:p w14:paraId="32757A4E" w14:textId="77777777" w:rsidR="002A21AE" w:rsidRDefault="002A21AE">
            <w:pPr>
              <w:pStyle w:val="TableTextBullet"/>
            </w:pPr>
            <w:r>
              <w:t xml:space="preserve">Displays non-individual report type and compilation criteria. </w:t>
            </w:r>
          </w:p>
          <w:p w14:paraId="5FE1C53F" w14:textId="77777777" w:rsidR="002A21AE" w:rsidRDefault="002A21AE">
            <w:pPr>
              <w:pStyle w:val="TableTextBullet"/>
            </w:pPr>
            <w:r>
              <w:t>Displays options for generating a patient-specific report.</w:t>
            </w:r>
          </w:p>
          <w:p w14:paraId="2F309B65" w14:textId="67BD8F02" w:rsidR="002A21AE" w:rsidRDefault="002A21AE">
            <w:pPr>
              <w:pStyle w:val="NotesText"/>
            </w:pPr>
          </w:p>
        </w:tc>
      </w:tr>
      <w:tr w:rsidR="002A21AE" w14:paraId="0C7E955A" w14:textId="77777777" w:rsidTr="00305B16">
        <w:trPr>
          <w:cantSplit/>
        </w:trPr>
        <w:tc>
          <w:tcPr>
            <w:tcW w:w="3240" w:type="dxa"/>
          </w:tcPr>
          <w:p w14:paraId="2FA5B995" w14:textId="77777777" w:rsidR="00981244" w:rsidRDefault="00981244" w:rsidP="00981244">
            <w:pPr>
              <w:pStyle w:val="TableTextNumbers"/>
            </w:pPr>
            <w:r>
              <w:lastRenderedPageBreak/>
              <w:t>Click a radio button to select a report format:</w:t>
            </w:r>
          </w:p>
          <w:p w14:paraId="03CD4500" w14:textId="77777777" w:rsidR="007A5DC2" w:rsidRPr="00945BF5" w:rsidRDefault="007A5DC2" w:rsidP="00FB2A8A">
            <w:pPr>
              <w:pStyle w:val="TableTextNumbersBullet"/>
              <w:tabs>
                <w:tab w:val="clear" w:pos="288"/>
              </w:tabs>
              <w:ind w:left="510" w:hanging="222"/>
              <w:rPr>
                <w:b/>
              </w:rPr>
            </w:pPr>
            <w:r w:rsidRPr="00945BF5">
              <w:rPr>
                <w:b/>
              </w:rPr>
              <w:t>Daily Inventory (All Units)</w:t>
            </w:r>
          </w:p>
          <w:p w14:paraId="74DCC97E" w14:textId="77777777" w:rsidR="007A5DC2" w:rsidRPr="00945BF5" w:rsidRDefault="007A5DC2" w:rsidP="00FB2A8A">
            <w:pPr>
              <w:pStyle w:val="TableTextNumbersBullet"/>
              <w:tabs>
                <w:tab w:val="clear" w:pos="288"/>
              </w:tabs>
              <w:ind w:left="510" w:hanging="222"/>
              <w:rPr>
                <w:b/>
              </w:rPr>
            </w:pPr>
            <w:r w:rsidRPr="00945BF5">
              <w:rPr>
                <w:b/>
              </w:rPr>
              <w:t>Daily Inventory (Available Units)</w:t>
            </w:r>
          </w:p>
          <w:p w14:paraId="552AE554" w14:textId="77777777" w:rsidR="007A5DC2" w:rsidRPr="00945BF5" w:rsidRDefault="007A5DC2" w:rsidP="00FB2A8A">
            <w:pPr>
              <w:pStyle w:val="TableTextNumbersBullet"/>
              <w:tabs>
                <w:tab w:val="clear" w:pos="288"/>
              </w:tabs>
              <w:ind w:left="510" w:hanging="222"/>
              <w:rPr>
                <w:b/>
              </w:rPr>
            </w:pPr>
            <w:r w:rsidRPr="00945BF5">
              <w:rPr>
                <w:b/>
              </w:rPr>
              <w:t>Antigen Typed Inventory (Available Units)</w:t>
            </w:r>
          </w:p>
          <w:p w14:paraId="69AC9969" w14:textId="77777777" w:rsidR="007A5DC2" w:rsidRPr="00945BF5" w:rsidRDefault="007A5DC2" w:rsidP="00FB2A8A">
            <w:pPr>
              <w:pStyle w:val="TableTextNumbersBullet"/>
              <w:tabs>
                <w:tab w:val="clear" w:pos="288"/>
              </w:tabs>
              <w:ind w:left="510" w:hanging="222"/>
              <w:rPr>
                <w:b/>
              </w:rPr>
            </w:pPr>
            <w:r w:rsidRPr="00945BF5">
              <w:rPr>
                <w:b/>
              </w:rPr>
              <w:t>Units with No Disposition</w:t>
            </w:r>
            <w:r w:rsidR="0055440E" w:rsidRPr="00945BF5">
              <w:rPr>
                <w:b/>
              </w:rPr>
              <w:t xml:space="preserve"> (Available Expired)</w:t>
            </w:r>
          </w:p>
          <w:p w14:paraId="1D863F71" w14:textId="77777777" w:rsidR="0055440E" w:rsidRPr="00945BF5" w:rsidRDefault="0055440E" w:rsidP="00FB2A8A">
            <w:pPr>
              <w:pStyle w:val="TableTextNumbersBullet"/>
              <w:tabs>
                <w:tab w:val="clear" w:pos="288"/>
              </w:tabs>
              <w:ind w:left="510" w:hanging="222"/>
              <w:rPr>
                <w:b/>
              </w:rPr>
            </w:pPr>
            <w:r w:rsidRPr="00945BF5">
              <w:rPr>
                <w:b/>
              </w:rPr>
              <w:t>Units with Final Disposition (Not Transfused)</w:t>
            </w:r>
          </w:p>
          <w:p w14:paraId="423C93EA" w14:textId="77777777" w:rsidR="007A5DC2" w:rsidRPr="00945BF5" w:rsidRDefault="007A5DC2" w:rsidP="00FB2A8A">
            <w:pPr>
              <w:pStyle w:val="TableTextNumbersBullet"/>
              <w:tabs>
                <w:tab w:val="clear" w:pos="288"/>
              </w:tabs>
              <w:ind w:left="510" w:hanging="222"/>
              <w:rPr>
                <w:b/>
              </w:rPr>
            </w:pPr>
            <w:r w:rsidRPr="00945BF5">
              <w:rPr>
                <w:b/>
              </w:rPr>
              <w:t>Custom Report</w:t>
            </w:r>
          </w:p>
          <w:p w14:paraId="290344E3" w14:textId="77777777" w:rsidR="002A21AE" w:rsidRDefault="007A5DC2" w:rsidP="00FB2A8A">
            <w:pPr>
              <w:pStyle w:val="TableTextNumbersBullet"/>
              <w:tabs>
                <w:tab w:val="clear" w:pos="288"/>
              </w:tabs>
              <w:ind w:left="510" w:hanging="222"/>
            </w:pPr>
            <w:r w:rsidRPr="00945BF5">
              <w:rPr>
                <w:b/>
              </w:rPr>
              <w:t>Individual Patient Blood Availability</w:t>
            </w:r>
          </w:p>
        </w:tc>
        <w:tc>
          <w:tcPr>
            <w:tcW w:w="6120" w:type="dxa"/>
          </w:tcPr>
          <w:p w14:paraId="7D7679E0" w14:textId="77777777" w:rsidR="002A21AE" w:rsidRDefault="002A21AE">
            <w:pPr>
              <w:pStyle w:val="TableTextBullet"/>
            </w:pPr>
            <w:r>
              <w:t xml:space="preserve">Displays a print preview of the report. </w:t>
            </w:r>
          </w:p>
          <w:p w14:paraId="452E762B" w14:textId="77777777" w:rsidR="002A21AE" w:rsidRDefault="002A21AE">
            <w:pPr>
              <w:pStyle w:val="TableText"/>
            </w:pPr>
          </w:p>
          <w:p w14:paraId="227829C3" w14:textId="29280043" w:rsidR="002A21AE" w:rsidRDefault="002A21AE">
            <w:pPr>
              <w:pStyle w:val="TableText"/>
              <w:rPr>
                <w:b/>
                <w:bCs/>
                <w:szCs w:val="18"/>
              </w:rPr>
            </w:pPr>
            <w:r>
              <w:rPr>
                <w:b/>
                <w:bCs/>
                <w:szCs w:val="18"/>
              </w:rPr>
              <w:t>NOTES</w:t>
            </w:r>
          </w:p>
          <w:p w14:paraId="76E6E505" w14:textId="77777777" w:rsidR="002A21AE" w:rsidRDefault="002A21AE">
            <w:pPr>
              <w:pStyle w:val="NotesText"/>
            </w:pPr>
          </w:p>
          <w:p w14:paraId="12ECE017" w14:textId="77777777" w:rsidR="00B20440" w:rsidRPr="00B20440" w:rsidRDefault="00B20440">
            <w:pPr>
              <w:pStyle w:val="NotesText"/>
              <w:rPr>
                <w:rFonts w:cs="Arial"/>
                <w:szCs w:val="18"/>
              </w:rPr>
            </w:pPr>
            <w:r w:rsidRPr="00B20440">
              <w:rPr>
                <w:rFonts w:cs="Arial"/>
                <w:szCs w:val="18"/>
              </w:rPr>
              <w:t xml:space="preserve">The user may click the </w:t>
            </w:r>
            <w:r w:rsidR="00B90391" w:rsidRPr="00B90391">
              <w:rPr>
                <w:rFonts w:cs="Arial"/>
                <w:b/>
                <w:szCs w:val="18"/>
              </w:rPr>
              <w:t xml:space="preserve">Custom Report </w:t>
            </w:r>
            <w:r w:rsidR="00B90391" w:rsidRPr="00BF2E41">
              <w:rPr>
                <w:rFonts w:cs="Arial"/>
                <w:szCs w:val="18"/>
              </w:rPr>
              <w:t>radio button</w:t>
            </w:r>
            <w:r w:rsidR="00B90391">
              <w:rPr>
                <w:rFonts w:cs="Arial"/>
                <w:szCs w:val="18"/>
              </w:rPr>
              <w:t xml:space="preserve"> and </w:t>
            </w:r>
            <w:r w:rsidR="00B90391" w:rsidRPr="00B90391">
              <w:rPr>
                <w:rFonts w:cs="Arial"/>
                <w:b/>
                <w:szCs w:val="18"/>
              </w:rPr>
              <w:t>OK</w:t>
            </w:r>
            <w:r w:rsidR="00B90391">
              <w:rPr>
                <w:rFonts w:cs="Arial"/>
                <w:szCs w:val="18"/>
              </w:rPr>
              <w:t xml:space="preserve">, and then click the </w:t>
            </w:r>
            <w:r w:rsidRPr="00B20440">
              <w:rPr>
                <w:rFonts w:cs="Arial"/>
                <w:szCs w:val="18"/>
              </w:rPr>
              <w:t xml:space="preserve">appropriate check boxes in the Component Class, Testing, Donation Type, Unit Status, Date Range, ABO/Rh, Product Attributes, and Division tabs </w:t>
            </w:r>
            <w:r w:rsidR="00D42D20">
              <w:rPr>
                <w:rFonts w:cs="Arial"/>
                <w:szCs w:val="18"/>
              </w:rPr>
              <w:t xml:space="preserve">to </w:t>
            </w:r>
            <w:r w:rsidRPr="00B20440">
              <w:rPr>
                <w:rFonts w:cs="Arial"/>
                <w:szCs w:val="18"/>
              </w:rPr>
              <w:t>custom</w:t>
            </w:r>
            <w:r w:rsidR="00D42D20">
              <w:rPr>
                <w:rFonts w:cs="Arial"/>
                <w:szCs w:val="18"/>
              </w:rPr>
              <w:t>ize the</w:t>
            </w:r>
            <w:r w:rsidRPr="00B20440">
              <w:rPr>
                <w:rFonts w:cs="Arial"/>
                <w:szCs w:val="18"/>
              </w:rPr>
              <w:t xml:space="preserve"> report.</w:t>
            </w:r>
          </w:p>
          <w:p w14:paraId="245D7BCB" w14:textId="77777777" w:rsidR="00B20440" w:rsidRDefault="00B20440">
            <w:pPr>
              <w:pStyle w:val="NotesText"/>
              <w:rPr>
                <w:rFonts w:cs="Arial"/>
                <w:vanish/>
              </w:rPr>
            </w:pPr>
          </w:p>
          <w:p w14:paraId="6198013B" w14:textId="77777777" w:rsidR="00DE2677" w:rsidRDefault="00DE2677">
            <w:pPr>
              <w:pStyle w:val="NotesText"/>
              <w:rPr>
                <w:color w:val="000000"/>
              </w:rPr>
            </w:pPr>
          </w:p>
          <w:p w14:paraId="392074C4" w14:textId="0A66E49C" w:rsidR="000D169A" w:rsidRDefault="00DE2677">
            <w:pPr>
              <w:pStyle w:val="NotesText"/>
              <w:rPr>
                <w:color w:val="000000"/>
              </w:rPr>
            </w:pPr>
            <w:r w:rsidRPr="00DE2677">
              <w:rPr>
                <w:vanish/>
                <w:color w:val="000000"/>
              </w:rPr>
              <w:t xml:space="preserve">BR_49.10 </w:t>
            </w:r>
            <w:r w:rsidR="00C82460" w:rsidRPr="00CC1028">
              <w:rPr>
                <w:color w:val="000000"/>
              </w:rPr>
              <w:t>When a user selects the Individual Patient Blood Availability report for his division only, the report includes all units available (unit statuses: assigned, crossmatched, and issued) in his division for the selected patient.</w:t>
            </w:r>
          </w:p>
          <w:p w14:paraId="4F255328" w14:textId="77777777" w:rsidR="00C82460" w:rsidRDefault="00C82460">
            <w:pPr>
              <w:pStyle w:val="NotesText"/>
            </w:pPr>
          </w:p>
          <w:p w14:paraId="2D2C4597" w14:textId="244D9190" w:rsidR="00CC1E5B" w:rsidRDefault="000D169A">
            <w:pPr>
              <w:pStyle w:val="NotesText"/>
            </w:pPr>
            <w:r w:rsidRPr="000D169A">
              <w:rPr>
                <w:vanish/>
                <w:szCs w:val="18"/>
              </w:rPr>
              <w:t>BR_49.22, BR_49.23, BR_49.24</w:t>
            </w:r>
            <w:r w:rsidR="00CC1E5B">
              <w:t xml:space="preserve">When a user selects Units with </w:t>
            </w:r>
            <w:r w:rsidR="00EC6847">
              <w:t>Final</w:t>
            </w:r>
            <w:r w:rsidR="00CC1E5B">
              <w:t xml:space="preserve"> Disposition, the report includes </w:t>
            </w:r>
            <w:r>
              <w:t>units with a status of “discarded,” “modified,” or “</w:t>
            </w:r>
            <w:r w:rsidR="00CC1E5B">
              <w:t xml:space="preserve">transferred.” </w:t>
            </w:r>
          </w:p>
          <w:p w14:paraId="16768926" w14:textId="77777777" w:rsidR="00CC1E5B" w:rsidRDefault="00CC1E5B">
            <w:pPr>
              <w:pStyle w:val="NotesText"/>
            </w:pPr>
          </w:p>
          <w:p w14:paraId="5C7841BB" w14:textId="77777777" w:rsidR="000D169A" w:rsidRDefault="000D169A">
            <w:pPr>
              <w:pStyle w:val="NotesText"/>
            </w:pPr>
            <w:r>
              <w:t>When a user selects Units with No Disposition, the report includes expired units with a status of “limited” or “available</w:t>
            </w:r>
            <w:r w:rsidR="00EC6847">
              <w:t>.</w:t>
            </w:r>
            <w:r>
              <w:t xml:space="preserve">” </w:t>
            </w:r>
          </w:p>
        </w:tc>
      </w:tr>
      <w:tr w:rsidR="001E7BDC" w14:paraId="17F70384" w14:textId="77777777">
        <w:tc>
          <w:tcPr>
            <w:tcW w:w="3240" w:type="dxa"/>
            <w:tcBorders>
              <w:top w:val="single" w:sz="4" w:space="0" w:color="auto"/>
              <w:left w:val="single" w:sz="4" w:space="0" w:color="auto"/>
              <w:bottom w:val="single" w:sz="4" w:space="0" w:color="auto"/>
              <w:right w:val="single" w:sz="4" w:space="0" w:color="auto"/>
            </w:tcBorders>
          </w:tcPr>
          <w:p w14:paraId="6F345F2E" w14:textId="77777777" w:rsidR="001E7BDC" w:rsidRDefault="001E7BDC" w:rsidP="001E7BDC">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47345E79" w14:textId="77777777" w:rsidR="001E7BDC" w:rsidRDefault="001E7BDC" w:rsidP="001E7BDC">
            <w:pPr>
              <w:pStyle w:val="TableTextNumbersContinued"/>
            </w:pPr>
          </w:p>
          <w:p w14:paraId="3F191E0D" w14:textId="77777777" w:rsidR="001E7BDC" w:rsidRDefault="001E7BDC" w:rsidP="001E7BDC">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41A2A73F" w14:textId="77777777" w:rsidR="005B6A94" w:rsidRDefault="001E7BDC" w:rsidP="00AA2B2E">
            <w:pPr>
              <w:pStyle w:val="TableTextBullet"/>
            </w:pPr>
            <w:r>
              <w:t>Compiles and displays the report.</w:t>
            </w:r>
          </w:p>
        </w:tc>
      </w:tr>
      <w:tr w:rsidR="001E7BDC" w14:paraId="5D20FD9E" w14:textId="77777777">
        <w:tc>
          <w:tcPr>
            <w:tcW w:w="3240" w:type="dxa"/>
            <w:tcBorders>
              <w:top w:val="single" w:sz="4" w:space="0" w:color="auto"/>
              <w:left w:val="single" w:sz="4" w:space="0" w:color="auto"/>
              <w:bottom w:val="single" w:sz="4" w:space="0" w:color="auto"/>
              <w:right w:val="single" w:sz="4" w:space="0" w:color="auto"/>
            </w:tcBorders>
          </w:tcPr>
          <w:p w14:paraId="7A4E9A71" w14:textId="3FDA0826" w:rsidR="001E7BDC" w:rsidRDefault="005C22EF" w:rsidP="001E7BD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1E7BDC" w:rsidRPr="00B93B42">
              <w:rPr>
                <w:rStyle w:val="StyleTableTextNumbersWhite1Char"/>
              </w:rPr>
              <w:t xml:space="preserve"> </w:t>
            </w:r>
          </w:p>
        </w:tc>
        <w:tc>
          <w:tcPr>
            <w:tcW w:w="6120" w:type="dxa"/>
            <w:tcBorders>
              <w:top w:val="single" w:sz="4" w:space="0" w:color="auto"/>
              <w:left w:val="single" w:sz="4" w:space="0" w:color="auto"/>
              <w:bottom w:val="single" w:sz="4" w:space="0" w:color="auto"/>
              <w:right w:val="single" w:sz="4" w:space="0" w:color="auto"/>
            </w:tcBorders>
          </w:tcPr>
          <w:p w14:paraId="2E685D1D" w14:textId="77777777" w:rsidR="005C22EF" w:rsidRDefault="005C22EF" w:rsidP="005C22EF">
            <w:pPr>
              <w:pStyle w:val="TableTextBullet"/>
            </w:pPr>
            <w:r>
              <w:t>If Print is selected, prints the report on the designated printer.</w:t>
            </w:r>
          </w:p>
          <w:p w14:paraId="74C8F8AD" w14:textId="77777777" w:rsidR="005C22EF" w:rsidRDefault="005C22EF" w:rsidP="005C22EF">
            <w:pPr>
              <w:pStyle w:val="TableTextBullet"/>
            </w:pPr>
            <w:r>
              <w:t>If Export is selected, exports the report to the designated file.</w:t>
            </w:r>
          </w:p>
          <w:p w14:paraId="3487E9CC" w14:textId="0697A0DE" w:rsidR="00C62C4D" w:rsidRDefault="005C22EF" w:rsidP="005C22EF">
            <w:pPr>
              <w:pStyle w:val="TableTextBullet"/>
            </w:pPr>
            <w:r>
              <w:t>If Close is selected, exits the report preview.</w:t>
            </w:r>
          </w:p>
        </w:tc>
      </w:tr>
    </w:tbl>
    <w:p w14:paraId="55AE6D50" w14:textId="77777777" w:rsidR="002A21AE" w:rsidRDefault="0067521A">
      <w:pPr>
        <w:pStyle w:val="Heading2"/>
      </w:pPr>
      <w:r>
        <w:br w:type="page"/>
      </w:r>
      <w:bookmarkStart w:id="535" w:name="_Toc163644971"/>
      <w:r w:rsidR="002A21AE">
        <w:lastRenderedPageBreak/>
        <w:t>Cost Accounting Report</w:t>
      </w:r>
      <w:bookmarkEnd w:id="535"/>
      <w:r w:rsidR="002A21AE">
        <w:fldChar w:fldCharType="begin"/>
      </w:r>
      <w:r w:rsidR="002A21AE">
        <w:instrText xml:space="preserve"> XE </w:instrText>
      </w:r>
      <w:r w:rsidR="00FA7E65">
        <w:instrText>“</w:instrText>
      </w:r>
      <w:r w:rsidR="002A21AE">
        <w:instrText>Cost Accounting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UC_75</w:t>
      </w:r>
    </w:p>
    <w:p w14:paraId="1FA48AE1" w14:textId="77777777" w:rsidR="002A21AE" w:rsidRDefault="002A21AE" w:rsidP="00FA7E65">
      <w:pPr>
        <w:pStyle w:val="BodyText"/>
      </w:pPr>
      <w:r>
        <w:t xml:space="preserve">The user views </w:t>
      </w:r>
      <w:r w:rsidR="00EB1E5A">
        <w:t xml:space="preserve">and/or </w:t>
      </w:r>
      <w:r>
        <w:t>prints the Cost Accounting Report.</w:t>
      </w:r>
    </w:p>
    <w:p w14:paraId="06709409" w14:textId="77777777" w:rsidR="002A21AE" w:rsidRDefault="002A21AE">
      <w:pPr>
        <w:pStyle w:val="Heading4"/>
      </w:pPr>
      <w:r>
        <w:t>Assumptions</w:t>
      </w:r>
      <w:r>
        <w:rPr>
          <w:b w:val="0"/>
        </w:rPr>
        <w:t xml:space="preserve"> </w:t>
      </w:r>
    </w:p>
    <w:p w14:paraId="27EBDCE3" w14:textId="77777777" w:rsidR="002A21AE" w:rsidRDefault="002A21AE">
      <w:pPr>
        <w:pStyle w:val="ListBullet"/>
      </w:pPr>
      <w:r>
        <w:t>Data for the report were saved in VBECS.</w:t>
      </w:r>
    </w:p>
    <w:p w14:paraId="1E85AC1C" w14:textId="77777777" w:rsidR="002A21AE" w:rsidRDefault="002A21AE">
      <w:pPr>
        <w:pStyle w:val="Heading4"/>
      </w:pPr>
      <w:r>
        <w:t xml:space="preserve">Outcome </w:t>
      </w:r>
    </w:p>
    <w:p w14:paraId="09287821" w14:textId="77777777" w:rsidR="002A21AE" w:rsidRDefault="002A21AE">
      <w:pPr>
        <w:pStyle w:val="ListBullet"/>
      </w:pPr>
      <w:r>
        <w:t>The report is viewable or printed.</w:t>
      </w:r>
    </w:p>
    <w:p w14:paraId="7095482D" w14:textId="77777777" w:rsidR="002A21AE" w:rsidRDefault="002A21AE">
      <w:pPr>
        <w:pStyle w:val="Heading4"/>
      </w:pPr>
      <w:r>
        <w:t>Limitations and Restrictions</w:t>
      </w:r>
      <w:r>
        <w:rPr>
          <w:b w:val="0"/>
        </w:rPr>
        <w:t xml:space="preserve"> </w:t>
      </w:r>
    </w:p>
    <w:p w14:paraId="29FEDD69" w14:textId="77777777" w:rsidR="002A21AE" w:rsidRDefault="006F5AE0">
      <w:pPr>
        <w:pStyle w:val="ListBullet"/>
      </w:pPr>
      <w:r>
        <w:t>None</w:t>
      </w:r>
    </w:p>
    <w:p w14:paraId="3180D0C0" w14:textId="77777777" w:rsidR="002A21AE" w:rsidRDefault="002A21AE">
      <w:pPr>
        <w:pStyle w:val="Heading4"/>
      </w:pPr>
      <w:r>
        <w:t xml:space="preserve">Additional Information </w:t>
      </w:r>
    </w:p>
    <w:p w14:paraId="35D513CB" w14:textId="5B039DA6" w:rsidR="002A21AE" w:rsidRDefault="002A21AE">
      <w:pPr>
        <w:pStyle w:val="ListBullet"/>
      </w:pPr>
      <w:r>
        <w:t>The report is for a single division.</w:t>
      </w:r>
    </w:p>
    <w:p w14:paraId="34C3E217" w14:textId="545B90CF" w:rsidR="00FC4E14" w:rsidRDefault="00FC4E14" w:rsidP="00FC4E14">
      <w:pPr>
        <w:pStyle w:val="ListBullet"/>
      </w:pPr>
      <w:r w:rsidRPr="00FC4E14">
        <w:t>A unit with an edited return credit in final status will not revert to the original return credit amount when the unit’s final status is removed.</w:t>
      </w:r>
      <w:r w:rsidR="007C00C8">
        <w:t xml:space="preserve"> </w:t>
      </w:r>
      <w:r w:rsidR="007C00C8" w:rsidRPr="00FC4E14">
        <w:t>Select Edit Financial Data and correct the return credit amount.</w:t>
      </w:r>
      <w:r w:rsidR="00244AD3">
        <w:t xml:space="preserve"> </w:t>
      </w:r>
      <w:r w:rsidR="00244AD3" w:rsidRPr="00244AD3">
        <w:rPr>
          <w:vanish/>
        </w:rPr>
        <w:t>Defect 208803</w:t>
      </w:r>
    </w:p>
    <w:p w14:paraId="4A651582" w14:textId="77777777" w:rsidR="002A21AE" w:rsidRDefault="002A21AE">
      <w:pPr>
        <w:pStyle w:val="Heading4"/>
        <w:rPr>
          <w:b w:val="0"/>
        </w:rPr>
      </w:pPr>
      <w:r>
        <w:t>User Roles with Access to This Option</w:t>
      </w:r>
      <w:r>
        <w:rPr>
          <w:b w:val="0"/>
        </w:rPr>
        <w:t xml:space="preserve"> </w:t>
      </w:r>
    </w:p>
    <w:p w14:paraId="22F6F000" w14:textId="77777777" w:rsidR="002A21AE" w:rsidRDefault="00606FB0">
      <w:pPr>
        <w:pStyle w:val="Roles"/>
      </w:pPr>
      <w:r>
        <w:t>All users</w:t>
      </w:r>
    </w:p>
    <w:p w14:paraId="7661E652" w14:textId="77777777" w:rsidR="002A21AE" w:rsidRDefault="002A21AE">
      <w:pPr>
        <w:pStyle w:val="Heading4"/>
      </w:pPr>
      <w:r>
        <w:t>Cost Accounting Report</w:t>
      </w:r>
    </w:p>
    <w:p w14:paraId="24CDCC14" w14:textId="77777777" w:rsidR="002A21AE" w:rsidRDefault="002A21AE" w:rsidP="00FA7E65">
      <w:pPr>
        <w:pStyle w:val="BodyText"/>
      </w:pPr>
      <w:r>
        <w:t xml:space="preserve">The user views </w:t>
      </w:r>
      <w:r w:rsidR="00EB1E5A">
        <w:t xml:space="preserve">and/or </w:t>
      </w:r>
      <w:r>
        <w:t xml:space="preserve">prints the Cost Accounting Report for a division. The Cost Accounting Report itemizes incoming and outgoing shipments, modifications of blood products, and patient testing costs for a given period. The report includes base cost, special testing, </w:t>
      </w:r>
      <w:r w:rsidR="006F5AE0">
        <w:t xml:space="preserve">modifications, </w:t>
      </w:r>
      <w:r>
        <w:t>and return credits for units, as applicable.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0E51352" w14:textId="77777777">
        <w:trPr>
          <w:cantSplit/>
          <w:tblHeader/>
        </w:trPr>
        <w:tc>
          <w:tcPr>
            <w:tcW w:w="3240" w:type="dxa"/>
            <w:shd w:val="pct30" w:color="auto" w:fill="FFFFFF"/>
            <w:vAlign w:val="bottom"/>
          </w:tcPr>
          <w:p w14:paraId="061AF183" w14:textId="77777777" w:rsidR="002A21AE" w:rsidRDefault="002A21AE">
            <w:pPr>
              <w:pStyle w:val="TableText"/>
              <w:rPr>
                <w:b/>
              </w:rPr>
            </w:pPr>
            <w:r>
              <w:rPr>
                <w:b/>
              </w:rPr>
              <w:t>User Action</w:t>
            </w:r>
          </w:p>
        </w:tc>
        <w:tc>
          <w:tcPr>
            <w:tcW w:w="6120" w:type="dxa"/>
            <w:shd w:val="pct30" w:color="auto" w:fill="FFFFFF"/>
            <w:vAlign w:val="bottom"/>
          </w:tcPr>
          <w:p w14:paraId="52AFE4B0" w14:textId="77777777" w:rsidR="002A21AE" w:rsidRDefault="002A21AE">
            <w:pPr>
              <w:pStyle w:val="TableText"/>
              <w:rPr>
                <w:b/>
              </w:rPr>
            </w:pPr>
            <w:r>
              <w:rPr>
                <w:b/>
              </w:rPr>
              <w:t>VBECS</w:t>
            </w:r>
          </w:p>
        </w:tc>
      </w:tr>
      <w:tr w:rsidR="002A21AE" w14:paraId="57A11443" w14:textId="77777777">
        <w:tc>
          <w:tcPr>
            <w:tcW w:w="3240" w:type="dxa"/>
          </w:tcPr>
          <w:p w14:paraId="2F231365" w14:textId="77777777" w:rsidR="002A21AE" w:rsidRDefault="002A21AE" w:rsidP="00925CAD">
            <w:pPr>
              <w:pStyle w:val="TableTextNumbers"/>
              <w:numPr>
                <w:ilvl w:val="0"/>
                <w:numId w:val="38"/>
              </w:numPr>
            </w:pPr>
            <w:r>
              <w:t xml:space="preserve">Select </w:t>
            </w:r>
            <w:r w:rsidRPr="002F2DF7">
              <w:t>Reports</w:t>
            </w:r>
            <w:r>
              <w:t xml:space="preserve"> from the main menu.</w:t>
            </w:r>
          </w:p>
          <w:p w14:paraId="6FABE507" w14:textId="77777777" w:rsidR="002A21AE" w:rsidRDefault="002A21AE">
            <w:pPr>
              <w:pStyle w:val="TableTextNumbersContinued"/>
            </w:pPr>
          </w:p>
          <w:p w14:paraId="307E277E" w14:textId="77777777" w:rsidR="002A21AE" w:rsidRDefault="002A21AE">
            <w:pPr>
              <w:pStyle w:val="TableTextNumbersContinued"/>
            </w:pPr>
            <w:r>
              <w:t xml:space="preserve">Select </w:t>
            </w:r>
            <w:r>
              <w:rPr>
                <w:b/>
              </w:rPr>
              <w:t>Cost Accounting Report</w:t>
            </w:r>
            <w:r>
              <w:t>.</w:t>
            </w:r>
          </w:p>
        </w:tc>
        <w:tc>
          <w:tcPr>
            <w:tcW w:w="6120" w:type="dxa"/>
          </w:tcPr>
          <w:p w14:paraId="72BDE09E" w14:textId="77777777" w:rsidR="002A21AE" w:rsidRDefault="002A21AE">
            <w:pPr>
              <w:pStyle w:val="TableTextBullet"/>
            </w:pPr>
            <w:r>
              <w:t>Lists report names.</w:t>
            </w:r>
          </w:p>
          <w:p w14:paraId="795EF10D" w14:textId="77777777" w:rsidR="002A21AE" w:rsidRDefault="002A21AE">
            <w:pPr>
              <w:pStyle w:val="TableTextBullet"/>
            </w:pPr>
            <w:r>
              <w:t xml:space="preserve">Displays report compilation criteria. </w:t>
            </w:r>
          </w:p>
          <w:p w14:paraId="4A52700A" w14:textId="77777777" w:rsidR="002A21AE" w:rsidRDefault="002A21AE">
            <w:pPr>
              <w:pStyle w:val="TableTextBullet"/>
            </w:pPr>
            <w:r>
              <w:t>Displays a date range for selection.</w:t>
            </w:r>
          </w:p>
        </w:tc>
      </w:tr>
      <w:tr w:rsidR="002A21AE" w14:paraId="1A73A773" w14:textId="77777777">
        <w:tc>
          <w:tcPr>
            <w:tcW w:w="3240" w:type="dxa"/>
          </w:tcPr>
          <w:p w14:paraId="59932601" w14:textId="77777777" w:rsidR="002A21AE" w:rsidRDefault="002A21AE">
            <w:pPr>
              <w:pStyle w:val="TableTextNumbers"/>
            </w:pPr>
            <w:r>
              <w:t>Enter or select start and end dates.</w:t>
            </w:r>
          </w:p>
        </w:tc>
        <w:tc>
          <w:tcPr>
            <w:tcW w:w="6120" w:type="dxa"/>
          </w:tcPr>
          <w:p w14:paraId="7D25E221" w14:textId="77777777" w:rsidR="002A21AE" w:rsidRDefault="002A21AE">
            <w:pPr>
              <w:pStyle w:val="TableTextBullet"/>
            </w:pPr>
            <w:r>
              <w:t xml:space="preserve">Compiles and displays the report. </w:t>
            </w:r>
          </w:p>
          <w:p w14:paraId="3161102A" w14:textId="77777777" w:rsidR="002A21AE" w:rsidRDefault="002A21AE">
            <w:pPr>
              <w:pStyle w:val="TableText"/>
            </w:pPr>
          </w:p>
          <w:p w14:paraId="73B5DE9E" w14:textId="7E9ED1D1" w:rsidR="002A21AE" w:rsidRDefault="002A21AE">
            <w:pPr>
              <w:pStyle w:val="TableText"/>
              <w:rPr>
                <w:b/>
                <w:bCs/>
                <w:szCs w:val="18"/>
              </w:rPr>
            </w:pPr>
            <w:r>
              <w:rPr>
                <w:b/>
                <w:bCs/>
                <w:szCs w:val="18"/>
              </w:rPr>
              <w:t>NOTES</w:t>
            </w:r>
          </w:p>
          <w:p w14:paraId="232A388E" w14:textId="77777777" w:rsidR="002A21AE" w:rsidRDefault="002A21AE">
            <w:pPr>
              <w:pStyle w:val="NotesText"/>
            </w:pPr>
          </w:p>
          <w:p w14:paraId="25C85B75" w14:textId="0EE353E6" w:rsidR="002A21AE" w:rsidRDefault="002A21AE">
            <w:pPr>
              <w:pStyle w:val="NotesText"/>
            </w:pPr>
            <w:r>
              <w:rPr>
                <w:rFonts w:cs="Arial"/>
                <w:vanish/>
              </w:rPr>
              <w:t xml:space="preserve">BR_75.03 </w:t>
            </w:r>
            <w:r>
              <w:t xml:space="preserve">Final calculations appear at the end of </w:t>
            </w:r>
            <w:r w:rsidR="00C16592">
              <w:t>each section</w:t>
            </w:r>
            <w:r>
              <w:t>:</w:t>
            </w:r>
          </w:p>
          <w:p w14:paraId="12695001" w14:textId="77777777" w:rsidR="002A21AE" w:rsidRDefault="002A21AE">
            <w:pPr>
              <w:pStyle w:val="NotesTextBullet"/>
            </w:pPr>
            <w:r>
              <w:t>Subtotal of base cost per invoice (Incoming Shipment section only)</w:t>
            </w:r>
          </w:p>
          <w:p w14:paraId="6D2EE830" w14:textId="77777777" w:rsidR="002A21AE" w:rsidRDefault="002A21AE">
            <w:pPr>
              <w:pStyle w:val="NotesTextBullet"/>
            </w:pPr>
            <w:r>
              <w:t>Subtotal of special testing cost (Incoming Shipment section only)</w:t>
            </w:r>
          </w:p>
          <w:p w14:paraId="266DE057" w14:textId="23E9A159" w:rsidR="002A21AE" w:rsidRDefault="002A21AE" w:rsidP="00C3613D">
            <w:pPr>
              <w:pStyle w:val="NotesTextBullet"/>
            </w:pPr>
            <w:r>
              <w:t>Subtotal of return credit for an invoice (Outgoing Shipment section only)</w:t>
            </w:r>
          </w:p>
          <w:p w14:paraId="6044361B" w14:textId="77777777" w:rsidR="002A21AE" w:rsidRDefault="002A21AE">
            <w:pPr>
              <w:pStyle w:val="NotesTextBullet"/>
            </w:pPr>
            <w:r>
              <w:t xml:space="preserve">Total special testing cost of all units </w:t>
            </w:r>
          </w:p>
          <w:p w14:paraId="6A9C7D16" w14:textId="2C720B01" w:rsidR="002A21AE" w:rsidRDefault="002A21AE" w:rsidP="00C3613D">
            <w:pPr>
              <w:pStyle w:val="NotesTextBullet"/>
            </w:pPr>
            <w:r>
              <w:t>Total off-site antibody identification testing cost</w:t>
            </w:r>
          </w:p>
          <w:p w14:paraId="0A95063D" w14:textId="110BEADC" w:rsidR="002A21AE" w:rsidRPr="0034286D" w:rsidRDefault="002A21AE" w:rsidP="00C3613D">
            <w:pPr>
              <w:pStyle w:val="NotesTextBullet"/>
            </w:pPr>
            <w:r>
              <w:t>Total cost of modifications</w:t>
            </w:r>
          </w:p>
          <w:p w14:paraId="5716A2E2" w14:textId="1C606567" w:rsidR="0034286D" w:rsidRDefault="0034286D">
            <w:pPr>
              <w:pStyle w:val="NotesTextBullet"/>
            </w:pPr>
            <w:r>
              <w:t>Total cost of units inactivated</w:t>
            </w:r>
          </w:p>
        </w:tc>
      </w:tr>
      <w:tr w:rsidR="002A21AE" w14:paraId="022E44EE" w14:textId="77777777" w:rsidTr="00FB2A8A">
        <w:trPr>
          <w:cantSplit/>
        </w:trPr>
        <w:tc>
          <w:tcPr>
            <w:tcW w:w="3240" w:type="dxa"/>
          </w:tcPr>
          <w:p w14:paraId="61EB971B"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610C6B8" w14:textId="77777777" w:rsidR="002A21AE" w:rsidRDefault="002A21AE">
            <w:pPr>
              <w:pStyle w:val="TableTextNumbersContinued"/>
            </w:pPr>
          </w:p>
          <w:p w14:paraId="6CA44780"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57DE5A" w14:textId="77777777" w:rsidR="002A21AE" w:rsidRDefault="00F64B5C" w:rsidP="00F64B5C">
            <w:pPr>
              <w:pStyle w:val="TableTextBullet"/>
            </w:pPr>
            <w:r>
              <w:t>Compiles and displays the report.</w:t>
            </w:r>
          </w:p>
          <w:p w14:paraId="46FA0F6B" w14:textId="77777777" w:rsidR="005B6A94" w:rsidRDefault="005B6A94" w:rsidP="00AA2B2E">
            <w:pPr>
              <w:pStyle w:val="TableTextBullet"/>
              <w:numPr>
                <w:ilvl w:val="0"/>
                <w:numId w:val="0"/>
              </w:numPr>
            </w:pPr>
          </w:p>
        </w:tc>
      </w:tr>
      <w:tr w:rsidR="002A21AE" w14:paraId="5E4701BD" w14:textId="77777777">
        <w:tc>
          <w:tcPr>
            <w:tcW w:w="3240" w:type="dxa"/>
          </w:tcPr>
          <w:p w14:paraId="441715C2" w14:textId="323B29A5"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49D8AB48" w14:textId="77777777" w:rsidR="005C22EF" w:rsidRDefault="005C22EF" w:rsidP="005C22EF">
            <w:pPr>
              <w:pStyle w:val="TableTextBullet"/>
            </w:pPr>
            <w:r>
              <w:t>If Print is selected, prints the report on the designated printer.</w:t>
            </w:r>
          </w:p>
          <w:p w14:paraId="182FCC97" w14:textId="77777777" w:rsidR="005C22EF" w:rsidRDefault="005C22EF" w:rsidP="005C22EF">
            <w:pPr>
              <w:pStyle w:val="TableTextBullet"/>
            </w:pPr>
            <w:r>
              <w:t>If Export is selected, exports the report to the designated file.</w:t>
            </w:r>
          </w:p>
          <w:p w14:paraId="44AA8F44" w14:textId="0B40C2E7" w:rsidR="002A21AE" w:rsidRDefault="005C22EF" w:rsidP="005C22EF">
            <w:pPr>
              <w:pStyle w:val="TableTextBullet"/>
            </w:pPr>
            <w:r>
              <w:t>If Close is selected, exits the report preview.</w:t>
            </w:r>
          </w:p>
        </w:tc>
      </w:tr>
    </w:tbl>
    <w:p w14:paraId="45DD67E3" w14:textId="77777777" w:rsidR="002A21AE" w:rsidRDefault="00F55832">
      <w:pPr>
        <w:pStyle w:val="Heading2"/>
      </w:pPr>
      <w:r>
        <w:br w:type="page"/>
      </w:r>
      <w:bookmarkStart w:id="536" w:name="_Toc163644972"/>
      <w:r w:rsidR="002A21AE">
        <w:lastRenderedPageBreak/>
        <w:t>C:T Ratio Report</w:t>
      </w:r>
      <w:bookmarkEnd w:id="536"/>
      <w:r w:rsidR="002A21AE">
        <w:fldChar w:fldCharType="begin"/>
      </w:r>
      <w:r w:rsidR="002A21AE">
        <w:instrText xml:space="preserve"> XE </w:instrText>
      </w:r>
      <w:r w:rsidR="00FA7E65">
        <w:instrText>“</w:instrText>
      </w:r>
      <w:r w:rsidR="002A21AE">
        <w:instrText>C\:T Ratio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UC_104</w:t>
      </w:r>
      <w:r w:rsidR="002A21AE">
        <w:rPr>
          <w:rStyle w:val="CommentReference"/>
          <w:rFonts w:ascii="Times New Roman" w:hAnsi="Times New Roman" w:cs="Times New Roman"/>
          <w:b w:val="0"/>
          <w:bCs w:val="0"/>
          <w:vanish/>
        </w:rPr>
        <w:t xml:space="preserve"> </w:t>
      </w:r>
    </w:p>
    <w:p w14:paraId="59E752AB" w14:textId="77777777" w:rsidR="002A21AE" w:rsidRDefault="002A21AE" w:rsidP="00FA7E65">
      <w:pPr>
        <w:pStyle w:val="BodyText"/>
      </w:pPr>
      <w:r>
        <w:t xml:space="preserve">The user views </w:t>
      </w:r>
      <w:r w:rsidR="00EB1E5A">
        <w:t xml:space="preserve">and/or </w:t>
      </w:r>
      <w:r w:rsidR="00F86A79">
        <w:t>prints the C:T Ratio Report</w:t>
      </w:r>
      <w:r>
        <w:t>.</w:t>
      </w:r>
    </w:p>
    <w:p w14:paraId="1A5B56D8" w14:textId="77777777" w:rsidR="002A21AE" w:rsidRDefault="002A21AE">
      <w:pPr>
        <w:pStyle w:val="Heading4"/>
      </w:pPr>
      <w:r>
        <w:t>Assumptions</w:t>
      </w:r>
      <w:r>
        <w:rPr>
          <w:b w:val="0"/>
        </w:rPr>
        <w:t xml:space="preserve"> </w:t>
      </w:r>
    </w:p>
    <w:p w14:paraId="3D1F6573" w14:textId="77777777" w:rsidR="002A21AE" w:rsidRDefault="002A21AE">
      <w:pPr>
        <w:pStyle w:val="ListBullet"/>
      </w:pPr>
      <w:r>
        <w:t>Data for the report are available.</w:t>
      </w:r>
    </w:p>
    <w:p w14:paraId="7883C377" w14:textId="77777777" w:rsidR="002A21AE" w:rsidRDefault="002A21AE">
      <w:pPr>
        <w:pStyle w:val="Heading4"/>
      </w:pPr>
      <w:r>
        <w:t xml:space="preserve">Outcome </w:t>
      </w:r>
    </w:p>
    <w:p w14:paraId="71EEB280" w14:textId="77777777" w:rsidR="002A21AE" w:rsidRDefault="002A21AE">
      <w:pPr>
        <w:pStyle w:val="ListBullet"/>
      </w:pPr>
      <w:r>
        <w:t>The report is viewed or printed.</w:t>
      </w:r>
    </w:p>
    <w:p w14:paraId="6D42C585" w14:textId="77777777" w:rsidR="002A21AE" w:rsidRDefault="002A21AE">
      <w:pPr>
        <w:pStyle w:val="Heading4"/>
        <w:rPr>
          <w:b w:val="0"/>
        </w:rPr>
      </w:pPr>
      <w:r>
        <w:t>Limitations and Restrictions</w:t>
      </w:r>
      <w:r>
        <w:rPr>
          <w:b w:val="0"/>
        </w:rPr>
        <w:t xml:space="preserve"> </w:t>
      </w:r>
    </w:p>
    <w:p w14:paraId="35A0643F" w14:textId="77777777" w:rsidR="002A21AE" w:rsidRDefault="002A21AE">
      <w:pPr>
        <w:pStyle w:val="ListBullet"/>
      </w:pPr>
      <w:r>
        <w:t>None</w:t>
      </w:r>
    </w:p>
    <w:p w14:paraId="65329223" w14:textId="77777777" w:rsidR="002A21AE" w:rsidRDefault="002A21AE">
      <w:pPr>
        <w:pStyle w:val="Heading4"/>
      </w:pPr>
      <w:r>
        <w:t xml:space="preserve">Additional Information </w:t>
      </w:r>
    </w:p>
    <w:p w14:paraId="601D2CF8" w14:textId="41F79690" w:rsidR="002A21AE" w:rsidRDefault="002A21AE">
      <w:pPr>
        <w:pStyle w:val="ListBullet"/>
      </w:pPr>
      <w:r>
        <w:t xml:space="preserve">This </w:t>
      </w:r>
      <w:r w:rsidR="00834BA7">
        <w:t xml:space="preserve">ratio </w:t>
      </w:r>
      <w:r>
        <w:t>calculation include</w:t>
      </w:r>
      <w:r w:rsidR="00834BA7">
        <w:t>s all</w:t>
      </w:r>
      <w:r>
        <w:t xml:space="preserve"> component classes</w:t>
      </w:r>
      <w:r w:rsidR="00834BA7">
        <w:t>.</w:t>
      </w:r>
      <w:r>
        <w:t xml:space="preserve"> </w:t>
      </w:r>
      <w:r w:rsidR="00834BA7">
        <w:t>For component classes that are not crossmatched, the number of blood units assigned to the patient are used as a basis for calculation</w:t>
      </w:r>
      <w:r>
        <w:t>.</w:t>
      </w:r>
    </w:p>
    <w:p w14:paraId="5A530148" w14:textId="77777777" w:rsidR="00F86A79" w:rsidRDefault="00F86A79" w:rsidP="00F86A79">
      <w:pPr>
        <w:pStyle w:val="ListBullet"/>
      </w:pPr>
      <w:r>
        <w:t>The report is available as a single-division or multidivisional (all divisions) report.</w:t>
      </w:r>
    </w:p>
    <w:p w14:paraId="3D65032B" w14:textId="77777777" w:rsidR="002A21AE" w:rsidRDefault="002A21AE">
      <w:pPr>
        <w:pStyle w:val="Heading4"/>
        <w:rPr>
          <w:b w:val="0"/>
        </w:rPr>
      </w:pPr>
      <w:r>
        <w:t>User Roles with Access to This Option</w:t>
      </w:r>
      <w:r>
        <w:rPr>
          <w:b w:val="0"/>
        </w:rPr>
        <w:t xml:space="preserve"> </w:t>
      </w:r>
    </w:p>
    <w:p w14:paraId="6737648E" w14:textId="77777777" w:rsidR="002A21AE" w:rsidRDefault="00606FB0">
      <w:pPr>
        <w:pStyle w:val="Roles"/>
      </w:pPr>
      <w:r>
        <w:t>All users</w:t>
      </w:r>
    </w:p>
    <w:p w14:paraId="531996EB" w14:textId="77777777" w:rsidR="002A21AE" w:rsidRDefault="002A21AE">
      <w:pPr>
        <w:pStyle w:val="Heading4"/>
      </w:pPr>
      <w:r>
        <w:t>C:T Ratio Report</w:t>
      </w:r>
      <w:r>
        <w:rPr>
          <w:rStyle w:val="CommentReference"/>
          <w:rFonts w:ascii="Times New Roman" w:hAnsi="Times New Roman"/>
          <w:b w:val="0"/>
          <w:bCs/>
          <w:vanish/>
        </w:rPr>
        <w:t xml:space="preserve"> </w:t>
      </w:r>
    </w:p>
    <w:p w14:paraId="17BF8E77" w14:textId="1C60E6B9" w:rsidR="002A21AE" w:rsidRDefault="002A21AE" w:rsidP="00FA7E65">
      <w:pPr>
        <w:pStyle w:val="BodyText"/>
      </w:pPr>
      <w:r>
        <w:t>This option compiles and calculates the crossmatch</w:t>
      </w:r>
      <w:r w:rsidR="008C7C92">
        <w:t>/assigned</w:t>
      </w:r>
      <w:r>
        <w:t>-</w:t>
      </w:r>
      <w:r w:rsidR="00991CFE">
        <w:t>to-transfusion ratio.</w:t>
      </w:r>
      <w:r w:rsidR="00517AC6">
        <w:t xml:space="preserve"> The user may select one of five report formats.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5415A0" w14:textId="77777777">
        <w:trPr>
          <w:cantSplit/>
          <w:tblHeader/>
        </w:trPr>
        <w:tc>
          <w:tcPr>
            <w:tcW w:w="3240" w:type="dxa"/>
            <w:shd w:val="pct30" w:color="auto" w:fill="FFFFFF"/>
            <w:vAlign w:val="bottom"/>
          </w:tcPr>
          <w:p w14:paraId="2AC91D95" w14:textId="77777777" w:rsidR="002A21AE" w:rsidRDefault="002A21AE">
            <w:pPr>
              <w:pStyle w:val="TableText"/>
              <w:rPr>
                <w:b/>
              </w:rPr>
            </w:pPr>
            <w:r>
              <w:rPr>
                <w:b/>
              </w:rPr>
              <w:t>User Action</w:t>
            </w:r>
          </w:p>
        </w:tc>
        <w:tc>
          <w:tcPr>
            <w:tcW w:w="6120" w:type="dxa"/>
            <w:shd w:val="pct30" w:color="auto" w:fill="FFFFFF"/>
            <w:vAlign w:val="bottom"/>
          </w:tcPr>
          <w:p w14:paraId="0080B95F" w14:textId="77777777" w:rsidR="002A21AE" w:rsidRDefault="002A21AE">
            <w:pPr>
              <w:pStyle w:val="TableText"/>
              <w:rPr>
                <w:b/>
              </w:rPr>
            </w:pPr>
            <w:r>
              <w:rPr>
                <w:b/>
              </w:rPr>
              <w:t>VBECS</w:t>
            </w:r>
          </w:p>
        </w:tc>
      </w:tr>
      <w:tr w:rsidR="002A21AE" w14:paraId="4E51CC9C" w14:textId="77777777">
        <w:tc>
          <w:tcPr>
            <w:tcW w:w="3240" w:type="dxa"/>
          </w:tcPr>
          <w:p w14:paraId="65CE8A18" w14:textId="77777777" w:rsidR="002A21AE" w:rsidRDefault="002A21AE">
            <w:pPr>
              <w:pStyle w:val="TableTextNumbers"/>
            </w:pPr>
            <w:r>
              <w:t xml:space="preserve">Select </w:t>
            </w:r>
            <w:r>
              <w:rPr>
                <w:b/>
              </w:rPr>
              <w:t>Reports</w:t>
            </w:r>
            <w:r>
              <w:t xml:space="preserve"> from the main menu.</w:t>
            </w:r>
          </w:p>
          <w:p w14:paraId="3F94A066" w14:textId="77777777" w:rsidR="002A21AE" w:rsidRDefault="002A21AE">
            <w:pPr>
              <w:pStyle w:val="TableTextNumbersContinued"/>
            </w:pPr>
          </w:p>
          <w:p w14:paraId="43DA2F30" w14:textId="77777777" w:rsidR="002A21AE" w:rsidRDefault="002A21AE">
            <w:pPr>
              <w:pStyle w:val="TableTextNumbersContinued"/>
            </w:pPr>
            <w:r>
              <w:t xml:space="preserve">Select </w:t>
            </w:r>
            <w:r>
              <w:rPr>
                <w:b/>
              </w:rPr>
              <w:t>C:T Ratio Report</w:t>
            </w:r>
            <w:r>
              <w:t>.</w:t>
            </w:r>
          </w:p>
        </w:tc>
        <w:tc>
          <w:tcPr>
            <w:tcW w:w="6120" w:type="dxa"/>
          </w:tcPr>
          <w:p w14:paraId="24511EE1" w14:textId="77777777" w:rsidR="002A21AE" w:rsidRDefault="002A21AE">
            <w:pPr>
              <w:pStyle w:val="TableTextBullet"/>
            </w:pPr>
            <w:r>
              <w:t>Lists report names.</w:t>
            </w:r>
          </w:p>
          <w:p w14:paraId="571A5A6E" w14:textId="77777777" w:rsidR="002A21AE" w:rsidRDefault="002A21AE">
            <w:pPr>
              <w:pStyle w:val="TableTextBullet"/>
            </w:pPr>
            <w:r>
              <w:t xml:space="preserve">Displays report type and compilation criteria. </w:t>
            </w:r>
          </w:p>
          <w:p w14:paraId="290C0CBF" w14:textId="5257EF86" w:rsidR="002A21AE" w:rsidRDefault="002A21AE">
            <w:pPr>
              <w:pStyle w:val="TableTextBullet"/>
            </w:pPr>
            <w:r>
              <w:t xml:space="preserve">Displays a date range for selection. </w:t>
            </w:r>
          </w:p>
        </w:tc>
      </w:tr>
      <w:tr w:rsidR="002A21AE" w14:paraId="47E1AE6A" w14:textId="77777777">
        <w:tc>
          <w:tcPr>
            <w:tcW w:w="3240" w:type="dxa"/>
          </w:tcPr>
          <w:p w14:paraId="3323529E" w14:textId="0345A509" w:rsidR="002A21AE" w:rsidRDefault="002A21AE">
            <w:pPr>
              <w:pStyle w:val="TableTextNumbers"/>
            </w:pPr>
            <w:r>
              <w:t>Enter a date range.</w:t>
            </w:r>
          </w:p>
        </w:tc>
        <w:tc>
          <w:tcPr>
            <w:tcW w:w="6120" w:type="dxa"/>
          </w:tcPr>
          <w:p w14:paraId="6D2537FC" w14:textId="77777777" w:rsidR="002A21AE" w:rsidRDefault="002A21AE" w:rsidP="00960693">
            <w:pPr>
              <w:pStyle w:val="TableTextBullet"/>
            </w:pPr>
            <w:r>
              <w:t>Displays an option to compile the report for one or all divisions in the database.</w:t>
            </w:r>
          </w:p>
        </w:tc>
      </w:tr>
      <w:tr w:rsidR="002A21AE" w14:paraId="759A6601" w14:textId="77777777">
        <w:tc>
          <w:tcPr>
            <w:tcW w:w="3240" w:type="dxa"/>
          </w:tcPr>
          <w:p w14:paraId="37ECF9B1" w14:textId="77777777" w:rsidR="002A21AE" w:rsidRDefault="002A21AE">
            <w:pPr>
              <w:pStyle w:val="TableTextNumbers"/>
            </w:pPr>
            <w:r>
              <w:t xml:space="preserve">Click the </w:t>
            </w:r>
            <w:r>
              <w:rPr>
                <w:b/>
              </w:rPr>
              <w:t>Current Division</w:t>
            </w:r>
            <w:r>
              <w:t xml:space="preserve"> or </w:t>
            </w:r>
            <w:r>
              <w:rPr>
                <w:b/>
              </w:rPr>
              <w:t>All Divisions</w:t>
            </w:r>
            <w:r>
              <w:t xml:space="preserve"> </w:t>
            </w:r>
            <w:r w:rsidRPr="00BF2E41">
              <w:t>radio button</w:t>
            </w:r>
            <w:r>
              <w:t>.</w:t>
            </w:r>
          </w:p>
        </w:tc>
        <w:tc>
          <w:tcPr>
            <w:tcW w:w="6120" w:type="dxa"/>
          </w:tcPr>
          <w:p w14:paraId="1933C555" w14:textId="77777777" w:rsidR="002A21AE" w:rsidRDefault="002A21AE">
            <w:pPr>
              <w:pStyle w:val="TableTextBullet"/>
            </w:pPr>
            <w:r>
              <w:t>Allows the user to select a report format.</w:t>
            </w:r>
          </w:p>
          <w:p w14:paraId="72261309" w14:textId="77777777" w:rsidR="002A21AE" w:rsidRDefault="002A21AE">
            <w:pPr>
              <w:pStyle w:val="TableText"/>
            </w:pPr>
          </w:p>
          <w:p w14:paraId="39B53336" w14:textId="2DE44A12" w:rsidR="002A21AE" w:rsidRDefault="002A21AE">
            <w:pPr>
              <w:pStyle w:val="TableText"/>
              <w:rPr>
                <w:b/>
                <w:bCs/>
                <w:szCs w:val="18"/>
              </w:rPr>
            </w:pPr>
            <w:r>
              <w:rPr>
                <w:b/>
                <w:bCs/>
                <w:szCs w:val="18"/>
              </w:rPr>
              <w:t>NOTES</w:t>
            </w:r>
          </w:p>
          <w:p w14:paraId="777A6AAB" w14:textId="77777777" w:rsidR="002A21AE" w:rsidRDefault="002A21AE">
            <w:pPr>
              <w:pStyle w:val="NotesText"/>
            </w:pPr>
          </w:p>
          <w:p w14:paraId="2E5B09F9" w14:textId="7199E8DE" w:rsidR="002A21AE" w:rsidRDefault="002A21AE">
            <w:pPr>
              <w:pStyle w:val="NotesText"/>
            </w:pPr>
            <w:r>
              <w:rPr>
                <w:rFonts w:cs="Arial"/>
                <w:vanish/>
              </w:rPr>
              <w:t xml:space="preserve">BR_104.08 </w:t>
            </w:r>
            <w:r>
              <w:t>The user may request the</w:t>
            </w:r>
            <w:r w:rsidR="003D604B">
              <w:t xml:space="preserve"> Detailed R</w:t>
            </w:r>
            <w:r w:rsidR="0068564B">
              <w:t xml:space="preserve">eport, </w:t>
            </w:r>
            <w:r w:rsidR="004531B5">
              <w:t xml:space="preserve">Ordering </w:t>
            </w:r>
            <w:r w:rsidR="0068564B">
              <w:t>Physician Summary Report</w:t>
            </w:r>
            <w:r w:rsidR="003D604B">
              <w:t>, Treating Specialty Summary Report</w:t>
            </w:r>
            <w:r w:rsidR="0068564B">
              <w:t xml:space="preserve">, Detailed Report with </w:t>
            </w:r>
            <w:r w:rsidR="00BC7B60">
              <w:t xml:space="preserve">Ordering </w:t>
            </w:r>
            <w:r w:rsidR="0068564B">
              <w:t>Physician Summary, or Detailed Report with Treating Specialty Summary</w:t>
            </w:r>
            <w:r w:rsidR="003D604B">
              <w:t>.</w:t>
            </w:r>
            <w:r>
              <w:t xml:space="preserve"> </w:t>
            </w:r>
          </w:p>
        </w:tc>
      </w:tr>
      <w:tr w:rsidR="002A21AE" w14:paraId="1E7E545F" w14:textId="77777777" w:rsidTr="00E35FC4">
        <w:trPr>
          <w:cantSplit/>
        </w:trPr>
        <w:tc>
          <w:tcPr>
            <w:tcW w:w="3240" w:type="dxa"/>
          </w:tcPr>
          <w:p w14:paraId="3F481851" w14:textId="77777777" w:rsidR="002A21AE" w:rsidRDefault="002A21AE">
            <w:pPr>
              <w:pStyle w:val="TableTextNumbers"/>
            </w:pPr>
            <w:r>
              <w:lastRenderedPageBreak/>
              <w:t>Click a radio button to select a report format:</w:t>
            </w:r>
          </w:p>
          <w:p w14:paraId="4BD9C141" w14:textId="77777777" w:rsidR="002A21AE" w:rsidRPr="00945BF5" w:rsidRDefault="002A21AE" w:rsidP="00E35FC4">
            <w:pPr>
              <w:pStyle w:val="TableTextNumbersBullet"/>
              <w:tabs>
                <w:tab w:val="clear" w:pos="288"/>
              </w:tabs>
              <w:ind w:left="510" w:hanging="222"/>
              <w:rPr>
                <w:b/>
              </w:rPr>
            </w:pPr>
            <w:r w:rsidRPr="00945BF5">
              <w:rPr>
                <w:b/>
              </w:rPr>
              <w:t>Detailed Report</w:t>
            </w:r>
          </w:p>
          <w:p w14:paraId="7BD7AEAE" w14:textId="71518F33" w:rsidR="002A21AE" w:rsidRPr="00945BF5" w:rsidRDefault="00834BA7" w:rsidP="00E35FC4">
            <w:pPr>
              <w:pStyle w:val="TableTextNumbersBullet"/>
              <w:tabs>
                <w:tab w:val="clear" w:pos="288"/>
              </w:tabs>
              <w:ind w:left="510" w:hanging="222"/>
              <w:rPr>
                <w:b/>
              </w:rPr>
            </w:pPr>
            <w:r>
              <w:rPr>
                <w:b/>
              </w:rPr>
              <w:t xml:space="preserve">Ordering </w:t>
            </w:r>
            <w:r w:rsidR="002A21AE" w:rsidRPr="00945BF5">
              <w:rPr>
                <w:b/>
              </w:rPr>
              <w:t>Physician Summary Report</w:t>
            </w:r>
          </w:p>
          <w:p w14:paraId="1C5541C6" w14:textId="77777777" w:rsidR="002A21AE" w:rsidRPr="00945BF5" w:rsidRDefault="002A21AE" w:rsidP="00E35FC4">
            <w:pPr>
              <w:pStyle w:val="TableTextNumbersBullet"/>
              <w:tabs>
                <w:tab w:val="clear" w:pos="288"/>
              </w:tabs>
              <w:ind w:left="510" w:hanging="222"/>
              <w:rPr>
                <w:b/>
              </w:rPr>
            </w:pPr>
            <w:r w:rsidRPr="00945BF5">
              <w:rPr>
                <w:b/>
              </w:rPr>
              <w:t>Treating Specialty Summary Report</w:t>
            </w:r>
          </w:p>
          <w:p w14:paraId="0DC90673" w14:textId="1A20FE09" w:rsidR="002A21AE" w:rsidRPr="00945BF5" w:rsidRDefault="002A21AE" w:rsidP="00E35FC4">
            <w:pPr>
              <w:pStyle w:val="TableTextNumbersBullet"/>
              <w:tabs>
                <w:tab w:val="clear" w:pos="288"/>
              </w:tabs>
              <w:ind w:left="510" w:hanging="222"/>
              <w:rPr>
                <w:b/>
              </w:rPr>
            </w:pPr>
            <w:r w:rsidRPr="00945BF5">
              <w:rPr>
                <w:b/>
              </w:rPr>
              <w:t xml:space="preserve">Detailed Report with </w:t>
            </w:r>
            <w:r w:rsidR="00834BA7">
              <w:rPr>
                <w:b/>
              </w:rPr>
              <w:t xml:space="preserve">Ordering </w:t>
            </w:r>
            <w:r w:rsidRPr="00945BF5">
              <w:rPr>
                <w:b/>
              </w:rPr>
              <w:t>Physician Summary</w:t>
            </w:r>
          </w:p>
          <w:p w14:paraId="7409221F" w14:textId="77777777" w:rsidR="002A21AE" w:rsidRDefault="002A21AE" w:rsidP="00E35FC4">
            <w:pPr>
              <w:pStyle w:val="TableTextNumbersBullet"/>
              <w:tabs>
                <w:tab w:val="clear" w:pos="288"/>
              </w:tabs>
              <w:ind w:left="510" w:hanging="222"/>
            </w:pPr>
            <w:r w:rsidRPr="00945BF5">
              <w:rPr>
                <w:b/>
              </w:rPr>
              <w:t>Detailed Report with Treating Specialty Summary</w:t>
            </w:r>
          </w:p>
        </w:tc>
        <w:tc>
          <w:tcPr>
            <w:tcW w:w="6120" w:type="dxa"/>
          </w:tcPr>
          <w:p w14:paraId="1D6EEFE2" w14:textId="77777777" w:rsidR="002A21AE" w:rsidRDefault="002A21AE">
            <w:pPr>
              <w:pStyle w:val="TableTextBullet"/>
            </w:pPr>
            <w:r>
              <w:t>Compiles the report and displays an option to print the report or exit.</w:t>
            </w:r>
          </w:p>
          <w:p w14:paraId="43F564E1" w14:textId="77777777" w:rsidR="002A21AE" w:rsidRDefault="002A21AE">
            <w:pPr>
              <w:pStyle w:val="TableText"/>
            </w:pPr>
          </w:p>
          <w:p w14:paraId="382BD2EC" w14:textId="29FA53DB" w:rsidR="002A21AE" w:rsidRDefault="002A21AE">
            <w:pPr>
              <w:pStyle w:val="TableText"/>
              <w:rPr>
                <w:b/>
                <w:bCs/>
                <w:szCs w:val="18"/>
              </w:rPr>
            </w:pPr>
            <w:r>
              <w:rPr>
                <w:b/>
                <w:bCs/>
                <w:szCs w:val="18"/>
              </w:rPr>
              <w:t>NOTES</w:t>
            </w:r>
          </w:p>
          <w:p w14:paraId="044770A5" w14:textId="77777777" w:rsidR="002A21AE" w:rsidRDefault="002A21AE">
            <w:pPr>
              <w:pStyle w:val="NotesText"/>
            </w:pPr>
          </w:p>
          <w:p w14:paraId="43B9134D" w14:textId="2C92A76E" w:rsidR="00727AC7" w:rsidRDefault="002A21AE" w:rsidP="00727AC7">
            <w:pPr>
              <w:pStyle w:val="NotesText"/>
              <w:rPr>
                <w:rFonts w:cs="Arial"/>
                <w:vanish/>
              </w:rPr>
            </w:pPr>
            <w:r>
              <w:rPr>
                <w:rFonts w:cs="Arial"/>
                <w:vanish/>
              </w:rPr>
              <w:t xml:space="preserve">BR_104.03 </w:t>
            </w:r>
            <w:r>
              <w:t>The physician included in this report is the ordering physician.</w:t>
            </w:r>
            <w:r w:rsidR="002D77E5">
              <w:t xml:space="preserve"> </w:t>
            </w:r>
            <w:r w:rsidR="00727AC7">
              <w:rPr>
                <w:rFonts w:cs="Arial"/>
                <w:vanish/>
              </w:rPr>
              <w:t xml:space="preserve"> </w:t>
            </w:r>
          </w:p>
          <w:p w14:paraId="2E265501" w14:textId="77777777" w:rsidR="00727AC7" w:rsidRDefault="00727AC7" w:rsidP="00727AC7">
            <w:pPr>
              <w:pStyle w:val="NotesText"/>
              <w:rPr>
                <w:rFonts w:cs="Arial"/>
                <w:vanish/>
              </w:rPr>
            </w:pPr>
          </w:p>
          <w:p w14:paraId="0F97CDA6" w14:textId="2F3B2C51" w:rsidR="00727AC7" w:rsidRDefault="00727AC7" w:rsidP="00727AC7">
            <w:pPr>
              <w:pStyle w:val="NotesText"/>
            </w:pPr>
            <w:r>
              <w:rPr>
                <w:rFonts w:cs="Arial"/>
                <w:vanish/>
              </w:rPr>
              <w:t xml:space="preserve">BR_104.06 </w:t>
            </w:r>
            <w:r>
              <w:t>VBECS compiles the C:T ratio report as a summary or detailed report. All versions include a single C:T ratio for the division</w:t>
            </w:r>
            <w:r w:rsidR="00AF71F0">
              <w:t xml:space="preserve"> and each component class</w:t>
            </w:r>
            <w:r>
              <w:t xml:space="preserve">. </w:t>
            </w:r>
            <w:r w:rsidR="00AF71F0">
              <w:t>When a number of transfused units is 0, the ratio is equal to the number of units assigned and crossmatched.</w:t>
            </w:r>
          </w:p>
          <w:p w14:paraId="4DB91B51" w14:textId="77777777" w:rsidR="00727AC7" w:rsidRDefault="00727AC7" w:rsidP="00727AC7">
            <w:pPr>
              <w:pStyle w:val="NotesText"/>
            </w:pPr>
          </w:p>
          <w:p w14:paraId="5159CD3D" w14:textId="5A41196D" w:rsidR="00727AC7" w:rsidRDefault="00727AC7" w:rsidP="00727AC7">
            <w:pPr>
              <w:pStyle w:val="NotesText"/>
            </w:pPr>
            <w:r>
              <w:t>VBECS determines the C:T ratio for a division by dividing the number of units</w:t>
            </w:r>
            <w:r w:rsidR="00834BA7">
              <w:t xml:space="preserve"> assigned or</w:t>
            </w:r>
            <w:r>
              <w:t xml:space="preserve"> crossmatched </w:t>
            </w:r>
            <w:r w:rsidR="001F0C1C">
              <w:t>(electronic</w:t>
            </w:r>
            <w:r w:rsidR="00A9622F">
              <w:t>ally</w:t>
            </w:r>
            <w:r w:rsidR="001F0C1C">
              <w:t xml:space="preserve"> or serologic) </w:t>
            </w:r>
            <w:r>
              <w:t xml:space="preserve">during the period selected by the number of units transfused at the division. </w:t>
            </w:r>
          </w:p>
          <w:p w14:paraId="7D237CB1" w14:textId="77777777" w:rsidR="00727AC7" w:rsidRDefault="00727AC7" w:rsidP="00727AC7">
            <w:pPr>
              <w:pStyle w:val="NotesText"/>
            </w:pPr>
          </w:p>
          <w:p w14:paraId="557382D8" w14:textId="77777777" w:rsidR="002A21AE" w:rsidRDefault="00727AC7" w:rsidP="00727AC7">
            <w:pPr>
              <w:pStyle w:val="NotesText"/>
            </w:pPr>
            <w:r>
              <w:t>This calculation does not include units with a XM result of “Compatible - Don’t Transfuse” or “Incompatible - Unsafe to Transfuse.”</w:t>
            </w:r>
          </w:p>
          <w:p w14:paraId="4B6F6BB7" w14:textId="77777777" w:rsidR="00960693" w:rsidRDefault="00960693" w:rsidP="00960693">
            <w:pPr>
              <w:pStyle w:val="NotesText"/>
            </w:pPr>
          </w:p>
          <w:p w14:paraId="0C841DC1" w14:textId="7BF8A139" w:rsidR="00960693" w:rsidRDefault="00960693" w:rsidP="00960693">
            <w:pPr>
              <w:pStyle w:val="NotesText"/>
            </w:pPr>
            <w:r>
              <w:rPr>
                <w:rFonts w:cs="Arial"/>
                <w:vanish/>
              </w:rPr>
              <w:t xml:space="preserve">BR_104.07 </w:t>
            </w:r>
            <w:r>
              <w:t xml:space="preserve">The detailed C:T ratio report includes a list of units </w:t>
            </w:r>
            <w:r w:rsidR="00834BA7">
              <w:t xml:space="preserve">assigned or </w:t>
            </w:r>
            <w:r>
              <w:t xml:space="preserve">crossmatched </w:t>
            </w:r>
            <w:r w:rsidR="00270ABE">
              <w:t>(electronic</w:t>
            </w:r>
            <w:r w:rsidR="00A9622F">
              <w:t>ally</w:t>
            </w:r>
            <w:r w:rsidR="00270ABE">
              <w:t xml:space="preserve"> or serologic) </w:t>
            </w:r>
            <w:r>
              <w:t xml:space="preserve">for a patient during the selected date range. The report includes the unit ID, </w:t>
            </w:r>
            <w:r w:rsidR="00834BA7">
              <w:t xml:space="preserve">ordering </w:t>
            </w:r>
            <w:r>
              <w:t>physician name,</w:t>
            </w:r>
            <w:r w:rsidR="00834BA7">
              <w:t xml:space="preserve"> unit ABO/Rh,</w:t>
            </w:r>
            <w:r>
              <w:t xml:space="preserve"> treating specialty, XM interpretation, date and time the XM was completed, product short name, and an indication as to whether the unit was transfused or presumed transfused.</w:t>
            </w:r>
          </w:p>
          <w:p w14:paraId="43763986" w14:textId="77777777" w:rsidR="002A21AE" w:rsidRDefault="002A21AE">
            <w:pPr>
              <w:pStyle w:val="NotesText"/>
            </w:pPr>
          </w:p>
          <w:p w14:paraId="29899D4D" w14:textId="36EB3BED" w:rsidR="002A21AE" w:rsidRDefault="002A21AE">
            <w:pPr>
              <w:pStyle w:val="NotesText"/>
            </w:pPr>
            <w:r>
              <w:rPr>
                <w:rFonts w:cs="Arial"/>
                <w:vanish/>
              </w:rPr>
              <w:t xml:space="preserve">BR_104.04 </w:t>
            </w:r>
            <w:r>
              <w:t xml:space="preserve">VBECS determines the C:T ratio for a physician by dividing the number of units that were </w:t>
            </w:r>
            <w:r w:rsidR="00834BA7">
              <w:t xml:space="preserve">assigned or </w:t>
            </w:r>
            <w:r>
              <w:t xml:space="preserve">crossmatched </w:t>
            </w:r>
            <w:r w:rsidR="00270ABE">
              <w:t>(electronic</w:t>
            </w:r>
            <w:r w:rsidR="00A9622F">
              <w:t>ally</w:t>
            </w:r>
            <w:r w:rsidR="00270ABE">
              <w:t xml:space="preserve"> or serologic) </w:t>
            </w:r>
            <w:r>
              <w:t xml:space="preserve">during the period selected by the number of transfused units. </w:t>
            </w:r>
            <w:r w:rsidR="00AF71F0">
              <w:t>When a number of transfused units is 0, the ratio is equal to the number of units assigned and crossmatched.</w:t>
            </w:r>
          </w:p>
          <w:p w14:paraId="1F6461B9" w14:textId="77777777" w:rsidR="002A21AE" w:rsidRDefault="002A21AE">
            <w:pPr>
              <w:pStyle w:val="NotesText"/>
            </w:pPr>
          </w:p>
          <w:p w14:paraId="6905CC5F" w14:textId="33623BA7" w:rsidR="002A21AE" w:rsidRDefault="002A21AE" w:rsidP="00727AC7">
            <w:pPr>
              <w:pStyle w:val="NotesText"/>
            </w:pPr>
            <w:r>
              <w:rPr>
                <w:rFonts w:cs="Arial"/>
                <w:vanish/>
              </w:rPr>
              <w:t xml:space="preserve">BR_104.05 </w:t>
            </w:r>
            <w:r>
              <w:t xml:space="preserve">VBECS determines the C:T ratio for a treating specialty by dividing the number of units </w:t>
            </w:r>
            <w:r w:rsidR="00834BA7">
              <w:t xml:space="preserve">assigned or </w:t>
            </w:r>
            <w:r>
              <w:t xml:space="preserve">crossmatched </w:t>
            </w:r>
            <w:r w:rsidR="00270ABE">
              <w:t>(electronic</w:t>
            </w:r>
            <w:r w:rsidR="00A9622F">
              <w:t>ally</w:t>
            </w:r>
            <w:r w:rsidR="00270ABE">
              <w:t xml:space="preserve"> or serologic) </w:t>
            </w:r>
            <w:r>
              <w:t xml:space="preserve">for all patients listed in that treating specialty by the number of units transfused to all patients listed for that specialty. </w:t>
            </w:r>
            <w:r w:rsidR="00AF71F0">
              <w:t>When a number of transfused units is 0, the ratio is equal to the number of units assigned and crossmatched.</w:t>
            </w:r>
          </w:p>
        </w:tc>
      </w:tr>
      <w:tr w:rsidR="002A21AE" w14:paraId="2BF7BBBE" w14:textId="77777777">
        <w:tc>
          <w:tcPr>
            <w:tcW w:w="3240" w:type="dxa"/>
          </w:tcPr>
          <w:p w14:paraId="6F777DA7"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561C51E6" w14:textId="77777777" w:rsidR="002A21AE" w:rsidRDefault="002A21AE">
            <w:pPr>
              <w:pStyle w:val="TableTextNumbersContinued"/>
            </w:pPr>
          </w:p>
          <w:p w14:paraId="177EC37E"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1E7191" w14:textId="77777777" w:rsidR="005B6A94" w:rsidRDefault="002A21AE" w:rsidP="00AA2B2E">
            <w:pPr>
              <w:pStyle w:val="TableTextBullet"/>
            </w:pPr>
            <w:r>
              <w:t>Compiles and displays the report.</w:t>
            </w:r>
          </w:p>
        </w:tc>
      </w:tr>
      <w:tr w:rsidR="002A21AE" w14:paraId="689A9409" w14:textId="77777777">
        <w:tc>
          <w:tcPr>
            <w:tcW w:w="3240" w:type="dxa"/>
          </w:tcPr>
          <w:p w14:paraId="59EA296F" w14:textId="4ECE7DEB"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32D7F4B4" w14:textId="77777777" w:rsidR="005C22EF" w:rsidRDefault="005C22EF" w:rsidP="005C22EF">
            <w:pPr>
              <w:pStyle w:val="TableTextBullet"/>
            </w:pPr>
            <w:r>
              <w:t>If Print is selected, prints the report on the designated printer.</w:t>
            </w:r>
          </w:p>
          <w:p w14:paraId="21D378BB" w14:textId="77777777" w:rsidR="005C22EF" w:rsidRDefault="005C22EF" w:rsidP="005C22EF">
            <w:pPr>
              <w:pStyle w:val="TableTextBullet"/>
            </w:pPr>
            <w:r>
              <w:t>If Export is selected, exports the report to the designated file.</w:t>
            </w:r>
          </w:p>
          <w:p w14:paraId="0744771F" w14:textId="48CB6185" w:rsidR="002A21AE" w:rsidRDefault="005C22EF" w:rsidP="005C22EF">
            <w:pPr>
              <w:pStyle w:val="TableTextBullet"/>
            </w:pPr>
            <w:r>
              <w:t>If Close is selected, exits the report preview.</w:t>
            </w:r>
          </w:p>
        </w:tc>
      </w:tr>
    </w:tbl>
    <w:p w14:paraId="6A883861" w14:textId="5F338546" w:rsidR="00006995" w:rsidRPr="00C32C1A" w:rsidRDefault="00006995" w:rsidP="00006995">
      <w:pPr>
        <w:pStyle w:val="Heading2"/>
      </w:pPr>
      <w:bookmarkStart w:id="537" w:name="_Toc163644973"/>
      <w:r w:rsidRPr="00C32C1A">
        <w:lastRenderedPageBreak/>
        <w:t>CPRS Blood Bank Report</w:t>
      </w:r>
      <w:r w:rsidRPr="00C32C1A">
        <w:fldChar w:fldCharType="begin"/>
      </w:r>
      <w:r w:rsidRPr="00C32C1A">
        <w:instrText xml:space="preserve"> XE “CPRS Blood Bank Report” </w:instrText>
      </w:r>
      <w:r w:rsidRPr="00C32C1A">
        <w:fldChar w:fldCharType="end"/>
      </w:r>
      <w:r w:rsidRPr="00C32C1A">
        <w:t xml:space="preserve"> </w:t>
      </w:r>
      <w:r w:rsidR="00C315E3" w:rsidRPr="00C32C1A">
        <w:t>(Used by JLV)</w:t>
      </w:r>
      <w:bookmarkEnd w:id="537"/>
      <w:r w:rsidRPr="00C32C1A">
        <w:rPr>
          <w:rFonts w:ascii="Times New Roman" w:hAnsi="Times New Roman" w:cs="Times New Roman"/>
          <w:b w:val="0"/>
          <w:i w:val="0"/>
          <w:vanish/>
          <w:sz w:val="22"/>
        </w:rPr>
        <w:t>UC_112</w:t>
      </w:r>
    </w:p>
    <w:p w14:paraId="08EE7BA8" w14:textId="4D0CC440" w:rsidR="00006995" w:rsidRPr="00823F23" w:rsidRDefault="00006995" w:rsidP="00006995">
      <w:pPr>
        <w:pStyle w:val="BodyText"/>
      </w:pPr>
      <w:r w:rsidRPr="00C32C1A">
        <w:t xml:space="preserve">CPRS Blood Bank Report provides an overview of a patient’s blood bank / transfusion information and is available via Computerized Patient Record System (CPRS). It is not part of the main VBECS system; however, since it fully relies on data stored in VBECS, it is included in this guide. Being part of CPRS, this report is available not only to blood bank personnel but to all health providers who utilize CPRS. </w:t>
      </w:r>
      <w:r w:rsidR="00C315E3" w:rsidRPr="00C32C1A">
        <w:t>The CPRS Blood Bank Report is also viewable within the Joint Longitudinal Viewer (JLV) portal. For more information about JLV, consult the JLV website.</w:t>
      </w:r>
    </w:p>
    <w:p w14:paraId="400A99D9" w14:textId="77777777" w:rsidR="00006995" w:rsidRDefault="00006995" w:rsidP="00006995">
      <w:pPr>
        <w:pStyle w:val="Heading4"/>
      </w:pPr>
      <w:r>
        <w:t>Navigation (How to generate a CPRS Blood Bank Report)</w:t>
      </w:r>
      <w:r>
        <w:rPr>
          <w:b w:val="0"/>
        </w:rPr>
        <w:t xml:space="preserve"> </w:t>
      </w:r>
    </w:p>
    <w:p w14:paraId="71BCEE0C" w14:textId="77777777" w:rsidR="00006995" w:rsidRPr="00BE47E0" w:rsidRDefault="00006995" w:rsidP="00006995">
      <w:pPr>
        <w:pStyle w:val="TableText"/>
        <w:ind w:firstLine="360"/>
        <w:rPr>
          <w:rFonts w:ascii="Times New Roman" w:hAnsi="Times New Roman"/>
          <w:sz w:val="22"/>
          <w:szCs w:val="22"/>
        </w:rPr>
      </w:pPr>
      <w:r w:rsidRPr="00BE47E0">
        <w:rPr>
          <w:rFonts w:ascii="Times New Roman" w:hAnsi="Times New Roman"/>
          <w:sz w:val="22"/>
          <w:szCs w:val="22"/>
        </w:rPr>
        <w:t>In CPRS:</w:t>
      </w:r>
    </w:p>
    <w:p w14:paraId="780548DA"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Labs tab, Blood Bank</w:t>
      </w:r>
    </w:p>
    <w:p w14:paraId="7DC8D531"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Reports tab, Blood Bank Report</w:t>
      </w:r>
    </w:p>
    <w:p w14:paraId="1CA7BEB3"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Reports tab, Clinical Reports, Laboratory, Blood Bank Report</w:t>
      </w:r>
    </w:p>
    <w:p w14:paraId="6A4BA347" w14:textId="77777777" w:rsidR="00006995" w:rsidRDefault="00006995" w:rsidP="00006995">
      <w:pPr>
        <w:pStyle w:val="Heading4"/>
      </w:pPr>
      <w:r>
        <w:t xml:space="preserve">Report layout </w:t>
      </w:r>
    </w:p>
    <w:p w14:paraId="72C3DB38" w14:textId="77777777" w:rsidR="00006995" w:rsidRPr="00BE47E0" w:rsidRDefault="00006995" w:rsidP="00006995">
      <w:pPr>
        <w:pStyle w:val="TableText"/>
        <w:ind w:firstLine="360"/>
        <w:rPr>
          <w:rFonts w:ascii="Times New Roman" w:hAnsi="Times New Roman"/>
          <w:sz w:val="22"/>
          <w:szCs w:val="22"/>
        </w:rPr>
      </w:pPr>
      <w:r w:rsidRPr="00BE47E0">
        <w:rPr>
          <w:rFonts w:ascii="Times New Roman" w:hAnsi="Times New Roman"/>
          <w:sz w:val="22"/>
          <w:szCs w:val="22"/>
        </w:rPr>
        <w:t>Report consists of eight sections:</w:t>
      </w:r>
    </w:p>
    <w:p w14:paraId="5EBDD9EB" w14:textId="77777777" w:rsidR="00006995" w:rsidRPr="002D7AAD" w:rsidRDefault="00006995" w:rsidP="00925CAD">
      <w:pPr>
        <w:pStyle w:val="TableText"/>
        <w:numPr>
          <w:ilvl w:val="0"/>
          <w:numId w:val="79"/>
        </w:numPr>
      </w:pPr>
      <w:r w:rsidRPr="00BE47E0">
        <w:rPr>
          <w:rFonts w:ascii="Times New Roman" w:hAnsi="Times New Roman"/>
          <w:sz w:val="22"/>
          <w:szCs w:val="22"/>
        </w:rPr>
        <w:t xml:space="preserve">ABO/Rh - displays </w:t>
      </w:r>
      <w:r>
        <w:rPr>
          <w:rFonts w:ascii="Times New Roman" w:hAnsi="Times New Roman"/>
          <w:sz w:val="22"/>
          <w:szCs w:val="22"/>
        </w:rPr>
        <w:t xml:space="preserve">a </w:t>
      </w:r>
      <w:r w:rsidRPr="00BE47E0">
        <w:rPr>
          <w:rFonts w:ascii="Times New Roman" w:hAnsi="Times New Roman"/>
          <w:sz w:val="22"/>
          <w:szCs w:val="22"/>
        </w:rPr>
        <w:t>patient’s ABO/Rh based on patient’s ABO/Rh testing history.</w:t>
      </w:r>
    </w:p>
    <w:p w14:paraId="345DFFD6" w14:textId="77777777" w:rsidR="00006995" w:rsidRPr="002D7AAD" w:rsidRDefault="00006995" w:rsidP="00925CAD">
      <w:pPr>
        <w:pStyle w:val="TableText"/>
        <w:numPr>
          <w:ilvl w:val="0"/>
          <w:numId w:val="79"/>
        </w:numPr>
      </w:pPr>
      <w:r w:rsidRPr="00BE47E0">
        <w:rPr>
          <w:rFonts w:ascii="Times New Roman" w:hAnsi="Times New Roman"/>
          <w:sz w:val="22"/>
          <w:szCs w:val="22"/>
        </w:rPr>
        <w:t xml:space="preserve">Antibodies Identified and Transfusion Requirements - displays </w:t>
      </w:r>
      <w:r>
        <w:rPr>
          <w:rFonts w:ascii="Times New Roman" w:hAnsi="Times New Roman"/>
          <w:sz w:val="22"/>
          <w:szCs w:val="22"/>
        </w:rPr>
        <w:t xml:space="preserve">a </w:t>
      </w:r>
      <w:r w:rsidRPr="00BE47E0">
        <w:rPr>
          <w:rFonts w:ascii="Times New Roman" w:hAnsi="Times New Roman"/>
          <w:sz w:val="22"/>
          <w:szCs w:val="22"/>
        </w:rPr>
        <w:t>patient’s antibodies, antigen negative requirements and component requirements.</w:t>
      </w:r>
    </w:p>
    <w:p w14:paraId="152C8B1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Transfusion Reactions – displays </w:t>
      </w:r>
      <w:r>
        <w:rPr>
          <w:rFonts w:ascii="Times New Roman" w:hAnsi="Times New Roman"/>
          <w:sz w:val="22"/>
          <w:szCs w:val="22"/>
        </w:rPr>
        <w:t xml:space="preserve">the </w:t>
      </w:r>
      <w:r w:rsidRPr="00BE47E0">
        <w:rPr>
          <w:rFonts w:ascii="Times New Roman" w:hAnsi="Times New Roman"/>
          <w:sz w:val="22"/>
          <w:szCs w:val="22"/>
        </w:rPr>
        <w:t xml:space="preserve">history of </w:t>
      </w:r>
      <w:r>
        <w:rPr>
          <w:rFonts w:ascii="Times New Roman" w:hAnsi="Times New Roman"/>
          <w:sz w:val="22"/>
          <w:szCs w:val="22"/>
        </w:rPr>
        <w:t xml:space="preserve">a </w:t>
      </w:r>
      <w:r w:rsidRPr="00BE47E0">
        <w:rPr>
          <w:rFonts w:ascii="Times New Roman" w:hAnsi="Times New Roman"/>
          <w:sz w:val="22"/>
          <w:szCs w:val="22"/>
        </w:rPr>
        <w:t>patient’s transfusion reactions.</w:t>
      </w:r>
    </w:p>
    <w:p w14:paraId="68DFA1E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Available/Issued Units - displays a list of units assigned, crossmatched and issued to the patient.</w:t>
      </w:r>
      <w:r>
        <w:rPr>
          <w:rFonts w:ascii="Times New Roman" w:hAnsi="Times New Roman"/>
          <w:sz w:val="22"/>
          <w:szCs w:val="22"/>
        </w:rPr>
        <w:t xml:space="preserve"> Issued units that are indicated as transfused or presumed transfused in VBECS no longer show in this section but instead display in the Transfused Units section.</w:t>
      </w:r>
    </w:p>
    <w:p w14:paraId="6652100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Diagnostic Tests - displays a history of the patient’s completed diagnostic tests (TAS, ABO/Rh, ABS, DAT Poly, DAT IgG and DAT Comp). Only the test interpretation is displayed. Invalidated tests are not shown unless the replacement results were entered. In such case, the invalidated test is marked as </w:t>
      </w:r>
      <w:r w:rsidRPr="00BE47E0">
        <w:rPr>
          <w:rFonts w:ascii="Times New Roman" w:hAnsi="Times New Roman"/>
          <w:b/>
          <w:sz w:val="22"/>
          <w:szCs w:val="22"/>
        </w:rPr>
        <w:t xml:space="preserve">** Entered in Error ** </w:t>
      </w:r>
      <w:r w:rsidRPr="00BE47E0">
        <w:rPr>
          <w:rFonts w:ascii="Times New Roman" w:hAnsi="Times New Roman"/>
          <w:sz w:val="22"/>
          <w:szCs w:val="22"/>
        </w:rPr>
        <w:t xml:space="preserve">and a replacement result is marked as </w:t>
      </w:r>
      <w:r w:rsidRPr="00BE47E0">
        <w:rPr>
          <w:rFonts w:ascii="Times New Roman" w:hAnsi="Times New Roman"/>
          <w:b/>
          <w:sz w:val="22"/>
          <w:szCs w:val="22"/>
        </w:rPr>
        <w:t>** Corrected Result **</w:t>
      </w:r>
      <w:r w:rsidRPr="00BE47E0">
        <w:rPr>
          <w:rFonts w:ascii="Times New Roman" w:hAnsi="Times New Roman"/>
          <w:bCs/>
          <w:sz w:val="22"/>
          <w:szCs w:val="22"/>
        </w:rPr>
        <w:t>.</w:t>
      </w:r>
    </w:p>
    <w:p w14:paraId="753CB2FA"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Component Requests - displays a history of </w:t>
      </w:r>
      <w:r>
        <w:rPr>
          <w:rFonts w:ascii="Times New Roman" w:hAnsi="Times New Roman"/>
          <w:sz w:val="22"/>
          <w:szCs w:val="22"/>
        </w:rPr>
        <w:t xml:space="preserve">the </w:t>
      </w:r>
      <w:r w:rsidRPr="00BE47E0">
        <w:rPr>
          <w:rFonts w:ascii="Times New Roman" w:hAnsi="Times New Roman"/>
          <w:sz w:val="22"/>
          <w:szCs w:val="22"/>
        </w:rPr>
        <w:t>patient’s component orders. Cancelled orders are not included.</w:t>
      </w:r>
    </w:p>
    <w:p w14:paraId="34AB1F0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Transfused Units - displays </w:t>
      </w:r>
      <w:r>
        <w:rPr>
          <w:rFonts w:ascii="Times New Roman" w:hAnsi="Times New Roman"/>
          <w:sz w:val="22"/>
          <w:szCs w:val="22"/>
        </w:rPr>
        <w:t>the</w:t>
      </w:r>
      <w:r w:rsidRPr="00BE47E0">
        <w:rPr>
          <w:rFonts w:ascii="Times New Roman" w:hAnsi="Times New Roman"/>
          <w:sz w:val="22"/>
          <w:szCs w:val="22"/>
        </w:rPr>
        <w:t xml:space="preserve"> history of </w:t>
      </w:r>
      <w:r>
        <w:rPr>
          <w:rFonts w:ascii="Times New Roman" w:hAnsi="Times New Roman"/>
          <w:sz w:val="22"/>
          <w:szCs w:val="22"/>
        </w:rPr>
        <w:t xml:space="preserve">a </w:t>
      </w:r>
      <w:r w:rsidRPr="00BE47E0">
        <w:rPr>
          <w:rFonts w:ascii="Times New Roman" w:hAnsi="Times New Roman"/>
          <w:sz w:val="22"/>
          <w:szCs w:val="22"/>
        </w:rPr>
        <w:t>patient’s transfusions.</w:t>
      </w:r>
    </w:p>
    <w:p w14:paraId="23D11858" w14:textId="77777777" w:rsidR="00006995" w:rsidRPr="002D7AAD" w:rsidRDefault="00006995" w:rsidP="00925CAD">
      <w:pPr>
        <w:pStyle w:val="TableText"/>
        <w:numPr>
          <w:ilvl w:val="0"/>
          <w:numId w:val="79"/>
        </w:numPr>
      </w:pPr>
      <w:r w:rsidRPr="00BE47E0">
        <w:rPr>
          <w:rFonts w:ascii="Times New Roman" w:hAnsi="Times New Roman"/>
          <w:sz w:val="22"/>
          <w:szCs w:val="22"/>
        </w:rPr>
        <w:t xml:space="preserve">Legacy VistA Blood Bank Report - contains </w:t>
      </w:r>
      <w:r>
        <w:rPr>
          <w:rFonts w:ascii="Times New Roman" w:hAnsi="Times New Roman"/>
          <w:sz w:val="22"/>
          <w:szCs w:val="22"/>
        </w:rPr>
        <w:t xml:space="preserve">a </w:t>
      </w:r>
      <w:r w:rsidRPr="00BE47E0">
        <w:rPr>
          <w:rFonts w:ascii="Times New Roman" w:hAnsi="Times New Roman"/>
          <w:sz w:val="22"/>
          <w:szCs w:val="22"/>
        </w:rPr>
        <w:t>patient’s legacy blood bank information that was not recorded in VBECS.</w:t>
      </w:r>
    </w:p>
    <w:p w14:paraId="279FBD8A" w14:textId="77777777" w:rsidR="00006995" w:rsidRDefault="00006995" w:rsidP="00006995">
      <w:pPr>
        <w:pStyle w:val="Heading4"/>
      </w:pPr>
      <w:r>
        <w:t>Limitations and Restrictions</w:t>
      </w:r>
      <w:r>
        <w:rPr>
          <w:b w:val="0"/>
        </w:rPr>
        <w:t xml:space="preserve"> </w:t>
      </w:r>
    </w:p>
    <w:p w14:paraId="36371B3E" w14:textId="0E8F26A0" w:rsidR="00006995" w:rsidRPr="00BE47E0" w:rsidRDefault="00006995" w:rsidP="00006995">
      <w:pPr>
        <w:pStyle w:val="ListBullet"/>
        <w:rPr>
          <w:rFonts w:ascii="Arial" w:hAnsi="Arial" w:cs="Arial"/>
          <w:b/>
          <w:bCs/>
          <w:kern w:val="32"/>
          <w:sz w:val="36"/>
          <w:szCs w:val="32"/>
        </w:rPr>
      </w:pPr>
      <w:r>
        <w:t>The report is not multidivisional</w:t>
      </w:r>
      <w:r w:rsidR="007E06EE">
        <w:t>,</w:t>
      </w:r>
      <w:r>
        <w:t xml:space="preserve"> meaning it does not combine a patien</w:t>
      </w:r>
      <w:r w:rsidR="00676CAC">
        <w:t>t's</w:t>
      </w:r>
      <w:r>
        <w:t xml:space="preserve"> transfusion information from all VA hospitals.</w:t>
      </w:r>
      <w:r>
        <w:br w:type="page"/>
      </w:r>
    </w:p>
    <w:p w14:paraId="7B1CF7A1" w14:textId="77777777" w:rsidR="00006995" w:rsidRDefault="00006995" w:rsidP="00006995">
      <w:pPr>
        <w:pStyle w:val="Heading4"/>
        <w:tabs>
          <w:tab w:val="left" w:pos="2568"/>
        </w:tabs>
      </w:pPr>
      <w:r>
        <w:lastRenderedPageBreak/>
        <w:t>Troubleshooting</w:t>
      </w:r>
      <w:r>
        <w:rPr>
          <w:b w:val="0"/>
        </w:rPr>
        <w:t xml:space="preserve"> </w:t>
      </w:r>
      <w:r>
        <w:rPr>
          <w:b w:val="0"/>
        </w:rPr>
        <w:tab/>
      </w:r>
    </w:p>
    <w:p w14:paraId="2154E116" w14:textId="5EF95715" w:rsidR="00006995" w:rsidRDefault="00006995" w:rsidP="00565A21">
      <w:pPr>
        <w:pStyle w:val="TableText"/>
        <w:rPr>
          <w:rFonts w:ascii="Times New Roman" w:hAnsi="Times New Roman"/>
          <w:sz w:val="22"/>
          <w:szCs w:val="22"/>
        </w:rPr>
      </w:pPr>
      <w:r>
        <w:rPr>
          <w:rFonts w:ascii="Times New Roman" w:hAnsi="Times New Roman"/>
          <w:sz w:val="22"/>
          <w:szCs w:val="22"/>
        </w:rPr>
        <w:t xml:space="preserve">Since the CPRS Blood Bank Report relies on data stored in VBECS, it is possible for it to malfunction when the network connection to VBECS is disrupted or if there is a problem with VBECS </w:t>
      </w:r>
      <w:r w:rsidR="00F358AF">
        <w:rPr>
          <w:rFonts w:ascii="Times New Roman" w:hAnsi="Times New Roman"/>
          <w:sz w:val="22"/>
          <w:szCs w:val="22"/>
        </w:rPr>
        <w:t xml:space="preserve">VistALink </w:t>
      </w:r>
      <w:r>
        <w:rPr>
          <w:rFonts w:ascii="Times New Roman" w:hAnsi="Times New Roman"/>
          <w:sz w:val="22"/>
          <w:szCs w:val="22"/>
        </w:rPr>
        <w:t>service. If that happens, the report will display a message similar to this one:</w:t>
      </w:r>
    </w:p>
    <w:p w14:paraId="504BDDBC" w14:textId="77777777" w:rsidR="00006995" w:rsidRDefault="00006995" w:rsidP="00006995">
      <w:pPr>
        <w:pStyle w:val="TableText"/>
        <w:ind w:left="360"/>
        <w:rPr>
          <w:rFonts w:ascii="Times New Roman" w:hAnsi="Times New Roman"/>
          <w:sz w:val="22"/>
          <w:szCs w:val="22"/>
        </w:rPr>
      </w:pPr>
    </w:p>
    <w:p w14:paraId="09865FD9"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w:t>
      </w:r>
    </w:p>
    <w:p w14:paraId="0317C68D"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w:t>
      </w:r>
    </w:p>
    <w:p w14:paraId="4228C3F9"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Patient data is not available at this time            *</w:t>
      </w:r>
    </w:p>
    <w:p w14:paraId="30F2FC81"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due to a VistALink connection failure.              *</w:t>
      </w:r>
    </w:p>
    <w:p w14:paraId="74CDB18F" w14:textId="77777777" w:rsidR="00006995" w:rsidRPr="007903A0" w:rsidRDefault="00006995" w:rsidP="00006995">
      <w:pPr>
        <w:autoSpaceDE w:val="0"/>
        <w:autoSpaceDN w:val="0"/>
        <w:adjustRightInd w:val="0"/>
        <w:rPr>
          <w:rFonts w:ascii="Courier New" w:hAnsi="Courier New" w:cs="Courier New"/>
          <w:sz w:val="16"/>
          <w:szCs w:val="16"/>
        </w:rPr>
      </w:pPr>
      <w:r w:rsidRPr="007903A0">
        <w:rPr>
          <w:rFonts w:ascii="Courier New" w:hAnsi="Courier New" w:cs="Courier New"/>
          <w:sz w:val="16"/>
          <w:szCs w:val="16"/>
        </w:rPr>
        <w:t xml:space="preserve">     *                                                                *</w:t>
      </w:r>
    </w:p>
    <w:p w14:paraId="1221ACD8" w14:textId="77777777" w:rsidR="00006995" w:rsidRPr="007903A0" w:rsidRDefault="00006995" w:rsidP="00006995">
      <w:pPr>
        <w:autoSpaceDE w:val="0"/>
        <w:autoSpaceDN w:val="0"/>
        <w:adjustRightInd w:val="0"/>
        <w:rPr>
          <w:rFonts w:ascii="Courier New" w:hAnsi="Courier New" w:cs="Courier New"/>
          <w:sz w:val="16"/>
          <w:szCs w:val="16"/>
        </w:rPr>
      </w:pPr>
      <w:r w:rsidRPr="007903A0">
        <w:rPr>
          <w:rFonts w:ascii="Courier New" w:hAnsi="Courier New" w:cs="Courier New"/>
          <w:sz w:val="16"/>
          <w:szCs w:val="16"/>
        </w:rPr>
        <w:t xml:space="preserve">     *                                                                *</w:t>
      </w:r>
    </w:p>
    <w:p w14:paraId="30F0918B" w14:textId="77777777" w:rsidR="00006995" w:rsidRPr="007903A0" w:rsidRDefault="00006995" w:rsidP="00006995">
      <w:pPr>
        <w:pStyle w:val="TableText"/>
        <w:ind w:left="360"/>
        <w:rPr>
          <w:rFonts w:ascii="Times New Roman" w:hAnsi="Times New Roman"/>
          <w:sz w:val="22"/>
          <w:szCs w:val="22"/>
        </w:rPr>
      </w:pPr>
      <w:r w:rsidRPr="007903A0">
        <w:rPr>
          <w:rFonts w:ascii="Courier New" w:hAnsi="Courier New" w:cs="Courier New"/>
          <w:sz w:val="16"/>
          <w:szCs w:val="16"/>
        </w:rPr>
        <w:t xml:space="preserve"> ******************************************************************</w:t>
      </w:r>
    </w:p>
    <w:p w14:paraId="180C4862" w14:textId="77777777" w:rsidR="00006995" w:rsidRDefault="00006995" w:rsidP="00006995">
      <w:pPr>
        <w:pStyle w:val="ListBullet"/>
        <w:numPr>
          <w:ilvl w:val="0"/>
          <w:numId w:val="0"/>
        </w:numPr>
      </w:pPr>
    </w:p>
    <w:p w14:paraId="6CFAE075" w14:textId="53D02D4C" w:rsidR="002F7CC9" w:rsidRDefault="00006995" w:rsidP="00006995">
      <w:r w:rsidRPr="00BE47E0">
        <w:t>In such cas</w:t>
      </w:r>
      <w:r>
        <w:t xml:space="preserve">e, </w:t>
      </w:r>
      <w:r w:rsidRPr="00BE47E0">
        <w:t>contact the Service Desk. See</w:t>
      </w:r>
      <w:r>
        <w:t xml:space="preserve"> the</w:t>
      </w:r>
      <w:r w:rsidRPr="00BE47E0">
        <w:t xml:space="preserve"> Customer Support section of this guide for contact information.</w:t>
      </w:r>
    </w:p>
    <w:p w14:paraId="3AA47715" w14:textId="45769971" w:rsidR="00565A21" w:rsidRDefault="00565A21" w:rsidP="00565A21">
      <w:pPr>
        <w:pStyle w:val="Heading4"/>
        <w:tabs>
          <w:tab w:val="left" w:pos="2568"/>
        </w:tabs>
      </w:pPr>
      <w:r>
        <w:t>Missing Division Names</w:t>
      </w:r>
    </w:p>
    <w:p w14:paraId="634900CE" w14:textId="4537E318" w:rsidR="000A0354" w:rsidRPr="00676270" w:rsidRDefault="00565A21" w:rsidP="00676270">
      <w:pPr>
        <w:rPr>
          <w:sz w:val="22"/>
          <w:szCs w:val="22"/>
        </w:rPr>
      </w:pPr>
      <w:r w:rsidRPr="00565A21">
        <w:rPr>
          <w:sz w:val="22"/>
          <w:szCs w:val="22"/>
        </w:rPr>
        <w:t xml:space="preserve">Available/Issued Units and Diagnostic Tests sections of the CPRS Blood Bank Report include the display of the division name. In certain circumstances, the division name might be missing from the report. If that happens, contact the Service Desk and file a ticket for </w:t>
      </w:r>
      <w:r>
        <w:rPr>
          <w:sz w:val="22"/>
          <w:szCs w:val="22"/>
        </w:rPr>
        <w:t xml:space="preserve">the </w:t>
      </w:r>
      <w:r w:rsidRPr="00565A21">
        <w:rPr>
          <w:sz w:val="22"/>
          <w:szCs w:val="22"/>
        </w:rPr>
        <w:t>VBECS team to have it fixed. See the Customer Support section</w:t>
      </w:r>
      <w:r w:rsidR="006F1FB3">
        <w:rPr>
          <w:sz w:val="22"/>
          <w:szCs w:val="22"/>
        </w:rPr>
        <w:t xml:space="preserve"> in </w:t>
      </w:r>
      <w:r w:rsidRPr="00565A21">
        <w:rPr>
          <w:sz w:val="22"/>
          <w:szCs w:val="22"/>
        </w:rPr>
        <w:t>this guide for contact information.</w:t>
      </w:r>
    </w:p>
    <w:p w14:paraId="5C4E844A" w14:textId="77777777" w:rsidR="00676270" w:rsidRDefault="00676270">
      <w:pPr>
        <w:rPr>
          <w:rFonts w:ascii="Arial" w:hAnsi="Arial" w:cs="Arial"/>
          <w:b/>
          <w:bCs/>
          <w:i/>
          <w:iCs/>
          <w:sz w:val="28"/>
          <w:szCs w:val="28"/>
        </w:rPr>
      </w:pPr>
      <w:r>
        <w:br w:type="page"/>
      </w:r>
    </w:p>
    <w:p w14:paraId="3A61BCD5" w14:textId="0C0FFC4B" w:rsidR="002A21AE" w:rsidRDefault="002A21AE">
      <w:pPr>
        <w:pStyle w:val="Heading2"/>
      </w:pPr>
      <w:bookmarkStart w:id="538" w:name="_Toc163644974"/>
      <w:r>
        <w:lastRenderedPageBreak/>
        <w:t>Division Transfusion Report</w:t>
      </w:r>
      <w:bookmarkEnd w:id="538"/>
      <w:r>
        <w:fldChar w:fldCharType="begin"/>
      </w:r>
      <w:r>
        <w:instrText xml:space="preserve"> XE </w:instrText>
      </w:r>
      <w:r w:rsidR="00FA7E65">
        <w:instrText>“</w:instrText>
      </w:r>
      <w:r>
        <w:instrText>Division Transfusion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UC_74</w:t>
      </w:r>
      <w:r>
        <w:rPr>
          <w:rStyle w:val="CommentReference"/>
          <w:rFonts w:ascii="Times New Roman" w:hAnsi="Times New Roman" w:cs="Times New Roman"/>
          <w:b w:val="0"/>
          <w:bCs w:val="0"/>
          <w:vanish/>
        </w:rPr>
        <w:t xml:space="preserve"> </w:t>
      </w:r>
    </w:p>
    <w:p w14:paraId="5296071A" w14:textId="77777777" w:rsidR="002A21AE" w:rsidRDefault="002A21AE" w:rsidP="00FA7E65">
      <w:pPr>
        <w:pStyle w:val="BodyText"/>
      </w:pPr>
      <w:r>
        <w:t xml:space="preserve">The user views </w:t>
      </w:r>
      <w:r w:rsidR="00EB1E5A">
        <w:t xml:space="preserve">and/or </w:t>
      </w:r>
      <w:r>
        <w:t>prints the Division Transfusion Report.</w:t>
      </w:r>
    </w:p>
    <w:p w14:paraId="609B5479" w14:textId="77777777" w:rsidR="002A21AE" w:rsidRDefault="002A21AE">
      <w:pPr>
        <w:pStyle w:val="Heading4"/>
      </w:pPr>
      <w:r>
        <w:t>Assumptions</w:t>
      </w:r>
      <w:r>
        <w:rPr>
          <w:b w:val="0"/>
        </w:rPr>
        <w:t xml:space="preserve"> </w:t>
      </w:r>
    </w:p>
    <w:p w14:paraId="4204929A" w14:textId="77777777" w:rsidR="002A21AE" w:rsidRDefault="002A21AE">
      <w:pPr>
        <w:pStyle w:val="ListBullet"/>
      </w:pPr>
      <w:r>
        <w:t>Transfused unit data for the report were saved in VBECS.</w:t>
      </w:r>
    </w:p>
    <w:p w14:paraId="44790652" w14:textId="77777777" w:rsidR="002A21AE" w:rsidRDefault="002A21AE">
      <w:pPr>
        <w:pStyle w:val="Heading4"/>
      </w:pPr>
      <w:r>
        <w:t xml:space="preserve">Outcome </w:t>
      </w:r>
    </w:p>
    <w:p w14:paraId="71F45299" w14:textId="77777777" w:rsidR="002A21AE" w:rsidRDefault="00AE521B">
      <w:pPr>
        <w:pStyle w:val="ListBullet"/>
      </w:pPr>
      <w:r>
        <w:t>The user views and/or prints the report</w:t>
      </w:r>
      <w:r w:rsidR="002A21AE">
        <w:t xml:space="preserve">. </w:t>
      </w:r>
    </w:p>
    <w:p w14:paraId="4511BD7B" w14:textId="77777777" w:rsidR="002A21AE" w:rsidRDefault="002A21AE">
      <w:pPr>
        <w:pStyle w:val="Heading4"/>
        <w:rPr>
          <w:b w:val="0"/>
        </w:rPr>
      </w:pPr>
      <w:r>
        <w:t>Limitations and Restrictions</w:t>
      </w:r>
      <w:r>
        <w:rPr>
          <w:b w:val="0"/>
        </w:rPr>
        <w:t xml:space="preserve"> </w:t>
      </w:r>
    </w:p>
    <w:p w14:paraId="549EE1F0" w14:textId="77777777" w:rsidR="002A21AE" w:rsidRDefault="002A21AE">
      <w:pPr>
        <w:pStyle w:val="ListBullet"/>
      </w:pPr>
      <w:r>
        <w:t>None</w:t>
      </w:r>
    </w:p>
    <w:p w14:paraId="6E4E8E40" w14:textId="77777777" w:rsidR="002A21AE" w:rsidRDefault="002A21AE">
      <w:pPr>
        <w:pStyle w:val="Heading4"/>
      </w:pPr>
      <w:r>
        <w:t xml:space="preserve">Additional Information </w:t>
      </w:r>
    </w:p>
    <w:p w14:paraId="56B413D3" w14:textId="77777777" w:rsidR="002A21AE" w:rsidRDefault="002A21AE">
      <w:pPr>
        <w:pStyle w:val="ListBullet"/>
      </w:pPr>
      <w:r>
        <w:rPr>
          <w:rFonts w:ascii="Arial" w:hAnsi="Arial" w:cs="Arial"/>
          <w:vanish/>
          <w:spacing w:val="0"/>
          <w:sz w:val="18"/>
        </w:rPr>
        <w:t xml:space="preserve">BR_74.01 </w:t>
      </w:r>
      <w:r>
        <w:t>VBECS compiles data for the report from the user’s login division.</w:t>
      </w:r>
    </w:p>
    <w:p w14:paraId="5569791E" w14:textId="77777777" w:rsidR="002A21AE" w:rsidRDefault="002A21AE">
      <w:pPr>
        <w:pStyle w:val="Heading4"/>
        <w:rPr>
          <w:b w:val="0"/>
        </w:rPr>
      </w:pPr>
      <w:r>
        <w:t xml:space="preserve">User Roles </w:t>
      </w:r>
      <w:r w:rsidRPr="005F46D4">
        <w:rPr>
          <w:rFonts w:ascii="Arial Bold" w:hAnsi="Arial Bold"/>
          <w:vanish/>
        </w:rPr>
        <w:t xml:space="preserve">with </w:t>
      </w:r>
      <w:r>
        <w:t>Access to This Option</w:t>
      </w:r>
      <w:r>
        <w:rPr>
          <w:b w:val="0"/>
        </w:rPr>
        <w:t xml:space="preserve"> </w:t>
      </w:r>
    </w:p>
    <w:p w14:paraId="4A584A37" w14:textId="77777777" w:rsidR="002A21AE" w:rsidRDefault="00606FB0">
      <w:pPr>
        <w:pStyle w:val="Roles"/>
      </w:pPr>
      <w:r>
        <w:t>All users</w:t>
      </w:r>
    </w:p>
    <w:p w14:paraId="38240369" w14:textId="77777777" w:rsidR="002A21AE" w:rsidRDefault="002A21AE">
      <w:pPr>
        <w:pStyle w:val="Heading4"/>
      </w:pPr>
      <w:r>
        <w:t xml:space="preserve">Division Transfusion Report </w:t>
      </w:r>
    </w:p>
    <w:p w14:paraId="58A3AE68" w14:textId="77777777" w:rsidR="002A21AE" w:rsidRDefault="002A21AE" w:rsidP="00FA7E65">
      <w:pPr>
        <w:pStyle w:val="BodyText"/>
      </w:pPr>
      <w:r>
        <w:t xml:space="preserve">The user views </w:t>
      </w:r>
      <w:r w:rsidR="00EB1E5A">
        <w:t xml:space="preserve">and/or </w:t>
      </w:r>
      <w:r>
        <w:t>prints a Division Transfusion Report</w:t>
      </w:r>
      <w:r w:rsidR="000E7CF5">
        <w:t>, which lists details of units transfused during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E27061" w14:textId="77777777">
        <w:trPr>
          <w:cantSplit/>
          <w:tblHeader/>
        </w:trPr>
        <w:tc>
          <w:tcPr>
            <w:tcW w:w="3240" w:type="dxa"/>
            <w:shd w:val="pct30" w:color="auto" w:fill="FFFFFF"/>
            <w:vAlign w:val="bottom"/>
          </w:tcPr>
          <w:p w14:paraId="1A66AEC4" w14:textId="77777777" w:rsidR="002A21AE" w:rsidRDefault="002A21AE">
            <w:pPr>
              <w:pStyle w:val="TableText"/>
              <w:rPr>
                <w:b/>
              </w:rPr>
            </w:pPr>
            <w:r>
              <w:rPr>
                <w:b/>
              </w:rPr>
              <w:t>User Action</w:t>
            </w:r>
          </w:p>
        </w:tc>
        <w:tc>
          <w:tcPr>
            <w:tcW w:w="6120" w:type="dxa"/>
            <w:shd w:val="pct30" w:color="auto" w:fill="FFFFFF"/>
            <w:vAlign w:val="bottom"/>
          </w:tcPr>
          <w:p w14:paraId="704B46A7" w14:textId="77777777" w:rsidR="002A21AE" w:rsidRDefault="002A21AE">
            <w:pPr>
              <w:pStyle w:val="TableText"/>
              <w:rPr>
                <w:b/>
              </w:rPr>
            </w:pPr>
            <w:r>
              <w:rPr>
                <w:b/>
              </w:rPr>
              <w:t>VBECS</w:t>
            </w:r>
          </w:p>
        </w:tc>
      </w:tr>
      <w:tr w:rsidR="002A21AE" w14:paraId="5E49DBA9" w14:textId="77777777">
        <w:tc>
          <w:tcPr>
            <w:tcW w:w="3240" w:type="dxa"/>
            <w:tcBorders>
              <w:top w:val="single" w:sz="4" w:space="0" w:color="auto"/>
              <w:left w:val="single" w:sz="4" w:space="0" w:color="auto"/>
              <w:bottom w:val="single" w:sz="4" w:space="0" w:color="auto"/>
              <w:right w:val="single" w:sz="4" w:space="0" w:color="auto"/>
            </w:tcBorders>
          </w:tcPr>
          <w:p w14:paraId="13FDE885" w14:textId="77777777" w:rsidR="002A21AE" w:rsidRDefault="002A21AE">
            <w:pPr>
              <w:pStyle w:val="TableTextNumbers"/>
            </w:pPr>
            <w:r>
              <w:t xml:space="preserve">Select </w:t>
            </w:r>
            <w:r>
              <w:rPr>
                <w:b/>
              </w:rPr>
              <w:t>Reports</w:t>
            </w:r>
            <w:r>
              <w:t xml:space="preserve"> from the main menu.</w:t>
            </w:r>
          </w:p>
          <w:p w14:paraId="0ECE0166" w14:textId="77777777" w:rsidR="002A21AE" w:rsidRDefault="002A21AE">
            <w:pPr>
              <w:pStyle w:val="TableTextNumbersContinued"/>
            </w:pPr>
          </w:p>
          <w:p w14:paraId="101859AF" w14:textId="77777777" w:rsidR="002A21AE" w:rsidRDefault="002A21AE">
            <w:pPr>
              <w:pStyle w:val="TableTextNumbersContinued"/>
            </w:pPr>
            <w:r>
              <w:t xml:space="preserve">Select </w:t>
            </w:r>
            <w:r>
              <w:rPr>
                <w:b/>
              </w:rPr>
              <w:t>Division Transfusion Report</w:t>
            </w:r>
            <w:r>
              <w:t>.</w:t>
            </w:r>
          </w:p>
        </w:tc>
        <w:tc>
          <w:tcPr>
            <w:tcW w:w="6120" w:type="dxa"/>
            <w:tcBorders>
              <w:top w:val="single" w:sz="4" w:space="0" w:color="auto"/>
              <w:left w:val="single" w:sz="4" w:space="0" w:color="auto"/>
              <w:bottom w:val="single" w:sz="4" w:space="0" w:color="auto"/>
              <w:right w:val="single" w:sz="4" w:space="0" w:color="auto"/>
            </w:tcBorders>
          </w:tcPr>
          <w:p w14:paraId="113547D3" w14:textId="77777777" w:rsidR="002A21AE" w:rsidRDefault="002A21AE">
            <w:pPr>
              <w:pStyle w:val="TableTextBullet"/>
            </w:pPr>
            <w:r>
              <w:t>Lists report names.</w:t>
            </w:r>
          </w:p>
          <w:p w14:paraId="44111470" w14:textId="77777777" w:rsidR="002A21AE" w:rsidRDefault="002A21AE">
            <w:pPr>
              <w:pStyle w:val="TableTextBullet"/>
            </w:pPr>
            <w:r>
              <w:t>Displays fields for entering a report date range.</w:t>
            </w:r>
          </w:p>
        </w:tc>
      </w:tr>
      <w:tr w:rsidR="002A21AE" w14:paraId="5BD79351" w14:textId="77777777">
        <w:tc>
          <w:tcPr>
            <w:tcW w:w="3240" w:type="dxa"/>
          </w:tcPr>
          <w:p w14:paraId="527CCD77" w14:textId="77777777" w:rsidR="002A21AE" w:rsidRDefault="002A21AE">
            <w:pPr>
              <w:pStyle w:val="TableTextNumbers"/>
            </w:pPr>
            <w:r>
              <w:t xml:space="preserve">Enter or select start and end dates. </w:t>
            </w:r>
          </w:p>
          <w:p w14:paraId="18E33DBA" w14:textId="77777777" w:rsidR="002A21AE" w:rsidRDefault="002A21AE">
            <w:pPr>
              <w:pStyle w:val="TableTextNumbersContinued"/>
            </w:pPr>
          </w:p>
          <w:p w14:paraId="2F32D451" w14:textId="77777777" w:rsidR="002A21AE" w:rsidRDefault="002A21AE">
            <w:pPr>
              <w:pStyle w:val="TableTextNumbersContinued"/>
            </w:pPr>
            <w:r>
              <w:t xml:space="preserve">In the Report Type area, select the </w:t>
            </w:r>
            <w:r>
              <w:rPr>
                <w:b/>
              </w:rPr>
              <w:t>Issuing Physician Report</w:t>
            </w:r>
            <w:r>
              <w:t xml:space="preserve">, </w:t>
            </w:r>
            <w:r>
              <w:rPr>
                <w:b/>
              </w:rPr>
              <w:t>Treating Specialty Report</w:t>
            </w:r>
            <w:r>
              <w:t xml:space="preserve">, </w:t>
            </w:r>
            <w:r>
              <w:rPr>
                <w:b/>
              </w:rPr>
              <w:t xml:space="preserve">Issued-To Location Report </w:t>
            </w:r>
            <w:r w:rsidR="00057A94" w:rsidRPr="00057A94">
              <w:t>or</w:t>
            </w:r>
            <w:r w:rsidR="00057A94">
              <w:rPr>
                <w:b/>
              </w:rPr>
              <w:t xml:space="preserve"> Component Class Report </w:t>
            </w:r>
            <w:r w:rsidRPr="00BF2E41">
              <w:t>radio button</w:t>
            </w:r>
            <w:r>
              <w:t>.</w:t>
            </w:r>
          </w:p>
          <w:p w14:paraId="666838D3" w14:textId="77777777" w:rsidR="00057A94" w:rsidRDefault="00057A94">
            <w:pPr>
              <w:pStyle w:val="TableTextNumbersContinued"/>
            </w:pPr>
          </w:p>
          <w:p w14:paraId="60C3C6D6" w14:textId="55959D56" w:rsidR="00057A94" w:rsidRDefault="00057A94">
            <w:pPr>
              <w:pStyle w:val="TableTextNumbersContinued"/>
            </w:pPr>
            <w:r>
              <w:t>May select all or specific items to be included in the report.</w:t>
            </w:r>
          </w:p>
        </w:tc>
        <w:tc>
          <w:tcPr>
            <w:tcW w:w="6120" w:type="dxa"/>
          </w:tcPr>
          <w:p w14:paraId="51AFD768" w14:textId="4DD6FC01" w:rsidR="002A21AE" w:rsidRDefault="002A21AE">
            <w:pPr>
              <w:pStyle w:val="TableTextBullet"/>
            </w:pPr>
            <w:r>
              <w:rPr>
                <w:rFonts w:cs="Arial"/>
                <w:vanish/>
              </w:rPr>
              <w:t xml:space="preserve">BR_74.05 </w:t>
            </w:r>
            <w:r>
              <w:t>Allows the user to compile the report by issuing physician, by treating specialty, or by issued-to location</w:t>
            </w:r>
            <w:r w:rsidR="005F46D4">
              <w:t xml:space="preserve"> or component classes</w:t>
            </w:r>
            <w:r>
              <w:t>.</w:t>
            </w:r>
          </w:p>
          <w:p w14:paraId="502494C9" w14:textId="029707EF" w:rsidR="005F46D4" w:rsidRDefault="002A21AE" w:rsidP="005F46D4">
            <w:pPr>
              <w:pStyle w:val="TableTextBullet"/>
            </w:pPr>
            <w:r>
              <w:rPr>
                <w:rFonts w:cs="Arial"/>
                <w:vanish/>
              </w:rPr>
              <w:t xml:space="preserve">BR_74.06 </w:t>
            </w:r>
            <w:r>
              <w:t xml:space="preserve">Allows the user to include some or all </w:t>
            </w:r>
            <w:r w:rsidR="005F46D4">
              <w:t xml:space="preserve">issuing </w:t>
            </w:r>
            <w:r>
              <w:t>physicians, treating specialties, or issued-to locations</w:t>
            </w:r>
            <w:r w:rsidR="005F46D4">
              <w:t xml:space="preserve"> or component classes</w:t>
            </w:r>
            <w:r>
              <w:t>.</w:t>
            </w:r>
          </w:p>
          <w:p w14:paraId="77180628" w14:textId="3C3E57AB" w:rsidR="005F46D4" w:rsidRDefault="005F46D4" w:rsidP="005F46D4">
            <w:pPr>
              <w:pStyle w:val="TableTextBullet"/>
            </w:pPr>
            <w:r>
              <w:rPr>
                <w:rFonts w:cs="Arial"/>
              </w:rPr>
              <w:t>At the end, there is a summary table with tallies by Unit ABO/Rh and component class.</w:t>
            </w:r>
          </w:p>
          <w:p w14:paraId="0DBA6509" w14:textId="77777777" w:rsidR="002A21AE" w:rsidRDefault="002A21AE">
            <w:pPr>
              <w:pStyle w:val="TableText"/>
            </w:pPr>
          </w:p>
          <w:p w14:paraId="42C2CDA1" w14:textId="036FBEB2" w:rsidR="002A21AE" w:rsidRDefault="002A21AE">
            <w:pPr>
              <w:pStyle w:val="TableText"/>
              <w:rPr>
                <w:b/>
                <w:bCs/>
                <w:szCs w:val="18"/>
              </w:rPr>
            </w:pPr>
            <w:r>
              <w:rPr>
                <w:b/>
                <w:bCs/>
                <w:szCs w:val="18"/>
              </w:rPr>
              <w:t>NOTES</w:t>
            </w:r>
          </w:p>
          <w:p w14:paraId="6A474558" w14:textId="77777777" w:rsidR="00DA42F6" w:rsidRDefault="00DA42F6">
            <w:pPr>
              <w:pStyle w:val="NotesText"/>
            </w:pPr>
          </w:p>
          <w:p w14:paraId="25A23BA9" w14:textId="43B4CEA4" w:rsidR="002A21AE" w:rsidRDefault="00DA42F6" w:rsidP="00DA42F6">
            <w:pPr>
              <w:pStyle w:val="NotesText"/>
            </w:pPr>
            <w:r w:rsidRPr="00DA42F6">
              <w:rPr>
                <w:vanish/>
              </w:rPr>
              <w:t xml:space="preserve">BR_74.08 </w:t>
            </w:r>
            <w:r>
              <w:t>The user has the option to create the report by component class and to select some or all of the component classes for inclusion. The list includes all VBECS component classes.</w:t>
            </w:r>
          </w:p>
        </w:tc>
      </w:tr>
      <w:tr w:rsidR="002A21AE" w14:paraId="5F3D4CFE" w14:textId="77777777" w:rsidTr="00E35FC4">
        <w:trPr>
          <w:cantSplit/>
        </w:trPr>
        <w:tc>
          <w:tcPr>
            <w:tcW w:w="3240" w:type="dxa"/>
          </w:tcPr>
          <w:p w14:paraId="783B6ADB" w14:textId="77777777" w:rsidR="002A21AE" w:rsidRDefault="006738EE">
            <w:pPr>
              <w:pStyle w:val="TableTextNumbers"/>
            </w:pPr>
            <w:r>
              <w:lastRenderedPageBreak/>
              <w:t xml:space="preserve">In the </w:t>
            </w:r>
            <w:r w:rsidRPr="006738EE">
              <w:t>Report Compilation</w:t>
            </w:r>
            <w:r>
              <w:t xml:space="preserve"> area, click the </w:t>
            </w:r>
            <w:r w:rsidRPr="006738EE">
              <w:rPr>
                <w:b/>
              </w:rPr>
              <w:t>Create Report Now</w:t>
            </w:r>
            <w:r>
              <w:t xml:space="preserve"> radio button. Click </w:t>
            </w:r>
            <w:r w:rsidRPr="006738EE">
              <w:rPr>
                <w:b/>
              </w:rPr>
              <w:t>OK</w:t>
            </w:r>
            <w:r>
              <w:t xml:space="preserve"> to review the report, or</w:t>
            </w:r>
          </w:p>
          <w:p w14:paraId="1A7F4AFF" w14:textId="77777777" w:rsidR="006738EE" w:rsidRDefault="006738EE" w:rsidP="006738EE">
            <w:pPr>
              <w:pStyle w:val="TableTextNumbers"/>
              <w:numPr>
                <w:ilvl w:val="0"/>
                <w:numId w:val="0"/>
              </w:numPr>
              <w:ind w:left="288" w:hanging="288"/>
            </w:pPr>
          </w:p>
          <w:p w14:paraId="206CE0CB" w14:textId="77777777" w:rsidR="006738EE" w:rsidRDefault="006738EE" w:rsidP="006738EE">
            <w:pPr>
              <w:pStyle w:val="TableTextNumbers"/>
              <w:numPr>
                <w:ilvl w:val="0"/>
                <w:numId w:val="0"/>
              </w:numPr>
              <w:ind w:left="270" w:firstLine="18"/>
            </w:pPr>
            <w:r>
              <w:t xml:space="preserve">Click the </w:t>
            </w:r>
            <w:r w:rsidRPr="006738EE">
              <w:rPr>
                <w:b/>
              </w:rPr>
              <w:t xml:space="preserve">Schedule Print Job </w:t>
            </w:r>
            <w:r w:rsidRPr="009554A6">
              <w:t xml:space="preserve">radio button </w:t>
            </w:r>
            <w:r>
              <w:t xml:space="preserve">and </w:t>
            </w:r>
            <w:r w:rsidRPr="006738EE">
              <w:rPr>
                <w:b/>
              </w:rPr>
              <w:t>OK</w:t>
            </w:r>
            <w:r>
              <w:t xml:space="preserve">, then enter or select a print date and printer name. Click </w:t>
            </w:r>
            <w:r w:rsidRPr="006738EE">
              <w:rPr>
                <w:b/>
              </w:rPr>
              <w:t>OK</w:t>
            </w:r>
            <w:r>
              <w:t xml:space="preserve"> to view and print the report.</w:t>
            </w:r>
          </w:p>
        </w:tc>
        <w:tc>
          <w:tcPr>
            <w:tcW w:w="6120" w:type="dxa"/>
          </w:tcPr>
          <w:p w14:paraId="0BF8A284" w14:textId="77777777" w:rsidR="002A21AE" w:rsidRDefault="002A21AE">
            <w:pPr>
              <w:pStyle w:val="TableTextBullet"/>
            </w:pPr>
            <w:r>
              <w:t>Compiles and displays the report.</w:t>
            </w:r>
          </w:p>
          <w:p w14:paraId="5C7F6277" w14:textId="77777777" w:rsidR="002A21AE" w:rsidRDefault="002A21AE">
            <w:pPr>
              <w:pStyle w:val="TableText"/>
            </w:pPr>
          </w:p>
          <w:p w14:paraId="1DF15822" w14:textId="70F366BD" w:rsidR="002A21AE" w:rsidRDefault="002A21AE">
            <w:pPr>
              <w:pStyle w:val="TableText"/>
              <w:rPr>
                <w:b/>
                <w:bCs/>
                <w:szCs w:val="18"/>
              </w:rPr>
            </w:pPr>
            <w:r>
              <w:rPr>
                <w:b/>
                <w:bCs/>
                <w:szCs w:val="18"/>
              </w:rPr>
              <w:t>NOTES</w:t>
            </w:r>
          </w:p>
          <w:p w14:paraId="4ECECF37" w14:textId="77777777" w:rsidR="002A21AE" w:rsidRDefault="002A21AE">
            <w:pPr>
              <w:pStyle w:val="NotesText"/>
            </w:pPr>
          </w:p>
          <w:p w14:paraId="6EF05A07" w14:textId="77777777" w:rsidR="002A21AE" w:rsidRDefault="002A21AE">
            <w:pPr>
              <w:pStyle w:val="NotesText"/>
            </w:pPr>
            <w:r>
              <w:rPr>
                <w:rFonts w:cs="Arial"/>
                <w:vanish/>
              </w:rPr>
              <w:t xml:space="preserve">BR_74.03 </w:t>
            </w:r>
            <w:r>
              <w:t>The report displays tallies of units transfused by component class within the date range, by:</w:t>
            </w:r>
          </w:p>
          <w:p w14:paraId="15BAB1B6" w14:textId="77777777" w:rsidR="002A21AE" w:rsidRDefault="002A21AE">
            <w:pPr>
              <w:pStyle w:val="NotesTextBullet"/>
            </w:pPr>
            <w:r>
              <w:t>Physician name</w:t>
            </w:r>
          </w:p>
          <w:p w14:paraId="36404DA3" w14:textId="77777777" w:rsidR="002A21AE" w:rsidRDefault="002A21AE">
            <w:pPr>
              <w:pStyle w:val="NotesTextBullet"/>
            </w:pPr>
            <w:r>
              <w:t>Treating specialty</w:t>
            </w:r>
          </w:p>
          <w:p w14:paraId="5BEF3ABC" w14:textId="1B706107" w:rsidR="002A21AE" w:rsidRDefault="002A21AE">
            <w:pPr>
              <w:pStyle w:val="NotesTextBullet"/>
            </w:pPr>
            <w:r>
              <w:t>Issued-to location</w:t>
            </w:r>
          </w:p>
          <w:p w14:paraId="739180ED" w14:textId="00AAEB75" w:rsidR="002A21AE" w:rsidRDefault="00EA021C" w:rsidP="00EA021C">
            <w:pPr>
              <w:pStyle w:val="NotesTextBullet"/>
            </w:pPr>
            <w:r>
              <w:t>Component class</w:t>
            </w:r>
          </w:p>
          <w:p w14:paraId="38179489" w14:textId="77777777" w:rsidR="00EA021C" w:rsidRPr="00EA021C" w:rsidRDefault="00EA021C" w:rsidP="00EA021C">
            <w:pPr>
              <w:pStyle w:val="NotesTextBullet"/>
              <w:numPr>
                <w:ilvl w:val="0"/>
                <w:numId w:val="0"/>
              </w:numPr>
              <w:ind w:left="720"/>
            </w:pPr>
          </w:p>
          <w:p w14:paraId="300BFB9C" w14:textId="77777777" w:rsidR="002A21AE" w:rsidRDefault="002A21AE">
            <w:pPr>
              <w:pStyle w:val="NotesText"/>
            </w:pPr>
          </w:p>
          <w:p w14:paraId="56C05EB8" w14:textId="77777777" w:rsidR="002A21AE" w:rsidRDefault="002A21AE">
            <w:pPr>
              <w:pStyle w:val="NotesText"/>
            </w:pPr>
            <w:r>
              <w:rPr>
                <w:rFonts w:cs="Arial"/>
                <w:vanish/>
              </w:rPr>
              <w:t xml:space="preserve">BR_74.04 </w:t>
            </w:r>
            <w:r>
              <w:t>Reports include:</w:t>
            </w:r>
          </w:p>
          <w:p w14:paraId="2CFEAAE3" w14:textId="77777777" w:rsidR="002A21AE" w:rsidRDefault="002A21AE">
            <w:pPr>
              <w:pStyle w:val="NotesTextBullet"/>
            </w:pPr>
            <w:r>
              <w:t>Patient name</w:t>
            </w:r>
          </w:p>
          <w:p w14:paraId="40EE8B79" w14:textId="77777777" w:rsidR="002A21AE" w:rsidRDefault="002A21AE">
            <w:pPr>
              <w:pStyle w:val="NotesTextBullet"/>
            </w:pPr>
            <w:r>
              <w:t>Patient ID</w:t>
            </w:r>
          </w:p>
          <w:p w14:paraId="1A6985F7" w14:textId="77777777" w:rsidR="002A21AE" w:rsidRDefault="002A21AE">
            <w:pPr>
              <w:pStyle w:val="NotesTextBullet"/>
            </w:pPr>
            <w:r>
              <w:t>Unit ID</w:t>
            </w:r>
          </w:p>
          <w:p w14:paraId="5D450283" w14:textId="597DEF0B" w:rsidR="002A21AE" w:rsidRDefault="002A21AE">
            <w:pPr>
              <w:pStyle w:val="NotesTextBullet"/>
            </w:pPr>
            <w:r>
              <w:t>Product short name</w:t>
            </w:r>
            <w:r w:rsidR="0060023C">
              <w:t xml:space="preserve"> and product code</w:t>
            </w:r>
          </w:p>
          <w:p w14:paraId="3B7E34C1" w14:textId="4F486591" w:rsidR="002A21AE" w:rsidRDefault="002A21AE">
            <w:pPr>
              <w:pStyle w:val="NotesTextBullet"/>
            </w:pPr>
            <w:r>
              <w:t>If pooled, number of participants in pool</w:t>
            </w:r>
          </w:p>
          <w:p w14:paraId="276D4D16" w14:textId="188A6F37" w:rsidR="0060023C" w:rsidRDefault="0060023C">
            <w:pPr>
              <w:pStyle w:val="NotesTextBullet"/>
            </w:pPr>
            <w:r>
              <w:t>Unit ABO/Rh</w:t>
            </w:r>
          </w:p>
          <w:p w14:paraId="73BAAFCB" w14:textId="77777777" w:rsidR="002A21AE" w:rsidRDefault="002A21AE">
            <w:pPr>
              <w:pStyle w:val="NotesTextBullet"/>
            </w:pPr>
            <w:r>
              <w:t>Date and time Issued</w:t>
            </w:r>
          </w:p>
          <w:p w14:paraId="5BF6FD39" w14:textId="77777777" w:rsidR="002A21AE" w:rsidRDefault="002A21AE">
            <w:pPr>
              <w:pStyle w:val="NotesTextBullet"/>
            </w:pPr>
            <w:r>
              <w:t>Issued-to location</w:t>
            </w:r>
          </w:p>
          <w:p w14:paraId="2D5D64ED" w14:textId="77777777" w:rsidR="002A21AE" w:rsidRDefault="002A21AE">
            <w:pPr>
              <w:pStyle w:val="NotesTextBullet"/>
            </w:pPr>
            <w:r>
              <w:t>Physician</w:t>
            </w:r>
          </w:p>
          <w:p w14:paraId="72F59D2E" w14:textId="77777777" w:rsidR="002A21AE" w:rsidRDefault="002A21AE">
            <w:pPr>
              <w:pStyle w:val="NotesTextBullet"/>
            </w:pPr>
            <w:r>
              <w:t>Treating specialty</w:t>
            </w:r>
          </w:p>
          <w:p w14:paraId="539BD9AF" w14:textId="77777777" w:rsidR="002A21AE" w:rsidRDefault="002A21AE">
            <w:pPr>
              <w:pStyle w:val="NotesTextBullet"/>
            </w:pPr>
            <w:r>
              <w:t>Transfused or presumed transfused indicator, if present</w:t>
            </w:r>
          </w:p>
          <w:p w14:paraId="1CFADEAD" w14:textId="77777777" w:rsidR="00801D1F" w:rsidRPr="00AA2B2E" w:rsidRDefault="002A21AE" w:rsidP="00AA2B2E">
            <w:pPr>
              <w:pStyle w:val="NotesTextBullet"/>
              <w:rPr>
                <w:rFonts w:cs="Arial"/>
              </w:rPr>
            </w:pPr>
            <w:r>
              <w:t>Transfusion comments, if any</w:t>
            </w:r>
          </w:p>
        </w:tc>
      </w:tr>
      <w:tr w:rsidR="002A21AE" w14:paraId="11415545" w14:textId="77777777">
        <w:tc>
          <w:tcPr>
            <w:tcW w:w="3240" w:type="dxa"/>
          </w:tcPr>
          <w:p w14:paraId="4DBF8450" w14:textId="51936285"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000BEBD0" w14:textId="77777777" w:rsidR="005C22EF" w:rsidRDefault="005C22EF" w:rsidP="005C22EF">
            <w:pPr>
              <w:pStyle w:val="TableTextBullet"/>
            </w:pPr>
            <w:r>
              <w:t>If Print is selected, prints the report on the designated printer.</w:t>
            </w:r>
          </w:p>
          <w:p w14:paraId="6462363E" w14:textId="77777777" w:rsidR="005C22EF" w:rsidRDefault="005C22EF" w:rsidP="005C22EF">
            <w:pPr>
              <w:pStyle w:val="TableTextBullet"/>
            </w:pPr>
            <w:r>
              <w:t>If Export is selected, exports the report to the designated file.</w:t>
            </w:r>
          </w:p>
          <w:p w14:paraId="4743DB50" w14:textId="26C7E4C2" w:rsidR="002A21AE" w:rsidRDefault="005C22EF" w:rsidP="005C22EF">
            <w:pPr>
              <w:pStyle w:val="TableTextBullet"/>
            </w:pPr>
            <w:r>
              <w:t>If Close is selected, exits the report preview.</w:t>
            </w:r>
          </w:p>
        </w:tc>
      </w:tr>
    </w:tbl>
    <w:p w14:paraId="13B24685" w14:textId="77777777" w:rsidR="008C5564" w:rsidRDefault="00F55832" w:rsidP="008C5564">
      <w:pPr>
        <w:pStyle w:val="Heading2"/>
      </w:pPr>
      <w:r>
        <w:br w:type="page"/>
      </w:r>
      <w:bookmarkStart w:id="539" w:name="_Toc163644975"/>
      <w:r w:rsidR="008C5564">
        <w:lastRenderedPageBreak/>
        <w:t>Division Workload Report</w:t>
      </w:r>
      <w:bookmarkEnd w:id="539"/>
      <w:r w:rsidR="008C5564">
        <w:fldChar w:fldCharType="begin"/>
      </w:r>
      <w:r w:rsidR="008C5564">
        <w:instrText xml:space="preserve"> XE </w:instrText>
      </w:r>
      <w:r w:rsidR="00FA7E65">
        <w:instrText>“</w:instrText>
      </w:r>
      <w:r w:rsidR="008C5564">
        <w:instrText>Division Workload Report</w:instrText>
      </w:r>
      <w:r w:rsidR="00FA7E65">
        <w:instrText>”</w:instrText>
      </w:r>
      <w:r w:rsidR="008C5564">
        <w:instrText xml:space="preserve"> </w:instrText>
      </w:r>
      <w:r w:rsidR="008C5564">
        <w:fldChar w:fldCharType="end"/>
      </w:r>
      <w:r w:rsidR="008C5564">
        <w:t xml:space="preserve"> </w:t>
      </w:r>
      <w:r w:rsidR="008C5564">
        <w:rPr>
          <w:vanish/>
        </w:rPr>
        <w:t>UC_79</w:t>
      </w:r>
    </w:p>
    <w:p w14:paraId="39482419" w14:textId="77777777" w:rsidR="008C5564" w:rsidRDefault="008C5564" w:rsidP="00FA7E65">
      <w:pPr>
        <w:pStyle w:val="BodyText"/>
      </w:pPr>
      <w:r>
        <w:t xml:space="preserve">The user views </w:t>
      </w:r>
      <w:r w:rsidR="00EB1E5A">
        <w:t xml:space="preserve">and/or </w:t>
      </w:r>
      <w:r>
        <w:t>prints a workload report.</w:t>
      </w:r>
    </w:p>
    <w:p w14:paraId="1F9DAD5F" w14:textId="77777777" w:rsidR="008C5564" w:rsidRDefault="008C5564" w:rsidP="008C5564">
      <w:pPr>
        <w:pStyle w:val="Heading4"/>
      </w:pPr>
      <w:r>
        <w:t>Assumptions</w:t>
      </w:r>
      <w:r>
        <w:rPr>
          <w:b w:val="0"/>
        </w:rPr>
        <w:t xml:space="preserve"> </w:t>
      </w:r>
    </w:p>
    <w:p w14:paraId="7F10EAA0" w14:textId="77777777" w:rsidR="008C5564" w:rsidRDefault="00CA6E27" w:rsidP="008C5564">
      <w:pPr>
        <w:pStyle w:val="ListBullet"/>
        <w:rPr>
          <w:b/>
        </w:rPr>
      </w:pPr>
      <w:r w:rsidRPr="00CA6E27">
        <w:rPr>
          <w:bCs/>
        </w:rPr>
        <w:t>VistA</w:t>
      </w:r>
      <w:r w:rsidR="008C5564">
        <w:t xml:space="preserve"> workload codes were assigned to VBECS processes through Workload Codes.</w:t>
      </w:r>
    </w:p>
    <w:p w14:paraId="47060984" w14:textId="77777777" w:rsidR="008C5564" w:rsidRDefault="008C5564" w:rsidP="008C5564">
      <w:pPr>
        <w:pStyle w:val="ListBullet"/>
      </w:pPr>
      <w:r>
        <w:t xml:space="preserve">Data for the report were saved in VBECS. </w:t>
      </w:r>
    </w:p>
    <w:p w14:paraId="4DA7DD80" w14:textId="77777777" w:rsidR="008C5564" w:rsidRDefault="008C5564" w:rsidP="008C5564">
      <w:pPr>
        <w:pStyle w:val="Heading4"/>
      </w:pPr>
      <w:r>
        <w:t xml:space="preserve">Outcome </w:t>
      </w:r>
    </w:p>
    <w:p w14:paraId="3BE95B74" w14:textId="77777777" w:rsidR="008C5564" w:rsidRDefault="00AE521B" w:rsidP="008C5564">
      <w:pPr>
        <w:pStyle w:val="ListBullet"/>
      </w:pPr>
      <w:r>
        <w:t>The user views and/or prints the report</w:t>
      </w:r>
      <w:r w:rsidR="008C5564">
        <w:t>.</w:t>
      </w:r>
    </w:p>
    <w:p w14:paraId="026656D3" w14:textId="77777777" w:rsidR="008C5564" w:rsidRDefault="008C5564" w:rsidP="008C5564">
      <w:pPr>
        <w:pStyle w:val="Heading4"/>
        <w:rPr>
          <w:b w:val="0"/>
        </w:rPr>
      </w:pPr>
      <w:r>
        <w:t>Limitations and Restrictions</w:t>
      </w:r>
      <w:r>
        <w:rPr>
          <w:b w:val="0"/>
        </w:rPr>
        <w:t xml:space="preserve"> </w:t>
      </w:r>
    </w:p>
    <w:p w14:paraId="2B1D7C6C" w14:textId="6E88B699" w:rsidR="008C5564" w:rsidRDefault="00B413D4" w:rsidP="008C5564">
      <w:pPr>
        <w:pStyle w:val="ListBullet"/>
      </w:pPr>
      <w:r>
        <w:t xml:space="preserve">A report printed with an end date of today or greater does not print “Preliminary” in the header. Check the subsequent pages of the report and write “PRELIMINARY” on the front page of the report prior to filing. The information included in the report is accurate to the time printed. There is a possibility of a gap of information should the user not overlap the print requests. Generally, this report is printed for the day prior or a time period that does not include the current day. </w:t>
      </w:r>
      <w:r w:rsidRPr="00B413D4">
        <w:rPr>
          <w:vanish/>
        </w:rPr>
        <w:t>Defect 213101</w:t>
      </w:r>
    </w:p>
    <w:p w14:paraId="253B15AD" w14:textId="77777777" w:rsidR="008C5564" w:rsidRDefault="008C5564" w:rsidP="008C5564">
      <w:pPr>
        <w:pStyle w:val="Heading4"/>
      </w:pPr>
      <w:r>
        <w:t xml:space="preserve">Additional Information </w:t>
      </w:r>
    </w:p>
    <w:p w14:paraId="66BB618A" w14:textId="21D0F74B" w:rsidR="00991CFE" w:rsidRDefault="00991CFE" w:rsidP="00991CFE">
      <w:pPr>
        <w:pStyle w:val="ListBullet"/>
      </w:pPr>
      <w:r>
        <w:t>The report is available as a single-division or multidivisional (all divisions) report.</w:t>
      </w:r>
    </w:p>
    <w:p w14:paraId="68ABCC50" w14:textId="6013E7E3" w:rsidR="00C17377" w:rsidRDefault="00C17377" w:rsidP="00C17377">
      <w:pPr>
        <w:pStyle w:val="ListBullet"/>
      </w:pPr>
      <w:r>
        <w:t>The r</w:t>
      </w:r>
      <w:r w:rsidRPr="00C17377">
        <w:t>eport will not print as “Preliminary” when the report contains the current day in the range of data requested.</w:t>
      </w:r>
      <w:r w:rsidR="00244AD3">
        <w:t xml:space="preserve"> </w:t>
      </w:r>
      <w:r w:rsidR="00244AD3" w:rsidRPr="00244AD3">
        <w:rPr>
          <w:vanish/>
        </w:rPr>
        <w:t>Defect 209080</w:t>
      </w:r>
    </w:p>
    <w:p w14:paraId="3D99E737" w14:textId="77777777" w:rsidR="008C5564" w:rsidRDefault="008C5564" w:rsidP="008C5564">
      <w:pPr>
        <w:pStyle w:val="Heading4"/>
      </w:pPr>
      <w:r>
        <w:t>User Roles with Access to This Option</w:t>
      </w:r>
    </w:p>
    <w:p w14:paraId="5447FB07" w14:textId="77777777" w:rsidR="008C5564" w:rsidRDefault="00606FB0" w:rsidP="008C5564">
      <w:pPr>
        <w:pStyle w:val="Roles"/>
      </w:pPr>
      <w:r>
        <w:t>All users</w:t>
      </w:r>
    </w:p>
    <w:p w14:paraId="68761169" w14:textId="77777777" w:rsidR="008C5564" w:rsidRDefault="008C5564" w:rsidP="008C5564">
      <w:pPr>
        <w:pStyle w:val="Heading4"/>
      </w:pPr>
      <w:r>
        <w:t>Division Workload Report</w:t>
      </w:r>
      <w:r>
        <w:rPr>
          <w:rStyle w:val="CommentReference"/>
          <w:rFonts w:ascii="Times New Roman" w:hAnsi="Times New Roman"/>
          <w:b w:val="0"/>
          <w:bCs/>
          <w:vanish/>
        </w:rPr>
        <w:t xml:space="preserve"> </w:t>
      </w:r>
    </w:p>
    <w:p w14:paraId="1486C921" w14:textId="77777777" w:rsidR="008C5564" w:rsidRDefault="008C5564" w:rsidP="00FA7E65">
      <w:pPr>
        <w:pStyle w:val="BodyText"/>
      </w:pPr>
      <w:r>
        <w:t xml:space="preserve">The user views </w:t>
      </w:r>
      <w:r w:rsidR="00EB1E5A">
        <w:t xml:space="preserve">and/or </w:t>
      </w:r>
      <w:r w:rsidR="00DC3B23">
        <w:t>prints</w:t>
      </w:r>
      <w:r>
        <w:t xml:space="preserve"> a workload report</w:t>
      </w:r>
      <w:r w:rsidR="00DC3B23">
        <w:t xml:space="preserve">, which includes totals of workload types, for one or </w:t>
      </w:r>
      <w:r w:rsidR="00DD0E58">
        <w:t>all</w:t>
      </w:r>
      <w:r w:rsidR="00DC3B23">
        <w:t xml:space="preserve"> divisions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C5564" w14:paraId="19499B27" w14:textId="77777777">
        <w:trPr>
          <w:cantSplit/>
          <w:tblHeader/>
        </w:trPr>
        <w:tc>
          <w:tcPr>
            <w:tcW w:w="3240" w:type="dxa"/>
            <w:shd w:val="pct30" w:color="auto" w:fill="FFFFFF"/>
            <w:vAlign w:val="bottom"/>
          </w:tcPr>
          <w:p w14:paraId="11DEC49E" w14:textId="77777777" w:rsidR="008C5564" w:rsidRDefault="008C5564" w:rsidP="008C5564">
            <w:pPr>
              <w:pStyle w:val="TableText"/>
              <w:rPr>
                <w:b/>
              </w:rPr>
            </w:pPr>
            <w:r>
              <w:rPr>
                <w:b/>
              </w:rPr>
              <w:t>User Action</w:t>
            </w:r>
          </w:p>
        </w:tc>
        <w:tc>
          <w:tcPr>
            <w:tcW w:w="6120" w:type="dxa"/>
            <w:shd w:val="pct30" w:color="auto" w:fill="FFFFFF"/>
            <w:vAlign w:val="bottom"/>
          </w:tcPr>
          <w:p w14:paraId="2A299BC5" w14:textId="77777777" w:rsidR="008C5564" w:rsidRDefault="008C5564" w:rsidP="008C5564">
            <w:pPr>
              <w:pStyle w:val="TableText"/>
              <w:rPr>
                <w:b/>
              </w:rPr>
            </w:pPr>
            <w:r>
              <w:rPr>
                <w:b/>
              </w:rPr>
              <w:t>VBECS</w:t>
            </w:r>
          </w:p>
        </w:tc>
      </w:tr>
      <w:tr w:rsidR="008C5564" w14:paraId="2B10FAB3" w14:textId="77777777">
        <w:tc>
          <w:tcPr>
            <w:tcW w:w="3240" w:type="dxa"/>
          </w:tcPr>
          <w:p w14:paraId="37D1DEB1" w14:textId="77777777" w:rsidR="008C5564" w:rsidRDefault="008C5564" w:rsidP="008C5564">
            <w:pPr>
              <w:pStyle w:val="TableTextNumbers"/>
            </w:pPr>
            <w:r>
              <w:t xml:space="preserve">Select </w:t>
            </w:r>
            <w:r>
              <w:rPr>
                <w:b/>
              </w:rPr>
              <w:t>Reports</w:t>
            </w:r>
            <w:r>
              <w:t xml:space="preserve"> from the main menu.</w:t>
            </w:r>
          </w:p>
          <w:p w14:paraId="0958F6A2" w14:textId="77777777" w:rsidR="008C5564" w:rsidRDefault="008C5564" w:rsidP="008C5564">
            <w:pPr>
              <w:pStyle w:val="TableTextNumbersContinued"/>
            </w:pPr>
          </w:p>
          <w:p w14:paraId="34FA5F85" w14:textId="77777777" w:rsidR="008C5564" w:rsidRDefault="008C5564" w:rsidP="008C5564">
            <w:pPr>
              <w:pStyle w:val="TableTextNumbersContinued"/>
            </w:pPr>
            <w:r>
              <w:t xml:space="preserve">Select </w:t>
            </w:r>
            <w:r>
              <w:rPr>
                <w:b/>
              </w:rPr>
              <w:t>Division Workload Report</w:t>
            </w:r>
            <w:r>
              <w:t>.</w:t>
            </w:r>
          </w:p>
        </w:tc>
        <w:tc>
          <w:tcPr>
            <w:tcW w:w="6120" w:type="dxa"/>
          </w:tcPr>
          <w:p w14:paraId="042F53C7" w14:textId="77777777" w:rsidR="008C5564" w:rsidRDefault="008C5564" w:rsidP="008C5564">
            <w:pPr>
              <w:pStyle w:val="TableTextBullet"/>
            </w:pPr>
            <w:r>
              <w:t>Lists report names.</w:t>
            </w:r>
          </w:p>
          <w:p w14:paraId="26ADA055" w14:textId="77777777" w:rsidR="008C5564" w:rsidRDefault="008C5564" w:rsidP="008C5564">
            <w:pPr>
              <w:pStyle w:val="TableTextBullet"/>
            </w:pPr>
            <w:r>
              <w:t xml:space="preserve">Displays report division and compilation criteria. </w:t>
            </w:r>
          </w:p>
          <w:p w14:paraId="6DECA8B4" w14:textId="77777777" w:rsidR="008C5564" w:rsidRDefault="008C5564" w:rsidP="008C5564">
            <w:pPr>
              <w:pStyle w:val="TableTextBullet"/>
            </w:pPr>
            <w:r>
              <w:t>Displays a date range for selection.</w:t>
            </w:r>
          </w:p>
        </w:tc>
      </w:tr>
      <w:tr w:rsidR="008C5564" w14:paraId="0159AE0D" w14:textId="77777777">
        <w:tc>
          <w:tcPr>
            <w:tcW w:w="3240" w:type="dxa"/>
          </w:tcPr>
          <w:p w14:paraId="456E81DD" w14:textId="77777777" w:rsidR="008C5564" w:rsidRDefault="008C5564" w:rsidP="008C5564">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14:paraId="3B78D726" w14:textId="77777777" w:rsidR="008C5564" w:rsidRDefault="008C5564" w:rsidP="008C5564">
            <w:pPr>
              <w:pStyle w:val="TableTextBullet"/>
            </w:pPr>
            <w:r>
              <w:t>Allows the user to select one or all divisions.</w:t>
            </w:r>
          </w:p>
          <w:p w14:paraId="25E29ACF" w14:textId="77777777" w:rsidR="008C5564" w:rsidRDefault="008C5564" w:rsidP="008C5564">
            <w:pPr>
              <w:pStyle w:val="TableTextBullet"/>
            </w:pPr>
            <w:r>
              <w:t>Displays a date range for selection.</w:t>
            </w:r>
          </w:p>
        </w:tc>
      </w:tr>
      <w:tr w:rsidR="008C5564" w14:paraId="4989814E" w14:textId="77777777">
        <w:tc>
          <w:tcPr>
            <w:tcW w:w="3240" w:type="dxa"/>
          </w:tcPr>
          <w:p w14:paraId="6876DAB3" w14:textId="77777777" w:rsidR="008C5564" w:rsidRDefault="008C5564" w:rsidP="008C5564">
            <w:pPr>
              <w:pStyle w:val="TableTextNumbers"/>
            </w:pPr>
            <w:r>
              <w:t>Enter or select start and end dates.</w:t>
            </w:r>
          </w:p>
        </w:tc>
        <w:tc>
          <w:tcPr>
            <w:tcW w:w="6120" w:type="dxa"/>
          </w:tcPr>
          <w:p w14:paraId="32B0E4CA" w14:textId="77777777" w:rsidR="008C5564" w:rsidRDefault="008C5564" w:rsidP="008C5564">
            <w:pPr>
              <w:pStyle w:val="TableTextBullet"/>
            </w:pPr>
            <w:r>
              <w:t>Compiles and displays the report.</w:t>
            </w:r>
          </w:p>
          <w:p w14:paraId="4745DD91" w14:textId="77777777" w:rsidR="008C5564" w:rsidRDefault="008C5564" w:rsidP="008C5564">
            <w:pPr>
              <w:pStyle w:val="TableTextBullet"/>
            </w:pPr>
            <w:r>
              <w:t>Allows the user to print the report.</w:t>
            </w:r>
          </w:p>
          <w:p w14:paraId="5E51E8C1" w14:textId="77777777" w:rsidR="008C5564" w:rsidRDefault="008C5564" w:rsidP="008C5564">
            <w:pPr>
              <w:pStyle w:val="TableText"/>
            </w:pPr>
          </w:p>
          <w:p w14:paraId="075B0F3B" w14:textId="44B943B7" w:rsidR="008C5564" w:rsidRDefault="008C5564" w:rsidP="008C5564">
            <w:pPr>
              <w:pStyle w:val="TableText"/>
              <w:rPr>
                <w:b/>
                <w:bCs/>
                <w:szCs w:val="18"/>
              </w:rPr>
            </w:pPr>
            <w:r>
              <w:rPr>
                <w:b/>
                <w:bCs/>
                <w:szCs w:val="18"/>
              </w:rPr>
              <w:t>NOTES</w:t>
            </w:r>
          </w:p>
          <w:p w14:paraId="4B63F91D" w14:textId="77777777" w:rsidR="008C5564" w:rsidRDefault="008C5564" w:rsidP="008C5564">
            <w:pPr>
              <w:pStyle w:val="NotesText"/>
            </w:pPr>
          </w:p>
          <w:p w14:paraId="5558AD98" w14:textId="77777777" w:rsidR="008C5564" w:rsidRDefault="008C5564" w:rsidP="008C5564">
            <w:pPr>
              <w:pStyle w:val="NotesText"/>
            </w:pPr>
            <w:r>
              <w:rPr>
                <w:rFonts w:cs="Arial"/>
                <w:vanish/>
              </w:rPr>
              <w:t xml:space="preserve">BR_79.03 </w:t>
            </w:r>
            <w:r>
              <w:t>A multiple-division workload report includes totals for each type of workload for each division requested in the report.</w:t>
            </w:r>
          </w:p>
          <w:p w14:paraId="460874D0" w14:textId="77777777" w:rsidR="008C5564" w:rsidRDefault="008C5564" w:rsidP="008C5564">
            <w:pPr>
              <w:pStyle w:val="NotesText"/>
            </w:pPr>
          </w:p>
          <w:p w14:paraId="4D762C2C" w14:textId="77777777" w:rsidR="008C5564" w:rsidRDefault="008C5564" w:rsidP="008C5564">
            <w:pPr>
              <w:pStyle w:val="NotesText"/>
            </w:pPr>
            <w:r>
              <w:rPr>
                <w:rFonts w:cs="Arial"/>
                <w:vanish/>
              </w:rPr>
              <w:t xml:space="preserve">BR_79.04 </w:t>
            </w:r>
            <w:r>
              <w:t>VBECS searches its workload file for entries within the selected date range.</w:t>
            </w:r>
          </w:p>
        </w:tc>
      </w:tr>
      <w:tr w:rsidR="008C5564" w14:paraId="1E838905" w14:textId="77777777" w:rsidTr="00E35FC4">
        <w:trPr>
          <w:cantSplit/>
        </w:trPr>
        <w:tc>
          <w:tcPr>
            <w:tcW w:w="3240" w:type="dxa"/>
          </w:tcPr>
          <w:p w14:paraId="3B3267B3" w14:textId="77777777" w:rsidR="008C5564" w:rsidRDefault="008C5564" w:rsidP="008C5564">
            <w:pPr>
              <w:pStyle w:val="TableTextNumbers"/>
            </w:pPr>
            <w:r>
              <w:lastRenderedPageBreak/>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17C11A1E" w14:textId="77777777" w:rsidR="008C5564" w:rsidRDefault="008C5564" w:rsidP="008C5564">
            <w:pPr>
              <w:pStyle w:val="TableTextNumbersContinued"/>
              <w:rPr>
                <w:b/>
                <w:bCs/>
              </w:rPr>
            </w:pPr>
          </w:p>
          <w:p w14:paraId="6613AD70" w14:textId="77777777" w:rsidR="008C5564" w:rsidRDefault="008C5564" w:rsidP="008C5564">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1BF198E7" w14:textId="77777777" w:rsidR="005B6A94" w:rsidRDefault="00F64B5C" w:rsidP="00AA2B2E">
            <w:pPr>
              <w:pStyle w:val="TableTextBullet"/>
            </w:pPr>
            <w:r>
              <w:t>Compiles and displays the report.</w:t>
            </w:r>
          </w:p>
        </w:tc>
      </w:tr>
      <w:tr w:rsidR="008C5564" w14:paraId="1BD74190" w14:textId="77777777">
        <w:tc>
          <w:tcPr>
            <w:tcW w:w="3240" w:type="dxa"/>
          </w:tcPr>
          <w:p w14:paraId="372C5A03" w14:textId="31213C74" w:rsidR="008C5564" w:rsidRDefault="005C22EF" w:rsidP="008C5564">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671BBA65" w14:textId="77777777" w:rsidR="005C22EF" w:rsidRDefault="005C22EF" w:rsidP="005C22EF">
            <w:pPr>
              <w:pStyle w:val="TableTextBullet"/>
            </w:pPr>
            <w:r>
              <w:t>If Print is selected, prints the report on the designated printer.</w:t>
            </w:r>
          </w:p>
          <w:p w14:paraId="2DCAB4BF" w14:textId="77777777" w:rsidR="005C22EF" w:rsidRDefault="005C22EF" w:rsidP="005C22EF">
            <w:pPr>
              <w:pStyle w:val="TableTextBullet"/>
            </w:pPr>
            <w:r>
              <w:t>If Export is selected, exports the report to the designated file.</w:t>
            </w:r>
          </w:p>
          <w:p w14:paraId="3B85ECB9" w14:textId="5484C71F" w:rsidR="008C5564" w:rsidRDefault="005C22EF" w:rsidP="005C22EF">
            <w:pPr>
              <w:pStyle w:val="TableTextBullet"/>
            </w:pPr>
            <w:r>
              <w:t>If Close is selected, exits the report preview.</w:t>
            </w:r>
          </w:p>
        </w:tc>
      </w:tr>
    </w:tbl>
    <w:p w14:paraId="53AF04FA" w14:textId="77777777" w:rsidR="002A21AE" w:rsidRDefault="00F55832">
      <w:pPr>
        <w:pStyle w:val="Heading2"/>
      </w:pPr>
      <w:r>
        <w:br w:type="page"/>
      </w:r>
      <w:bookmarkStart w:id="540" w:name="_Toc163644976"/>
      <w:r w:rsidR="002A21AE">
        <w:lastRenderedPageBreak/>
        <w:t>Exception Report</w:t>
      </w:r>
      <w:bookmarkEnd w:id="540"/>
      <w:r w:rsidR="002A21AE">
        <w:fldChar w:fldCharType="begin"/>
      </w:r>
      <w:r w:rsidR="002A21AE">
        <w:instrText xml:space="preserve"> XE </w:instrText>
      </w:r>
      <w:r w:rsidR="00FA7E65">
        <w:instrText>“</w:instrText>
      </w:r>
      <w:r w:rsidR="002A21AE">
        <w:instrText>Exception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UC_82</w:t>
      </w:r>
      <w:r w:rsidR="002A21AE">
        <w:rPr>
          <w:rStyle w:val="CommentReference"/>
          <w:b w:val="0"/>
          <w:vanish/>
        </w:rPr>
        <w:t xml:space="preserve"> </w:t>
      </w:r>
    </w:p>
    <w:p w14:paraId="7C5EC255" w14:textId="77777777" w:rsidR="002A21AE" w:rsidRDefault="002A21AE" w:rsidP="00FA7E65">
      <w:pPr>
        <w:pStyle w:val="BodyText"/>
      </w:pPr>
      <w:r>
        <w:t xml:space="preserve">The user views </w:t>
      </w:r>
      <w:r w:rsidR="00EB1E5A">
        <w:t xml:space="preserve">and/or </w:t>
      </w:r>
      <w:r>
        <w:t xml:space="preserve">prints an Exception Report. </w:t>
      </w:r>
    </w:p>
    <w:p w14:paraId="5A523D13" w14:textId="77777777" w:rsidR="002A21AE" w:rsidRDefault="002A21AE">
      <w:pPr>
        <w:pStyle w:val="Heading4"/>
      </w:pPr>
      <w:r>
        <w:t>Assumptions</w:t>
      </w:r>
      <w:r>
        <w:rPr>
          <w:b w:val="0"/>
        </w:rPr>
        <w:t xml:space="preserve"> </w:t>
      </w:r>
    </w:p>
    <w:p w14:paraId="1FFDE808" w14:textId="77777777" w:rsidR="002A21AE" w:rsidRDefault="002A21AE">
      <w:pPr>
        <w:pStyle w:val="ListBullet"/>
      </w:pPr>
      <w:r>
        <w:t>Data are available for inclusion in the report.</w:t>
      </w:r>
    </w:p>
    <w:p w14:paraId="6ABB447C" w14:textId="77777777" w:rsidR="002A21AE" w:rsidRDefault="002A21AE">
      <w:pPr>
        <w:pStyle w:val="ListBullet"/>
      </w:pPr>
      <w:r>
        <w:t>The user must be logged into the division in which the report is to be generated.</w:t>
      </w:r>
    </w:p>
    <w:p w14:paraId="2D3F3120" w14:textId="77777777" w:rsidR="002A21AE" w:rsidRDefault="002A21AE">
      <w:pPr>
        <w:pStyle w:val="Heading4"/>
      </w:pPr>
      <w:r>
        <w:t xml:space="preserve">Outcome </w:t>
      </w:r>
    </w:p>
    <w:p w14:paraId="6C4C5790" w14:textId="77777777" w:rsidR="002A21AE" w:rsidRDefault="00AE521B">
      <w:pPr>
        <w:pStyle w:val="ListBullet"/>
      </w:pPr>
      <w:r>
        <w:t>The user views and/or prints the report</w:t>
      </w:r>
      <w:r w:rsidR="002A21AE">
        <w:t>.</w:t>
      </w:r>
    </w:p>
    <w:p w14:paraId="47C81F55" w14:textId="77777777" w:rsidR="002A21AE" w:rsidRDefault="002A21AE">
      <w:pPr>
        <w:pStyle w:val="Heading4"/>
        <w:rPr>
          <w:b w:val="0"/>
        </w:rPr>
      </w:pPr>
      <w:r>
        <w:t>Limitations and Restrictions</w:t>
      </w:r>
      <w:r>
        <w:rPr>
          <w:b w:val="0"/>
        </w:rPr>
        <w:t xml:space="preserve"> </w:t>
      </w:r>
    </w:p>
    <w:p w14:paraId="6366C8A2" w14:textId="77777777" w:rsidR="002A21AE" w:rsidRDefault="00ED5339">
      <w:pPr>
        <w:pStyle w:val="ListBullet"/>
      </w:pPr>
      <w:r>
        <w:t xml:space="preserve">VBECS does not accommodate online review </w:t>
      </w:r>
      <w:r w:rsidR="006C1277">
        <w:t xml:space="preserve">(verification, signature) </w:t>
      </w:r>
      <w:r>
        <w:t>of reports.</w:t>
      </w:r>
    </w:p>
    <w:p w14:paraId="792BD700" w14:textId="052CE1F2" w:rsidR="00C30F9C" w:rsidRDefault="00C30F9C">
      <w:pPr>
        <w:pStyle w:val="ListBullet"/>
      </w:pPr>
      <w:r>
        <w:t xml:space="preserve">Only the first twenty patient antigens will print on the report when an exception is generated for a unit issued with unsatisfied antigen negative requirements. </w:t>
      </w:r>
      <w:r w:rsidRPr="00C30F9C">
        <w:rPr>
          <w:vanish/>
        </w:rPr>
        <w:t>DR 4820</w:t>
      </w:r>
    </w:p>
    <w:p w14:paraId="25E4B943" w14:textId="1BC0AB7E" w:rsidR="007A0743" w:rsidRDefault="007A0743">
      <w:pPr>
        <w:pStyle w:val="ListBullet"/>
      </w:pPr>
      <w:r>
        <w:t>In some areas of the report, the user ID is displayed instead of the user name.</w:t>
      </w:r>
      <w:r w:rsidR="00703803">
        <w:t xml:space="preserve"> </w:t>
      </w:r>
      <w:r w:rsidR="00703803" w:rsidRPr="00703803">
        <w:rPr>
          <w:vanish/>
        </w:rPr>
        <w:t>Defect 209133</w:t>
      </w:r>
    </w:p>
    <w:p w14:paraId="497FD1D8" w14:textId="0BFC8F91" w:rsidR="00725EA9" w:rsidRDefault="00746F32">
      <w:pPr>
        <w:pStyle w:val="ListBullet"/>
      </w:pPr>
      <w:r>
        <w:t>The Exception Date displayed</w:t>
      </w:r>
      <w:r w:rsidR="002C5A43">
        <w:t xml:space="preserve"> is not consistently recorded to data records. It will either be the time the user entered the exception comment or the time the user saved the data record.</w:t>
      </w:r>
      <w:r w:rsidR="00BA05F4">
        <w:t xml:space="preserve"> </w:t>
      </w:r>
      <w:r w:rsidR="00BA05F4" w:rsidRPr="00BA05F4">
        <w:rPr>
          <w:vanish/>
        </w:rPr>
        <w:t>Defect 208987</w:t>
      </w:r>
    </w:p>
    <w:p w14:paraId="21E40746" w14:textId="77777777" w:rsidR="002A21AE" w:rsidRDefault="002A21AE">
      <w:pPr>
        <w:pStyle w:val="Heading4"/>
      </w:pPr>
      <w:r>
        <w:t xml:space="preserve">Additional Information </w:t>
      </w:r>
    </w:p>
    <w:p w14:paraId="43F7CE0A" w14:textId="77777777" w:rsidR="002A21AE" w:rsidRDefault="00DF389C">
      <w:pPr>
        <w:pStyle w:val="ListBullet"/>
      </w:pPr>
      <w:r>
        <w:t>A supervisor may use a</w:t>
      </w:r>
      <w:r w:rsidRPr="00DF389C">
        <w:t xml:space="preserve"> printed report</w:t>
      </w:r>
      <w:r>
        <w:t xml:space="preserve"> to document</w:t>
      </w:r>
      <w:r w:rsidRPr="00DF389C">
        <w:t xml:space="preserve"> the </w:t>
      </w:r>
      <w:r>
        <w:t>review</w:t>
      </w:r>
      <w:r w:rsidR="002A21AE">
        <w:t xml:space="preserve">. </w:t>
      </w:r>
    </w:p>
    <w:p w14:paraId="14A825A9" w14:textId="77777777" w:rsidR="002A21AE" w:rsidRDefault="002A21AE">
      <w:pPr>
        <w:pStyle w:val="ListBullet"/>
      </w:pPr>
      <w:r>
        <w:t>Exception Report entries reflect the actual date and time an exception occurred.</w:t>
      </w:r>
    </w:p>
    <w:p w14:paraId="11B97793" w14:textId="75EB21F6" w:rsidR="005E27C3" w:rsidRDefault="005E27C3">
      <w:pPr>
        <w:pStyle w:val="ListBullet"/>
      </w:pPr>
      <w:r>
        <w:t xml:space="preserve">Exception report entries associated with testing do not include additional information about method, manual or automated instrument. See the </w:t>
      </w:r>
      <w:r w:rsidRPr="00915EFD">
        <w:rPr>
          <w:i/>
        </w:rPr>
        <w:t xml:space="preserve">Testing Worklist </w:t>
      </w:r>
      <w:r w:rsidR="0024416B" w:rsidRPr="00915EFD">
        <w:rPr>
          <w:i/>
        </w:rPr>
        <w:t>Report,</w:t>
      </w:r>
      <w:r w:rsidRPr="00915EFD">
        <w:rPr>
          <w:i/>
        </w:rPr>
        <w:t xml:space="preserve"> Patient History Report or Unit History Report</w:t>
      </w:r>
      <w:r>
        <w:t xml:space="preserve"> for test method information. </w:t>
      </w:r>
      <w:r w:rsidRPr="005E27C3">
        <w:rPr>
          <w:vanish/>
        </w:rPr>
        <w:t>UC_82</w:t>
      </w:r>
    </w:p>
    <w:p w14:paraId="45CE8F89" w14:textId="156FDD13" w:rsidR="00EE28CF" w:rsidRDefault="00EE28CF" w:rsidP="00EE28CF">
      <w:pPr>
        <w:pStyle w:val="ListBullet"/>
      </w:pPr>
      <w:r>
        <w:t xml:space="preserve">In the Emergency Issue section of the report, </w:t>
      </w:r>
      <w:r w:rsidRPr="00EE28CF">
        <w:t>VBECS displays ISBT unit ID and product short name, but not the product code. See the Unit History report for the missing data saved in other options.</w:t>
      </w:r>
      <w:r w:rsidR="0024416B">
        <w:t xml:space="preserve"> </w:t>
      </w:r>
      <w:r w:rsidR="00CF31B7">
        <w:rPr>
          <w:vanish/>
        </w:rPr>
        <w:t>Bug 70863</w:t>
      </w:r>
    </w:p>
    <w:p w14:paraId="132CF834" w14:textId="77777777" w:rsidR="0087596E" w:rsidRDefault="00497307">
      <w:pPr>
        <w:pStyle w:val="ListBullet"/>
      </w:pPr>
      <w:r>
        <w:t>Issue Blood Component exceptions that include the Testing Status field displays numeric values 0, 1,</w:t>
      </w:r>
      <w:r w:rsidR="00494357">
        <w:t xml:space="preserve"> 2 or 3. Those numbers represent</w:t>
      </w:r>
      <w:r>
        <w:t xml:space="preserve"> the unit’s disease marker testing</w:t>
      </w:r>
      <w:r w:rsidR="00494357">
        <w:t>.</w:t>
      </w:r>
    </w:p>
    <w:p w14:paraId="3F3AA667" w14:textId="77777777" w:rsidR="0087596E" w:rsidRDefault="0087596E" w:rsidP="002F6D7B">
      <w:pPr>
        <w:pStyle w:val="ListBullet"/>
        <w:numPr>
          <w:ilvl w:val="1"/>
          <w:numId w:val="15"/>
        </w:numPr>
      </w:pPr>
      <w:r>
        <w:t xml:space="preserve">(0) – </w:t>
      </w:r>
      <w:r w:rsidR="000876E5">
        <w:t>N/A</w:t>
      </w:r>
      <w:r>
        <w:t xml:space="preserve"> </w:t>
      </w:r>
      <w:r w:rsidR="00497307">
        <w:t>for non-autologous units</w:t>
      </w:r>
      <w:r w:rsidR="00756D8E">
        <w:t>,</w:t>
      </w:r>
    </w:p>
    <w:p w14:paraId="480E8A25" w14:textId="77777777" w:rsidR="0087596E" w:rsidRDefault="0087596E" w:rsidP="002F6D7B">
      <w:pPr>
        <w:pStyle w:val="ListBullet"/>
        <w:numPr>
          <w:ilvl w:val="1"/>
          <w:numId w:val="15"/>
        </w:numPr>
      </w:pPr>
      <w:r>
        <w:t xml:space="preserve">(1) – </w:t>
      </w:r>
      <w:r w:rsidR="00497307">
        <w:t>NEG – Unit fully tested and negat</w:t>
      </w:r>
      <w:r>
        <w:t>ive for all disease markers</w:t>
      </w:r>
      <w:r w:rsidR="00756D8E">
        <w:t>,</w:t>
      </w:r>
    </w:p>
    <w:p w14:paraId="70D68747" w14:textId="77777777" w:rsidR="0087596E" w:rsidRDefault="0087596E" w:rsidP="002F6D7B">
      <w:pPr>
        <w:pStyle w:val="ListBullet"/>
        <w:numPr>
          <w:ilvl w:val="1"/>
          <w:numId w:val="15"/>
        </w:numPr>
      </w:pPr>
      <w:r>
        <w:t xml:space="preserve">(2) – </w:t>
      </w:r>
      <w:r w:rsidR="00497307">
        <w:t>POS – Unit tested and positive for one or more disease markers, Biohazard</w:t>
      </w:r>
      <w:r w:rsidR="00756D8E">
        <w:t>,</w:t>
      </w:r>
    </w:p>
    <w:p w14:paraId="7110A6D3" w14:textId="77777777" w:rsidR="00497307" w:rsidRDefault="0087596E" w:rsidP="002F6D7B">
      <w:pPr>
        <w:pStyle w:val="ListBullet"/>
        <w:numPr>
          <w:ilvl w:val="1"/>
          <w:numId w:val="15"/>
        </w:numPr>
      </w:pPr>
      <w:r>
        <w:t xml:space="preserve">(3) – </w:t>
      </w:r>
      <w:r w:rsidR="00497307">
        <w:t>NFT – Unit not fully tested for one or more disease</w:t>
      </w:r>
      <w:r w:rsidR="00756D8E">
        <w:t xml:space="preserve"> markers, Biohazard.</w:t>
      </w:r>
      <w:r>
        <w:t xml:space="preserve"> </w:t>
      </w:r>
      <w:r w:rsidRPr="00756D8E">
        <w:rPr>
          <w:vanish/>
        </w:rPr>
        <w:t>DR 4883</w:t>
      </w:r>
    </w:p>
    <w:p w14:paraId="26DCEC8F" w14:textId="77777777" w:rsidR="002A21AE" w:rsidRDefault="002A21AE">
      <w:pPr>
        <w:pStyle w:val="Heading4"/>
        <w:rPr>
          <w:b w:val="0"/>
        </w:rPr>
      </w:pPr>
      <w:r>
        <w:t>User Roles with Access to This Option</w:t>
      </w:r>
      <w:r>
        <w:rPr>
          <w:b w:val="0"/>
        </w:rPr>
        <w:t xml:space="preserve"> </w:t>
      </w:r>
    </w:p>
    <w:p w14:paraId="046BDFD4" w14:textId="77777777" w:rsidR="002A21AE" w:rsidRDefault="00606FB0">
      <w:pPr>
        <w:pStyle w:val="Roles"/>
        <w:rPr>
          <w:snapToGrid w:val="0"/>
        </w:rPr>
      </w:pPr>
      <w:r>
        <w:t>All users</w:t>
      </w:r>
    </w:p>
    <w:p w14:paraId="39766C22" w14:textId="77777777" w:rsidR="002A21AE" w:rsidRDefault="002A21AE">
      <w:pPr>
        <w:pStyle w:val="Heading4"/>
      </w:pPr>
      <w:r>
        <w:t>Exception Report</w:t>
      </w:r>
    </w:p>
    <w:p w14:paraId="0F1F1CF6" w14:textId="77777777" w:rsidR="002A21AE" w:rsidRDefault="000054DE" w:rsidP="00FA7E65">
      <w:pPr>
        <w:pStyle w:val="BodyText"/>
      </w:pPr>
      <w:r>
        <w:t xml:space="preserve">The user views </w:t>
      </w:r>
      <w:r w:rsidR="00EB1E5A">
        <w:t xml:space="preserve">and/or </w:t>
      </w:r>
      <w:r>
        <w:t xml:space="preserve">prints an Exception Report. </w:t>
      </w:r>
      <w:r w:rsidR="002A21AE">
        <w:t xml:space="preserve">Exception Reports list details of transactions that involve overrides to warnings and selected transactions of interest to the supervisor (for example, quarantined units).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B25BEB" w14:textId="77777777">
        <w:trPr>
          <w:cantSplit/>
          <w:tblHeader/>
        </w:trPr>
        <w:tc>
          <w:tcPr>
            <w:tcW w:w="3240" w:type="dxa"/>
            <w:shd w:val="pct30" w:color="auto" w:fill="FFFFFF"/>
            <w:vAlign w:val="bottom"/>
          </w:tcPr>
          <w:p w14:paraId="37A6BD38" w14:textId="77777777" w:rsidR="002A21AE" w:rsidRDefault="002A21AE">
            <w:pPr>
              <w:pStyle w:val="TableText"/>
              <w:rPr>
                <w:b/>
              </w:rPr>
            </w:pPr>
            <w:r>
              <w:t>.</w:t>
            </w:r>
            <w:r>
              <w:rPr>
                <w:b/>
              </w:rPr>
              <w:t>User Action</w:t>
            </w:r>
          </w:p>
        </w:tc>
        <w:tc>
          <w:tcPr>
            <w:tcW w:w="6120" w:type="dxa"/>
            <w:shd w:val="pct30" w:color="auto" w:fill="FFFFFF"/>
            <w:vAlign w:val="bottom"/>
          </w:tcPr>
          <w:p w14:paraId="12B5DB7F" w14:textId="77777777" w:rsidR="002A21AE" w:rsidRDefault="002A21AE">
            <w:pPr>
              <w:pStyle w:val="TableText"/>
              <w:rPr>
                <w:b/>
              </w:rPr>
            </w:pPr>
            <w:r>
              <w:rPr>
                <w:b/>
              </w:rPr>
              <w:t>VBECS</w:t>
            </w:r>
          </w:p>
        </w:tc>
      </w:tr>
      <w:tr w:rsidR="002A21AE" w14:paraId="41C89C4E" w14:textId="77777777">
        <w:tc>
          <w:tcPr>
            <w:tcW w:w="3240" w:type="dxa"/>
          </w:tcPr>
          <w:p w14:paraId="067D3CD6" w14:textId="77777777" w:rsidR="002A21AE" w:rsidRDefault="002A21AE" w:rsidP="00925CAD">
            <w:pPr>
              <w:pStyle w:val="TableTextNumbers"/>
              <w:numPr>
                <w:ilvl w:val="0"/>
                <w:numId w:val="73"/>
              </w:numPr>
            </w:pPr>
            <w:r>
              <w:t xml:space="preserve">Select </w:t>
            </w:r>
            <w:r w:rsidRPr="00946DA2">
              <w:rPr>
                <w:b/>
              </w:rPr>
              <w:t>Reports</w:t>
            </w:r>
            <w:r>
              <w:t xml:space="preserve"> from the main menu.</w:t>
            </w:r>
          </w:p>
          <w:p w14:paraId="0D9397E4" w14:textId="77777777" w:rsidR="002A21AE" w:rsidRDefault="002A21AE">
            <w:pPr>
              <w:pStyle w:val="TableTextNumbersContinued"/>
            </w:pPr>
          </w:p>
          <w:p w14:paraId="7236B781" w14:textId="77777777" w:rsidR="002A21AE" w:rsidRDefault="002A21AE">
            <w:pPr>
              <w:pStyle w:val="TableTextNumbersContinued"/>
            </w:pPr>
            <w:r>
              <w:t xml:space="preserve">Select </w:t>
            </w:r>
            <w:r>
              <w:rPr>
                <w:b/>
              </w:rPr>
              <w:t>Exception Report</w:t>
            </w:r>
            <w:r>
              <w:t>.</w:t>
            </w:r>
          </w:p>
        </w:tc>
        <w:tc>
          <w:tcPr>
            <w:tcW w:w="6120" w:type="dxa"/>
          </w:tcPr>
          <w:p w14:paraId="382ABA1D" w14:textId="77777777" w:rsidR="002A21AE" w:rsidRDefault="002A21AE">
            <w:pPr>
              <w:pStyle w:val="TableTextBullet"/>
            </w:pPr>
            <w:r>
              <w:t>Lists report names.</w:t>
            </w:r>
          </w:p>
          <w:p w14:paraId="5A32B3E4" w14:textId="77777777" w:rsidR="002A21AE" w:rsidRDefault="002A21AE">
            <w:pPr>
              <w:pStyle w:val="TableTextBullet"/>
            </w:pPr>
            <w:r>
              <w:t xml:space="preserve">Displays report compilation criteria. </w:t>
            </w:r>
          </w:p>
          <w:p w14:paraId="662C04FF" w14:textId="77777777" w:rsidR="002A21AE" w:rsidRDefault="002A21AE">
            <w:pPr>
              <w:pStyle w:val="TableTextBullet"/>
            </w:pPr>
            <w:r>
              <w:t>Displays a date range for selection.</w:t>
            </w:r>
          </w:p>
        </w:tc>
      </w:tr>
      <w:tr w:rsidR="002A21AE" w14:paraId="7333C946" w14:textId="77777777">
        <w:tc>
          <w:tcPr>
            <w:tcW w:w="3240" w:type="dxa"/>
          </w:tcPr>
          <w:p w14:paraId="482124DE" w14:textId="77777777" w:rsidR="002A21AE" w:rsidRDefault="002A21AE">
            <w:pPr>
              <w:pStyle w:val="TableTextNumbers"/>
            </w:pPr>
            <w:r>
              <w:lastRenderedPageBreak/>
              <w:t>Enter or select start and end dates.</w:t>
            </w:r>
          </w:p>
        </w:tc>
        <w:tc>
          <w:tcPr>
            <w:tcW w:w="6120" w:type="dxa"/>
          </w:tcPr>
          <w:p w14:paraId="3A902BE5" w14:textId="77777777" w:rsidR="002A21AE" w:rsidRDefault="002A21AE">
            <w:pPr>
              <w:pStyle w:val="TableText"/>
            </w:pPr>
          </w:p>
          <w:p w14:paraId="47F0C276" w14:textId="1267A26B" w:rsidR="002A21AE" w:rsidRDefault="002A21AE">
            <w:pPr>
              <w:pStyle w:val="TableText"/>
              <w:rPr>
                <w:b/>
                <w:bCs/>
                <w:szCs w:val="18"/>
              </w:rPr>
            </w:pPr>
            <w:r>
              <w:rPr>
                <w:b/>
                <w:bCs/>
                <w:szCs w:val="18"/>
              </w:rPr>
              <w:t>NOTES</w:t>
            </w:r>
          </w:p>
          <w:p w14:paraId="7A6113A3" w14:textId="77777777" w:rsidR="002A21AE" w:rsidRDefault="002A21AE">
            <w:pPr>
              <w:pStyle w:val="NotesText"/>
            </w:pPr>
          </w:p>
          <w:p w14:paraId="793B4E32" w14:textId="77777777" w:rsidR="002A21AE" w:rsidRDefault="002A21AE">
            <w:pPr>
              <w:pStyle w:val="NotesText"/>
            </w:pPr>
            <w:r>
              <w:rPr>
                <w:rFonts w:cs="Arial"/>
                <w:vanish/>
              </w:rPr>
              <w:t xml:space="preserve">BR_82.01 </w:t>
            </w:r>
            <w:r>
              <w:t>The report is sorted by exception type. Exception types are in chronological order.</w:t>
            </w:r>
          </w:p>
        </w:tc>
      </w:tr>
      <w:tr w:rsidR="002A21AE" w14:paraId="78FF1172" w14:textId="77777777">
        <w:tc>
          <w:tcPr>
            <w:tcW w:w="3240" w:type="dxa"/>
          </w:tcPr>
          <w:p w14:paraId="24BD7F0A"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4BF58CF" w14:textId="77777777" w:rsidR="002A21AE" w:rsidRDefault="002A21AE">
            <w:pPr>
              <w:pStyle w:val="TableTextNumbersContinued"/>
            </w:pPr>
          </w:p>
          <w:p w14:paraId="0BBEBD3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F6CB8EC" w14:textId="77777777" w:rsidR="005B6A94" w:rsidRDefault="00F64B5C" w:rsidP="00AA2B2E">
            <w:pPr>
              <w:pStyle w:val="TableTextBullet"/>
            </w:pPr>
            <w:r>
              <w:t>Compiles and displays the report.</w:t>
            </w:r>
          </w:p>
        </w:tc>
      </w:tr>
      <w:tr w:rsidR="002A21AE" w14:paraId="1FB27CB3" w14:textId="77777777" w:rsidTr="000518ED">
        <w:trPr>
          <w:trHeight w:val="467"/>
        </w:trPr>
        <w:tc>
          <w:tcPr>
            <w:tcW w:w="3240" w:type="dxa"/>
          </w:tcPr>
          <w:p w14:paraId="6C4D28D7" w14:textId="79321CA9"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04D7D1E6" w14:textId="77777777" w:rsidR="005C22EF" w:rsidRDefault="005C22EF" w:rsidP="005C22EF">
            <w:pPr>
              <w:pStyle w:val="TableTextBullet"/>
            </w:pPr>
            <w:r>
              <w:t>If Print is selected, prints the report on the designated printer.</w:t>
            </w:r>
          </w:p>
          <w:p w14:paraId="669C0BAA" w14:textId="77777777" w:rsidR="005C22EF" w:rsidRDefault="005C22EF" w:rsidP="005C22EF">
            <w:pPr>
              <w:pStyle w:val="TableTextBullet"/>
            </w:pPr>
            <w:r>
              <w:t>If Export is selected, exports the report to the designated file.</w:t>
            </w:r>
          </w:p>
          <w:p w14:paraId="5868424C" w14:textId="77777777" w:rsidR="005C22EF" w:rsidRDefault="005C22EF" w:rsidP="005C22EF">
            <w:pPr>
              <w:pStyle w:val="TableTextBullet"/>
            </w:pPr>
            <w:r>
              <w:t>If Close is selected, exits the report preview.</w:t>
            </w:r>
          </w:p>
          <w:p w14:paraId="03F3167D" w14:textId="1E0435C5" w:rsidR="002A21AE" w:rsidRDefault="002A21AE" w:rsidP="005C22EF">
            <w:pPr>
              <w:pStyle w:val="TableTextBullet"/>
            </w:pPr>
            <w:r>
              <w:t xml:space="preserve">See </w:t>
            </w:r>
            <w:r w:rsidR="00EE455E">
              <w:t xml:space="preserve">Appendix </w:t>
            </w:r>
            <w:r w:rsidR="00EE455E">
              <w:rPr>
                <w:noProof/>
              </w:rPr>
              <w:t>B</w:t>
            </w:r>
            <w:r>
              <w:t xml:space="preserve">: </w:t>
            </w:r>
            <w:r w:rsidR="00EE455E">
              <w:t xml:space="preserve">Table </w:t>
            </w:r>
            <w:r w:rsidR="00EE455E">
              <w:rPr>
                <w:noProof/>
              </w:rPr>
              <w:t>21</w:t>
            </w:r>
            <w:r w:rsidR="00EE455E">
              <w:t xml:space="preserve">: </w:t>
            </w:r>
            <w:r w:rsidR="00EE455E">
              <w:rPr>
                <w:vanish/>
              </w:rPr>
              <w:t xml:space="preserve">TT_82.01 </w:t>
            </w:r>
            <w:r w:rsidR="00EE455E">
              <w:t>Details in Exception Report</w:t>
            </w:r>
            <w:r>
              <w:t>.</w:t>
            </w:r>
          </w:p>
        </w:tc>
      </w:tr>
    </w:tbl>
    <w:p w14:paraId="03B5E90A" w14:textId="77777777" w:rsidR="00C400F4" w:rsidRPr="00C400F4" w:rsidRDefault="000518ED" w:rsidP="000518ED">
      <w:pPr>
        <w:pStyle w:val="Heading2"/>
      </w:pPr>
      <w:r>
        <w:br w:type="page"/>
      </w:r>
      <w:bookmarkStart w:id="541" w:name="_Toc163644977"/>
      <w:r w:rsidR="00C400F4">
        <w:lastRenderedPageBreak/>
        <w:t xml:space="preserve">Finalize/Print TRW </w:t>
      </w:r>
      <w:r w:rsidR="00C400F4" w:rsidRPr="00C400F4">
        <w:rPr>
          <w:rFonts w:ascii="Arial Bold" w:hAnsi="Arial Bold"/>
          <w:vanish/>
        </w:rPr>
        <w:t>UC_96</w:t>
      </w:r>
      <w:r w:rsidR="00C400F4">
        <w:rPr>
          <w:rFonts w:ascii="Arial Bold" w:hAnsi="Arial Bold"/>
          <w:vanish/>
        </w:rPr>
        <w:t xml:space="preserve"> </w:t>
      </w:r>
      <w:r w:rsidR="00BA595C">
        <w:t>(S</w:t>
      </w:r>
      <w:r w:rsidR="00C400F4">
        <w:t>ee Patient Services</w:t>
      </w:r>
      <w:r w:rsidR="00BC05B4">
        <w:t>, Finalize/Print TRW</w:t>
      </w:r>
      <w:r w:rsidR="00C400F4">
        <w:t>)</w:t>
      </w:r>
      <w:bookmarkEnd w:id="541"/>
    </w:p>
    <w:p w14:paraId="74B9CED1" w14:textId="77777777" w:rsidR="002A21AE" w:rsidRDefault="002A21AE">
      <w:pPr>
        <w:pStyle w:val="Heading2"/>
      </w:pPr>
      <w:bookmarkStart w:id="542" w:name="_Toc163644978"/>
      <w:r>
        <w:t>Inappropriate Transfusion Request Report</w:t>
      </w:r>
      <w:bookmarkEnd w:id="542"/>
      <w:r>
        <w:fldChar w:fldCharType="begin"/>
      </w:r>
      <w:r>
        <w:instrText xml:space="preserve"> XE </w:instrText>
      </w:r>
      <w:r w:rsidR="00FA7E65">
        <w:instrText>“</w:instrText>
      </w:r>
      <w:r>
        <w:instrText>Inappropriate Transfusion Request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UC_96</w:t>
      </w:r>
    </w:p>
    <w:p w14:paraId="17400BE2" w14:textId="77777777" w:rsidR="002A21AE" w:rsidRDefault="002A21AE" w:rsidP="00FA7E65">
      <w:pPr>
        <w:pStyle w:val="BodyText"/>
      </w:pPr>
      <w:r>
        <w:t xml:space="preserve">The user views </w:t>
      </w:r>
      <w:r w:rsidR="00EB1E5A">
        <w:t xml:space="preserve">and/or </w:t>
      </w:r>
      <w:r>
        <w:t>prints the Inappropriate Transfusion Request Report.</w:t>
      </w:r>
    </w:p>
    <w:p w14:paraId="0F149C92" w14:textId="77777777" w:rsidR="002A21AE" w:rsidRDefault="002A21AE">
      <w:pPr>
        <w:pStyle w:val="Heading4"/>
      </w:pPr>
      <w:r>
        <w:t>Assumptions</w:t>
      </w:r>
      <w:r>
        <w:rPr>
          <w:b w:val="0"/>
        </w:rPr>
        <w:t xml:space="preserve"> </w:t>
      </w:r>
    </w:p>
    <w:p w14:paraId="24C73ABF" w14:textId="77777777" w:rsidR="002A21AE" w:rsidRDefault="002A21AE">
      <w:pPr>
        <w:pStyle w:val="ListBullet"/>
      </w:pPr>
      <w:r>
        <w:t xml:space="preserve">The order is flagged as an inappropriate transfusion request during Accepting an Order. </w:t>
      </w:r>
    </w:p>
    <w:p w14:paraId="0A258396" w14:textId="77777777" w:rsidR="002A21AE" w:rsidRDefault="002A21AE">
      <w:pPr>
        <w:pStyle w:val="ListBullet"/>
      </w:pPr>
      <w:r>
        <w:t>Setting Component Requirements was processed and there are inappropriate test indicators associated with the component classes in the login division.</w:t>
      </w:r>
    </w:p>
    <w:p w14:paraId="5C35CEEF" w14:textId="77777777" w:rsidR="002A21AE" w:rsidRDefault="002A21AE">
      <w:pPr>
        <w:pStyle w:val="ListBullet"/>
      </w:pPr>
      <w:r>
        <w:t>Data for the report were saved in VBECS.</w:t>
      </w:r>
    </w:p>
    <w:p w14:paraId="17507E91" w14:textId="77777777" w:rsidR="002A21AE" w:rsidRDefault="002A21AE">
      <w:pPr>
        <w:pStyle w:val="Heading4"/>
      </w:pPr>
      <w:r>
        <w:t xml:space="preserve">Outcome </w:t>
      </w:r>
    </w:p>
    <w:p w14:paraId="06144F0E" w14:textId="77777777" w:rsidR="002A21AE" w:rsidRDefault="002A21AE">
      <w:pPr>
        <w:pStyle w:val="ListBullet"/>
      </w:pPr>
      <w:r>
        <w:t>The user view or prints the report.</w:t>
      </w:r>
    </w:p>
    <w:p w14:paraId="54297F69" w14:textId="77777777" w:rsidR="002A21AE" w:rsidRDefault="002A21AE">
      <w:pPr>
        <w:pStyle w:val="Heading4"/>
        <w:rPr>
          <w:b w:val="0"/>
        </w:rPr>
      </w:pPr>
      <w:r>
        <w:t>Limitations and Restrictions</w:t>
      </w:r>
      <w:r>
        <w:rPr>
          <w:b w:val="0"/>
        </w:rPr>
        <w:t xml:space="preserve"> </w:t>
      </w:r>
    </w:p>
    <w:p w14:paraId="5709C93E" w14:textId="77777777" w:rsidR="002A21AE" w:rsidRDefault="002A21AE">
      <w:pPr>
        <w:pStyle w:val="ListBullet"/>
      </w:pPr>
      <w:r>
        <w:t>None</w:t>
      </w:r>
    </w:p>
    <w:p w14:paraId="2D7A3128" w14:textId="77777777" w:rsidR="002A21AE" w:rsidRDefault="002A21AE">
      <w:pPr>
        <w:pStyle w:val="Heading4"/>
      </w:pPr>
      <w:r>
        <w:t xml:space="preserve">Additional Information </w:t>
      </w:r>
    </w:p>
    <w:p w14:paraId="43BC9902" w14:textId="77777777" w:rsidR="002A21AE" w:rsidRDefault="002A21AE">
      <w:pPr>
        <w:pStyle w:val="ListBullet"/>
      </w:pPr>
      <w:r>
        <w:t>None</w:t>
      </w:r>
    </w:p>
    <w:p w14:paraId="3546B486" w14:textId="77777777" w:rsidR="002A21AE" w:rsidRDefault="002A21AE">
      <w:pPr>
        <w:pStyle w:val="Heading4"/>
        <w:rPr>
          <w:b w:val="0"/>
        </w:rPr>
      </w:pPr>
      <w:r>
        <w:t>User Roles with Access to This Option</w:t>
      </w:r>
      <w:r>
        <w:rPr>
          <w:b w:val="0"/>
        </w:rPr>
        <w:t xml:space="preserve"> </w:t>
      </w:r>
    </w:p>
    <w:p w14:paraId="74884780" w14:textId="77777777" w:rsidR="002A21AE" w:rsidRDefault="00184EA4">
      <w:pPr>
        <w:pStyle w:val="Roles"/>
      </w:pPr>
      <w:r>
        <w:t>All users</w:t>
      </w:r>
    </w:p>
    <w:p w14:paraId="2B2BFD00" w14:textId="77777777" w:rsidR="002A21AE" w:rsidRDefault="002A21AE">
      <w:pPr>
        <w:pStyle w:val="Heading4"/>
      </w:pPr>
      <w:r>
        <w:t xml:space="preserve">Inappropriate Transfusion Request Report </w:t>
      </w:r>
    </w:p>
    <w:p w14:paraId="5195BA72" w14:textId="77777777" w:rsidR="002A21AE" w:rsidRDefault="002A21AE" w:rsidP="00FA7E65">
      <w:pPr>
        <w:pStyle w:val="BodyText"/>
      </w:pPr>
      <w:r>
        <w:t xml:space="preserve">The user views </w:t>
      </w:r>
      <w:r w:rsidR="00EB1E5A">
        <w:t xml:space="preserve">and/or </w:t>
      </w:r>
      <w:r>
        <w:t>prints the Inappropriate Transfusion Request Report</w:t>
      </w:r>
      <w:r w:rsidR="000054DE">
        <w:t>,</w:t>
      </w:r>
      <w:r w:rsidR="000054DE" w:rsidRPr="000054DE">
        <w:t xml:space="preserve"> </w:t>
      </w:r>
      <w:r w:rsidR="000054DE">
        <w:t>which includes inappropriate transfusion orders determined by the division’s configuration of each component class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823EB2B" w14:textId="77777777">
        <w:trPr>
          <w:cantSplit/>
          <w:tblHeader/>
        </w:trPr>
        <w:tc>
          <w:tcPr>
            <w:tcW w:w="3240" w:type="dxa"/>
            <w:shd w:val="pct30" w:color="auto" w:fill="FFFFFF"/>
            <w:vAlign w:val="bottom"/>
          </w:tcPr>
          <w:p w14:paraId="781E9242" w14:textId="77777777" w:rsidR="002A21AE" w:rsidRDefault="002A21AE">
            <w:pPr>
              <w:pStyle w:val="TableText"/>
              <w:rPr>
                <w:b/>
              </w:rPr>
            </w:pPr>
            <w:bookmarkStart w:id="543" w:name="_Toc43285442"/>
            <w:bookmarkStart w:id="544" w:name="_Toc71363876"/>
            <w:bookmarkStart w:id="545" w:name="_Toc74366719"/>
            <w:r>
              <w:rPr>
                <w:b/>
              </w:rPr>
              <w:t>User Action</w:t>
            </w:r>
          </w:p>
        </w:tc>
        <w:tc>
          <w:tcPr>
            <w:tcW w:w="6120" w:type="dxa"/>
            <w:shd w:val="pct30" w:color="auto" w:fill="FFFFFF"/>
            <w:vAlign w:val="bottom"/>
          </w:tcPr>
          <w:p w14:paraId="47DDEEEE" w14:textId="77777777" w:rsidR="002A21AE" w:rsidRDefault="002A21AE">
            <w:pPr>
              <w:pStyle w:val="TableText"/>
              <w:rPr>
                <w:b/>
              </w:rPr>
            </w:pPr>
            <w:r>
              <w:rPr>
                <w:b/>
              </w:rPr>
              <w:t>VBECS</w:t>
            </w:r>
          </w:p>
        </w:tc>
      </w:tr>
      <w:tr w:rsidR="002A21AE" w14:paraId="00430656" w14:textId="77777777">
        <w:tc>
          <w:tcPr>
            <w:tcW w:w="3240" w:type="dxa"/>
          </w:tcPr>
          <w:p w14:paraId="050187C6" w14:textId="77777777" w:rsidR="002A21AE" w:rsidRDefault="002A21AE">
            <w:pPr>
              <w:pStyle w:val="TableTextNumbers"/>
            </w:pPr>
            <w:r>
              <w:t xml:space="preserve">Select </w:t>
            </w:r>
            <w:r>
              <w:rPr>
                <w:b/>
              </w:rPr>
              <w:t>Reports</w:t>
            </w:r>
            <w:r>
              <w:t xml:space="preserve"> from the main menu.</w:t>
            </w:r>
          </w:p>
          <w:p w14:paraId="26C25E6B" w14:textId="77777777" w:rsidR="002A21AE" w:rsidRDefault="002A21AE">
            <w:pPr>
              <w:pStyle w:val="TableTextNumbersContinued"/>
            </w:pPr>
          </w:p>
          <w:p w14:paraId="09ACFE26" w14:textId="77777777" w:rsidR="002A21AE" w:rsidRDefault="002A21AE">
            <w:pPr>
              <w:pStyle w:val="TableTextNumbersContinued"/>
            </w:pPr>
            <w:r>
              <w:t xml:space="preserve">Select </w:t>
            </w:r>
            <w:r>
              <w:rPr>
                <w:b/>
              </w:rPr>
              <w:t>Inappropriate Transfusion Request Report</w:t>
            </w:r>
            <w:r>
              <w:t>.</w:t>
            </w:r>
          </w:p>
        </w:tc>
        <w:tc>
          <w:tcPr>
            <w:tcW w:w="6120" w:type="dxa"/>
          </w:tcPr>
          <w:p w14:paraId="4C9EB206" w14:textId="77777777" w:rsidR="002A21AE" w:rsidRDefault="002A21AE">
            <w:pPr>
              <w:pStyle w:val="TableTextBullet"/>
            </w:pPr>
            <w:r>
              <w:t>Lists report names.</w:t>
            </w:r>
          </w:p>
          <w:p w14:paraId="7F206F2F" w14:textId="77777777" w:rsidR="002A21AE" w:rsidRDefault="002A21AE">
            <w:pPr>
              <w:pStyle w:val="TableTextBullet"/>
            </w:pPr>
            <w:r>
              <w:t xml:space="preserve">Displays report compilation criteria. </w:t>
            </w:r>
          </w:p>
          <w:p w14:paraId="1A566A91" w14:textId="77777777" w:rsidR="002A21AE" w:rsidRDefault="002A21AE">
            <w:pPr>
              <w:pStyle w:val="TableTextBullet"/>
            </w:pPr>
            <w:r>
              <w:t>Displays a date range for selection.</w:t>
            </w:r>
          </w:p>
        </w:tc>
      </w:tr>
      <w:tr w:rsidR="002A21AE" w14:paraId="321AFBEE" w14:textId="77777777">
        <w:tc>
          <w:tcPr>
            <w:tcW w:w="3240" w:type="dxa"/>
          </w:tcPr>
          <w:p w14:paraId="2656B390" w14:textId="77777777" w:rsidR="002A21AE" w:rsidRDefault="002A21AE">
            <w:pPr>
              <w:pStyle w:val="TableTextNumbers"/>
            </w:pPr>
            <w:r>
              <w:t>Enter or select start and end dates.</w:t>
            </w:r>
          </w:p>
        </w:tc>
        <w:tc>
          <w:tcPr>
            <w:tcW w:w="6120" w:type="dxa"/>
          </w:tcPr>
          <w:p w14:paraId="67335621" w14:textId="77777777" w:rsidR="002A21AE" w:rsidRDefault="002A21AE">
            <w:pPr>
              <w:pStyle w:val="TableTextBullet"/>
            </w:pPr>
            <w:r>
              <w:t xml:space="preserve">Compiles and displays the report. </w:t>
            </w:r>
          </w:p>
          <w:p w14:paraId="377C2EC5" w14:textId="77777777" w:rsidR="002A21AE" w:rsidRDefault="002A21AE" w:rsidP="0006709D">
            <w:pPr>
              <w:pStyle w:val="NotesText"/>
              <w:ind w:left="0"/>
            </w:pPr>
          </w:p>
        </w:tc>
      </w:tr>
      <w:tr w:rsidR="002A21AE" w14:paraId="71064A18" w14:textId="77777777">
        <w:tc>
          <w:tcPr>
            <w:tcW w:w="3240" w:type="dxa"/>
          </w:tcPr>
          <w:p w14:paraId="503FB46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6F980B5" w14:textId="77777777" w:rsidR="002A21AE" w:rsidRDefault="002A21AE">
            <w:pPr>
              <w:pStyle w:val="TableTextNumbersContinued"/>
            </w:pPr>
          </w:p>
          <w:p w14:paraId="1CCB61B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16F9725" w14:textId="77777777" w:rsidR="005B6A94" w:rsidRDefault="00F64B5C" w:rsidP="00AA2B2E">
            <w:pPr>
              <w:pStyle w:val="TableTextBullet"/>
            </w:pPr>
            <w:r>
              <w:t>Compiles and displays the report.</w:t>
            </w:r>
          </w:p>
        </w:tc>
      </w:tr>
      <w:tr w:rsidR="002A21AE" w14:paraId="78ECA770" w14:textId="77777777">
        <w:tc>
          <w:tcPr>
            <w:tcW w:w="3240" w:type="dxa"/>
          </w:tcPr>
          <w:p w14:paraId="19556AE4" w14:textId="64888F46"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53D85857" w14:textId="77777777" w:rsidR="00D45D8C" w:rsidRDefault="00D45D8C" w:rsidP="00D45D8C">
            <w:pPr>
              <w:pStyle w:val="TableTextBullet"/>
            </w:pPr>
            <w:r>
              <w:t>If Print is selected, prints the report on the designated printer.</w:t>
            </w:r>
          </w:p>
          <w:p w14:paraId="2DC1F479" w14:textId="77777777" w:rsidR="00D45D8C" w:rsidRDefault="00D45D8C" w:rsidP="00D45D8C">
            <w:pPr>
              <w:pStyle w:val="TableTextBullet"/>
            </w:pPr>
            <w:r>
              <w:t>If Export is selected, exports the report to the designated file.</w:t>
            </w:r>
          </w:p>
          <w:p w14:paraId="7CF25D27" w14:textId="5702F813" w:rsidR="002A21AE" w:rsidRDefault="00D45D8C" w:rsidP="00D45D8C">
            <w:pPr>
              <w:pStyle w:val="TableTextBullet"/>
            </w:pPr>
            <w:r>
              <w:t>If Close is selected, exits the report preview.</w:t>
            </w:r>
          </w:p>
        </w:tc>
      </w:tr>
      <w:bookmarkEnd w:id="543"/>
      <w:bookmarkEnd w:id="544"/>
      <w:bookmarkEnd w:id="545"/>
    </w:tbl>
    <w:p w14:paraId="1FEAE4AF" w14:textId="77777777" w:rsidR="002A21AE" w:rsidRDefault="002A21AE">
      <w:pPr>
        <w:pStyle w:val="Heading2"/>
      </w:pPr>
      <w:r>
        <w:br w:type="page"/>
      </w:r>
      <w:bookmarkStart w:id="546" w:name="_Toc163644979"/>
      <w:r>
        <w:lastRenderedPageBreak/>
        <w:t>Issued/Returned Unit Report</w:t>
      </w:r>
      <w:bookmarkEnd w:id="546"/>
      <w:r>
        <w:fldChar w:fldCharType="begin"/>
      </w:r>
      <w:r>
        <w:instrText xml:space="preserve"> XE </w:instrText>
      </w:r>
      <w:r w:rsidR="00FA7E65">
        <w:instrText>“</w:instrText>
      </w:r>
      <w:r>
        <w:instrText>Issued/Returned Unit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UC_76</w:t>
      </w:r>
    </w:p>
    <w:p w14:paraId="1153DAC1" w14:textId="77777777" w:rsidR="002A21AE" w:rsidRDefault="002A21AE" w:rsidP="00FA7E65">
      <w:pPr>
        <w:pStyle w:val="BodyText"/>
      </w:pPr>
      <w:r>
        <w:t xml:space="preserve">The user views </w:t>
      </w:r>
      <w:r w:rsidR="00EB1E5A">
        <w:t xml:space="preserve">and/or </w:t>
      </w:r>
      <w:r>
        <w:t xml:space="preserve">prints the Issued/Returned Unit Report. </w:t>
      </w:r>
    </w:p>
    <w:p w14:paraId="58FBD509" w14:textId="77777777" w:rsidR="002A21AE" w:rsidRDefault="002A21AE">
      <w:pPr>
        <w:pStyle w:val="Heading4"/>
      </w:pPr>
      <w:r>
        <w:t>Assumptions</w:t>
      </w:r>
      <w:r>
        <w:rPr>
          <w:b w:val="0"/>
        </w:rPr>
        <w:t xml:space="preserve"> </w:t>
      </w:r>
    </w:p>
    <w:p w14:paraId="50289994" w14:textId="77777777" w:rsidR="002A21AE" w:rsidRDefault="002A21AE">
      <w:pPr>
        <w:pStyle w:val="ListBullet"/>
      </w:pPr>
      <w:r>
        <w:t>Data for the report were saved in the VBECS database.</w:t>
      </w:r>
    </w:p>
    <w:p w14:paraId="40989E67" w14:textId="77777777" w:rsidR="002A21AE" w:rsidRDefault="002A21AE">
      <w:pPr>
        <w:pStyle w:val="Heading4"/>
      </w:pPr>
      <w:r>
        <w:t xml:space="preserve">Outcome </w:t>
      </w:r>
    </w:p>
    <w:p w14:paraId="3A01B4E1" w14:textId="77777777" w:rsidR="002A21AE" w:rsidRDefault="00AE521B">
      <w:pPr>
        <w:pStyle w:val="ListBullet"/>
      </w:pPr>
      <w:r>
        <w:t>The user views and/or prints the report</w:t>
      </w:r>
      <w:r w:rsidR="002A21AE">
        <w:t xml:space="preserve">. </w:t>
      </w:r>
    </w:p>
    <w:p w14:paraId="6E84DEF2" w14:textId="77777777" w:rsidR="002A21AE" w:rsidRDefault="002A21AE">
      <w:pPr>
        <w:pStyle w:val="Heading4"/>
        <w:rPr>
          <w:b w:val="0"/>
        </w:rPr>
      </w:pPr>
      <w:r>
        <w:t>Limitations and Restrictions</w:t>
      </w:r>
      <w:r>
        <w:rPr>
          <w:b w:val="0"/>
        </w:rPr>
        <w:t xml:space="preserve"> </w:t>
      </w:r>
    </w:p>
    <w:p w14:paraId="7A69E77E" w14:textId="77777777" w:rsidR="002A21AE" w:rsidRDefault="002A21AE">
      <w:pPr>
        <w:pStyle w:val="ListBullet"/>
      </w:pPr>
      <w:r>
        <w:t>None</w:t>
      </w:r>
    </w:p>
    <w:p w14:paraId="4BE2B719" w14:textId="77777777" w:rsidR="002A21AE" w:rsidRDefault="002A21AE">
      <w:pPr>
        <w:pStyle w:val="Heading4"/>
      </w:pPr>
      <w:r>
        <w:t xml:space="preserve">Additional Information </w:t>
      </w:r>
    </w:p>
    <w:p w14:paraId="647426F5" w14:textId="130C4BCF" w:rsidR="002A21AE" w:rsidRDefault="002A21AE" w:rsidP="0054648D">
      <w:pPr>
        <w:pStyle w:val="ListBullet"/>
      </w:pPr>
      <w:r>
        <w:t>The report is compiled for one division.</w:t>
      </w:r>
    </w:p>
    <w:p w14:paraId="57077B2A" w14:textId="77777777" w:rsidR="002A21AE" w:rsidRDefault="002A21AE">
      <w:pPr>
        <w:pStyle w:val="Heading4"/>
      </w:pPr>
      <w:r>
        <w:t xml:space="preserve">User Roles with Access to This Option </w:t>
      </w:r>
    </w:p>
    <w:p w14:paraId="550CE541" w14:textId="77777777" w:rsidR="002A21AE" w:rsidRDefault="00184EA4">
      <w:pPr>
        <w:pStyle w:val="Roles"/>
      </w:pPr>
      <w:r>
        <w:t>All users</w:t>
      </w:r>
    </w:p>
    <w:p w14:paraId="6AC3D723" w14:textId="77777777" w:rsidR="002A21AE" w:rsidRDefault="002A21AE">
      <w:pPr>
        <w:pStyle w:val="Heading4"/>
      </w:pPr>
      <w:r>
        <w:t xml:space="preserve">Issued/Returned Unit Report </w:t>
      </w:r>
    </w:p>
    <w:p w14:paraId="76214276" w14:textId="77777777" w:rsidR="002A21AE" w:rsidRDefault="002A21AE" w:rsidP="00FA7E65">
      <w:pPr>
        <w:pStyle w:val="BodyText"/>
      </w:pPr>
      <w:r>
        <w:t xml:space="preserve">The user views </w:t>
      </w:r>
      <w:r w:rsidR="00EB1E5A">
        <w:t xml:space="preserve">and/or </w:t>
      </w:r>
      <w:r>
        <w:t>prints a report of units issued and/or returned to patients within a specified date range for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855"/>
      </w:tblGrid>
      <w:tr w:rsidR="002A21AE" w14:paraId="4B7965AB" w14:textId="77777777" w:rsidTr="00E35FC4">
        <w:trPr>
          <w:cantSplit/>
          <w:tblHeader/>
        </w:trPr>
        <w:tc>
          <w:tcPr>
            <w:tcW w:w="3505" w:type="dxa"/>
            <w:shd w:val="pct30" w:color="auto" w:fill="FFFFFF"/>
            <w:vAlign w:val="bottom"/>
          </w:tcPr>
          <w:p w14:paraId="74FFA685" w14:textId="77777777" w:rsidR="002A21AE" w:rsidRDefault="002A21AE">
            <w:pPr>
              <w:pStyle w:val="TableText"/>
              <w:rPr>
                <w:b/>
              </w:rPr>
            </w:pPr>
            <w:r>
              <w:rPr>
                <w:b/>
              </w:rPr>
              <w:t>User Action</w:t>
            </w:r>
          </w:p>
        </w:tc>
        <w:tc>
          <w:tcPr>
            <w:tcW w:w="5855" w:type="dxa"/>
            <w:shd w:val="pct30" w:color="auto" w:fill="FFFFFF"/>
            <w:vAlign w:val="bottom"/>
          </w:tcPr>
          <w:p w14:paraId="0EA42DB0" w14:textId="77777777" w:rsidR="002A21AE" w:rsidRDefault="002A21AE">
            <w:pPr>
              <w:pStyle w:val="TableText"/>
              <w:rPr>
                <w:b/>
              </w:rPr>
            </w:pPr>
            <w:r>
              <w:rPr>
                <w:b/>
              </w:rPr>
              <w:t>VBECS</w:t>
            </w:r>
          </w:p>
        </w:tc>
      </w:tr>
      <w:tr w:rsidR="002A21AE" w14:paraId="151804A1" w14:textId="77777777" w:rsidTr="00E35FC4">
        <w:tc>
          <w:tcPr>
            <w:tcW w:w="3505" w:type="dxa"/>
            <w:tcBorders>
              <w:top w:val="single" w:sz="4" w:space="0" w:color="auto"/>
              <w:left w:val="single" w:sz="4" w:space="0" w:color="auto"/>
              <w:bottom w:val="single" w:sz="4" w:space="0" w:color="auto"/>
              <w:right w:val="single" w:sz="4" w:space="0" w:color="auto"/>
            </w:tcBorders>
          </w:tcPr>
          <w:p w14:paraId="0B3E3BD3" w14:textId="77777777" w:rsidR="002A21AE" w:rsidRDefault="002A21AE">
            <w:pPr>
              <w:pStyle w:val="TableTextNumbers"/>
            </w:pPr>
            <w:r>
              <w:t xml:space="preserve">Select </w:t>
            </w:r>
            <w:r>
              <w:rPr>
                <w:b/>
              </w:rPr>
              <w:t>Reports</w:t>
            </w:r>
            <w:r>
              <w:t xml:space="preserve"> from the main menu.</w:t>
            </w:r>
          </w:p>
          <w:p w14:paraId="6D89B3F0" w14:textId="77777777" w:rsidR="002A21AE" w:rsidRDefault="002A21AE">
            <w:pPr>
              <w:pStyle w:val="TableTextNumbersContinued"/>
            </w:pPr>
          </w:p>
          <w:p w14:paraId="56C8F76C" w14:textId="77777777" w:rsidR="002A21AE" w:rsidRDefault="002A21AE">
            <w:pPr>
              <w:pStyle w:val="TableTextNumbersContinued"/>
            </w:pPr>
            <w:r>
              <w:t xml:space="preserve">Select </w:t>
            </w:r>
            <w:r>
              <w:rPr>
                <w:b/>
              </w:rPr>
              <w:t>Issued/Returned Report</w:t>
            </w:r>
            <w:r>
              <w:t>.</w:t>
            </w:r>
          </w:p>
        </w:tc>
        <w:tc>
          <w:tcPr>
            <w:tcW w:w="5855" w:type="dxa"/>
            <w:tcBorders>
              <w:top w:val="single" w:sz="4" w:space="0" w:color="auto"/>
              <w:left w:val="single" w:sz="4" w:space="0" w:color="auto"/>
              <w:bottom w:val="single" w:sz="4" w:space="0" w:color="auto"/>
              <w:right w:val="single" w:sz="4" w:space="0" w:color="auto"/>
            </w:tcBorders>
          </w:tcPr>
          <w:p w14:paraId="76C8C02D" w14:textId="77777777" w:rsidR="002A21AE" w:rsidRDefault="002A21AE">
            <w:pPr>
              <w:pStyle w:val="TableTextBullet"/>
            </w:pPr>
            <w:r>
              <w:t>Lists report names.</w:t>
            </w:r>
          </w:p>
          <w:p w14:paraId="0E81654D" w14:textId="77777777" w:rsidR="002A21AE" w:rsidRDefault="002A21AE">
            <w:pPr>
              <w:pStyle w:val="TableTextBullet"/>
            </w:pPr>
            <w:r>
              <w:t>Displays fields for entering a report date range.</w:t>
            </w:r>
          </w:p>
        </w:tc>
      </w:tr>
      <w:tr w:rsidR="002A21AE" w14:paraId="2EF477DE" w14:textId="77777777" w:rsidTr="00E35FC4">
        <w:tc>
          <w:tcPr>
            <w:tcW w:w="3505" w:type="dxa"/>
          </w:tcPr>
          <w:p w14:paraId="55765D2B" w14:textId="77777777" w:rsidR="002A21AE" w:rsidRDefault="002A21AE">
            <w:pPr>
              <w:pStyle w:val="TableTextNumbers"/>
            </w:pPr>
            <w:r>
              <w:t xml:space="preserve">Enter or select start and end dates. </w:t>
            </w:r>
          </w:p>
        </w:tc>
        <w:tc>
          <w:tcPr>
            <w:tcW w:w="5855" w:type="dxa"/>
          </w:tcPr>
          <w:p w14:paraId="38E11BCE" w14:textId="3099D9E7" w:rsidR="002A21AE" w:rsidRDefault="002A21AE">
            <w:pPr>
              <w:pStyle w:val="TableTextBullet"/>
            </w:pPr>
            <w:r>
              <w:t>Allows the user to sort the report by issued date range</w:t>
            </w:r>
            <w:r w:rsidR="005F46D4">
              <w:t xml:space="preserve">, </w:t>
            </w:r>
            <w:r>
              <w:t>by patien</w:t>
            </w:r>
            <w:r w:rsidR="005F46D4">
              <w:t>t name or by component class</w:t>
            </w:r>
            <w:r>
              <w:t>.</w:t>
            </w:r>
          </w:p>
        </w:tc>
      </w:tr>
      <w:tr w:rsidR="00B33FB0" w14:paraId="6B72A20F" w14:textId="77777777" w:rsidTr="00E35FC4">
        <w:tc>
          <w:tcPr>
            <w:tcW w:w="3505" w:type="dxa"/>
          </w:tcPr>
          <w:p w14:paraId="73A744CE" w14:textId="3F560AA9" w:rsidR="00B33FB0" w:rsidRDefault="00B33FB0">
            <w:pPr>
              <w:pStyle w:val="TableTextNumbers"/>
            </w:pPr>
            <w:r>
              <w:t xml:space="preserve">In the Report Sort Order area, select the </w:t>
            </w:r>
            <w:r w:rsidRPr="000D2373">
              <w:rPr>
                <w:b/>
              </w:rPr>
              <w:t>Issue/Return Date</w:t>
            </w:r>
            <w:r w:rsidR="005F46D4">
              <w:rPr>
                <w:b/>
              </w:rPr>
              <w:t>, Patient Name</w:t>
            </w:r>
            <w:r>
              <w:t xml:space="preserve"> or </w:t>
            </w:r>
            <w:r w:rsidR="005F46D4">
              <w:rPr>
                <w:b/>
              </w:rPr>
              <w:t>Component Class</w:t>
            </w:r>
            <w:r>
              <w:t xml:space="preserve"> radio button.</w:t>
            </w:r>
          </w:p>
        </w:tc>
        <w:tc>
          <w:tcPr>
            <w:tcW w:w="5855" w:type="dxa"/>
          </w:tcPr>
          <w:p w14:paraId="730785C6" w14:textId="1BD26211" w:rsidR="00B33FB0" w:rsidRDefault="000D2373">
            <w:pPr>
              <w:pStyle w:val="TableTextBullet"/>
            </w:pPr>
            <w:r w:rsidRPr="000D2373">
              <w:rPr>
                <w:vanish/>
              </w:rPr>
              <w:t>BR_76</w:t>
            </w:r>
            <w:r w:rsidR="00893E3E">
              <w:rPr>
                <w:vanish/>
              </w:rPr>
              <w:t>.</w:t>
            </w:r>
            <w:r w:rsidRPr="000D2373">
              <w:rPr>
                <w:vanish/>
              </w:rPr>
              <w:t xml:space="preserve">01 </w:t>
            </w:r>
            <w:r>
              <w:t>Compiles the report and, for each unit issued and when units are returned, includes return information.</w:t>
            </w:r>
          </w:p>
          <w:p w14:paraId="02A3EF59" w14:textId="77777777" w:rsidR="000D2373" w:rsidRDefault="000D2373" w:rsidP="000D2373">
            <w:pPr>
              <w:pStyle w:val="TableTextBullet"/>
              <w:numPr>
                <w:ilvl w:val="0"/>
                <w:numId w:val="0"/>
              </w:numPr>
              <w:ind w:left="288" w:hanging="288"/>
            </w:pPr>
          </w:p>
          <w:p w14:paraId="6621EAE4" w14:textId="2CCE9BAB" w:rsidR="000D2373" w:rsidRDefault="000D2373" w:rsidP="000D2373">
            <w:pPr>
              <w:pStyle w:val="TableText"/>
              <w:rPr>
                <w:b/>
                <w:bCs/>
                <w:szCs w:val="18"/>
              </w:rPr>
            </w:pPr>
            <w:r>
              <w:rPr>
                <w:b/>
                <w:bCs/>
                <w:szCs w:val="18"/>
              </w:rPr>
              <w:t>NOTES</w:t>
            </w:r>
          </w:p>
          <w:p w14:paraId="3E3D2A90" w14:textId="77777777" w:rsidR="000D2373" w:rsidRDefault="000D2373" w:rsidP="000D2373">
            <w:pPr>
              <w:pStyle w:val="NotesText"/>
            </w:pPr>
          </w:p>
          <w:p w14:paraId="4B9698D9" w14:textId="69FD8D1D" w:rsidR="00F1278D" w:rsidRDefault="000D2373" w:rsidP="006D2C87">
            <w:pPr>
              <w:pStyle w:val="TableTextBullet"/>
              <w:numPr>
                <w:ilvl w:val="0"/>
                <w:numId w:val="0"/>
              </w:numPr>
              <w:ind w:left="738" w:hanging="18"/>
            </w:pPr>
            <w:r>
              <w:rPr>
                <w:rFonts w:cs="Arial"/>
                <w:vanish/>
              </w:rPr>
              <w:t xml:space="preserve">BR_76.02 </w:t>
            </w:r>
            <w:r>
              <w:t>The report includes a unit that is issued or returned within the entered date range. When a unit is identified as issued or returned during the entered date range, the report also includes unit return and issuance data, respectively, even when they fall outside the date range of the report</w:t>
            </w:r>
            <w:r w:rsidR="006D2C87">
              <w:t>.</w:t>
            </w:r>
          </w:p>
        </w:tc>
      </w:tr>
      <w:tr w:rsidR="00301F2A" w14:paraId="15501C6D" w14:textId="77777777" w:rsidTr="00E35FC4">
        <w:tc>
          <w:tcPr>
            <w:tcW w:w="3505" w:type="dxa"/>
          </w:tcPr>
          <w:p w14:paraId="27C00280" w14:textId="77777777" w:rsidR="00301F2A" w:rsidRDefault="00301F2A">
            <w:pPr>
              <w:pStyle w:val="TableTextNumbers"/>
            </w:pPr>
            <w:r>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0C2CB574" w14:textId="77777777" w:rsidR="00301F2A" w:rsidRDefault="00301F2A" w:rsidP="00301F2A">
            <w:pPr>
              <w:pStyle w:val="TableTextNumbers"/>
              <w:numPr>
                <w:ilvl w:val="0"/>
                <w:numId w:val="0"/>
              </w:numPr>
              <w:ind w:left="288"/>
            </w:pPr>
          </w:p>
          <w:p w14:paraId="2A39EB86" w14:textId="77777777" w:rsidR="00301F2A" w:rsidRDefault="00301F2A" w:rsidP="00301F2A">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5855" w:type="dxa"/>
          </w:tcPr>
          <w:p w14:paraId="0B0D38FE" w14:textId="77777777" w:rsidR="00B40DDD" w:rsidRDefault="00B40DDD" w:rsidP="00AA2B2E">
            <w:pPr>
              <w:pStyle w:val="TableTextBullet"/>
            </w:pPr>
            <w:r>
              <w:t>Compiles and displays the report.</w:t>
            </w:r>
          </w:p>
        </w:tc>
      </w:tr>
      <w:tr w:rsidR="00301F2A" w14:paraId="535A982D" w14:textId="77777777" w:rsidTr="00E35FC4">
        <w:tc>
          <w:tcPr>
            <w:tcW w:w="3505" w:type="dxa"/>
          </w:tcPr>
          <w:p w14:paraId="3D5F4542" w14:textId="2D09CF01" w:rsidR="00301F2A"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5855" w:type="dxa"/>
          </w:tcPr>
          <w:p w14:paraId="4E3CF220" w14:textId="77777777" w:rsidR="00D45D8C" w:rsidRDefault="00D45D8C" w:rsidP="00D45D8C">
            <w:pPr>
              <w:pStyle w:val="TableTextBullet"/>
            </w:pPr>
            <w:r>
              <w:t>If Print is selected, prints the report on the designated printer.</w:t>
            </w:r>
          </w:p>
          <w:p w14:paraId="1321A2A6" w14:textId="77777777" w:rsidR="00D45D8C" w:rsidRDefault="00D45D8C" w:rsidP="00D45D8C">
            <w:pPr>
              <w:pStyle w:val="TableTextBullet"/>
            </w:pPr>
            <w:r>
              <w:t>If Export is selected, exports the report to the designated file.</w:t>
            </w:r>
          </w:p>
          <w:p w14:paraId="0AF0CFA5" w14:textId="2123977C" w:rsidR="00301F2A" w:rsidRDefault="00D45D8C" w:rsidP="00D45D8C">
            <w:pPr>
              <w:pStyle w:val="TableTextBullet"/>
            </w:pPr>
            <w:r>
              <w:t>If Close is selected, exits the report preview.</w:t>
            </w:r>
          </w:p>
        </w:tc>
      </w:tr>
    </w:tbl>
    <w:p w14:paraId="14FEFFEA" w14:textId="2F0818A6" w:rsidR="00BA595C" w:rsidRDefault="00BA595C">
      <w:pPr>
        <w:pStyle w:val="Heading2"/>
      </w:pPr>
      <w:bookmarkStart w:id="547" w:name="_Toc163644980"/>
      <w:r>
        <w:lastRenderedPageBreak/>
        <w:t xml:space="preserve">Medication Profile </w:t>
      </w:r>
      <w:r w:rsidRPr="00BA595C">
        <w:rPr>
          <w:rFonts w:ascii="Arial Bold" w:hAnsi="Arial Bold"/>
          <w:vanish/>
        </w:rPr>
        <w:t xml:space="preserve">UC_46 </w:t>
      </w:r>
      <w:r>
        <w:t>(</w:t>
      </w:r>
      <w:r w:rsidR="00203702">
        <w:t>See Patient Information Toolbar</w:t>
      </w:r>
      <w:r>
        <w:t>)</w:t>
      </w:r>
      <w:bookmarkEnd w:id="547"/>
    </w:p>
    <w:p w14:paraId="15AC7F63" w14:textId="77777777" w:rsidR="002A21AE" w:rsidRDefault="002A21AE">
      <w:pPr>
        <w:pStyle w:val="Heading2"/>
      </w:pPr>
      <w:bookmarkStart w:id="548" w:name="_Toc163644981"/>
      <w:r>
        <w:t>Order History Report</w:t>
      </w:r>
      <w:bookmarkEnd w:id="548"/>
      <w:r>
        <w:fldChar w:fldCharType="begin"/>
      </w:r>
      <w:r>
        <w:instrText xml:space="preserve"> XE </w:instrText>
      </w:r>
      <w:r w:rsidR="00FA7E65">
        <w:instrText>“</w:instrText>
      </w:r>
      <w:r>
        <w:instrText>Order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UC_86</w:t>
      </w:r>
      <w:r>
        <w:rPr>
          <w:rStyle w:val="CommentReference"/>
          <w:rFonts w:ascii="Times New Roman" w:hAnsi="Times New Roman" w:cs="Times New Roman"/>
          <w:b w:val="0"/>
          <w:bCs w:val="0"/>
          <w:vanish/>
        </w:rPr>
        <w:t xml:space="preserve"> </w:t>
      </w:r>
    </w:p>
    <w:p w14:paraId="159FC877" w14:textId="12990072" w:rsidR="002A21AE" w:rsidRDefault="002A21AE" w:rsidP="00FA7E65">
      <w:pPr>
        <w:pStyle w:val="BodyText"/>
      </w:pPr>
      <w:r>
        <w:t xml:space="preserve">The user views </w:t>
      </w:r>
      <w:r w:rsidR="00EB1E5A">
        <w:t xml:space="preserve">and/or </w:t>
      </w:r>
      <w:r>
        <w:t>prints a Single-Order History Report or an Order Summary Report.</w:t>
      </w:r>
    </w:p>
    <w:p w14:paraId="2DDA4C5B" w14:textId="77777777" w:rsidR="002A21AE" w:rsidRDefault="002A21AE">
      <w:pPr>
        <w:pStyle w:val="Heading4"/>
      </w:pPr>
      <w:r>
        <w:t>Assumptions</w:t>
      </w:r>
      <w:r>
        <w:rPr>
          <w:b w:val="0"/>
        </w:rPr>
        <w:t xml:space="preserve"> </w:t>
      </w:r>
    </w:p>
    <w:p w14:paraId="2AB011B5" w14:textId="77777777" w:rsidR="002A21AE" w:rsidRDefault="002A21AE">
      <w:pPr>
        <w:pStyle w:val="ListBullet"/>
      </w:pPr>
      <w:r>
        <w:t>Data for the report are available.</w:t>
      </w:r>
    </w:p>
    <w:p w14:paraId="3FA40DA4" w14:textId="77777777" w:rsidR="002A21AE" w:rsidRDefault="002A21AE">
      <w:pPr>
        <w:pStyle w:val="Heading4"/>
      </w:pPr>
      <w:r>
        <w:t xml:space="preserve">Outcome </w:t>
      </w:r>
    </w:p>
    <w:p w14:paraId="13AC31F6" w14:textId="77777777" w:rsidR="002A21AE" w:rsidRDefault="002A21AE">
      <w:pPr>
        <w:pStyle w:val="ListBullet"/>
      </w:pPr>
      <w:r>
        <w:t>The user may view and/or print a report.</w:t>
      </w:r>
    </w:p>
    <w:p w14:paraId="500554A0" w14:textId="77777777" w:rsidR="002A21AE" w:rsidRDefault="002A21AE">
      <w:pPr>
        <w:pStyle w:val="Heading4"/>
        <w:rPr>
          <w:b w:val="0"/>
        </w:rPr>
      </w:pPr>
      <w:r>
        <w:t>Limitations and Restrictions</w:t>
      </w:r>
      <w:r>
        <w:rPr>
          <w:b w:val="0"/>
        </w:rPr>
        <w:t xml:space="preserve"> </w:t>
      </w:r>
    </w:p>
    <w:p w14:paraId="778C690B" w14:textId="5C30B6D4" w:rsidR="002A21AE" w:rsidRDefault="00C43421">
      <w:pPr>
        <w:pStyle w:val="ListBullet"/>
      </w:pPr>
      <w:r>
        <w:t>VBECS does not display the identity of the CPRS user who discontinues a signed order in CPRS.</w:t>
      </w:r>
      <w:r w:rsidR="00DC0F5E">
        <w:t xml:space="preserve"> The CPRS order detail</w:t>
      </w:r>
      <w:r w:rsidR="00DD73AD">
        <w:t>s option contains all pertinent</w:t>
      </w:r>
      <w:r w:rsidR="00DC0F5E">
        <w:t xml:space="preserve"> order information.</w:t>
      </w:r>
      <w:r>
        <w:rPr>
          <w:vanish/>
        </w:rPr>
        <w:t xml:space="preserve"> DR 3766</w:t>
      </w:r>
      <w:r w:rsidR="00DC0F5E">
        <w:t xml:space="preserve"> </w:t>
      </w:r>
    </w:p>
    <w:p w14:paraId="53E2CEB0" w14:textId="5C745EB7" w:rsidR="00D8384F" w:rsidRDefault="000F404E">
      <w:pPr>
        <w:pStyle w:val="ListBullet"/>
      </w:pPr>
      <w:r>
        <w:t>Cancel</w:t>
      </w:r>
      <w:r w:rsidR="002F7E19">
        <w:t>l</w:t>
      </w:r>
      <w:r>
        <w:t>ed orders are included on the Order Summary Report without a column/data to help identify them as cance</w:t>
      </w:r>
      <w:r w:rsidR="002F7E19">
        <w:t>l</w:t>
      </w:r>
      <w:r>
        <w:t>led. The Single Order History Report includes the cance</w:t>
      </w:r>
      <w:r w:rsidR="002F7E19">
        <w:t>l</w:t>
      </w:r>
      <w:r>
        <w:t>led</w:t>
      </w:r>
      <w:r w:rsidR="0043651F">
        <w:t xml:space="preserve"> order information. When the order is also cance</w:t>
      </w:r>
      <w:r w:rsidR="002F7E19">
        <w:t>l</w:t>
      </w:r>
      <w:r w:rsidR="0043651F">
        <w:t>led in VistA, which would be the norm, there is a lab report that can be referenced</w:t>
      </w:r>
      <w:r w:rsidR="002F7E19">
        <w:t xml:space="preserve"> (See </w:t>
      </w:r>
      <w:r w:rsidR="00F97570" w:rsidRPr="00423A7F">
        <w:rPr>
          <w:i/>
          <w:iCs/>
        </w:rPr>
        <w:t xml:space="preserve">FAQ </w:t>
      </w:r>
      <w:r w:rsidR="002F7E19" w:rsidRPr="00423A7F">
        <w:rPr>
          <w:i/>
          <w:iCs/>
        </w:rPr>
        <w:t>Order Status Clarification</w:t>
      </w:r>
      <w:r w:rsidR="002F7E19">
        <w:t>)</w:t>
      </w:r>
      <w:r w:rsidR="0043651F">
        <w:t xml:space="preserve">. </w:t>
      </w:r>
      <w:r w:rsidRPr="0043651F">
        <w:rPr>
          <w:vanish/>
        </w:rPr>
        <w:t>Defect 2088</w:t>
      </w:r>
      <w:r w:rsidR="00CA4C08">
        <w:rPr>
          <w:vanish/>
        </w:rPr>
        <w:t>7</w:t>
      </w:r>
      <w:r w:rsidRPr="0043651F">
        <w:rPr>
          <w:vanish/>
        </w:rPr>
        <w:t>7</w:t>
      </w:r>
    </w:p>
    <w:p w14:paraId="6F2AEC00" w14:textId="0B725D5E" w:rsidR="00780C90" w:rsidRDefault="00780C90">
      <w:pPr>
        <w:pStyle w:val="ListBullet"/>
      </w:pPr>
      <w:r>
        <w:t>The Order History Report only displays the first twenty (20) characters of an ordering location. Ordering locations in VistA</w:t>
      </w:r>
      <w:r w:rsidR="003209A5">
        <w:t xml:space="preserve"> can be shortened or changed when the uniqueness of a location cannot be determined with the first twenty (20) characters. </w:t>
      </w:r>
      <w:r w:rsidR="003209A5" w:rsidRPr="003209A5">
        <w:rPr>
          <w:vanish/>
        </w:rPr>
        <w:t>Defect 209846</w:t>
      </w:r>
    </w:p>
    <w:p w14:paraId="60A6D2EA" w14:textId="77777777" w:rsidR="002A21AE" w:rsidRDefault="002A21AE">
      <w:pPr>
        <w:pStyle w:val="Heading4"/>
      </w:pPr>
      <w:r>
        <w:t xml:space="preserve">Additional Information </w:t>
      </w:r>
    </w:p>
    <w:p w14:paraId="7AF64806" w14:textId="77777777" w:rsidR="002A21AE" w:rsidRDefault="002A21AE">
      <w:pPr>
        <w:pStyle w:val="ListBullet"/>
      </w:pPr>
      <w:r>
        <w:t>Test counts and workload information for other VBECS processes are in the Workload Report.</w:t>
      </w:r>
    </w:p>
    <w:p w14:paraId="55361965" w14:textId="77777777" w:rsidR="002A21AE" w:rsidRDefault="002A21AE">
      <w:pPr>
        <w:pStyle w:val="Heading4"/>
        <w:rPr>
          <w:b w:val="0"/>
        </w:rPr>
      </w:pPr>
      <w:r>
        <w:t>User Roles with Access to This Option</w:t>
      </w:r>
      <w:r>
        <w:rPr>
          <w:b w:val="0"/>
        </w:rPr>
        <w:t xml:space="preserve"> </w:t>
      </w:r>
    </w:p>
    <w:p w14:paraId="1779246A" w14:textId="77777777" w:rsidR="002A21AE" w:rsidRDefault="00184EA4">
      <w:pPr>
        <w:pStyle w:val="Roles"/>
      </w:pPr>
      <w:r>
        <w:t>All users</w:t>
      </w:r>
    </w:p>
    <w:p w14:paraId="1D76BF7E" w14:textId="77777777" w:rsidR="002A21AE" w:rsidRDefault="002A21AE">
      <w:pPr>
        <w:pStyle w:val="Heading4"/>
      </w:pPr>
      <w:r>
        <w:t>Order History Report</w:t>
      </w:r>
      <w:r>
        <w:rPr>
          <w:rStyle w:val="CommentReference"/>
          <w:rFonts w:ascii="Times New Roman" w:hAnsi="Times New Roman"/>
          <w:b w:val="0"/>
          <w:bCs/>
          <w:vanish/>
        </w:rPr>
        <w:t xml:space="preserve"> </w:t>
      </w:r>
    </w:p>
    <w:p w14:paraId="6F9CF51A" w14:textId="77777777" w:rsidR="002A21AE" w:rsidRDefault="002A21AE" w:rsidP="00FA7E65">
      <w:pPr>
        <w:pStyle w:val="BodyText"/>
      </w:pPr>
      <w:r>
        <w:t>The user views and/or prints an Order History Report.</w:t>
      </w:r>
      <w:r w:rsidR="000054DE">
        <w:t xml:space="preserve"> </w:t>
      </w:r>
      <w:r>
        <w:t xml:space="preserve">The user may retrieve a report for a single order or </w:t>
      </w:r>
      <w:r w:rsidR="00C166BB">
        <w:t xml:space="preserve">a summary report </w:t>
      </w:r>
      <w:r>
        <w:t xml:space="preserve">for all VBECS orders within a date range. The user may sort the Order Summary Report by treating specialty or by patient location.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86AEC69" w14:textId="77777777">
        <w:trPr>
          <w:cantSplit/>
          <w:tblHeader/>
        </w:trPr>
        <w:tc>
          <w:tcPr>
            <w:tcW w:w="3240" w:type="dxa"/>
            <w:shd w:val="pct30" w:color="auto" w:fill="FFFFFF"/>
            <w:vAlign w:val="bottom"/>
          </w:tcPr>
          <w:p w14:paraId="7373C65A" w14:textId="77777777" w:rsidR="002A21AE" w:rsidRDefault="002A21AE">
            <w:pPr>
              <w:pStyle w:val="TableText"/>
              <w:rPr>
                <w:b/>
              </w:rPr>
            </w:pPr>
            <w:r>
              <w:rPr>
                <w:b/>
              </w:rPr>
              <w:t>User Action</w:t>
            </w:r>
          </w:p>
        </w:tc>
        <w:tc>
          <w:tcPr>
            <w:tcW w:w="6120" w:type="dxa"/>
            <w:shd w:val="pct30" w:color="auto" w:fill="FFFFFF"/>
            <w:vAlign w:val="bottom"/>
          </w:tcPr>
          <w:p w14:paraId="3B8D57B7" w14:textId="77777777" w:rsidR="002A21AE" w:rsidRDefault="002A21AE">
            <w:pPr>
              <w:pStyle w:val="TableText"/>
              <w:rPr>
                <w:b/>
              </w:rPr>
            </w:pPr>
            <w:r>
              <w:rPr>
                <w:b/>
              </w:rPr>
              <w:t>VBECS</w:t>
            </w:r>
          </w:p>
        </w:tc>
      </w:tr>
      <w:tr w:rsidR="002A21AE" w14:paraId="15031065" w14:textId="77777777">
        <w:trPr>
          <w:trHeight w:val="773"/>
        </w:trPr>
        <w:tc>
          <w:tcPr>
            <w:tcW w:w="3240" w:type="dxa"/>
          </w:tcPr>
          <w:p w14:paraId="78FC4551" w14:textId="77777777" w:rsidR="002A21AE" w:rsidRDefault="002A21AE" w:rsidP="00925CAD">
            <w:pPr>
              <w:pStyle w:val="TableTextNumbers"/>
              <w:numPr>
                <w:ilvl w:val="0"/>
                <w:numId w:val="39"/>
              </w:numPr>
            </w:pPr>
            <w:r>
              <w:t xml:space="preserve">Select </w:t>
            </w:r>
            <w:r w:rsidRPr="002F2DF7">
              <w:rPr>
                <w:b/>
              </w:rPr>
              <w:t>Reports</w:t>
            </w:r>
            <w:r>
              <w:t xml:space="preserve"> from the main menu.</w:t>
            </w:r>
          </w:p>
          <w:p w14:paraId="00FC3814" w14:textId="77777777" w:rsidR="002A21AE" w:rsidRDefault="002A21AE">
            <w:pPr>
              <w:pStyle w:val="TableTextNumbersContinued"/>
            </w:pPr>
          </w:p>
          <w:p w14:paraId="67001049" w14:textId="77777777" w:rsidR="002A21AE" w:rsidRDefault="002A21AE">
            <w:pPr>
              <w:pStyle w:val="TableTextNumbersContinued"/>
            </w:pPr>
            <w:r>
              <w:t xml:space="preserve">Select </w:t>
            </w:r>
            <w:r>
              <w:rPr>
                <w:b/>
              </w:rPr>
              <w:t>Order History Report</w:t>
            </w:r>
            <w:r>
              <w:t>.</w:t>
            </w:r>
          </w:p>
        </w:tc>
        <w:tc>
          <w:tcPr>
            <w:tcW w:w="6120" w:type="dxa"/>
          </w:tcPr>
          <w:p w14:paraId="087DA321" w14:textId="77777777" w:rsidR="002A21AE" w:rsidRDefault="002A21AE">
            <w:pPr>
              <w:pStyle w:val="TableTextBullet"/>
            </w:pPr>
            <w:r>
              <w:t>Lists report names.</w:t>
            </w:r>
          </w:p>
          <w:p w14:paraId="56E7E96D" w14:textId="77777777" w:rsidR="002A21AE" w:rsidRDefault="002A21AE">
            <w:pPr>
              <w:pStyle w:val="TableTextBullet"/>
            </w:pPr>
            <w:r>
              <w:t>Displays options for generating, viewing, and printing reports.</w:t>
            </w:r>
          </w:p>
          <w:p w14:paraId="19F2DC88" w14:textId="77777777" w:rsidR="002A21AE" w:rsidRDefault="002A21AE">
            <w:pPr>
              <w:pStyle w:val="TableTextBullet"/>
            </w:pPr>
            <w:r>
              <w:t>Displays report type and compilation criteria.</w:t>
            </w:r>
          </w:p>
        </w:tc>
      </w:tr>
      <w:tr w:rsidR="002A21AE" w14:paraId="14E7A9FD" w14:textId="77777777">
        <w:trPr>
          <w:trHeight w:val="773"/>
        </w:trPr>
        <w:tc>
          <w:tcPr>
            <w:tcW w:w="3240" w:type="dxa"/>
            <w:tcBorders>
              <w:top w:val="single" w:sz="4" w:space="0" w:color="auto"/>
              <w:left w:val="single" w:sz="4" w:space="0" w:color="auto"/>
              <w:bottom w:val="single" w:sz="4" w:space="0" w:color="auto"/>
              <w:right w:val="single" w:sz="4" w:space="0" w:color="auto"/>
            </w:tcBorders>
          </w:tcPr>
          <w:p w14:paraId="3198B501" w14:textId="77777777" w:rsidR="002A21AE" w:rsidRDefault="002A21AE">
            <w:pPr>
              <w:pStyle w:val="TableTextNumbers"/>
            </w:pPr>
            <w:r>
              <w:t xml:space="preserve">Click the </w:t>
            </w:r>
            <w:r>
              <w:rPr>
                <w:b/>
              </w:rPr>
              <w:t>Order Summary Repor</w:t>
            </w:r>
            <w:r>
              <w:t xml:space="preserve">t or </w:t>
            </w:r>
            <w:r>
              <w:rPr>
                <w:b/>
              </w:rPr>
              <w:t>Single-Order History Report</w:t>
            </w:r>
            <w:r>
              <w:t xml:space="preserve"> </w:t>
            </w:r>
            <w:r w:rsidRPr="00BF2E41">
              <w:t>radio button</w:t>
            </w:r>
            <w:r>
              <w:t xml:space="preserve"> to select a report type.</w:t>
            </w:r>
          </w:p>
        </w:tc>
        <w:tc>
          <w:tcPr>
            <w:tcW w:w="6120" w:type="dxa"/>
            <w:tcBorders>
              <w:top w:val="single" w:sz="4" w:space="0" w:color="auto"/>
              <w:left w:val="single" w:sz="4" w:space="0" w:color="auto"/>
              <w:bottom w:val="single" w:sz="4" w:space="0" w:color="auto"/>
              <w:right w:val="single" w:sz="4" w:space="0" w:color="auto"/>
            </w:tcBorders>
          </w:tcPr>
          <w:p w14:paraId="4A64B7B0" w14:textId="77777777" w:rsidR="002A21AE" w:rsidRDefault="002A21AE">
            <w:pPr>
              <w:pStyle w:val="TableText"/>
            </w:pPr>
          </w:p>
        </w:tc>
      </w:tr>
      <w:tr w:rsidR="002A21AE" w14:paraId="52391AB0" w14:textId="77777777" w:rsidTr="00E35FC4">
        <w:trPr>
          <w:cantSplit/>
        </w:trPr>
        <w:tc>
          <w:tcPr>
            <w:tcW w:w="3240" w:type="dxa"/>
            <w:tcBorders>
              <w:top w:val="single" w:sz="4" w:space="0" w:color="auto"/>
              <w:left w:val="single" w:sz="4" w:space="0" w:color="auto"/>
              <w:bottom w:val="single" w:sz="4" w:space="0" w:color="auto"/>
              <w:right w:val="single" w:sz="4" w:space="0" w:color="auto"/>
            </w:tcBorders>
          </w:tcPr>
          <w:p w14:paraId="16711A97" w14:textId="77777777" w:rsidR="002A21AE" w:rsidRDefault="002A21AE">
            <w:pPr>
              <w:pStyle w:val="TableTextNumbers"/>
            </w:pPr>
            <w:r>
              <w:lastRenderedPageBreak/>
              <w:t>For an Order Summary Report, create a report date range:</w:t>
            </w:r>
          </w:p>
          <w:p w14:paraId="0C15D7DE" w14:textId="77777777" w:rsidR="002A21AE" w:rsidRDefault="002A21AE">
            <w:pPr>
              <w:pStyle w:val="TableText"/>
            </w:pPr>
          </w:p>
          <w:p w14:paraId="3D071E4A" w14:textId="77777777" w:rsidR="002A21AE" w:rsidRDefault="002A21AE">
            <w:pPr>
              <w:pStyle w:val="TableTextNumbersContinued"/>
            </w:pPr>
            <w:r>
              <w:t xml:space="preserve">Select or edit the dates and times in the </w:t>
            </w:r>
            <w:r w:rsidRPr="00945BF5">
              <w:t>Start Date</w:t>
            </w:r>
            <w:r>
              <w:t xml:space="preserve"> and </w:t>
            </w:r>
            <w:r w:rsidRPr="00945BF5">
              <w:t>End Date</w:t>
            </w:r>
            <w:r>
              <w:t xml:space="preserve"> fields. </w:t>
            </w:r>
          </w:p>
          <w:p w14:paraId="5521D107" w14:textId="77777777" w:rsidR="002A21AE" w:rsidRDefault="002A21AE">
            <w:pPr>
              <w:pStyle w:val="TableTextNumbersContinued"/>
            </w:pPr>
          </w:p>
          <w:p w14:paraId="0D5CD2B6" w14:textId="77777777" w:rsidR="002A21AE" w:rsidRDefault="002A21AE">
            <w:pPr>
              <w:pStyle w:val="TableTextNumbersContinued"/>
            </w:pPr>
            <w:r>
              <w:t xml:space="preserve">In the </w:t>
            </w:r>
            <w:r w:rsidRPr="00E82663">
              <w:rPr>
                <w:b/>
              </w:rPr>
              <w:t>Report Sort Order</w:t>
            </w:r>
            <w:r>
              <w:t xml:space="preserve"> area, click the </w:t>
            </w:r>
            <w:r>
              <w:rPr>
                <w:b/>
              </w:rPr>
              <w:t>Treating Specialty</w:t>
            </w:r>
            <w:r>
              <w:t xml:space="preserve"> or </w:t>
            </w:r>
            <w:r>
              <w:rPr>
                <w:b/>
              </w:rPr>
              <w:t>Ordering Location</w:t>
            </w:r>
            <w:r>
              <w:t xml:space="preserve"> </w:t>
            </w:r>
            <w:r w:rsidRPr="00BF2E41">
              <w:t>radio button</w:t>
            </w:r>
            <w:r>
              <w:t xml:space="preserve"> and continue at Step 5. </w:t>
            </w:r>
          </w:p>
        </w:tc>
        <w:tc>
          <w:tcPr>
            <w:tcW w:w="6120" w:type="dxa"/>
            <w:tcBorders>
              <w:top w:val="single" w:sz="4" w:space="0" w:color="auto"/>
              <w:left w:val="single" w:sz="4" w:space="0" w:color="auto"/>
              <w:bottom w:val="single" w:sz="4" w:space="0" w:color="auto"/>
              <w:right w:val="single" w:sz="4" w:space="0" w:color="auto"/>
            </w:tcBorders>
          </w:tcPr>
          <w:p w14:paraId="3D0C4970" w14:textId="77777777" w:rsidR="002A21AE" w:rsidRDefault="002A21AE">
            <w:pPr>
              <w:pStyle w:val="TableTextBullet"/>
            </w:pPr>
            <w:r>
              <w:t>Displays the option to enter a date range for the report based on the date and time VBECS acknowledged the order.</w:t>
            </w:r>
          </w:p>
          <w:p w14:paraId="1B6A25CE" w14:textId="77777777" w:rsidR="002A21AE" w:rsidRDefault="002A21AE">
            <w:pPr>
              <w:pStyle w:val="TableTextBullet"/>
            </w:pPr>
            <w:r>
              <w:t>Displays an option to sort the report by treating specialty or by ordering location. The report tallies orders in a given date range by ordering location and treating specialty.</w:t>
            </w:r>
          </w:p>
        </w:tc>
      </w:tr>
      <w:tr w:rsidR="002A21AE" w14:paraId="119E5C66" w14:textId="77777777">
        <w:tc>
          <w:tcPr>
            <w:tcW w:w="3240" w:type="dxa"/>
            <w:tcBorders>
              <w:top w:val="single" w:sz="4" w:space="0" w:color="auto"/>
              <w:left w:val="single" w:sz="4" w:space="0" w:color="auto"/>
              <w:bottom w:val="single" w:sz="4" w:space="0" w:color="auto"/>
              <w:right w:val="single" w:sz="4" w:space="0" w:color="auto"/>
            </w:tcBorders>
          </w:tcPr>
          <w:p w14:paraId="73C1BD62" w14:textId="77777777" w:rsidR="002A21AE" w:rsidRDefault="002A21AE">
            <w:pPr>
              <w:pStyle w:val="TableTextNumbers"/>
            </w:pPr>
            <w:r>
              <w:t>For a Single-Order History Report:</w:t>
            </w:r>
          </w:p>
          <w:p w14:paraId="6A8B4492" w14:textId="77777777" w:rsidR="002A21AE" w:rsidRDefault="002A21AE">
            <w:pPr>
              <w:pStyle w:val="TableTextNumbersContinued"/>
            </w:pPr>
          </w:p>
          <w:p w14:paraId="7BD28B7F" w14:textId="77777777" w:rsidR="002A21AE" w:rsidRDefault="002A21AE">
            <w:pPr>
              <w:pStyle w:val="TableTextNumbersContinued"/>
            </w:pPr>
            <w:r>
              <w:t xml:space="preserve">Enter the search criteria and/or click the </w:t>
            </w:r>
            <w:r w:rsidR="00A6373D" w:rsidRPr="00945BF5">
              <w:rPr>
                <w:b/>
              </w:rPr>
              <w:t>find</w:t>
            </w:r>
            <w:r>
              <w:rPr>
                <w:b/>
              </w:rPr>
              <w:t xml:space="preserve"> </w:t>
            </w:r>
            <w:r w:rsidRPr="00D1100E">
              <w:t>button</w:t>
            </w:r>
            <w:r>
              <w:t xml:space="preserve"> to select an order from the list. </w:t>
            </w:r>
          </w:p>
        </w:tc>
        <w:tc>
          <w:tcPr>
            <w:tcW w:w="6120" w:type="dxa"/>
            <w:tcBorders>
              <w:top w:val="single" w:sz="4" w:space="0" w:color="auto"/>
              <w:left w:val="single" w:sz="4" w:space="0" w:color="auto"/>
              <w:bottom w:val="single" w:sz="4" w:space="0" w:color="auto"/>
              <w:right w:val="single" w:sz="4" w:space="0" w:color="auto"/>
            </w:tcBorders>
          </w:tcPr>
          <w:p w14:paraId="573E8E02" w14:textId="77777777" w:rsidR="002A21AE" w:rsidRDefault="002A21AE">
            <w:pPr>
              <w:pStyle w:val="TableTextBullet"/>
              <w:rPr>
                <w:noProof/>
              </w:rPr>
            </w:pPr>
            <w:r>
              <w:rPr>
                <w:noProof/>
              </w:rPr>
              <w:t xml:space="preserve">Displays the </w:t>
            </w:r>
            <w:r>
              <w:t>Select</w:t>
            </w:r>
            <w:r>
              <w:rPr>
                <w:noProof/>
              </w:rPr>
              <w:t xml:space="preserve"> Patient Order window.</w:t>
            </w:r>
          </w:p>
          <w:p w14:paraId="15DABAC5" w14:textId="77777777" w:rsidR="002A21AE" w:rsidRDefault="002A21AE">
            <w:pPr>
              <w:pStyle w:val="TableText"/>
            </w:pPr>
          </w:p>
          <w:p w14:paraId="033BDB75" w14:textId="0D36BCD3" w:rsidR="002A21AE" w:rsidRDefault="002A21AE">
            <w:pPr>
              <w:pStyle w:val="TableText"/>
            </w:pPr>
            <w:r>
              <w:rPr>
                <w:b/>
                <w:bCs/>
                <w:szCs w:val="18"/>
              </w:rPr>
              <w:t>NOTES</w:t>
            </w:r>
          </w:p>
          <w:p w14:paraId="2A5EBA59" w14:textId="77777777" w:rsidR="002A21AE" w:rsidRDefault="002A21AE">
            <w:pPr>
              <w:pStyle w:val="NotesText"/>
            </w:pPr>
          </w:p>
          <w:p w14:paraId="0F1FAD92" w14:textId="77777777" w:rsidR="002A21AE" w:rsidRDefault="002A21AE">
            <w:pPr>
              <w:pStyle w:val="NotesText"/>
            </w:pPr>
            <w:r>
              <w:rPr>
                <w:rFonts w:cs="Arial"/>
                <w:vanish/>
              </w:rPr>
              <w:t xml:space="preserve">BR_86.03 </w:t>
            </w:r>
            <w:r>
              <w:t xml:space="preserve">The user enters a date or a specimen UID, or selects a patient to locate an order. VBECS displays the following information based on the selected search option: </w:t>
            </w:r>
          </w:p>
          <w:p w14:paraId="4D527E39" w14:textId="23BD5A56" w:rsidR="002A21AE" w:rsidRDefault="002A21AE">
            <w:pPr>
              <w:pStyle w:val="NotesTextBullet"/>
            </w:pPr>
            <w:r>
              <w:t>When a user enters a date, VBECS displays orders accepted or cancel</w:t>
            </w:r>
            <w:r w:rsidR="002F7E19">
              <w:t>l</w:t>
            </w:r>
            <w:r>
              <w:t xml:space="preserve">ed by VBECS on that date. </w:t>
            </w:r>
          </w:p>
          <w:p w14:paraId="70C135C8" w14:textId="77777777" w:rsidR="002A21AE" w:rsidRDefault="002A21AE">
            <w:pPr>
              <w:pStyle w:val="NotesTextBullet"/>
            </w:pPr>
            <w:r>
              <w:t>When the specimen UID is entered, VBECS displays only orders associated with that specimen.</w:t>
            </w:r>
          </w:p>
          <w:p w14:paraId="3F393B22" w14:textId="323F5143" w:rsidR="002A21AE" w:rsidRDefault="002A21AE">
            <w:pPr>
              <w:pStyle w:val="NotesTextBullet"/>
              <w:rPr>
                <w:noProof/>
              </w:rPr>
            </w:pPr>
            <w:r>
              <w:t>When a patient name is selected, VBECS displays the patient’s orders listed in reverse chronological order for the last 90 days with an option to display all of the patient’s accepted and cance</w:t>
            </w:r>
            <w:r w:rsidR="002F7E19">
              <w:t>l</w:t>
            </w:r>
            <w:r>
              <w:t>led orders.</w:t>
            </w:r>
          </w:p>
        </w:tc>
      </w:tr>
      <w:tr w:rsidR="002A21AE" w14:paraId="34D67C9E" w14:textId="77777777">
        <w:tc>
          <w:tcPr>
            <w:tcW w:w="3240" w:type="dxa"/>
            <w:tcBorders>
              <w:top w:val="single" w:sz="4" w:space="0" w:color="auto"/>
              <w:left w:val="single" w:sz="4" w:space="0" w:color="auto"/>
              <w:bottom w:val="single" w:sz="4" w:space="0" w:color="auto"/>
              <w:right w:val="single" w:sz="4" w:space="0" w:color="auto"/>
            </w:tcBorders>
          </w:tcPr>
          <w:p w14:paraId="034B6EC1"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w:t>
            </w:r>
          </w:p>
          <w:p w14:paraId="7FE49057" w14:textId="77777777" w:rsidR="002A21AE" w:rsidRDefault="002A21AE">
            <w:pPr>
              <w:pStyle w:val="TableTextNumbersContinued"/>
            </w:pPr>
          </w:p>
          <w:p w14:paraId="7E825C94"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then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6A269E29" w14:textId="77777777" w:rsidR="002A21AE" w:rsidRDefault="002A21AE">
            <w:pPr>
              <w:pStyle w:val="TableTextBullet"/>
            </w:pPr>
            <w:r>
              <w:t>Compiles and displays the report.</w:t>
            </w:r>
          </w:p>
          <w:p w14:paraId="668E8999" w14:textId="77777777" w:rsidR="002A21AE" w:rsidRDefault="002A21AE">
            <w:pPr>
              <w:pStyle w:val="TableText"/>
            </w:pPr>
          </w:p>
          <w:p w14:paraId="05419258" w14:textId="07F6ABFE" w:rsidR="002A21AE" w:rsidRDefault="002A21AE">
            <w:pPr>
              <w:pStyle w:val="TableText"/>
              <w:rPr>
                <w:b/>
                <w:bCs/>
                <w:szCs w:val="18"/>
              </w:rPr>
            </w:pPr>
            <w:r>
              <w:rPr>
                <w:b/>
                <w:bCs/>
                <w:szCs w:val="18"/>
              </w:rPr>
              <w:t>NOTES</w:t>
            </w:r>
          </w:p>
          <w:p w14:paraId="3F97F2B1" w14:textId="77777777" w:rsidR="002A21AE" w:rsidRDefault="002A21AE">
            <w:pPr>
              <w:pStyle w:val="NotesText"/>
            </w:pPr>
          </w:p>
          <w:p w14:paraId="43463709" w14:textId="421D3DC6" w:rsidR="002A21AE" w:rsidRDefault="002A21AE">
            <w:pPr>
              <w:pStyle w:val="NotesText"/>
            </w:pPr>
            <w:r>
              <w:rPr>
                <w:rFonts w:cs="Arial"/>
                <w:vanish/>
              </w:rPr>
              <w:t xml:space="preserve">BR_86.04 </w:t>
            </w:r>
            <w:r>
              <w:t>The Order Summary Report includes a section for each treating specialty or ordering location, including accepted and cancel</w:t>
            </w:r>
            <w:r w:rsidR="002F7E19">
              <w:t>l</w:t>
            </w:r>
            <w:r>
              <w:t>ed VBECS orders and the Diagnostic Test or Component Orders for the selected date range. The report lists individual orders by order type, including the Patient Name, ID, CPRS and Lab Order Numbers, and Date.</w:t>
            </w:r>
          </w:p>
          <w:p w14:paraId="77BA19BA" w14:textId="77777777" w:rsidR="002A21AE" w:rsidRDefault="002A21AE">
            <w:pPr>
              <w:pStyle w:val="NotesText"/>
            </w:pPr>
          </w:p>
          <w:p w14:paraId="3979DD05" w14:textId="77777777" w:rsidR="008E4599" w:rsidRDefault="008E4599" w:rsidP="008E4599">
            <w:pPr>
              <w:pStyle w:val="TableText"/>
            </w:pPr>
            <w:r>
              <w:t>The Single-Order History Report contains details of an individual order group, including:</w:t>
            </w:r>
          </w:p>
          <w:p w14:paraId="1320EAC0" w14:textId="77777777" w:rsidR="008E4599" w:rsidRDefault="008E4599" w:rsidP="00925CAD">
            <w:pPr>
              <w:pStyle w:val="TableText"/>
              <w:numPr>
                <w:ilvl w:val="0"/>
                <w:numId w:val="61"/>
              </w:numPr>
            </w:pPr>
            <w:r>
              <w:t>Patient Name</w:t>
            </w:r>
          </w:p>
          <w:p w14:paraId="70DA8ABC" w14:textId="77777777" w:rsidR="008E4599" w:rsidRDefault="008E4599" w:rsidP="00925CAD">
            <w:pPr>
              <w:pStyle w:val="TableText"/>
              <w:numPr>
                <w:ilvl w:val="0"/>
                <w:numId w:val="61"/>
              </w:numPr>
            </w:pPr>
            <w:r>
              <w:t>Patient ID</w:t>
            </w:r>
          </w:p>
          <w:p w14:paraId="0B0936FA" w14:textId="77777777" w:rsidR="008E4599" w:rsidRDefault="008E4599" w:rsidP="00925CAD">
            <w:pPr>
              <w:pStyle w:val="TableText"/>
              <w:numPr>
                <w:ilvl w:val="0"/>
                <w:numId w:val="61"/>
              </w:numPr>
            </w:pPr>
            <w:r>
              <w:t>CPRS Order Name</w:t>
            </w:r>
          </w:p>
          <w:p w14:paraId="7B8EBEDA" w14:textId="77777777" w:rsidR="008E4599" w:rsidRDefault="008E4599" w:rsidP="00925CAD">
            <w:pPr>
              <w:pStyle w:val="TableText"/>
              <w:numPr>
                <w:ilvl w:val="0"/>
                <w:numId w:val="61"/>
              </w:numPr>
            </w:pPr>
            <w:r>
              <w:t xml:space="preserve">CPRS and Lab Order Numbers </w:t>
            </w:r>
          </w:p>
          <w:p w14:paraId="2E3CAD94" w14:textId="77777777" w:rsidR="008E4599" w:rsidRDefault="008E4599" w:rsidP="00925CAD">
            <w:pPr>
              <w:pStyle w:val="TableText"/>
              <w:numPr>
                <w:ilvl w:val="0"/>
                <w:numId w:val="61"/>
              </w:numPr>
            </w:pPr>
            <w:r>
              <w:t xml:space="preserve">Order Urgency </w:t>
            </w:r>
          </w:p>
          <w:p w14:paraId="68DBCE52" w14:textId="77777777" w:rsidR="008E4599" w:rsidRPr="00266E59" w:rsidRDefault="008E4599" w:rsidP="00925CAD">
            <w:pPr>
              <w:pStyle w:val="TableText"/>
              <w:numPr>
                <w:ilvl w:val="0"/>
                <w:numId w:val="61"/>
              </w:numPr>
            </w:pPr>
            <w:r w:rsidRPr="00266E59">
              <w:t>CPRS MODIFIER(S)</w:t>
            </w:r>
          </w:p>
          <w:p w14:paraId="53870B89" w14:textId="77777777" w:rsidR="008E4599" w:rsidRPr="00266E59" w:rsidRDefault="008E4599" w:rsidP="00925CAD">
            <w:pPr>
              <w:pStyle w:val="TableText"/>
              <w:numPr>
                <w:ilvl w:val="0"/>
                <w:numId w:val="61"/>
              </w:numPr>
            </w:pPr>
            <w:r w:rsidRPr="00266E59">
              <w:t>CPRS Reason for Request</w:t>
            </w:r>
          </w:p>
          <w:p w14:paraId="7ED2683F" w14:textId="77777777" w:rsidR="008E4599" w:rsidRPr="00266E59" w:rsidRDefault="008E4599" w:rsidP="00925CAD">
            <w:pPr>
              <w:pStyle w:val="TableText"/>
              <w:numPr>
                <w:ilvl w:val="0"/>
                <w:numId w:val="61"/>
              </w:numPr>
            </w:pPr>
            <w:r w:rsidRPr="00266E59">
              <w:t>CPRS Order Comment(s)</w:t>
            </w:r>
          </w:p>
          <w:p w14:paraId="68F64526" w14:textId="77777777" w:rsidR="008E4599" w:rsidRDefault="008E4599" w:rsidP="00925CAD">
            <w:pPr>
              <w:pStyle w:val="TableText"/>
              <w:numPr>
                <w:ilvl w:val="0"/>
                <w:numId w:val="61"/>
              </w:numPr>
            </w:pPr>
            <w:r>
              <w:t>Specimen Accession Number</w:t>
            </w:r>
          </w:p>
          <w:p w14:paraId="4AC7C435" w14:textId="77777777" w:rsidR="008E4599" w:rsidRDefault="008E4599" w:rsidP="00925CAD">
            <w:pPr>
              <w:pStyle w:val="TableText"/>
              <w:numPr>
                <w:ilvl w:val="0"/>
                <w:numId w:val="61"/>
              </w:numPr>
            </w:pPr>
            <w:r>
              <w:t xml:space="preserve">Specimen UID, if any </w:t>
            </w:r>
          </w:p>
          <w:p w14:paraId="6CBEF354" w14:textId="77777777" w:rsidR="008E4599" w:rsidRDefault="008E4599" w:rsidP="00925CAD">
            <w:pPr>
              <w:pStyle w:val="TableText"/>
              <w:numPr>
                <w:ilvl w:val="0"/>
                <w:numId w:val="61"/>
              </w:numPr>
            </w:pPr>
            <w:r>
              <w:t>Specimen unacceptable comment, if any</w:t>
            </w:r>
          </w:p>
          <w:p w14:paraId="7489C1B1" w14:textId="77777777" w:rsidR="008E4599" w:rsidRDefault="008E4599" w:rsidP="00925CAD">
            <w:pPr>
              <w:pStyle w:val="TableText"/>
              <w:numPr>
                <w:ilvl w:val="0"/>
                <w:numId w:val="61"/>
              </w:numPr>
            </w:pPr>
            <w:r>
              <w:t>Received Date, original and any updates</w:t>
            </w:r>
          </w:p>
          <w:p w14:paraId="63D89DF5" w14:textId="77777777" w:rsidR="008E4599" w:rsidRDefault="008E4599" w:rsidP="00925CAD">
            <w:pPr>
              <w:pStyle w:val="TableText"/>
              <w:numPr>
                <w:ilvl w:val="0"/>
                <w:numId w:val="61"/>
              </w:numPr>
            </w:pPr>
            <w:r>
              <w:t>Expiration Date, original and any updates</w:t>
            </w:r>
          </w:p>
          <w:p w14:paraId="0830A72F" w14:textId="77777777" w:rsidR="008E4599" w:rsidRDefault="008E4599" w:rsidP="00925CAD">
            <w:pPr>
              <w:pStyle w:val="TableText"/>
              <w:numPr>
                <w:ilvl w:val="0"/>
                <w:numId w:val="61"/>
              </w:numPr>
            </w:pPr>
            <w:r>
              <w:t>Accepting Technologist Name</w:t>
            </w:r>
          </w:p>
          <w:p w14:paraId="4D8A6E1F" w14:textId="77777777" w:rsidR="008E4599" w:rsidRDefault="008E4599" w:rsidP="00925CAD">
            <w:pPr>
              <w:pStyle w:val="TableText"/>
              <w:numPr>
                <w:ilvl w:val="0"/>
                <w:numId w:val="61"/>
              </w:numPr>
            </w:pPr>
            <w:r>
              <w:t>Acceptance Date and Time</w:t>
            </w:r>
          </w:p>
          <w:p w14:paraId="52AF7001" w14:textId="77777777" w:rsidR="008E4599" w:rsidRDefault="008E4599" w:rsidP="00925CAD">
            <w:pPr>
              <w:pStyle w:val="TableText"/>
              <w:numPr>
                <w:ilvl w:val="0"/>
                <w:numId w:val="61"/>
              </w:numPr>
            </w:pPr>
            <w:r>
              <w:t>Cancellation Date, if any</w:t>
            </w:r>
          </w:p>
          <w:p w14:paraId="2F68C0EA" w14:textId="77777777" w:rsidR="008E4599" w:rsidRDefault="008E4599" w:rsidP="00925CAD">
            <w:pPr>
              <w:pStyle w:val="TableText"/>
              <w:numPr>
                <w:ilvl w:val="0"/>
                <w:numId w:val="61"/>
              </w:numPr>
            </w:pPr>
            <w:r>
              <w:t>Cancellation Division</w:t>
            </w:r>
          </w:p>
          <w:p w14:paraId="60BD8FB9" w14:textId="77777777" w:rsidR="008E4599" w:rsidRDefault="008E4599" w:rsidP="00925CAD">
            <w:pPr>
              <w:pStyle w:val="TableText"/>
              <w:numPr>
                <w:ilvl w:val="0"/>
                <w:numId w:val="61"/>
              </w:numPr>
            </w:pPr>
            <w:r>
              <w:lastRenderedPageBreak/>
              <w:t>Cancellation Tech ID, if any</w:t>
            </w:r>
          </w:p>
          <w:p w14:paraId="633F8751" w14:textId="77777777" w:rsidR="008E4599" w:rsidRDefault="008E4599" w:rsidP="00925CAD">
            <w:pPr>
              <w:pStyle w:val="TableText"/>
              <w:numPr>
                <w:ilvl w:val="0"/>
                <w:numId w:val="61"/>
              </w:numPr>
            </w:pPr>
            <w:r>
              <w:t>Cancellation Comment, if any</w:t>
            </w:r>
          </w:p>
          <w:p w14:paraId="173729D6" w14:textId="77777777" w:rsidR="008E4599" w:rsidRDefault="008E4599" w:rsidP="00925CAD">
            <w:pPr>
              <w:pStyle w:val="TableText"/>
              <w:numPr>
                <w:ilvl w:val="0"/>
                <w:numId w:val="61"/>
              </w:numPr>
            </w:pPr>
            <w:r>
              <w:t>Ordering Provider</w:t>
            </w:r>
          </w:p>
          <w:p w14:paraId="3A4CB070" w14:textId="77777777" w:rsidR="008E4599" w:rsidRDefault="008E4599" w:rsidP="00925CAD">
            <w:pPr>
              <w:pStyle w:val="TableText"/>
              <w:numPr>
                <w:ilvl w:val="0"/>
                <w:numId w:val="61"/>
              </w:numPr>
            </w:pPr>
            <w:r>
              <w:t>Ordering Location</w:t>
            </w:r>
          </w:p>
          <w:p w14:paraId="2B198D48" w14:textId="77777777" w:rsidR="008E4599" w:rsidRDefault="008E4599" w:rsidP="00925CAD">
            <w:pPr>
              <w:pStyle w:val="TableText"/>
              <w:numPr>
                <w:ilvl w:val="0"/>
                <w:numId w:val="61"/>
              </w:numPr>
            </w:pPr>
            <w:r>
              <w:t>Treating Specialty (patient at time of order)</w:t>
            </w:r>
          </w:p>
          <w:p w14:paraId="0E4DDFC5" w14:textId="77777777" w:rsidR="008E4599" w:rsidRDefault="008E4599" w:rsidP="00925CAD">
            <w:pPr>
              <w:pStyle w:val="TableText"/>
              <w:numPr>
                <w:ilvl w:val="0"/>
                <w:numId w:val="61"/>
              </w:numPr>
            </w:pPr>
            <w:r>
              <w:rPr>
                <w:snapToGrid w:val="0"/>
              </w:rPr>
              <w:t>Component or Diagnostic Test originally ordered</w:t>
            </w:r>
          </w:p>
          <w:p w14:paraId="5C8E4F86" w14:textId="77777777" w:rsidR="008E4599" w:rsidRDefault="008E4599" w:rsidP="00925CAD">
            <w:pPr>
              <w:pStyle w:val="TableText"/>
              <w:numPr>
                <w:ilvl w:val="0"/>
                <w:numId w:val="61"/>
              </w:numPr>
            </w:pPr>
            <w:r>
              <w:t>All Added Reflex Tests, Date(s), and Requesting Tech Name</w:t>
            </w:r>
          </w:p>
          <w:p w14:paraId="5A8DA20B" w14:textId="77777777" w:rsidR="008E4599" w:rsidRDefault="008E4599" w:rsidP="00925CAD">
            <w:pPr>
              <w:pStyle w:val="TableText"/>
              <w:numPr>
                <w:ilvl w:val="0"/>
                <w:numId w:val="61"/>
              </w:numPr>
            </w:pPr>
            <w:r>
              <w:t>Inappropriate Request Information, if any</w:t>
            </w:r>
          </w:p>
          <w:p w14:paraId="068E5C16" w14:textId="77777777" w:rsidR="008E4599" w:rsidRDefault="008E4599" w:rsidP="00925CAD">
            <w:pPr>
              <w:pStyle w:val="TableText"/>
              <w:numPr>
                <w:ilvl w:val="0"/>
                <w:numId w:val="61"/>
              </w:numPr>
            </w:pPr>
            <w:r>
              <w:t>Workload name and VistA (LMIP) code after completion</w:t>
            </w:r>
          </w:p>
          <w:p w14:paraId="1E6F7489" w14:textId="77777777" w:rsidR="005B6A94" w:rsidRDefault="008E4599" w:rsidP="00925CAD">
            <w:pPr>
              <w:pStyle w:val="TableText"/>
              <w:numPr>
                <w:ilvl w:val="0"/>
                <w:numId w:val="61"/>
              </w:numPr>
            </w:pPr>
            <w:r>
              <w:t>Exception report section message: Exception report details are available as part of the patient’s record. Refer to the specimen section of the patient’s record.</w:t>
            </w:r>
          </w:p>
        </w:tc>
      </w:tr>
      <w:tr w:rsidR="00D45D8C" w14:paraId="5A8E1F50" w14:textId="77777777">
        <w:tc>
          <w:tcPr>
            <w:tcW w:w="3240" w:type="dxa"/>
            <w:tcBorders>
              <w:top w:val="single" w:sz="4" w:space="0" w:color="auto"/>
              <w:left w:val="single" w:sz="4" w:space="0" w:color="auto"/>
              <w:bottom w:val="single" w:sz="4" w:space="0" w:color="auto"/>
              <w:right w:val="single" w:sz="4" w:space="0" w:color="auto"/>
            </w:tcBorders>
          </w:tcPr>
          <w:p w14:paraId="237792DD" w14:textId="40528E14" w:rsidR="00D45D8C" w:rsidRDefault="00D45D8C" w:rsidP="00D45D8C">
            <w:pPr>
              <w:pStyle w:val="TableTextNumbers"/>
            </w:pPr>
            <w:r w:rsidRPr="0076371D">
              <w:lastRenderedPageBreak/>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2BBAD4C1" w14:textId="77777777" w:rsidR="00D45D8C" w:rsidRDefault="00D45D8C" w:rsidP="00D45D8C">
            <w:pPr>
              <w:pStyle w:val="TableTextBullet"/>
            </w:pPr>
            <w:r>
              <w:t>If Print is selected, prints the report on the designated printer.</w:t>
            </w:r>
          </w:p>
          <w:p w14:paraId="3980B92B" w14:textId="047B99F3" w:rsidR="00D45D8C" w:rsidRDefault="00D45D8C" w:rsidP="00D45D8C">
            <w:pPr>
              <w:pStyle w:val="TableTextBullet"/>
            </w:pPr>
            <w:r>
              <w:t>If Export is selected, exports the report to the designated file.</w:t>
            </w:r>
          </w:p>
          <w:p w14:paraId="3D49FD7B" w14:textId="712EB6FD" w:rsidR="00D45D8C" w:rsidRDefault="00D45D8C" w:rsidP="00D45D8C">
            <w:pPr>
              <w:pStyle w:val="TableTextBullet"/>
            </w:pPr>
            <w:r>
              <w:t>If Close is selected, exits the report preview.</w:t>
            </w:r>
          </w:p>
        </w:tc>
      </w:tr>
    </w:tbl>
    <w:p w14:paraId="4E2CD9A7" w14:textId="77777777" w:rsidR="002A21AE" w:rsidRDefault="00F55832">
      <w:pPr>
        <w:pStyle w:val="Heading2"/>
      </w:pPr>
      <w:r>
        <w:br w:type="page"/>
      </w:r>
      <w:bookmarkStart w:id="549" w:name="_Toc163644982"/>
      <w:r w:rsidR="002A21AE">
        <w:lastRenderedPageBreak/>
        <w:t>Patient History Report</w:t>
      </w:r>
      <w:bookmarkEnd w:id="549"/>
      <w:r w:rsidR="002A21AE">
        <w:fldChar w:fldCharType="begin"/>
      </w:r>
      <w:r w:rsidR="002A21AE">
        <w:instrText xml:space="preserve"> XE </w:instrText>
      </w:r>
      <w:r w:rsidR="00FA7E65">
        <w:instrText>“</w:instrText>
      </w:r>
      <w:r w:rsidR="002A21AE">
        <w:instrText>Patient History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UC_101</w:t>
      </w:r>
    </w:p>
    <w:p w14:paraId="29A6C1F2" w14:textId="77777777" w:rsidR="002A21AE" w:rsidRDefault="002A21AE" w:rsidP="00FA7E65">
      <w:pPr>
        <w:pStyle w:val="BodyText"/>
      </w:pPr>
      <w:r>
        <w:t>The user views and</w:t>
      </w:r>
      <w:r w:rsidR="000054DE">
        <w:t>/or</w:t>
      </w:r>
      <w:r>
        <w:t xml:space="preserve"> prints </w:t>
      </w:r>
      <w:r w:rsidR="000054DE">
        <w:t>the Patient History Report</w:t>
      </w:r>
      <w:r>
        <w:t>.</w:t>
      </w:r>
    </w:p>
    <w:p w14:paraId="7D6B386D" w14:textId="77777777" w:rsidR="002A21AE" w:rsidRDefault="002A21AE">
      <w:pPr>
        <w:pStyle w:val="Heading4"/>
      </w:pPr>
      <w:bookmarkStart w:id="550" w:name="_Toc94349358"/>
      <w:r>
        <w:t>Assumptions</w:t>
      </w:r>
      <w:bookmarkEnd w:id="550"/>
      <w:r>
        <w:rPr>
          <w:b w:val="0"/>
        </w:rPr>
        <w:t xml:space="preserve"> </w:t>
      </w:r>
    </w:p>
    <w:p w14:paraId="1560B3CC" w14:textId="77777777" w:rsidR="002A21AE" w:rsidRDefault="002A21AE">
      <w:pPr>
        <w:pStyle w:val="ListBullet"/>
      </w:pPr>
      <w:r>
        <w:t>VBECS displays the report header even when there is no information in the report.</w:t>
      </w:r>
    </w:p>
    <w:p w14:paraId="39DE58E0" w14:textId="77777777" w:rsidR="002A21AE" w:rsidRDefault="002A21AE">
      <w:pPr>
        <w:pStyle w:val="Heading4"/>
      </w:pPr>
      <w:bookmarkStart w:id="551" w:name="_Toc94349359"/>
      <w:r>
        <w:t>Outcome</w:t>
      </w:r>
      <w:bookmarkEnd w:id="551"/>
      <w:r>
        <w:t xml:space="preserve"> </w:t>
      </w:r>
    </w:p>
    <w:p w14:paraId="220452F5" w14:textId="77777777" w:rsidR="002A21AE" w:rsidRDefault="002A21AE">
      <w:pPr>
        <w:pStyle w:val="ListBullet"/>
      </w:pPr>
      <w:r>
        <w:t>The user views and prints a patient’s VBECS record.</w:t>
      </w:r>
    </w:p>
    <w:p w14:paraId="1AEF42B8" w14:textId="77777777" w:rsidR="002A21AE" w:rsidRDefault="002A21AE">
      <w:pPr>
        <w:pStyle w:val="Heading4"/>
      </w:pPr>
      <w:bookmarkStart w:id="552" w:name="_Toc94349360"/>
      <w:r>
        <w:t>Limitations and Restrictions</w:t>
      </w:r>
      <w:bookmarkEnd w:id="552"/>
      <w:r>
        <w:rPr>
          <w:b w:val="0"/>
        </w:rPr>
        <w:t xml:space="preserve"> </w:t>
      </w:r>
    </w:p>
    <w:p w14:paraId="67DF4BC8" w14:textId="2D98EFCC" w:rsidR="002A21AE" w:rsidRPr="00D94DA3" w:rsidRDefault="00831D8F">
      <w:pPr>
        <w:pStyle w:val="ListBullet"/>
      </w:pPr>
      <w:r>
        <w:t>When units are restricted for a patient during Incoming Shipment, VBECS does not display the</w:t>
      </w:r>
      <w:r w:rsidR="006E3236">
        <w:t>m on the Patient History Report</w:t>
      </w:r>
      <w:r w:rsidR="002A21AE">
        <w:t>.</w:t>
      </w:r>
      <w:r>
        <w:t xml:space="preserve"> </w:t>
      </w:r>
      <w:r w:rsidR="001D3AF6">
        <w:rPr>
          <w:vanish/>
        </w:rPr>
        <w:t>Defect 212160</w:t>
      </w:r>
    </w:p>
    <w:p w14:paraId="7C6B27AC" w14:textId="77777777" w:rsidR="00D94DA3" w:rsidRDefault="00D94DA3" w:rsidP="00D94DA3">
      <w:pPr>
        <w:pStyle w:val="ListBullet"/>
      </w:pPr>
      <w:r>
        <w:t xml:space="preserve">VBECS displays these default values </w:t>
      </w:r>
      <w:r w:rsidR="00FF5006">
        <w:t>for</w:t>
      </w:r>
      <w:r>
        <w:t xml:space="preserve"> transfusion reactions converted from VistA to VBECS. </w:t>
      </w:r>
      <w:r w:rsidR="00FF5006">
        <w:t>They do not</w:t>
      </w:r>
      <w:r>
        <w:t xml:space="preserve"> </w:t>
      </w:r>
      <w:r w:rsidR="00FF5006">
        <w:t>reflect actual interpretations or results:</w:t>
      </w:r>
      <w:r w:rsidR="00FF5006" w:rsidRPr="00FF5006">
        <w:rPr>
          <w:vanish/>
        </w:rPr>
        <w:t xml:space="preserve"> (DR 2,724)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FF5006" w:rsidRPr="00887834" w14:paraId="19DF46D8" w14:textId="77777777">
        <w:trPr>
          <w:tblHeader/>
        </w:trPr>
        <w:tc>
          <w:tcPr>
            <w:tcW w:w="4428" w:type="dxa"/>
            <w:shd w:val="clear" w:color="auto" w:fill="B3B3B3"/>
          </w:tcPr>
          <w:p w14:paraId="35DDE087" w14:textId="77777777" w:rsidR="00FF5006" w:rsidRPr="00887834" w:rsidRDefault="00FF5006" w:rsidP="00FF5006">
            <w:pPr>
              <w:pStyle w:val="TableText"/>
              <w:rPr>
                <w:b/>
              </w:rPr>
            </w:pPr>
            <w:r w:rsidRPr="00887834">
              <w:rPr>
                <w:b/>
              </w:rPr>
              <w:t>Converted Transfusion Reaction</w:t>
            </w:r>
          </w:p>
        </w:tc>
        <w:tc>
          <w:tcPr>
            <w:tcW w:w="2772" w:type="dxa"/>
            <w:shd w:val="clear" w:color="auto" w:fill="B3B3B3"/>
          </w:tcPr>
          <w:p w14:paraId="1BFB7C61" w14:textId="77777777" w:rsidR="00FF5006" w:rsidRPr="00887834" w:rsidRDefault="00FF5006" w:rsidP="00FF5006">
            <w:pPr>
              <w:pStyle w:val="TableText"/>
              <w:rPr>
                <w:b/>
              </w:rPr>
            </w:pPr>
            <w:r w:rsidRPr="00887834">
              <w:rPr>
                <w:b/>
              </w:rPr>
              <w:t>Default</w:t>
            </w:r>
          </w:p>
        </w:tc>
      </w:tr>
      <w:tr w:rsidR="00FF5006" w14:paraId="78B9CA1A" w14:textId="77777777">
        <w:tc>
          <w:tcPr>
            <w:tcW w:w="4428" w:type="dxa"/>
          </w:tcPr>
          <w:p w14:paraId="25AD8963" w14:textId="77777777" w:rsidR="00FF5006" w:rsidRDefault="00FF5006" w:rsidP="00FF5006">
            <w:pPr>
              <w:pStyle w:val="TableText"/>
            </w:pPr>
            <w:r>
              <w:t xml:space="preserve">Pre-Transfusion Specimen Checks, Hemolysis Checks OK? </w:t>
            </w:r>
          </w:p>
        </w:tc>
        <w:tc>
          <w:tcPr>
            <w:tcW w:w="2772" w:type="dxa"/>
          </w:tcPr>
          <w:p w14:paraId="0D7C684B" w14:textId="77777777" w:rsidR="00FF5006" w:rsidRDefault="00FF5006" w:rsidP="00FF5006">
            <w:pPr>
              <w:pStyle w:val="TableText"/>
            </w:pPr>
            <w:r>
              <w:t>Yes</w:t>
            </w:r>
          </w:p>
        </w:tc>
      </w:tr>
      <w:tr w:rsidR="00FF5006" w14:paraId="33C7CDFF" w14:textId="77777777">
        <w:tc>
          <w:tcPr>
            <w:tcW w:w="4428" w:type="dxa"/>
          </w:tcPr>
          <w:p w14:paraId="0A8B44E1" w14:textId="77777777" w:rsidR="00FF5006" w:rsidRDefault="00FF5006" w:rsidP="00FF5006">
            <w:pPr>
              <w:pStyle w:val="TableText"/>
            </w:pPr>
            <w:r>
              <w:t xml:space="preserve">Post-Transfusion Specimen Checks, Hemolysis Checks OK? </w:t>
            </w:r>
          </w:p>
        </w:tc>
        <w:tc>
          <w:tcPr>
            <w:tcW w:w="2772" w:type="dxa"/>
          </w:tcPr>
          <w:p w14:paraId="1BDE21EA" w14:textId="77777777" w:rsidR="00FF5006" w:rsidRDefault="00FF5006" w:rsidP="00FF5006">
            <w:pPr>
              <w:pStyle w:val="TableText"/>
            </w:pPr>
            <w:r>
              <w:t>Yes</w:t>
            </w:r>
          </w:p>
        </w:tc>
      </w:tr>
      <w:tr w:rsidR="00FF5006" w14:paraId="583934E2" w14:textId="77777777">
        <w:tc>
          <w:tcPr>
            <w:tcW w:w="4428" w:type="dxa"/>
          </w:tcPr>
          <w:p w14:paraId="13368E20" w14:textId="77777777" w:rsidR="00FF5006" w:rsidRDefault="00A1063F" w:rsidP="00FF5006">
            <w:pPr>
              <w:pStyle w:val="TableText"/>
            </w:pPr>
            <w:r>
              <w:t>Symptoms</w:t>
            </w:r>
          </w:p>
        </w:tc>
        <w:tc>
          <w:tcPr>
            <w:tcW w:w="2772" w:type="dxa"/>
          </w:tcPr>
          <w:p w14:paraId="2EF716FA" w14:textId="77777777" w:rsidR="00FF5006" w:rsidRDefault="00FF5006" w:rsidP="00FF5006">
            <w:pPr>
              <w:pStyle w:val="TableText"/>
            </w:pPr>
            <w:r>
              <w:t>No symptoms identified.</w:t>
            </w:r>
          </w:p>
        </w:tc>
      </w:tr>
      <w:tr w:rsidR="00FF5006" w14:paraId="277F0727" w14:textId="77777777">
        <w:tc>
          <w:tcPr>
            <w:tcW w:w="4428" w:type="dxa"/>
          </w:tcPr>
          <w:p w14:paraId="25AEA78E" w14:textId="77777777" w:rsidR="00FF5006" w:rsidRDefault="00FF5006" w:rsidP="00FF5006">
            <w:pPr>
              <w:pStyle w:val="TableText"/>
            </w:pPr>
            <w:r>
              <w:t>Implicated units</w:t>
            </w:r>
          </w:p>
        </w:tc>
        <w:tc>
          <w:tcPr>
            <w:tcW w:w="2772" w:type="dxa"/>
          </w:tcPr>
          <w:p w14:paraId="385ECA2E" w14:textId="77777777" w:rsidR="00FF5006" w:rsidRDefault="00FF5006" w:rsidP="00FF5006">
            <w:pPr>
              <w:pStyle w:val="TableText"/>
            </w:pPr>
            <w:r>
              <w:t>No units implicated in reaction.</w:t>
            </w:r>
          </w:p>
        </w:tc>
      </w:tr>
      <w:tr w:rsidR="00FF5006" w14:paraId="7F3FD19D" w14:textId="77777777">
        <w:tc>
          <w:tcPr>
            <w:tcW w:w="4428" w:type="dxa"/>
          </w:tcPr>
          <w:p w14:paraId="4F421EBC" w14:textId="77777777" w:rsidR="00FF5006" w:rsidRDefault="00FF5006" w:rsidP="00FF5006">
            <w:pPr>
              <w:pStyle w:val="TableText"/>
            </w:pPr>
            <w:r>
              <w:t>Serologic tests</w:t>
            </w:r>
          </w:p>
        </w:tc>
        <w:tc>
          <w:tcPr>
            <w:tcW w:w="2772" w:type="dxa"/>
          </w:tcPr>
          <w:p w14:paraId="36A1FBA6" w14:textId="77777777" w:rsidR="00FF5006" w:rsidRDefault="00FF5006" w:rsidP="00FF5006">
            <w:pPr>
              <w:pStyle w:val="TableText"/>
            </w:pPr>
            <w:r>
              <w:t>No serologic tests performed.</w:t>
            </w:r>
          </w:p>
        </w:tc>
      </w:tr>
    </w:tbl>
    <w:p w14:paraId="4E596AB9" w14:textId="77777777" w:rsidR="002A21AE" w:rsidRDefault="002A21AE">
      <w:pPr>
        <w:pStyle w:val="Heading4"/>
      </w:pPr>
      <w:bookmarkStart w:id="553" w:name="_Toc94349361"/>
      <w:r>
        <w:t>Additional Information</w:t>
      </w:r>
      <w:bookmarkEnd w:id="553"/>
      <w:r>
        <w:t xml:space="preserve"> </w:t>
      </w:r>
    </w:p>
    <w:p w14:paraId="57600A41" w14:textId="77777777" w:rsidR="00831D8F" w:rsidRDefault="00831D8F" w:rsidP="00831D8F">
      <w:pPr>
        <w:pStyle w:val="ListBullet"/>
      </w:pPr>
      <w:r>
        <w:t>The patient record report is divided into sections for report retrieval.</w:t>
      </w:r>
    </w:p>
    <w:p w14:paraId="1A7651A8" w14:textId="77777777" w:rsidR="004F0553" w:rsidRDefault="004F0553">
      <w:pPr>
        <w:pStyle w:val="ListBullet"/>
      </w:pPr>
      <w:r>
        <w:t>This report includes:</w:t>
      </w:r>
    </w:p>
    <w:p w14:paraId="48275F0A" w14:textId="77777777" w:rsidR="004F0553" w:rsidRDefault="004F0553" w:rsidP="004F0553">
      <w:pPr>
        <w:pStyle w:val="ListBullet2"/>
      </w:pPr>
      <w:r>
        <w:t>Post-transfusion details.</w:t>
      </w:r>
    </w:p>
    <w:p w14:paraId="2975E7A3" w14:textId="77777777" w:rsidR="002A21AE" w:rsidRDefault="004F0553" w:rsidP="004F0553">
      <w:pPr>
        <w:pStyle w:val="ListBullet2"/>
      </w:pPr>
      <w:r>
        <w:t>Data</w:t>
      </w:r>
      <w:r w:rsidR="002A21AE">
        <w:t xml:space="preserve"> from all divisions within the database.</w:t>
      </w:r>
    </w:p>
    <w:p w14:paraId="2B442C5C" w14:textId="77777777" w:rsidR="002A21AE" w:rsidRDefault="002A21AE">
      <w:pPr>
        <w:pStyle w:val="Heading4"/>
        <w:rPr>
          <w:b w:val="0"/>
        </w:rPr>
      </w:pPr>
      <w:bookmarkStart w:id="554" w:name="_Toc94349362"/>
      <w:r>
        <w:t>User Roles with Access to This Option</w:t>
      </w:r>
      <w:bookmarkEnd w:id="554"/>
      <w:r>
        <w:rPr>
          <w:b w:val="0"/>
        </w:rPr>
        <w:t xml:space="preserve"> </w:t>
      </w:r>
    </w:p>
    <w:p w14:paraId="71669E95" w14:textId="77777777" w:rsidR="002A21AE" w:rsidRDefault="00184EA4">
      <w:pPr>
        <w:pStyle w:val="Roles"/>
      </w:pPr>
      <w:r>
        <w:t>All users</w:t>
      </w:r>
    </w:p>
    <w:p w14:paraId="08DEC02E" w14:textId="77777777" w:rsidR="002A21AE" w:rsidRDefault="002A21AE">
      <w:pPr>
        <w:pStyle w:val="Heading4"/>
      </w:pPr>
      <w:bookmarkStart w:id="555" w:name="_Toc94349363"/>
      <w:r>
        <w:t>Patient History Report</w:t>
      </w:r>
      <w:bookmarkEnd w:id="555"/>
    </w:p>
    <w:p w14:paraId="647F5689" w14:textId="77777777" w:rsidR="002A21AE" w:rsidRDefault="002A21AE" w:rsidP="00FA7E65">
      <w:pPr>
        <w:pStyle w:val="BodyText"/>
      </w:pPr>
      <w:r>
        <w:t>The user views and/or prints the patient’s VBECS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0909013" w14:textId="77777777">
        <w:trPr>
          <w:tblHeader/>
        </w:trPr>
        <w:tc>
          <w:tcPr>
            <w:tcW w:w="3240" w:type="dxa"/>
            <w:shd w:val="pct30" w:color="auto" w:fill="FFFFFF"/>
            <w:vAlign w:val="bottom"/>
          </w:tcPr>
          <w:p w14:paraId="0427BDF5" w14:textId="77777777" w:rsidR="002A21AE" w:rsidRDefault="002A21AE">
            <w:pPr>
              <w:pStyle w:val="TableText"/>
              <w:rPr>
                <w:b/>
              </w:rPr>
            </w:pPr>
            <w:r>
              <w:rPr>
                <w:b/>
              </w:rPr>
              <w:t>User Action</w:t>
            </w:r>
          </w:p>
        </w:tc>
        <w:tc>
          <w:tcPr>
            <w:tcW w:w="6120" w:type="dxa"/>
            <w:shd w:val="pct30" w:color="auto" w:fill="FFFFFF"/>
            <w:vAlign w:val="bottom"/>
          </w:tcPr>
          <w:p w14:paraId="03AF20F9" w14:textId="77777777" w:rsidR="002A21AE" w:rsidRDefault="002A21AE">
            <w:pPr>
              <w:pStyle w:val="TableText"/>
              <w:rPr>
                <w:b/>
              </w:rPr>
            </w:pPr>
            <w:r>
              <w:rPr>
                <w:b/>
              </w:rPr>
              <w:t>VBECS</w:t>
            </w:r>
          </w:p>
        </w:tc>
      </w:tr>
      <w:tr w:rsidR="002A21AE" w14:paraId="6FC27939" w14:textId="77777777">
        <w:tc>
          <w:tcPr>
            <w:tcW w:w="3240" w:type="dxa"/>
          </w:tcPr>
          <w:p w14:paraId="74F41BC4" w14:textId="77777777" w:rsidR="002A21AE" w:rsidRDefault="002A21AE">
            <w:pPr>
              <w:pStyle w:val="TableTextNumbers"/>
            </w:pPr>
            <w:r>
              <w:t xml:space="preserve">Select </w:t>
            </w:r>
            <w:r>
              <w:rPr>
                <w:b/>
              </w:rPr>
              <w:t>Patients</w:t>
            </w:r>
            <w:r>
              <w:t xml:space="preserve"> or </w:t>
            </w:r>
            <w:r>
              <w:rPr>
                <w:b/>
              </w:rPr>
              <w:t>Reports</w:t>
            </w:r>
            <w:r>
              <w:t xml:space="preserve"> from the main menu.</w:t>
            </w:r>
          </w:p>
          <w:p w14:paraId="53DA1993" w14:textId="77777777" w:rsidR="002A21AE" w:rsidRDefault="002A21AE">
            <w:pPr>
              <w:pStyle w:val="TableTextNumbersContinued"/>
            </w:pPr>
          </w:p>
          <w:p w14:paraId="7114017A" w14:textId="77777777" w:rsidR="002A21AE" w:rsidRDefault="002A21AE">
            <w:pPr>
              <w:pStyle w:val="TableTextNumbersContinued"/>
            </w:pPr>
            <w:r>
              <w:t xml:space="preserve">Select </w:t>
            </w:r>
            <w:r>
              <w:rPr>
                <w:b/>
              </w:rPr>
              <w:t>Patient History Report</w:t>
            </w:r>
            <w:r>
              <w:t>.</w:t>
            </w:r>
          </w:p>
        </w:tc>
        <w:tc>
          <w:tcPr>
            <w:tcW w:w="6120" w:type="dxa"/>
          </w:tcPr>
          <w:p w14:paraId="2789A6CC" w14:textId="77777777" w:rsidR="002A21AE" w:rsidRDefault="002A21AE">
            <w:pPr>
              <w:pStyle w:val="TableTextBullet"/>
            </w:pPr>
            <w:r>
              <w:t>Displays options for processing patient-related functions, or for generating, viewing, and printing reports.</w:t>
            </w:r>
          </w:p>
          <w:p w14:paraId="66D0B527" w14:textId="77777777" w:rsidR="002A21AE" w:rsidRDefault="002A21AE">
            <w:pPr>
              <w:pStyle w:val="TableTextBullet"/>
            </w:pPr>
            <w:r>
              <w:t>Displays report sections and compilation criteria.</w:t>
            </w:r>
          </w:p>
        </w:tc>
      </w:tr>
      <w:tr w:rsidR="002A21AE" w14:paraId="115C29AE" w14:textId="77777777" w:rsidTr="00305B16">
        <w:trPr>
          <w:cantSplit/>
        </w:trPr>
        <w:tc>
          <w:tcPr>
            <w:tcW w:w="3240" w:type="dxa"/>
          </w:tcPr>
          <w:p w14:paraId="12B17AAB" w14:textId="77777777" w:rsidR="002A21AE" w:rsidRDefault="002A21AE">
            <w:pPr>
              <w:pStyle w:val="TableTextNumbers"/>
            </w:pPr>
            <w:r>
              <w:lastRenderedPageBreak/>
              <w:t xml:space="preserve">Enter the patient name </w:t>
            </w:r>
            <w:r w:rsidRPr="00945BF5">
              <w:t>and/or ID</w:t>
            </w:r>
            <w:r>
              <w:t xml:space="preserve">, or click the </w:t>
            </w:r>
            <w:r w:rsidR="00A6373D" w:rsidRPr="00945BF5">
              <w:rPr>
                <w:b/>
              </w:rPr>
              <w:t>find</w:t>
            </w:r>
            <w:r>
              <w:rPr>
                <w:b/>
              </w:rPr>
              <w:t xml:space="preserve"> </w:t>
            </w:r>
            <w:r w:rsidRPr="00D1100E">
              <w:t>button</w:t>
            </w:r>
            <w:r>
              <w:t xml:space="preserve"> to search for patient data.</w:t>
            </w:r>
          </w:p>
          <w:p w14:paraId="3DBBA872" w14:textId="77777777" w:rsidR="002A21AE" w:rsidRDefault="002A21AE">
            <w:pPr>
              <w:pStyle w:val="TableTextNumbersContinued"/>
            </w:pPr>
          </w:p>
          <w:p w14:paraId="6339EB56" w14:textId="77777777" w:rsidR="002A21AE" w:rsidRDefault="002A21AE">
            <w:pPr>
              <w:pStyle w:val="TableTextNumbersContinued"/>
            </w:pPr>
            <w:r>
              <w:t xml:space="preserve">Click </w:t>
            </w:r>
            <w:r>
              <w:rPr>
                <w:b/>
              </w:rPr>
              <w:t>OK</w:t>
            </w:r>
            <w:r>
              <w:t>.</w:t>
            </w:r>
          </w:p>
        </w:tc>
        <w:tc>
          <w:tcPr>
            <w:tcW w:w="6120" w:type="dxa"/>
          </w:tcPr>
          <w:p w14:paraId="40063ED9" w14:textId="77777777" w:rsidR="002A21AE" w:rsidRDefault="002A21AE">
            <w:pPr>
              <w:pStyle w:val="TableTextBullet"/>
              <w:tabs>
                <w:tab w:val="num" w:pos="360"/>
              </w:tabs>
            </w:pPr>
            <w:r>
              <w:t>Allows the entry or selection of a patient.</w:t>
            </w:r>
          </w:p>
          <w:p w14:paraId="4AA5E74B" w14:textId="77777777" w:rsidR="002A21AE" w:rsidRDefault="002A21AE">
            <w:pPr>
              <w:pStyle w:val="TableTextBullet"/>
              <w:tabs>
                <w:tab w:val="num" w:pos="360"/>
              </w:tabs>
            </w:pPr>
            <w:r>
              <w:t>Displays the patient report section types for selection:</w:t>
            </w:r>
          </w:p>
          <w:p w14:paraId="59A707A1" w14:textId="77777777" w:rsidR="002A21AE" w:rsidRDefault="002A21AE">
            <w:pPr>
              <w:pStyle w:val="TableTextBullet1"/>
            </w:pPr>
            <w:r>
              <w:t>Patient Demographic History</w:t>
            </w:r>
          </w:p>
          <w:p w14:paraId="77DC8E17" w14:textId="77777777" w:rsidR="002A21AE" w:rsidRDefault="002A21AE">
            <w:pPr>
              <w:pStyle w:val="TableTextBullet1"/>
            </w:pPr>
            <w:r>
              <w:t>Transfusion Requirements</w:t>
            </w:r>
          </w:p>
          <w:p w14:paraId="63440A0E" w14:textId="77777777" w:rsidR="002A21AE" w:rsidRDefault="002A21AE">
            <w:pPr>
              <w:pStyle w:val="TableTextBullet1"/>
            </w:pPr>
            <w:r>
              <w:t>Testing Details</w:t>
            </w:r>
          </w:p>
          <w:p w14:paraId="4442A51C" w14:textId="77777777" w:rsidR="002A21AE" w:rsidRDefault="002A21AE">
            <w:pPr>
              <w:pStyle w:val="TableTextBullet1"/>
            </w:pPr>
            <w:r>
              <w:t>Unit Assignment History</w:t>
            </w:r>
          </w:p>
          <w:p w14:paraId="4BC4FDD6" w14:textId="77777777" w:rsidR="002A21AE" w:rsidRDefault="002A21AE">
            <w:pPr>
              <w:pStyle w:val="TableTextBullet1"/>
            </w:pPr>
            <w:r>
              <w:t>Transfusion History</w:t>
            </w:r>
          </w:p>
          <w:p w14:paraId="5F4ACC56" w14:textId="77777777" w:rsidR="002A21AE" w:rsidRDefault="002A21AE">
            <w:pPr>
              <w:pStyle w:val="TableTextBullet1"/>
            </w:pPr>
            <w:r>
              <w:t>Specimen Details</w:t>
            </w:r>
          </w:p>
          <w:p w14:paraId="538DF807" w14:textId="77777777" w:rsidR="002A21AE" w:rsidRDefault="002A21AE">
            <w:pPr>
              <w:pStyle w:val="TableTextBullet1"/>
            </w:pPr>
            <w:r>
              <w:t>Special Instructions</w:t>
            </w:r>
          </w:p>
          <w:p w14:paraId="0870F6E5" w14:textId="77777777" w:rsidR="002A21AE" w:rsidRDefault="002A21AE">
            <w:pPr>
              <w:pStyle w:val="TableTextBullet1"/>
            </w:pPr>
            <w:r>
              <w:t>Transfusion Reaction Details</w:t>
            </w:r>
          </w:p>
          <w:p w14:paraId="70BC5434" w14:textId="77777777" w:rsidR="002A21AE" w:rsidRDefault="002A21AE">
            <w:pPr>
              <w:pStyle w:val="TableTextBullet1"/>
            </w:pPr>
            <w:r>
              <w:t>Exception Report Entries</w:t>
            </w:r>
          </w:p>
          <w:p w14:paraId="03F744C2" w14:textId="77777777" w:rsidR="002A21AE" w:rsidRDefault="002A21AE">
            <w:pPr>
              <w:pStyle w:val="TableTextBullet1"/>
            </w:pPr>
            <w:r>
              <w:t>Assignments/Releases</w:t>
            </w:r>
          </w:p>
          <w:p w14:paraId="40156F50" w14:textId="77777777" w:rsidR="002A21AE" w:rsidRDefault="002A21AE">
            <w:pPr>
              <w:pStyle w:val="TableTextBullet1"/>
            </w:pPr>
            <w:r>
              <w:t>Audit Trail Report</w:t>
            </w:r>
          </w:p>
        </w:tc>
      </w:tr>
      <w:tr w:rsidR="002A21AE" w14:paraId="01369482" w14:textId="77777777">
        <w:tc>
          <w:tcPr>
            <w:tcW w:w="3240" w:type="dxa"/>
          </w:tcPr>
          <w:p w14:paraId="17B7B4FB" w14:textId="77777777" w:rsidR="002A21AE" w:rsidRDefault="002A21AE">
            <w:pPr>
              <w:pStyle w:val="TableTextNumbers"/>
            </w:pPr>
            <w:r>
              <w:t>Select one or more sections to include in the report.</w:t>
            </w:r>
          </w:p>
        </w:tc>
        <w:tc>
          <w:tcPr>
            <w:tcW w:w="6120" w:type="dxa"/>
          </w:tcPr>
          <w:p w14:paraId="7DA6C092" w14:textId="77777777" w:rsidR="002A21AE" w:rsidRDefault="002A21AE">
            <w:pPr>
              <w:pStyle w:val="TableText"/>
            </w:pPr>
          </w:p>
        </w:tc>
      </w:tr>
      <w:tr w:rsidR="002A21AE" w14:paraId="64011988" w14:textId="77777777">
        <w:tc>
          <w:tcPr>
            <w:tcW w:w="3240" w:type="dxa"/>
          </w:tcPr>
          <w:p w14:paraId="25EBEF42" w14:textId="77777777" w:rsidR="002A21AE" w:rsidRDefault="002A21AE">
            <w:pPr>
              <w:pStyle w:val="TableTextNumbers"/>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7467B03" w14:textId="77777777" w:rsidR="002A21AE" w:rsidRDefault="002A21AE">
            <w:pPr>
              <w:pStyle w:val="TableTextBullet"/>
              <w:tabs>
                <w:tab w:val="num" w:pos="360"/>
              </w:tabs>
            </w:pPr>
            <w:r>
              <w:t>Compiles and displays the report.</w:t>
            </w:r>
          </w:p>
          <w:p w14:paraId="15EA04BC" w14:textId="77777777" w:rsidR="002A21AE" w:rsidRDefault="002A21AE">
            <w:pPr>
              <w:pStyle w:val="TableTextBullet"/>
              <w:tabs>
                <w:tab w:val="num" w:pos="360"/>
              </w:tabs>
            </w:pPr>
            <w:r>
              <w:t xml:space="preserve">Allows the user to print the report. </w:t>
            </w:r>
          </w:p>
          <w:p w14:paraId="4DC46BF9" w14:textId="77777777" w:rsidR="002A21AE" w:rsidRDefault="002A21AE">
            <w:pPr>
              <w:pStyle w:val="TableText"/>
            </w:pPr>
          </w:p>
          <w:p w14:paraId="036F1AD5" w14:textId="1D30F1BD" w:rsidR="002A21AE" w:rsidRDefault="002A21AE">
            <w:pPr>
              <w:pStyle w:val="TableText"/>
              <w:rPr>
                <w:b/>
                <w:bCs/>
              </w:rPr>
            </w:pPr>
            <w:r>
              <w:rPr>
                <w:b/>
                <w:bCs/>
              </w:rPr>
              <w:t>NOTES</w:t>
            </w:r>
          </w:p>
          <w:p w14:paraId="58651C05" w14:textId="77777777" w:rsidR="002A21AE" w:rsidRDefault="002A21AE">
            <w:pPr>
              <w:pStyle w:val="NotesText"/>
            </w:pPr>
          </w:p>
          <w:p w14:paraId="39F0BFF6" w14:textId="77777777" w:rsidR="005B6A94" w:rsidRDefault="002A21AE" w:rsidP="00E90A01">
            <w:pPr>
              <w:pStyle w:val="NotesText"/>
            </w:pPr>
            <w:r>
              <w:rPr>
                <w:rFonts w:cs="Arial"/>
                <w:vanish/>
              </w:rPr>
              <w:t xml:space="preserve">BR_101.04 </w:t>
            </w:r>
            <w:r>
              <w:t xml:space="preserve">When the patient has an ABO/Rh as the result of a conversion, VBECS displays a message in the Transfusion History section instructing the user to check the legacy records for </w:t>
            </w:r>
            <w:r w:rsidR="00E90A01">
              <w:t>additional</w:t>
            </w:r>
            <w:r>
              <w:t xml:space="preserve"> information.</w:t>
            </w:r>
          </w:p>
        </w:tc>
      </w:tr>
      <w:tr w:rsidR="002A21AE" w14:paraId="1EAC54D0" w14:textId="77777777">
        <w:tc>
          <w:tcPr>
            <w:tcW w:w="3240" w:type="dxa"/>
          </w:tcPr>
          <w:p w14:paraId="193D5618" w14:textId="5272BF2A"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4E81DE2D" w14:textId="77777777" w:rsidR="00D45D8C" w:rsidRDefault="00D45D8C" w:rsidP="00D45D8C">
            <w:pPr>
              <w:pStyle w:val="TableTextBullet"/>
            </w:pPr>
            <w:r>
              <w:t>If Print is selected, prints the report on the designated printer.</w:t>
            </w:r>
          </w:p>
          <w:p w14:paraId="6735357E" w14:textId="77777777" w:rsidR="00D45D8C" w:rsidRDefault="00D45D8C" w:rsidP="00D45D8C">
            <w:pPr>
              <w:pStyle w:val="TableTextBullet"/>
            </w:pPr>
            <w:r>
              <w:t>If Export is selected, exports the report to the designated file.</w:t>
            </w:r>
          </w:p>
          <w:p w14:paraId="611C8878" w14:textId="7F52181C" w:rsidR="002A21AE" w:rsidRDefault="00D45D8C" w:rsidP="00D45D8C">
            <w:pPr>
              <w:pStyle w:val="TableTextBullet"/>
            </w:pPr>
            <w:r>
              <w:t>If Close is selected, exits the report preview.</w:t>
            </w:r>
          </w:p>
        </w:tc>
      </w:tr>
    </w:tbl>
    <w:p w14:paraId="6A22DB01" w14:textId="4DE43D83" w:rsidR="002A21AE" w:rsidRDefault="00F55832" w:rsidP="00246E50">
      <w:pPr>
        <w:pStyle w:val="Heading2"/>
      </w:pPr>
      <w:r>
        <w:br w:type="page"/>
      </w:r>
      <w:bookmarkStart w:id="556" w:name="_Toc163644983"/>
      <w:r w:rsidR="000E7760">
        <w:lastRenderedPageBreak/>
        <w:t>Patient Testing Worklist and Testing Worklist Reports</w:t>
      </w:r>
      <w:bookmarkEnd w:id="556"/>
      <w:r w:rsidR="002A21AE">
        <w:fldChar w:fldCharType="begin"/>
      </w:r>
      <w:r w:rsidR="002A21AE">
        <w:instrText xml:space="preserve"> XE </w:instrText>
      </w:r>
      <w:r w:rsidR="00FA7E65">
        <w:instrText>“</w:instrText>
      </w:r>
      <w:r w:rsidR="000E7760">
        <w:instrText>Patient Testing Worklist and Testing Worklist Reports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UC_48</w:t>
      </w:r>
    </w:p>
    <w:p w14:paraId="5638AB99" w14:textId="77777777" w:rsidR="002A21AE" w:rsidRDefault="002A21AE" w:rsidP="00FA7E65">
      <w:pPr>
        <w:pStyle w:val="BodyText"/>
      </w:pPr>
      <w:r>
        <w:t>The user views and</w:t>
      </w:r>
      <w:r w:rsidR="003A39EF">
        <w:t>/or</w:t>
      </w:r>
      <w:r>
        <w:t xml:space="preserve"> prints the</w:t>
      </w:r>
      <w:r w:rsidR="003D604B">
        <w:t xml:space="preserve"> Patient Testing Worklist and Testing Worklist Reports.</w:t>
      </w:r>
    </w:p>
    <w:p w14:paraId="571BFE8C" w14:textId="77777777" w:rsidR="002A21AE" w:rsidRDefault="002A21AE">
      <w:pPr>
        <w:pStyle w:val="Heading4"/>
      </w:pPr>
      <w:r>
        <w:t>Assumptions</w:t>
      </w:r>
      <w:r>
        <w:rPr>
          <w:b w:val="0"/>
        </w:rPr>
        <w:t xml:space="preserve"> </w:t>
      </w:r>
    </w:p>
    <w:p w14:paraId="68012543" w14:textId="77777777" w:rsidR="002A21AE" w:rsidRDefault="002A21AE">
      <w:pPr>
        <w:pStyle w:val="ListBullet"/>
      </w:pPr>
      <w:r>
        <w:t>The user must be logged into the division in which the report is to be generated.</w:t>
      </w:r>
    </w:p>
    <w:p w14:paraId="0EFF6478" w14:textId="77777777" w:rsidR="002A21AE" w:rsidRDefault="002A21AE">
      <w:pPr>
        <w:pStyle w:val="Heading4"/>
      </w:pPr>
      <w:r>
        <w:t xml:space="preserve">Outcome </w:t>
      </w:r>
    </w:p>
    <w:p w14:paraId="76BDFCFF" w14:textId="77777777" w:rsidR="002A21AE" w:rsidRDefault="002728D7">
      <w:pPr>
        <w:pStyle w:val="ListBullet"/>
      </w:pPr>
      <w:r>
        <w:t>The user views and/or prints</w:t>
      </w:r>
      <w:r w:rsidR="002A21AE">
        <w:t xml:space="preserve"> a report, or schedules a report for future compilation and printing.</w:t>
      </w:r>
    </w:p>
    <w:p w14:paraId="719FC5AF" w14:textId="77777777" w:rsidR="002A21AE" w:rsidRDefault="002A21AE">
      <w:pPr>
        <w:pStyle w:val="Heading4"/>
      </w:pPr>
      <w:r>
        <w:t>Limitations and Restrictions</w:t>
      </w:r>
      <w:r>
        <w:rPr>
          <w:b w:val="0"/>
        </w:rPr>
        <w:t xml:space="preserve"> </w:t>
      </w:r>
    </w:p>
    <w:p w14:paraId="196FBEF1" w14:textId="77777777" w:rsidR="002A21AE" w:rsidRDefault="000A5167">
      <w:pPr>
        <w:pStyle w:val="ListBullet"/>
      </w:pPr>
      <w:r>
        <w:t>Reports do</w:t>
      </w:r>
      <w:r w:rsidR="002A21AE">
        <w:t xml:space="preserve"> not include Transfusion Reaction Workup (TRW) test results.</w:t>
      </w:r>
    </w:p>
    <w:p w14:paraId="6EFCDA78" w14:textId="739386E6" w:rsidR="002A21AE" w:rsidRDefault="00170EEF">
      <w:pPr>
        <w:pStyle w:val="ListBullet"/>
      </w:pPr>
      <w:r>
        <w:t>VBECS does not accommodate online review (verification, signature) of reports.</w:t>
      </w:r>
    </w:p>
    <w:p w14:paraId="7DAB1DE3" w14:textId="351AF668" w:rsidR="00E47EDD" w:rsidRDefault="00E47EDD">
      <w:pPr>
        <w:pStyle w:val="ListBullet"/>
      </w:pPr>
      <w:r>
        <w:t xml:space="preserve">The Rack QC Testing Worklist Report section of the Testing Worklist Report does not contain a Processed By column. Maintain the original testing records for the QC that was performed offline with the testing tech information.  Do not change the testing tech name when entering results in VBECS so that the logged in tech that enters the results is included on the Testing Worklist report. </w:t>
      </w:r>
      <w:r w:rsidRPr="00E47EDD">
        <w:rPr>
          <w:vanish/>
        </w:rPr>
        <w:t>Defect 214073</w:t>
      </w:r>
    </w:p>
    <w:p w14:paraId="75563343" w14:textId="77777777" w:rsidR="002A21AE" w:rsidRDefault="002A21AE">
      <w:pPr>
        <w:pStyle w:val="Heading4"/>
      </w:pPr>
      <w:r>
        <w:t xml:space="preserve">Additional Information </w:t>
      </w:r>
    </w:p>
    <w:p w14:paraId="06F99358" w14:textId="77777777" w:rsidR="002A21AE" w:rsidRDefault="002A21AE">
      <w:pPr>
        <w:pStyle w:val="ListBullet"/>
      </w:pPr>
      <w:r w:rsidRPr="00D231F7">
        <w:rPr>
          <w:vanish/>
        </w:rPr>
        <w:t xml:space="preserve">BR_48.03 </w:t>
      </w:r>
      <w:r w:rsidR="00D231F7" w:rsidRPr="00D231F7">
        <w:t xml:space="preserve">In a </w:t>
      </w:r>
      <w:r w:rsidRPr="00D231F7">
        <w:t>t</w:t>
      </w:r>
      <w:r w:rsidR="00D231F7" w:rsidRPr="00D231F7">
        <w:t>ransfusi</w:t>
      </w:r>
      <w:r w:rsidR="00D231F7">
        <w:t xml:space="preserve">on-only facility, </w:t>
      </w:r>
      <w:r>
        <w:t>VBECS does not populate the test cell or phase results sections.</w:t>
      </w:r>
    </w:p>
    <w:p w14:paraId="2F965024" w14:textId="77777777" w:rsidR="002A21AE" w:rsidRDefault="002A21AE">
      <w:pPr>
        <w:pStyle w:val="ListBullet"/>
      </w:pPr>
      <w:r>
        <w:t>VBECS collates complete, incomplete, and invalidated unit test results entered in the user’s division when the date tested falls within the supplied date range for the unit testing, reagent QC, and patient testing sections of the report.</w:t>
      </w:r>
    </w:p>
    <w:p w14:paraId="348D3F42" w14:textId="77777777" w:rsidR="002A21AE" w:rsidRDefault="002A21AE">
      <w:pPr>
        <w:pStyle w:val="ListBullet"/>
      </w:pPr>
      <w:r w:rsidRPr="007D540F">
        <w:rPr>
          <w:vanish/>
        </w:rPr>
        <w:t xml:space="preserve">BR_48.10 </w:t>
      </w:r>
      <w:r>
        <w:t xml:space="preserve">VBECS includes test results on all units, regardless of status, for the unit testing section. CMV and Sickle Cell test results are not included in the report. </w:t>
      </w:r>
    </w:p>
    <w:p w14:paraId="29C09A13" w14:textId="77777777" w:rsidR="002A21AE" w:rsidRDefault="002A21AE">
      <w:pPr>
        <w:pStyle w:val="ListBullet"/>
      </w:pPr>
      <w:r w:rsidRPr="007D540F">
        <w:rPr>
          <w:vanish/>
        </w:rPr>
        <w:t xml:space="preserve">BR_48.11 </w:t>
      </w:r>
      <w:r>
        <w:t>VBECS includes the results of the daily rack QC and patient and unit control testing for the reagent QC section.</w:t>
      </w:r>
    </w:p>
    <w:p w14:paraId="5CE38F3C" w14:textId="77777777" w:rsidR="002A21AE" w:rsidRDefault="002A21AE">
      <w:pPr>
        <w:pStyle w:val="ListBullet"/>
      </w:pPr>
      <w:r w:rsidRPr="007D540F">
        <w:rPr>
          <w:vanish/>
        </w:rPr>
        <w:t xml:space="preserve">BR_48.06 </w:t>
      </w:r>
      <w:r>
        <w:t xml:space="preserve">For the patient testing section: </w:t>
      </w:r>
    </w:p>
    <w:p w14:paraId="20FAE3D0" w14:textId="77777777" w:rsidR="002A21AE" w:rsidRDefault="002A21AE" w:rsidP="00927C99">
      <w:pPr>
        <w:pStyle w:val="ListBullet2"/>
        <w:ind w:left="900" w:hanging="252"/>
      </w:pPr>
      <w:r>
        <w:t xml:space="preserve">VBECS collates as above for the selected patient specimens </w:t>
      </w:r>
      <w:r w:rsidR="00665443">
        <w:t>within a</w:t>
      </w:r>
      <w:r w:rsidR="00CC0418">
        <w:t xml:space="preserve"> specified </w:t>
      </w:r>
      <w:r w:rsidR="00665443">
        <w:t>date range</w:t>
      </w:r>
      <w:r>
        <w:t>.</w:t>
      </w:r>
    </w:p>
    <w:p w14:paraId="5402756F" w14:textId="77777777" w:rsidR="002A21AE" w:rsidRDefault="002A21AE" w:rsidP="00927C99">
      <w:pPr>
        <w:pStyle w:val="ListBullet2"/>
        <w:ind w:left="900" w:hanging="252"/>
      </w:pPr>
      <w:r>
        <w:t xml:space="preserve">The report does not include TRW test results. </w:t>
      </w:r>
    </w:p>
    <w:p w14:paraId="7D5FF91D" w14:textId="77777777" w:rsidR="004C1952" w:rsidRDefault="002A21AE" w:rsidP="00927C99">
      <w:pPr>
        <w:pStyle w:val="ListBullet2"/>
        <w:ind w:left="900" w:hanging="252"/>
      </w:pPr>
      <w:r w:rsidRPr="0045199E">
        <w:rPr>
          <w:vanish/>
        </w:rPr>
        <w:t xml:space="preserve">BR_48.08 </w:t>
      </w:r>
      <w:r>
        <w:t>VBECS includes XMs only in the patient testing section.</w:t>
      </w:r>
    </w:p>
    <w:p w14:paraId="65E4CCE9" w14:textId="3ED19C8F" w:rsidR="002A21AE" w:rsidRDefault="002A21AE" w:rsidP="004C1952">
      <w:pPr>
        <w:pStyle w:val="ListBullet2"/>
        <w:ind w:left="900" w:hanging="252"/>
      </w:pPr>
      <w:r w:rsidRPr="007D540F">
        <w:rPr>
          <w:vanish/>
          <w:spacing w:val="-5"/>
        </w:rPr>
        <w:t xml:space="preserve">BR_48.12 </w:t>
      </w:r>
      <w:r>
        <w:t>VBECS displays individual tests within the TAS.</w:t>
      </w:r>
    </w:p>
    <w:p w14:paraId="365B1279" w14:textId="77777777" w:rsidR="0088290C" w:rsidRPr="00622C54" w:rsidRDefault="0088290C" w:rsidP="0088290C">
      <w:pPr>
        <w:pStyle w:val="ListBullet"/>
      </w:pPr>
      <w:r w:rsidRPr="00622C54">
        <w:t xml:space="preserve">If a rack has </w:t>
      </w:r>
      <w:r w:rsidR="006D0362">
        <w:t>only</w:t>
      </w:r>
      <w:r w:rsidR="008F5298">
        <w:t xml:space="preserve"> </w:t>
      </w:r>
      <w:r w:rsidRPr="00622C54">
        <w:t xml:space="preserve">been tested offline </w:t>
      </w:r>
      <w:r w:rsidR="006D0362">
        <w:t>(</w:t>
      </w:r>
      <w:r w:rsidR="008F5298">
        <w:t>never tested within VBECS</w:t>
      </w:r>
      <w:r w:rsidR="006D0362">
        <w:t>)</w:t>
      </w:r>
      <w:r w:rsidR="008F5298">
        <w:t xml:space="preserve"> </w:t>
      </w:r>
      <w:r w:rsidRPr="00622C54">
        <w:t>and the QC has expired</w:t>
      </w:r>
      <w:r w:rsidR="006F2884" w:rsidRPr="00622C54">
        <w:t>, the message “Rack was never QC’d and cannot be used.”</w:t>
      </w:r>
      <w:r w:rsidR="00CF410C" w:rsidRPr="00622C54">
        <w:t xml:space="preserve"> is displayed</w:t>
      </w:r>
      <w:r w:rsidR="006F2884" w:rsidRPr="00622C54">
        <w:t>.</w:t>
      </w:r>
      <w:r w:rsidR="001545B8" w:rsidRPr="00622C54">
        <w:t xml:space="preserve"> </w:t>
      </w:r>
      <w:r w:rsidR="001545B8" w:rsidRPr="00622C54">
        <w:rPr>
          <w:vanish/>
        </w:rPr>
        <w:t>DR 4317</w:t>
      </w:r>
    </w:p>
    <w:p w14:paraId="5EE0760F" w14:textId="1F8F2AE4" w:rsidR="00F62041" w:rsidRDefault="00F62041" w:rsidP="0088290C">
      <w:pPr>
        <w:pStyle w:val="ListBullet"/>
      </w:pPr>
      <w:r w:rsidRPr="00622C54">
        <w:t xml:space="preserve">The Testing Worklist Report does not display any information for Rack QC when QC Documentation Offline has been checked for that date. </w:t>
      </w:r>
      <w:r w:rsidRPr="00622C54">
        <w:rPr>
          <w:vanish/>
        </w:rPr>
        <w:t>DR 4317</w:t>
      </w:r>
    </w:p>
    <w:p w14:paraId="641E0FF0" w14:textId="77777777" w:rsidR="002A21AE" w:rsidRDefault="002A21AE">
      <w:pPr>
        <w:pStyle w:val="Heading4"/>
        <w:rPr>
          <w:b w:val="0"/>
          <w:bCs/>
          <w:snapToGrid w:val="0"/>
        </w:rPr>
      </w:pPr>
      <w:r>
        <w:rPr>
          <w:bCs/>
          <w:snapToGrid w:val="0"/>
        </w:rPr>
        <w:t>User Roles with Access to This Option</w:t>
      </w:r>
      <w:r>
        <w:rPr>
          <w:b w:val="0"/>
          <w:bCs/>
          <w:snapToGrid w:val="0"/>
        </w:rPr>
        <w:t xml:space="preserve"> </w:t>
      </w:r>
    </w:p>
    <w:p w14:paraId="70565901" w14:textId="77777777" w:rsidR="002A21AE" w:rsidRDefault="00184EA4">
      <w:pPr>
        <w:pStyle w:val="Roles"/>
      </w:pPr>
      <w:r>
        <w:t>All users</w:t>
      </w:r>
    </w:p>
    <w:p w14:paraId="3BA16E01" w14:textId="77777777" w:rsidR="00752960" w:rsidRDefault="00F55832" w:rsidP="00752960">
      <w:pPr>
        <w:pStyle w:val="Heading4"/>
      </w:pPr>
      <w:r>
        <w:br w:type="page"/>
      </w:r>
      <w:r w:rsidR="00752960">
        <w:lastRenderedPageBreak/>
        <w:t>Patient Testing Worklist and Testing Worklist Reports</w:t>
      </w:r>
    </w:p>
    <w:p w14:paraId="3B05F2E8" w14:textId="52266F07" w:rsidR="002A21AE" w:rsidRDefault="002A21AE" w:rsidP="00FA7E65">
      <w:pPr>
        <w:pStyle w:val="BodyText"/>
      </w:pPr>
      <w:r>
        <w:t xml:space="preserve">The user </w:t>
      </w:r>
      <w:r w:rsidR="003A39EF">
        <w:t>views and/or prints</w:t>
      </w:r>
      <w:r>
        <w:t xml:space="preserve"> a</w:t>
      </w:r>
      <w:r w:rsidR="00455261">
        <w:t xml:space="preserve"> Patient Testing Worklist Report for</w:t>
      </w:r>
      <w:r>
        <w:t xml:space="preserve"> a specific patient</w:t>
      </w:r>
      <w:r w:rsidR="00455261">
        <w:t xml:space="preserve"> or a Testing Worklist Report for a division. </w:t>
      </w:r>
      <w:r>
        <w:t>The report</w:t>
      </w:r>
      <w:r w:rsidR="000E7760">
        <w:t>s</w:t>
      </w:r>
      <w:r>
        <w:t xml:space="preserve"> contain both partially completed and completed testing data entries on patients, units, and reagents created in the same division as the user generating the report.</w:t>
      </w:r>
      <w:r w:rsidR="006C3E9C">
        <w:t xml:space="preserve"> Crossmatch test results</w:t>
      </w:r>
      <w:r w:rsidR="007B4C92" w:rsidRPr="007B4C92">
        <w:t xml:space="preserve"> </w:t>
      </w:r>
      <w:r w:rsidR="006C3E9C">
        <w:t xml:space="preserve">are sequenced </w:t>
      </w:r>
      <w:r w:rsidR="007B4C92" w:rsidRPr="007B4C92">
        <w:t>by date and time on the repor</w:t>
      </w:r>
      <w:r w:rsidR="006C3E9C">
        <w:t xml:space="preserve">t. </w:t>
      </w:r>
      <w:r w:rsidR="00FC3506" w:rsidRPr="00FC3506">
        <w:t>The Interp. Column of the Patient Testing Worklist Report displays "Inc", which</w:t>
      </w:r>
      <w:r w:rsidR="007C00C8">
        <w:t xml:space="preserve"> can </w:t>
      </w:r>
      <w:r w:rsidR="00FC3506" w:rsidRPr="00FC3506">
        <w:t xml:space="preserve">mean </w:t>
      </w:r>
      <w:r w:rsidR="00FC3506">
        <w:t>“</w:t>
      </w:r>
      <w:r w:rsidR="00FC3506" w:rsidRPr="00FC3506">
        <w:t>Incompatible</w:t>
      </w:r>
      <w:r w:rsidR="00FC3506">
        <w:t>”</w:t>
      </w:r>
      <w:r w:rsidR="006C3E9C">
        <w:t xml:space="preserve"> or “Inconclusive</w:t>
      </w:r>
      <w:r w:rsidR="001A1374">
        <w:t>”</w:t>
      </w:r>
      <w:r w:rsidR="006C3E9C">
        <w:t>, depending on the test it is displayed with</w:t>
      </w:r>
      <w:r w:rsidR="00FC3506" w:rsidRPr="00FC3506">
        <w:t>.</w:t>
      </w:r>
      <w:r w:rsidR="00DC3A9D">
        <w:t xml:space="preserve"> </w:t>
      </w:r>
      <w:r w:rsidR="00DC3A9D" w:rsidRPr="00DC3A9D">
        <w:rPr>
          <w:vanish/>
        </w:rPr>
        <w:t>Defect 208964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61E1C4" w14:textId="77777777">
        <w:trPr>
          <w:tblHeader/>
        </w:trPr>
        <w:tc>
          <w:tcPr>
            <w:tcW w:w="3240" w:type="dxa"/>
            <w:shd w:val="pct30" w:color="auto" w:fill="FFFFFF"/>
            <w:vAlign w:val="bottom"/>
          </w:tcPr>
          <w:p w14:paraId="6E448040" w14:textId="77777777" w:rsidR="002A21AE" w:rsidRDefault="002A21AE">
            <w:pPr>
              <w:pStyle w:val="TableText"/>
              <w:rPr>
                <w:b/>
              </w:rPr>
            </w:pPr>
            <w:r>
              <w:rPr>
                <w:b/>
              </w:rPr>
              <w:t>User Action</w:t>
            </w:r>
          </w:p>
        </w:tc>
        <w:tc>
          <w:tcPr>
            <w:tcW w:w="6120" w:type="dxa"/>
            <w:shd w:val="pct30" w:color="auto" w:fill="FFFFFF"/>
            <w:vAlign w:val="bottom"/>
          </w:tcPr>
          <w:p w14:paraId="54F90C83" w14:textId="77777777" w:rsidR="002A21AE" w:rsidRDefault="002A21AE">
            <w:pPr>
              <w:pStyle w:val="TableText"/>
              <w:rPr>
                <w:b/>
              </w:rPr>
            </w:pPr>
            <w:r>
              <w:rPr>
                <w:b/>
              </w:rPr>
              <w:t>VBECS</w:t>
            </w:r>
          </w:p>
        </w:tc>
      </w:tr>
      <w:tr w:rsidR="002A21AE" w14:paraId="26F640E9" w14:textId="77777777">
        <w:tc>
          <w:tcPr>
            <w:tcW w:w="3240" w:type="dxa"/>
          </w:tcPr>
          <w:p w14:paraId="531F16C9" w14:textId="77777777" w:rsidR="002A21AE" w:rsidRDefault="002A21AE">
            <w:pPr>
              <w:pStyle w:val="TableTextNumbers"/>
            </w:pPr>
            <w:r>
              <w:t xml:space="preserve">For </w:t>
            </w:r>
            <w:r w:rsidR="00F05FA1">
              <w:t>a Patient Testing Worklist Report (for</w:t>
            </w:r>
            <w:r>
              <w:t xml:space="preserve"> a single patient, select </w:t>
            </w:r>
            <w:r>
              <w:rPr>
                <w:b/>
              </w:rPr>
              <w:t>Patients</w:t>
            </w:r>
            <w:r>
              <w:t xml:space="preserve"> from the main menu. </w:t>
            </w:r>
          </w:p>
          <w:p w14:paraId="6AB9FD26" w14:textId="77777777" w:rsidR="002A21AE" w:rsidRDefault="002A21AE">
            <w:pPr>
              <w:pStyle w:val="TableTextNumbersContinued"/>
            </w:pPr>
          </w:p>
          <w:p w14:paraId="7C319CBA" w14:textId="77777777" w:rsidR="002A21AE" w:rsidRDefault="002A21AE">
            <w:pPr>
              <w:pStyle w:val="TableTextNumbersContinued"/>
            </w:pPr>
            <w:r>
              <w:t xml:space="preserve">Select </w:t>
            </w:r>
            <w:r>
              <w:rPr>
                <w:b/>
              </w:rPr>
              <w:t>Patient</w:t>
            </w:r>
            <w:r>
              <w:t xml:space="preserve"> </w:t>
            </w:r>
            <w:r>
              <w:rPr>
                <w:b/>
              </w:rPr>
              <w:t>Testing Worklist Report</w:t>
            </w:r>
            <w:r>
              <w:t>.</w:t>
            </w:r>
          </w:p>
          <w:p w14:paraId="16568A6D" w14:textId="77777777" w:rsidR="002A21AE" w:rsidRDefault="002A21AE">
            <w:pPr>
              <w:pStyle w:val="TableTextNumbersContinued"/>
            </w:pPr>
          </w:p>
          <w:p w14:paraId="11093F02" w14:textId="77777777" w:rsidR="002A21AE" w:rsidRDefault="002A21AE">
            <w:pPr>
              <w:pStyle w:val="TableTextNumbersContinued"/>
            </w:pPr>
            <w:r>
              <w:t xml:space="preserve">For a </w:t>
            </w:r>
            <w:r w:rsidR="000E7760">
              <w:t>Testing Worklist Report</w:t>
            </w:r>
            <w:r>
              <w:t xml:space="preserve"> for a division, go to Step 5.</w:t>
            </w:r>
          </w:p>
        </w:tc>
        <w:tc>
          <w:tcPr>
            <w:tcW w:w="6120" w:type="dxa"/>
          </w:tcPr>
          <w:p w14:paraId="2AC2E72D" w14:textId="77777777" w:rsidR="002A21AE" w:rsidRDefault="002A21AE">
            <w:pPr>
              <w:pStyle w:val="TableTextBullet"/>
            </w:pPr>
            <w:r>
              <w:t>Displays options for processing patient-related functions.</w:t>
            </w:r>
          </w:p>
          <w:p w14:paraId="122B6CB6" w14:textId="77777777" w:rsidR="002A21AE" w:rsidRDefault="002A21AE">
            <w:pPr>
              <w:pStyle w:val="TableTextBullet"/>
            </w:pPr>
            <w:r>
              <w:t>Displays patient search criteria.</w:t>
            </w:r>
          </w:p>
        </w:tc>
      </w:tr>
      <w:tr w:rsidR="002A21AE" w14:paraId="14BE447E" w14:textId="77777777">
        <w:tc>
          <w:tcPr>
            <w:tcW w:w="3240" w:type="dxa"/>
          </w:tcPr>
          <w:p w14:paraId="5024E65D" w14:textId="77777777" w:rsidR="002A21AE" w:rsidRDefault="002A21AE">
            <w:pPr>
              <w:pStyle w:val="TableTextNumbers"/>
            </w:pPr>
            <w:r>
              <w:t xml:space="preserve">Enter the </w:t>
            </w:r>
            <w:r w:rsidRPr="00945BF5">
              <w:t>patient name or identification number.</w:t>
            </w:r>
            <w:r>
              <w:t xml:space="preserve"> </w:t>
            </w:r>
          </w:p>
          <w:p w14:paraId="32A64EB5" w14:textId="77777777" w:rsidR="002A21AE" w:rsidRDefault="002A21AE">
            <w:pPr>
              <w:pStyle w:val="TableTextNumbersContinued"/>
            </w:pPr>
          </w:p>
          <w:p w14:paraId="31265630" w14:textId="77777777" w:rsidR="002A21AE" w:rsidRDefault="002A21AE">
            <w:pPr>
              <w:pStyle w:val="TableTextNumbersContinued"/>
            </w:pPr>
            <w:r>
              <w:t xml:space="preserve">Click </w:t>
            </w:r>
            <w:r>
              <w:rPr>
                <w:b/>
              </w:rPr>
              <w:t xml:space="preserve">Search, </w:t>
            </w:r>
            <w:r>
              <w:t xml:space="preserve">as required. </w:t>
            </w:r>
          </w:p>
          <w:p w14:paraId="26C54083" w14:textId="77777777" w:rsidR="002A21AE" w:rsidRDefault="002A21AE">
            <w:pPr>
              <w:pStyle w:val="TableTextNumbersContinued"/>
            </w:pPr>
          </w:p>
          <w:p w14:paraId="7848A998" w14:textId="77777777" w:rsidR="002A21AE" w:rsidRDefault="002A21AE">
            <w:pPr>
              <w:pStyle w:val="TableTextNumbersContinued"/>
            </w:pPr>
            <w:r>
              <w:t xml:space="preserve">Select a patient and click </w:t>
            </w:r>
            <w:r>
              <w:rPr>
                <w:b/>
              </w:rPr>
              <w:t>OK</w:t>
            </w:r>
            <w:r>
              <w:t>.</w:t>
            </w:r>
          </w:p>
        </w:tc>
        <w:tc>
          <w:tcPr>
            <w:tcW w:w="6120" w:type="dxa"/>
          </w:tcPr>
          <w:p w14:paraId="169F1B6A" w14:textId="77777777" w:rsidR="002A21AE" w:rsidRDefault="002A21AE">
            <w:pPr>
              <w:pStyle w:val="TableTextBullet"/>
            </w:pPr>
            <w:r>
              <w:t>Requires the user to select a patient.</w:t>
            </w:r>
          </w:p>
          <w:p w14:paraId="70EB7A43" w14:textId="77777777" w:rsidR="002A21AE" w:rsidRDefault="002A21AE">
            <w:pPr>
              <w:pStyle w:val="TableTextBullet"/>
            </w:pPr>
            <w:r>
              <w:t>Displays specimen search criteria.</w:t>
            </w:r>
          </w:p>
        </w:tc>
      </w:tr>
      <w:tr w:rsidR="002A21AE" w14:paraId="29A2A13F" w14:textId="77777777">
        <w:tc>
          <w:tcPr>
            <w:tcW w:w="3240" w:type="dxa"/>
          </w:tcPr>
          <w:p w14:paraId="62565BD4" w14:textId="77777777" w:rsidR="002A21AE" w:rsidRDefault="002A21AE">
            <w:pPr>
              <w:pStyle w:val="TableTextNumbers"/>
            </w:pPr>
            <w:r>
              <w:t>Select or edit the dates and times in the Sp</w:t>
            </w:r>
            <w:r w:rsidRPr="00CE38AA">
              <w:t>ecimen Received Start Date and End Date fields</w:t>
            </w:r>
            <w:r w:rsidRPr="00945BF5">
              <w:t>.</w:t>
            </w:r>
          </w:p>
          <w:p w14:paraId="260DCDDA" w14:textId="77777777" w:rsidR="002A21AE" w:rsidRDefault="002A21AE">
            <w:pPr>
              <w:pStyle w:val="TableTextNumbersContinued"/>
            </w:pPr>
          </w:p>
          <w:p w14:paraId="7A9EE501" w14:textId="77777777" w:rsidR="002A21AE" w:rsidRDefault="002A21AE">
            <w:pPr>
              <w:pStyle w:val="TableTextNumbersContinued"/>
            </w:pPr>
            <w:r>
              <w:t xml:space="preserve">Click </w:t>
            </w:r>
            <w:r>
              <w:rPr>
                <w:b/>
              </w:rPr>
              <w:t>Search</w:t>
            </w:r>
            <w:r>
              <w:t>, as required.</w:t>
            </w:r>
          </w:p>
        </w:tc>
        <w:tc>
          <w:tcPr>
            <w:tcW w:w="6120" w:type="dxa"/>
          </w:tcPr>
          <w:p w14:paraId="3CC45C23" w14:textId="77777777" w:rsidR="002A21AE" w:rsidRDefault="002A21AE">
            <w:pPr>
              <w:pStyle w:val="TableTextBullet"/>
            </w:pPr>
            <w:r>
              <w:t>Allows the user to indicate a date range and patient specimens to include in the report.</w:t>
            </w:r>
          </w:p>
          <w:p w14:paraId="540F7F75" w14:textId="77777777" w:rsidR="002A21AE" w:rsidRDefault="002A21AE">
            <w:pPr>
              <w:pStyle w:val="TableTextBullet"/>
            </w:pPr>
            <w:r>
              <w:t xml:space="preserve">Displays specimens with associated testing for the selected patient. </w:t>
            </w:r>
          </w:p>
          <w:p w14:paraId="7199960D" w14:textId="77777777" w:rsidR="002A21AE" w:rsidRDefault="002A21AE">
            <w:pPr>
              <w:pStyle w:val="TableText"/>
            </w:pPr>
          </w:p>
          <w:p w14:paraId="2C1E55CD" w14:textId="6CE10FC1" w:rsidR="002A21AE" w:rsidRDefault="002A21AE">
            <w:pPr>
              <w:pStyle w:val="TableText"/>
              <w:rPr>
                <w:b/>
                <w:bCs/>
                <w:szCs w:val="18"/>
              </w:rPr>
            </w:pPr>
            <w:r>
              <w:rPr>
                <w:b/>
                <w:bCs/>
                <w:szCs w:val="18"/>
              </w:rPr>
              <w:t>NOTES</w:t>
            </w:r>
          </w:p>
          <w:p w14:paraId="22CE74AA" w14:textId="77777777" w:rsidR="002A21AE" w:rsidRDefault="002A21AE">
            <w:pPr>
              <w:pStyle w:val="NotesText"/>
            </w:pPr>
          </w:p>
          <w:p w14:paraId="655E5368" w14:textId="77777777" w:rsidR="002A21AE" w:rsidRDefault="002A21AE">
            <w:pPr>
              <w:pStyle w:val="NotesText"/>
            </w:pPr>
            <w:r>
              <w:rPr>
                <w:rFonts w:cs="Arial"/>
                <w:vanish/>
              </w:rPr>
              <w:t xml:space="preserve">BR_48.15 </w:t>
            </w:r>
            <w:r>
              <w:t xml:space="preserve">The individual </w:t>
            </w:r>
            <w:r w:rsidR="00F05FA1">
              <w:t xml:space="preserve">Patient Testing Worklist Report </w:t>
            </w:r>
            <w:r>
              <w:t xml:space="preserve">includes VBECS specimen UIDs from the last 90 days, by default. The user may remove one or more specimen UIDs and/or edit the default date range. </w:t>
            </w:r>
          </w:p>
          <w:p w14:paraId="6EB298B7" w14:textId="77777777" w:rsidR="002A21AE" w:rsidRDefault="002A21AE">
            <w:pPr>
              <w:pStyle w:val="NotesText"/>
            </w:pPr>
          </w:p>
          <w:p w14:paraId="54999FD0" w14:textId="77777777" w:rsidR="002A21AE" w:rsidRDefault="002A21AE">
            <w:pPr>
              <w:pStyle w:val="NotesText"/>
            </w:pPr>
            <w:r>
              <w:rPr>
                <w:rFonts w:cs="Arial"/>
                <w:vanish/>
              </w:rPr>
              <w:t xml:space="preserve">BR_48.04 </w:t>
            </w:r>
            <w:r>
              <w:t>When the patient record is not found, VBECS notifies the user that no matching patients were found.</w:t>
            </w:r>
          </w:p>
          <w:p w14:paraId="2494C7CE" w14:textId="77777777" w:rsidR="002A21AE" w:rsidRDefault="002A21AE">
            <w:pPr>
              <w:pStyle w:val="NotesText"/>
            </w:pPr>
          </w:p>
          <w:p w14:paraId="7AC1EA1F" w14:textId="77777777" w:rsidR="00FC3506" w:rsidRDefault="002A21AE" w:rsidP="00FC3506">
            <w:pPr>
              <w:pStyle w:val="NotesText"/>
            </w:pPr>
            <w:r>
              <w:rPr>
                <w:rFonts w:cs="Arial"/>
                <w:vanish/>
              </w:rPr>
              <w:t xml:space="preserve">BR_48.01 </w:t>
            </w:r>
            <w:r>
              <w:t>When the selected patient has no specimen on file within the division, VBECS warns the user and asks the user to select a different patient.</w:t>
            </w:r>
          </w:p>
          <w:p w14:paraId="7C3FA19E" w14:textId="77777777" w:rsidR="002A21AE" w:rsidRDefault="002A21AE">
            <w:pPr>
              <w:pStyle w:val="NotesText"/>
            </w:pPr>
          </w:p>
          <w:p w14:paraId="30281C11" w14:textId="77777777" w:rsidR="002A21AE" w:rsidRDefault="002A21AE">
            <w:pPr>
              <w:pStyle w:val="NotesText"/>
            </w:pPr>
            <w:r>
              <w:t>Requires the user to indicate the format of the report:</w:t>
            </w:r>
          </w:p>
          <w:p w14:paraId="0DC980C9" w14:textId="77777777" w:rsidR="00661E8D" w:rsidRDefault="00661E8D">
            <w:pPr>
              <w:pStyle w:val="NotesTextBullet"/>
            </w:pPr>
            <w:r>
              <w:t>Patient Testing</w:t>
            </w:r>
          </w:p>
          <w:p w14:paraId="065E52E0" w14:textId="77777777" w:rsidR="00661E8D" w:rsidRDefault="00661E8D">
            <w:pPr>
              <w:pStyle w:val="NotesTextBullet"/>
            </w:pPr>
            <w:r>
              <w:t>Unit Testing</w:t>
            </w:r>
          </w:p>
          <w:p w14:paraId="6B9E0329" w14:textId="77777777" w:rsidR="00661E8D" w:rsidRDefault="00661E8D">
            <w:pPr>
              <w:pStyle w:val="NotesTextBullet"/>
            </w:pPr>
            <w:r>
              <w:t>Daily QC</w:t>
            </w:r>
          </w:p>
          <w:p w14:paraId="27EC270B" w14:textId="77777777" w:rsidR="002A21AE" w:rsidRDefault="00661E8D">
            <w:pPr>
              <w:pStyle w:val="NotesTextBullet"/>
            </w:pPr>
            <w:r>
              <w:t>Miscellaneous Reagent QC</w:t>
            </w:r>
          </w:p>
        </w:tc>
      </w:tr>
      <w:tr w:rsidR="002A21AE" w14:paraId="00BC2F18" w14:textId="77777777">
        <w:tc>
          <w:tcPr>
            <w:tcW w:w="3240" w:type="dxa"/>
          </w:tcPr>
          <w:p w14:paraId="5F10B5F7" w14:textId="77777777" w:rsidR="002A21AE" w:rsidRDefault="002A21AE">
            <w:pPr>
              <w:pStyle w:val="TableTextNumbers"/>
            </w:pPr>
            <w:r>
              <w:t>Click one or more check boxes to select specimens.</w:t>
            </w:r>
          </w:p>
          <w:p w14:paraId="1F21BAE5" w14:textId="77777777" w:rsidR="002A21AE" w:rsidRDefault="002A21AE">
            <w:pPr>
              <w:pStyle w:val="TableTextNumbersContinued"/>
            </w:pPr>
          </w:p>
          <w:p w14:paraId="6C0BA7D3" w14:textId="77777777" w:rsidR="002A21AE" w:rsidRDefault="002A21AE">
            <w:pPr>
              <w:pStyle w:val="TableTextNumbersContinued"/>
            </w:pPr>
            <w:r>
              <w:t xml:space="preserve">Click </w:t>
            </w:r>
            <w:r>
              <w:rPr>
                <w:b/>
              </w:rPr>
              <w:t>OK</w:t>
            </w:r>
            <w:r>
              <w:t>.</w:t>
            </w:r>
          </w:p>
          <w:p w14:paraId="1632322E" w14:textId="77777777" w:rsidR="002A21AE" w:rsidRDefault="002A21AE">
            <w:pPr>
              <w:pStyle w:val="TableTextNumbersContinued"/>
            </w:pPr>
          </w:p>
          <w:p w14:paraId="1EBBD12D" w14:textId="77777777" w:rsidR="002A21AE" w:rsidRDefault="002A21AE">
            <w:pPr>
              <w:pStyle w:val="TableTextNumbersContinued"/>
            </w:pPr>
            <w:r>
              <w:t>Go to Step 8.</w:t>
            </w:r>
          </w:p>
        </w:tc>
        <w:tc>
          <w:tcPr>
            <w:tcW w:w="6120" w:type="dxa"/>
          </w:tcPr>
          <w:p w14:paraId="2654633F" w14:textId="77777777" w:rsidR="002A21AE" w:rsidRDefault="002A21AE">
            <w:pPr>
              <w:pStyle w:val="TableTextBullet"/>
            </w:pPr>
            <w:r>
              <w:t>Displays the report.</w:t>
            </w:r>
          </w:p>
          <w:p w14:paraId="0E702EB3" w14:textId="77777777" w:rsidR="002A21AE" w:rsidRDefault="002A21AE">
            <w:pPr>
              <w:pStyle w:val="TableTextBullet"/>
            </w:pPr>
            <w:r>
              <w:t>Allows the user to print the report.</w:t>
            </w:r>
          </w:p>
        </w:tc>
      </w:tr>
      <w:tr w:rsidR="002A21AE" w14:paraId="30092800" w14:textId="77777777" w:rsidTr="00E35FC4">
        <w:trPr>
          <w:cantSplit/>
        </w:trPr>
        <w:tc>
          <w:tcPr>
            <w:tcW w:w="3240" w:type="dxa"/>
          </w:tcPr>
          <w:p w14:paraId="4E6769AF" w14:textId="77777777" w:rsidR="002A21AE" w:rsidRDefault="002A21AE">
            <w:pPr>
              <w:pStyle w:val="TableTextNumbers"/>
            </w:pPr>
            <w:r>
              <w:lastRenderedPageBreak/>
              <w:t xml:space="preserve">For a Testing Worklist Report for a division, select </w:t>
            </w:r>
            <w:r>
              <w:rPr>
                <w:b/>
              </w:rPr>
              <w:t>Reports</w:t>
            </w:r>
            <w:r>
              <w:t xml:space="preserve"> from the main menu.</w:t>
            </w:r>
          </w:p>
          <w:p w14:paraId="704E40BB" w14:textId="77777777" w:rsidR="002A21AE" w:rsidRDefault="002A21AE">
            <w:pPr>
              <w:pStyle w:val="TableTextNumbersContinued"/>
            </w:pPr>
          </w:p>
          <w:p w14:paraId="0516294B" w14:textId="77777777" w:rsidR="002A21AE" w:rsidRDefault="002A21AE">
            <w:pPr>
              <w:pStyle w:val="TableTextNumbersContinued"/>
            </w:pPr>
            <w:r>
              <w:t xml:space="preserve">Select </w:t>
            </w:r>
            <w:r>
              <w:rPr>
                <w:b/>
              </w:rPr>
              <w:t>Testing Worklist Report</w:t>
            </w:r>
            <w:r>
              <w:t>.</w:t>
            </w:r>
          </w:p>
        </w:tc>
        <w:tc>
          <w:tcPr>
            <w:tcW w:w="6120" w:type="dxa"/>
          </w:tcPr>
          <w:p w14:paraId="3E3AD054" w14:textId="77777777" w:rsidR="002A21AE" w:rsidRDefault="002A21AE">
            <w:pPr>
              <w:pStyle w:val="TableTextBullet"/>
            </w:pPr>
            <w:r>
              <w:t>Lists report names.</w:t>
            </w:r>
          </w:p>
          <w:p w14:paraId="7156F530" w14:textId="77777777" w:rsidR="002A21AE" w:rsidRDefault="002A21AE">
            <w:pPr>
              <w:pStyle w:val="TableTextBullet"/>
            </w:pPr>
            <w:r>
              <w:t>Displays the report date range, sections</w:t>
            </w:r>
            <w:r w:rsidR="00E3701B">
              <w:t xml:space="preserve"> (Patient Testing, Unit Testing, Rack QC, and Miscellaneous Reagent QC)</w:t>
            </w:r>
            <w:r>
              <w:t>, and compilation criteria.</w:t>
            </w:r>
          </w:p>
        </w:tc>
      </w:tr>
      <w:tr w:rsidR="002A21AE" w14:paraId="7D0945E6" w14:textId="77777777">
        <w:tc>
          <w:tcPr>
            <w:tcW w:w="3240" w:type="dxa"/>
          </w:tcPr>
          <w:p w14:paraId="6A5061B0" w14:textId="77777777" w:rsidR="002A21AE" w:rsidRDefault="002A21AE">
            <w:pPr>
              <w:pStyle w:val="TableTextNumbers"/>
            </w:pPr>
            <w:r>
              <w:t xml:space="preserve">Select or edit the dates and times in the </w:t>
            </w:r>
            <w:r w:rsidRPr="00945BF5">
              <w:rPr>
                <w:b/>
              </w:rPr>
              <w:t>Start Date</w:t>
            </w:r>
            <w:r w:rsidRPr="00945BF5">
              <w:t xml:space="preserve"> and </w:t>
            </w:r>
            <w:r w:rsidRPr="00945BF5">
              <w:rPr>
                <w:b/>
              </w:rPr>
              <w:t>End Date</w:t>
            </w:r>
            <w:r>
              <w:t xml:space="preserve"> fields.</w:t>
            </w:r>
          </w:p>
        </w:tc>
        <w:tc>
          <w:tcPr>
            <w:tcW w:w="6120" w:type="dxa"/>
          </w:tcPr>
          <w:p w14:paraId="28C0870A" w14:textId="77777777" w:rsidR="002A21AE" w:rsidRDefault="002A21AE">
            <w:pPr>
              <w:pStyle w:val="TableTextBullet"/>
            </w:pPr>
            <w:r>
              <w:t>Displays the option to enter a date range for the report based on the date and time VBECS acknowledged the order.</w:t>
            </w:r>
          </w:p>
        </w:tc>
      </w:tr>
      <w:tr w:rsidR="002A21AE" w14:paraId="2BB2D39A" w14:textId="77777777">
        <w:tc>
          <w:tcPr>
            <w:tcW w:w="3240" w:type="dxa"/>
          </w:tcPr>
          <w:p w14:paraId="67CB7C64" w14:textId="77777777" w:rsidR="002A21AE" w:rsidRDefault="002A21AE" w:rsidP="001D6377">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047001A4" w14:textId="77777777" w:rsidR="002A21AE" w:rsidRDefault="002A21AE">
            <w:pPr>
              <w:pStyle w:val="TableTextNumbersContinued"/>
            </w:pPr>
          </w:p>
          <w:p w14:paraId="57FBA6FA"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C4199B6" w14:textId="77777777" w:rsidR="000566D6" w:rsidRDefault="002A21AE" w:rsidP="00AA2B2E">
            <w:pPr>
              <w:pStyle w:val="TableTextBullet"/>
            </w:pPr>
            <w:r>
              <w:t>Compiles and displays the report.</w:t>
            </w:r>
          </w:p>
        </w:tc>
      </w:tr>
      <w:tr w:rsidR="002A21AE" w14:paraId="34E54F51" w14:textId="77777777">
        <w:tc>
          <w:tcPr>
            <w:tcW w:w="3240" w:type="dxa"/>
          </w:tcPr>
          <w:p w14:paraId="066C97C9" w14:textId="1340FDFB"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29E9E381" w14:textId="77777777" w:rsidR="00D45D8C" w:rsidRDefault="00D45D8C" w:rsidP="00D45D8C">
            <w:pPr>
              <w:pStyle w:val="TableTextBullet"/>
            </w:pPr>
            <w:r>
              <w:t>If Print is selected, prints the report on the designated printer.</w:t>
            </w:r>
          </w:p>
          <w:p w14:paraId="0CC9A3D5" w14:textId="77777777" w:rsidR="00D45D8C" w:rsidRDefault="00D45D8C" w:rsidP="00D45D8C">
            <w:pPr>
              <w:pStyle w:val="TableTextBullet"/>
            </w:pPr>
            <w:r>
              <w:t>If Export is selected, exports the report to the designated file.</w:t>
            </w:r>
          </w:p>
          <w:p w14:paraId="0F07AF86" w14:textId="2E9EDF4C" w:rsidR="002A21AE" w:rsidRDefault="00D45D8C" w:rsidP="00D45D8C">
            <w:pPr>
              <w:pStyle w:val="TableTextBullet"/>
            </w:pPr>
            <w:r>
              <w:t>If Close is selected, exits the report preview.</w:t>
            </w:r>
          </w:p>
        </w:tc>
      </w:tr>
    </w:tbl>
    <w:p w14:paraId="1BD59FBB" w14:textId="77777777" w:rsidR="00246E50" w:rsidRDefault="00F55832" w:rsidP="00246E50">
      <w:pPr>
        <w:pStyle w:val="Heading2"/>
      </w:pPr>
      <w:r>
        <w:br w:type="page"/>
      </w:r>
      <w:bookmarkStart w:id="557" w:name="_Toc163644984"/>
      <w:r w:rsidR="00246E50">
        <w:lastRenderedPageBreak/>
        <w:t>Prolonged Transfusion Time Report</w:t>
      </w:r>
      <w:bookmarkEnd w:id="557"/>
      <w:r w:rsidR="00246E50">
        <w:fldChar w:fldCharType="begin"/>
      </w:r>
      <w:r w:rsidR="00246E50">
        <w:instrText xml:space="preserve"> XE “Prolonged Transfusion Time Report” </w:instrText>
      </w:r>
      <w:r w:rsidR="00246E50">
        <w:fldChar w:fldCharType="end"/>
      </w:r>
      <w:r w:rsidR="00246E50">
        <w:t xml:space="preserve"> </w:t>
      </w:r>
      <w:r w:rsidR="00246E50">
        <w:rPr>
          <w:rFonts w:ascii="Times New Roman" w:hAnsi="Times New Roman" w:cs="Times New Roman"/>
          <w:b w:val="0"/>
          <w:i w:val="0"/>
          <w:vanish/>
          <w:sz w:val="22"/>
        </w:rPr>
        <w:t>UC_105</w:t>
      </w:r>
    </w:p>
    <w:p w14:paraId="6D5D9416" w14:textId="77777777" w:rsidR="00246E50" w:rsidRDefault="00246E50" w:rsidP="00246E50">
      <w:pPr>
        <w:pStyle w:val="BodyText"/>
      </w:pPr>
      <w:r>
        <w:t xml:space="preserve">The user views and/or prints the Prolonged Transfusion Time Report. </w:t>
      </w:r>
    </w:p>
    <w:p w14:paraId="3A06F0F3" w14:textId="77777777" w:rsidR="00246E50" w:rsidRDefault="00246E50" w:rsidP="00246E50">
      <w:pPr>
        <w:pStyle w:val="Heading4"/>
      </w:pPr>
      <w:r>
        <w:t>Assumptions</w:t>
      </w:r>
      <w:r>
        <w:rPr>
          <w:b w:val="0"/>
        </w:rPr>
        <w:t xml:space="preserve"> </w:t>
      </w:r>
    </w:p>
    <w:p w14:paraId="375675EA" w14:textId="77777777" w:rsidR="00246E50" w:rsidRDefault="00246E50" w:rsidP="00246E50">
      <w:pPr>
        <w:pStyle w:val="ListBullet"/>
      </w:pPr>
      <w:r>
        <w:t>Data for the report were saved in VBECS.</w:t>
      </w:r>
    </w:p>
    <w:p w14:paraId="0AF67178" w14:textId="77777777" w:rsidR="00246E50" w:rsidRDefault="00246E50" w:rsidP="00246E50">
      <w:pPr>
        <w:pStyle w:val="Heading4"/>
      </w:pPr>
      <w:r>
        <w:t xml:space="preserve">Outcome </w:t>
      </w:r>
    </w:p>
    <w:p w14:paraId="2B6BCBCE" w14:textId="77777777" w:rsidR="00246E50" w:rsidRDefault="00246E50" w:rsidP="00246E50">
      <w:pPr>
        <w:pStyle w:val="ListBullet"/>
      </w:pPr>
      <w:r>
        <w:t>The user views and prints the report.</w:t>
      </w:r>
    </w:p>
    <w:p w14:paraId="6176750D" w14:textId="77777777" w:rsidR="00246E50" w:rsidRDefault="00246E50" w:rsidP="00246E50">
      <w:pPr>
        <w:pStyle w:val="Heading4"/>
        <w:rPr>
          <w:b w:val="0"/>
        </w:rPr>
      </w:pPr>
      <w:r>
        <w:t>Limitations and Restrictions</w:t>
      </w:r>
      <w:r>
        <w:rPr>
          <w:b w:val="0"/>
        </w:rPr>
        <w:t xml:space="preserve"> </w:t>
      </w:r>
    </w:p>
    <w:p w14:paraId="18755E0C" w14:textId="77777777" w:rsidR="00246E50" w:rsidRDefault="00246E50" w:rsidP="00246E50">
      <w:pPr>
        <w:pStyle w:val="ListBullet"/>
      </w:pPr>
      <w:r>
        <w:t>This report does not include p</w:t>
      </w:r>
      <w:r>
        <w:rPr>
          <w:rStyle w:val="ListBulletChar"/>
        </w:rPr>
        <w:t>r</w:t>
      </w:r>
      <w:r>
        <w:t>esumed transfused units or units issued to a remote storage location.</w:t>
      </w:r>
    </w:p>
    <w:p w14:paraId="69A5C288" w14:textId="77777777" w:rsidR="00246E50" w:rsidRPr="00244DDA" w:rsidRDefault="00246E50" w:rsidP="00246E50">
      <w:pPr>
        <w:pStyle w:val="ListBullet"/>
        <w:rPr>
          <w:sz w:val="20"/>
          <w:szCs w:val="20"/>
        </w:rPr>
      </w:pPr>
      <w:r>
        <w:t xml:space="preserve">Units issued to a remote storage location will display on the report when the transfusion start time is greater than 30 minutes after issue time. </w:t>
      </w:r>
      <w:r w:rsidRPr="00244DDA">
        <w:rPr>
          <w:vanish/>
        </w:rPr>
        <w:t>Defect 209735</w:t>
      </w:r>
    </w:p>
    <w:p w14:paraId="1724C2E3" w14:textId="77777777" w:rsidR="00246E50" w:rsidRDefault="00246E50" w:rsidP="00246E50">
      <w:pPr>
        <w:pStyle w:val="ListBullet"/>
      </w:pPr>
      <w:r>
        <w:t xml:space="preserve">Units issued to a remote storage location should not display to have a prolonged issue time as this setting indicates that the unit is issued to a monitored location maintained at the proper temperature for the product type. </w:t>
      </w:r>
      <w:r w:rsidRPr="00244DDA">
        <w:rPr>
          <w:vanish/>
        </w:rPr>
        <w:t>Defect 209735</w:t>
      </w:r>
    </w:p>
    <w:p w14:paraId="78552C05" w14:textId="77777777" w:rsidR="00246E50" w:rsidRDefault="00246E50" w:rsidP="00246E50">
      <w:pPr>
        <w:pStyle w:val="ListBullet"/>
      </w:pPr>
      <w:r>
        <w:t xml:space="preserve">The Delayed (minutes) column on the report is not subtracting 30 minutes when the Transfusion Start time is greater  than 30 minutes from the time of issue. Handwrite the correct Delayed (minutes) on the printed report. </w:t>
      </w:r>
      <w:r w:rsidRPr="00917168">
        <w:rPr>
          <w:vanish/>
        </w:rPr>
        <w:t>Defect 209431</w:t>
      </w:r>
    </w:p>
    <w:p w14:paraId="7686A670" w14:textId="77777777" w:rsidR="00246E50" w:rsidRDefault="00246E50" w:rsidP="00246E50">
      <w:pPr>
        <w:pStyle w:val="Heading4"/>
      </w:pPr>
      <w:r>
        <w:t xml:space="preserve">Additional Information </w:t>
      </w:r>
    </w:p>
    <w:p w14:paraId="26AC02D0" w14:textId="77777777" w:rsidR="00246E50" w:rsidRPr="00AA647C" w:rsidRDefault="00246E50" w:rsidP="00246E50">
      <w:pPr>
        <w:pStyle w:val="Roles"/>
      </w:pPr>
      <w:r>
        <w:rPr>
          <w:vanish/>
        </w:rPr>
        <w:t xml:space="preserve">PT_105.01 </w:t>
      </w:r>
      <w:r>
        <w:t>None</w:t>
      </w:r>
    </w:p>
    <w:p w14:paraId="2FF49D3C" w14:textId="77777777" w:rsidR="00246E50" w:rsidRDefault="00246E50" w:rsidP="00246E50">
      <w:pPr>
        <w:pStyle w:val="Heading4"/>
      </w:pPr>
      <w:r>
        <w:t xml:space="preserve">User Roles with Access to This Option </w:t>
      </w:r>
    </w:p>
    <w:p w14:paraId="5640DF10" w14:textId="77777777" w:rsidR="00246E50" w:rsidRDefault="00246E50" w:rsidP="00246E50">
      <w:pPr>
        <w:pStyle w:val="Roles"/>
      </w:pPr>
      <w:r>
        <w:t>All users</w:t>
      </w:r>
    </w:p>
    <w:p w14:paraId="11BA419B" w14:textId="77777777" w:rsidR="00246E50" w:rsidRDefault="00246E50" w:rsidP="00246E50">
      <w:pPr>
        <w:pStyle w:val="Heading4"/>
      </w:pPr>
      <w:r>
        <w:t>Prolonged Transfusion Time Report</w:t>
      </w:r>
    </w:p>
    <w:p w14:paraId="31739427" w14:textId="77777777" w:rsidR="00246E50" w:rsidRDefault="00246E50" w:rsidP="00246E50">
      <w:pPr>
        <w:pStyle w:val="BodyText"/>
      </w:pPr>
      <w:r>
        <w:t>The user views and/or prints the Prolonged Transfusion Time Report, which shows transfusions started more than 30 minutes after issue and units transfused for more than the maximum transfusion time set by each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46E50" w14:paraId="7DCA22DE" w14:textId="77777777" w:rsidTr="00246E50">
        <w:trPr>
          <w:cantSplit/>
          <w:tblHeader/>
        </w:trPr>
        <w:tc>
          <w:tcPr>
            <w:tcW w:w="3240" w:type="dxa"/>
            <w:shd w:val="pct30" w:color="auto" w:fill="FFFFFF"/>
            <w:vAlign w:val="bottom"/>
          </w:tcPr>
          <w:p w14:paraId="3A076287" w14:textId="77777777" w:rsidR="00246E50" w:rsidRDefault="00246E50" w:rsidP="00246E50">
            <w:pPr>
              <w:pStyle w:val="TableText"/>
              <w:rPr>
                <w:b/>
              </w:rPr>
            </w:pPr>
            <w:r>
              <w:rPr>
                <w:b/>
              </w:rPr>
              <w:t>User Action</w:t>
            </w:r>
          </w:p>
        </w:tc>
        <w:tc>
          <w:tcPr>
            <w:tcW w:w="6120" w:type="dxa"/>
            <w:shd w:val="pct30" w:color="auto" w:fill="FFFFFF"/>
            <w:vAlign w:val="bottom"/>
          </w:tcPr>
          <w:p w14:paraId="485B9E06" w14:textId="77777777" w:rsidR="00246E50" w:rsidRDefault="00246E50" w:rsidP="00246E50">
            <w:pPr>
              <w:pStyle w:val="TableText"/>
              <w:rPr>
                <w:b/>
              </w:rPr>
            </w:pPr>
            <w:r>
              <w:rPr>
                <w:b/>
              </w:rPr>
              <w:t>VBECS</w:t>
            </w:r>
          </w:p>
        </w:tc>
      </w:tr>
      <w:tr w:rsidR="00246E50" w14:paraId="0C2E780D" w14:textId="77777777" w:rsidTr="00246E50">
        <w:tc>
          <w:tcPr>
            <w:tcW w:w="3240" w:type="dxa"/>
          </w:tcPr>
          <w:p w14:paraId="4EA8A4EB" w14:textId="77777777" w:rsidR="00246E50" w:rsidRDefault="00246E50" w:rsidP="00925CAD">
            <w:pPr>
              <w:pStyle w:val="TableTextNumbers"/>
              <w:numPr>
                <w:ilvl w:val="0"/>
                <w:numId w:val="80"/>
              </w:numPr>
            </w:pPr>
            <w:r>
              <w:t xml:space="preserve">Select </w:t>
            </w:r>
            <w:r w:rsidRPr="00A809BB">
              <w:rPr>
                <w:b/>
              </w:rPr>
              <w:t>Reports</w:t>
            </w:r>
            <w:r>
              <w:t xml:space="preserve"> from the main menu.</w:t>
            </w:r>
          </w:p>
          <w:p w14:paraId="36CBB865" w14:textId="77777777" w:rsidR="00246E50" w:rsidRDefault="00246E50" w:rsidP="00246E50">
            <w:pPr>
              <w:pStyle w:val="TableTextNumbersContinued"/>
            </w:pPr>
          </w:p>
          <w:p w14:paraId="406DB92F" w14:textId="77777777" w:rsidR="00246E50" w:rsidRDefault="00246E50" w:rsidP="00246E50">
            <w:pPr>
              <w:pStyle w:val="TableTextNumbersContinued"/>
            </w:pPr>
            <w:r>
              <w:t xml:space="preserve">Select </w:t>
            </w:r>
            <w:r>
              <w:rPr>
                <w:b/>
              </w:rPr>
              <w:t>Prolonged Transfusion Time Report</w:t>
            </w:r>
            <w:r>
              <w:t>.</w:t>
            </w:r>
          </w:p>
        </w:tc>
        <w:tc>
          <w:tcPr>
            <w:tcW w:w="6120" w:type="dxa"/>
          </w:tcPr>
          <w:p w14:paraId="4C660648" w14:textId="77777777" w:rsidR="00246E50" w:rsidRDefault="00246E50" w:rsidP="00246E50">
            <w:pPr>
              <w:pStyle w:val="TableTextBullet"/>
            </w:pPr>
            <w:r>
              <w:t>Displays options for generating, viewing, and printing reports.</w:t>
            </w:r>
          </w:p>
          <w:p w14:paraId="010BD991" w14:textId="77777777" w:rsidR="00246E50" w:rsidRDefault="00246E50" w:rsidP="00246E50">
            <w:pPr>
              <w:pStyle w:val="TableTextBullet"/>
            </w:pPr>
            <w:r>
              <w:t>Displays a date range for selection.</w:t>
            </w:r>
          </w:p>
          <w:p w14:paraId="3EA6483F" w14:textId="77777777" w:rsidR="00246E50" w:rsidRDefault="00246E50" w:rsidP="00246E50">
            <w:pPr>
              <w:pStyle w:val="TableTextBullet"/>
            </w:pPr>
            <w:r>
              <w:t>Displays report sort order and compilation criteria.</w:t>
            </w:r>
          </w:p>
        </w:tc>
      </w:tr>
      <w:tr w:rsidR="00246E50" w14:paraId="6DCC89FB" w14:textId="77777777" w:rsidTr="00246E50">
        <w:tc>
          <w:tcPr>
            <w:tcW w:w="3240" w:type="dxa"/>
          </w:tcPr>
          <w:p w14:paraId="6DC03D86" w14:textId="77777777" w:rsidR="00246E50" w:rsidRDefault="00246E50" w:rsidP="00246E50">
            <w:pPr>
              <w:pStyle w:val="TableTextNumbers"/>
            </w:pPr>
            <w:r>
              <w:t>Enter a date range.</w:t>
            </w:r>
          </w:p>
          <w:p w14:paraId="03051D5E" w14:textId="77777777" w:rsidR="00246E50" w:rsidRDefault="00246E50" w:rsidP="00246E50">
            <w:pPr>
              <w:pStyle w:val="TableTextNumbersContinued"/>
            </w:pPr>
          </w:p>
          <w:p w14:paraId="764450F9" w14:textId="77777777" w:rsidR="00246E50" w:rsidRDefault="00246E50" w:rsidP="00246E50">
            <w:pPr>
              <w:pStyle w:val="TableTextNumbersContinued"/>
            </w:pPr>
            <w:r>
              <w:t xml:space="preserve">Click the </w:t>
            </w:r>
            <w:r>
              <w:rPr>
                <w:b/>
              </w:rPr>
              <w:t>Transfusion Date (Reverse Chronological)</w:t>
            </w:r>
            <w:r>
              <w:t xml:space="preserve"> or </w:t>
            </w:r>
            <w:r>
              <w:rPr>
                <w:b/>
              </w:rPr>
              <w:t xml:space="preserve">Issue-To Location </w:t>
            </w:r>
            <w:r w:rsidRPr="00BF2E41">
              <w:t>radio button</w:t>
            </w:r>
            <w:r>
              <w:t xml:space="preserve"> to select a sort order.</w:t>
            </w:r>
          </w:p>
        </w:tc>
        <w:tc>
          <w:tcPr>
            <w:tcW w:w="6120" w:type="dxa"/>
          </w:tcPr>
          <w:p w14:paraId="35E358A5" w14:textId="77777777" w:rsidR="00246E50" w:rsidRDefault="00246E50" w:rsidP="00246E50">
            <w:pPr>
              <w:pStyle w:val="TableText"/>
            </w:pPr>
            <w:r>
              <w:t xml:space="preserve"> </w:t>
            </w:r>
          </w:p>
        </w:tc>
      </w:tr>
      <w:tr w:rsidR="00246E50" w14:paraId="277A1001" w14:textId="77777777" w:rsidTr="00246E50">
        <w:tc>
          <w:tcPr>
            <w:tcW w:w="3240" w:type="dxa"/>
          </w:tcPr>
          <w:p w14:paraId="5AD64C6E" w14:textId="77777777" w:rsidR="00246E50" w:rsidRDefault="00246E50" w:rsidP="00246E50">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6A3F07AD" w14:textId="77777777" w:rsidR="00246E50" w:rsidRDefault="00246E50" w:rsidP="00246E50">
            <w:pPr>
              <w:pStyle w:val="TableTextNumbersContinued"/>
            </w:pPr>
          </w:p>
          <w:p w14:paraId="0F167162" w14:textId="77777777" w:rsidR="00246E50" w:rsidRDefault="00246E50" w:rsidP="00246E50">
            <w:pPr>
              <w:pStyle w:val="TableTextNumbersContinued"/>
            </w:pPr>
            <w:r>
              <w:lastRenderedPageBreak/>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B0887E7" w14:textId="77777777" w:rsidR="00246E50" w:rsidRDefault="00246E50" w:rsidP="00246E50">
            <w:pPr>
              <w:pStyle w:val="TableTextBullet"/>
              <w:rPr>
                <w:b/>
                <w:bCs/>
                <w:szCs w:val="18"/>
              </w:rPr>
            </w:pPr>
            <w:r>
              <w:lastRenderedPageBreak/>
              <w:t>Compiles and displays the report.</w:t>
            </w:r>
            <w:r>
              <w:rPr>
                <w:b/>
                <w:bCs/>
              </w:rPr>
              <w:t xml:space="preserve"> </w:t>
            </w:r>
          </w:p>
          <w:p w14:paraId="415297D0" w14:textId="77777777" w:rsidR="00246E50" w:rsidRDefault="00246E50" w:rsidP="00246E50">
            <w:pPr>
              <w:pStyle w:val="TableText"/>
            </w:pPr>
          </w:p>
          <w:p w14:paraId="1896D9D0" w14:textId="77777777" w:rsidR="00246E50" w:rsidRDefault="00246E50" w:rsidP="00246E50">
            <w:pPr>
              <w:pStyle w:val="TableText"/>
              <w:rPr>
                <w:b/>
                <w:bCs/>
              </w:rPr>
            </w:pPr>
            <w:r>
              <w:rPr>
                <w:b/>
                <w:bCs/>
              </w:rPr>
              <w:t>NOTES</w:t>
            </w:r>
          </w:p>
          <w:p w14:paraId="6E2EAC78" w14:textId="77777777" w:rsidR="00246E50" w:rsidRDefault="00246E50" w:rsidP="00246E50">
            <w:pPr>
              <w:pStyle w:val="NotesText"/>
            </w:pPr>
          </w:p>
          <w:p w14:paraId="0F9B625F" w14:textId="77777777" w:rsidR="00246E50" w:rsidRDefault="00246E50" w:rsidP="00246E50">
            <w:pPr>
              <w:pStyle w:val="NotesText"/>
              <w:rPr>
                <w:rFonts w:cs="Arial"/>
              </w:rPr>
            </w:pPr>
            <w:r>
              <w:t>The report includes:</w:t>
            </w:r>
            <w:r>
              <w:rPr>
                <w:rFonts w:cs="Arial"/>
              </w:rPr>
              <w:t xml:space="preserve"> </w:t>
            </w:r>
          </w:p>
          <w:p w14:paraId="571983D8" w14:textId="77777777" w:rsidR="00246E50" w:rsidRDefault="00246E50" w:rsidP="00246E50">
            <w:pPr>
              <w:pStyle w:val="NotesTextBullet"/>
            </w:pPr>
            <w:r>
              <w:t>Issue-to location</w:t>
            </w:r>
          </w:p>
          <w:p w14:paraId="08E3CB31" w14:textId="77777777" w:rsidR="00246E50" w:rsidRDefault="00246E50" w:rsidP="00246E50">
            <w:pPr>
              <w:pStyle w:val="NotesTextBullet"/>
            </w:pPr>
            <w:r>
              <w:lastRenderedPageBreak/>
              <w:t>Unit ID</w:t>
            </w:r>
          </w:p>
          <w:p w14:paraId="25F6C27C" w14:textId="77777777" w:rsidR="00246E50" w:rsidRDefault="00246E50" w:rsidP="00246E50">
            <w:pPr>
              <w:pStyle w:val="NotesTextBullet"/>
            </w:pPr>
            <w:r>
              <w:t>Product short name</w:t>
            </w:r>
          </w:p>
          <w:p w14:paraId="068FE4EB" w14:textId="77777777" w:rsidR="00246E50" w:rsidRDefault="00246E50" w:rsidP="00246E50">
            <w:pPr>
              <w:pStyle w:val="NotesTextBullet"/>
            </w:pPr>
            <w:r>
              <w:t>Issue Date/time</w:t>
            </w:r>
          </w:p>
          <w:p w14:paraId="594DC4FD" w14:textId="77777777" w:rsidR="00246E50" w:rsidRDefault="00246E50" w:rsidP="00246E50">
            <w:pPr>
              <w:pStyle w:val="NotesTextBullet"/>
            </w:pPr>
            <w:r>
              <w:t xml:space="preserve">Start Date/time </w:t>
            </w:r>
          </w:p>
          <w:p w14:paraId="178B11E7" w14:textId="77777777" w:rsidR="00246E50" w:rsidRDefault="00246E50" w:rsidP="00246E50">
            <w:pPr>
              <w:pStyle w:val="NotesTextBullet"/>
            </w:pPr>
            <w:r>
              <w:t>End Date/time</w:t>
            </w:r>
          </w:p>
          <w:p w14:paraId="4D3A8549" w14:textId="77777777" w:rsidR="00246E50" w:rsidRDefault="00246E50" w:rsidP="00246E50">
            <w:pPr>
              <w:pStyle w:val="NotesTextBullet"/>
            </w:pPr>
            <w:r>
              <w:t>Number of minutes elapsed between unit issue and start time, when exceeds 30 minutes</w:t>
            </w:r>
          </w:p>
          <w:p w14:paraId="59182E77" w14:textId="77777777" w:rsidR="00246E50" w:rsidRDefault="00246E50" w:rsidP="00246E50">
            <w:pPr>
              <w:pStyle w:val="NotesTextBullet"/>
            </w:pPr>
            <w:r>
              <w:t xml:space="preserve">Number of minutes elapsed between the unit start and end dates and times, when they exceed the maximum transfusion setting for the component class. </w:t>
            </w:r>
          </w:p>
          <w:p w14:paraId="0FBB691E" w14:textId="77777777" w:rsidR="00246E50" w:rsidRDefault="00246E50" w:rsidP="00246E50">
            <w:pPr>
              <w:pStyle w:val="NotesTextBullet"/>
            </w:pPr>
            <w:r>
              <w:t>Patient Name</w:t>
            </w:r>
          </w:p>
          <w:p w14:paraId="23BC6E3B" w14:textId="77777777" w:rsidR="00246E50" w:rsidRDefault="00246E50" w:rsidP="00246E50">
            <w:pPr>
              <w:pStyle w:val="NotesTextBullet"/>
            </w:pPr>
            <w:r>
              <w:t>Patient ID</w:t>
            </w:r>
          </w:p>
          <w:p w14:paraId="0EDD881B" w14:textId="77777777" w:rsidR="00246E50" w:rsidRDefault="00246E50" w:rsidP="00246E50">
            <w:pPr>
              <w:pStyle w:val="NotesTextBullet"/>
            </w:pPr>
            <w:r>
              <w:t>Treating Specialty</w:t>
            </w:r>
          </w:p>
          <w:p w14:paraId="63BB2FE6" w14:textId="77777777" w:rsidR="00246E50" w:rsidRDefault="00246E50" w:rsidP="00246E50">
            <w:pPr>
              <w:pStyle w:val="NotesText"/>
            </w:pPr>
          </w:p>
          <w:p w14:paraId="1F297E52" w14:textId="77777777" w:rsidR="00246E50" w:rsidRDefault="00246E50" w:rsidP="00246E50">
            <w:pPr>
              <w:pStyle w:val="NotesText"/>
            </w:pPr>
            <w:r>
              <w:rPr>
                <w:rFonts w:cs="Arial"/>
                <w:vanish/>
              </w:rPr>
              <w:t xml:space="preserve">BR_105.02 </w:t>
            </w:r>
            <w:r>
              <w:t>The report includes instances of a prolonged start time and/or the prolonged transfusion time.</w:t>
            </w:r>
          </w:p>
          <w:p w14:paraId="15DFDB9F" w14:textId="77777777" w:rsidR="00246E50" w:rsidRDefault="00246E50" w:rsidP="00246E50">
            <w:pPr>
              <w:pStyle w:val="NotesText"/>
            </w:pPr>
          </w:p>
          <w:p w14:paraId="47F90F58" w14:textId="77777777" w:rsidR="00246E50" w:rsidRDefault="00246E50" w:rsidP="00246E50">
            <w:pPr>
              <w:pStyle w:val="NotesText"/>
            </w:pPr>
            <w:r>
              <w:rPr>
                <w:rFonts w:cs="Arial"/>
                <w:vanish/>
              </w:rPr>
              <w:t xml:space="preserve">BR_105.03 </w:t>
            </w:r>
            <w:r>
              <w:t>A prolonged transfusion time is the number of minutes elapsed between the transfusion start and end times and the maximum transfusion time setting for the component class. When the number of minutes exceeds the maximum transfusion time setting for the component class, the unit and its transfusion data are included in the report.</w:t>
            </w:r>
          </w:p>
          <w:p w14:paraId="38CE7FBB" w14:textId="77777777" w:rsidR="00246E50" w:rsidRDefault="00246E50" w:rsidP="00246E50">
            <w:pPr>
              <w:pStyle w:val="NotesText"/>
            </w:pPr>
          </w:p>
          <w:p w14:paraId="6506FDD3" w14:textId="77777777" w:rsidR="00246E50" w:rsidRDefault="00246E50" w:rsidP="00246E50">
            <w:pPr>
              <w:pStyle w:val="NotesText"/>
            </w:pPr>
            <w:r>
              <w:rPr>
                <w:rFonts w:cs="Arial"/>
                <w:vanish/>
              </w:rPr>
              <w:t xml:space="preserve">BR_105.04 </w:t>
            </w:r>
            <w:r>
              <w:t>A delayed start of transfusion is the number of minutes elapsed between the issue time and the transfusion start time. When the start time of the unit’s transfusion is greater than 30 minutes from the unit’s issue time and when no remote storage location is indicated, the unit and its transfusion data are included in the report.</w:t>
            </w:r>
          </w:p>
          <w:p w14:paraId="58448023" w14:textId="77777777" w:rsidR="00246E50" w:rsidRDefault="00246E50" w:rsidP="00246E50">
            <w:pPr>
              <w:pStyle w:val="NotesText"/>
            </w:pPr>
          </w:p>
          <w:p w14:paraId="56F49B8D" w14:textId="77777777" w:rsidR="00246E50" w:rsidRDefault="00246E50" w:rsidP="00246E50">
            <w:pPr>
              <w:pStyle w:val="NotesText"/>
            </w:pPr>
            <w:r>
              <w:rPr>
                <w:rFonts w:cs="Arial"/>
                <w:vanish/>
              </w:rPr>
              <w:t xml:space="preserve">BR_105.06 </w:t>
            </w:r>
            <w:r>
              <w:t>The total transfusion time is the number of minutes elapsed between the issue and end times.</w:t>
            </w:r>
          </w:p>
          <w:p w14:paraId="01004C17" w14:textId="77777777" w:rsidR="00246E50" w:rsidRDefault="00246E50" w:rsidP="00246E50">
            <w:pPr>
              <w:pStyle w:val="NotesText"/>
            </w:pPr>
          </w:p>
          <w:p w14:paraId="0373B5FF" w14:textId="77777777" w:rsidR="00246E50" w:rsidRDefault="00246E50" w:rsidP="00246E50">
            <w:pPr>
              <w:pStyle w:val="NotesText"/>
            </w:pPr>
            <w:r>
              <w:rPr>
                <w:rFonts w:cs="Arial"/>
                <w:vanish/>
              </w:rPr>
              <w:t xml:space="preserve">BR_105.05 </w:t>
            </w:r>
            <w:r>
              <w:t>The report includes:</w:t>
            </w:r>
          </w:p>
          <w:p w14:paraId="0919AE7D" w14:textId="77777777" w:rsidR="00246E50" w:rsidRDefault="00246E50" w:rsidP="00246E50">
            <w:pPr>
              <w:pStyle w:val="NotesTextBullet"/>
            </w:pPr>
            <w:r>
              <w:t>Issue-To Location</w:t>
            </w:r>
          </w:p>
          <w:p w14:paraId="3947AEE3" w14:textId="77777777" w:rsidR="00246E50" w:rsidRDefault="00246E50" w:rsidP="00246E50">
            <w:pPr>
              <w:pStyle w:val="NotesTextBullet"/>
            </w:pPr>
            <w:r>
              <w:t>Unit ID</w:t>
            </w:r>
          </w:p>
          <w:p w14:paraId="0E0CFAE3" w14:textId="77777777" w:rsidR="00246E50" w:rsidRDefault="00246E50" w:rsidP="00246E50">
            <w:pPr>
              <w:pStyle w:val="NotesTextBullet"/>
            </w:pPr>
            <w:r>
              <w:t>Product Short Name</w:t>
            </w:r>
          </w:p>
          <w:p w14:paraId="230199E7" w14:textId="77777777" w:rsidR="00246E50" w:rsidRDefault="00246E50" w:rsidP="00246E50">
            <w:pPr>
              <w:pStyle w:val="NotesTextBullet"/>
            </w:pPr>
            <w:r>
              <w:t>Issue Date/Time</w:t>
            </w:r>
          </w:p>
          <w:p w14:paraId="0F79F8AE" w14:textId="77777777" w:rsidR="00246E50" w:rsidRDefault="00246E50" w:rsidP="00246E50">
            <w:pPr>
              <w:pStyle w:val="NotesTextBullet"/>
            </w:pPr>
            <w:r>
              <w:t xml:space="preserve">Start Date/Time </w:t>
            </w:r>
          </w:p>
          <w:p w14:paraId="5545E2CF" w14:textId="77777777" w:rsidR="00246E50" w:rsidRDefault="00246E50" w:rsidP="00246E50">
            <w:pPr>
              <w:pStyle w:val="NotesTextBullet"/>
            </w:pPr>
            <w:r>
              <w:t>End Date/Time</w:t>
            </w:r>
          </w:p>
          <w:p w14:paraId="751AF07E" w14:textId="77777777" w:rsidR="00246E50" w:rsidRDefault="00246E50" w:rsidP="00246E50">
            <w:pPr>
              <w:pStyle w:val="NotesTextBullet"/>
            </w:pPr>
            <w:r>
              <w:t>Delayed start interval (the number of minutes elapsed between unit issue and start times, when it exceeds 30 minutes)</w:t>
            </w:r>
          </w:p>
          <w:p w14:paraId="2589150D" w14:textId="77777777" w:rsidR="00246E50" w:rsidRDefault="00246E50" w:rsidP="00246E50">
            <w:pPr>
              <w:pStyle w:val="NotesTextBullet"/>
            </w:pPr>
            <w:r>
              <w:t>Prolonged transfusion interval (the number of minutes elapsed between unit start and end dates and times, when they exceed the maximum transfusion setting for the component class)</w:t>
            </w:r>
          </w:p>
          <w:p w14:paraId="16F95031" w14:textId="77777777" w:rsidR="00246E50" w:rsidRDefault="00246E50" w:rsidP="00246E50">
            <w:pPr>
              <w:pStyle w:val="NotesTextBullet"/>
            </w:pPr>
            <w:r>
              <w:t>Patient Name</w:t>
            </w:r>
          </w:p>
          <w:p w14:paraId="758631AD" w14:textId="77777777" w:rsidR="00246E50" w:rsidRDefault="00246E50" w:rsidP="00246E50">
            <w:pPr>
              <w:pStyle w:val="NotesTextBullet"/>
            </w:pPr>
            <w:r>
              <w:t xml:space="preserve">Patient ID </w:t>
            </w:r>
          </w:p>
          <w:p w14:paraId="382CBDCC" w14:textId="77777777" w:rsidR="00246E50" w:rsidRDefault="00246E50" w:rsidP="00246E50">
            <w:pPr>
              <w:pStyle w:val="NotesTextBullet"/>
            </w:pPr>
            <w:r>
              <w:t>Treating Specialty</w:t>
            </w:r>
          </w:p>
        </w:tc>
      </w:tr>
      <w:tr w:rsidR="00246E50" w14:paraId="56908E25" w14:textId="77777777" w:rsidTr="00246E50">
        <w:trPr>
          <w:cantSplit/>
        </w:trPr>
        <w:tc>
          <w:tcPr>
            <w:tcW w:w="3240" w:type="dxa"/>
          </w:tcPr>
          <w:p w14:paraId="10C4C87D" w14:textId="485303F2" w:rsidR="00246E50" w:rsidRDefault="00246E50" w:rsidP="00246E50">
            <w:pPr>
              <w:pStyle w:val="TableTextNumbers"/>
            </w:pPr>
            <w:r w:rsidRPr="0076371D">
              <w:lastRenderedPageBreak/>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Pr>
          <w:p w14:paraId="684C19E2" w14:textId="77777777" w:rsidR="00246E50" w:rsidRDefault="00246E50" w:rsidP="00246E50">
            <w:pPr>
              <w:pStyle w:val="TableTextBullet"/>
            </w:pPr>
            <w:r>
              <w:t>If Print is selected, prints the report on the designated printer.</w:t>
            </w:r>
          </w:p>
          <w:p w14:paraId="4A89CEF7" w14:textId="77777777" w:rsidR="00246E50" w:rsidRDefault="00246E50" w:rsidP="00246E50">
            <w:pPr>
              <w:pStyle w:val="TableTextBullet"/>
            </w:pPr>
            <w:r>
              <w:t>If Export is selected, exports the report to the designated file.</w:t>
            </w:r>
          </w:p>
          <w:p w14:paraId="23D5A7BC" w14:textId="77777777" w:rsidR="00246E50" w:rsidRDefault="00246E50" w:rsidP="00246E50">
            <w:pPr>
              <w:pStyle w:val="TableTextBullet"/>
            </w:pPr>
            <w:r>
              <w:t>If Close is selected, exits the report preview.</w:t>
            </w:r>
          </w:p>
        </w:tc>
      </w:tr>
    </w:tbl>
    <w:p w14:paraId="6D984C8E" w14:textId="53302593" w:rsidR="002A21AE" w:rsidRDefault="002A21AE">
      <w:pPr>
        <w:pStyle w:val="Heading2"/>
      </w:pPr>
      <w:bookmarkStart w:id="558" w:name="_Toc163644985"/>
      <w:r>
        <w:lastRenderedPageBreak/>
        <w:t>Transfusion Complications Report</w:t>
      </w:r>
      <w:bookmarkEnd w:id="558"/>
      <w:r>
        <w:fldChar w:fldCharType="begin"/>
      </w:r>
      <w:r>
        <w:instrText xml:space="preserve"> XE </w:instrText>
      </w:r>
      <w:r w:rsidR="00FA7E65">
        <w:instrText>“</w:instrText>
      </w:r>
      <w:r>
        <w:instrText>Transfusion Complications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UC_90</w:t>
      </w:r>
    </w:p>
    <w:p w14:paraId="06BDC359" w14:textId="77777777" w:rsidR="002A21AE" w:rsidRDefault="002A21AE" w:rsidP="00FA7E65">
      <w:pPr>
        <w:pStyle w:val="BodyText"/>
      </w:pPr>
      <w:r>
        <w:t xml:space="preserve">The user views </w:t>
      </w:r>
      <w:r w:rsidR="003F3B4B">
        <w:t>and</w:t>
      </w:r>
      <w:r w:rsidR="009162DB">
        <w:t>/or</w:t>
      </w:r>
      <w:r>
        <w:t xml:space="preserve"> prints the T</w:t>
      </w:r>
      <w:r w:rsidR="009162DB">
        <w:t>ransfusion Complications Report</w:t>
      </w:r>
      <w:r>
        <w:t xml:space="preserve">. </w:t>
      </w:r>
    </w:p>
    <w:p w14:paraId="38FBE634" w14:textId="77777777" w:rsidR="002A21AE" w:rsidRDefault="002A21AE">
      <w:pPr>
        <w:pStyle w:val="Heading4"/>
      </w:pPr>
      <w:r>
        <w:t>Assumptions</w:t>
      </w:r>
      <w:r>
        <w:rPr>
          <w:b w:val="0"/>
        </w:rPr>
        <w:t xml:space="preserve"> </w:t>
      </w:r>
    </w:p>
    <w:p w14:paraId="32BB2D90" w14:textId="77777777" w:rsidR="00CA6E27" w:rsidRDefault="00CA6E27">
      <w:pPr>
        <w:pStyle w:val="ListBullet"/>
      </w:pPr>
      <w:r w:rsidRPr="00CA6E27">
        <w:rPr>
          <w:bCs/>
        </w:rPr>
        <w:t>VistA</w:t>
      </w:r>
      <w:r w:rsidR="002A21AE">
        <w:t xml:space="preserve"> tests are defined</w:t>
      </w:r>
      <w:r w:rsidR="00DF389C">
        <w:t xml:space="preserve"> in Transfusion Complications</w:t>
      </w:r>
      <w:r>
        <w:t>.</w:t>
      </w:r>
    </w:p>
    <w:p w14:paraId="51CFAA87" w14:textId="77777777" w:rsidR="002A21AE" w:rsidRDefault="00CA6E27">
      <w:pPr>
        <w:pStyle w:val="ListBullet"/>
      </w:pPr>
      <w:r>
        <w:t>T</w:t>
      </w:r>
      <w:r w:rsidR="002A21AE">
        <w:t xml:space="preserve">he connection to </w:t>
      </w:r>
      <w:r w:rsidRPr="00CA6E27">
        <w:rPr>
          <w:bCs/>
        </w:rPr>
        <w:t>VistA</w:t>
      </w:r>
      <w:r w:rsidR="002A21AE">
        <w:t xml:space="preserve"> is active.</w:t>
      </w:r>
    </w:p>
    <w:p w14:paraId="26CDE63F" w14:textId="77777777" w:rsidR="002A21AE" w:rsidRDefault="002A21AE">
      <w:pPr>
        <w:pStyle w:val="ListBullet"/>
      </w:pPr>
      <w:r>
        <w:t>Transfusion Complications was processed and post-transfusion complication tests are defined.</w:t>
      </w:r>
    </w:p>
    <w:p w14:paraId="4406B343" w14:textId="77777777" w:rsidR="002A21AE" w:rsidRDefault="002A21AE">
      <w:pPr>
        <w:pStyle w:val="ListBullet"/>
      </w:pPr>
      <w:r>
        <w:t>Units have a status of presumed transfused or transfused for the patient.</w:t>
      </w:r>
    </w:p>
    <w:p w14:paraId="5017E9E8" w14:textId="77777777" w:rsidR="002A21AE" w:rsidRDefault="002A21AE">
      <w:pPr>
        <w:pStyle w:val="Heading4"/>
      </w:pPr>
      <w:r>
        <w:t xml:space="preserve">Outcome </w:t>
      </w:r>
    </w:p>
    <w:p w14:paraId="40753795" w14:textId="77777777" w:rsidR="002A21AE" w:rsidRDefault="00AE521B">
      <w:pPr>
        <w:pStyle w:val="ListBullet"/>
      </w:pPr>
      <w:r>
        <w:t>The user views and/or prints the report</w:t>
      </w:r>
      <w:r w:rsidR="002A21AE">
        <w:t xml:space="preserve">. </w:t>
      </w:r>
    </w:p>
    <w:p w14:paraId="6BE221D9" w14:textId="77777777" w:rsidR="002A21AE" w:rsidRDefault="002A21AE">
      <w:pPr>
        <w:pStyle w:val="Heading4"/>
      </w:pPr>
      <w:r>
        <w:t>Limitations and Restrictions</w:t>
      </w:r>
      <w:r>
        <w:rPr>
          <w:b w:val="0"/>
        </w:rPr>
        <w:t xml:space="preserve"> </w:t>
      </w:r>
    </w:p>
    <w:p w14:paraId="5D39700D" w14:textId="77777777" w:rsidR="002A21AE" w:rsidRDefault="002A21AE">
      <w:pPr>
        <w:pStyle w:val="ListBullet"/>
      </w:pPr>
      <w:r>
        <w:t>The report does not include units in an issued status.</w:t>
      </w:r>
    </w:p>
    <w:p w14:paraId="7F8C840D" w14:textId="15DB27E1" w:rsidR="00270D6F" w:rsidRDefault="00270D6F" w:rsidP="00270D6F">
      <w:pPr>
        <w:pStyle w:val="ListBullet"/>
      </w:pPr>
      <w:r>
        <w:t xml:space="preserve">The report cannot be </w:t>
      </w:r>
      <w:r w:rsidR="00C73E0E">
        <w:t>scheduled.</w:t>
      </w:r>
      <w:r w:rsidR="00CD5BA1">
        <w:t xml:space="preserve"> </w:t>
      </w:r>
      <w:r w:rsidR="00CD5BA1" w:rsidRPr="00CD5BA1">
        <w:rPr>
          <w:vanish/>
        </w:rPr>
        <w:t>Defect 210264</w:t>
      </w:r>
    </w:p>
    <w:p w14:paraId="060A0728" w14:textId="13A64A81" w:rsidR="002A21AE" w:rsidRDefault="002A21AE" w:rsidP="005304F5">
      <w:pPr>
        <w:pStyle w:val="Heading4"/>
      </w:pPr>
      <w:r>
        <w:t xml:space="preserve">Additional Information </w:t>
      </w:r>
    </w:p>
    <w:p w14:paraId="49C13E6E" w14:textId="77777777" w:rsidR="002A21AE" w:rsidRDefault="002A21AE">
      <w:pPr>
        <w:pStyle w:val="ListBullet"/>
      </w:pPr>
      <w:r>
        <w:t xml:space="preserve">The report searches for </w:t>
      </w:r>
      <w:r w:rsidR="00CA6E27" w:rsidRPr="00CA6E27">
        <w:rPr>
          <w:bCs/>
        </w:rPr>
        <w:t>VistA</w:t>
      </w:r>
      <w:r>
        <w:t xml:space="preserve"> tests defined in Transfusion Complications when the report is requested.</w:t>
      </w:r>
    </w:p>
    <w:p w14:paraId="1584E4F2" w14:textId="77777777" w:rsidR="002A21AE" w:rsidRDefault="002A21AE">
      <w:pPr>
        <w:pStyle w:val="ListBullet"/>
      </w:pPr>
      <w:r>
        <w:t>If threshold values are words, they are case insensitive.</w:t>
      </w:r>
    </w:p>
    <w:p w14:paraId="264FC95E" w14:textId="77777777" w:rsidR="002A21AE" w:rsidRDefault="002A21AE">
      <w:pPr>
        <w:pStyle w:val="ListBullet"/>
      </w:pPr>
      <w:r>
        <w:t>A patient’s test results and transfusions are not directly linked by date, episode, or admission event.</w:t>
      </w:r>
    </w:p>
    <w:p w14:paraId="5DECF07E" w14:textId="77777777" w:rsidR="002A21AE" w:rsidRDefault="002A21AE">
      <w:pPr>
        <w:pStyle w:val="ListBullet"/>
      </w:pPr>
      <w:r>
        <w:t>Lab test data retrieved for the report are not saved in VBECS.</w:t>
      </w:r>
    </w:p>
    <w:p w14:paraId="65D2E757" w14:textId="77777777" w:rsidR="002A21AE" w:rsidRDefault="002A21AE">
      <w:pPr>
        <w:pStyle w:val="ListBullet"/>
      </w:pPr>
      <w:r>
        <w:t>The report is not saved in VBECS.</w:t>
      </w:r>
    </w:p>
    <w:p w14:paraId="6701DF14" w14:textId="77777777" w:rsidR="002A21AE" w:rsidRDefault="002A21AE">
      <w:pPr>
        <w:pStyle w:val="Heading4"/>
        <w:rPr>
          <w:b w:val="0"/>
        </w:rPr>
      </w:pPr>
      <w:r>
        <w:t>User Roles with Access to This Option</w:t>
      </w:r>
      <w:r>
        <w:rPr>
          <w:b w:val="0"/>
        </w:rPr>
        <w:t xml:space="preserve"> </w:t>
      </w:r>
    </w:p>
    <w:p w14:paraId="4DD7E060" w14:textId="77777777" w:rsidR="002A21AE" w:rsidRDefault="00184EA4">
      <w:pPr>
        <w:pStyle w:val="Roles"/>
      </w:pPr>
      <w:r>
        <w:t>All users</w:t>
      </w:r>
    </w:p>
    <w:p w14:paraId="6DC7A21B" w14:textId="77777777" w:rsidR="002A21AE" w:rsidRDefault="002A21AE">
      <w:pPr>
        <w:pStyle w:val="Heading4"/>
        <w:tabs>
          <w:tab w:val="left" w:pos="6885"/>
        </w:tabs>
      </w:pPr>
      <w:r>
        <w:t xml:space="preserve">Transfusion Complications Report </w:t>
      </w:r>
      <w:r>
        <w:tab/>
      </w:r>
    </w:p>
    <w:p w14:paraId="1EA2E0D8" w14:textId="77777777" w:rsidR="002A21AE" w:rsidRDefault="002A21AE" w:rsidP="00FA7E65">
      <w:pPr>
        <w:pStyle w:val="BodyText"/>
      </w:pPr>
      <w:r>
        <w:t xml:space="preserve">The user views </w:t>
      </w:r>
      <w:r w:rsidR="009162DB">
        <w:t>and/</w:t>
      </w:r>
      <w:r>
        <w:t>or prints the Transfusion Complications Report</w:t>
      </w:r>
      <w:r w:rsidR="009162DB">
        <w:t>, which includes patients transfused in his division with a test result that exceeds the threshold set in Transfusion Complications for that test</w:t>
      </w:r>
      <w:r>
        <w:t>. Tests associated with possible post-transfusion complications are gathered by searching for results in a user-defined date range for the report. The report also includes the documented patient transfusions from 12 months prior to the start date of the report through the end date of the report.</w:t>
      </w:r>
      <w:r w:rsidR="009162DB">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4824773" w14:textId="77777777">
        <w:trPr>
          <w:cantSplit/>
          <w:tblHeader/>
        </w:trPr>
        <w:tc>
          <w:tcPr>
            <w:tcW w:w="3240" w:type="dxa"/>
            <w:shd w:val="pct30" w:color="auto" w:fill="FFFFFF"/>
            <w:vAlign w:val="bottom"/>
          </w:tcPr>
          <w:p w14:paraId="69987BD5" w14:textId="77777777" w:rsidR="002A21AE" w:rsidRDefault="002A21AE">
            <w:pPr>
              <w:pStyle w:val="TableText"/>
              <w:rPr>
                <w:b/>
              </w:rPr>
            </w:pPr>
            <w:r>
              <w:rPr>
                <w:b/>
              </w:rPr>
              <w:t>User Action</w:t>
            </w:r>
          </w:p>
        </w:tc>
        <w:tc>
          <w:tcPr>
            <w:tcW w:w="6120" w:type="dxa"/>
            <w:shd w:val="pct30" w:color="auto" w:fill="FFFFFF"/>
            <w:vAlign w:val="bottom"/>
          </w:tcPr>
          <w:p w14:paraId="19D39184" w14:textId="77777777" w:rsidR="002A21AE" w:rsidRDefault="002A21AE">
            <w:pPr>
              <w:pStyle w:val="TableText"/>
              <w:rPr>
                <w:b/>
              </w:rPr>
            </w:pPr>
            <w:r>
              <w:rPr>
                <w:b/>
              </w:rPr>
              <w:t>VBECS</w:t>
            </w:r>
          </w:p>
        </w:tc>
      </w:tr>
      <w:tr w:rsidR="002A21AE" w14:paraId="63A9D506" w14:textId="77777777">
        <w:tc>
          <w:tcPr>
            <w:tcW w:w="3240" w:type="dxa"/>
            <w:tcBorders>
              <w:top w:val="single" w:sz="4" w:space="0" w:color="auto"/>
              <w:left w:val="single" w:sz="4" w:space="0" w:color="auto"/>
              <w:bottom w:val="single" w:sz="4" w:space="0" w:color="auto"/>
              <w:right w:val="single" w:sz="4" w:space="0" w:color="auto"/>
            </w:tcBorders>
          </w:tcPr>
          <w:p w14:paraId="74FBE017" w14:textId="77777777" w:rsidR="002A21AE" w:rsidRDefault="002A21AE" w:rsidP="00925CAD">
            <w:pPr>
              <w:pStyle w:val="TableTextNumbers"/>
              <w:numPr>
                <w:ilvl w:val="0"/>
                <w:numId w:val="74"/>
              </w:numPr>
            </w:pPr>
            <w:r>
              <w:t xml:space="preserve">Select </w:t>
            </w:r>
            <w:r w:rsidRPr="00946DA2">
              <w:rPr>
                <w:b/>
              </w:rPr>
              <w:t>Reports</w:t>
            </w:r>
            <w:r>
              <w:t xml:space="preserve"> from the main menu.</w:t>
            </w:r>
          </w:p>
          <w:p w14:paraId="7DD0BFF9" w14:textId="77777777" w:rsidR="002A21AE" w:rsidRDefault="002A21AE">
            <w:pPr>
              <w:pStyle w:val="TableTextNumbersContinued"/>
            </w:pPr>
          </w:p>
          <w:p w14:paraId="4C61A9C5" w14:textId="77777777" w:rsidR="002A21AE" w:rsidRDefault="002A21AE">
            <w:pPr>
              <w:pStyle w:val="TableTextNumbersContinued"/>
            </w:pPr>
            <w:r>
              <w:t xml:space="preserve">Select </w:t>
            </w:r>
            <w:r>
              <w:rPr>
                <w:b/>
              </w:rPr>
              <w:t>Transfusion Complications Report</w:t>
            </w:r>
            <w:r>
              <w:t>.</w:t>
            </w:r>
          </w:p>
        </w:tc>
        <w:tc>
          <w:tcPr>
            <w:tcW w:w="6120" w:type="dxa"/>
            <w:tcBorders>
              <w:top w:val="single" w:sz="4" w:space="0" w:color="auto"/>
              <w:left w:val="single" w:sz="4" w:space="0" w:color="auto"/>
              <w:bottom w:val="single" w:sz="4" w:space="0" w:color="auto"/>
              <w:right w:val="single" w:sz="4" w:space="0" w:color="auto"/>
            </w:tcBorders>
          </w:tcPr>
          <w:p w14:paraId="59BABD36" w14:textId="77777777" w:rsidR="002A21AE" w:rsidRDefault="002A21AE">
            <w:pPr>
              <w:pStyle w:val="TableTextBullet"/>
            </w:pPr>
            <w:r>
              <w:t>Lists report names.</w:t>
            </w:r>
          </w:p>
          <w:p w14:paraId="6BF9A7DE" w14:textId="77777777" w:rsidR="002A21AE" w:rsidRDefault="002A21AE">
            <w:pPr>
              <w:pStyle w:val="TableTextBullet"/>
            </w:pPr>
            <w:r>
              <w:t>Displays fields for entering a report date range.</w:t>
            </w:r>
          </w:p>
        </w:tc>
      </w:tr>
      <w:tr w:rsidR="002A21AE" w14:paraId="2686EF75" w14:textId="77777777" w:rsidTr="00305B16">
        <w:trPr>
          <w:cantSplit/>
        </w:trPr>
        <w:tc>
          <w:tcPr>
            <w:tcW w:w="3240" w:type="dxa"/>
          </w:tcPr>
          <w:p w14:paraId="055E3E3F" w14:textId="77777777" w:rsidR="002A21AE" w:rsidRDefault="002A21AE">
            <w:pPr>
              <w:pStyle w:val="TableTextNumbers"/>
            </w:pPr>
            <w:r>
              <w:lastRenderedPageBreak/>
              <w:t>Enter or select start and end dates.</w:t>
            </w:r>
          </w:p>
        </w:tc>
        <w:tc>
          <w:tcPr>
            <w:tcW w:w="6120" w:type="dxa"/>
          </w:tcPr>
          <w:p w14:paraId="0B869C0E" w14:textId="77777777" w:rsidR="002A21AE" w:rsidRDefault="002A21AE">
            <w:pPr>
              <w:pStyle w:val="TableTextBullet"/>
            </w:pPr>
            <w:r>
              <w:t>Compiles and displays the report and allows the user to print it.</w:t>
            </w:r>
          </w:p>
          <w:p w14:paraId="461D7C28" w14:textId="77777777" w:rsidR="002A21AE" w:rsidRDefault="002A21AE">
            <w:pPr>
              <w:pStyle w:val="TableText"/>
            </w:pPr>
          </w:p>
          <w:p w14:paraId="7430F7C6" w14:textId="112651FB" w:rsidR="002A21AE" w:rsidRDefault="002A21AE">
            <w:pPr>
              <w:pStyle w:val="TableText"/>
              <w:rPr>
                <w:b/>
                <w:bCs/>
                <w:szCs w:val="18"/>
              </w:rPr>
            </w:pPr>
            <w:r>
              <w:rPr>
                <w:b/>
                <w:bCs/>
                <w:szCs w:val="18"/>
              </w:rPr>
              <w:t>NOTES</w:t>
            </w:r>
          </w:p>
          <w:p w14:paraId="159E60B1" w14:textId="77777777" w:rsidR="002A21AE" w:rsidRDefault="002A21AE">
            <w:pPr>
              <w:pStyle w:val="NotesText"/>
            </w:pPr>
          </w:p>
          <w:p w14:paraId="77F02038" w14:textId="77777777" w:rsidR="002A21AE" w:rsidRDefault="002A21AE">
            <w:pPr>
              <w:pStyle w:val="NotesText"/>
            </w:pPr>
            <w:r>
              <w:rPr>
                <w:rFonts w:cs="Arial"/>
                <w:vanish/>
              </w:rPr>
              <w:t xml:space="preserve">BR_90.02 </w:t>
            </w:r>
            <w:r>
              <w:t>VBECS searches the Laboratory files (VistALink) and gathers instances of tests that exceed the threshold result of the tests set in Transfusion Complications within the specified date range. Retrieved test results are then filtered so that the report includes results only</w:t>
            </w:r>
            <w:r>
              <w:rPr>
                <w:b/>
              </w:rPr>
              <w:t xml:space="preserve"> </w:t>
            </w:r>
            <w:r>
              <w:t>for patients who have transfusions documented in VBECS within the last 12 months prior to the start date of the report through the end date.</w:t>
            </w:r>
          </w:p>
          <w:p w14:paraId="5210EDD8" w14:textId="77777777" w:rsidR="002A21AE" w:rsidRDefault="002A21AE">
            <w:pPr>
              <w:pStyle w:val="NotesText"/>
            </w:pPr>
          </w:p>
          <w:p w14:paraId="6E8147B7" w14:textId="41E9C47F" w:rsidR="002A21AE" w:rsidRDefault="002A21AE">
            <w:pPr>
              <w:pStyle w:val="NotesText"/>
            </w:pPr>
            <w:r>
              <w:rPr>
                <w:rFonts w:cs="Arial"/>
                <w:vanish/>
              </w:rPr>
              <w:t xml:space="preserve">BR_90.03 </w:t>
            </w:r>
            <w:r>
              <w:t>VBECS includes the evaluated tests and their threshold values in the report criteria section</w:t>
            </w:r>
            <w:r w:rsidR="006E7ECE">
              <w:t xml:space="preserve"> ‘Transfusion Complication Test Name’</w:t>
            </w:r>
            <w:r>
              <w:t>.</w:t>
            </w:r>
            <w:r w:rsidR="006E7ECE">
              <w:t xml:space="preserve"> All complications and thresholds are reported, not just the ones where the threshold is exceeded.</w:t>
            </w:r>
          </w:p>
          <w:p w14:paraId="70A925EC" w14:textId="77777777" w:rsidR="002A21AE" w:rsidRDefault="002A21AE">
            <w:pPr>
              <w:pStyle w:val="NotesText"/>
            </w:pPr>
          </w:p>
          <w:p w14:paraId="2420C50C" w14:textId="77777777" w:rsidR="002A21AE" w:rsidRDefault="002A21AE">
            <w:pPr>
              <w:pStyle w:val="NotesText"/>
            </w:pPr>
            <w:r>
              <w:rPr>
                <w:rFonts w:cs="Arial"/>
                <w:vanish/>
              </w:rPr>
              <w:t xml:space="preserve">BR_90.04 </w:t>
            </w:r>
            <w:r>
              <w:rPr>
                <w:color w:val="000000"/>
              </w:rPr>
              <w:t>Details of the report include</w:t>
            </w:r>
            <w:r>
              <w:t>:</w:t>
            </w:r>
          </w:p>
          <w:p w14:paraId="18343002" w14:textId="77777777" w:rsidR="002A21AE" w:rsidRDefault="002A21AE">
            <w:pPr>
              <w:pStyle w:val="NotesTextBullet"/>
            </w:pPr>
            <w:r>
              <w:t>Patient name</w:t>
            </w:r>
          </w:p>
          <w:p w14:paraId="25227D9E" w14:textId="77777777" w:rsidR="002A21AE" w:rsidRDefault="002A21AE">
            <w:pPr>
              <w:pStyle w:val="NotesTextBullet"/>
            </w:pPr>
            <w:r>
              <w:t>Patient ID</w:t>
            </w:r>
          </w:p>
          <w:p w14:paraId="3739D56A" w14:textId="77777777" w:rsidR="002A21AE" w:rsidRDefault="002A21AE">
            <w:pPr>
              <w:pStyle w:val="NotesTextBullet"/>
            </w:pPr>
            <w:r>
              <w:t>Current hospital location</w:t>
            </w:r>
          </w:p>
          <w:p w14:paraId="40BD1422" w14:textId="77777777" w:rsidR="002A21AE" w:rsidRDefault="002A21AE">
            <w:pPr>
              <w:pStyle w:val="NotesTextBullet"/>
            </w:pPr>
            <w:r>
              <w:t>Date of death (in lieu of location if patient died)</w:t>
            </w:r>
          </w:p>
          <w:p w14:paraId="30BA20EA" w14:textId="77777777" w:rsidR="002A21AE" w:rsidRDefault="002A21AE">
            <w:pPr>
              <w:pStyle w:val="NotesTextBullet"/>
            </w:pPr>
            <w:r>
              <w:t>Unit ID</w:t>
            </w:r>
          </w:p>
          <w:p w14:paraId="6F8D6C33" w14:textId="77777777" w:rsidR="002A21AE" w:rsidRDefault="002A21AE">
            <w:pPr>
              <w:pStyle w:val="NotesTextBullet"/>
            </w:pPr>
            <w:r>
              <w:t>Unit short name</w:t>
            </w:r>
          </w:p>
          <w:p w14:paraId="1F7CCD67" w14:textId="77777777" w:rsidR="002A21AE" w:rsidRDefault="002A21AE">
            <w:pPr>
              <w:pStyle w:val="NotesTextBullet"/>
            </w:pPr>
            <w:r>
              <w:t>End date and time of the unit’s transfusion, if available</w:t>
            </w:r>
          </w:p>
          <w:p w14:paraId="11E0990D" w14:textId="77777777" w:rsidR="002A21AE" w:rsidRDefault="002A21AE">
            <w:pPr>
              <w:pStyle w:val="NotesText"/>
            </w:pPr>
          </w:p>
          <w:p w14:paraId="705C36C6" w14:textId="77777777" w:rsidR="002A21AE" w:rsidRDefault="002A21AE">
            <w:pPr>
              <w:pStyle w:val="NotesText"/>
            </w:pPr>
            <w:r>
              <w:t xml:space="preserve">From </w:t>
            </w:r>
            <w:r w:rsidR="00CA6E27" w:rsidRPr="00CA6E27">
              <w:rPr>
                <w:bCs/>
              </w:rPr>
              <w:t>VistA</w:t>
            </w:r>
            <w:r>
              <w:t xml:space="preserve"> for each patient’s tests:</w:t>
            </w:r>
          </w:p>
          <w:p w14:paraId="1CAE4CD5" w14:textId="77777777" w:rsidR="002A21AE" w:rsidRDefault="002A21AE">
            <w:pPr>
              <w:pStyle w:val="NotesTextBullet"/>
            </w:pPr>
            <w:r>
              <w:t>Test name</w:t>
            </w:r>
          </w:p>
          <w:p w14:paraId="65C64771" w14:textId="77777777" w:rsidR="002A21AE" w:rsidRDefault="002A21AE">
            <w:pPr>
              <w:pStyle w:val="NotesTextBullet"/>
            </w:pPr>
            <w:r>
              <w:t>Associated test result</w:t>
            </w:r>
          </w:p>
          <w:p w14:paraId="02AF9F82" w14:textId="77777777" w:rsidR="002A21AE" w:rsidRDefault="002A21AE">
            <w:pPr>
              <w:pStyle w:val="NotesTextBullet"/>
            </w:pPr>
            <w:r>
              <w:t>Date and time recorded</w:t>
            </w:r>
          </w:p>
        </w:tc>
      </w:tr>
      <w:tr w:rsidR="000D2373" w14:paraId="2B4BA2B3" w14:textId="77777777">
        <w:tc>
          <w:tcPr>
            <w:tcW w:w="3240" w:type="dxa"/>
          </w:tcPr>
          <w:p w14:paraId="219D1BF2" w14:textId="77777777" w:rsidR="000D2373" w:rsidRDefault="000D2373" w:rsidP="000D2373">
            <w:pPr>
              <w:pStyle w:val="TableTextNumbers"/>
            </w:pPr>
            <w:r>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2345E57D" w14:textId="77777777" w:rsidR="000D2373" w:rsidRDefault="000D2373" w:rsidP="000D2373">
            <w:pPr>
              <w:pStyle w:val="TableTextNumbers"/>
              <w:numPr>
                <w:ilvl w:val="0"/>
                <w:numId w:val="0"/>
              </w:numPr>
              <w:ind w:left="288"/>
            </w:pPr>
          </w:p>
          <w:p w14:paraId="4B81A654" w14:textId="77777777" w:rsidR="000D2373" w:rsidRDefault="000D2373" w:rsidP="000D2373">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14:paraId="47D6CE04" w14:textId="77777777" w:rsidR="000D2373" w:rsidRDefault="000D2373" w:rsidP="000D2373">
            <w:pPr>
              <w:pStyle w:val="TableTextBullet"/>
            </w:pPr>
            <w:r>
              <w:t>Compiles and displays the report.</w:t>
            </w:r>
          </w:p>
          <w:p w14:paraId="16AA3FB4" w14:textId="77777777" w:rsidR="000D2373" w:rsidRDefault="000D2373" w:rsidP="000D2373">
            <w:pPr>
              <w:pStyle w:val="TableText"/>
              <w:rPr>
                <w:b/>
                <w:bCs/>
                <w:szCs w:val="18"/>
              </w:rPr>
            </w:pPr>
          </w:p>
          <w:p w14:paraId="1C5AA479" w14:textId="0623CF32" w:rsidR="000D2373" w:rsidRDefault="000D2373" w:rsidP="000D2373">
            <w:pPr>
              <w:pStyle w:val="TableText"/>
              <w:rPr>
                <w:b/>
                <w:bCs/>
                <w:szCs w:val="18"/>
              </w:rPr>
            </w:pPr>
            <w:r>
              <w:rPr>
                <w:b/>
                <w:bCs/>
                <w:szCs w:val="18"/>
              </w:rPr>
              <w:t>NOTES</w:t>
            </w:r>
          </w:p>
          <w:p w14:paraId="5C6485C1" w14:textId="77777777" w:rsidR="000D2373" w:rsidRDefault="000D2373" w:rsidP="000D2373">
            <w:pPr>
              <w:pStyle w:val="NotesText"/>
            </w:pPr>
          </w:p>
          <w:p w14:paraId="176C281D" w14:textId="77777777" w:rsidR="00CD40A5" w:rsidRDefault="00CD40A5" w:rsidP="000D2373">
            <w:pPr>
              <w:pStyle w:val="TableTextBullet"/>
            </w:pPr>
            <w:r>
              <w:rPr>
                <w:rFonts w:cs="Arial"/>
              </w:rPr>
              <w:t>This report requires a logged on VistA user to retrieve the lab results.</w:t>
            </w:r>
            <w:r>
              <w:t xml:space="preserve"> It cannot be scheduled to print. </w:t>
            </w:r>
            <w:r w:rsidRPr="00124A3D">
              <w:rPr>
                <w:vanish/>
              </w:rPr>
              <w:t>DR 4810</w:t>
            </w:r>
          </w:p>
        </w:tc>
      </w:tr>
      <w:tr w:rsidR="002A21AE" w14:paraId="632FDF66" w14:textId="77777777">
        <w:tc>
          <w:tcPr>
            <w:tcW w:w="3240" w:type="dxa"/>
          </w:tcPr>
          <w:p w14:paraId="0FAD6F6B" w14:textId="48DF0F69"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20DFBCC0" w14:textId="77777777" w:rsidR="00D45D8C" w:rsidRDefault="00D45D8C" w:rsidP="00D45D8C">
            <w:pPr>
              <w:pStyle w:val="TableTextBullet"/>
            </w:pPr>
            <w:r>
              <w:t>If Print is selected, prints the report on the designated printer.</w:t>
            </w:r>
          </w:p>
          <w:p w14:paraId="4258C6F3" w14:textId="77777777" w:rsidR="00D45D8C" w:rsidRDefault="00D45D8C" w:rsidP="00D45D8C">
            <w:pPr>
              <w:pStyle w:val="TableTextBullet"/>
            </w:pPr>
            <w:r>
              <w:t>If Export is selected, exports the report to the designated file.</w:t>
            </w:r>
          </w:p>
          <w:p w14:paraId="0B980CCE" w14:textId="62D530C4" w:rsidR="002A21AE" w:rsidRDefault="00D45D8C" w:rsidP="00D45D8C">
            <w:pPr>
              <w:pStyle w:val="TableTextBullet"/>
            </w:pPr>
            <w:r>
              <w:t>If Close is selected, exits the report preview.</w:t>
            </w:r>
          </w:p>
        </w:tc>
      </w:tr>
    </w:tbl>
    <w:p w14:paraId="3E5B6972" w14:textId="77777777" w:rsidR="002A21AE" w:rsidRDefault="00F55832">
      <w:pPr>
        <w:pStyle w:val="Heading2"/>
      </w:pPr>
      <w:r>
        <w:br w:type="page"/>
      </w:r>
      <w:bookmarkStart w:id="559" w:name="_Toc163644986"/>
      <w:r w:rsidR="002A21AE">
        <w:lastRenderedPageBreak/>
        <w:t>Transfusion Effectiveness Report</w:t>
      </w:r>
      <w:bookmarkEnd w:id="559"/>
      <w:r w:rsidR="002A21AE">
        <w:fldChar w:fldCharType="begin"/>
      </w:r>
      <w:r w:rsidR="002A21AE">
        <w:instrText xml:space="preserve"> XE </w:instrText>
      </w:r>
      <w:r w:rsidR="00FA7E65">
        <w:instrText>“</w:instrText>
      </w:r>
      <w:r w:rsidR="002A21AE">
        <w:instrText>Transfusion Effectiveness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UC_91</w:t>
      </w:r>
    </w:p>
    <w:p w14:paraId="53E90AD0" w14:textId="77777777" w:rsidR="002A21AE" w:rsidRDefault="002A21AE" w:rsidP="00FA7E65">
      <w:pPr>
        <w:pStyle w:val="BodyText"/>
      </w:pPr>
      <w:r>
        <w:t>The user views and</w:t>
      </w:r>
      <w:r w:rsidR="00AF59E4">
        <w:t>/or</w:t>
      </w:r>
      <w:r>
        <w:t xml:space="preserve"> prints a Transfusion Effectiveness Report.</w:t>
      </w:r>
    </w:p>
    <w:p w14:paraId="2E50A395" w14:textId="77777777" w:rsidR="002A21AE" w:rsidRDefault="002A21AE">
      <w:pPr>
        <w:pStyle w:val="Heading4"/>
      </w:pPr>
      <w:r>
        <w:t>Assumptions</w:t>
      </w:r>
      <w:r>
        <w:rPr>
          <w:b w:val="0"/>
        </w:rPr>
        <w:t xml:space="preserve"> </w:t>
      </w:r>
    </w:p>
    <w:p w14:paraId="66A052AF" w14:textId="77777777" w:rsidR="007A48D1" w:rsidRDefault="00CA6E27">
      <w:pPr>
        <w:pStyle w:val="ListBullet"/>
      </w:pPr>
      <w:r w:rsidRPr="00CA6E27">
        <w:rPr>
          <w:bCs/>
        </w:rPr>
        <w:t>VistA</w:t>
      </w:r>
      <w:r w:rsidR="002A21AE">
        <w:t xml:space="preserve"> tests are defined </w:t>
      </w:r>
      <w:r w:rsidR="007A48D1">
        <w:t>in Transfusion Effectiveness.</w:t>
      </w:r>
    </w:p>
    <w:p w14:paraId="2F90EF53" w14:textId="77777777" w:rsidR="002A21AE" w:rsidRDefault="007A48D1">
      <w:pPr>
        <w:pStyle w:val="ListBullet"/>
      </w:pPr>
      <w:r>
        <w:t>Th</w:t>
      </w:r>
      <w:r w:rsidR="002A21AE">
        <w:t xml:space="preserve">e connection to </w:t>
      </w:r>
      <w:r w:rsidR="00CA6E27" w:rsidRPr="00CA6E27">
        <w:rPr>
          <w:bCs/>
        </w:rPr>
        <w:t>VistA</w:t>
      </w:r>
      <w:r w:rsidR="002A21AE">
        <w:t xml:space="preserve"> is active.</w:t>
      </w:r>
    </w:p>
    <w:p w14:paraId="6639FE45" w14:textId="77777777" w:rsidR="007A48D1" w:rsidRDefault="007A48D1">
      <w:pPr>
        <w:pStyle w:val="ListBullet"/>
      </w:pPr>
      <w:r>
        <w:t>Units have a status of presumed transfused or transfused for the patient.</w:t>
      </w:r>
    </w:p>
    <w:p w14:paraId="59DC82F8" w14:textId="77777777" w:rsidR="002A21AE" w:rsidRDefault="002A21AE">
      <w:pPr>
        <w:pStyle w:val="ListBullet"/>
      </w:pPr>
      <w:r>
        <w:t xml:space="preserve">Data for the report were saved in VBECS and in </w:t>
      </w:r>
      <w:r w:rsidR="00CA6E27" w:rsidRPr="00CA6E27">
        <w:rPr>
          <w:bCs/>
        </w:rPr>
        <w:t>VistA</w:t>
      </w:r>
      <w:r>
        <w:t>.</w:t>
      </w:r>
    </w:p>
    <w:p w14:paraId="7B993F21" w14:textId="77777777" w:rsidR="002A21AE" w:rsidRDefault="002A21AE">
      <w:pPr>
        <w:pStyle w:val="Heading4"/>
      </w:pPr>
      <w:r>
        <w:t xml:space="preserve">Outcome </w:t>
      </w:r>
    </w:p>
    <w:p w14:paraId="4117C96D" w14:textId="77777777" w:rsidR="002A21AE" w:rsidRDefault="00AE521B">
      <w:pPr>
        <w:pStyle w:val="ListBullet"/>
      </w:pPr>
      <w:r>
        <w:t>The user views and/or prints the report</w:t>
      </w:r>
      <w:r w:rsidR="002A21AE">
        <w:t>.</w:t>
      </w:r>
    </w:p>
    <w:p w14:paraId="48973EED" w14:textId="77777777" w:rsidR="002A21AE" w:rsidRDefault="002A21AE">
      <w:pPr>
        <w:pStyle w:val="Heading4"/>
      </w:pPr>
      <w:r>
        <w:t>Limitations and Restrictions</w:t>
      </w:r>
      <w:r>
        <w:rPr>
          <w:b w:val="0"/>
        </w:rPr>
        <w:t xml:space="preserve"> </w:t>
      </w:r>
    </w:p>
    <w:p w14:paraId="6D55EC40" w14:textId="77777777" w:rsidR="002A21AE" w:rsidRDefault="002A21AE">
      <w:pPr>
        <w:pStyle w:val="ListBullet"/>
      </w:pPr>
      <w:r>
        <w:t>The report does not include VBECS diagnostic tests.</w:t>
      </w:r>
    </w:p>
    <w:p w14:paraId="14555182" w14:textId="77777777" w:rsidR="002A21AE" w:rsidRDefault="002A21AE">
      <w:pPr>
        <w:pStyle w:val="Heading4"/>
      </w:pPr>
      <w:r>
        <w:t xml:space="preserve">Additional Information </w:t>
      </w:r>
    </w:p>
    <w:p w14:paraId="28249E40" w14:textId="77777777" w:rsidR="002A21AE" w:rsidRDefault="002A21AE">
      <w:pPr>
        <w:pStyle w:val="ListBullet"/>
      </w:pPr>
      <w:r>
        <w:rPr>
          <w:rFonts w:ascii="Arial" w:hAnsi="Arial" w:cs="Arial"/>
          <w:vanish/>
          <w:spacing w:val="0"/>
          <w:sz w:val="18"/>
        </w:rPr>
        <w:t xml:space="preserve">BR_91.01 </w:t>
      </w:r>
      <w:r>
        <w:t xml:space="preserve">Only verified Laboratory test results are available from </w:t>
      </w:r>
      <w:r w:rsidR="00CA6E27" w:rsidRPr="00CA6E27">
        <w:rPr>
          <w:bCs/>
        </w:rPr>
        <w:t>VistA</w:t>
      </w:r>
      <w:r>
        <w:t xml:space="preserve">. </w:t>
      </w:r>
    </w:p>
    <w:p w14:paraId="1FD7D5AB" w14:textId="77777777" w:rsidR="002A21AE" w:rsidRDefault="002A21AE">
      <w:pPr>
        <w:pStyle w:val="ListBullet"/>
      </w:pPr>
      <w:r>
        <w:t xml:space="preserve">Laboratory test data retrieved for the report from </w:t>
      </w:r>
      <w:r w:rsidR="00CA6E27" w:rsidRPr="00CA6E27">
        <w:rPr>
          <w:bCs/>
        </w:rPr>
        <w:t>VistA</w:t>
      </w:r>
      <w:r>
        <w:t xml:space="preserve"> are not saved in VBECS. </w:t>
      </w:r>
    </w:p>
    <w:p w14:paraId="362CC17C" w14:textId="77777777" w:rsidR="002A21AE" w:rsidRDefault="002A21AE">
      <w:pPr>
        <w:pStyle w:val="ListBullet"/>
      </w:pPr>
      <w:r>
        <w:rPr>
          <w:rFonts w:ascii="Arial" w:hAnsi="Arial" w:cs="Arial"/>
          <w:vanish/>
          <w:spacing w:val="0"/>
          <w:sz w:val="18"/>
        </w:rPr>
        <w:t xml:space="preserve">BR_91.03 </w:t>
      </w:r>
      <w:r>
        <w:t>A new page is started for each patient in the report.</w:t>
      </w:r>
    </w:p>
    <w:p w14:paraId="6E078D02" w14:textId="77777777" w:rsidR="002A21AE" w:rsidRDefault="002A21AE">
      <w:pPr>
        <w:pStyle w:val="ListBullet"/>
      </w:pPr>
      <w:r>
        <w:t>Test results in the report do not include units of measure or normal ranges.</w:t>
      </w:r>
    </w:p>
    <w:p w14:paraId="32B97333" w14:textId="77777777" w:rsidR="002A21AE" w:rsidRDefault="002A21AE">
      <w:pPr>
        <w:pStyle w:val="Heading4"/>
        <w:rPr>
          <w:b w:val="0"/>
        </w:rPr>
      </w:pPr>
      <w:r>
        <w:t>User Roles with Access to This Option</w:t>
      </w:r>
      <w:r>
        <w:rPr>
          <w:b w:val="0"/>
        </w:rPr>
        <w:t xml:space="preserve"> </w:t>
      </w:r>
    </w:p>
    <w:p w14:paraId="0F852D8B" w14:textId="77777777" w:rsidR="002A21AE" w:rsidRDefault="00184EA4">
      <w:pPr>
        <w:pStyle w:val="Roles"/>
      </w:pPr>
      <w:r>
        <w:t>All users</w:t>
      </w:r>
    </w:p>
    <w:p w14:paraId="0330E1F3" w14:textId="77777777" w:rsidR="002A21AE" w:rsidRDefault="002A21AE">
      <w:pPr>
        <w:pStyle w:val="Heading4"/>
      </w:pPr>
      <w:r>
        <w:t xml:space="preserve">Transfusion Effectiveness Report </w:t>
      </w:r>
    </w:p>
    <w:p w14:paraId="0558E074" w14:textId="77777777" w:rsidR="002A21AE" w:rsidRDefault="002A21AE" w:rsidP="00FA7E65">
      <w:pPr>
        <w:pStyle w:val="BodyText"/>
      </w:pPr>
      <w:r>
        <w:t xml:space="preserve">The user views </w:t>
      </w:r>
      <w:r w:rsidR="00AF59E4">
        <w:t>and/</w:t>
      </w:r>
      <w:r>
        <w:t>or prints the Transfusion Effectiveness Report</w:t>
      </w:r>
      <w:r w:rsidR="00AF59E4">
        <w:t>, which contains transfusion episodes and Laboratory results for patients for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FD3511" w14:textId="77777777">
        <w:trPr>
          <w:cantSplit/>
          <w:tblHeader/>
        </w:trPr>
        <w:tc>
          <w:tcPr>
            <w:tcW w:w="3240" w:type="dxa"/>
            <w:shd w:val="pct30" w:color="auto" w:fill="FFFFFF"/>
            <w:vAlign w:val="bottom"/>
          </w:tcPr>
          <w:p w14:paraId="3DA765F6" w14:textId="77777777" w:rsidR="002A21AE" w:rsidRDefault="002A21AE">
            <w:pPr>
              <w:pStyle w:val="TableText"/>
              <w:rPr>
                <w:b/>
              </w:rPr>
            </w:pPr>
            <w:r>
              <w:rPr>
                <w:b/>
              </w:rPr>
              <w:t>User Action</w:t>
            </w:r>
          </w:p>
        </w:tc>
        <w:tc>
          <w:tcPr>
            <w:tcW w:w="6120" w:type="dxa"/>
            <w:shd w:val="pct30" w:color="auto" w:fill="FFFFFF"/>
            <w:vAlign w:val="bottom"/>
          </w:tcPr>
          <w:p w14:paraId="59FF5217" w14:textId="77777777" w:rsidR="002A21AE" w:rsidRDefault="002A21AE">
            <w:pPr>
              <w:pStyle w:val="TableText"/>
              <w:rPr>
                <w:b/>
              </w:rPr>
            </w:pPr>
            <w:r>
              <w:rPr>
                <w:b/>
              </w:rPr>
              <w:t>VBECS</w:t>
            </w:r>
          </w:p>
        </w:tc>
      </w:tr>
      <w:tr w:rsidR="002A21AE" w14:paraId="0C7E860B" w14:textId="77777777">
        <w:tc>
          <w:tcPr>
            <w:tcW w:w="3240" w:type="dxa"/>
          </w:tcPr>
          <w:p w14:paraId="36E9988E" w14:textId="77777777" w:rsidR="002A21AE" w:rsidRDefault="002A21AE">
            <w:pPr>
              <w:pStyle w:val="TableTextNumbers"/>
            </w:pPr>
            <w:r>
              <w:t xml:space="preserve">Select </w:t>
            </w:r>
            <w:r>
              <w:rPr>
                <w:b/>
              </w:rPr>
              <w:t>Reports</w:t>
            </w:r>
            <w:r>
              <w:t xml:space="preserve"> from the main menu.</w:t>
            </w:r>
          </w:p>
          <w:p w14:paraId="3A8E4F16" w14:textId="77777777" w:rsidR="002A21AE" w:rsidRDefault="002A21AE">
            <w:pPr>
              <w:pStyle w:val="TableTextNumbersContinued"/>
            </w:pPr>
          </w:p>
          <w:p w14:paraId="007CCE1F" w14:textId="77777777" w:rsidR="002A21AE" w:rsidRDefault="002A21AE">
            <w:pPr>
              <w:pStyle w:val="TableTextNumbersContinued"/>
            </w:pPr>
            <w:r>
              <w:t xml:space="preserve">Select </w:t>
            </w:r>
            <w:r>
              <w:rPr>
                <w:b/>
              </w:rPr>
              <w:t>Transfusion Effectiveness Report</w:t>
            </w:r>
            <w:r>
              <w:t>.</w:t>
            </w:r>
          </w:p>
        </w:tc>
        <w:tc>
          <w:tcPr>
            <w:tcW w:w="6120" w:type="dxa"/>
          </w:tcPr>
          <w:p w14:paraId="4EFC278B" w14:textId="77777777" w:rsidR="002A21AE" w:rsidRDefault="002A21AE">
            <w:pPr>
              <w:pStyle w:val="TableTextBullet"/>
            </w:pPr>
            <w:r>
              <w:t>Lists report names.</w:t>
            </w:r>
          </w:p>
          <w:p w14:paraId="3A85E6C0" w14:textId="77777777" w:rsidR="002A21AE" w:rsidRDefault="002A21AE">
            <w:pPr>
              <w:pStyle w:val="TableTextBullet"/>
            </w:pPr>
            <w:r>
              <w:t xml:space="preserve">Displays report compilation criteria. </w:t>
            </w:r>
          </w:p>
          <w:p w14:paraId="3DF21E3B" w14:textId="77777777" w:rsidR="002A21AE" w:rsidRDefault="002A21AE">
            <w:pPr>
              <w:pStyle w:val="TableTextBullet"/>
            </w:pPr>
            <w:r>
              <w:t>Displays a date range for selection.</w:t>
            </w:r>
          </w:p>
        </w:tc>
      </w:tr>
      <w:tr w:rsidR="002A21AE" w14:paraId="7AF6D167" w14:textId="77777777">
        <w:tc>
          <w:tcPr>
            <w:tcW w:w="3240" w:type="dxa"/>
          </w:tcPr>
          <w:p w14:paraId="6CE907D8" w14:textId="77777777" w:rsidR="002A21AE" w:rsidRDefault="002A21AE">
            <w:pPr>
              <w:pStyle w:val="TableTextNumbers"/>
            </w:pPr>
            <w:r>
              <w:t>Enter or select start and end dates.</w:t>
            </w:r>
          </w:p>
        </w:tc>
        <w:tc>
          <w:tcPr>
            <w:tcW w:w="6120" w:type="dxa"/>
          </w:tcPr>
          <w:p w14:paraId="42DEDDFB" w14:textId="77777777" w:rsidR="002A21AE" w:rsidRDefault="002A21AE">
            <w:pPr>
              <w:pStyle w:val="NotesText"/>
            </w:pPr>
          </w:p>
        </w:tc>
      </w:tr>
      <w:tr w:rsidR="002A21AE" w14:paraId="16296543" w14:textId="77777777">
        <w:tc>
          <w:tcPr>
            <w:tcW w:w="3240" w:type="dxa"/>
          </w:tcPr>
          <w:p w14:paraId="69CC59D9" w14:textId="77777777" w:rsidR="002A21AE" w:rsidRDefault="002A21AE">
            <w:pPr>
              <w:pStyle w:val="TableTextNumbers"/>
            </w:pPr>
            <w:r>
              <w:t xml:space="preserve">In the Report Type area, select the </w:t>
            </w:r>
            <w:r>
              <w:rPr>
                <w:b/>
              </w:rPr>
              <w:t>All Patients</w:t>
            </w:r>
            <w:r>
              <w:t xml:space="preserve"> </w:t>
            </w:r>
            <w:r w:rsidRPr="00BF2E41">
              <w:t>radio button</w:t>
            </w:r>
            <w:r>
              <w:t xml:space="preserve">, or </w:t>
            </w:r>
          </w:p>
          <w:p w14:paraId="5F9FB65E" w14:textId="77777777" w:rsidR="002A21AE" w:rsidRDefault="002A21AE">
            <w:pPr>
              <w:pStyle w:val="TableTextNumbersContinued"/>
            </w:pPr>
          </w:p>
          <w:p w14:paraId="0D241A81" w14:textId="77777777" w:rsidR="002A21AE" w:rsidRDefault="002A21AE">
            <w:pPr>
              <w:pStyle w:val="TableTextNumbersContinued"/>
            </w:pPr>
            <w:r>
              <w:t xml:space="preserve">Click the </w:t>
            </w:r>
            <w:r>
              <w:rPr>
                <w:b/>
              </w:rPr>
              <w:t xml:space="preserve">Individual Patient Report </w:t>
            </w:r>
            <w:r w:rsidRPr="00ED1C1B">
              <w:t>radio</w:t>
            </w:r>
            <w:r>
              <w:rPr>
                <w:b/>
              </w:rPr>
              <w:t xml:space="preserve"> </w:t>
            </w:r>
            <w:r w:rsidRPr="00BF2E41">
              <w:t>button</w:t>
            </w:r>
            <w:r>
              <w:t xml:space="preserve"> and the </w:t>
            </w:r>
            <w:r w:rsidR="00A6373D" w:rsidRPr="00945BF5">
              <w:rPr>
                <w:b/>
              </w:rPr>
              <w:t>find</w:t>
            </w:r>
            <w:r>
              <w:rPr>
                <w:b/>
              </w:rPr>
              <w:t xml:space="preserve"> </w:t>
            </w:r>
            <w:r w:rsidRPr="00BF2E41">
              <w:t>button</w:t>
            </w:r>
            <w:r>
              <w:rPr>
                <w:b/>
              </w:rPr>
              <w:t xml:space="preserve"> </w:t>
            </w:r>
            <w:r>
              <w:t>to search for a patient.</w:t>
            </w:r>
          </w:p>
        </w:tc>
        <w:tc>
          <w:tcPr>
            <w:tcW w:w="6120" w:type="dxa"/>
          </w:tcPr>
          <w:p w14:paraId="3D197EFC" w14:textId="77777777" w:rsidR="002A21AE" w:rsidRDefault="002A21AE">
            <w:pPr>
              <w:pStyle w:val="TableTextBullet"/>
            </w:pPr>
            <w:r>
              <w:t xml:space="preserve">Compiles and displays the report. </w:t>
            </w:r>
          </w:p>
        </w:tc>
      </w:tr>
      <w:tr w:rsidR="002A21AE" w14:paraId="5C3230E4" w14:textId="77777777" w:rsidTr="00305B16">
        <w:trPr>
          <w:cantSplit/>
        </w:trPr>
        <w:tc>
          <w:tcPr>
            <w:tcW w:w="3240" w:type="dxa"/>
          </w:tcPr>
          <w:p w14:paraId="4D1E7B67"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57103DF" w14:textId="77777777" w:rsidR="002A21AE" w:rsidRDefault="002A21AE">
            <w:pPr>
              <w:pStyle w:val="TableTextNumbersContinued"/>
            </w:pPr>
          </w:p>
          <w:p w14:paraId="7BAE599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AB04FBF" w14:textId="77777777" w:rsidR="002A21AE" w:rsidRDefault="00F64B5C" w:rsidP="00F64B5C">
            <w:pPr>
              <w:pStyle w:val="TableTextBullet"/>
            </w:pPr>
            <w:r>
              <w:t>Compiles and displays the report.</w:t>
            </w:r>
          </w:p>
          <w:p w14:paraId="08F03452" w14:textId="77777777" w:rsidR="000566D6" w:rsidRDefault="000566D6" w:rsidP="000566D6">
            <w:pPr>
              <w:pStyle w:val="TableTextBullet"/>
              <w:numPr>
                <w:ilvl w:val="0"/>
                <w:numId w:val="0"/>
              </w:numPr>
              <w:ind w:left="288"/>
            </w:pPr>
          </w:p>
          <w:p w14:paraId="0213F0C7" w14:textId="26D06FCE" w:rsidR="000566D6" w:rsidRDefault="000566D6" w:rsidP="000566D6">
            <w:pPr>
              <w:pStyle w:val="TableText"/>
              <w:rPr>
                <w:b/>
                <w:bCs/>
                <w:szCs w:val="18"/>
              </w:rPr>
            </w:pPr>
            <w:r>
              <w:rPr>
                <w:b/>
                <w:bCs/>
                <w:szCs w:val="18"/>
              </w:rPr>
              <w:t>NOTES</w:t>
            </w:r>
          </w:p>
          <w:p w14:paraId="5208C49B" w14:textId="77777777" w:rsidR="00124A3D" w:rsidRDefault="00124A3D" w:rsidP="00AA2B2E">
            <w:pPr>
              <w:pStyle w:val="TableTextBullet"/>
              <w:numPr>
                <w:ilvl w:val="0"/>
                <w:numId w:val="0"/>
              </w:numPr>
              <w:rPr>
                <w:rFonts w:cs="Arial"/>
              </w:rPr>
            </w:pPr>
          </w:p>
          <w:p w14:paraId="356B3EA3" w14:textId="77777777" w:rsidR="00124A3D" w:rsidRPr="00EF5693" w:rsidRDefault="00124A3D" w:rsidP="00EF5693">
            <w:pPr>
              <w:pStyle w:val="TableTextBullet"/>
              <w:rPr>
                <w:rFonts w:cs="Arial"/>
              </w:rPr>
            </w:pPr>
            <w:r>
              <w:rPr>
                <w:rFonts w:cs="Arial"/>
              </w:rPr>
              <w:t>This report requires a logged on VistA user to retrieve the lab results.</w:t>
            </w:r>
            <w:r w:rsidRPr="00EF5693">
              <w:rPr>
                <w:rFonts w:cs="Arial"/>
              </w:rPr>
              <w:t xml:space="preserve"> It cannot be scheduled to print.</w:t>
            </w:r>
            <w:r w:rsidRPr="00EF5693">
              <w:rPr>
                <w:rFonts w:cs="Arial"/>
                <w:vanish/>
              </w:rPr>
              <w:t xml:space="preserve"> DR 4810</w:t>
            </w:r>
          </w:p>
          <w:p w14:paraId="6E4EB2E7" w14:textId="77777777" w:rsidR="000566D6" w:rsidRDefault="000566D6" w:rsidP="000566D6">
            <w:pPr>
              <w:pStyle w:val="TableTextBullet"/>
              <w:numPr>
                <w:ilvl w:val="0"/>
                <w:numId w:val="0"/>
              </w:numPr>
              <w:ind w:left="720"/>
            </w:pPr>
            <w:r>
              <w:rPr>
                <w:rFonts w:cs="Arial"/>
                <w:vanish/>
              </w:rPr>
              <w:t xml:space="preserve"> DR 4013</w:t>
            </w:r>
          </w:p>
        </w:tc>
      </w:tr>
      <w:tr w:rsidR="002A21AE" w14:paraId="40EB273D" w14:textId="77777777">
        <w:tc>
          <w:tcPr>
            <w:tcW w:w="3240" w:type="dxa"/>
          </w:tcPr>
          <w:p w14:paraId="0C8A871A" w14:textId="2145E954"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3F3B4B">
              <w:rPr>
                <w:rFonts w:ascii="Times New Roman" w:hAnsi="Times New Roman"/>
                <w:vanish/>
                <w:szCs w:val="18"/>
              </w:rPr>
              <w:fldChar w:fldCharType="begin"/>
            </w:r>
            <w:r w:rsidR="002A21AE" w:rsidRPr="003F3B4B">
              <w:rPr>
                <w:rFonts w:ascii="Times New Roman" w:hAnsi="Times New Roman"/>
                <w:vanish/>
                <w:szCs w:val="18"/>
              </w:rPr>
              <w:instrText xml:space="preserve"> LISTNUM \l 1 \s 0 </w:instrText>
            </w:r>
            <w:r w:rsidR="002A21AE" w:rsidRPr="003F3B4B">
              <w:rPr>
                <w:rFonts w:ascii="Times New Roman" w:hAnsi="Times New Roman"/>
                <w:vanish/>
                <w:szCs w:val="18"/>
              </w:rPr>
              <w:fldChar w:fldCharType="end"/>
            </w:r>
          </w:p>
        </w:tc>
        <w:tc>
          <w:tcPr>
            <w:tcW w:w="6120" w:type="dxa"/>
          </w:tcPr>
          <w:p w14:paraId="0EA79A66" w14:textId="77777777" w:rsidR="00D45D8C" w:rsidRDefault="00D45D8C" w:rsidP="00D45D8C">
            <w:pPr>
              <w:pStyle w:val="TableTextBullet"/>
            </w:pPr>
            <w:r>
              <w:t>If Print is selected, prints the report on the designated printer.</w:t>
            </w:r>
          </w:p>
          <w:p w14:paraId="4EDB0289" w14:textId="77777777" w:rsidR="00D45D8C" w:rsidRDefault="00D45D8C" w:rsidP="00D45D8C">
            <w:pPr>
              <w:pStyle w:val="TableTextBullet"/>
            </w:pPr>
            <w:r>
              <w:t>If Export is selected, exports the report to the designated file.</w:t>
            </w:r>
          </w:p>
          <w:p w14:paraId="396DB5FB" w14:textId="42FD268C" w:rsidR="002A21AE" w:rsidRDefault="00D45D8C" w:rsidP="00D45D8C">
            <w:pPr>
              <w:pStyle w:val="TableTextBullet"/>
            </w:pPr>
            <w:r>
              <w:t>If Close is selected, exits the report preview.</w:t>
            </w:r>
          </w:p>
        </w:tc>
      </w:tr>
    </w:tbl>
    <w:p w14:paraId="63BD5013" w14:textId="77777777" w:rsidR="002A21AE" w:rsidRDefault="002813A3">
      <w:pPr>
        <w:pStyle w:val="Heading2"/>
      </w:pPr>
      <w:r>
        <w:br w:type="page"/>
      </w:r>
      <w:bookmarkStart w:id="560" w:name="_Toc163644987"/>
      <w:r w:rsidR="002A21AE">
        <w:lastRenderedPageBreak/>
        <w:t>Transfusion Reaction Count Report</w:t>
      </w:r>
      <w:bookmarkEnd w:id="560"/>
      <w:r w:rsidR="002A21AE">
        <w:fldChar w:fldCharType="begin"/>
      </w:r>
      <w:r w:rsidR="002A21AE">
        <w:instrText xml:space="preserve"> XE </w:instrText>
      </w:r>
      <w:r w:rsidR="00FA7E65">
        <w:instrText>“</w:instrText>
      </w:r>
      <w:r w:rsidR="002A21AE">
        <w:instrText>Transfusion Reaction Count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UC_106</w:t>
      </w:r>
    </w:p>
    <w:p w14:paraId="70B5D64C" w14:textId="77777777" w:rsidR="002A21AE" w:rsidRDefault="002A21AE" w:rsidP="00FA7E65">
      <w:pPr>
        <w:pStyle w:val="BodyText"/>
      </w:pPr>
      <w:r>
        <w:t>The user views and</w:t>
      </w:r>
      <w:r w:rsidR="00DD0E58">
        <w:t>/or</w:t>
      </w:r>
      <w:r>
        <w:t xml:space="preserve"> prints a Transfusion Reaction Count Report.</w:t>
      </w:r>
    </w:p>
    <w:p w14:paraId="0AEB02F2" w14:textId="77777777" w:rsidR="002A21AE" w:rsidRDefault="002A21AE">
      <w:pPr>
        <w:pStyle w:val="Heading4"/>
      </w:pPr>
      <w:r>
        <w:t>Assumptions</w:t>
      </w:r>
      <w:r>
        <w:rPr>
          <w:b w:val="0"/>
        </w:rPr>
        <w:t xml:space="preserve"> </w:t>
      </w:r>
    </w:p>
    <w:p w14:paraId="74DCAF97" w14:textId="77777777" w:rsidR="002A21AE" w:rsidRDefault="002A21AE">
      <w:pPr>
        <w:pStyle w:val="ListBullet"/>
      </w:pPr>
      <w:r>
        <w:t>Data for the report were saved in VBECS.</w:t>
      </w:r>
    </w:p>
    <w:p w14:paraId="51491E1A" w14:textId="77777777" w:rsidR="002A21AE" w:rsidRDefault="002A21AE">
      <w:pPr>
        <w:pStyle w:val="Heading4"/>
      </w:pPr>
      <w:r>
        <w:t xml:space="preserve">Outcome </w:t>
      </w:r>
    </w:p>
    <w:p w14:paraId="7D14BB29" w14:textId="77777777" w:rsidR="002A21AE" w:rsidRDefault="00AE521B">
      <w:pPr>
        <w:pStyle w:val="ListBullet"/>
      </w:pPr>
      <w:r>
        <w:t>The user views and/or prints the report</w:t>
      </w:r>
      <w:r w:rsidR="002A21AE">
        <w:t>.</w:t>
      </w:r>
    </w:p>
    <w:p w14:paraId="1F5D0D6E" w14:textId="77777777" w:rsidR="002A21AE" w:rsidRDefault="002A21AE">
      <w:pPr>
        <w:pStyle w:val="Heading4"/>
        <w:rPr>
          <w:b w:val="0"/>
        </w:rPr>
      </w:pPr>
      <w:r>
        <w:t>Limitations and Restrictions</w:t>
      </w:r>
      <w:r>
        <w:rPr>
          <w:b w:val="0"/>
        </w:rPr>
        <w:t xml:space="preserve"> </w:t>
      </w:r>
    </w:p>
    <w:p w14:paraId="4FD9006A" w14:textId="7BAE3775" w:rsidR="002A21AE" w:rsidRDefault="00AC682A">
      <w:pPr>
        <w:pStyle w:val="ListBullet"/>
      </w:pPr>
      <w:r>
        <w:t xml:space="preserve">Transfusion Reactions are only included on the report if the data were entered/updated during the selected date range. This means that retrospective entry of transfusion reactions may not display in the correct date range. The recorded date of the reaction is not considered in the selection criteria. Rerun the report for a date range that includes the date the data was entered or updated. For example, if a transfusion reaction that occurred on February 28 is retrospectively entered on March 1, it will only display on a report that includes March 1 in its date range. </w:t>
      </w:r>
      <w:r w:rsidRPr="00AC682A">
        <w:rPr>
          <w:vanish/>
        </w:rPr>
        <w:t>Defect 209152</w:t>
      </w:r>
    </w:p>
    <w:p w14:paraId="52F1B8F9" w14:textId="77777777" w:rsidR="002A21AE" w:rsidRDefault="002A21AE">
      <w:pPr>
        <w:pStyle w:val="Heading4"/>
      </w:pPr>
      <w:r>
        <w:t xml:space="preserve">Additional Information </w:t>
      </w:r>
    </w:p>
    <w:p w14:paraId="1E5219D3" w14:textId="77777777" w:rsidR="00991CFE" w:rsidRDefault="00991CFE" w:rsidP="00991CFE">
      <w:pPr>
        <w:pStyle w:val="ListBullet"/>
      </w:pPr>
      <w:r>
        <w:t>The report is available as a single-division or multidivisional (all divisions) report.</w:t>
      </w:r>
    </w:p>
    <w:p w14:paraId="4EB586AC" w14:textId="03190B1E" w:rsidR="00B15891" w:rsidRDefault="00B15891" w:rsidP="004210FE">
      <w:pPr>
        <w:pStyle w:val="ListBullet"/>
      </w:pPr>
      <w:r w:rsidRPr="00B15891">
        <w:t>The report only displays text entered in the “details” field of the Finalize T</w:t>
      </w:r>
      <w:r w:rsidR="004210FE">
        <w:t xml:space="preserve">ransfusion </w:t>
      </w:r>
      <w:r w:rsidRPr="00B15891">
        <w:t>R</w:t>
      </w:r>
      <w:r w:rsidR="004210FE">
        <w:t xml:space="preserve">eaction </w:t>
      </w:r>
      <w:r w:rsidRPr="00B15891">
        <w:t>W</w:t>
      </w:r>
      <w:r w:rsidR="004210FE">
        <w:t>orkup</w:t>
      </w:r>
      <w:r w:rsidRPr="00B15891">
        <w:t xml:space="preserve"> screen. The canned comments entered are suppressed on the report.</w:t>
      </w:r>
      <w:r w:rsidR="004210FE">
        <w:t xml:space="preserve"> </w:t>
      </w:r>
      <w:r w:rsidR="004210FE" w:rsidRPr="004210FE">
        <w:t>Enter all comments in the “details” field for them to print on the report.</w:t>
      </w:r>
      <w:r w:rsidR="0045341A">
        <w:t xml:space="preserve"> </w:t>
      </w:r>
      <w:r w:rsidR="0045341A" w:rsidRPr="0045341A">
        <w:rPr>
          <w:vanish/>
        </w:rPr>
        <w:t>Defect 209792</w:t>
      </w:r>
    </w:p>
    <w:p w14:paraId="24FC5837" w14:textId="77777777" w:rsidR="002A21AE" w:rsidRDefault="002A21AE">
      <w:pPr>
        <w:pStyle w:val="Heading4"/>
        <w:tabs>
          <w:tab w:val="left" w:pos="4140"/>
        </w:tabs>
        <w:rPr>
          <w:b w:val="0"/>
        </w:rPr>
      </w:pPr>
      <w:r>
        <w:t>User Roles with Access to This Option</w:t>
      </w:r>
      <w:r>
        <w:rPr>
          <w:b w:val="0"/>
        </w:rPr>
        <w:t xml:space="preserve"> </w:t>
      </w:r>
    </w:p>
    <w:p w14:paraId="7FD106C0" w14:textId="77777777" w:rsidR="002A21AE" w:rsidRDefault="00184EA4">
      <w:pPr>
        <w:pStyle w:val="Roles"/>
      </w:pPr>
      <w:r>
        <w:t>All users</w:t>
      </w:r>
    </w:p>
    <w:p w14:paraId="10FCEC9D" w14:textId="77777777" w:rsidR="002A21AE" w:rsidRDefault="002A21AE">
      <w:pPr>
        <w:pStyle w:val="Heading4"/>
      </w:pPr>
      <w:bookmarkStart w:id="561" w:name="_Hlk523065871"/>
      <w:r>
        <w:t>Transfusion Reaction Count Report</w:t>
      </w:r>
    </w:p>
    <w:bookmarkEnd w:id="561"/>
    <w:p w14:paraId="520DF610" w14:textId="77777777" w:rsidR="002A21AE" w:rsidRDefault="002A21AE" w:rsidP="00FA7E65">
      <w:pPr>
        <w:pStyle w:val="BodyText"/>
      </w:pPr>
      <w:r>
        <w:t>The user views and/or prints the Transfusion Reaction Count Report for a single division or for all divisions in the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7388305" w14:textId="77777777">
        <w:trPr>
          <w:cantSplit/>
          <w:tblHeader/>
        </w:trPr>
        <w:tc>
          <w:tcPr>
            <w:tcW w:w="3240" w:type="dxa"/>
            <w:shd w:val="pct30" w:color="auto" w:fill="FFFFFF"/>
            <w:vAlign w:val="bottom"/>
          </w:tcPr>
          <w:p w14:paraId="7CA59209" w14:textId="77777777" w:rsidR="002A21AE" w:rsidRDefault="002A21AE">
            <w:pPr>
              <w:pStyle w:val="TableText"/>
              <w:rPr>
                <w:b/>
              </w:rPr>
            </w:pPr>
            <w:r>
              <w:rPr>
                <w:b/>
              </w:rPr>
              <w:t>User Action</w:t>
            </w:r>
          </w:p>
        </w:tc>
        <w:tc>
          <w:tcPr>
            <w:tcW w:w="6120" w:type="dxa"/>
            <w:shd w:val="pct30" w:color="auto" w:fill="FFFFFF"/>
            <w:vAlign w:val="bottom"/>
          </w:tcPr>
          <w:p w14:paraId="76E05562" w14:textId="77777777" w:rsidR="002A21AE" w:rsidRDefault="002A21AE">
            <w:pPr>
              <w:pStyle w:val="TableText"/>
              <w:rPr>
                <w:b/>
              </w:rPr>
            </w:pPr>
            <w:r>
              <w:rPr>
                <w:b/>
              </w:rPr>
              <w:t>VBECS</w:t>
            </w:r>
          </w:p>
        </w:tc>
      </w:tr>
      <w:tr w:rsidR="002A21AE" w14:paraId="5DAD6685" w14:textId="77777777">
        <w:tc>
          <w:tcPr>
            <w:tcW w:w="3240" w:type="dxa"/>
          </w:tcPr>
          <w:p w14:paraId="6E071860" w14:textId="77777777" w:rsidR="002A21AE" w:rsidRDefault="002A21AE">
            <w:pPr>
              <w:pStyle w:val="TableTextNumbers"/>
            </w:pPr>
            <w:r>
              <w:t xml:space="preserve">Select </w:t>
            </w:r>
            <w:r>
              <w:rPr>
                <w:b/>
              </w:rPr>
              <w:t>Reports</w:t>
            </w:r>
            <w:r>
              <w:t xml:space="preserve"> from the main menu.</w:t>
            </w:r>
          </w:p>
          <w:p w14:paraId="213F189B" w14:textId="77777777" w:rsidR="002A21AE" w:rsidRDefault="002A21AE">
            <w:pPr>
              <w:pStyle w:val="TableTextNumbersContinued"/>
            </w:pPr>
          </w:p>
          <w:p w14:paraId="0C9FC45C" w14:textId="77777777" w:rsidR="002A21AE" w:rsidRDefault="002A21AE">
            <w:pPr>
              <w:pStyle w:val="TableTextNumbersContinued"/>
            </w:pPr>
            <w:r>
              <w:t xml:space="preserve">Select </w:t>
            </w:r>
            <w:r>
              <w:rPr>
                <w:b/>
              </w:rPr>
              <w:t>Transfusion Reaction Count Report</w:t>
            </w:r>
            <w:r>
              <w:t>.</w:t>
            </w:r>
          </w:p>
        </w:tc>
        <w:tc>
          <w:tcPr>
            <w:tcW w:w="6120" w:type="dxa"/>
          </w:tcPr>
          <w:p w14:paraId="683CACED" w14:textId="77777777" w:rsidR="002A21AE" w:rsidRDefault="002A21AE">
            <w:pPr>
              <w:pStyle w:val="TableTextBullet"/>
            </w:pPr>
            <w:r>
              <w:t>Lists report names.</w:t>
            </w:r>
          </w:p>
          <w:p w14:paraId="7AC2E014" w14:textId="77777777" w:rsidR="002A21AE" w:rsidRDefault="002A21AE">
            <w:pPr>
              <w:pStyle w:val="TableTextBullet"/>
            </w:pPr>
            <w:r>
              <w:t xml:space="preserve">Displays report division, format, and compilation criteria. </w:t>
            </w:r>
          </w:p>
          <w:p w14:paraId="211B5342" w14:textId="77777777" w:rsidR="002A21AE" w:rsidRDefault="002A21AE">
            <w:pPr>
              <w:pStyle w:val="TableText"/>
            </w:pPr>
          </w:p>
          <w:p w14:paraId="3055C559" w14:textId="255E05FB" w:rsidR="002A21AE" w:rsidRDefault="002A21AE">
            <w:pPr>
              <w:pStyle w:val="TableText"/>
              <w:rPr>
                <w:b/>
                <w:bCs/>
                <w:szCs w:val="18"/>
              </w:rPr>
            </w:pPr>
            <w:r>
              <w:rPr>
                <w:b/>
                <w:bCs/>
                <w:szCs w:val="18"/>
              </w:rPr>
              <w:t>NOTES</w:t>
            </w:r>
          </w:p>
          <w:p w14:paraId="6580ADEA" w14:textId="77777777" w:rsidR="002A21AE" w:rsidRDefault="002A21AE">
            <w:pPr>
              <w:pStyle w:val="NotesText"/>
            </w:pPr>
          </w:p>
          <w:p w14:paraId="149CC7E5" w14:textId="77777777" w:rsidR="002A21AE" w:rsidRDefault="002A21AE">
            <w:pPr>
              <w:pStyle w:val="NotesText"/>
            </w:pPr>
            <w:r>
              <w:rPr>
                <w:rFonts w:cs="Arial"/>
                <w:vanish/>
              </w:rPr>
              <w:t xml:space="preserve">BR_106.01 </w:t>
            </w:r>
            <w:bookmarkStart w:id="562" w:name="_Hlk523065851"/>
            <w:r>
              <w:t>The report includes transfusion reactions that are ordered, pending, completed, or finalized</w:t>
            </w:r>
            <w:r w:rsidR="00AF0CB8">
              <w:t>, and those indicated during Post-Transfusion Information.</w:t>
            </w:r>
            <w:bookmarkEnd w:id="562"/>
          </w:p>
        </w:tc>
      </w:tr>
      <w:tr w:rsidR="002A21AE" w14:paraId="0E60BDDA" w14:textId="77777777">
        <w:tc>
          <w:tcPr>
            <w:tcW w:w="3240" w:type="dxa"/>
          </w:tcPr>
          <w:p w14:paraId="6042DD59" w14:textId="77777777" w:rsidR="002A21AE" w:rsidRDefault="002A21AE">
            <w:pPr>
              <w:pStyle w:val="TableTextNumbers"/>
            </w:pPr>
            <w:r>
              <w:t>Enter or select start and end dates.</w:t>
            </w:r>
          </w:p>
        </w:tc>
        <w:tc>
          <w:tcPr>
            <w:tcW w:w="6120" w:type="dxa"/>
          </w:tcPr>
          <w:p w14:paraId="003281CB" w14:textId="77777777" w:rsidR="002A21AE" w:rsidRDefault="002A21AE">
            <w:pPr>
              <w:pStyle w:val="TableTextBullet"/>
            </w:pPr>
            <w:r>
              <w:t>Compiles and displays the report.</w:t>
            </w:r>
          </w:p>
          <w:p w14:paraId="2CA9EFC9" w14:textId="77777777" w:rsidR="002A21AE" w:rsidRDefault="002A21AE">
            <w:pPr>
              <w:pStyle w:val="TableTextBullet"/>
            </w:pPr>
            <w:r>
              <w:t>Allows the user to print the report.</w:t>
            </w:r>
          </w:p>
        </w:tc>
      </w:tr>
      <w:tr w:rsidR="002A21AE" w14:paraId="2EEF4632" w14:textId="77777777" w:rsidTr="00305B16">
        <w:trPr>
          <w:cantSplit/>
        </w:trPr>
        <w:tc>
          <w:tcPr>
            <w:tcW w:w="3240" w:type="dxa"/>
          </w:tcPr>
          <w:p w14:paraId="30600F2A" w14:textId="77777777" w:rsidR="002A21AE" w:rsidRDefault="002A21AE">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14:paraId="70329639" w14:textId="77777777" w:rsidR="002A21AE" w:rsidRDefault="002A21AE">
            <w:pPr>
              <w:pStyle w:val="TableTextBullet"/>
            </w:pPr>
            <w:r>
              <w:t>Allows the user to select one or all divisions.</w:t>
            </w:r>
          </w:p>
          <w:p w14:paraId="5FB9EBFC" w14:textId="77777777" w:rsidR="002A21AE" w:rsidRDefault="002A21AE">
            <w:pPr>
              <w:pStyle w:val="TableTextBullet"/>
            </w:pPr>
            <w:r>
              <w:t>Displays a date range for selection.</w:t>
            </w:r>
          </w:p>
          <w:p w14:paraId="7A9F164F" w14:textId="77777777" w:rsidR="002A21AE" w:rsidRDefault="002A21AE">
            <w:pPr>
              <w:pStyle w:val="TableText"/>
              <w:rPr>
                <w:b/>
                <w:bCs/>
                <w:szCs w:val="18"/>
              </w:rPr>
            </w:pPr>
          </w:p>
          <w:p w14:paraId="4427C6E4" w14:textId="2318475A" w:rsidR="002A21AE" w:rsidRDefault="002A21AE">
            <w:pPr>
              <w:pStyle w:val="TableText"/>
              <w:rPr>
                <w:b/>
                <w:bCs/>
                <w:szCs w:val="18"/>
              </w:rPr>
            </w:pPr>
            <w:r>
              <w:rPr>
                <w:b/>
                <w:bCs/>
                <w:szCs w:val="18"/>
              </w:rPr>
              <w:t>NOTES</w:t>
            </w:r>
          </w:p>
          <w:p w14:paraId="4505EBC6" w14:textId="77777777" w:rsidR="002A21AE" w:rsidRDefault="002A21AE">
            <w:pPr>
              <w:pStyle w:val="NotesText"/>
            </w:pPr>
          </w:p>
          <w:p w14:paraId="0F32E7B2" w14:textId="77777777" w:rsidR="002A21AE" w:rsidRDefault="002A21AE">
            <w:pPr>
              <w:pStyle w:val="NotesText"/>
            </w:pPr>
            <w:r>
              <w:rPr>
                <w:rFonts w:cs="Arial"/>
                <w:vanish/>
              </w:rPr>
              <w:t xml:space="preserve">BR_106.03 </w:t>
            </w:r>
            <w:r>
              <w:t>The Transfusion Reaction Count Report by type includes specific patient information indicated by the user. The default report setting excludes patient names.</w:t>
            </w:r>
          </w:p>
        </w:tc>
      </w:tr>
      <w:tr w:rsidR="002A21AE" w14:paraId="137C388E" w14:textId="77777777">
        <w:tc>
          <w:tcPr>
            <w:tcW w:w="3240" w:type="dxa"/>
          </w:tcPr>
          <w:p w14:paraId="2C64BE49" w14:textId="77777777" w:rsidR="002A21AE" w:rsidRDefault="002A21AE">
            <w:pPr>
              <w:pStyle w:val="TableTextNumbers"/>
            </w:pPr>
            <w:r>
              <w:lastRenderedPageBreak/>
              <w:t xml:space="preserve">Click the </w:t>
            </w:r>
            <w:r>
              <w:rPr>
                <w:b/>
              </w:rPr>
              <w:t xml:space="preserve">Detailed Report </w:t>
            </w:r>
            <w:r>
              <w:t>or</w:t>
            </w:r>
            <w:r>
              <w:rPr>
                <w:b/>
              </w:rPr>
              <w:t xml:space="preserve"> Summary Report </w:t>
            </w:r>
            <w:r w:rsidRPr="00BF2E41">
              <w:t>radio button</w:t>
            </w:r>
            <w:r>
              <w:t>.</w:t>
            </w:r>
          </w:p>
        </w:tc>
        <w:tc>
          <w:tcPr>
            <w:tcW w:w="6120" w:type="dxa"/>
          </w:tcPr>
          <w:p w14:paraId="2FE4D35B" w14:textId="77777777" w:rsidR="002A21AE" w:rsidRDefault="002A21AE">
            <w:pPr>
              <w:pStyle w:val="TableTextBullet"/>
            </w:pPr>
            <w:r>
              <w:t>Displays an option to compile the report as detailed or summary.</w:t>
            </w:r>
          </w:p>
          <w:p w14:paraId="788D25EB" w14:textId="77777777" w:rsidR="002A21AE" w:rsidRDefault="002A21AE">
            <w:pPr>
              <w:pStyle w:val="TableTextBullet"/>
            </w:pPr>
            <w:r>
              <w:t>Compiles and displays the report.</w:t>
            </w:r>
          </w:p>
          <w:p w14:paraId="59F49CBC" w14:textId="77777777" w:rsidR="002A21AE" w:rsidRDefault="002A21AE">
            <w:pPr>
              <w:pStyle w:val="TableTextBullet"/>
            </w:pPr>
            <w:r>
              <w:t xml:space="preserve">Allows the user to print the report. </w:t>
            </w:r>
          </w:p>
          <w:p w14:paraId="182DB596" w14:textId="77777777" w:rsidR="002A21AE" w:rsidRDefault="002A21AE">
            <w:pPr>
              <w:pStyle w:val="TableText"/>
            </w:pPr>
          </w:p>
          <w:p w14:paraId="2C9BF470" w14:textId="75760103" w:rsidR="002A21AE" w:rsidRDefault="002A21AE">
            <w:pPr>
              <w:pStyle w:val="TableText"/>
              <w:rPr>
                <w:b/>
                <w:bCs/>
                <w:szCs w:val="18"/>
              </w:rPr>
            </w:pPr>
            <w:r>
              <w:rPr>
                <w:b/>
                <w:bCs/>
                <w:szCs w:val="18"/>
              </w:rPr>
              <w:t>NOTES</w:t>
            </w:r>
          </w:p>
          <w:p w14:paraId="75FD4852" w14:textId="77777777" w:rsidR="002A21AE" w:rsidRDefault="002A21AE">
            <w:pPr>
              <w:pStyle w:val="NotesText"/>
            </w:pPr>
          </w:p>
          <w:p w14:paraId="10CC779D" w14:textId="77777777" w:rsidR="002A21AE" w:rsidRDefault="002A21AE">
            <w:pPr>
              <w:pStyle w:val="NotesText"/>
            </w:pPr>
            <w:r>
              <w:rPr>
                <w:rFonts w:cs="Arial"/>
                <w:vanish/>
              </w:rPr>
              <w:t xml:space="preserve">BR_106.04 </w:t>
            </w:r>
            <w:r>
              <w:t>The Transfusion Reaction Count Report prints the implicated unit numbers or “no implicated units,” as appropriate.</w:t>
            </w:r>
          </w:p>
          <w:p w14:paraId="0F158566" w14:textId="77777777" w:rsidR="002A21AE" w:rsidRDefault="002A21AE">
            <w:pPr>
              <w:pStyle w:val="NotesText"/>
            </w:pPr>
          </w:p>
          <w:p w14:paraId="47AB58D8" w14:textId="77777777" w:rsidR="002A21AE" w:rsidRDefault="002A21AE" w:rsidP="0053173B">
            <w:pPr>
              <w:pStyle w:val="NotesText"/>
            </w:pPr>
            <w:r>
              <w:rPr>
                <w:rFonts w:cs="Arial"/>
                <w:vanish/>
              </w:rPr>
              <w:t xml:space="preserve">BR_106.06 </w:t>
            </w:r>
            <w:r>
              <w:t>VBECS reports the total number of patient transfusion reactions in the selected date range.</w:t>
            </w:r>
          </w:p>
        </w:tc>
      </w:tr>
      <w:tr w:rsidR="002A21AE" w14:paraId="1B7171DA" w14:textId="77777777">
        <w:tc>
          <w:tcPr>
            <w:tcW w:w="3240" w:type="dxa"/>
          </w:tcPr>
          <w:p w14:paraId="1F924A26" w14:textId="77777777" w:rsidR="002A21AE" w:rsidRDefault="002A21AE">
            <w:pPr>
              <w:pStyle w:val="TableTextNumbers"/>
            </w:pPr>
            <w:r>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4A334DE0" w14:textId="77777777" w:rsidR="002A21AE" w:rsidRDefault="002A21AE">
            <w:pPr>
              <w:pStyle w:val="TableTextNumbersContinued"/>
              <w:rPr>
                <w:b/>
                <w:bCs/>
              </w:rPr>
            </w:pPr>
          </w:p>
          <w:p w14:paraId="2D3F5B7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 or click </w:t>
            </w:r>
            <w:r>
              <w:rPr>
                <w:b/>
              </w:rPr>
              <w:t>Close</w:t>
            </w:r>
            <w:r>
              <w:t xml:space="preserve"> to exit without printing.</w:t>
            </w:r>
            <w:r>
              <w:rPr>
                <w:color w:val="FFFFFF"/>
              </w:rPr>
              <w:t xml:space="preserve"> </w:t>
            </w:r>
          </w:p>
        </w:tc>
        <w:tc>
          <w:tcPr>
            <w:tcW w:w="6120" w:type="dxa"/>
          </w:tcPr>
          <w:p w14:paraId="72A412C8" w14:textId="77777777" w:rsidR="000566D6" w:rsidRDefault="00F64B5C" w:rsidP="00AA2B2E">
            <w:pPr>
              <w:pStyle w:val="TableTextBullet"/>
            </w:pPr>
            <w:r>
              <w:t>Compiles and displays the report.</w:t>
            </w:r>
          </w:p>
        </w:tc>
      </w:tr>
      <w:tr w:rsidR="00F64B5C" w14:paraId="4C498BDE" w14:textId="77777777">
        <w:tc>
          <w:tcPr>
            <w:tcW w:w="3240" w:type="dxa"/>
            <w:tcBorders>
              <w:top w:val="single" w:sz="4" w:space="0" w:color="auto"/>
              <w:left w:val="single" w:sz="4" w:space="0" w:color="auto"/>
              <w:bottom w:val="single" w:sz="4" w:space="0" w:color="auto"/>
              <w:right w:val="single" w:sz="4" w:space="0" w:color="auto"/>
            </w:tcBorders>
          </w:tcPr>
          <w:p w14:paraId="6A2980F3" w14:textId="63F94923" w:rsidR="00F64B5C" w:rsidRDefault="00D45D8C" w:rsidP="007E0D91">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F64B5C" w:rsidRPr="00200B6D">
              <w:rPr>
                <w:vanish/>
                <w:szCs w:val="18"/>
              </w:rPr>
              <w:t xml:space="preserve"> </w:t>
            </w:r>
            <w:r w:rsidR="00F64B5C" w:rsidRPr="00200B6D">
              <w:rPr>
                <w:vanish/>
                <w:szCs w:val="18"/>
              </w:rPr>
              <w:fldChar w:fldCharType="begin"/>
            </w:r>
            <w:r w:rsidR="00F64B5C" w:rsidRPr="00200B6D">
              <w:rPr>
                <w:vanish/>
                <w:szCs w:val="18"/>
              </w:rPr>
              <w:instrText xml:space="preserve"> LISTNUM \l 1 \s 0 </w:instrText>
            </w:r>
            <w:r w:rsidR="00F64B5C" w:rsidRPr="00200B6D">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151E0E21" w14:textId="77777777" w:rsidR="00D45D8C" w:rsidRDefault="00D45D8C" w:rsidP="00D45D8C">
            <w:pPr>
              <w:pStyle w:val="TableTextBullet"/>
            </w:pPr>
            <w:r>
              <w:t>If Print is selected, prints the report on the designated printer.</w:t>
            </w:r>
          </w:p>
          <w:p w14:paraId="3D10BE76" w14:textId="77777777" w:rsidR="00D45D8C" w:rsidRDefault="00D45D8C" w:rsidP="00D45D8C">
            <w:pPr>
              <w:pStyle w:val="TableTextBullet"/>
            </w:pPr>
            <w:r>
              <w:t>If Export is selected, exports the report to the designated file.</w:t>
            </w:r>
          </w:p>
          <w:p w14:paraId="5544D26D" w14:textId="466790BB" w:rsidR="00F64B5C" w:rsidRDefault="00D45D8C" w:rsidP="00D45D8C">
            <w:pPr>
              <w:pStyle w:val="TableTextBullet"/>
            </w:pPr>
            <w:r>
              <w:t>If Close is selected, exits the report preview.</w:t>
            </w:r>
          </w:p>
        </w:tc>
      </w:tr>
    </w:tbl>
    <w:p w14:paraId="3C6656EA" w14:textId="77777777" w:rsidR="002A21AE" w:rsidRDefault="002813A3">
      <w:pPr>
        <w:pStyle w:val="Heading2"/>
      </w:pPr>
      <w:r>
        <w:br w:type="page"/>
      </w:r>
      <w:bookmarkStart w:id="563" w:name="_Toc163644988"/>
      <w:r w:rsidR="002A21AE">
        <w:lastRenderedPageBreak/>
        <w:t>Transfusion Requirements Report</w:t>
      </w:r>
      <w:bookmarkEnd w:id="563"/>
      <w:r w:rsidR="002A21AE">
        <w:fldChar w:fldCharType="begin"/>
      </w:r>
      <w:r w:rsidR="002A21AE">
        <w:instrText xml:space="preserve"> XE </w:instrText>
      </w:r>
      <w:r w:rsidR="00FA7E65">
        <w:instrText>“</w:instrText>
      </w:r>
      <w:r w:rsidR="002A21AE">
        <w:instrText>Transfusion Requirements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UC_89</w:t>
      </w:r>
    </w:p>
    <w:p w14:paraId="3D212CAB" w14:textId="77777777" w:rsidR="002A21AE" w:rsidRDefault="002A21AE" w:rsidP="00FA7E65">
      <w:pPr>
        <w:pStyle w:val="BodyText"/>
      </w:pPr>
      <w:r>
        <w:t xml:space="preserve">The user views </w:t>
      </w:r>
      <w:r w:rsidR="00EB1E5A">
        <w:t xml:space="preserve">and/or </w:t>
      </w:r>
      <w:r>
        <w:t xml:space="preserve">prints a Transfusion Requirements Report. </w:t>
      </w:r>
    </w:p>
    <w:p w14:paraId="3CBB77E9" w14:textId="77777777" w:rsidR="002A21AE" w:rsidRDefault="002A21AE">
      <w:pPr>
        <w:pStyle w:val="Heading4"/>
      </w:pPr>
      <w:r>
        <w:t>Assumptions</w:t>
      </w:r>
      <w:r>
        <w:rPr>
          <w:b w:val="0"/>
        </w:rPr>
        <w:t xml:space="preserve"> </w:t>
      </w:r>
    </w:p>
    <w:p w14:paraId="7EF3ECAC" w14:textId="77777777" w:rsidR="002A21AE" w:rsidRDefault="002A21AE">
      <w:pPr>
        <w:pStyle w:val="ListBullet"/>
      </w:pPr>
      <w:r>
        <w:t xml:space="preserve">The database conversion of </w:t>
      </w:r>
      <w:r w:rsidR="00CA6E27" w:rsidRPr="00CA6E27">
        <w:rPr>
          <w:bCs/>
        </w:rPr>
        <w:t>VistA</w:t>
      </w:r>
      <w:r>
        <w:t xml:space="preserve"> patient files is complete.</w:t>
      </w:r>
    </w:p>
    <w:p w14:paraId="6ECB8A2D" w14:textId="77777777" w:rsidR="002A21AE" w:rsidRDefault="002A21AE">
      <w:pPr>
        <w:pStyle w:val="ListBullet"/>
      </w:pPr>
      <w:r>
        <w:t>Data for the report were saved in VBECS.</w:t>
      </w:r>
    </w:p>
    <w:p w14:paraId="1180DEC1" w14:textId="77777777" w:rsidR="002A21AE" w:rsidRDefault="002A21AE">
      <w:pPr>
        <w:pStyle w:val="Heading4"/>
      </w:pPr>
      <w:r>
        <w:t xml:space="preserve">Outcome </w:t>
      </w:r>
    </w:p>
    <w:p w14:paraId="17EE5613" w14:textId="77777777" w:rsidR="002A21AE" w:rsidRDefault="00AE521B">
      <w:pPr>
        <w:pStyle w:val="ListBullet"/>
      </w:pPr>
      <w:r>
        <w:t>The user views and/or prints the report</w:t>
      </w:r>
      <w:r w:rsidR="002A21AE">
        <w:t>.</w:t>
      </w:r>
    </w:p>
    <w:p w14:paraId="2D68E714" w14:textId="77777777" w:rsidR="002A21AE" w:rsidRDefault="002A21AE">
      <w:pPr>
        <w:pStyle w:val="Heading4"/>
      </w:pPr>
      <w:r>
        <w:t>Limitations and Restrictions</w:t>
      </w:r>
      <w:r>
        <w:rPr>
          <w:b w:val="0"/>
        </w:rPr>
        <w:t xml:space="preserve"> </w:t>
      </w:r>
    </w:p>
    <w:p w14:paraId="2C75AB61" w14:textId="4AEEA982" w:rsidR="002A21AE" w:rsidRPr="00684625" w:rsidRDefault="002A21AE">
      <w:pPr>
        <w:pStyle w:val="ListBullet"/>
      </w:pPr>
      <w:r>
        <w:rPr>
          <w:rFonts w:ascii="Arial" w:hAnsi="Arial" w:cs="Arial"/>
          <w:vanish/>
          <w:spacing w:val="0"/>
          <w:sz w:val="18"/>
        </w:rPr>
        <w:t xml:space="preserve">BR_89.01 </w:t>
      </w:r>
      <w:r w:rsidR="00B93109" w:rsidRPr="00684625">
        <w:rPr>
          <w:spacing w:val="0"/>
        </w:rPr>
        <w:t>Deceased patient records do not appear on the report when they are generated after the patient has been marked</w:t>
      </w:r>
      <w:r w:rsidR="00DB68D8" w:rsidRPr="00684625">
        <w:rPr>
          <w:spacing w:val="0"/>
        </w:rPr>
        <w:t xml:space="preserve"> as deceased</w:t>
      </w:r>
      <w:r w:rsidR="00B93109" w:rsidRPr="00684625">
        <w:rPr>
          <w:spacing w:val="0"/>
        </w:rPr>
        <w:t xml:space="preserve"> in the VBECS database via a VistA Death Notification Update.</w:t>
      </w:r>
      <w:r w:rsidR="00DB68D8" w:rsidRPr="00684625">
        <w:rPr>
          <w:spacing w:val="0"/>
        </w:rPr>
        <w:t xml:space="preserve"> </w:t>
      </w:r>
      <w:r w:rsidR="00DB68D8" w:rsidRPr="00684625">
        <w:rPr>
          <w:vanish/>
          <w:spacing w:val="0"/>
        </w:rPr>
        <w:t>DR 5086</w:t>
      </w:r>
    </w:p>
    <w:p w14:paraId="40E9BFD6" w14:textId="32BFDF97" w:rsidR="00684625" w:rsidRDefault="00684625">
      <w:pPr>
        <w:pStyle w:val="ListBullet"/>
      </w:pPr>
      <w:r w:rsidRPr="00684625">
        <w:rPr>
          <w:spacing w:val="0"/>
        </w:rPr>
        <w:t xml:space="preserve">The cumulative report is not displaying </w:t>
      </w:r>
      <w:r w:rsidRPr="00684625">
        <w:t>all patients on file. A patient with ABO/Rh testing and no other requirement appears on the partial Transfusion Requirements report, but not on the cumulative report.</w:t>
      </w:r>
      <w:r>
        <w:t xml:space="preserve"> </w:t>
      </w:r>
      <w:r w:rsidRPr="00684625">
        <w:rPr>
          <w:vanish/>
        </w:rPr>
        <w:t>Defect 208903</w:t>
      </w:r>
    </w:p>
    <w:p w14:paraId="6BB4EAD9" w14:textId="17712B70" w:rsidR="00684625" w:rsidRPr="00684625" w:rsidRDefault="00684625">
      <w:pPr>
        <w:pStyle w:val="ListBullet"/>
      </w:pPr>
      <w:r>
        <w:t xml:space="preserve">A report printed with an end date of today or greater does not print “Partial” in the header. </w:t>
      </w:r>
      <w:r w:rsidRPr="00684625">
        <w:rPr>
          <w:vanish/>
        </w:rPr>
        <w:t>Defect 208901</w:t>
      </w:r>
    </w:p>
    <w:p w14:paraId="393C7C29" w14:textId="77777777" w:rsidR="002A21AE" w:rsidRDefault="002A21AE">
      <w:pPr>
        <w:pStyle w:val="Heading4"/>
      </w:pPr>
      <w:r>
        <w:t>Additional Information</w:t>
      </w:r>
      <w:r>
        <w:rPr>
          <w:rFonts w:ascii="Times New Roman" w:hAnsi="Times New Roman"/>
          <w:i/>
          <w:sz w:val="24"/>
        </w:rPr>
        <w:t xml:space="preserve"> </w:t>
      </w:r>
    </w:p>
    <w:p w14:paraId="6073F527" w14:textId="0BFD6913" w:rsidR="002A21AE" w:rsidRPr="00E53D6C" w:rsidRDefault="002A21AE" w:rsidP="00684625">
      <w:pPr>
        <w:pStyle w:val="ListBullet"/>
        <w:tabs>
          <w:tab w:val="clear" w:pos="648"/>
          <w:tab w:val="num" w:pos="630"/>
          <w:tab w:val="num" w:pos="720"/>
        </w:tabs>
        <w:ind w:left="720"/>
      </w:pPr>
      <w:r>
        <w:rPr>
          <w:rFonts w:ascii="Arial" w:hAnsi="Arial" w:cs="Arial"/>
          <w:vanish/>
          <w:spacing w:val="0"/>
          <w:sz w:val="18"/>
        </w:rPr>
        <w:t xml:space="preserve">BR_89.06 </w:t>
      </w:r>
      <w:r w:rsidRPr="00F32AB8">
        <w:rPr>
          <w:vanish/>
        </w:rPr>
        <w:t xml:space="preserve"> </w:t>
      </w:r>
      <w:r w:rsidR="00F32AB8" w:rsidRPr="00E53D6C">
        <w:t xml:space="preserve">A </w:t>
      </w:r>
      <w:r w:rsidRPr="00E53D6C">
        <w:t xml:space="preserve">Transfusion Requirements report is compiled </w:t>
      </w:r>
      <w:r w:rsidR="00875D04" w:rsidRPr="00E53D6C">
        <w:t xml:space="preserve">from </w:t>
      </w:r>
      <w:r w:rsidR="00F32AB8" w:rsidRPr="00E53D6C">
        <w:t xml:space="preserve">all VBECS </w:t>
      </w:r>
      <w:r w:rsidRPr="00E53D6C">
        <w:t>divisions</w:t>
      </w:r>
      <w:r w:rsidR="00F32AB8" w:rsidRPr="00E53D6C">
        <w:t xml:space="preserve"> defined in the VBECS</w:t>
      </w:r>
      <w:r w:rsidR="00684625">
        <w:t xml:space="preserve"> </w:t>
      </w:r>
      <w:r w:rsidR="00F32AB8" w:rsidRPr="00E53D6C">
        <w:t>database.</w:t>
      </w:r>
    </w:p>
    <w:p w14:paraId="5B90C537" w14:textId="77777777" w:rsidR="002A21AE" w:rsidRPr="00E53D6C" w:rsidRDefault="002A21AE">
      <w:pPr>
        <w:pStyle w:val="ListBullet"/>
        <w:tabs>
          <w:tab w:val="num" w:pos="720"/>
        </w:tabs>
        <w:ind w:left="720"/>
      </w:pPr>
      <w:r w:rsidRPr="00E53D6C">
        <w:rPr>
          <w:vanish/>
          <w:spacing w:val="0"/>
        </w:rPr>
        <w:t xml:space="preserve">BR_89.02 </w:t>
      </w:r>
      <w:r w:rsidRPr="00E53D6C">
        <w:t>VBECS does not allow a report to be printed when no data are available.</w:t>
      </w:r>
    </w:p>
    <w:p w14:paraId="5BEAA5F9" w14:textId="77777777" w:rsidR="002A21AE" w:rsidRDefault="002A21AE" w:rsidP="00E53D6C">
      <w:pPr>
        <w:pStyle w:val="ListBullet"/>
        <w:tabs>
          <w:tab w:val="clear" w:pos="648"/>
          <w:tab w:val="left" w:pos="630"/>
          <w:tab w:val="num" w:pos="720"/>
        </w:tabs>
        <w:ind w:left="720"/>
      </w:pPr>
      <w:r w:rsidRPr="00E53D6C">
        <w:rPr>
          <w:vanish/>
          <w:spacing w:val="0"/>
        </w:rPr>
        <w:t xml:space="preserve">BR_89.04 </w:t>
      </w:r>
      <w:r w:rsidRPr="00E53D6C">
        <w:t>When the date range includes a future date and time, VBECS displays “Partial” in the report header on each page of the report.</w:t>
      </w:r>
    </w:p>
    <w:p w14:paraId="6ACEF957" w14:textId="0F2F86C9" w:rsidR="00BD4462" w:rsidRPr="00E53D6C" w:rsidRDefault="00721A9D" w:rsidP="001403D9">
      <w:pPr>
        <w:pStyle w:val="ListBullet"/>
        <w:tabs>
          <w:tab w:val="clear" w:pos="648"/>
          <w:tab w:val="left" w:pos="630"/>
          <w:tab w:val="num" w:pos="720"/>
        </w:tabs>
        <w:ind w:left="720"/>
      </w:pPr>
      <w:r w:rsidRPr="00721A9D">
        <w:t xml:space="preserve">The </w:t>
      </w:r>
      <w:r>
        <w:t>“</w:t>
      </w:r>
      <w:r w:rsidRPr="00721A9D">
        <w:t>Partial</w:t>
      </w:r>
      <w:r>
        <w:t>”</w:t>
      </w:r>
      <w:r w:rsidRPr="00721A9D">
        <w:t xml:space="preserve"> format of the report does not allow scheduling to print in the future</w:t>
      </w:r>
      <w:r w:rsidR="001403D9">
        <w:t xml:space="preserve">; a full report </w:t>
      </w:r>
      <w:r w:rsidR="00571BE3">
        <w:t>will print instead.</w:t>
      </w:r>
      <w:r w:rsidR="0045341A">
        <w:t xml:space="preserve"> </w:t>
      </w:r>
      <w:r w:rsidR="0045341A" w:rsidRPr="0045341A">
        <w:rPr>
          <w:vanish/>
        </w:rPr>
        <w:t>Defect 210519</w:t>
      </w:r>
    </w:p>
    <w:p w14:paraId="6FF06BE9" w14:textId="77777777" w:rsidR="007E0D91" w:rsidRPr="00E53D6C" w:rsidRDefault="002A21AE" w:rsidP="007E0D91">
      <w:pPr>
        <w:pStyle w:val="ListBullet"/>
        <w:tabs>
          <w:tab w:val="num" w:pos="720"/>
        </w:tabs>
        <w:ind w:left="720"/>
      </w:pPr>
      <w:r w:rsidRPr="00E53D6C">
        <w:rPr>
          <w:vanish/>
          <w:spacing w:val="0"/>
        </w:rPr>
        <w:t xml:space="preserve">BR_89.05 </w:t>
      </w:r>
      <w:r w:rsidRPr="00E53D6C">
        <w:t>Each page containing patient information includes the patient name.</w:t>
      </w:r>
    </w:p>
    <w:p w14:paraId="7568AFFE" w14:textId="77777777" w:rsidR="007E0D91" w:rsidRPr="00E53D6C" w:rsidRDefault="007E0D91" w:rsidP="007E0D91">
      <w:pPr>
        <w:pStyle w:val="ListBullet"/>
        <w:tabs>
          <w:tab w:val="num" w:pos="720"/>
        </w:tabs>
        <w:ind w:left="720"/>
      </w:pPr>
      <w:r w:rsidRPr="00E53D6C">
        <w:t>Divisions in a multidivisional database may view each other’s Special Instructions (SI) comments.</w:t>
      </w:r>
    </w:p>
    <w:p w14:paraId="4C34A845" w14:textId="7E42D019" w:rsidR="00E53D6C" w:rsidRPr="00E53D6C" w:rsidRDefault="00E53D6C" w:rsidP="00E53D6C">
      <w:pPr>
        <w:pStyle w:val="ListBullet"/>
        <w:tabs>
          <w:tab w:val="clear" w:pos="648"/>
          <w:tab w:val="left" w:pos="630"/>
          <w:tab w:val="num" w:pos="720"/>
        </w:tabs>
        <w:ind w:left="720"/>
      </w:pPr>
      <w:r w:rsidRPr="00E53D6C">
        <w:t>Important transfusion related information for a patient may</w:t>
      </w:r>
      <w:r>
        <w:t xml:space="preserve"> appear on more than one page. </w:t>
      </w:r>
      <w:r w:rsidR="0045341A">
        <w:t xml:space="preserve">Always </w:t>
      </w:r>
      <w:r w:rsidRPr="00E53D6C">
        <w:t>check the next page for additional patient information.</w:t>
      </w:r>
      <w:r>
        <w:t xml:space="preserve"> </w:t>
      </w:r>
      <w:r w:rsidRPr="00E53D6C">
        <w:rPr>
          <w:vanish/>
        </w:rPr>
        <w:t>DR 5125</w:t>
      </w:r>
    </w:p>
    <w:p w14:paraId="1B2848CB" w14:textId="77777777" w:rsidR="002A21AE" w:rsidRDefault="002A21AE">
      <w:pPr>
        <w:pStyle w:val="Heading4"/>
        <w:rPr>
          <w:b w:val="0"/>
        </w:rPr>
      </w:pPr>
      <w:r>
        <w:t>User Roles with Access to This Option</w:t>
      </w:r>
      <w:r>
        <w:rPr>
          <w:b w:val="0"/>
        </w:rPr>
        <w:t xml:space="preserve"> </w:t>
      </w:r>
    </w:p>
    <w:p w14:paraId="737D5288" w14:textId="77777777" w:rsidR="002A21AE" w:rsidRDefault="00184EA4">
      <w:pPr>
        <w:pStyle w:val="Roles"/>
      </w:pPr>
      <w:r>
        <w:t>All users</w:t>
      </w:r>
    </w:p>
    <w:p w14:paraId="29D433DA" w14:textId="77777777" w:rsidR="002A21AE" w:rsidRDefault="002A21AE">
      <w:pPr>
        <w:pStyle w:val="Heading4"/>
      </w:pPr>
      <w:r>
        <w:t xml:space="preserve">Transfusion Requirements Report </w:t>
      </w:r>
    </w:p>
    <w:p w14:paraId="4CD60331" w14:textId="77777777" w:rsidR="002A21AE" w:rsidRDefault="002A21AE" w:rsidP="00FA7E65">
      <w:pPr>
        <w:pStyle w:val="BodyText"/>
      </w:pPr>
      <w:r>
        <w:t xml:space="preserve">The user views </w:t>
      </w:r>
      <w:r w:rsidR="00EB1E5A">
        <w:t xml:space="preserve">and/or </w:t>
      </w:r>
      <w:r>
        <w:t>prints the Transfusion Requirements Report</w:t>
      </w:r>
      <w:r w:rsidR="00B04E4F">
        <w:t xml:space="preserve"> for a division</w:t>
      </w:r>
      <w:r>
        <w:t>. This option describes the continuous compilation of the complete file of patients in the VBECS database</w:t>
      </w:r>
      <w:r w:rsidR="00B04E4F">
        <w:t xml:space="preserve"> for historic record checking during downtime.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20087D9" w14:textId="77777777">
        <w:trPr>
          <w:cantSplit/>
          <w:tblHeader/>
        </w:trPr>
        <w:tc>
          <w:tcPr>
            <w:tcW w:w="3240" w:type="dxa"/>
            <w:shd w:val="pct30" w:color="auto" w:fill="FFFFFF"/>
            <w:vAlign w:val="bottom"/>
          </w:tcPr>
          <w:p w14:paraId="49455634" w14:textId="77777777" w:rsidR="002A21AE" w:rsidRDefault="002A21AE">
            <w:pPr>
              <w:pStyle w:val="TableText"/>
              <w:rPr>
                <w:b/>
              </w:rPr>
            </w:pPr>
            <w:r>
              <w:rPr>
                <w:b/>
              </w:rPr>
              <w:t>User Action</w:t>
            </w:r>
          </w:p>
        </w:tc>
        <w:tc>
          <w:tcPr>
            <w:tcW w:w="6120" w:type="dxa"/>
            <w:shd w:val="pct30" w:color="auto" w:fill="FFFFFF"/>
            <w:vAlign w:val="bottom"/>
          </w:tcPr>
          <w:p w14:paraId="0408D5D9" w14:textId="77777777" w:rsidR="002A21AE" w:rsidRDefault="002A21AE">
            <w:pPr>
              <w:pStyle w:val="TableText"/>
              <w:rPr>
                <w:b/>
              </w:rPr>
            </w:pPr>
            <w:r>
              <w:rPr>
                <w:b/>
              </w:rPr>
              <w:t>VBECS</w:t>
            </w:r>
          </w:p>
        </w:tc>
      </w:tr>
      <w:tr w:rsidR="002A21AE" w14:paraId="1087BECE" w14:textId="77777777">
        <w:tc>
          <w:tcPr>
            <w:tcW w:w="3240" w:type="dxa"/>
          </w:tcPr>
          <w:p w14:paraId="49687B81" w14:textId="77777777" w:rsidR="002A21AE" w:rsidRDefault="002A21AE">
            <w:pPr>
              <w:pStyle w:val="TableTextNumbers"/>
            </w:pPr>
            <w:r>
              <w:t xml:space="preserve">Select </w:t>
            </w:r>
            <w:r>
              <w:rPr>
                <w:b/>
              </w:rPr>
              <w:t>Reports</w:t>
            </w:r>
            <w:r>
              <w:t xml:space="preserve"> from the main menu.</w:t>
            </w:r>
          </w:p>
          <w:p w14:paraId="4856DE60" w14:textId="77777777" w:rsidR="002A21AE" w:rsidRDefault="002A21AE">
            <w:pPr>
              <w:pStyle w:val="TableTextNumbersContinued"/>
            </w:pPr>
          </w:p>
          <w:p w14:paraId="479DF2E6" w14:textId="77777777" w:rsidR="002A21AE" w:rsidRDefault="002A21AE">
            <w:pPr>
              <w:pStyle w:val="TableTextNumbersContinued"/>
            </w:pPr>
            <w:r>
              <w:t xml:space="preserve">Select </w:t>
            </w:r>
            <w:r>
              <w:rPr>
                <w:b/>
              </w:rPr>
              <w:t>Transfusion Requirements Report</w:t>
            </w:r>
            <w:r>
              <w:t>.</w:t>
            </w:r>
          </w:p>
        </w:tc>
        <w:tc>
          <w:tcPr>
            <w:tcW w:w="6120" w:type="dxa"/>
          </w:tcPr>
          <w:p w14:paraId="117C3C39" w14:textId="77777777" w:rsidR="002A21AE" w:rsidRDefault="002A21AE">
            <w:pPr>
              <w:pStyle w:val="TableTextBullet"/>
            </w:pPr>
            <w:r>
              <w:t>Lists report names.</w:t>
            </w:r>
          </w:p>
          <w:p w14:paraId="661F01F0" w14:textId="77777777" w:rsidR="002A21AE" w:rsidRDefault="002A21AE">
            <w:pPr>
              <w:pStyle w:val="TableTextBullet"/>
            </w:pPr>
            <w:r>
              <w:t xml:space="preserve">Displays report compilation criteria. </w:t>
            </w:r>
          </w:p>
          <w:p w14:paraId="4E9A4CF9" w14:textId="77777777" w:rsidR="002A21AE" w:rsidRDefault="002A21AE">
            <w:pPr>
              <w:pStyle w:val="TableTextBullet"/>
            </w:pPr>
            <w:r>
              <w:t>Displays a date range for selection.</w:t>
            </w:r>
          </w:p>
        </w:tc>
      </w:tr>
      <w:tr w:rsidR="002A21AE" w14:paraId="361834BD" w14:textId="77777777">
        <w:tc>
          <w:tcPr>
            <w:tcW w:w="3240" w:type="dxa"/>
          </w:tcPr>
          <w:p w14:paraId="42AFB037" w14:textId="77777777" w:rsidR="002A21AE" w:rsidRDefault="002A21AE">
            <w:pPr>
              <w:pStyle w:val="TableTextNumbers"/>
            </w:pPr>
            <w:r>
              <w:lastRenderedPageBreak/>
              <w:t xml:space="preserve">In the </w:t>
            </w:r>
            <w:r w:rsidRPr="00B46EEA">
              <w:rPr>
                <w:b/>
              </w:rPr>
              <w:t>Report Type</w:t>
            </w:r>
            <w:r>
              <w:t xml:space="preserve"> area, select the </w:t>
            </w:r>
            <w:r>
              <w:rPr>
                <w:b/>
              </w:rPr>
              <w:t>Cumulative Report</w:t>
            </w:r>
            <w:r>
              <w:t xml:space="preserve"> </w:t>
            </w:r>
            <w:r w:rsidRPr="00BF2E41">
              <w:t>radio button</w:t>
            </w:r>
            <w:r>
              <w:t xml:space="preserve">, or </w:t>
            </w:r>
          </w:p>
          <w:p w14:paraId="6907FD7A" w14:textId="77777777" w:rsidR="002A21AE" w:rsidRDefault="002A21AE">
            <w:pPr>
              <w:pStyle w:val="TableTextNumbersContinued"/>
            </w:pPr>
          </w:p>
          <w:p w14:paraId="729426CE" w14:textId="77777777" w:rsidR="002A21AE" w:rsidRDefault="002A21AE">
            <w:pPr>
              <w:pStyle w:val="TableTextNumbersContinued"/>
            </w:pPr>
            <w:r>
              <w:t xml:space="preserve">Click the </w:t>
            </w:r>
            <w:r>
              <w:rPr>
                <w:b/>
              </w:rPr>
              <w:t xml:space="preserve">Partial Report </w:t>
            </w:r>
            <w:r w:rsidRPr="00BF2E41">
              <w:t>radio button</w:t>
            </w:r>
            <w:r>
              <w:t xml:space="preserve"> and enter or select start and end dates.</w:t>
            </w:r>
          </w:p>
        </w:tc>
        <w:tc>
          <w:tcPr>
            <w:tcW w:w="6120" w:type="dxa"/>
          </w:tcPr>
          <w:p w14:paraId="38A1A5D9" w14:textId="77777777" w:rsidR="00811C5F" w:rsidRDefault="002A21AE">
            <w:pPr>
              <w:pStyle w:val="TableTextBullet"/>
            </w:pPr>
            <w:r>
              <w:t>Compiles and displays the report.</w:t>
            </w:r>
          </w:p>
          <w:p w14:paraId="2C6436CC" w14:textId="77777777" w:rsidR="00811C5F" w:rsidRDefault="00811C5F" w:rsidP="00811C5F">
            <w:pPr>
              <w:pStyle w:val="TableText"/>
              <w:rPr>
                <w:b/>
                <w:bCs/>
                <w:szCs w:val="18"/>
              </w:rPr>
            </w:pPr>
          </w:p>
          <w:p w14:paraId="1B96F618" w14:textId="4B11CE92" w:rsidR="00811C5F" w:rsidRDefault="00811C5F" w:rsidP="00811C5F">
            <w:pPr>
              <w:pStyle w:val="TableText"/>
              <w:rPr>
                <w:b/>
                <w:bCs/>
                <w:szCs w:val="18"/>
              </w:rPr>
            </w:pPr>
            <w:r>
              <w:rPr>
                <w:b/>
                <w:bCs/>
                <w:szCs w:val="18"/>
              </w:rPr>
              <w:t>NOTES</w:t>
            </w:r>
          </w:p>
          <w:p w14:paraId="096BC339" w14:textId="77777777" w:rsidR="00811C5F" w:rsidRDefault="00811C5F" w:rsidP="00811C5F">
            <w:pPr>
              <w:pStyle w:val="NotesText"/>
              <w:ind w:left="0"/>
            </w:pPr>
          </w:p>
          <w:p w14:paraId="062D26A5" w14:textId="77777777" w:rsidR="00F9149B" w:rsidRPr="00DC4D3E" w:rsidRDefault="00BC7A6E" w:rsidP="00811C5F">
            <w:pPr>
              <w:pStyle w:val="NotesText"/>
            </w:pPr>
            <w:r>
              <w:t>Patients who do not have a blood type, SI, TR, or Transfusion Reaction in their VBECS record do not display on the Transfusion Requirements Report in either the Cumulative or Partial format.</w:t>
            </w:r>
            <w:r w:rsidR="00DC4D3E">
              <w:rPr>
                <w:vanish/>
              </w:rPr>
              <w:t xml:space="preserve"> DR 3356</w:t>
            </w:r>
          </w:p>
          <w:p w14:paraId="0D303F9E" w14:textId="77777777" w:rsidR="00F9149B" w:rsidRDefault="00F9149B" w:rsidP="00811C5F">
            <w:pPr>
              <w:pStyle w:val="NotesText"/>
            </w:pPr>
          </w:p>
          <w:p w14:paraId="0F05424E" w14:textId="77777777" w:rsidR="00F9149B" w:rsidRDefault="00811C5F" w:rsidP="00811C5F">
            <w:pPr>
              <w:pStyle w:val="NotesText"/>
            </w:pPr>
            <w:r>
              <w:t>The Cumulative Report displays patients that have a blood type, SI, TR</w:t>
            </w:r>
            <w:r w:rsidR="00F9149B">
              <w:t>, or Transfusion Reaction.</w:t>
            </w:r>
          </w:p>
          <w:p w14:paraId="57CD5CC3" w14:textId="77777777" w:rsidR="00F9149B" w:rsidRDefault="00F9149B" w:rsidP="00811C5F">
            <w:pPr>
              <w:pStyle w:val="NotesText"/>
            </w:pPr>
          </w:p>
          <w:p w14:paraId="7C6C880B" w14:textId="77777777" w:rsidR="00811C5F" w:rsidRDefault="00811C5F" w:rsidP="00811C5F">
            <w:pPr>
              <w:pStyle w:val="NotesText"/>
            </w:pPr>
            <w:r>
              <w:t xml:space="preserve">The Partial Report displays </w:t>
            </w:r>
            <w:r w:rsidR="00313C6B">
              <w:t>patient</w:t>
            </w:r>
            <w:r w:rsidR="00F9149B">
              <w:t>s that have a change to their VBECS record within the date range of the requested report.</w:t>
            </w:r>
          </w:p>
          <w:p w14:paraId="6AABFAB7" w14:textId="77777777" w:rsidR="00F9149B" w:rsidRDefault="00F9149B" w:rsidP="00811C5F">
            <w:pPr>
              <w:pStyle w:val="NotesText"/>
            </w:pPr>
            <w:r>
              <w:t>Changes are defined as:</w:t>
            </w:r>
          </w:p>
          <w:p w14:paraId="62BE2DE6" w14:textId="77777777" w:rsidR="00F9149B" w:rsidRDefault="00F9149B" w:rsidP="00F9149B">
            <w:pPr>
              <w:pStyle w:val="NotesTextBullet"/>
            </w:pPr>
            <w:r>
              <w:t>New order</w:t>
            </w:r>
          </w:p>
          <w:p w14:paraId="34F3AE37" w14:textId="77777777" w:rsidR="00F9149B" w:rsidRDefault="00F9149B" w:rsidP="00F9149B">
            <w:pPr>
              <w:pStyle w:val="NotesTextBullet"/>
            </w:pPr>
            <w:r>
              <w:t>Record of testing</w:t>
            </w:r>
          </w:p>
          <w:p w14:paraId="036F4FC6" w14:textId="77777777" w:rsidR="00F9149B" w:rsidRDefault="00F9149B" w:rsidP="00F9149B">
            <w:pPr>
              <w:pStyle w:val="NotesTextBullet"/>
            </w:pPr>
            <w:r>
              <w:t>Patient Update event</w:t>
            </w:r>
          </w:p>
          <w:p w14:paraId="6053FF99" w14:textId="77777777" w:rsidR="00F9149B" w:rsidRDefault="00F9149B" w:rsidP="00F9149B">
            <w:pPr>
              <w:pStyle w:val="NotesTextBullet"/>
            </w:pPr>
            <w:r>
              <w:t>New SI entered</w:t>
            </w:r>
          </w:p>
          <w:p w14:paraId="118171EB" w14:textId="77777777" w:rsidR="00F9149B" w:rsidRDefault="00F9149B" w:rsidP="00F9149B">
            <w:pPr>
              <w:pStyle w:val="NotesTextBullet"/>
            </w:pPr>
            <w:r>
              <w:t>New TR entered</w:t>
            </w:r>
          </w:p>
          <w:p w14:paraId="2DFBF5FA" w14:textId="77777777" w:rsidR="00811C5F" w:rsidRDefault="00F9149B" w:rsidP="00DC4D3E">
            <w:pPr>
              <w:pStyle w:val="NotesTextBullet"/>
            </w:pPr>
            <w:r>
              <w:t>New Transfusion Reaction entered</w:t>
            </w:r>
          </w:p>
        </w:tc>
      </w:tr>
      <w:tr w:rsidR="002A21AE" w14:paraId="0D84C894" w14:textId="77777777">
        <w:tc>
          <w:tcPr>
            <w:tcW w:w="3240" w:type="dxa"/>
          </w:tcPr>
          <w:p w14:paraId="59AC03F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721C5C5" w14:textId="77777777" w:rsidR="002A21AE" w:rsidRDefault="002A21AE">
            <w:pPr>
              <w:pStyle w:val="TableTextNumbersContinued"/>
            </w:pPr>
          </w:p>
          <w:p w14:paraId="25ACEDA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6253C3C" w14:textId="77777777" w:rsidR="000566D6" w:rsidRDefault="00F64B5C" w:rsidP="00AA2B2E">
            <w:pPr>
              <w:pStyle w:val="TableTextBullet"/>
            </w:pPr>
            <w:r>
              <w:t>Compiles and displays the report.</w:t>
            </w:r>
          </w:p>
        </w:tc>
      </w:tr>
      <w:tr w:rsidR="002A21AE" w14:paraId="16EB39C0" w14:textId="77777777">
        <w:tc>
          <w:tcPr>
            <w:tcW w:w="3240" w:type="dxa"/>
          </w:tcPr>
          <w:p w14:paraId="3A0F9621" w14:textId="42382FF6"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200B6D">
              <w:rPr>
                <w:rFonts w:cs="Arial"/>
                <w:vanish/>
                <w:szCs w:val="18"/>
              </w:rPr>
              <w:fldChar w:fldCharType="begin"/>
            </w:r>
            <w:r w:rsidR="002A21AE" w:rsidRPr="00200B6D">
              <w:rPr>
                <w:rFonts w:cs="Arial"/>
                <w:vanish/>
                <w:szCs w:val="18"/>
              </w:rPr>
              <w:instrText xml:space="preserve"> LISTNUM \l 1 \s 0 </w:instrText>
            </w:r>
            <w:r w:rsidR="002A21AE" w:rsidRPr="00200B6D">
              <w:rPr>
                <w:rFonts w:cs="Arial"/>
                <w:vanish/>
                <w:szCs w:val="18"/>
              </w:rPr>
              <w:fldChar w:fldCharType="end"/>
            </w:r>
          </w:p>
        </w:tc>
        <w:tc>
          <w:tcPr>
            <w:tcW w:w="6120" w:type="dxa"/>
          </w:tcPr>
          <w:p w14:paraId="34F76509" w14:textId="77777777" w:rsidR="00D45D8C" w:rsidRDefault="00D45D8C" w:rsidP="00D45D8C">
            <w:pPr>
              <w:pStyle w:val="TableTextBullet"/>
            </w:pPr>
            <w:r>
              <w:t>If Print is selected, prints the report on the designated printer.</w:t>
            </w:r>
          </w:p>
          <w:p w14:paraId="11EBE29D" w14:textId="77777777" w:rsidR="00D45D8C" w:rsidRDefault="00D45D8C" w:rsidP="00D45D8C">
            <w:pPr>
              <w:pStyle w:val="TableTextBullet"/>
            </w:pPr>
            <w:r>
              <w:t>If Export is selected, exports the report to the designated file.</w:t>
            </w:r>
          </w:p>
          <w:p w14:paraId="02FF4AF5" w14:textId="21615A6F" w:rsidR="002A21AE" w:rsidRDefault="00D45D8C" w:rsidP="00D45D8C">
            <w:pPr>
              <w:pStyle w:val="TableTextBullet"/>
            </w:pPr>
            <w:r>
              <w:t>If Close is selected, exits the report preview.</w:t>
            </w:r>
          </w:p>
        </w:tc>
      </w:tr>
    </w:tbl>
    <w:p w14:paraId="59133CB0" w14:textId="77777777" w:rsidR="002A21AE" w:rsidRDefault="002A21AE">
      <w:pPr>
        <w:pStyle w:val="Heading2"/>
      </w:pPr>
      <w:r>
        <w:br w:type="page"/>
      </w:r>
      <w:bookmarkStart w:id="564" w:name="_Toc163644989"/>
      <w:r>
        <w:lastRenderedPageBreak/>
        <w:t>Unit History Report</w:t>
      </w:r>
      <w:bookmarkEnd w:id="564"/>
      <w:r>
        <w:fldChar w:fldCharType="begin"/>
      </w:r>
      <w:r>
        <w:instrText xml:space="preserve"> XE </w:instrText>
      </w:r>
      <w:r w:rsidR="00FA7E65">
        <w:instrText>“</w:instrText>
      </w:r>
      <w:r>
        <w:instrText>Unit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UC_85</w:t>
      </w:r>
    </w:p>
    <w:p w14:paraId="520C16C9" w14:textId="77777777" w:rsidR="002A21AE" w:rsidRDefault="002A21AE" w:rsidP="00FA7E65">
      <w:pPr>
        <w:pStyle w:val="BodyText"/>
      </w:pPr>
      <w:r>
        <w:t xml:space="preserve">The user views </w:t>
      </w:r>
      <w:r w:rsidR="00EB1E5A">
        <w:t xml:space="preserve">and/or </w:t>
      </w:r>
      <w:r>
        <w:t xml:space="preserve">prints a Unit History Report. </w:t>
      </w:r>
    </w:p>
    <w:p w14:paraId="34D2F79C" w14:textId="77777777" w:rsidR="002A21AE" w:rsidRDefault="002A21AE">
      <w:pPr>
        <w:pStyle w:val="Heading4"/>
      </w:pPr>
      <w:r>
        <w:t>Assumptions</w:t>
      </w:r>
      <w:r>
        <w:rPr>
          <w:b w:val="0"/>
        </w:rPr>
        <w:t xml:space="preserve"> </w:t>
      </w:r>
    </w:p>
    <w:p w14:paraId="1C71E64E" w14:textId="77777777" w:rsidR="002A21AE" w:rsidRDefault="002A21AE">
      <w:pPr>
        <w:pStyle w:val="ListBullet"/>
      </w:pPr>
      <w:r>
        <w:t>The unit exists in the user’s division.</w:t>
      </w:r>
    </w:p>
    <w:p w14:paraId="589CEE83" w14:textId="77777777" w:rsidR="002A21AE" w:rsidRDefault="002A21AE">
      <w:pPr>
        <w:pStyle w:val="Heading4"/>
      </w:pPr>
      <w:r>
        <w:t xml:space="preserve">Outcome </w:t>
      </w:r>
    </w:p>
    <w:p w14:paraId="17770FED" w14:textId="77777777" w:rsidR="002A21AE" w:rsidRDefault="00AE521B">
      <w:pPr>
        <w:pStyle w:val="ListBullet"/>
      </w:pPr>
      <w:r>
        <w:t>The user views and/or prints the report</w:t>
      </w:r>
      <w:r w:rsidR="002A21AE">
        <w:t>.</w:t>
      </w:r>
    </w:p>
    <w:p w14:paraId="4DAAC5FF" w14:textId="77777777" w:rsidR="002A21AE" w:rsidRDefault="002A21AE">
      <w:pPr>
        <w:pStyle w:val="Heading4"/>
      </w:pPr>
      <w:r>
        <w:t>Limitations and Restrictions</w:t>
      </w:r>
      <w:r>
        <w:rPr>
          <w:b w:val="0"/>
        </w:rPr>
        <w:t xml:space="preserve"> </w:t>
      </w:r>
    </w:p>
    <w:p w14:paraId="2B7AABBE" w14:textId="77777777" w:rsidR="002A21AE" w:rsidRDefault="002A21AE">
      <w:pPr>
        <w:pStyle w:val="ListBullet"/>
      </w:pPr>
      <w:r>
        <w:t xml:space="preserve">The report is not multidivisional. </w:t>
      </w:r>
    </w:p>
    <w:p w14:paraId="1C1B6547" w14:textId="77777777" w:rsidR="00DD7CAF" w:rsidRDefault="00DD7CAF">
      <w:pPr>
        <w:pStyle w:val="ListBullet"/>
      </w:pPr>
      <w:r>
        <w:t>When a user retroactively updates a unit status through Discard or Quarantine, the Unit History Report displays the updated information, but does not display the date the change was made.</w:t>
      </w:r>
    </w:p>
    <w:p w14:paraId="620912AF" w14:textId="6B6250F4" w:rsidR="001F1DB9" w:rsidRDefault="001F1DB9" w:rsidP="001F1DB9">
      <w:pPr>
        <w:pStyle w:val="ListBullet"/>
      </w:pPr>
      <w:r>
        <w:t>The r</w:t>
      </w:r>
      <w:r w:rsidRPr="001F1DB9">
        <w:t xml:space="preserve">eport </w:t>
      </w:r>
      <w:r>
        <w:t>will not indicate if a unit was returned to shipper, or shipped to another facility. This information can be found in the Cost Accounting Report.</w:t>
      </w:r>
      <w:r w:rsidR="00CD5BA1">
        <w:t xml:space="preserve"> </w:t>
      </w:r>
      <w:r w:rsidR="00CD5BA1" w:rsidRPr="00CD5BA1">
        <w:rPr>
          <w:vanish/>
        </w:rPr>
        <w:t>Defect 212158</w:t>
      </w:r>
    </w:p>
    <w:p w14:paraId="1235ABF3" w14:textId="53B3CA46" w:rsidR="00CD5BA1" w:rsidRDefault="00CD5BA1" w:rsidP="006B7ADC">
      <w:pPr>
        <w:pStyle w:val="ListBullet"/>
      </w:pPr>
      <w:r>
        <w:t xml:space="preserve">The report does not display the Antigen Testing Phase Change Exception. See the Exception Report for this information. </w:t>
      </w:r>
      <w:r w:rsidRPr="00CD5BA1">
        <w:rPr>
          <w:vanish/>
        </w:rPr>
        <w:t>Defect 209575</w:t>
      </w:r>
    </w:p>
    <w:p w14:paraId="3363C1E3" w14:textId="4268C65D" w:rsidR="00680B7F" w:rsidRDefault="00680B7F" w:rsidP="006B7ADC">
      <w:pPr>
        <w:pStyle w:val="ListBullet"/>
      </w:pPr>
      <w:r>
        <w:t xml:space="preserve">When a user retroactively updates a unit status through the Discard or Quarantine option, the Unit History Report displays the updated information, but does not display the date the change was made. </w:t>
      </w:r>
      <w:r w:rsidRPr="00680B7F">
        <w:rPr>
          <w:vanish/>
        </w:rPr>
        <w:t>Defect 212537</w:t>
      </w:r>
    </w:p>
    <w:p w14:paraId="261ED922" w14:textId="2D8AB749" w:rsidR="002A21AE" w:rsidRDefault="002A21AE" w:rsidP="005B025F">
      <w:pPr>
        <w:pStyle w:val="Heading4"/>
      </w:pPr>
      <w:r>
        <w:t xml:space="preserve">Additional Information </w:t>
      </w:r>
    </w:p>
    <w:p w14:paraId="087CC253" w14:textId="77777777" w:rsidR="002A21AE" w:rsidRDefault="002A21AE">
      <w:pPr>
        <w:pStyle w:val="ListBullet"/>
      </w:pPr>
      <w:r>
        <w:t>There may be multiple instances of the same unit number and product code in the same division. Inactivated unit records may have a unit ID and product code that duplicate an active unit ID and product code.</w:t>
      </w:r>
    </w:p>
    <w:p w14:paraId="35379CE1" w14:textId="77777777" w:rsidR="002A21AE" w:rsidRDefault="002A21AE">
      <w:pPr>
        <w:pStyle w:val="ListBullet"/>
      </w:pPr>
      <w:r>
        <w:t xml:space="preserve">VBECS always displays the current unit status when the user selects a blood unit, so there is no need for a separate report option, as is possible in </w:t>
      </w:r>
      <w:r w:rsidR="00CA6E27" w:rsidRPr="00CA6E27">
        <w:rPr>
          <w:bCs/>
        </w:rPr>
        <w:t>VistA</w:t>
      </w:r>
      <w:r>
        <w:t>.</w:t>
      </w:r>
    </w:p>
    <w:p w14:paraId="318A3C74" w14:textId="77777777" w:rsidR="002A21AE" w:rsidRDefault="002A21AE">
      <w:pPr>
        <w:pStyle w:val="ListBullet"/>
      </w:pPr>
      <w:r>
        <w:t>Unit testing details are included in Testing Worklist Report.</w:t>
      </w:r>
    </w:p>
    <w:p w14:paraId="1F3E0A61" w14:textId="6CF7B245" w:rsidR="002D3BEC" w:rsidRDefault="002D3BEC">
      <w:pPr>
        <w:pStyle w:val="ListBullet"/>
      </w:pPr>
      <w:r>
        <w:t xml:space="preserve">The report header for RBC and WB products does not display the </w:t>
      </w:r>
      <w:r w:rsidR="005E237B">
        <w:t xml:space="preserve">= </w:t>
      </w:r>
      <w:r>
        <w:t>&gt; 2 mL RBC contamination information.</w:t>
      </w:r>
    </w:p>
    <w:p w14:paraId="2A20F5B8" w14:textId="77777777" w:rsidR="002A21AE" w:rsidRDefault="002A21AE">
      <w:pPr>
        <w:pStyle w:val="Heading4"/>
        <w:rPr>
          <w:b w:val="0"/>
        </w:rPr>
      </w:pPr>
      <w:r>
        <w:t>User Roles with Access to This Option</w:t>
      </w:r>
      <w:r>
        <w:rPr>
          <w:b w:val="0"/>
        </w:rPr>
        <w:t xml:space="preserve"> </w:t>
      </w:r>
    </w:p>
    <w:p w14:paraId="4D7F5C73" w14:textId="77777777" w:rsidR="002A21AE" w:rsidRDefault="00184EA4">
      <w:pPr>
        <w:pStyle w:val="Roles"/>
      </w:pPr>
      <w:r>
        <w:t>All users</w:t>
      </w:r>
    </w:p>
    <w:p w14:paraId="2A0A81FE" w14:textId="77777777" w:rsidR="002A21AE" w:rsidRDefault="002A21AE">
      <w:pPr>
        <w:pStyle w:val="Heading4"/>
      </w:pPr>
      <w:r>
        <w:t xml:space="preserve">Unit History Report </w:t>
      </w:r>
    </w:p>
    <w:p w14:paraId="7029BB6C" w14:textId="77777777" w:rsidR="002A21AE" w:rsidRDefault="002A21AE" w:rsidP="00FA7E65">
      <w:pPr>
        <w:pStyle w:val="BodyText"/>
      </w:pPr>
      <w:r>
        <w:t xml:space="preserve">The user views </w:t>
      </w:r>
      <w:r w:rsidR="00EB1E5A">
        <w:t xml:space="preserve">and/or </w:t>
      </w:r>
      <w:r>
        <w:t>prints the complete record for a blood unit</w:t>
      </w:r>
      <w:r w:rsidR="00160D7B">
        <w:t>, from incoming shipment through final status, including unit activities saved in the VBECS database</w:t>
      </w:r>
      <w:r>
        <w:t>. VBECS compiles data for that unit for one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0F8A747" w14:textId="77777777">
        <w:trPr>
          <w:cantSplit/>
          <w:tblHeader/>
        </w:trPr>
        <w:tc>
          <w:tcPr>
            <w:tcW w:w="3240" w:type="dxa"/>
            <w:shd w:val="pct30" w:color="auto" w:fill="FFFFFF"/>
            <w:vAlign w:val="bottom"/>
          </w:tcPr>
          <w:p w14:paraId="0C080963" w14:textId="77777777" w:rsidR="002A21AE" w:rsidRDefault="002A21AE">
            <w:pPr>
              <w:pStyle w:val="TableText"/>
              <w:rPr>
                <w:b/>
              </w:rPr>
            </w:pPr>
            <w:r>
              <w:rPr>
                <w:b/>
              </w:rPr>
              <w:t>User Action</w:t>
            </w:r>
          </w:p>
        </w:tc>
        <w:tc>
          <w:tcPr>
            <w:tcW w:w="6120" w:type="dxa"/>
            <w:shd w:val="pct30" w:color="auto" w:fill="FFFFFF"/>
            <w:vAlign w:val="bottom"/>
          </w:tcPr>
          <w:p w14:paraId="2B5CC4DA" w14:textId="77777777" w:rsidR="002A21AE" w:rsidRDefault="002A21AE">
            <w:pPr>
              <w:pStyle w:val="TableText"/>
              <w:rPr>
                <w:b/>
              </w:rPr>
            </w:pPr>
            <w:r>
              <w:rPr>
                <w:b/>
              </w:rPr>
              <w:t>VBECS</w:t>
            </w:r>
          </w:p>
        </w:tc>
      </w:tr>
      <w:tr w:rsidR="002A21AE" w14:paraId="4AC01B50" w14:textId="77777777">
        <w:tc>
          <w:tcPr>
            <w:tcW w:w="3240" w:type="dxa"/>
          </w:tcPr>
          <w:p w14:paraId="7E361E97" w14:textId="77777777" w:rsidR="002A21AE" w:rsidRDefault="002A21AE">
            <w:pPr>
              <w:pStyle w:val="TableTextNumbers"/>
            </w:pPr>
            <w:r>
              <w:t xml:space="preserve">Select </w:t>
            </w:r>
            <w:r>
              <w:rPr>
                <w:b/>
              </w:rPr>
              <w:t>Reports</w:t>
            </w:r>
            <w:r>
              <w:t xml:space="preserve"> from the main menu.</w:t>
            </w:r>
          </w:p>
          <w:p w14:paraId="7D4071DA" w14:textId="77777777" w:rsidR="002A21AE" w:rsidRDefault="002A21AE">
            <w:pPr>
              <w:pStyle w:val="TableTextNumbersContinued"/>
            </w:pPr>
          </w:p>
          <w:p w14:paraId="2C5CA0B9" w14:textId="77777777" w:rsidR="002A21AE" w:rsidRDefault="002A21AE">
            <w:pPr>
              <w:pStyle w:val="TableTextNumbersContinued"/>
            </w:pPr>
            <w:r>
              <w:t xml:space="preserve">Select </w:t>
            </w:r>
            <w:r>
              <w:rPr>
                <w:b/>
              </w:rPr>
              <w:t>Unit History Report</w:t>
            </w:r>
            <w:r>
              <w:t>.</w:t>
            </w:r>
          </w:p>
        </w:tc>
        <w:tc>
          <w:tcPr>
            <w:tcW w:w="6120" w:type="dxa"/>
          </w:tcPr>
          <w:p w14:paraId="788E9BAA" w14:textId="77777777" w:rsidR="002A21AE" w:rsidRDefault="002A21AE">
            <w:pPr>
              <w:pStyle w:val="TableTextBullet"/>
            </w:pPr>
            <w:r>
              <w:t>Lists report names.</w:t>
            </w:r>
          </w:p>
          <w:p w14:paraId="11F6CD62" w14:textId="77777777" w:rsidR="002A21AE" w:rsidRDefault="002A21AE">
            <w:pPr>
              <w:pStyle w:val="TableTextBullet"/>
            </w:pPr>
            <w:r>
              <w:t>Allows the user to scan or enter a unit ID and product code.</w:t>
            </w:r>
          </w:p>
          <w:p w14:paraId="4431EF8F" w14:textId="77777777" w:rsidR="002A21AE" w:rsidRDefault="002A21AE" w:rsidP="009D2266">
            <w:pPr>
              <w:pStyle w:val="TableTextBullet"/>
              <w:numPr>
                <w:ilvl w:val="0"/>
                <w:numId w:val="10"/>
              </w:numPr>
              <w:tabs>
                <w:tab w:val="clear" w:pos="720"/>
                <w:tab w:val="num" w:pos="288"/>
              </w:tabs>
              <w:ind w:left="288" w:hanging="288"/>
            </w:pPr>
            <w:r>
              <w:t xml:space="preserve">Displays compilation criteria. </w:t>
            </w:r>
          </w:p>
        </w:tc>
      </w:tr>
      <w:tr w:rsidR="002A21AE" w14:paraId="06D2C6E4" w14:textId="77777777" w:rsidTr="00E35FC4">
        <w:trPr>
          <w:cantSplit/>
        </w:trPr>
        <w:tc>
          <w:tcPr>
            <w:tcW w:w="3240" w:type="dxa"/>
          </w:tcPr>
          <w:p w14:paraId="46E4A826" w14:textId="77777777" w:rsidR="002A21AE" w:rsidRDefault="002A21AE">
            <w:pPr>
              <w:pStyle w:val="TableTextNumbers"/>
            </w:pPr>
            <w:r>
              <w:lastRenderedPageBreak/>
              <w:t xml:space="preserve">Scan or enter the unit ID and product code, or click the </w:t>
            </w:r>
            <w:r w:rsidR="00A6373D" w:rsidRPr="00945BF5">
              <w:rPr>
                <w:b/>
              </w:rPr>
              <w:t>find</w:t>
            </w:r>
            <w:r>
              <w:rPr>
                <w:b/>
              </w:rPr>
              <w:t xml:space="preserve"> </w:t>
            </w:r>
            <w:r w:rsidRPr="00D1100E">
              <w:t>button</w:t>
            </w:r>
            <w:r>
              <w:t xml:space="preserve"> to search for and select a unit.</w:t>
            </w:r>
          </w:p>
        </w:tc>
        <w:tc>
          <w:tcPr>
            <w:tcW w:w="6120" w:type="dxa"/>
          </w:tcPr>
          <w:p w14:paraId="4D139CB6" w14:textId="77777777" w:rsidR="002A21AE" w:rsidRDefault="002A21AE">
            <w:pPr>
              <w:pStyle w:val="TableText"/>
            </w:pPr>
          </w:p>
          <w:p w14:paraId="046FC2F8" w14:textId="052E81E5" w:rsidR="002A21AE" w:rsidRDefault="002A21AE">
            <w:pPr>
              <w:pStyle w:val="TableText"/>
              <w:rPr>
                <w:b/>
                <w:bCs/>
                <w:szCs w:val="18"/>
              </w:rPr>
            </w:pPr>
            <w:r>
              <w:rPr>
                <w:b/>
                <w:bCs/>
                <w:szCs w:val="18"/>
              </w:rPr>
              <w:t>NOTES</w:t>
            </w:r>
          </w:p>
          <w:p w14:paraId="4E975732" w14:textId="77777777" w:rsidR="002A21AE" w:rsidRDefault="002A21AE">
            <w:pPr>
              <w:pStyle w:val="NotesText"/>
            </w:pPr>
          </w:p>
          <w:p w14:paraId="1EF8EE5C" w14:textId="77777777" w:rsidR="002A21AE" w:rsidRDefault="002A21AE">
            <w:pPr>
              <w:pStyle w:val="NotesText"/>
            </w:pPr>
            <w:r>
              <w:rPr>
                <w:rFonts w:cs="Arial"/>
                <w:vanish/>
              </w:rPr>
              <w:t xml:space="preserve">BR_85.01 </w:t>
            </w:r>
            <w:r>
              <w:t>The user may select any unit (active or inactive) in a division. VBECS marks the units so that the active ones are distinct from the inactive ones.</w:t>
            </w:r>
          </w:p>
          <w:p w14:paraId="4EDD070E" w14:textId="77777777" w:rsidR="005104F5" w:rsidRDefault="005104F5">
            <w:pPr>
              <w:pStyle w:val="NotesText"/>
            </w:pPr>
          </w:p>
          <w:p w14:paraId="10647071" w14:textId="77777777" w:rsidR="005104F5" w:rsidRPr="00FF65BE" w:rsidRDefault="005104F5" w:rsidP="005104F5">
            <w:pPr>
              <w:pStyle w:val="NotesText"/>
            </w:pPr>
            <w:r w:rsidRPr="00FF65BE">
              <w:rPr>
                <w:vanish/>
              </w:rPr>
              <w:t xml:space="preserve">BR_1.34 </w:t>
            </w:r>
            <w:r w:rsidRPr="00FF65BE">
              <w:t xml:space="preserve">When processing an Autologous unit, the user must indicate the testing status of that unit. </w:t>
            </w:r>
          </w:p>
          <w:p w14:paraId="783A560C" w14:textId="77777777" w:rsidR="005104F5" w:rsidRPr="00FF65BE" w:rsidRDefault="005104F5" w:rsidP="005104F5">
            <w:pPr>
              <w:pStyle w:val="NotesText"/>
            </w:pPr>
            <w:r w:rsidRPr="00FF65BE">
              <w:t>There are three valid choices:</w:t>
            </w:r>
          </w:p>
          <w:p w14:paraId="7103F0A2" w14:textId="77777777" w:rsidR="005104F5" w:rsidRPr="00FF65BE" w:rsidRDefault="005104F5" w:rsidP="005104F5">
            <w:pPr>
              <w:pStyle w:val="NotesText"/>
            </w:pPr>
            <w:r w:rsidRPr="00FF65BE">
              <w:t>NEG - Unit fully tested and negative for all disease markers</w:t>
            </w:r>
          </w:p>
          <w:p w14:paraId="3F3374CE" w14:textId="77777777" w:rsidR="005104F5" w:rsidRPr="00FF65BE" w:rsidRDefault="005104F5" w:rsidP="005104F5">
            <w:pPr>
              <w:pStyle w:val="NotesText"/>
            </w:pPr>
            <w:r w:rsidRPr="00FF65BE">
              <w:t xml:space="preserve">POS - Unit tested and positive for one or more disease markers, Biohazard </w:t>
            </w:r>
          </w:p>
          <w:p w14:paraId="3414E9B7" w14:textId="77777777" w:rsidR="005104F5" w:rsidRDefault="005104F5" w:rsidP="005104F5">
            <w:pPr>
              <w:pStyle w:val="NotesText"/>
            </w:pPr>
            <w:r>
              <w:t>NFT - Unit not fully tested for one or more disease markers, Biohazard</w:t>
            </w:r>
          </w:p>
          <w:p w14:paraId="2156D405" w14:textId="77777777" w:rsidR="005104F5" w:rsidRDefault="005104F5" w:rsidP="005104F5">
            <w:pPr>
              <w:pStyle w:val="NotesText"/>
            </w:pPr>
          </w:p>
          <w:p w14:paraId="1B1082AF" w14:textId="77777777" w:rsidR="005104F5" w:rsidRDefault="005104F5" w:rsidP="005104F5">
            <w:pPr>
              <w:pStyle w:val="NotesText"/>
              <w:rPr>
                <w:rFonts w:cs="Arial"/>
                <w:szCs w:val="18"/>
              </w:rPr>
            </w:pPr>
            <w:r w:rsidRPr="00894624">
              <w:rPr>
                <w:rFonts w:cs="Arial"/>
                <w:vanish/>
                <w:szCs w:val="18"/>
              </w:rPr>
              <w:t xml:space="preserve">BR_73.38 </w:t>
            </w:r>
            <w:r>
              <w:rPr>
                <w:rFonts w:cs="Arial"/>
                <w:szCs w:val="18"/>
              </w:rPr>
              <w:t xml:space="preserve">When the component order is for PLATELETS or OTHER the units with = &gt; 2 mL of RBC contamination must be presented </w:t>
            </w:r>
            <w:r w:rsidRPr="005722FA">
              <w:rPr>
                <w:rFonts w:cs="Arial"/>
                <w:szCs w:val="18"/>
              </w:rPr>
              <w:t>and checke</w:t>
            </w:r>
            <w:r>
              <w:rPr>
                <w:rFonts w:cs="Arial"/>
                <w:szCs w:val="18"/>
              </w:rPr>
              <w:t>d for compatibility during Issue Blood Component and will display before products with less than (&lt; ) 2 mL of RBC contamination.</w:t>
            </w:r>
          </w:p>
          <w:p w14:paraId="63723642" w14:textId="77777777" w:rsidR="005104F5" w:rsidRDefault="005104F5" w:rsidP="005104F5">
            <w:pPr>
              <w:pStyle w:val="NotesText"/>
              <w:rPr>
                <w:rFonts w:cs="Arial"/>
                <w:szCs w:val="18"/>
              </w:rPr>
            </w:pPr>
          </w:p>
          <w:p w14:paraId="2F987525" w14:textId="77777777" w:rsidR="005104F5" w:rsidRDefault="005104F5" w:rsidP="005104F5">
            <w:pPr>
              <w:pStyle w:val="NotesText"/>
            </w:pPr>
            <w:r>
              <w:rPr>
                <w:rFonts w:cs="Arial"/>
                <w:szCs w:val="18"/>
              </w:rPr>
              <w:t>The system will present all available units when the Product Type is PLATELETS or OTHER non-plasma components that have &lt; 2 mL RBC contamination.</w:t>
            </w:r>
          </w:p>
        </w:tc>
      </w:tr>
      <w:tr w:rsidR="002A21AE" w14:paraId="2BC06499" w14:textId="77777777">
        <w:tc>
          <w:tcPr>
            <w:tcW w:w="3240" w:type="dxa"/>
          </w:tcPr>
          <w:p w14:paraId="5F24C004" w14:textId="77777777" w:rsidR="002A21AE" w:rsidRDefault="002A21AE">
            <w:pPr>
              <w:pStyle w:val="TableTextNumbers"/>
            </w:pPr>
            <w:r>
              <w:t xml:space="preserve">In the </w:t>
            </w:r>
            <w:r w:rsidRPr="00B46EEA">
              <w:rPr>
                <w:b/>
              </w:rPr>
              <w:t>Include Report Sections</w:t>
            </w:r>
            <w:r>
              <w:t xml:space="preserve"> area, click one or more check boxes to select report sections.</w:t>
            </w:r>
          </w:p>
        </w:tc>
        <w:tc>
          <w:tcPr>
            <w:tcW w:w="6120" w:type="dxa"/>
          </w:tcPr>
          <w:p w14:paraId="1FE73338" w14:textId="77777777" w:rsidR="002A21AE" w:rsidRDefault="002A21AE">
            <w:pPr>
              <w:pStyle w:val="TableTextBullet"/>
            </w:pPr>
            <w:r>
              <w:rPr>
                <w:rFonts w:cs="Arial"/>
                <w:vanish/>
              </w:rPr>
              <w:t xml:space="preserve">BR_85.02 </w:t>
            </w:r>
            <w:r>
              <w:t>Displays the unit report section types for selection:</w:t>
            </w:r>
          </w:p>
          <w:p w14:paraId="03A4B60D" w14:textId="77777777" w:rsidR="00753E10" w:rsidRDefault="00753E10" w:rsidP="00100276">
            <w:pPr>
              <w:pStyle w:val="TableTextBullet1"/>
            </w:pPr>
            <w:r>
              <w:t>Incoming Shipment</w:t>
            </w:r>
          </w:p>
          <w:p w14:paraId="60E8C7DE" w14:textId="77777777" w:rsidR="00753E10" w:rsidRDefault="00753E10" w:rsidP="00AC5D7B">
            <w:pPr>
              <w:pStyle w:val="TableTextBullet1"/>
            </w:pPr>
            <w:r>
              <w:t>Outgoing Shipment</w:t>
            </w:r>
          </w:p>
          <w:p w14:paraId="5D4883DC" w14:textId="77777777" w:rsidR="00753E10" w:rsidRDefault="00753E10" w:rsidP="00AC5D7B">
            <w:pPr>
              <w:pStyle w:val="TableTextBullet1"/>
            </w:pPr>
            <w:r>
              <w:t>Unit Quarantine Information</w:t>
            </w:r>
          </w:p>
          <w:p w14:paraId="41F7848F" w14:textId="77777777" w:rsidR="00753E10" w:rsidRDefault="00753E10" w:rsidP="00AC5D7B">
            <w:pPr>
              <w:pStyle w:val="TableTextBullet1"/>
            </w:pPr>
            <w:r>
              <w:t>Unit Financials</w:t>
            </w:r>
          </w:p>
          <w:p w14:paraId="4FA54288" w14:textId="77777777" w:rsidR="00753E10" w:rsidRDefault="00753E10" w:rsidP="00AC5D7B">
            <w:pPr>
              <w:pStyle w:val="TableTextBullet1"/>
            </w:pPr>
            <w:r>
              <w:t>Patient Associations History</w:t>
            </w:r>
          </w:p>
          <w:p w14:paraId="11F63A6B" w14:textId="77777777" w:rsidR="009D4082" w:rsidRDefault="009D4082" w:rsidP="00AC5D7B">
            <w:pPr>
              <w:pStyle w:val="TableTextBullet1"/>
            </w:pPr>
            <w:r>
              <w:t>Restricted Patient</w:t>
            </w:r>
          </w:p>
          <w:p w14:paraId="2E2BDAA3" w14:textId="77777777" w:rsidR="00753E10" w:rsidRDefault="00753E10" w:rsidP="00AC5D7B">
            <w:pPr>
              <w:pStyle w:val="TableTextBullet1"/>
            </w:pPr>
            <w:r>
              <w:t>Issue Information</w:t>
            </w:r>
          </w:p>
          <w:p w14:paraId="636F68CB" w14:textId="77777777" w:rsidR="00753E10" w:rsidRDefault="00753E10" w:rsidP="00AC5D7B">
            <w:pPr>
              <w:pStyle w:val="TableTextBullet1"/>
            </w:pPr>
            <w:r>
              <w:t>Testing</w:t>
            </w:r>
          </w:p>
          <w:p w14:paraId="44141BD2" w14:textId="77777777" w:rsidR="009D4082" w:rsidRDefault="009D4082" w:rsidP="00AC5D7B">
            <w:pPr>
              <w:pStyle w:val="TableTextBullet1"/>
            </w:pPr>
            <w:r>
              <w:t>Antigen Typing</w:t>
            </w:r>
          </w:p>
          <w:p w14:paraId="527C2C97" w14:textId="77777777" w:rsidR="00753E10" w:rsidRDefault="00753E10" w:rsidP="00AC5D7B">
            <w:pPr>
              <w:pStyle w:val="TableTextBullet1"/>
            </w:pPr>
            <w:r>
              <w:t>Crossmatch</w:t>
            </w:r>
          </w:p>
          <w:p w14:paraId="00C78CE1" w14:textId="77777777" w:rsidR="00753E10" w:rsidRDefault="00753E10" w:rsidP="00AC5D7B">
            <w:pPr>
              <w:pStyle w:val="TableTextBullet1"/>
            </w:pPr>
            <w:r>
              <w:t>Modification</w:t>
            </w:r>
          </w:p>
          <w:p w14:paraId="0274360F" w14:textId="77777777" w:rsidR="00753E10" w:rsidRDefault="00753E10" w:rsidP="00AC5D7B">
            <w:pPr>
              <w:pStyle w:val="TableTextBullet1"/>
            </w:pPr>
            <w:r>
              <w:t>Transfused To</w:t>
            </w:r>
          </w:p>
          <w:p w14:paraId="3F4A9845" w14:textId="77777777" w:rsidR="00753E10" w:rsidRDefault="00753E10" w:rsidP="00AC5D7B">
            <w:pPr>
              <w:pStyle w:val="TableTextBullet1"/>
            </w:pPr>
            <w:r>
              <w:t>Exception Report</w:t>
            </w:r>
          </w:p>
        </w:tc>
      </w:tr>
      <w:tr w:rsidR="002A21AE" w14:paraId="208BD89B" w14:textId="77777777" w:rsidTr="00305B16">
        <w:trPr>
          <w:cantSplit/>
        </w:trPr>
        <w:tc>
          <w:tcPr>
            <w:tcW w:w="3240" w:type="dxa"/>
          </w:tcPr>
          <w:p w14:paraId="0EDFFE6D" w14:textId="77777777" w:rsidR="002A21AE" w:rsidRDefault="002A21AE">
            <w:pPr>
              <w:pStyle w:val="TableTextNumbers"/>
            </w:pPr>
            <w:r>
              <w:lastRenderedPageBreak/>
              <w:t xml:space="preserve">In the </w:t>
            </w:r>
            <w:r w:rsidRPr="009554A6">
              <w:t>Report Compilation</w:t>
            </w:r>
            <w:r>
              <w:t xml:space="preserve"> area, click the </w:t>
            </w:r>
            <w:r>
              <w:rPr>
                <w:b/>
              </w:rPr>
              <w:t xml:space="preserve">Create Report Now </w:t>
            </w:r>
            <w:r w:rsidRPr="00BF2E41">
              <w:t>radio button</w:t>
            </w:r>
            <w:r>
              <w:t xml:space="preserve">. Click </w:t>
            </w:r>
            <w:r>
              <w:rPr>
                <w:b/>
              </w:rPr>
              <w:t>OK</w:t>
            </w:r>
            <w:r>
              <w:t xml:space="preserve"> to view the report, or</w:t>
            </w:r>
          </w:p>
          <w:p w14:paraId="423061F5" w14:textId="77777777" w:rsidR="002A21AE" w:rsidRDefault="002A21AE">
            <w:pPr>
              <w:pStyle w:val="TableTextNumbersContinued"/>
              <w:rPr>
                <w:b/>
                <w:bCs/>
              </w:rPr>
            </w:pPr>
          </w:p>
          <w:p w14:paraId="552ABCFC" w14:textId="77777777" w:rsidR="002A21AE" w:rsidRDefault="002A21AE">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3A0E63D" w14:textId="77777777" w:rsidR="002A21AE" w:rsidRDefault="002A21AE">
            <w:pPr>
              <w:pStyle w:val="TableTextBullet"/>
            </w:pPr>
            <w:r>
              <w:rPr>
                <w:rFonts w:cs="Arial"/>
                <w:vanish/>
              </w:rPr>
              <w:t xml:space="preserve">BR_74.01 </w:t>
            </w:r>
            <w:r>
              <w:t>Compiles and displays the report for the user’s login division.</w:t>
            </w:r>
          </w:p>
          <w:p w14:paraId="2EAD9212" w14:textId="77777777" w:rsidR="002A21AE" w:rsidRDefault="002A21AE">
            <w:pPr>
              <w:pStyle w:val="TableText"/>
            </w:pPr>
          </w:p>
          <w:p w14:paraId="53C98332" w14:textId="6439F346" w:rsidR="002A21AE" w:rsidRDefault="002A21AE">
            <w:pPr>
              <w:pStyle w:val="TableText"/>
              <w:rPr>
                <w:b/>
                <w:bCs/>
                <w:szCs w:val="18"/>
              </w:rPr>
            </w:pPr>
            <w:r>
              <w:rPr>
                <w:b/>
                <w:bCs/>
                <w:szCs w:val="18"/>
              </w:rPr>
              <w:t>NOTES</w:t>
            </w:r>
          </w:p>
          <w:p w14:paraId="74BAFA04" w14:textId="77777777" w:rsidR="002A21AE" w:rsidRDefault="002A21AE" w:rsidP="00AD6A88">
            <w:pPr>
              <w:pStyle w:val="NotesText"/>
            </w:pPr>
          </w:p>
          <w:p w14:paraId="44165806" w14:textId="77777777" w:rsidR="002A21AE" w:rsidRDefault="002A21AE">
            <w:pPr>
              <w:pStyle w:val="NotesText"/>
            </w:pPr>
            <w:r>
              <w:rPr>
                <w:rFonts w:cs="Arial"/>
                <w:vanish/>
              </w:rPr>
              <w:t xml:space="preserve">BR_85.03 </w:t>
            </w:r>
            <w:r>
              <w:t>The page header includes the standard VBECS header, the unit ID, product, donation type, expiration date, restricted for patient, status, ABO/Rh, division, product long name, and user.</w:t>
            </w:r>
          </w:p>
          <w:p w14:paraId="283BBFAA" w14:textId="77777777" w:rsidR="002A21AE" w:rsidRDefault="002A21AE">
            <w:pPr>
              <w:pStyle w:val="NotesText"/>
            </w:pPr>
          </w:p>
          <w:p w14:paraId="17349C4D" w14:textId="77777777" w:rsidR="002A21AE" w:rsidRDefault="002A21AE">
            <w:pPr>
              <w:pStyle w:val="NotesText"/>
            </w:pPr>
            <w:r>
              <w:rPr>
                <w:rFonts w:cs="Arial"/>
                <w:vanish/>
              </w:rPr>
              <w:t xml:space="preserve">BR_85.04 </w:t>
            </w:r>
            <w:r>
              <w:t xml:space="preserve">VBECS displays entries from only the related reports (Audit Trail and Exception Reports) specific to the selected unit or patient. </w:t>
            </w:r>
          </w:p>
          <w:p w14:paraId="585CEAA5" w14:textId="77777777" w:rsidR="002A21AE" w:rsidRDefault="002A21AE">
            <w:pPr>
              <w:pStyle w:val="NotesText"/>
            </w:pPr>
          </w:p>
          <w:p w14:paraId="7FA2B060" w14:textId="77777777" w:rsidR="002A21AE" w:rsidRDefault="002A21AE">
            <w:pPr>
              <w:pStyle w:val="NotesText"/>
            </w:pPr>
            <w:r>
              <w:t>Audit Trail and Exception Reports that record only unit override information are linked to the unit</w:t>
            </w:r>
            <w:r w:rsidR="00FA7E65">
              <w:t>’</w:t>
            </w:r>
            <w:r>
              <w:t xml:space="preserve">s </w:t>
            </w:r>
            <w:r w:rsidR="0051757B">
              <w:t>historic</w:t>
            </w:r>
            <w:r>
              <w:t xml:space="preserve"> record. Those that record only patient override information are linked to the patient</w:t>
            </w:r>
            <w:r w:rsidR="00FA7E65">
              <w:t>’</w:t>
            </w:r>
            <w:r>
              <w:t xml:space="preserve">s </w:t>
            </w:r>
            <w:r w:rsidR="0051757B">
              <w:t>historic</w:t>
            </w:r>
            <w:r>
              <w:t xml:space="preserve"> record. Those that record both are accessible in unit and patient </w:t>
            </w:r>
            <w:r w:rsidR="0051757B">
              <w:t>historic</w:t>
            </w:r>
            <w:r>
              <w:t xml:space="preserve"> records.</w:t>
            </w:r>
          </w:p>
          <w:p w14:paraId="1F555D6B" w14:textId="77777777" w:rsidR="002A21AE" w:rsidRDefault="002A21AE">
            <w:pPr>
              <w:pStyle w:val="NotesText"/>
              <w:rPr>
                <w:rFonts w:eastAsia="Symbol" w:cs="Arial"/>
                <w:sz w:val="20"/>
              </w:rPr>
            </w:pPr>
          </w:p>
          <w:p w14:paraId="28EDA62B" w14:textId="2BC45C14" w:rsidR="002A21AE" w:rsidRDefault="002A21AE">
            <w:pPr>
              <w:pStyle w:val="NotesText"/>
            </w:pPr>
            <w:r>
              <w:t xml:space="preserve">See </w:t>
            </w:r>
            <w:r w:rsidR="00EE455E">
              <w:t xml:space="preserve">Appendix </w:t>
            </w:r>
            <w:r w:rsidR="00EE455E">
              <w:rPr>
                <w:noProof/>
              </w:rPr>
              <w:t>B</w:t>
            </w:r>
            <w:r>
              <w:t xml:space="preserve">: </w:t>
            </w:r>
            <w:r w:rsidR="00EE455E">
              <w:t xml:space="preserve">Table </w:t>
            </w:r>
            <w:r w:rsidR="00EE455E">
              <w:rPr>
                <w:noProof/>
              </w:rPr>
              <w:t>20</w:t>
            </w:r>
            <w:r w:rsidR="00EE455E">
              <w:t xml:space="preserve">: </w:t>
            </w:r>
            <w:r w:rsidR="00EE455E">
              <w:rPr>
                <w:vanish/>
              </w:rPr>
              <w:t xml:space="preserve">TT_77.01 </w:t>
            </w:r>
            <w:r w:rsidR="00EE455E">
              <w:t>Details in Audit Trail Report</w:t>
            </w:r>
            <w:r>
              <w:t xml:space="preserve"> and </w:t>
            </w:r>
            <w:r w:rsidR="00EE455E">
              <w:t xml:space="preserve">Table </w:t>
            </w:r>
            <w:r w:rsidR="00EE455E">
              <w:rPr>
                <w:noProof/>
              </w:rPr>
              <w:t>21</w:t>
            </w:r>
            <w:r w:rsidR="00EE455E">
              <w:t xml:space="preserve">: </w:t>
            </w:r>
            <w:r w:rsidR="00EE455E">
              <w:rPr>
                <w:vanish/>
              </w:rPr>
              <w:t xml:space="preserve">TT_82.01 </w:t>
            </w:r>
            <w:r w:rsidR="00EE455E">
              <w:t>Details in Exception Report</w:t>
            </w:r>
            <w:r>
              <w:t>.</w:t>
            </w:r>
          </w:p>
          <w:p w14:paraId="400C805C" w14:textId="77777777" w:rsidR="002A21AE" w:rsidRDefault="002A21AE">
            <w:pPr>
              <w:pStyle w:val="NotesText"/>
            </w:pPr>
          </w:p>
          <w:p w14:paraId="3AA520DD" w14:textId="77777777" w:rsidR="002A21AE" w:rsidRDefault="002A21AE">
            <w:pPr>
              <w:pStyle w:val="NotesText"/>
              <w:rPr>
                <w:rFonts w:eastAsia="Symbol" w:cs="Arial"/>
                <w:sz w:val="20"/>
              </w:rPr>
            </w:pPr>
            <w:r>
              <w:rPr>
                <w:rFonts w:cs="Arial"/>
                <w:vanish/>
              </w:rPr>
              <w:t xml:space="preserve">BR_85.05 </w:t>
            </w:r>
            <w:r>
              <w:t>The report displays the product long name.</w:t>
            </w:r>
          </w:p>
          <w:p w14:paraId="6BEA9726" w14:textId="77777777" w:rsidR="002A21AE" w:rsidRDefault="002A21AE">
            <w:pPr>
              <w:pStyle w:val="NotesText"/>
            </w:pPr>
          </w:p>
          <w:p w14:paraId="21B576FB" w14:textId="1252B904" w:rsidR="002A21AE" w:rsidRDefault="002A21AE">
            <w:pPr>
              <w:pStyle w:val="NotesText"/>
              <w:rPr>
                <w:rFonts w:eastAsia="Symbol" w:cs="Arial"/>
                <w:sz w:val="20"/>
              </w:rPr>
            </w:pPr>
            <w:r>
              <w:rPr>
                <w:rFonts w:cs="Arial"/>
                <w:vanish/>
              </w:rPr>
              <w:t xml:space="preserve">BR_85.08 </w:t>
            </w:r>
            <w:r>
              <w:t xml:space="preserve">The </w:t>
            </w:r>
            <w:r w:rsidR="00020B22">
              <w:t>report displays “CMV neg”,</w:t>
            </w:r>
            <w:r>
              <w:t xml:space="preserve"> “SC </w:t>
            </w:r>
            <w:r w:rsidR="006549B7">
              <w:t>neg” and</w:t>
            </w:r>
            <w:r w:rsidR="00452A6C">
              <w:t xml:space="preserve">/or </w:t>
            </w:r>
            <w:r w:rsidR="003723D4">
              <w:t xml:space="preserve">= </w:t>
            </w:r>
            <w:r w:rsidR="00452A6C">
              <w:t xml:space="preserve">&gt; </w:t>
            </w:r>
            <w:r w:rsidR="003723D4">
              <w:t>2</w:t>
            </w:r>
            <w:r w:rsidR="00452A6C">
              <w:t xml:space="preserve"> </w:t>
            </w:r>
            <w:r w:rsidR="003723D4">
              <w:t xml:space="preserve">mL RBC contamination </w:t>
            </w:r>
            <w:r w:rsidR="00B62C7E">
              <w:t xml:space="preserve">(which will display only for non-WB and non-RBC blood products) </w:t>
            </w:r>
            <w:r>
              <w:t>in the “Special Testing” column when a unit qualifies.</w:t>
            </w:r>
          </w:p>
          <w:p w14:paraId="49A23D7F" w14:textId="77777777" w:rsidR="002A21AE" w:rsidRDefault="002A21AE">
            <w:pPr>
              <w:pStyle w:val="NotesText"/>
            </w:pPr>
          </w:p>
          <w:p w14:paraId="701E0175" w14:textId="1E8EB06D" w:rsidR="002A21AE" w:rsidRDefault="002A21AE">
            <w:pPr>
              <w:pStyle w:val="NotesText"/>
            </w:pPr>
            <w:r>
              <w:rPr>
                <w:rFonts w:cs="Arial"/>
                <w:vanish/>
              </w:rPr>
              <w:t xml:space="preserve">BR_85.09 </w:t>
            </w:r>
            <w:r>
              <w:t>The report displays the unit’s quarantine indicator in the “Quarantined” column: “Yes” when quarantined, and “No”</w:t>
            </w:r>
            <w:r w:rsidR="00B446F5">
              <w:t xml:space="preserve"> if it was never</w:t>
            </w:r>
            <w:r>
              <w:t xml:space="preserve"> quarantine</w:t>
            </w:r>
            <w:r w:rsidR="00B446F5">
              <w:t>d</w:t>
            </w:r>
            <w:r>
              <w:t>.</w:t>
            </w:r>
          </w:p>
          <w:p w14:paraId="4A2ADAEB" w14:textId="77777777" w:rsidR="002A21AE" w:rsidRDefault="002A21AE">
            <w:pPr>
              <w:pStyle w:val="NotesText"/>
              <w:rPr>
                <w:rFonts w:eastAsia="Symbol" w:cs="Arial"/>
                <w:sz w:val="20"/>
              </w:rPr>
            </w:pPr>
          </w:p>
          <w:p w14:paraId="691D351F" w14:textId="6312F95F" w:rsidR="000566D6" w:rsidRDefault="002A21AE" w:rsidP="00AA2B2E">
            <w:pPr>
              <w:pStyle w:val="NotesText"/>
            </w:pPr>
            <w:r>
              <w:rPr>
                <w:rFonts w:cs="Arial"/>
                <w:vanish/>
              </w:rPr>
              <w:t xml:space="preserve">BR_85.10 </w:t>
            </w:r>
            <w:r>
              <w:t xml:space="preserve">The report displays the unit’s biohazardous indicator in the “Biohazard” column “Yes” when biohazardous, and “No” </w:t>
            </w:r>
            <w:r w:rsidR="00B446F5">
              <w:t>if it was never a biohazard.</w:t>
            </w:r>
          </w:p>
        </w:tc>
      </w:tr>
      <w:tr w:rsidR="00946DA2" w14:paraId="6AE4BE69" w14:textId="77777777">
        <w:tc>
          <w:tcPr>
            <w:tcW w:w="3240" w:type="dxa"/>
          </w:tcPr>
          <w:p w14:paraId="30016CD4" w14:textId="5D419D5F" w:rsidR="00946DA2" w:rsidRDefault="00946DA2" w:rsidP="00946DA2">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78C7865B" w14:textId="77777777" w:rsidR="00946DA2" w:rsidRDefault="00946DA2" w:rsidP="00946DA2">
            <w:pPr>
              <w:pStyle w:val="TableTextBullet"/>
            </w:pPr>
            <w:r>
              <w:t>If Print is selected, prints the report on the designated printer.</w:t>
            </w:r>
          </w:p>
          <w:p w14:paraId="197A4C52" w14:textId="77777777" w:rsidR="00946DA2" w:rsidRDefault="00946DA2" w:rsidP="00946DA2">
            <w:pPr>
              <w:pStyle w:val="TableTextBullet"/>
            </w:pPr>
            <w:r>
              <w:t>If Export is selected, exports the report to the designated file.</w:t>
            </w:r>
          </w:p>
          <w:p w14:paraId="41B8D589" w14:textId="03CEA88E" w:rsidR="00946DA2" w:rsidRDefault="00946DA2" w:rsidP="00946DA2">
            <w:pPr>
              <w:pStyle w:val="TableTextBullet"/>
            </w:pPr>
            <w:r>
              <w:t>If Close is selected, exits the report preview.</w:t>
            </w:r>
          </w:p>
        </w:tc>
      </w:tr>
    </w:tbl>
    <w:p w14:paraId="14798E4D" w14:textId="5E9AB2D6" w:rsidR="00823F23" w:rsidRPr="00BE47E0" w:rsidRDefault="00823F23" w:rsidP="00006995">
      <w:pPr>
        <w:pStyle w:val="Heading2"/>
      </w:pPr>
      <w:r w:rsidRPr="00BE47E0">
        <w:br w:type="page"/>
      </w:r>
    </w:p>
    <w:p w14:paraId="2253269F" w14:textId="77777777" w:rsidR="00823F23" w:rsidRDefault="00823F23" w:rsidP="00BE47E0">
      <w:pPr>
        <w:pStyle w:val="ListBullet"/>
        <w:numPr>
          <w:ilvl w:val="0"/>
          <w:numId w:val="0"/>
        </w:numPr>
        <w:ind w:left="648" w:hanging="360"/>
        <w:rPr>
          <w:rFonts w:ascii="Arial" w:hAnsi="Arial" w:cs="Arial"/>
          <w:b/>
          <w:bCs/>
          <w:kern w:val="32"/>
          <w:sz w:val="36"/>
          <w:szCs w:val="32"/>
        </w:rPr>
      </w:pPr>
    </w:p>
    <w:p w14:paraId="22971D09" w14:textId="3A4AAC65" w:rsidR="002A21AE" w:rsidRDefault="002A21AE" w:rsidP="00A04F10">
      <w:pPr>
        <w:pStyle w:val="Heading1"/>
      </w:pPr>
      <w:bookmarkStart w:id="565" w:name="_Toc163644990"/>
      <w:r>
        <w:t>References</w:t>
      </w:r>
      <w:bookmarkEnd w:id="565"/>
      <w:r>
        <w:fldChar w:fldCharType="begin"/>
      </w:r>
      <w:r>
        <w:instrText xml:space="preserve"> XE </w:instrText>
      </w:r>
      <w:r w:rsidR="00FA7E65">
        <w:instrText>“</w:instrText>
      </w:r>
      <w:r>
        <w:instrText>References</w:instrText>
      </w:r>
      <w:r w:rsidR="00FA7E65">
        <w:instrText>”</w:instrText>
      </w:r>
      <w:r>
        <w:instrText xml:space="preserve"> </w:instrText>
      </w:r>
      <w:r>
        <w:fldChar w:fldCharType="end"/>
      </w:r>
    </w:p>
    <w:p w14:paraId="1A41AB2D" w14:textId="77777777" w:rsidR="002A21AE" w:rsidRDefault="002A21AE">
      <w:pPr>
        <w:pStyle w:val="ListBullet"/>
        <w:rPr>
          <w:i/>
        </w:rPr>
      </w:pPr>
      <w:r>
        <w:t>Association for the Advancement of Medical Instrumentation, Arlington, Virginia.</w:t>
      </w:r>
      <w:r>
        <w:rPr>
          <w:i/>
        </w:rPr>
        <w:t xml:space="preserve"> The Quality System Compendium: GMP Requirements &amp; Industry Practice, </w:t>
      </w:r>
      <w:r>
        <w:t>1998.</w:t>
      </w:r>
    </w:p>
    <w:p w14:paraId="6450AD12" w14:textId="77777777" w:rsidR="002A21AE" w:rsidRPr="0026301E" w:rsidRDefault="002A21AE">
      <w:pPr>
        <w:pStyle w:val="ListBullet"/>
        <w:rPr>
          <w:i/>
        </w:rPr>
      </w:pPr>
      <w:r w:rsidRPr="0026301E">
        <w:t>Association for the Advancement of Medical Instrumentation.</w:t>
      </w:r>
      <w:r>
        <w:rPr>
          <w:i/>
        </w:rPr>
        <w:t xml:space="preserve"> </w:t>
      </w:r>
      <w:r w:rsidRPr="0026301E">
        <w:rPr>
          <w:i/>
        </w:rPr>
        <w:t>Medical device software—Software life cycle processes (ANSI/AAMI SW68:2001), 2001.</w:t>
      </w:r>
    </w:p>
    <w:p w14:paraId="060C6F92" w14:textId="77777777" w:rsidR="002A21AE" w:rsidRDefault="002A21AE">
      <w:pPr>
        <w:pStyle w:val="ListBullet"/>
        <w:rPr>
          <w:i/>
        </w:rPr>
      </w:pPr>
      <w:r w:rsidRPr="0026301E">
        <w:t>Brandt, Gwyneth. ClinicalTrialJobs.com. “Preparing for FDA Inspections.” July 18, 2002.</w:t>
      </w:r>
    </w:p>
    <w:p w14:paraId="2620FA53" w14:textId="77777777" w:rsidR="002A21AE" w:rsidRDefault="002A21AE">
      <w:pPr>
        <w:pStyle w:val="ListBullet"/>
      </w:pPr>
      <w:r>
        <w:rPr>
          <w:i/>
        </w:rPr>
        <w:t>Clinical Laboratory Technical Procedure Manuals</w:t>
      </w:r>
      <w:r>
        <w:rPr>
          <w:i/>
          <w:iCs/>
        </w:rPr>
        <w:t>; Approved Guideline—Fourth Edition</w:t>
      </w:r>
      <w:r>
        <w:t>, NCCLS document GP2-A4 (Wayne, PA: National Committee for Clinical Laboratory Standards, 2002).</w:t>
      </w:r>
    </w:p>
    <w:p w14:paraId="5A30042A" w14:textId="77777777" w:rsidR="002A21AE" w:rsidRDefault="002A21AE">
      <w:pPr>
        <w:pStyle w:val="ListBullet"/>
        <w:rPr>
          <w:i/>
        </w:rPr>
      </w:pPr>
      <w:r w:rsidRPr="0026301E">
        <w:t>CMMI Product Development Team, Carnegie Mellon Software Engineering Institute.</w:t>
      </w:r>
      <w:r>
        <w:rPr>
          <w:i/>
        </w:rPr>
        <w:t xml:space="preserve"> </w:t>
      </w:r>
      <w:r w:rsidRPr="0026301E">
        <w:rPr>
          <w:i/>
        </w:rPr>
        <w:t>CMMI</w:t>
      </w:r>
      <w:r w:rsidRPr="0026301E">
        <w:rPr>
          <w:i/>
          <w:vertAlign w:val="superscript"/>
        </w:rPr>
        <w:t>SM</w:t>
      </w:r>
      <w:r w:rsidRPr="0026301E">
        <w:rPr>
          <w:i/>
        </w:rPr>
        <w:t xml:space="preserve">-SE/SW, V1.0, Capability Maturity Model®—Integrated for Systems Engineering/Software Engineering, Version 1.0 </w:t>
      </w:r>
      <w:r w:rsidRPr="0026301E">
        <w:t>(Pittsburgh, PA: Carnegie Mellon Software Engineering Institute, August 2000).</w:t>
      </w:r>
    </w:p>
    <w:p w14:paraId="7F1C9A11" w14:textId="77777777" w:rsidR="002A21AE" w:rsidRDefault="002A21AE">
      <w:pPr>
        <w:pStyle w:val="ListBullet"/>
      </w:pPr>
      <w:r w:rsidRPr="0026301E">
        <w:t xml:space="preserve">Commission on Laboratory Accreditation, Laboratory Accreditation Program. </w:t>
      </w:r>
      <w:r>
        <w:rPr>
          <w:i/>
        </w:rPr>
        <w:t>Laboratory General Checklist</w:t>
      </w:r>
      <w:r>
        <w:t xml:space="preserve"> (Northfield, IL: </w:t>
      </w:r>
      <w:bookmarkStart w:id="566" w:name="OLE_LINK15"/>
      <w:bookmarkStart w:id="567" w:name="OLE_LINK16"/>
      <w:r>
        <w:t>College of American Pathologists</w:t>
      </w:r>
      <w:bookmarkEnd w:id="566"/>
      <w:bookmarkEnd w:id="567"/>
      <w:r w:rsidR="00680E9A">
        <w:t>, 201</w:t>
      </w:r>
      <w:r w:rsidR="00BE3412">
        <w:t>7</w:t>
      </w:r>
      <w:r>
        <w:t>).</w:t>
      </w:r>
    </w:p>
    <w:p w14:paraId="074F8414" w14:textId="77777777" w:rsidR="002A21AE" w:rsidRDefault="002A21AE">
      <w:pPr>
        <w:pStyle w:val="ListBullet"/>
      </w:pPr>
      <w:r w:rsidRPr="0026301E">
        <w:t xml:space="preserve">Commission on Laboratory Accreditation, Laboratory Accreditation Program. </w:t>
      </w:r>
      <w:r>
        <w:rPr>
          <w:i/>
        </w:rPr>
        <w:t>Transfusion Medicine Checklist</w:t>
      </w:r>
      <w:r>
        <w:t xml:space="preserve"> (Northfield, IL: Colle</w:t>
      </w:r>
      <w:r w:rsidR="00680E9A">
        <w:t>ge of American Pathologists, 201</w:t>
      </w:r>
      <w:r w:rsidR="00BE3412">
        <w:t>7</w:t>
      </w:r>
      <w:r>
        <w:t>).</w:t>
      </w:r>
    </w:p>
    <w:p w14:paraId="108A9729" w14:textId="77777777" w:rsidR="002A21AE" w:rsidRDefault="002A21AE">
      <w:pPr>
        <w:pStyle w:val="ListBullet"/>
        <w:rPr>
          <w:i/>
        </w:rPr>
      </w:pPr>
      <w:r>
        <w:t xml:space="preserve">Joint Commission on Accreditation of Healthcare Organizations. </w:t>
      </w:r>
      <w:r>
        <w:rPr>
          <w:i/>
        </w:rPr>
        <w:t>Comprehensive Accreditation Manual for Hospitals: The Official Handbook (CAMH)</w:t>
      </w:r>
      <w:r>
        <w:t>. (Oakbrook Terrace, Illinois: Joint Commission on Accreditation o</w:t>
      </w:r>
      <w:r w:rsidR="00680E9A">
        <w:t>f Healthcare Organizations, 2013</w:t>
      </w:r>
      <w:r>
        <w:t>).</w:t>
      </w:r>
    </w:p>
    <w:p w14:paraId="2FD5B399" w14:textId="77777777" w:rsidR="00C10667" w:rsidRDefault="00C10667">
      <w:pPr>
        <w:pStyle w:val="ListBullet"/>
      </w:pPr>
      <w:r>
        <w:t xml:space="preserve">Department of Veterans Affairs, </w:t>
      </w:r>
      <w:r w:rsidRPr="005F521F">
        <w:t>Software Engineering Process Group</w:t>
      </w:r>
      <w:r>
        <w:t xml:space="preserve"> (SEPG) and </w:t>
      </w:r>
      <w:r w:rsidRPr="005F521F">
        <w:t>Software Quality Assurance (SQA)</w:t>
      </w:r>
      <w:r>
        <w:t xml:space="preserve">, </w:t>
      </w:r>
      <w:r w:rsidRPr="00FF500D">
        <w:rPr>
          <w:i/>
        </w:rPr>
        <w:t>National Documentation Standards</w:t>
      </w:r>
      <w:r>
        <w:t xml:space="preserve"> (</w:t>
      </w:r>
      <w:r w:rsidR="00C827F9">
        <w:t>October</w:t>
      </w:r>
      <w:r>
        <w:t xml:space="preserve"> 2005).</w:t>
      </w:r>
    </w:p>
    <w:p w14:paraId="3457B4CC" w14:textId="77777777" w:rsidR="00C10667" w:rsidRPr="001C6432" w:rsidRDefault="00C10667">
      <w:pPr>
        <w:pStyle w:val="ListBullet"/>
        <w:rPr>
          <w:i/>
        </w:rPr>
      </w:pPr>
      <w:r>
        <w:t xml:space="preserve">Department of Veterans Affairs, Veterans Health Administration. </w:t>
      </w:r>
      <w:r>
        <w:rPr>
          <w:i/>
        </w:rPr>
        <w:t xml:space="preserve">VHA Directive 99-053, </w:t>
      </w:r>
      <w:r w:rsidR="00DD0D86">
        <w:rPr>
          <w:i/>
        </w:rPr>
        <w:t>VBECS</w:t>
      </w:r>
      <w:r>
        <w:rPr>
          <w:i/>
        </w:rPr>
        <w:t xml:space="preserve"> Blood Bank Software</w:t>
      </w:r>
      <w:r w:rsidR="00DD0D86">
        <w:t>, November 8, 2007</w:t>
      </w:r>
      <w:r>
        <w:t>.</w:t>
      </w:r>
    </w:p>
    <w:p w14:paraId="23BFC323" w14:textId="77777777" w:rsidR="002A21AE" w:rsidRDefault="002A21AE">
      <w:pPr>
        <w:pStyle w:val="ListBullet"/>
        <w:rPr>
          <w:i/>
        </w:rPr>
      </w:pPr>
      <w:r>
        <w:t xml:space="preserve">Galloway, Dianne. </w:t>
      </w:r>
      <w:r>
        <w:rPr>
          <w:i/>
        </w:rPr>
        <w:t>Mapping Work Processes</w:t>
      </w:r>
      <w:r>
        <w:t>. (Milwaukee, Wisconsin: ASQ Quality Press, 1994).</w:t>
      </w:r>
    </w:p>
    <w:p w14:paraId="0EADE511" w14:textId="77777777" w:rsidR="002A21AE" w:rsidRDefault="002A21AE">
      <w:pPr>
        <w:pStyle w:val="ListBullet"/>
        <w:rPr>
          <w:i/>
        </w:rPr>
      </w:pPr>
      <w:r>
        <w:rPr>
          <w:i/>
        </w:rPr>
        <w:t>General Principles of Software Validation; Final Guidance for Industry and FDA Staff</w:t>
      </w:r>
      <w:r>
        <w:t xml:space="preserve"> (U.S. Department Of Health and Human Services, Food and Drug Administration, Center for Devices and Radiological Health, Center for Biologics Evaluation and Research, January 11, 2002).</w:t>
      </w:r>
    </w:p>
    <w:p w14:paraId="40397E5D" w14:textId="77777777" w:rsidR="002A21AE" w:rsidRDefault="002A21AE">
      <w:pPr>
        <w:pStyle w:val="ListBullet"/>
      </w:pPr>
      <w:r>
        <w:rPr>
          <w:i/>
        </w:rPr>
        <w:t>Guidance for Industry and FDA Premarket and Design Control Reviewers, Medical Device Use-Safety: Incorporating Human Factors Engineering into Risk Management</w:t>
      </w:r>
      <w:r>
        <w:t xml:space="preserve"> (U.S. Department of Health and Human Services, Food and Drug Administration, Center for Devices and Radiological Health, Division of Device User Programs and Systems Analysis, Office of Health and Industry Programs, July 18, 2000).</w:t>
      </w:r>
    </w:p>
    <w:p w14:paraId="78B190AC" w14:textId="77777777" w:rsidR="002A21AE" w:rsidRPr="0000295A" w:rsidRDefault="002A21AE">
      <w:pPr>
        <w:pStyle w:val="ListBullet"/>
        <w:rPr>
          <w:i/>
        </w:rPr>
      </w:pPr>
      <w:r>
        <w:rPr>
          <w:i/>
        </w:rPr>
        <w:t>Guidance for Industry, FDA Reviewers and Compliance on Off-The-Shelf Software Use in Medical Devices</w:t>
      </w:r>
      <w:r>
        <w:t xml:space="preserve"> (U.S. Department Of Health And Human Services, Food and Drug Administration, Center for Devices and Radiological Health, Office of Device Evaluation, September 9, 1999).</w:t>
      </w:r>
    </w:p>
    <w:p w14:paraId="4F07FCFC" w14:textId="77777777" w:rsidR="0000295A" w:rsidRDefault="0000295A">
      <w:pPr>
        <w:pStyle w:val="ListBullet"/>
        <w:rPr>
          <w:i/>
        </w:rPr>
      </w:pPr>
      <w:r w:rsidRPr="00257AD6">
        <w:rPr>
          <w:i/>
        </w:rPr>
        <w:t xml:space="preserve">Guidelines for </w:t>
      </w:r>
      <w:r w:rsidRPr="00257AD6">
        <w:rPr>
          <w:bCs/>
          <w:i/>
        </w:rPr>
        <w:t>Implementing the Electronic Crossmatch</w:t>
      </w:r>
      <w:r w:rsidRPr="0026301E">
        <w:t xml:space="preserve"> (Bethesda, MD: American Association of Blood Banks, 200</w:t>
      </w:r>
      <w:r>
        <w:t>3</w:t>
      </w:r>
      <w:r w:rsidRPr="0026301E">
        <w:t>).</w:t>
      </w:r>
    </w:p>
    <w:p w14:paraId="00813BF9" w14:textId="77777777" w:rsidR="002A21AE" w:rsidRPr="0026301E" w:rsidRDefault="002A21AE">
      <w:pPr>
        <w:pStyle w:val="ListBullet"/>
        <w:rPr>
          <w:i/>
        </w:rPr>
      </w:pPr>
      <w:r w:rsidRPr="0026301E">
        <w:rPr>
          <w:i/>
        </w:rPr>
        <w:t xml:space="preserve">Guidelines for the Labeling of Specimens for Compatibility Testing. </w:t>
      </w:r>
      <w:r w:rsidRPr="0026301E">
        <w:t>Ed. James P. AuBuchon, MD. (Bethesda, MD: American Association of Blood Banks, 2002).</w:t>
      </w:r>
    </w:p>
    <w:p w14:paraId="78E66C90" w14:textId="77777777" w:rsidR="002A21AE" w:rsidRDefault="002A21AE">
      <w:pPr>
        <w:pStyle w:val="ListBullet"/>
        <w:rPr>
          <w:i/>
        </w:rPr>
      </w:pPr>
      <w:r>
        <w:rPr>
          <w:i/>
          <w:iCs/>
        </w:rPr>
        <w:t>Guidelines for the Laboratory Evaluation of Transfusion Reactions</w:t>
      </w:r>
      <w:r>
        <w:t xml:space="preserve"> (Bethesda, MD: American Association of Blood Banks, 2003).</w:t>
      </w:r>
    </w:p>
    <w:p w14:paraId="3ADFB77E" w14:textId="77777777" w:rsidR="002A21AE" w:rsidRDefault="002A21AE">
      <w:pPr>
        <w:pStyle w:val="ListBullet"/>
      </w:pPr>
      <w:r>
        <w:rPr>
          <w:i/>
        </w:rPr>
        <w:t>IEEE Standard for Software Configuration Management Plans</w:t>
      </w:r>
      <w:r>
        <w:rPr>
          <w:iCs/>
        </w:rPr>
        <w:t xml:space="preserve"> (IEEE Std 828-1998) (New York: Institute of Electrical and Electronic Engineers, Inc., 1998).</w:t>
      </w:r>
    </w:p>
    <w:p w14:paraId="338F206F" w14:textId="77777777" w:rsidR="002A21AE" w:rsidRDefault="002A21AE">
      <w:pPr>
        <w:pStyle w:val="ListBullet"/>
      </w:pPr>
      <w:r>
        <w:rPr>
          <w:i/>
        </w:rPr>
        <w:lastRenderedPageBreak/>
        <w:t>ISBT 128 Bar Code Symbology and Application Specification for Labeling of Whole Blood and Blood Components,</w:t>
      </w:r>
      <w:r>
        <w:t xml:space="preserve"> Version Number 1.4.0 [York, PA: International Council for Commonality in Blood Banking Automation (ICCBBA), June 2001].</w:t>
      </w:r>
    </w:p>
    <w:p w14:paraId="14DC1CFE" w14:textId="77777777" w:rsidR="002A21AE" w:rsidRDefault="002A21AE">
      <w:pPr>
        <w:pStyle w:val="ListBullet"/>
        <w:rPr>
          <w:i/>
        </w:rPr>
      </w:pPr>
      <w:r>
        <w:t xml:space="preserve">Jacobson, Ivar, Grady Booch, and James Rumbaugh. </w:t>
      </w:r>
      <w:r>
        <w:rPr>
          <w:i/>
        </w:rPr>
        <w:t>The Unified Software Development Process</w:t>
      </w:r>
      <w:r>
        <w:t xml:space="preserve"> (Boston: Addison-Wesley, 1999).</w:t>
      </w:r>
    </w:p>
    <w:p w14:paraId="5B50E781" w14:textId="77777777" w:rsidR="002A21AE" w:rsidRDefault="002A21AE">
      <w:pPr>
        <w:pStyle w:val="ListBullet"/>
        <w:rPr>
          <w:i/>
        </w:rPr>
      </w:pPr>
      <w:r>
        <w:rPr>
          <w:i/>
        </w:rPr>
        <w:t>Medical devices—Application of risk management to medical devices</w:t>
      </w:r>
      <w:r>
        <w:t xml:space="preserve"> (ANSI/AAMI/ISO 14971:2000), 2001. Association for the Advancement of Medical Instrumentation.</w:t>
      </w:r>
    </w:p>
    <w:p w14:paraId="49CE38A6" w14:textId="77777777" w:rsidR="002A21AE" w:rsidRDefault="002A21AE">
      <w:pPr>
        <w:pStyle w:val="ListBullet"/>
      </w:pPr>
      <w:r>
        <w:t xml:space="preserve">Nevalainen, D. E. and M. F. Callery. </w:t>
      </w:r>
      <w:r>
        <w:rPr>
          <w:i/>
        </w:rPr>
        <w:t>Applying Self-Assessment and Process Analysis to Create a Quality System</w:t>
      </w:r>
      <w:r>
        <w:t xml:space="preserve"> (Basel, Switzerland: S. Karger Publishing, 1995).</w:t>
      </w:r>
    </w:p>
    <w:p w14:paraId="07600AA8" w14:textId="77777777" w:rsidR="00994DBA" w:rsidRDefault="00994DBA">
      <w:pPr>
        <w:pStyle w:val="ListBullet"/>
      </w:pPr>
      <w:r>
        <w:t xml:space="preserve">Nozick, Robin F. “Demystifying the Information Systems Validation Process,” </w:t>
      </w:r>
      <w:r w:rsidRPr="008D14C3">
        <w:rPr>
          <w:i/>
        </w:rPr>
        <w:t>AABB News</w:t>
      </w:r>
      <w:r>
        <w:t xml:space="preserve"> 7:6 (</w:t>
      </w:r>
      <w:r w:rsidR="008D14C3">
        <w:t xml:space="preserve">2005): </w:t>
      </w:r>
      <w:r>
        <w:t>50–51.</w:t>
      </w:r>
    </w:p>
    <w:p w14:paraId="0A85740D" w14:textId="77777777" w:rsidR="002A21AE" w:rsidRPr="00BA2FFC" w:rsidRDefault="002A21AE">
      <w:pPr>
        <w:pStyle w:val="ListBullet"/>
      </w:pPr>
      <w:r w:rsidRPr="00BA2FFC">
        <w:rPr>
          <w:i/>
        </w:rPr>
        <w:t>Object-Oriented Analysis and Design Using the UML: Student Manual, Book 1, Version 4.2</w:t>
      </w:r>
      <w:r w:rsidRPr="00BA2FFC">
        <w:t xml:space="preserve"> (Cupertino, CA: Rational Corporation, 1999).</w:t>
      </w:r>
    </w:p>
    <w:p w14:paraId="3CC1BFDC" w14:textId="77777777" w:rsidR="002A21AE" w:rsidRDefault="002A21AE">
      <w:pPr>
        <w:pStyle w:val="ListBullet"/>
      </w:pPr>
      <w:r w:rsidRPr="00BA2FFC">
        <w:rPr>
          <w:i/>
        </w:rPr>
        <w:t xml:space="preserve">Rational </w:t>
      </w:r>
      <w:r w:rsidR="007E56E1">
        <w:rPr>
          <w:i/>
        </w:rPr>
        <w:t>Team Concert. Version 6.0.5</w:t>
      </w:r>
      <w:r w:rsidR="00451526">
        <w:rPr>
          <w:i/>
        </w:rPr>
        <w:t>,</w:t>
      </w:r>
      <w:r w:rsidRPr="00BA2FFC">
        <w:t xml:space="preserve"> Rational Software Corporation.</w:t>
      </w:r>
    </w:p>
    <w:p w14:paraId="6FEA2A0B" w14:textId="77777777" w:rsidR="008D65D0" w:rsidRPr="008D65D0" w:rsidRDefault="008D65D0">
      <w:pPr>
        <w:pStyle w:val="ListBullet"/>
      </w:pPr>
      <w:r w:rsidRPr="008D65D0">
        <w:rPr>
          <w:i/>
        </w:rPr>
        <w:t>Deciding When to Submit a 510(k) for a Software Change to an Existing Device</w:t>
      </w:r>
      <w:r>
        <w:t>, October 25, 2017.</w:t>
      </w:r>
    </w:p>
    <w:p w14:paraId="055BE102" w14:textId="65CD6C30" w:rsidR="002A21AE" w:rsidRDefault="00483FF1">
      <w:pPr>
        <w:pStyle w:val="ListBullet"/>
      </w:pPr>
      <w:r>
        <w:rPr>
          <w:i/>
        </w:rPr>
        <w:t xml:space="preserve">Department of Veterans Affairs, </w:t>
      </w:r>
      <w:r w:rsidR="006549B7">
        <w:rPr>
          <w:i/>
        </w:rPr>
        <w:t>Office</w:t>
      </w:r>
      <w:r>
        <w:rPr>
          <w:i/>
        </w:rPr>
        <w:t xml:space="preserve"> of Information and Technology (OIT) </w:t>
      </w:r>
      <w:r w:rsidR="002A21AE">
        <w:rPr>
          <w:i/>
        </w:rPr>
        <w:t xml:space="preserve">Documentation Style </w:t>
      </w:r>
      <w:r>
        <w:rPr>
          <w:i/>
        </w:rPr>
        <w:t>Guide</w:t>
      </w:r>
      <w:r>
        <w:t>, October 2016</w:t>
      </w:r>
      <w:r w:rsidR="002A21AE">
        <w:t>.</w:t>
      </w:r>
    </w:p>
    <w:p w14:paraId="30D3CAB1" w14:textId="77777777" w:rsidR="002A21AE" w:rsidRDefault="002A21AE">
      <w:pPr>
        <w:pStyle w:val="ListBullet"/>
        <w:rPr>
          <w:i/>
        </w:rPr>
      </w:pPr>
      <w:r>
        <w:rPr>
          <w:i/>
        </w:rPr>
        <w:t xml:space="preserve">Standards for Blood Banks and Transfusion Services. </w:t>
      </w:r>
      <w:r>
        <w:t>Twenty-</w:t>
      </w:r>
      <w:r w:rsidR="00680E9A">
        <w:t>ninth</w:t>
      </w:r>
      <w:r>
        <w:t xml:space="preserve"> edition (Bethesda, MD: American Association </w:t>
      </w:r>
      <w:r w:rsidR="00680E9A">
        <w:t>of Blood Banks, 2014</w:t>
      </w:r>
      <w:r>
        <w:t>).</w:t>
      </w:r>
    </w:p>
    <w:p w14:paraId="4813AE49" w14:textId="77777777" w:rsidR="002A21AE" w:rsidRDefault="002A21AE">
      <w:pPr>
        <w:pStyle w:val="ListBullet"/>
        <w:rPr>
          <w:i/>
        </w:rPr>
      </w:pPr>
      <w:r>
        <w:rPr>
          <w:i/>
        </w:rPr>
        <w:t xml:space="preserve">Technical Manual. </w:t>
      </w:r>
      <w:r w:rsidR="00680E9A">
        <w:rPr>
          <w:i/>
        </w:rPr>
        <w:t>Eighteenth</w:t>
      </w:r>
      <w:r>
        <w:rPr>
          <w:i/>
        </w:rPr>
        <w:t xml:space="preserve"> edition </w:t>
      </w:r>
      <w:r>
        <w:t>(Bethesda, MD: American</w:t>
      </w:r>
      <w:r w:rsidR="00680E9A">
        <w:t xml:space="preserve"> Association of Blood Banks, 2014</w:t>
      </w:r>
      <w:r>
        <w:t>).</w:t>
      </w:r>
    </w:p>
    <w:p w14:paraId="3611F306" w14:textId="77777777" w:rsidR="00D931C3" w:rsidRPr="00D931C3" w:rsidRDefault="00D931C3" w:rsidP="00D931C3">
      <w:pPr>
        <w:pStyle w:val="ListBullet"/>
      </w:pPr>
      <w:r w:rsidRPr="00D931C3">
        <w:rPr>
          <w:i/>
        </w:rPr>
        <w:t>The Chicago Manual of Style</w:t>
      </w:r>
      <w:r w:rsidR="00680E9A">
        <w:t>, 16</w:t>
      </w:r>
      <w:r w:rsidRPr="00D931C3">
        <w:t>th</w:t>
      </w:r>
      <w:r>
        <w:t xml:space="preserve"> ed., (Chicago: The U</w:t>
      </w:r>
      <w:r w:rsidR="00680E9A">
        <w:t>niversity of Chicago Press, 2014</w:t>
      </w:r>
      <w:r>
        <w:t>).</w:t>
      </w:r>
    </w:p>
    <w:p w14:paraId="69A4F21D" w14:textId="77777777" w:rsidR="002A21AE" w:rsidRDefault="002A21AE">
      <w:pPr>
        <w:pStyle w:val="ListBullet"/>
        <w:rPr>
          <w:i/>
        </w:rPr>
      </w:pPr>
      <w:r>
        <w:rPr>
          <w:i/>
        </w:rPr>
        <w:t>Title 21 Code of Federal Regulations,</w:t>
      </w:r>
      <w:r>
        <w:t xml:space="preserve"> Part 11, Electronic Records; Electronic Signatures.</w:t>
      </w:r>
    </w:p>
    <w:p w14:paraId="77E92091" w14:textId="77777777" w:rsidR="002A21AE" w:rsidRDefault="002A21AE">
      <w:pPr>
        <w:pStyle w:val="ListBullet"/>
        <w:rPr>
          <w:i/>
        </w:rPr>
      </w:pPr>
      <w:r>
        <w:rPr>
          <w:i/>
        </w:rPr>
        <w:t xml:space="preserve">Title 21 Code of Federal Regulations, </w:t>
      </w:r>
      <w:r>
        <w:t>Part 803, Medical Device Reporting.</w:t>
      </w:r>
    </w:p>
    <w:p w14:paraId="4593594E" w14:textId="77777777" w:rsidR="002A21AE" w:rsidRDefault="002A21AE">
      <w:pPr>
        <w:pStyle w:val="ListBullet"/>
        <w:rPr>
          <w:i/>
        </w:rPr>
      </w:pPr>
      <w:r>
        <w:rPr>
          <w:i/>
        </w:rPr>
        <w:t xml:space="preserve">Title 21 Code of Federal Regulations, </w:t>
      </w:r>
      <w:r>
        <w:t>Part 806, Medical Devices; Reports of Corrections and Removals.</w:t>
      </w:r>
    </w:p>
    <w:p w14:paraId="40D5DE47" w14:textId="77777777" w:rsidR="002A21AE" w:rsidRDefault="002A21AE">
      <w:pPr>
        <w:pStyle w:val="ListBullet"/>
        <w:rPr>
          <w:i/>
        </w:rPr>
      </w:pPr>
      <w:r>
        <w:rPr>
          <w:i/>
        </w:rPr>
        <w:t>Title 21 Code of Federal Regulations,</w:t>
      </w:r>
      <w:r>
        <w:t xml:space="preserve"> Part 807, Establishment Registration and Device Listing for Manufacturers and Initial Importers of Devices.</w:t>
      </w:r>
    </w:p>
    <w:p w14:paraId="67BD1492" w14:textId="77777777" w:rsidR="002A21AE" w:rsidRDefault="002A21AE">
      <w:pPr>
        <w:pStyle w:val="ListBullet"/>
        <w:rPr>
          <w:i/>
        </w:rPr>
      </w:pPr>
      <w:r>
        <w:rPr>
          <w:i/>
        </w:rPr>
        <w:t>Title 21 Code of Federal Regulations</w:t>
      </w:r>
      <w:r>
        <w:t>, Part 810, Medical Device Recall Authority.</w:t>
      </w:r>
    </w:p>
    <w:p w14:paraId="5BCB0984" w14:textId="77777777" w:rsidR="002A21AE" w:rsidRDefault="002A21AE">
      <w:pPr>
        <w:pStyle w:val="ListBullet"/>
        <w:rPr>
          <w:i/>
        </w:rPr>
      </w:pPr>
      <w:r>
        <w:rPr>
          <w:i/>
        </w:rPr>
        <w:t xml:space="preserve">Title 21 Code of Federal Regulations, </w:t>
      </w:r>
      <w:r>
        <w:t>Part 820, Quality System Regulation.</w:t>
      </w:r>
    </w:p>
    <w:p w14:paraId="1738FD0C" w14:textId="77777777" w:rsidR="002A21AE" w:rsidRDefault="002A21AE">
      <w:pPr>
        <w:pStyle w:val="ListBullet"/>
        <w:rPr>
          <w:i/>
        </w:rPr>
      </w:pPr>
      <w:r>
        <w:rPr>
          <w:i/>
        </w:rPr>
        <w:t>Title 21 Code of Federal Regulations,</w:t>
      </w:r>
      <w:r>
        <w:t xml:space="preserve"> Parts 200 to 299, Food and Drugs.</w:t>
      </w:r>
    </w:p>
    <w:p w14:paraId="00508503" w14:textId="77777777" w:rsidR="002A21AE" w:rsidRDefault="002A21AE">
      <w:pPr>
        <w:pStyle w:val="ListBullet"/>
        <w:rPr>
          <w:i/>
        </w:rPr>
      </w:pPr>
      <w:r>
        <w:rPr>
          <w:i/>
        </w:rPr>
        <w:t>Title 21 Code of Federal Regulations,</w:t>
      </w:r>
      <w:r>
        <w:t xml:space="preserve"> Parts 600 to 799, Food and Drugs.</w:t>
      </w:r>
    </w:p>
    <w:p w14:paraId="2C0B7ACA" w14:textId="77777777" w:rsidR="002A21AE" w:rsidRDefault="002A21AE">
      <w:pPr>
        <w:pStyle w:val="ListBullet"/>
        <w:rPr>
          <w:i/>
        </w:rPr>
      </w:pPr>
      <w:r>
        <w:rPr>
          <w:i/>
        </w:rPr>
        <w:t>Title 21 Code of Federal Regulations,</w:t>
      </w:r>
      <w:r>
        <w:t xml:space="preserve"> Parts 800 to 1299, Food and Drugs.</w:t>
      </w:r>
    </w:p>
    <w:p w14:paraId="4F7261CA" w14:textId="77777777" w:rsidR="002A21AE" w:rsidRDefault="002A21AE">
      <w:pPr>
        <w:pStyle w:val="ListBullet"/>
      </w:pPr>
      <w:r>
        <w:t xml:space="preserve">Trautman, Kimberly A. </w:t>
      </w:r>
      <w:r>
        <w:rPr>
          <w:i/>
        </w:rPr>
        <w:t xml:space="preserve">The FDA and Worldwide Quality System Requirements Guidebook for Medical Devices </w:t>
      </w:r>
      <w:r>
        <w:t>(Milwaukee, Wisconsin: ASQ Quality Press, 1997).</w:t>
      </w:r>
    </w:p>
    <w:p w14:paraId="721E5267" w14:textId="77777777" w:rsidR="002A21AE" w:rsidRDefault="002A21AE">
      <w:pPr>
        <w:pStyle w:val="ListBullet"/>
      </w:pPr>
      <w:r>
        <w:t xml:space="preserve">U.S. Department Of Health and Human Services, Food and Drug Administration, Center for Devices and Radiological Health. </w:t>
      </w:r>
      <w:r>
        <w:rPr>
          <w:i/>
        </w:rPr>
        <w:t>Design Control Guidance for Medical Device Manufacturers</w:t>
      </w:r>
      <w:r>
        <w:t>, March 11, 1997.</w:t>
      </w:r>
    </w:p>
    <w:p w14:paraId="104C3953" w14:textId="77777777" w:rsidR="002A21AE" w:rsidRDefault="002A21AE">
      <w:pPr>
        <w:pStyle w:val="ListBullet"/>
      </w:pPr>
      <w:r>
        <w:t xml:space="preserve">U.S. Department Of Health and Human Services, Food and Drug Administration, Center for Devices and Radiological Health. </w:t>
      </w:r>
      <w:r>
        <w:rPr>
          <w:i/>
        </w:rPr>
        <w:t>Inspection of Medical Device Manufacturers, Final Guidance for Industry and FDA</w:t>
      </w:r>
      <w:r>
        <w:t>, February 7, 2001.</w:t>
      </w:r>
    </w:p>
    <w:p w14:paraId="573FDB06" w14:textId="77777777" w:rsidR="002A21AE" w:rsidRDefault="002A21AE">
      <w:pPr>
        <w:pStyle w:val="ListBullet"/>
      </w:pPr>
      <w:r>
        <w:t xml:space="preserve">U.S. Department Of Health and Human Services, Food and Drug Administration, Center for Devices and Radiological Health. </w:t>
      </w:r>
      <w:r>
        <w:rPr>
          <w:i/>
        </w:rPr>
        <w:t>Medical Device Quality Systems Manual: A Small Entity Compliance Guide</w:t>
      </w:r>
      <w:r>
        <w:t>. First edition, December 1996.</w:t>
      </w:r>
    </w:p>
    <w:p w14:paraId="47C26606" w14:textId="77777777" w:rsidR="002A21AE" w:rsidRDefault="002A21AE">
      <w:pPr>
        <w:pStyle w:val="ListBullet"/>
        <w:rPr>
          <w:i/>
        </w:rPr>
      </w:pPr>
      <w:r>
        <w:t xml:space="preserve">U.S. Department Of Health And Human Services, Food and Drug Administration, Center for Devices and Radiological Health, Office of Device Evaluation. </w:t>
      </w:r>
      <w:r>
        <w:rPr>
          <w:i/>
        </w:rPr>
        <w:t>Guidance for the Content of Premarket Submissions for Software Contained in Medical Devices</w:t>
      </w:r>
      <w:r>
        <w:t>, May 29, 1998.</w:t>
      </w:r>
    </w:p>
    <w:p w14:paraId="07D0BCCA" w14:textId="77777777" w:rsidR="002A21AE" w:rsidRDefault="002A21AE">
      <w:pPr>
        <w:pStyle w:val="ListBullet"/>
        <w:rPr>
          <w:i/>
        </w:rPr>
      </w:pPr>
      <w:r>
        <w:lastRenderedPageBreak/>
        <w:t xml:space="preserve">U.S. Department Of Health And Human Services, Food and Drug Administration, Center for Devices and Radiological Health, Office of Regulatory Affairs. </w:t>
      </w:r>
      <w:r>
        <w:rPr>
          <w:i/>
        </w:rPr>
        <w:t>Glossary of Computerized System and Software Development Terminology</w:t>
      </w:r>
      <w:r>
        <w:t>, August 1995.</w:t>
      </w:r>
    </w:p>
    <w:p w14:paraId="6DE7453B" w14:textId="77777777" w:rsidR="002A21AE" w:rsidRDefault="002A21AE">
      <w:pPr>
        <w:pStyle w:val="ListBullet"/>
        <w:rPr>
          <w:i/>
        </w:rPr>
      </w:pPr>
      <w:r>
        <w:t xml:space="preserve">U.S. Department Of Health and Human Services, Food and Drug Administration, Center for Devices and Radiological Health. </w:t>
      </w:r>
      <w:r>
        <w:rPr>
          <w:i/>
        </w:rPr>
        <w:t>Premarket Approval Manual</w:t>
      </w:r>
      <w:r>
        <w:t>. January 1998.</w:t>
      </w:r>
    </w:p>
    <w:p w14:paraId="5C57DCF2" w14:textId="77777777" w:rsidR="002A21AE" w:rsidRDefault="002A21AE">
      <w:pPr>
        <w:pStyle w:val="ListBullet"/>
      </w:pPr>
      <w:r>
        <w:t>U.S. Food and Drug Administration, Office of Regulatory Affairs and the Center for Devices and Radiological Health</w:t>
      </w:r>
      <w:r w:rsidR="00845D52">
        <w:t>.</w:t>
      </w:r>
      <w:r>
        <w:t xml:space="preserve"> </w:t>
      </w:r>
      <w:r>
        <w:rPr>
          <w:i/>
        </w:rPr>
        <w:t>Guide to Inspections of Medical Device Manufacturers</w:t>
      </w:r>
      <w:r>
        <w:t>,</w:t>
      </w:r>
      <w:r>
        <w:rPr>
          <w:i/>
        </w:rPr>
        <w:t xml:space="preserve"> </w:t>
      </w:r>
      <w:r>
        <w:t>December 1997.</w:t>
      </w:r>
    </w:p>
    <w:p w14:paraId="31C41B23" w14:textId="77777777" w:rsidR="002A21AE" w:rsidRDefault="002A21AE">
      <w:pPr>
        <w:pStyle w:val="ListBullet"/>
      </w:pPr>
      <w:r>
        <w:t xml:space="preserve">U.S. Food and Drug Administration, ORA Inspectional References, Quality Inspection System Technique. </w:t>
      </w:r>
      <w:r>
        <w:rPr>
          <w:i/>
        </w:rPr>
        <w:t>Guide to Inspections of Quality Systems</w:t>
      </w:r>
      <w:r>
        <w:t>, August 1999.</w:t>
      </w:r>
    </w:p>
    <w:p w14:paraId="4B51E4C8" w14:textId="77777777" w:rsidR="002A21AE" w:rsidRDefault="002A21AE">
      <w:pPr>
        <w:pStyle w:val="ListBullet"/>
      </w:pPr>
      <w:r>
        <w:rPr>
          <w:i/>
        </w:rPr>
        <w:t>United States Industry Consensus Standard for the Uniform Labeling of Blood and Blood Components Using</w:t>
      </w:r>
      <w:r w:rsidRPr="00845D52">
        <w:rPr>
          <w:i/>
        </w:rPr>
        <w:t xml:space="preserve"> ISBT 128, Version 1.2.0</w:t>
      </w:r>
      <w:r>
        <w:t>, prepared by the International Council for Commonality in Blood Banking Automation, Inc. (U.S. Department of Health and Human Services, Food and Drug Administration, Center for Biologics Evaluation and Research, November 1999).</w:t>
      </w:r>
    </w:p>
    <w:p w14:paraId="1FC2A90C" w14:textId="77777777" w:rsidR="00FE1B9A" w:rsidRDefault="00782012">
      <w:pPr>
        <w:pStyle w:val="ListBullet"/>
      </w:pPr>
      <w:r>
        <w:rPr>
          <w:i/>
        </w:rPr>
        <w:t>Office of Enterprise Developme</w:t>
      </w:r>
      <w:r w:rsidR="00FE1B9A">
        <w:rPr>
          <w:i/>
        </w:rPr>
        <w:t>nt Documentation Standards, Version 1</w:t>
      </w:r>
      <w:r w:rsidR="00FE1B9A" w:rsidRPr="00FE1B9A">
        <w:t>.</w:t>
      </w:r>
      <w:r w:rsidR="00FE1B9A">
        <w:t>4, June 2009.</w:t>
      </w:r>
    </w:p>
    <w:p w14:paraId="09DBE36A" w14:textId="77777777" w:rsidR="002A21AE" w:rsidRDefault="002A21AE">
      <w:pPr>
        <w:pStyle w:val="ListBullet"/>
      </w:pPr>
      <w:r>
        <w:t xml:space="preserve">Wilson, Paul F., Larry D. Dell, and Gaylord F. Anderson. </w:t>
      </w:r>
      <w:r>
        <w:rPr>
          <w:i/>
        </w:rPr>
        <w:t>Root Cause Analysis: A Tool for Total Quality Management</w:t>
      </w:r>
      <w:r>
        <w:t xml:space="preserve"> (Milwaukee, Wisconsin: ASQ Quality Press, 1993).</w:t>
      </w:r>
    </w:p>
    <w:p w14:paraId="53B019DF" w14:textId="77777777" w:rsidR="002A21AE" w:rsidRDefault="002A21AE">
      <w:pPr>
        <w:pStyle w:val="ListBullet"/>
      </w:pPr>
      <w:r>
        <w:rPr>
          <w:i/>
        </w:rPr>
        <w:t>ZPL II Programming Guide</w:t>
      </w:r>
      <w:r>
        <w:t>, Customer order # 46530L, Manufacturer part # 46530LB (Zebr</w:t>
      </w:r>
      <w:r w:rsidR="00845B27">
        <w:t>a Technologies Corporation, November 18, 201</w:t>
      </w:r>
      <w:r w:rsidR="00680E9A">
        <w:t>6</w:t>
      </w:r>
      <w:r>
        <w:t>).</w:t>
      </w:r>
    </w:p>
    <w:p w14:paraId="37F7EFEE" w14:textId="77777777" w:rsidR="002A21AE" w:rsidRDefault="002A21AE">
      <w:pPr>
        <w:pStyle w:val="Heading1"/>
      </w:pPr>
      <w:r>
        <w:br w:type="page"/>
      </w:r>
      <w:bookmarkStart w:id="568" w:name="_Toc163644991"/>
      <w:r>
        <w:lastRenderedPageBreak/>
        <w:t>Glossary</w:t>
      </w:r>
      <w:bookmarkEnd w:id="568"/>
      <w:r>
        <w:fldChar w:fldCharType="begin"/>
      </w:r>
      <w:r>
        <w:instrText xml:space="preserve"> XE </w:instrText>
      </w:r>
      <w:r w:rsidR="00FA7E65">
        <w:instrText>“</w:instrText>
      </w:r>
      <w:r>
        <w:instrText>Glossary</w:instrText>
      </w:r>
      <w:r w:rsidR="00FA7E65">
        <w:instrText>”</w:instrText>
      </w:r>
      <w:r>
        <w:instrText xml:space="preserve"> </w:instrText>
      </w:r>
      <w:r>
        <w:fldChar w:fldCharType="end"/>
      </w:r>
    </w:p>
    <w:tbl>
      <w:tblPr>
        <w:tblW w:w="4944" w:type="pct"/>
        <w:tblLook w:val="0000" w:firstRow="0" w:lastRow="0" w:firstColumn="0" w:lastColumn="0" w:noHBand="0" w:noVBand="0"/>
      </w:tblPr>
      <w:tblGrid>
        <w:gridCol w:w="3097"/>
        <w:gridCol w:w="6158"/>
      </w:tblGrid>
      <w:tr w:rsidR="00AF274B" w14:paraId="14DDFE36" w14:textId="77777777">
        <w:trPr>
          <w:cantSplit/>
          <w:trHeight w:val="403"/>
          <w:tblHeader/>
        </w:trPr>
        <w:tc>
          <w:tcPr>
            <w:tcW w:w="1673" w:type="pct"/>
            <w:shd w:val="clear" w:color="auto" w:fill="B3B3B3"/>
            <w:vAlign w:val="bottom"/>
          </w:tcPr>
          <w:p w14:paraId="3DBC3F66" w14:textId="77777777" w:rsidR="00AF274B" w:rsidRDefault="00AF274B">
            <w:pPr>
              <w:pStyle w:val="GlossaryTableText"/>
              <w:rPr>
                <w:b/>
                <w:bCs/>
              </w:rPr>
            </w:pPr>
            <w:r>
              <w:rPr>
                <w:b/>
                <w:bCs/>
              </w:rPr>
              <w:t>Acronym, Term</w:t>
            </w:r>
          </w:p>
        </w:tc>
        <w:tc>
          <w:tcPr>
            <w:tcW w:w="3327" w:type="pct"/>
            <w:shd w:val="clear" w:color="auto" w:fill="B3B3B3"/>
            <w:vAlign w:val="bottom"/>
          </w:tcPr>
          <w:p w14:paraId="79D8FFE5" w14:textId="77777777" w:rsidR="00AF274B" w:rsidRDefault="00AF274B">
            <w:pPr>
              <w:pStyle w:val="GlossaryTableText"/>
              <w:rPr>
                <w:b/>
                <w:bCs/>
              </w:rPr>
            </w:pPr>
            <w:r>
              <w:rPr>
                <w:b/>
                <w:bCs/>
              </w:rPr>
              <w:t>Definition</w:t>
            </w:r>
          </w:p>
        </w:tc>
      </w:tr>
      <w:tr w:rsidR="00AF274B" w14:paraId="5D4AC7EA" w14:textId="77777777">
        <w:trPr>
          <w:cantSplit/>
        </w:trPr>
        <w:tc>
          <w:tcPr>
            <w:tcW w:w="1673" w:type="pct"/>
          </w:tcPr>
          <w:p w14:paraId="236E2793" w14:textId="77777777" w:rsidR="00AF274B" w:rsidRDefault="00AF274B">
            <w:pPr>
              <w:pStyle w:val="GlossaryTableText"/>
              <w:rPr>
                <w:rFonts w:ascii="Symbol"/>
                <w:b/>
              </w:rPr>
            </w:pPr>
            <w:r>
              <w:rPr>
                <w:b/>
              </w:rPr>
              <w:t>AABB</w:t>
            </w:r>
          </w:p>
        </w:tc>
        <w:tc>
          <w:tcPr>
            <w:tcW w:w="3327" w:type="pct"/>
          </w:tcPr>
          <w:p w14:paraId="53F0F098" w14:textId="77777777" w:rsidR="00AF274B" w:rsidRDefault="00AF274B">
            <w:pPr>
              <w:pStyle w:val="GlossaryTableText"/>
            </w:pPr>
            <w:r>
              <w:t>American Association of Blood Banks.</w:t>
            </w:r>
          </w:p>
        </w:tc>
      </w:tr>
      <w:tr w:rsidR="001A1559" w14:paraId="0CF5D029" w14:textId="77777777">
        <w:trPr>
          <w:cantSplit/>
        </w:trPr>
        <w:tc>
          <w:tcPr>
            <w:tcW w:w="1673" w:type="pct"/>
          </w:tcPr>
          <w:p w14:paraId="18E44DE7" w14:textId="77777777" w:rsidR="001A1559" w:rsidRDefault="001A1559">
            <w:pPr>
              <w:pStyle w:val="GlossaryTableText"/>
              <w:rPr>
                <w:b/>
              </w:rPr>
            </w:pPr>
            <w:r>
              <w:rPr>
                <w:b/>
              </w:rPr>
              <w:t>ABID</w:t>
            </w:r>
          </w:p>
        </w:tc>
        <w:tc>
          <w:tcPr>
            <w:tcW w:w="3327" w:type="pct"/>
          </w:tcPr>
          <w:p w14:paraId="098D4DFE" w14:textId="77777777" w:rsidR="001A1559" w:rsidRDefault="001A1559">
            <w:pPr>
              <w:pStyle w:val="GlossaryTableText"/>
            </w:pPr>
            <w:r>
              <w:t>Antibody identification.</w:t>
            </w:r>
          </w:p>
        </w:tc>
      </w:tr>
      <w:tr w:rsidR="00AF274B" w14:paraId="7AE50FDD" w14:textId="77777777">
        <w:trPr>
          <w:cantSplit/>
        </w:trPr>
        <w:tc>
          <w:tcPr>
            <w:tcW w:w="1673" w:type="pct"/>
          </w:tcPr>
          <w:p w14:paraId="4D3F61ED" w14:textId="77777777" w:rsidR="00AF274B" w:rsidRDefault="00AF274B">
            <w:pPr>
              <w:pStyle w:val="GlossaryTableText"/>
              <w:rPr>
                <w:b/>
              </w:rPr>
            </w:pPr>
            <w:r>
              <w:rPr>
                <w:b/>
              </w:rPr>
              <w:t>ABO</w:t>
            </w:r>
          </w:p>
        </w:tc>
        <w:tc>
          <w:tcPr>
            <w:tcW w:w="3327" w:type="pct"/>
          </w:tcPr>
          <w:p w14:paraId="139CA14F" w14:textId="77777777" w:rsidR="00AF274B" w:rsidRDefault="00AF274B">
            <w:pPr>
              <w:pStyle w:val="GlossaryTableText"/>
            </w:pPr>
            <w:r>
              <w:t>A group for classifying human blood, based on the presence or absence of specific antigens in the blood, which contains four blood types: A, B, AB, and O. The ABO group is the most critical of the human blood systems. It is used to determine general compatibility of donor units to a recipient.</w:t>
            </w:r>
          </w:p>
        </w:tc>
      </w:tr>
      <w:tr w:rsidR="00AF274B" w14:paraId="2EF29EBE" w14:textId="77777777">
        <w:trPr>
          <w:cantSplit/>
        </w:trPr>
        <w:tc>
          <w:tcPr>
            <w:tcW w:w="1673" w:type="pct"/>
          </w:tcPr>
          <w:p w14:paraId="409E8C05" w14:textId="77777777" w:rsidR="00AF274B" w:rsidRDefault="00AF274B">
            <w:pPr>
              <w:pStyle w:val="GlossaryTableText"/>
              <w:rPr>
                <w:b/>
              </w:rPr>
            </w:pPr>
            <w:r>
              <w:rPr>
                <w:b/>
              </w:rPr>
              <w:t>ABS</w:t>
            </w:r>
          </w:p>
        </w:tc>
        <w:tc>
          <w:tcPr>
            <w:tcW w:w="3327" w:type="pct"/>
          </w:tcPr>
          <w:p w14:paraId="1D6E63AD" w14:textId="77777777" w:rsidR="00AF274B" w:rsidRDefault="00AF274B">
            <w:pPr>
              <w:pStyle w:val="GlossaryTableText"/>
            </w:pPr>
            <w:r>
              <w:t xml:space="preserve">Antibody screen, </w:t>
            </w:r>
            <w:r w:rsidR="008E2E30">
              <w:t>Antibody Screen Test</w:t>
            </w:r>
            <w:r>
              <w:t>.</w:t>
            </w:r>
          </w:p>
        </w:tc>
      </w:tr>
      <w:tr w:rsidR="00AF274B" w14:paraId="2B0F0C4C" w14:textId="77777777">
        <w:trPr>
          <w:cantSplit/>
        </w:trPr>
        <w:tc>
          <w:tcPr>
            <w:tcW w:w="1673" w:type="pct"/>
          </w:tcPr>
          <w:p w14:paraId="2CC0B006" w14:textId="77777777" w:rsidR="00AF274B" w:rsidRDefault="00AF274B">
            <w:pPr>
              <w:pStyle w:val="GlossaryTableText"/>
              <w:rPr>
                <w:b/>
              </w:rPr>
            </w:pPr>
            <w:r>
              <w:rPr>
                <w:b/>
              </w:rPr>
              <w:t>Access Code</w:t>
            </w:r>
          </w:p>
        </w:tc>
        <w:tc>
          <w:tcPr>
            <w:tcW w:w="3327" w:type="pct"/>
          </w:tcPr>
          <w:p w14:paraId="772D9737" w14:textId="77777777" w:rsidR="00AF274B" w:rsidRDefault="00AF274B">
            <w:pPr>
              <w:pStyle w:val="GlossaryTableText"/>
            </w:pPr>
            <w:r>
              <w:t xml:space="preserve">A field in the </w:t>
            </w:r>
            <w:r w:rsidRPr="00CA6E27">
              <w:rPr>
                <w:bCs/>
              </w:rPr>
              <w:t>VistA</w:t>
            </w:r>
            <w:r>
              <w:t xml:space="preserve"> New Person file used to uniquely identify a user on the </w:t>
            </w:r>
            <w:r w:rsidRPr="00CA6E27">
              <w:rPr>
                <w:bCs/>
              </w:rPr>
              <w:t>VistA</w:t>
            </w:r>
            <w:r>
              <w:t xml:space="preserve"> system.</w:t>
            </w:r>
          </w:p>
        </w:tc>
      </w:tr>
      <w:tr w:rsidR="00AF274B" w14:paraId="25E2F8AF" w14:textId="77777777">
        <w:trPr>
          <w:cantSplit/>
        </w:trPr>
        <w:tc>
          <w:tcPr>
            <w:tcW w:w="1673" w:type="pct"/>
          </w:tcPr>
          <w:p w14:paraId="7B578810" w14:textId="77777777" w:rsidR="00AF274B" w:rsidRDefault="00AF274B">
            <w:pPr>
              <w:pStyle w:val="GlossaryTableText"/>
              <w:rPr>
                <w:b/>
              </w:rPr>
            </w:pPr>
            <w:r>
              <w:rPr>
                <w:b/>
              </w:rPr>
              <w:t>Accessioned</w:t>
            </w:r>
          </w:p>
        </w:tc>
        <w:tc>
          <w:tcPr>
            <w:tcW w:w="3327" w:type="pct"/>
          </w:tcPr>
          <w:p w14:paraId="680BC073" w14:textId="77777777" w:rsidR="00AF274B" w:rsidRDefault="00AF274B">
            <w:pPr>
              <w:pStyle w:val="GlossaryTableText"/>
            </w:pPr>
            <w:r>
              <w:t xml:space="preserve">Describes an order when a specimen has been collected or has been placed on a current collection list by the </w:t>
            </w:r>
            <w:r w:rsidRPr="00CA6E27">
              <w:rPr>
                <w:bCs/>
              </w:rPr>
              <w:t>VistA</w:t>
            </w:r>
            <w:r>
              <w:t xml:space="preserve"> Laboratory software. </w:t>
            </w:r>
            <w:r>
              <w:rPr>
                <w:i/>
              </w:rPr>
              <w:t>A mechanism for accessioning orders for blood components that do not require a specimen needs to be designed.</w:t>
            </w:r>
          </w:p>
        </w:tc>
      </w:tr>
      <w:tr w:rsidR="00AF274B" w14:paraId="4B3B7695" w14:textId="77777777">
        <w:trPr>
          <w:cantSplit/>
        </w:trPr>
        <w:tc>
          <w:tcPr>
            <w:tcW w:w="1673" w:type="pct"/>
          </w:tcPr>
          <w:p w14:paraId="0F6B238D" w14:textId="77777777" w:rsidR="00AF274B" w:rsidRDefault="00AF274B">
            <w:pPr>
              <w:pStyle w:val="GlossaryTableText"/>
              <w:rPr>
                <w:b/>
              </w:rPr>
            </w:pPr>
            <w:r>
              <w:rPr>
                <w:b/>
                <w:snapToGrid w:val="0"/>
              </w:rPr>
              <w:t>Active order</w:t>
            </w:r>
          </w:p>
        </w:tc>
        <w:tc>
          <w:tcPr>
            <w:tcW w:w="3327" w:type="pct"/>
          </w:tcPr>
          <w:p w14:paraId="1C3F80C3" w14:textId="77777777" w:rsidR="00AF274B" w:rsidRDefault="00AF274B">
            <w:pPr>
              <w:pStyle w:val="GlossaryTableText"/>
            </w:pPr>
            <w:r>
              <w:t>A patient order for blood product(s) that is not completed or expired. Depending on the component class, an accompanying specimen may be required.</w:t>
            </w:r>
          </w:p>
        </w:tc>
      </w:tr>
      <w:tr w:rsidR="00AF274B" w14:paraId="118F8CF7" w14:textId="77777777">
        <w:trPr>
          <w:cantSplit/>
        </w:trPr>
        <w:tc>
          <w:tcPr>
            <w:tcW w:w="1673" w:type="pct"/>
          </w:tcPr>
          <w:p w14:paraId="4340FF61" w14:textId="77777777" w:rsidR="00AF274B" w:rsidRDefault="00AF274B">
            <w:pPr>
              <w:pStyle w:val="GlossaryTableText"/>
              <w:rPr>
                <w:b/>
              </w:rPr>
            </w:pPr>
            <w:r>
              <w:rPr>
                <w:b/>
              </w:rPr>
              <w:t>Active user</w:t>
            </w:r>
          </w:p>
        </w:tc>
        <w:tc>
          <w:tcPr>
            <w:tcW w:w="3327" w:type="pct"/>
          </w:tcPr>
          <w:p w14:paraId="2F92107E" w14:textId="77777777" w:rsidR="00AF274B" w:rsidRDefault="00AF274B">
            <w:pPr>
              <w:pStyle w:val="GlossaryTableText"/>
            </w:pPr>
            <w:r>
              <w:t xml:space="preserve">A user with a setting in </w:t>
            </w:r>
            <w:r w:rsidRPr="00CA6E27">
              <w:t>VistA</w:t>
            </w:r>
            <w:r>
              <w:t xml:space="preserve"> that allows him to access VBECS. Inactive use</w:t>
            </w:r>
            <w:r w:rsidR="000D6CFB">
              <w:t>rs may no longer access VBECS.</w:t>
            </w:r>
          </w:p>
        </w:tc>
      </w:tr>
      <w:tr w:rsidR="00AF274B" w14:paraId="7CD24150" w14:textId="77777777">
        <w:trPr>
          <w:cantSplit/>
        </w:trPr>
        <w:tc>
          <w:tcPr>
            <w:tcW w:w="1673" w:type="pct"/>
          </w:tcPr>
          <w:p w14:paraId="4B1F9561" w14:textId="77777777" w:rsidR="00AF274B" w:rsidRDefault="00AF274B">
            <w:pPr>
              <w:pStyle w:val="GlossaryTableText"/>
              <w:rPr>
                <w:b/>
              </w:rPr>
            </w:pPr>
            <w:r>
              <w:rPr>
                <w:b/>
              </w:rPr>
              <w:t>Activities</w:t>
            </w:r>
          </w:p>
        </w:tc>
        <w:tc>
          <w:tcPr>
            <w:tcW w:w="3327" w:type="pct"/>
          </w:tcPr>
          <w:p w14:paraId="15B2862E" w14:textId="77777777" w:rsidR="00AF274B" w:rsidRDefault="00AF274B">
            <w:pPr>
              <w:pStyle w:val="GlossaryTableText"/>
            </w:pPr>
            <w:r>
              <w:t>Business processes that the product supports.</w:t>
            </w:r>
          </w:p>
        </w:tc>
      </w:tr>
      <w:tr w:rsidR="00AF274B" w14:paraId="50509D3A" w14:textId="77777777">
        <w:trPr>
          <w:cantSplit/>
        </w:trPr>
        <w:tc>
          <w:tcPr>
            <w:tcW w:w="1673" w:type="pct"/>
          </w:tcPr>
          <w:p w14:paraId="29209984" w14:textId="77777777" w:rsidR="00AF274B" w:rsidRDefault="00AF274B">
            <w:pPr>
              <w:pStyle w:val="GlossaryTableText"/>
              <w:rPr>
                <w:b/>
              </w:rPr>
            </w:pPr>
            <w:r>
              <w:rPr>
                <w:b/>
              </w:rPr>
              <w:t>Activity</w:t>
            </w:r>
          </w:p>
        </w:tc>
        <w:tc>
          <w:tcPr>
            <w:tcW w:w="3327" w:type="pct"/>
          </w:tcPr>
          <w:p w14:paraId="62AE35BE" w14:textId="77777777" w:rsidR="00AF274B" w:rsidRDefault="00AF274B">
            <w:pPr>
              <w:pStyle w:val="GlossaryTableText"/>
            </w:pPr>
            <w:r>
              <w:t>An identified verification and validation task.</w:t>
            </w:r>
          </w:p>
        </w:tc>
      </w:tr>
      <w:tr w:rsidR="00AF274B" w14:paraId="02C7DC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441A3F" w14:textId="77777777" w:rsidR="00AF274B" w:rsidRDefault="00AF274B">
            <w:pPr>
              <w:pStyle w:val="GlossaryTableText"/>
              <w:rPr>
                <w:b/>
              </w:rPr>
            </w:pPr>
            <w:r>
              <w:rPr>
                <w:b/>
              </w:rPr>
              <w:t>AHG</w:t>
            </w:r>
          </w:p>
        </w:tc>
        <w:tc>
          <w:tcPr>
            <w:tcW w:w="3327" w:type="pct"/>
            <w:tcBorders>
              <w:top w:val="nil"/>
              <w:left w:val="nil"/>
              <w:bottom w:val="nil"/>
              <w:right w:val="nil"/>
            </w:tcBorders>
          </w:tcPr>
          <w:p w14:paraId="5BAFCFE8" w14:textId="77777777" w:rsidR="00AF274B" w:rsidRDefault="00AF274B">
            <w:pPr>
              <w:pStyle w:val="GlossaryTableText"/>
            </w:pPr>
            <w:r>
              <w:t>Anti-Human Globulin.</w:t>
            </w:r>
          </w:p>
        </w:tc>
      </w:tr>
      <w:tr w:rsidR="00AF274B" w14:paraId="381FFE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57D0CB" w14:textId="77777777" w:rsidR="00AF274B" w:rsidRDefault="00AF274B">
            <w:pPr>
              <w:pStyle w:val="GlossaryTableText"/>
              <w:rPr>
                <w:b/>
              </w:rPr>
            </w:pPr>
            <w:r>
              <w:rPr>
                <w:b/>
              </w:rPr>
              <w:t>Aliquot</w:t>
            </w:r>
          </w:p>
        </w:tc>
        <w:tc>
          <w:tcPr>
            <w:tcW w:w="3327" w:type="pct"/>
            <w:tcBorders>
              <w:top w:val="nil"/>
              <w:left w:val="nil"/>
              <w:bottom w:val="nil"/>
              <w:right w:val="nil"/>
            </w:tcBorders>
          </w:tcPr>
          <w:p w14:paraId="6BF1D908" w14:textId="77777777" w:rsidR="00AF274B" w:rsidRDefault="00AF274B">
            <w:pPr>
              <w:pStyle w:val="GlossaryTableText"/>
            </w:pPr>
            <w:r>
              <w:t>A sample/portion divided off or separated as a part of a whole.</w:t>
            </w:r>
          </w:p>
        </w:tc>
      </w:tr>
      <w:tr w:rsidR="00AF274B" w14:paraId="2F245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687CFD" w14:textId="77777777" w:rsidR="00AF274B" w:rsidRDefault="00AF274B">
            <w:pPr>
              <w:pStyle w:val="GlossaryTableText"/>
              <w:rPr>
                <w:b/>
              </w:rPr>
            </w:pPr>
            <w:r>
              <w:rPr>
                <w:b/>
              </w:rPr>
              <w:t>Allogeneic</w:t>
            </w:r>
          </w:p>
        </w:tc>
        <w:tc>
          <w:tcPr>
            <w:tcW w:w="3327" w:type="pct"/>
            <w:tcBorders>
              <w:top w:val="nil"/>
              <w:left w:val="nil"/>
              <w:bottom w:val="nil"/>
              <w:right w:val="nil"/>
            </w:tcBorders>
          </w:tcPr>
          <w:p w14:paraId="498FDD29" w14:textId="77777777" w:rsidR="00AF274B" w:rsidRDefault="00AF274B">
            <w:pPr>
              <w:pStyle w:val="GlossaryTableText"/>
            </w:pPr>
            <w:r>
              <w:t>See “Homologous.”</w:t>
            </w:r>
          </w:p>
        </w:tc>
      </w:tr>
      <w:tr w:rsidR="00AF274B" w14:paraId="05C9C1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9B750E" w14:textId="77777777" w:rsidR="00AF274B" w:rsidRDefault="00AF274B">
            <w:pPr>
              <w:pStyle w:val="GlossaryTableText"/>
              <w:rPr>
                <w:b/>
              </w:rPr>
            </w:pPr>
            <w:r>
              <w:rPr>
                <w:b/>
                <w:snapToGrid w:val="0"/>
              </w:rPr>
              <w:t>Antibody</w:t>
            </w:r>
          </w:p>
        </w:tc>
        <w:tc>
          <w:tcPr>
            <w:tcW w:w="3327" w:type="pct"/>
            <w:tcBorders>
              <w:top w:val="nil"/>
              <w:left w:val="nil"/>
              <w:bottom w:val="nil"/>
              <w:right w:val="nil"/>
            </w:tcBorders>
          </w:tcPr>
          <w:p w14:paraId="29E65EA6" w14:textId="77777777" w:rsidR="00AF274B" w:rsidRDefault="00AF274B">
            <w:pPr>
              <w:pStyle w:val="GlossaryTableText"/>
            </w:pPr>
            <w:r>
              <w:rPr>
                <w:snapToGrid w:val="0"/>
              </w:rPr>
              <w:t xml:space="preserve">A protein in the serum of some people that will react to a specific antigen on the blood cells. </w:t>
            </w:r>
            <w:r>
              <w:rPr>
                <w:i/>
                <w:snapToGrid w:val="0"/>
              </w:rPr>
              <w:t>In the case of a red blood cell transfusion, a patient with a clinically significant (leading to a transfusion reaction and possible patient harm) identified antibody must receive only red cells that are typed and found negative for the associated antigen. Once a clinically significant antibody is identified, antigen-negative cells must always be transfused even if a current specimen no longer shows the presence of the antibody. The antibody table in VBECS addresses the antibodies associated with red cell antigens. Though many antibodies are considered clinically significant, some are more of a nuisance to testing than a problem for transfusion. Many antibodies have documentation that defines their clinical significance; that information is used to define the VBECS table system warnings and overrides.</w:t>
            </w:r>
          </w:p>
        </w:tc>
      </w:tr>
      <w:tr w:rsidR="00AF274B" w14:paraId="5FCE6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8111202" w14:textId="77777777" w:rsidR="00AF274B" w:rsidRDefault="00AF274B">
            <w:pPr>
              <w:pStyle w:val="GlossaryTableText"/>
              <w:rPr>
                <w:b/>
                <w:snapToGrid w:val="0"/>
              </w:rPr>
            </w:pPr>
            <w:r>
              <w:rPr>
                <w:b/>
              </w:rPr>
              <w:t>Antigen</w:t>
            </w:r>
          </w:p>
        </w:tc>
        <w:tc>
          <w:tcPr>
            <w:tcW w:w="3327" w:type="pct"/>
            <w:tcBorders>
              <w:top w:val="nil"/>
              <w:left w:val="nil"/>
              <w:bottom w:val="nil"/>
              <w:right w:val="nil"/>
            </w:tcBorders>
          </w:tcPr>
          <w:p w14:paraId="31ECADA5" w14:textId="77777777" w:rsidR="00AF274B" w:rsidRDefault="00AF274B">
            <w:pPr>
              <w:pStyle w:val="GlossaryTableText"/>
              <w:rPr>
                <w:snapToGrid w:val="0"/>
              </w:rPr>
            </w:pPr>
            <w:r>
              <w:t>A substance on the surface of a red cell that stimulates an immune response (formation of an antibody).</w:t>
            </w:r>
          </w:p>
        </w:tc>
      </w:tr>
      <w:tr w:rsidR="00AF274B" w14:paraId="0DB9FC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7B19FD" w14:textId="77777777" w:rsidR="00AF274B" w:rsidRDefault="00AF274B">
            <w:pPr>
              <w:pStyle w:val="GlossaryTableText"/>
              <w:rPr>
                <w:b/>
                <w:snapToGrid w:val="0"/>
              </w:rPr>
            </w:pPr>
            <w:r>
              <w:rPr>
                <w:b/>
                <w:snapToGrid w:val="0"/>
              </w:rPr>
              <w:t>Antigen negative requirement</w:t>
            </w:r>
          </w:p>
        </w:tc>
        <w:tc>
          <w:tcPr>
            <w:tcW w:w="3327" w:type="pct"/>
            <w:tcBorders>
              <w:top w:val="nil"/>
              <w:left w:val="nil"/>
              <w:bottom w:val="nil"/>
              <w:right w:val="nil"/>
            </w:tcBorders>
          </w:tcPr>
          <w:p w14:paraId="0CA0BE87" w14:textId="77777777" w:rsidR="00AF274B" w:rsidRDefault="00AF274B">
            <w:pPr>
              <w:pStyle w:val="GlossaryTableText"/>
              <w:rPr>
                <w:snapToGrid w:val="0"/>
              </w:rPr>
            </w:pPr>
            <w:r>
              <w:rPr>
                <w:snapToGrid w:val="0"/>
              </w:rPr>
              <w:t>A prerequisite that specified blood product categories must not contain stated characteristics.</w:t>
            </w:r>
          </w:p>
        </w:tc>
      </w:tr>
      <w:tr w:rsidR="00AF274B" w14:paraId="0EF410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1FB5E5" w14:textId="77777777" w:rsidR="00AF274B" w:rsidRDefault="00AF274B">
            <w:pPr>
              <w:pStyle w:val="GlossaryTableText"/>
              <w:rPr>
                <w:b/>
              </w:rPr>
            </w:pPr>
            <w:r>
              <w:rPr>
                <w:b/>
              </w:rPr>
              <w:t>Antigen typing</w:t>
            </w:r>
          </w:p>
        </w:tc>
        <w:tc>
          <w:tcPr>
            <w:tcW w:w="3327" w:type="pct"/>
            <w:tcBorders>
              <w:top w:val="nil"/>
              <w:left w:val="nil"/>
              <w:bottom w:val="nil"/>
              <w:right w:val="nil"/>
            </w:tcBorders>
          </w:tcPr>
          <w:p w14:paraId="6291D061" w14:textId="77777777" w:rsidR="00AF274B" w:rsidRDefault="00AF274B">
            <w:pPr>
              <w:pStyle w:val="GlossaryTableText"/>
            </w:pPr>
            <w:r>
              <w:t>Testing for the presence or absence of an antigen on a red blood cell.</w:t>
            </w:r>
          </w:p>
        </w:tc>
      </w:tr>
      <w:tr w:rsidR="00AF274B" w14:paraId="0696CA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222580" w14:textId="77777777" w:rsidR="00AF274B" w:rsidRDefault="00AF274B">
            <w:pPr>
              <w:pStyle w:val="GlossaryTableText"/>
              <w:rPr>
                <w:b/>
                <w:snapToGrid w:val="0"/>
              </w:rPr>
            </w:pPr>
            <w:r>
              <w:rPr>
                <w:b/>
              </w:rPr>
              <w:lastRenderedPageBreak/>
              <w:t>Antiglobulin</w:t>
            </w:r>
          </w:p>
        </w:tc>
        <w:tc>
          <w:tcPr>
            <w:tcW w:w="3327" w:type="pct"/>
            <w:tcBorders>
              <w:top w:val="nil"/>
              <w:left w:val="nil"/>
              <w:bottom w:val="nil"/>
              <w:right w:val="nil"/>
            </w:tcBorders>
          </w:tcPr>
          <w:p w14:paraId="6D057CEF" w14:textId="77777777" w:rsidR="00AF274B" w:rsidRDefault="00AF274B">
            <w:pPr>
              <w:pStyle w:val="GlossaryTableText"/>
              <w:rPr>
                <w:snapToGrid w:val="0"/>
              </w:rPr>
            </w:pPr>
            <w:r>
              <w:t>An antibody that combines with a specific protein on a different type of antibody.</w:t>
            </w:r>
          </w:p>
        </w:tc>
      </w:tr>
      <w:tr w:rsidR="00AF274B" w14:paraId="6EB395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2E815" w14:textId="77777777" w:rsidR="00AF274B" w:rsidRDefault="00AF274B">
            <w:pPr>
              <w:pStyle w:val="GlossaryTableText"/>
              <w:rPr>
                <w:b/>
              </w:rPr>
            </w:pPr>
            <w:r>
              <w:rPr>
                <w:b/>
                <w:snapToGrid w:val="0"/>
              </w:rPr>
              <w:t>Anti-Human Globulin</w:t>
            </w:r>
          </w:p>
        </w:tc>
        <w:tc>
          <w:tcPr>
            <w:tcW w:w="3327" w:type="pct"/>
            <w:tcBorders>
              <w:top w:val="nil"/>
              <w:left w:val="nil"/>
              <w:bottom w:val="nil"/>
              <w:right w:val="nil"/>
            </w:tcBorders>
          </w:tcPr>
          <w:p w14:paraId="731E5BC5" w14:textId="77777777" w:rsidR="00AF274B" w:rsidRDefault="00AF274B">
            <w:pPr>
              <w:pStyle w:val="GlossaryTableText"/>
            </w:pPr>
            <w:r>
              <w:rPr>
                <w:snapToGrid w:val="0"/>
              </w:rPr>
              <w:t>A commercial reagent that binds to immunoglobulin molecules attached to the surface of a red blood cell.</w:t>
            </w:r>
          </w:p>
        </w:tc>
      </w:tr>
      <w:tr w:rsidR="00AF274B" w14:paraId="285B36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05A89" w14:textId="77777777" w:rsidR="00AF274B" w:rsidRDefault="00AF274B">
            <w:pPr>
              <w:pStyle w:val="GlossaryTableText"/>
              <w:rPr>
                <w:b/>
              </w:rPr>
            </w:pPr>
            <w:r>
              <w:rPr>
                <w:b/>
              </w:rPr>
              <w:t>Antisera</w:t>
            </w:r>
          </w:p>
        </w:tc>
        <w:tc>
          <w:tcPr>
            <w:tcW w:w="3327" w:type="pct"/>
            <w:tcBorders>
              <w:top w:val="nil"/>
              <w:left w:val="nil"/>
              <w:bottom w:val="nil"/>
              <w:right w:val="nil"/>
            </w:tcBorders>
          </w:tcPr>
          <w:p w14:paraId="434E27D7" w14:textId="77777777" w:rsidR="00AF274B" w:rsidRDefault="00AF274B">
            <w:pPr>
              <w:pStyle w:val="GlossaryTableText"/>
            </w:pPr>
            <w:r>
              <w:t>Plural of “antiserum.”</w:t>
            </w:r>
          </w:p>
        </w:tc>
      </w:tr>
      <w:tr w:rsidR="00AF274B" w14:paraId="5F658A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46ACB5" w14:textId="77777777" w:rsidR="00AF274B" w:rsidRDefault="00AF274B">
            <w:pPr>
              <w:pStyle w:val="GlossaryTableText"/>
              <w:rPr>
                <w:b/>
              </w:rPr>
            </w:pPr>
            <w:r>
              <w:rPr>
                <w:b/>
              </w:rPr>
              <w:t>Antiserum</w:t>
            </w:r>
          </w:p>
        </w:tc>
        <w:tc>
          <w:tcPr>
            <w:tcW w:w="3327" w:type="pct"/>
            <w:tcBorders>
              <w:top w:val="nil"/>
              <w:left w:val="nil"/>
              <w:bottom w:val="nil"/>
              <w:right w:val="nil"/>
            </w:tcBorders>
          </w:tcPr>
          <w:p w14:paraId="085C7E4A" w14:textId="77777777" w:rsidR="00AF274B" w:rsidRDefault="00AF274B">
            <w:pPr>
              <w:pStyle w:val="GlossaryTableText"/>
            </w:pPr>
            <w:r>
              <w:t>Blood serum (human, animal, monoclonal) containing antibodies that are specific for one or more antigens.</w:t>
            </w:r>
          </w:p>
        </w:tc>
      </w:tr>
      <w:tr w:rsidR="00AF274B" w14:paraId="67020E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8E1489" w14:textId="77777777" w:rsidR="00AF274B" w:rsidRDefault="00AF274B">
            <w:pPr>
              <w:pStyle w:val="GlossaryTableText"/>
              <w:rPr>
                <w:b/>
              </w:rPr>
            </w:pPr>
            <w:r>
              <w:rPr>
                <w:b/>
              </w:rPr>
              <w:t>Assigned</w:t>
            </w:r>
          </w:p>
        </w:tc>
        <w:tc>
          <w:tcPr>
            <w:tcW w:w="3327" w:type="pct"/>
            <w:tcBorders>
              <w:top w:val="nil"/>
              <w:left w:val="nil"/>
              <w:bottom w:val="nil"/>
              <w:right w:val="nil"/>
            </w:tcBorders>
          </w:tcPr>
          <w:p w14:paraId="46B69F17" w14:textId="77777777" w:rsidR="00AF274B" w:rsidRDefault="00AF274B">
            <w:pPr>
              <w:pStyle w:val="GlossaryTableText"/>
            </w:pPr>
            <w:r>
              <w:t>Describes a unit of blood in a state that can be issued for transfusion and assign</w:t>
            </w:r>
            <w:r w:rsidR="00534B75">
              <w:t>ed to a patient.</w:t>
            </w:r>
          </w:p>
        </w:tc>
      </w:tr>
      <w:tr w:rsidR="00AF274B" w14:paraId="38EA15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F6C3DF" w14:textId="77777777" w:rsidR="00AF274B" w:rsidRDefault="00AF274B">
            <w:pPr>
              <w:pStyle w:val="GlossaryTableText"/>
              <w:rPr>
                <w:b/>
              </w:rPr>
            </w:pPr>
            <w:r>
              <w:rPr>
                <w:b/>
              </w:rPr>
              <w:t>Attribute</w:t>
            </w:r>
          </w:p>
        </w:tc>
        <w:tc>
          <w:tcPr>
            <w:tcW w:w="3327" w:type="pct"/>
            <w:tcBorders>
              <w:top w:val="nil"/>
              <w:left w:val="nil"/>
              <w:bottom w:val="nil"/>
              <w:right w:val="nil"/>
            </w:tcBorders>
          </w:tcPr>
          <w:p w14:paraId="19C51602" w14:textId="77777777" w:rsidR="00AF274B" w:rsidRDefault="00AF274B">
            <w:pPr>
              <w:pStyle w:val="GlossaryTableText"/>
            </w:pPr>
            <w:r>
              <w:t xml:space="preserve">ISBT 128 term that describes a property of a collected blood product. </w:t>
            </w:r>
            <w:r>
              <w:rPr>
                <w:i/>
              </w:rPr>
              <w:t>Examples include “Irradiated” and “Residual Leukocyte Content” (Leukopoor).</w:t>
            </w:r>
          </w:p>
        </w:tc>
      </w:tr>
      <w:tr w:rsidR="00AF274B" w14:paraId="4BB322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591992" w14:textId="77777777" w:rsidR="00AF274B" w:rsidRDefault="00AF274B">
            <w:pPr>
              <w:pStyle w:val="GlossaryTableText"/>
              <w:rPr>
                <w:b/>
              </w:rPr>
            </w:pPr>
            <w:r>
              <w:rPr>
                <w:b/>
              </w:rPr>
              <w:t>Audit Trail Report</w:t>
            </w:r>
          </w:p>
        </w:tc>
        <w:tc>
          <w:tcPr>
            <w:tcW w:w="3327" w:type="pct"/>
            <w:tcBorders>
              <w:top w:val="nil"/>
              <w:left w:val="nil"/>
              <w:bottom w:val="nil"/>
              <w:right w:val="nil"/>
            </w:tcBorders>
          </w:tcPr>
          <w:p w14:paraId="0036A70C" w14:textId="77777777" w:rsidR="00AF274B" w:rsidRDefault="00AF274B">
            <w:pPr>
              <w:pStyle w:val="GlossaryTableText"/>
            </w:pPr>
            <w:r>
              <w:t xml:space="preserve">The report of changes made to previously verified data. </w:t>
            </w:r>
            <w:r>
              <w:rPr>
                <w:i/>
              </w:rPr>
              <w:t>Regulations require that a mechanism be in place to prevent “electronic white-out.” An audit report contains details of the change, before and after data, date, and who made the change.</w:t>
            </w:r>
          </w:p>
        </w:tc>
      </w:tr>
      <w:tr w:rsidR="00AF274B" w14:paraId="4514F3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4E7320" w14:textId="77777777" w:rsidR="00AF274B" w:rsidRDefault="00AF274B">
            <w:pPr>
              <w:pStyle w:val="GlossaryTableText"/>
              <w:rPr>
                <w:b/>
                <w:snapToGrid w:val="0"/>
              </w:rPr>
            </w:pPr>
            <w:r>
              <w:rPr>
                <w:b/>
                <w:snapToGrid w:val="0"/>
              </w:rPr>
              <w:t>Autocontrol</w:t>
            </w:r>
          </w:p>
        </w:tc>
        <w:tc>
          <w:tcPr>
            <w:tcW w:w="3327" w:type="pct"/>
            <w:tcBorders>
              <w:top w:val="nil"/>
              <w:left w:val="nil"/>
              <w:bottom w:val="nil"/>
              <w:right w:val="nil"/>
            </w:tcBorders>
          </w:tcPr>
          <w:p w14:paraId="06A362E1" w14:textId="77777777" w:rsidR="00AF274B" w:rsidRDefault="00AF274B">
            <w:pPr>
              <w:pStyle w:val="GlossaryTableText"/>
              <w:rPr>
                <w:snapToGrid w:val="0"/>
              </w:rPr>
            </w:pPr>
            <w:r>
              <w:rPr>
                <w:snapToGrid w:val="0"/>
              </w:rPr>
              <w:t>A test using a patient’s serum (plasma) and cells under the same conditions as the accompanying test.</w:t>
            </w:r>
          </w:p>
        </w:tc>
      </w:tr>
      <w:tr w:rsidR="00AF274B" w14:paraId="6E580D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CC9F4D" w14:textId="77777777" w:rsidR="00AF274B" w:rsidRDefault="00AF274B">
            <w:pPr>
              <w:pStyle w:val="GlossaryTableText"/>
              <w:rPr>
                <w:b/>
                <w:snapToGrid w:val="0"/>
              </w:rPr>
            </w:pPr>
            <w:r>
              <w:rPr>
                <w:b/>
              </w:rPr>
              <w:t>Autodiscriminate</w:t>
            </w:r>
          </w:p>
        </w:tc>
        <w:tc>
          <w:tcPr>
            <w:tcW w:w="3327" w:type="pct"/>
            <w:tcBorders>
              <w:top w:val="nil"/>
              <w:left w:val="nil"/>
              <w:bottom w:val="nil"/>
              <w:right w:val="nil"/>
            </w:tcBorders>
          </w:tcPr>
          <w:p w14:paraId="780837F8" w14:textId="77777777" w:rsidR="00AF274B" w:rsidRDefault="00AF274B">
            <w:pPr>
              <w:pStyle w:val="GlossaryTableText"/>
              <w:rPr>
                <w:snapToGrid w:val="0"/>
              </w:rPr>
            </w:pPr>
            <w:r>
              <w:t>Describes the ability of a barcode scanner to identify and interpret more than one barcode symbology without having to adjust any software or hardware parameters.</w:t>
            </w:r>
          </w:p>
        </w:tc>
      </w:tr>
      <w:tr w:rsidR="00AF274B" w14:paraId="04C39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0F4F39" w14:textId="77777777" w:rsidR="00AF274B" w:rsidRDefault="00AF274B">
            <w:pPr>
              <w:pStyle w:val="GlossaryTableText"/>
              <w:rPr>
                <w:b/>
                <w:snapToGrid w:val="0"/>
              </w:rPr>
            </w:pPr>
            <w:r>
              <w:rPr>
                <w:b/>
              </w:rPr>
              <w:t>Autologous</w:t>
            </w:r>
          </w:p>
        </w:tc>
        <w:tc>
          <w:tcPr>
            <w:tcW w:w="3327" w:type="pct"/>
            <w:tcBorders>
              <w:top w:val="nil"/>
              <w:left w:val="nil"/>
              <w:bottom w:val="nil"/>
              <w:right w:val="nil"/>
            </w:tcBorders>
          </w:tcPr>
          <w:p w14:paraId="3D5F1C0B" w14:textId="77777777" w:rsidR="00AF274B" w:rsidRDefault="00AF274B">
            <w:pPr>
              <w:pStyle w:val="GlossaryTableText"/>
              <w:rPr>
                <w:snapToGrid w:val="0"/>
              </w:rPr>
            </w:pPr>
            <w:r>
              <w:t xml:space="preserve">Describes blood donated in advance for use by the donor in the future, often for elective surgery. </w:t>
            </w:r>
            <w:r>
              <w:rPr>
                <w:i/>
              </w:rPr>
              <w:t>Regulations allow for processing patients with diseases that otherwise would preclude them from donating blood to donate for themselves autologously. It is imperative that software guarantee that such blood is never available for use by anyone other than the intended recipient.</w:t>
            </w:r>
          </w:p>
        </w:tc>
      </w:tr>
      <w:tr w:rsidR="00AF274B" w14:paraId="62A256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D5373C" w14:textId="77777777" w:rsidR="00AF274B" w:rsidRDefault="00AF274B">
            <w:pPr>
              <w:pStyle w:val="GlossaryTableText"/>
              <w:rPr>
                <w:b/>
              </w:rPr>
            </w:pPr>
            <w:r>
              <w:rPr>
                <w:b/>
              </w:rPr>
              <w:t>Barcode scanner</w:t>
            </w:r>
          </w:p>
        </w:tc>
        <w:tc>
          <w:tcPr>
            <w:tcW w:w="3327" w:type="pct"/>
            <w:tcBorders>
              <w:top w:val="nil"/>
              <w:left w:val="nil"/>
              <w:bottom w:val="nil"/>
              <w:right w:val="nil"/>
            </w:tcBorders>
          </w:tcPr>
          <w:p w14:paraId="11B4DD81" w14:textId="77777777" w:rsidR="00AF274B" w:rsidRDefault="00AF274B">
            <w:pPr>
              <w:pStyle w:val="GlossaryTableText"/>
            </w:pPr>
            <w:r>
              <w:t>An electronic device that uses a finely focused beam of light to sense and transmit the data in a barcode image.</w:t>
            </w:r>
          </w:p>
        </w:tc>
      </w:tr>
      <w:tr w:rsidR="00AF274B" w14:paraId="0B26B3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C288F58" w14:textId="77777777" w:rsidR="00AF274B" w:rsidRDefault="00AF274B">
            <w:pPr>
              <w:pStyle w:val="GlossaryTableText"/>
              <w:rPr>
                <w:b/>
              </w:rPr>
            </w:pPr>
            <w:r>
              <w:rPr>
                <w:b/>
              </w:rPr>
              <w:t>Billable</w:t>
            </w:r>
          </w:p>
        </w:tc>
        <w:tc>
          <w:tcPr>
            <w:tcW w:w="3327" w:type="pct"/>
            <w:tcBorders>
              <w:top w:val="nil"/>
              <w:left w:val="nil"/>
              <w:bottom w:val="nil"/>
              <w:right w:val="nil"/>
            </w:tcBorders>
          </w:tcPr>
          <w:p w14:paraId="5B0FE08F" w14:textId="77777777" w:rsidR="00AF274B" w:rsidRDefault="00AF274B">
            <w:pPr>
              <w:pStyle w:val="GlossaryTableText"/>
            </w:pPr>
            <w:r>
              <w:t>A characteristic of an LMIP workload code that determines if statistics gathered as a result of that workload code should be included in the monthly report to the Austin Automation Center.</w:t>
            </w:r>
          </w:p>
        </w:tc>
      </w:tr>
      <w:tr w:rsidR="00AF274B" w14:paraId="0D9BD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6C5ED9E" w14:textId="77777777" w:rsidR="00AF274B" w:rsidRDefault="00AF274B">
            <w:pPr>
              <w:pStyle w:val="GlossaryTableText"/>
              <w:rPr>
                <w:b/>
              </w:rPr>
            </w:pPr>
            <w:r>
              <w:rPr>
                <w:b/>
              </w:rPr>
              <w:t>Blood product</w:t>
            </w:r>
          </w:p>
        </w:tc>
        <w:tc>
          <w:tcPr>
            <w:tcW w:w="3327" w:type="pct"/>
            <w:tcBorders>
              <w:top w:val="nil"/>
              <w:left w:val="nil"/>
              <w:bottom w:val="nil"/>
              <w:right w:val="nil"/>
            </w:tcBorders>
          </w:tcPr>
          <w:p w14:paraId="5239C733" w14:textId="77777777" w:rsidR="00AF274B" w:rsidRDefault="00534B75">
            <w:pPr>
              <w:pStyle w:val="GlossaryTableText"/>
            </w:pPr>
            <w:r>
              <w:t>A specific example of a blood component class (e.g.,</w:t>
            </w:r>
            <w:r>
              <w:rPr>
                <w:i/>
              </w:rPr>
              <w:t xml:space="preserve"> AS-1 Red Blood Cells in the component class Red Blood Cells. (</w:t>
            </w:r>
            <w:r>
              <w:t>BloodProduct</w:t>
            </w:r>
            <w:r>
              <w:rPr>
                <w:i/>
              </w:rPr>
              <w:t xml:space="preserve"> in VBECS model).</w:t>
            </w:r>
          </w:p>
        </w:tc>
      </w:tr>
      <w:tr w:rsidR="00AF274B" w14:paraId="45AE23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DEA7CEA" w14:textId="77777777" w:rsidR="00AF274B" w:rsidRDefault="00AF274B">
            <w:pPr>
              <w:pStyle w:val="GlossaryTableText"/>
              <w:rPr>
                <w:b/>
              </w:rPr>
            </w:pPr>
            <w:r>
              <w:rPr>
                <w:b/>
              </w:rPr>
              <w:t>Blood Transfusion Record Form (BTRF)</w:t>
            </w:r>
          </w:p>
        </w:tc>
        <w:tc>
          <w:tcPr>
            <w:tcW w:w="3327" w:type="pct"/>
            <w:tcBorders>
              <w:top w:val="nil"/>
              <w:left w:val="nil"/>
              <w:bottom w:val="nil"/>
              <w:right w:val="nil"/>
            </w:tcBorders>
          </w:tcPr>
          <w:p w14:paraId="17C6EE3C" w14:textId="77777777" w:rsidR="00AF274B" w:rsidRDefault="00AF274B">
            <w:pPr>
              <w:pStyle w:val="GlossaryTableText"/>
              <w:rPr>
                <w:b/>
                <w:i/>
              </w:rPr>
            </w:pPr>
            <w:r>
              <w:t xml:space="preserve">A form printed in the blood bank used to record the actual events of a transfusion. </w:t>
            </w:r>
            <w:r>
              <w:rPr>
                <w:i/>
              </w:rPr>
              <w:t>Examples: start/stop time, transfusionists, vitals, reaction information. Formerly “SF 518 equivalent”</w:t>
            </w:r>
            <w:r>
              <w:t xml:space="preserve"> (</w:t>
            </w:r>
            <w:r w:rsidRPr="00CA6E27">
              <w:rPr>
                <w:bCs/>
                <w:i/>
              </w:rPr>
              <w:t>VistA</w:t>
            </w:r>
            <w:r>
              <w:rPr>
                <w:i/>
              </w:rPr>
              <w:t xml:space="preserve"> nomenclature).</w:t>
            </w:r>
          </w:p>
        </w:tc>
      </w:tr>
      <w:tr w:rsidR="00AF274B" w14:paraId="3C7465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9000D4" w14:textId="77777777" w:rsidR="00AF274B" w:rsidRDefault="00AF274B">
            <w:pPr>
              <w:pStyle w:val="GlossaryTableText"/>
              <w:rPr>
                <w:b/>
              </w:rPr>
            </w:pPr>
            <w:r>
              <w:rPr>
                <w:b/>
              </w:rPr>
              <w:t>Blood type (blood group)</w:t>
            </w:r>
          </w:p>
        </w:tc>
        <w:tc>
          <w:tcPr>
            <w:tcW w:w="3327" w:type="pct"/>
            <w:tcBorders>
              <w:top w:val="nil"/>
              <w:left w:val="nil"/>
              <w:bottom w:val="nil"/>
              <w:right w:val="nil"/>
            </w:tcBorders>
          </w:tcPr>
          <w:p w14:paraId="637C8E85" w14:textId="77777777" w:rsidR="00AF274B" w:rsidRDefault="00AF274B">
            <w:pPr>
              <w:pStyle w:val="GlossaryTableText"/>
            </w:pPr>
            <w:r>
              <w:t>The ABO and Rh type of blood determined by testing.</w:t>
            </w:r>
          </w:p>
        </w:tc>
      </w:tr>
      <w:tr w:rsidR="00AF274B" w14:paraId="28E4B6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63C9A8" w14:textId="77777777" w:rsidR="00AF274B" w:rsidRDefault="00AF274B">
            <w:pPr>
              <w:pStyle w:val="GlossaryTableText"/>
              <w:rPr>
                <w:b/>
                <w:bCs/>
              </w:rPr>
            </w:pPr>
            <w:r>
              <w:rPr>
                <w:b/>
                <w:bCs/>
              </w:rPr>
              <w:t>Canned comment</w:t>
            </w:r>
          </w:p>
        </w:tc>
        <w:tc>
          <w:tcPr>
            <w:tcW w:w="3327" w:type="pct"/>
            <w:tcBorders>
              <w:top w:val="nil"/>
              <w:left w:val="nil"/>
              <w:bottom w:val="nil"/>
              <w:right w:val="nil"/>
            </w:tcBorders>
          </w:tcPr>
          <w:p w14:paraId="073C21AE" w14:textId="77777777" w:rsidR="00AF274B" w:rsidRDefault="00AF274B">
            <w:pPr>
              <w:pStyle w:val="GlossaryTableText"/>
            </w:pPr>
            <w:r>
              <w:t xml:space="preserve">Defined comments, entered in abbreviated form and displayed as expanded text, used to enter supporting information at a variety of data entry points. </w:t>
            </w:r>
          </w:p>
        </w:tc>
      </w:tr>
      <w:tr w:rsidR="00AF274B" w14:paraId="0D5589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28E025" w14:textId="77777777" w:rsidR="00AF274B" w:rsidRDefault="00AF274B">
            <w:pPr>
              <w:pStyle w:val="GlossaryTableText"/>
              <w:rPr>
                <w:b/>
                <w:bCs/>
              </w:rPr>
            </w:pPr>
            <w:r>
              <w:rPr>
                <w:b/>
                <w:bCs/>
                <w:snapToGrid w:val="0"/>
              </w:rPr>
              <w:t>Category type</w:t>
            </w:r>
          </w:p>
        </w:tc>
        <w:tc>
          <w:tcPr>
            <w:tcW w:w="3327" w:type="pct"/>
            <w:tcBorders>
              <w:top w:val="nil"/>
              <w:left w:val="nil"/>
              <w:bottom w:val="nil"/>
              <w:right w:val="nil"/>
            </w:tcBorders>
          </w:tcPr>
          <w:p w14:paraId="602BD9F6" w14:textId="77777777" w:rsidR="00AF274B" w:rsidRDefault="00AF274B">
            <w:pPr>
              <w:pStyle w:val="GlossaryTableText"/>
            </w:pPr>
            <w:r>
              <w:rPr>
                <w:snapToGrid w:val="0"/>
              </w:rPr>
              <w:t>When used in relation to the file of canned comments, the category of the comment that determines in which functionality the comment may be selected and associated with other data.</w:t>
            </w:r>
          </w:p>
        </w:tc>
      </w:tr>
      <w:tr w:rsidR="00AF274B" w14:paraId="72D888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57AC43B" w14:textId="77777777" w:rsidR="00AF274B" w:rsidRDefault="00AF274B">
            <w:pPr>
              <w:pStyle w:val="GlossaryTableText"/>
              <w:rPr>
                <w:b/>
                <w:bCs/>
              </w:rPr>
            </w:pPr>
            <w:r>
              <w:rPr>
                <w:b/>
                <w:bCs/>
              </w:rPr>
              <w:lastRenderedPageBreak/>
              <w:t>Caution Tag</w:t>
            </w:r>
          </w:p>
        </w:tc>
        <w:tc>
          <w:tcPr>
            <w:tcW w:w="3327" w:type="pct"/>
            <w:tcBorders>
              <w:top w:val="nil"/>
              <w:left w:val="nil"/>
              <w:bottom w:val="nil"/>
              <w:right w:val="nil"/>
            </w:tcBorders>
          </w:tcPr>
          <w:p w14:paraId="71C6CDF8" w14:textId="77777777" w:rsidR="00AF274B" w:rsidRDefault="00AF274B">
            <w:pPr>
              <w:pStyle w:val="GlossaryTableText"/>
            </w:pPr>
            <w:r>
              <w:t>A blood bank-generated form attached to a unit of blood when the unit is assigned or crossmatched.</w:t>
            </w:r>
          </w:p>
        </w:tc>
      </w:tr>
      <w:tr w:rsidR="00AF274B" w14:paraId="46984C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F29AE9" w14:textId="77777777" w:rsidR="00AF274B" w:rsidRDefault="00AF274B">
            <w:pPr>
              <w:pStyle w:val="GlossaryTableText"/>
              <w:rPr>
                <w:b/>
                <w:bCs/>
              </w:rPr>
            </w:pPr>
            <w:r>
              <w:rPr>
                <w:b/>
                <w:bCs/>
              </w:rPr>
              <w:t>CC</w:t>
            </w:r>
          </w:p>
        </w:tc>
        <w:tc>
          <w:tcPr>
            <w:tcW w:w="3327" w:type="pct"/>
            <w:tcBorders>
              <w:top w:val="nil"/>
              <w:left w:val="nil"/>
              <w:bottom w:val="nil"/>
              <w:right w:val="nil"/>
            </w:tcBorders>
          </w:tcPr>
          <w:p w14:paraId="312DD6DB" w14:textId="77777777" w:rsidR="00AF274B" w:rsidRDefault="00AF274B">
            <w:pPr>
              <w:pStyle w:val="GlossaryTableText"/>
            </w:pPr>
            <w:r>
              <w:t>Check Cell.</w:t>
            </w:r>
          </w:p>
        </w:tc>
      </w:tr>
      <w:tr w:rsidR="00AF274B" w14:paraId="0B49ED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CBF0DE" w14:textId="77777777" w:rsidR="00AF274B" w:rsidRDefault="00AF274B">
            <w:pPr>
              <w:pStyle w:val="GlossaryTableText"/>
              <w:rPr>
                <w:b/>
                <w:bCs/>
              </w:rPr>
            </w:pPr>
            <w:r>
              <w:rPr>
                <w:b/>
                <w:bCs/>
              </w:rPr>
              <w:t>Check Cell (CC)</w:t>
            </w:r>
          </w:p>
        </w:tc>
        <w:tc>
          <w:tcPr>
            <w:tcW w:w="3327" w:type="pct"/>
            <w:tcBorders>
              <w:top w:val="nil"/>
              <w:left w:val="nil"/>
              <w:bottom w:val="nil"/>
              <w:right w:val="nil"/>
            </w:tcBorders>
          </w:tcPr>
          <w:p w14:paraId="39E46D82" w14:textId="77777777" w:rsidR="00AF274B" w:rsidRDefault="00AF274B">
            <w:pPr>
              <w:pStyle w:val="GlossaryTableText"/>
            </w:pPr>
            <w:r>
              <w:t xml:space="preserve">A type of reagent red cell used in the blood bank to verify the reactivity of antiglobulin antisera when the results of an antiglobulin test are negative. </w:t>
            </w:r>
            <w:r>
              <w:rPr>
                <w:i/>
              </w:rPr>
              <w:t>Also referred to as “Coombs Control cells.”</w:t>
            </w:r>
          </w:p>
        </w:tc>
      </w:tr>
      <w:tr w:rsidR="00BE425A" w14:paraId="3D88F8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2AB4C1" w14:textId="77777777" w:rsidR="00BE425A" w:rsidRDefault="00BE425A">
            <w:pPr>
              <w:pStyle w:val="GlossaryTableText"/>
              <w:rPr>
                <w:b/>
                <w:bCs/>
              </w:rPr>
            </w:pPr>
            <w:r>
              <w:rPr>
                <w:b/>
                <w:bCs/>
              </w:rPr>
              <w:t>Check character</w:t>
            </w:r>
          </w:p>
        </w:tc>
        <w:tc>
          <w:tcPr>
            <w:tcW w:w="3327" w:type="pct"/>
            <w:tcBorders>
              <w:top w:val="nil"/>
              <w:left w:val="nil"/>
              <w:bottom w:val="nil"/>
              <w:right w:val="nil"/>
            </w:tcBorders>
          </w:tcPr>
          <w:p w14:paraId="37651FFD" w14:textId="77777777" w:rsidR="00BE425A" w:rsidRDefault="00BE425A">
            <w:pPr>
              <w:pStyle w:val="GlossaryTableText"/>
            </w:pPr>
            <w:r>
              <w:rPr>
                <w:rFonts w:cs="Arial"/>
              </w:rPr>
              <w:t>A character used to check the integrity of a barcode</w:t>
            </w:r>
            <w:r w:rsidR="005C2D6C">
              <w:rPr>
                <w:rFonts w:cs="Arial"/>
              </w:rPr>
              <w:t xml:space="preserve"> symbol.</w:t>
            </w:r>
          </w:p>
        </w:tc>
      </w:tr>
      <w:tr w:rsidR="00AF274B" w14:paraId="34BCD6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29DFE" w14:textId="77777777" w:rsidR="00AF274B" w:rsidRDefault="00AF274B">
            <w:pPr>
              <w:pStyle w:val="GlossaryTableText"/>
              <w:rPr>
                <w:b/>
                <w:bCs/>
              </w:rPr>
            </w:pPr>
            <w:r>
              <w:rPr>
                <w:b/>
                <w:bCs/>
              </w:rPr>
              <w:t>Clinically significant antibodies</w:t>
            </w:r>
          </w:p>
        </w:tc>
        <w:tc>
          <w:tcPr>
            <w:tcW w:w="3327" w:type="pct"/>
            <w:tcBorders>
              <w:top w:val="nil"/>
              <w:left w:val="nil"/>
              <w:bottom w:val="nil"/>
              <w:right w:val="nil"/>
            </w:tcBorders>
          </w:tcPr>
          <w:p w14:paraId="41640266" w14:textId="77777777" w:rsidR="00AF274B" w:rsidRDefault="00AF274B">
            <w:pPr>
              <w:pStyle w:val="GlossaryTableText"/>
              <w:rPr>
                <w:i/>
              </w:rPr>
            </w:pPr>
            <w:r>
              <w:t xml:space="preserve">If there is a chance of an adverse reaction to a transfusion, the antibodies associated with the antigens in that unit are considered clinically significant. </w:t>
            </w:r>
            <w:r>
              <w:rPr>
                <w:i/>
              </w:rPr>
              <w:t>Only clinically significant antibodies require that the patient receive red cells that have been phenotyped as negative for the associated antigen.</w:t>
            </w:r>
          </w:p>
        </w:tc>
      </w:tr>
      <w:tr w:rsidR="00AF274B" w14:paraId="2C0A13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B8A3957" w14:textId="77777777" w:rsidR="00AF274B" w:rsidRDefault="00AF274B">
            <w:pPr>
              <w:pStyle w:val="GlossaryTableText"/>
              <w:rPr>
                <w:b/>
                <w:bCs/>
              </w:rPr>
            </w:pPr>
            <w:r>
              <w:rPr>
                <w:b/>
                <w:bCs/>
              </w:rPr>
              <w:t>CMS</w:t>
            </w:r>
          </w:p>
        </w:tc>
        <w:tc>
          <w:tcPr>
            <w:tcW w:w="3327" w:type="pct"/>
            <w:tcBorders>
              <w:top w:val="nil"/>
              <w:left w:val="nil"/>
              <w:bottom w:val="nil"/>
              <w:right w:val="nil"/>
            </w:tcBorders>
          </w:tcPr>
          <w:p w14:paraId="10C68C89" w14:textId="77777777" w:rsidR="00AF274B" w:rsidRDefault="00AF274B">
            <w:pPr>
              <w:pStyle w:val="GlossaryTableText"/>
            </w:pPr>
            <w:r>
              <w:t xml:space="preserve">Centers for Medicare and Medicaid Services. </w:t>
            </w:r>
            <w:r w:rsidR="00F13656">
              <w:t xml:space="preserve">The federal agency responsible for administering the Medicare and Medicaid programs as well as certain other healthcare entitlement programs. </w:t>
            </w:r>
            <w:r w:rsidR="00A42B8B">
              <w:t>“</w:t>
            </w:r>
            <w:r w:rsidR="00F13656">
              <w:t>CMS</w:t>
            </w:r>
            <w:r w:rsidR="00A42B8B">
              <w:t>”</w:t>
            </w:r>
            <w:r>
              <w:t xml:space="preserve"> is the new name for HCFA (Health Care Financing Administration) under the Bush administration.</w:t>
            </w:r>
          </w:p>
        </w:tc>
      </w:tr>
      <w:tr w:rsidR="00AF274B" w14:paraId="1326DE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A0A3C5" w14:textId="77777777" w:rsidR="00AF274B" w:rsidRDefault="00AF274B">
            <w:pPr>
              <w:pStyle w:val="GlossaryTableText"/>
              <w:rPr>
                <w:b/>
                <w:bCs/>
              </w:rPr>
            </w:pPr>
            <w:r>
              <w:rPr>
                <w:b/>
                <w:bCs/>
              </w:rPr>
              <w:t>CMV</w:t>
            </w:r>
          </w:p>
        </w:tc>
        <w:tc>
          <w:tcPr>
            <w:tcW w:w="3327" w:type="pct"/>
            <w:tcBorders>
              <w:top w:val="nil"/>
              <w:left w:val="nil"/>
              <w:bottom w:val="nil"/>
              <w:right w:val="nil"/>
            </w:tcBorders>
          </w:tcPr>
          <w:p w14:paraId="42B77596" w14:textId="77777777" w:rsidR="00AF274B" w:rsidRDefault="00AF274B">
            <w:pPr>
              <w:pStyle w:val="GlossaryTableText"/>
            </w:pPr>
            <w:r>
              <w:t>Cytomegalovirus. Some patients should receive only blood units that have been tested and found negative for CMV.</w:t>
            </w:r>
          </w:p>
        </w:tc>
      </w:tr>
      <w:tr w:rsidR="00083B7D" w14:paraId="5F8975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23406B" w14:textId="77777777" w:rsidR="00083B7D" w:rsidRDefault="00083B7D">
            <w:pPr>
              <w:pStyle w:val="GlossaryTableText"/>
              <w:rPr>
                <w:b/>
                <w:bCs/>
              </w:rPr>
            </w:pPr>
            <w:r>
              <w:rPr>
                <w:b/>
                <w:bCs/>
              </w:rPr>
              <w:t>COTS</w:t>
            </w:r>
          </w:p>
        </w:tc>
        <w:tc>
          <w:tcPr>
            <w:tcW w:w="3327" w:type="pct"/>
            <w:tcBorders>
              <w:top w:val="nil"/>
              <w:left w:val="nil"/>
              <w:bottom w:val="nil"/>
              <w:right w:val="nil"/>
            </w:tcBorders>
          </w:tcPr>
          <w:p w14:paraId="446B32D2" w14:textId="77777777" w:rsidR="00083B7D" w:rsidRDefault="00083B7D">
            <w:pPr>
              <w:pStyle w:val="GlossaryTableText"/>
            </w:pPr>
            <w:r>
              <w:t>Commercial-Off-The-Shelf.</w:t>
            </w:r>
          </w:p>
        </w:tc>
      </w:tr>
      <w:tr w:rsidR="00AF274B" w14:paraId="119A6A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D9EF061" w14:textId="77777777" w:rsidR="00AF274B" w:rsidRDefault="00AF274B">
            <w:pPr>
              <w:pStyle w:val="GlossaryTableText"/>
              <w:rPr>
                <w:b/>
                <w:bCs/>
              </w:rPr>
            </w:pPr>
            <w:r>
              <w:rPr>
                <w:b/>
                <w:bCs/>
              </w:rPr>
              <w:t>Compatibility testing</w:t>
            </w:r>
          </w:p>
        </w:tc>
        <w:tc>
          <w:tcPr>
            <w:tcW w:w="3327" w:type="pct"/>
            <w:tcBorders>
              <w:top w:val="nil"/>
              <w:left w:val="nil"/>
              <w:bottom w:val="nil"/>
              <w:right w:val="nil"/>
            </w:tcBorders>
          </w:tcPr>
          <w:p w14:paraId="5578AD3A" w14:textId="77777777" w:rsidR="00AF274B" w:rsidRDefault="00AF274B">
            <w:pPr>
              <w:pStyle w:val="GlossaryTableText"/>
            </w:pPr>
            <w:r>
              <w:t xml:space="preserve">Tests performed in the blood bank to determine the suitability of a unit of blood for a patient. </w:t>
            </w:r>
            <w:r>
              <w:rPr>
                <w:i/>
              </w:rPr>
              <w:t>Depending on the component class, compatibility testing can be as limited as comparing donor and patient ABO/Rh or as complex as requiring crossmatch.</w:t>
            </w:r>
          </w:p>
        </w:tc>
      </w:tr>
      <w:tr w:rsidR="00AF274B" w14:paraId="40B709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00276B" w14:textId="77777777" w:rsidR="00AF274B" w:rsidRDefault="00AF274B">
            <w:pPr>
              <w:pStyle w:val="GlossaryTableText"/>
              <w:rPr>
                <w:b/>
                <w:bCs/>
              </w:rPr>
            </w:pPr>
            <w:r>
              <w:rPr>
                <w:b/>
                <w:bCs/>
              </w:rPr>
              <w:t>Completed TRW</w:t>
            </w:r>
          </w:p>
        </w:tc>
        <w:tc>
          <w:tcPr>
            <w:tcW w:w="3327" w:type="pct"/>
            <w:tcBorders>
              <w:top w:val="nil"/>
              <w:left w:val="nil"/>
              <w:bottom w:val="nil"/>
              <w:right w:val="nil"/>
            </w:tcBorders>
          </w:tcPr>
          <w:p w14:paraId="5CF511C1" w14:textId="77777777" w:rsidR="00AF274B" w:rsidRDefault="00AF274B">
            <w:pPr>
              <w:pStyle w:val="GlossaryTableText"/>
            </w:pPr>
            <w:r w:rsidRPr="007F427E">
              <w:t xml:space="preserve">A completed TRW indicates that serologic testing was completed. </w:t>
            </w:r>
          </w:p>
        </w:tc>
      </w:tr>
      <w:tr w:rsidR="00AF274B" w14:paraId="27E278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902E4BD" w14:textId="77777777" w:rsidR="00AF274B" w:rsidRDefault="00AF274B">
            <w:pPr>
              <w:pStyle w:val="GlossaryTableText"/>
              <w:rPr>
                <w:b/>
                <w:bCs/>
              </w:rPr>
            </w:pPr>
            <w:r>
              <w:rPr>
                <w:b/>
                <w:bCs/>
              </w:rPr>
              <w:t>Component</w:t>
            </w:r>
          </w:p>
        </w:tc>
        <w:tc>
          <w:tcPr>
            <w:tcW w:w="3327" w:type="pct"/>
            <w:tcBorders>
              <w:top w:val="nil"/>
              <w:left w:val="nil"/>
              <w:bottom w:val="nil"/>
              <w:right w:val="nil"/>
            </w:tcBorders>
          </w:tcPr>
          <w:p w14:paraId="0F0E0500" w14:textId="77777777" w:rsidR="00AF274B" w:rsidRDefault="00AF274B">
            <w:pPr>
              <w:pStyle w:val="GlossaryTableText"/>
            </w:pPr>
            <w:r>
              <w:t>Any raw material, substance, piece, part, software, firmware, labeling, or assembly that is intended to be included as part of the finished, packaged, and labeled device.</w:t>
            </w:r>
          </w:p>
        </w:tc>
      </w:tr>
      <w:tr w:rsidR="00AF274B" w14:paraId="6AA8B1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3242D1" w14:textId="77777777" w:rsidR="00AF274B" w:rsidRDefault="00AF274B">
            <w:pPr>
              <w:pStyle w:val="GlossaryTableText"/>
              <w:rPr>
                <w:b/>
                <w:bCs/>
              </w:rPr>
            </w:pPr>
            <w:r>
              <w:rPr>
                <w:b/>
                <w:bCs/>
              </w:rPr>
              <w:t>Component class</w:t>
            </w:r>
          </w:p>
        </w:tc>
        <w:tc>
          <w:tcPr>
            <w:tcW w:w="3327" w:type="pct"/>
            <w:tcBorders>
              <w:top w:val="nil"/>
              <w:left w:val="nil"/>
              <w:bottom w:val="nil"/>
              <w:right w:val="nil"/>
            </w:tcBorders>
          </w:tcPr>
          <w:p w14:paraId="413A0A44" w14:textId="77777777" w:rsidR="00AF274B" w:rsidRDefault="00AF274B">
            <w:pPr>
              <w:pStyle w:val="GlossaryTableText"/>
            </w:pPr>
            <w:r>
              <w:t xml:space="preserve">The general form of a specific product produced by a blood supplier. </w:t>
            </w:r>
            <w:r>
              <w:rPr>
                <w:i/>
              </w:rPr>
              <w:t>Example: Red Blood Cells, Fresh Frozen Plasma, and Platelets. (</w:t>
            </w:r>
            <w:r>
              <w:t>Product Type</w:t>
            </w:r>
            <w:r>
              <w:rPr>
                <w:i/>
              </w:rPr>
              <w:t xml:space="preserve"> in VBECS model)</w:t>
            </w:r>
          </w:p>
        </w:tc>
      </w:tr>
      <w:tr w:rsidR="00AF274B" w14:paraId="3FEA3F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4A819E4" w14:textId="77777777" w:rsidR="00AF274B" w:rsidRDefault="00AF274B">
            <w:pPr>
              <w:pStyle w:val="GlossaryTableText"/>
              <w:rPr>
                <w:b/>
                <w:bCs/>
              </w:rPr>
            </w:pPr>
            <w:r>
              <w:rPr>
                <w:b/>
                <w:bCs/>
              </w:rPr>
              <w:t>Coombs test</w:t>
            </w:r>
          </w:p>
        </w:tc>
        <w:tc>
          <w:tcPr>
            <w:tcW w:w="3327" w:type="pct"/>
            <w:tcBorders>
              <w:top w:val="nil"/>
              <w:left w:val="nil"/>
              <w:bottom w:val="nil"/>
              <w:right w:val="nil"/>
            </w:tcBorders>
          </w:tcPr>
          <w:p w14:paraId="1FF61E04" w14:textId="77777777" w:rsidR="00AF274B" w:rsidRPr="00366313" w:rsidRDefault="00AF274B" w:rsidP="00366313">
            <w:pPr>
              <w:pStyle w:val="GlossaryTableText"/>
            </w:pPr>
            <w:r w:rsidRPr="00366313">
              <w:t xml:space="preserve">See </w:t>
            </w:r>
            <w:r>
              <w:t>“</w:t>
            </w:r>
            <w:r w:rsidRPr="00366313">
              <w:t>Anti-Human Globulin.</w:t>
            </w:r>
            <w:r>
              <w:t>”</w:t>
            </w:r>
          </w:p>
        </w:tc>
      </w:tr>
      <w:tr w:rsidR="00AF274B" w14:paraId="4FE3DB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88AF0CC" w14:textId="77777777" w:rsidR="00AF274B" w:rsidRDefault="00AF274B">
            <w:pPr>
              <w:pStyle w:val="GlossaryTableText"/>
              <w:rPr>
                <w:b/>
                <w:bCs/>
              </w:rPr>
            </w:pPr>
            <w:r>
              <w:rPr>
                <w:b/>
                <w:bCs/>
              </w:rPr>
              <w:t>CPRS</w:t>
            </w:r>
          </w:p>
        </w:tc>
        <w:tc>
          <w:tcPr>
            <w:tcW w:w="3327" w:type="pct"/>
            <w:tcBorders>
              <w:top w:val="nil"/>
              <w:left w:val="nil"/>
              <w:bottom w:val="nil"/>
              <w:right w:val="nil"/>
            </w:tcBorders>
          </w:tcPr>
          <w:p w14:paraId="25447FB4" w14:textId="77777777" w:rsidR="00AF274B" w:rsidRDefault="00AF274B">
            <w:pPr>
              <w:pStyle w:val="GlossaryTableText"/>
            </w:pPr>
            <w:r>
              <w:t xml:space="preserve">Computerized Patient Record System. A </w:t>
            </w:r>
            <w:r w:rsidRPr="00CA6E27">
              <w:rPr>
                <w:bCs/>
              </w:rPr>
              <w:t>VistA</w:t>
            </w:r>
            <w:r>
              <w:t xml:space="preserve"> software application that provides an integrated patient record system for use by clinicians, managers, quality assurance staff, and researchers.</w:t>
            </w:r>
          </w:p>
        </w:tc>
      </w:tr>
      <w:tr w:rsidR="00AF274B" w14:paraId="25193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7074E2" w14:textId="77777777" w:rsidR="00AF274B" w:rsidRDefault="00AF274B">
            <w:pPr>
              <w:pStyle w:val="GlossaryTableText"/>
              <w:rPr>
                <w:b/>
                <w:bCs/>
              </w:rPr>
            </w:pPr>
            <w:r>
              <w:rPr>
                <w:b/>
                <w:bCs/>
              </w:rPr>
              <w:t>CPT</w:t>
            </w:r>
          </w:p>
        </w:tc>
        <w:tc>
          <w:tcPr>
            <w:tcW w:w="3327" w:type="pct"/>
            <w:tcBorders>
              <w:top w:val="nil"/>
              <w:left w:val="nil"/>
              <w:bottom w:val="nil"/>
              <w:right w:val="nil"/>
            </w:tcBorders>
          </w:tcPr>
          <w:p w14:paraId="3C4102E7" w14:textId="77777777" w:rsidR="00AF274B" w:rsidRDefault="00AF274B">
            <w:pPr>
              <w:pStyle w:val="GlossaryTableText"/>
              <w:rPr>
                <w:i/>
              </w:rPr>
            </w:pPr>
            <w:r>
              <w:t xml:space="preserve">Current Procedural Terminology. A proprietary terminology system owned by the AMA that enumerates medical and surgical services typically provided by physicians. </w:t>
            </w:r>
            <w:r>
              <w:rPr>
                <w:i/>
                <w:iCs/>
              </w:rPr>
              <w:t>Although CPT is proprietary, CMS (formerly HCFA) includes it in HCPCS and requires its use for outpatient claims submitted for Medicare and Medicaid beneficiaries.</w:t>
            </w:r>
          </w:p>
        </w:tc>
      </w:tr>
      <w:tr w:rsidR="00AF274B" w14:paraId="72679D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FB211C" w14:textId="77777777" w:rsidR="00AF274B" w:rsidRDefault="00AF274B">
            <w:pPr>
              <w:pStyle w:val="GlossaryTableText"/>
              <w:rPr>
                <w:b/>
                <w:bCs/>
              </w:rPr>
            </w:pPr>
            <w:r>
              <w:rPr>
                <w:b/>
                <w:bCs/>
              </w:rPr>
              <w:lastRenderedPageBreak/>
              <w:t>Crossmatch</w:t>
            </w:r>
          </w:p>
        </w:tc>
        <w:tc>
          <w:tcPr>
            <w:tcW w:w="3327" w:type="pct"/>
            <w:tcBorders>
              <w:top w:val="nil"/>
              <w:left w:val="nil"/>
              <w:bottom w:val="nil"/>
              <w:right w:val="nil"/>
            </w:tcBorders>
          </w:tcPr>
          <w:p w14:paraId="643222A2" w14:textId="77777777" w:rsidR="00AF274B" w:rsidRDefault="00AF274B">
            <w:pPr>
              <w:pStyle w:val="GlossaryTableText"/>
            </w:pPr>
            <w:r>
              <w:t xml:space="preserve">A procedure that demonstrates ABO compatibility and the absence of clinically significant antibody reactions between a patient and a unit of blood. </w:t>
            </w:r>
            <w:r>
              <w:rPr>
                <w:i/>
              </w:rPr>
              <w:t>Traditionally, a crossmatch consists of a serological test between the patient’s blood and a sample of the blood unit to be transfused. New regulations allow for what is called “computer/electronic crossmatch” in defined circumstances.</w:t>
            </w:r>
          </w:p>
        </w:tc>
      </w:tr>
      <w:tr w:rsidR="00AF274B" w14:paraId="53907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134DD7" w14:textId="77777777" w:rsidR="00AF274B" w:rsidRDefault="00AF274B">
            <w:pPr>
              <w:pStyle w:val="GlossaryTableText"/>
              <w:rPr>
                <w:b/>
                <w:bCs/>
              </w:rPr>
            </w:pPr>
            <w:r>
              <w:rPr>
                <w:b/>
                <w:bCs/>
              </w:rPr>
              <w:t>Crossover</w:t>
            </w:r>
          </w:p>
        </w:tc>
        <w:tc>
          <w:tcPr>
            <w:tcW w:w="3327" w:type="pct"/>
            <w:tcBorders>
              <w:top w:val="nil"/>
              <w:left w:val="nil"/>
              <w:bottom w:val="nil"/>
              <w:right w:val="nil"/>
            </w:tcBorders>
          </w:tcPr>
          <w:p w14:paraId="5B9DE614" w14:textId="77777777" w:rsidR="00AF274B" w:rsidRDefault="00AF274B">
            <w:pPr>
              <w:pStyle w:val="GlossaryTableText"/>
              <w:rPr>
                <w:i/>
              </w:rPr>
            </w:pPr>
            <w:r>
              <w:t xml:space="preserve">A process by which an autologous or directed donor unit is released from the intended recipient and made available for general transfusion. </w:t>
            </w:r>
            <w:r>
              <w:rPr>
                <w:i/>
              </w:rPr>
              <w:t>VBECS supports only directed unit crossover.</w:t>
            </w:r>
          </w:p>
        </w:tc>
      </w:tr>
      <w:tr w:rsidR="00AF274B" w14:paraId="4CE4B2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3A4CAC" w14:textId="77777777" w:rsidR="00AF274B" w:rsidRDefault="00AF274B">
            <w:pPr>
              <w:pStyle w:val="GlossaryTableText"/>
              <w:rPr>
                <w:b/>
                <w:bCs/>
              </w:rPr>
            </w:pPr>
            <w:r>
              <w:rPr>
                <w:b/>
                <w:bCs/>
              </w:rPr>
              <w:t>D</w:t>
            </w:r>
          </w:p>
        </w:tc>
        <w:tc>
          <w:tcPr>
            <w:tcW w:w="3327" w:type="pct"/>
            <w:tcBorders>
              <w:top w:val="nil"/>
              <w:left w:val="nil"/>
              <w:bottom w:val="nil"/>
              <w:right w:val="nil"/>
            </w:tcBorders>
          </w:tcPr>
          <w:p w14:paraId="1F9C5E91" w14:textId="77777777" w:rsidR="00AF274B" w:rsidRDefault="00AF274B">
            <w:pPr>
              <w:pStyle w:val="GlossaryTableText"/>
            </w:pPr>
            <w:r>
              <w:t>The major antigen of the Rh system. Also “Rh</w:t>
            </w:r>
            <w:r>
              <w:rPr>
                <w:vertAlign w:val="subscript"/>
              </w:rPr>
              <w:t>o</w:t>
            </w:r>
            <w:r>
              <w:t xml:space="preserve">.” </w:t>
            </w:r>
            <w:r>
              <w:rPr>
                <w:i/>
              </w:rPr>
              <w:t>The presence of this antigen on red blood cells determines if a patient or donor is Rh Pos or Rh Neg. A weak expression of the D antigen, referred to as “Du” or “weak D,” may require additional testing to determine its presence. “D negative” is another term for “Rh negative”; “D control” is another term for “Rh control.” The convention for VBECS GUIs is D control.</w:t>
            </w:r>
          </w:p>
        </w:tc>
      </w:tr>
      <w:tr w:rsidR="00AF274B" w14:paraId="1C276B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A93912" w14:textId="77777777" w:rsidR="00AF274B" w:rsidRDefault="00AF274B">
            <w:pPr>
              <w:pStyle w:val="GlossaryTableText"/>
              <w:rPr>
                <w:b/>
              </w:rPr>
            </w:pPr>
            <w:r>
              <w:rPr>
                <w:b/>
                <w:snapToGrid w:val="0"/>
              </w:rPr>
              <w:t>Data entry grid</w:t>
            </w:r>
          </w:p>
        </w:tc>
        <w:tc>
          <w:tcPr>
            <w:tcW w:w="3327" w:type="pct"/>
            <w:tcBorders>
              <w:top w:val="nil"/>
              <w:left w:val="nil"/>
              <w:bottom w:val="nil"/>
              <w:right w:val="nil"/>
            </w:tcBorders>
          </w:tcPr>
          <w:p w14:paraId="02FF6DE4" w14:textId="77777777" w:rsidR="00AF274B" w:rsidRDefault="00AF274B">
            <w:pPr>
              <w:pStyle w:val="GlossaryTableText"/>
              <w:rPr>
                <w:snapToGrid w:val="0"/>
              </w:rPr>
            </w:pPr>
            <w:r>
              <w:rPr>
                <w:snapToGrid w:val="0"/>
              </w:rPr>
              <w:t>A grid that contains observations and interpretations of observations.</w:t>
            </w:r>
          </w:p>
        </w:tc>
      </w:tr>
      <w:tr w:rsidR="00AF274B" w14:paraId="229937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F4711F6" w14:textId="77777777" w:rsidR="00AF274B" w:rsidRDefault="00AF274B">
            <w:pPr>
              <w:pStyle w:val="GlossaryTableText"/>
              <w:rPr>
                <w:b/>
              </w:rPr>
            </w:pPr>
            <w:r>
              <w:rPr>
                <w:b/>
              </w:rPr>
              <w:t>Database</w:t>
            </w:r>
          </w:p>
        </w:tc>
        <w:tc>
          <w:tcPr>
            <w:tcW w:w="3327" w:type="pct"/>
            <w:tcBorders>
              <w:top w:val="nil"/>
              <w:left w:val="nil"/>
              <w:bottom w:val="nil"/>
              <w:right w:val="nil"/>
            </w:tcBorders>
          </w:tcPr>
          <w:p w14:paraId="5488E3D5" w14:textId="77777777" w:rsidR="00AF274B" w:rsidRDefault="00AF274B">
            <w:pPr>
              <w:pStyle w:val="GlossaryTableText"/>
            </w:pPr>
            <w:r>
              <w:t>A collection of data arranged for ease and speed of retrieval that may or may not contain data from multiple VBECS divisions.</w:t>
            </w:r>
          </w:p>
        </w:tc>
      </w:tr>
      <w:tr w:rsidR="00AF274B" w14:paraId="2FE3BC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F5CA08" w14:textId="77777777" w:rsidR="00AF274B" w:rsidRDefault="00AF274B">
            <w:pPr>
              <w:pStyle w:val="GlossaryTableText"/>
              <w:rPr>
                <w:b/>
              </w:rPr>
            </w:pPr>
            <w:r>
              <w:rPr>
                <w:b/>
              </w:rPr>
              <w:t>Day of use</w:t>
            </w:r>
          </w:p>
        </w:tc>
        <w:tc>
          <w:tcPr>
            <w:tcW w:w="3327" w:type="pct"/>
            <w:tcBorders>
              <w:top w:val="nil"/>
              <w:left w:val="nil"/>
              <w:bottom w:val="nil"/>
              <w:right w:val="nil"/>
            </w:tcBorders>
          </w:tcPr>
          <w:p w14:paraId="7254879E" w14:textId="77777777" w:rsidR="00AF274B" w:rsidRDefault="00AF274B">
            <w:pPr>
              <w:pStyle w:val="GlossaryTableText"/>
              <w:rPr>
                <w:snapToGrid w:val="0"/>
              </w:rPr>
            </w:pPr>
            <w:r>
              <w:t>The calendar date times (0000–2359) a reagent is used.</w:t>
            </w:r>
          </w:p>
        </w:tc>
      </w:tr>
      <w:tr w:rsidR="00AF274B" w14:paraId="195B9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B7B77C" w14:textId="77777777" w:rsidR="00AF274B" w:rsidRDefault="00AF274B">
            <w:pPr>
              <w:pStyle w:val="GlossaryTableText"/>
              <w:rPr>
                <w:b/>
              </w:rPr>
            </w:pPr>
            <w:r>
              <w:rPr>
                <w:b/>
              </w:rPr>
              <w:t>DDE</w:t>
            </w:r>
          </w:p>
        </w:tc>
        <w:tc>
          <w:tcPr>
            <w:tcW w:w="3327" w:type="pct"/>
            <w:tcBorders>
              <w:top w:val="nil"/>
              <w:left w:val="nil"/>
              <w:bottom w:val="nil"/>
              <w:right w:val="nil"/>
            </w:tcBorders>
          </w:tcPr>
          <w:p w14:paraId="7906EA68" w14:textId="77777777" w:rsidR="00AF274B" w:rsidRDefault="00AF274B">
            <w:pPr>
              <w:pStyle w:val="GlossaryTableText"/>
            </w:pPr>
            <w:r>
              <w:t xml:space="preserve">Direct data entry. </w:t>
            </w:r>
          </w:p>
        </w:tc>
      </w:tr>
      <w:tr w:rsidR="00AF274B" w14:paraId="499FE3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38AC69" w14:textId="77777777" w:rsidR="00AF274B" w:rsidRDefault="00AF274B">
            <w:pPr>
              <w:pStyle w:val="GlossaryTableText"/>
              <w:rPr>
                <w:b/>
              </w:rPr>
            </w:pPr>
            <w:r>
              <w:rPr>
                <w:b/>
              </w:rPr>
              <w:t>Delete</w:t>
            </w:r>
          </w:p>
        </w:tc>
        <w:tc>
          <w:tcPr>
            <w:tcW w:w="3327" w:type="pct"/>
            <w:tcBorders>
              <w:top w:val="nil"/>
              <w:left w:val="nil"/>
              <w:bottom w:val="nil"/>
              <w:right w:val="nil"/>
            </w:tcBorders>
          </w:tcPr>
          <w:p w14:paraId="1B3B3654" w14:textId="77777777" w:rsidR="00AF274B" w:rsidRPr="007A099E" w:rsidRDefault="00AF274B" w:rsidP="007A099E">
            <w:pPr>
              <w:pStyle w:val="TableText"/>
            </w:pPr>
            <w:r>
              <w:t>Remove a VBECS record from user access and keep it in the database.</w:t>
            </w:r>
          </w:p>
        </w:tc>
      </w:tr>
      <w:tr w:rsidR="00AF274B" w14:paraId="0C0267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E754B5" w14:textId="77777777" w:rsidR="00AF274B" w:rsidRDefault="00AF274B">
            <w:pPr>
              <w:pStyle w:val="GlossaryTableText"/>
              <w:rPr>
                <w:b/>
              </w:rPr>
            </w:pPr>
            <w:r>
              <w:rPr>
                <w:b/>
              </w:rPr>
              <w:t>Direct Antiglobulin Test (DAT)</w:t>
            </w:r>
          </w:p>
        </w:tc>
        <w:tc>
          <w:tcPr>
            <w:tcW w:w="3327" w:type="pct"/>
            <w:tcBorders>
              <w:top w:val="nil"/>
              <w:left w:val="nil"/>
              <w:bottom w:val="nil"/>
              <w:right w:val="nil"/>
            </w:tcBorders>
          </w:tcPr>
          <w:p w14:paraId="66A967DD" w14:textId="77777777" w:rsidR="00AF274B" w:rsidRDefault="00AF274B">
            <w:pPr>
              <w:pStyle w:val="GlossaryTableText"/>
              <w:rPr>
                <w:b/>
              </w:rPr>
            </w:pPr>
            <w:r>
              <w:t xml:space="preserve">A laboratory test performed in a blood bank in conjunction with pre-transfusion testing or as a diagnostic test. </w:t>
            </w:r>
            <w:r>
              <w:rPr>
                <w:i/>
              </w:rPr>
              <w:t>A positive DAT indicates that an antibody-antigen reaction may have occurred in vivo, which may be related to medications or previous transfusions. “Direct Coombs” and “DAT” are used interchangeably.</w:t>
            </w:r>
          </w:p>
        </w:tc>
      </w:tr>
      <w:tr w:rsidR="00AF274B" w14:paraId="5F0806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456CED" w14:textId="77777777" w:rsidR="00AF274B" w:rsidRDefault="00AF274B">
            <w:pPr>
              <w:pStyle w:val="GlossaryTableText"/>
              <w:rPr>
                <w:b/>
              </w:rPr>
            </w:pPr>
            <w:r>
              <w:rPr>
                <w:b/>
              </w:rPr>
              <w:t>Direct data entry (DDE)</w:t>
            </w:r>
          </w:p>
        </w:tc>
        <w:tc>
          <w:tcPr>
            <w:tcW w:w="3327" w:type="pct"/>
            <w:tcBorders>
              <w:top w:val="nil"/>
              <w:left w:val="nil"/>
              <w:bottom w:val="nil"/>
              <w:right w:val="nil"/>
            </w:tcBorders>
          </w:tcPr>
          <w:p w14:paraId="297094C5" w14:textId="77777777" w:rsidR="00AF274B" w:rsidRDefault="00AF274B">
            <w:pPr>
              <w:pStyle w:val="GlossaryTableText"/>
            </w:pPr>
            <w:r>
              <w:t>The process of entering test results in a computer rather than recording them on paper.</w:t>
            </w:r>
          </w:p>
        </w:tc>
      </w:tr>
      <w:tr w:rsidR="00AF274B" w14:paraId="2FD77F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F90FDB" w14:textId="77777777" w:rsidR="00AF274B" w:rsidRDefault="00AF274B">
            <w:pPr>
              <w:pStyle w:val="GlossaryTableText"/>
              <w:rPr>
                <w:b/>
              </w:rPr>
            </w:pPr>
            <w:r>
              <w:rPr>
                <w:b/>
              </w:rPr>
              <w:t>Directed</w:t>
            </w:r>
          </w:p>
        </w:tc>
        <w:tc>
          <w:tcPr>
            <w:tcW w:w="3327" w:type="pct"/>
            <w:tcBorders>
              <w:top w:val="nil"/>
              <w:left w:val="nil"/>
              <w:bottom w:val="nil"/>
              <w:right w:val="nil"/>
            </w:tcBorders>
          </w:tcPr>
          <w:p w14:paraId="5AE21F4C" w14:textId="77777777" w:rsidR="00AF274B" w:rsidRDefault="00AF274B">
            <w:pPr>
              <w:pStyle w:val="GlossaryTableText"/>
            </w:pPr>
            <w:r>
              <w:t xml:space="preserve">Blood that is donated in advance to be set aside for a specific patient. </w:t>
            </w:r>
            <w:r>
              <w:rPr>
                <w:i/>
              </w:rPr>
              <w:t>Directed donation units must meet all of the requirements of any regular unit of donated blood (all disease marker testing must be negative). If not needed by the intended recipient, a directed unit may be released for general use.</w:t>
            </w:r>
          </w:p>
        </w:tc>
      </w:tr>
      <w:tr w:rsidR="00AF274B" w14:paraId="2C7442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36AFA5" w14:textId="77777777" w:rsidR="00AF274B" w:rsidRDefault="00AF274B">
            <w:pPr>
              <w:pStyle w:val="GlossaryTableText"/>
              <w:rPr>
                <w:b/>
              </w:rPr>
            </w:pPr>
            <w:r>
              <w:rPr>
                <w:b/>
              </w:rPr>
              <w:t>Disposition</w:t>
            </w:r>
          </w:p>
        </w:tc>
        <w:tc>
          <w:tcPr>
            <w:tcW w:w="3327" w:type="pct"/>
            <w:tcBorders>
              <w:top w:val="nil"/>
              <w:left w:val="nil"/>
              <w:bottom w:val="nil"/>
              <w:right w:val="nil"/>
            </w:tcBorders>
          </w:tcPr>
          <w:p w14:paraId="41FD4607" w14:textId="77777777" w:rsidR="00AF274B" w:rsidRDefault="00AF274B">
            <w:pPr>
              <w:pStyle w:val="GlossaryTableText"/>
            </w:pPr>
            <w:r>
              <w:t xml:space="preserve">The recorded final state of a blood unit. </w:t>
            </w:r>
            <w:r>
              <w:rPr>
                <w:i/>
              </w:rPr>
              <w:t>A blood unit with a disposition is no longer available for routine processing.</w:t>
            </w:r>
          </w:p>
        </w:tc>
      </w:tr>
      <w:tr w:rsidR="00AF274B" w14:paraId="239A40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3242451" w14:textId="77777777" w:rsidR="00AF274B" w:rsidRDefault="00AF274B">
            <w:pPr>
              <w:pStyle w:val="GlossaryTableText"/>
              <w:rPr>
                <w:b/>
                <w:bCs/>
              </w:rPr>
            </w:pPr>
            <w:r>
              <w:rPr>
                <w:b/>
                <w:bCs/>
              </w:rPr>
              <w:t>Edit</w:t>
            </w:r>
          </w:p>
        </w:tc>
        <w:tc>
          <w:tcPr>
            <w:tcW w:w="3327" w:type="pct"/>
            <w:tcBorders>
              <w:top w:val="nil"/>
              <w:left w:val="nil"/>
              <w:bottom w:val="nil"/>
              <w:right w:val="nil"/>
            </w:tcBorders>
          </w:tcPr>
          <w:p w14:paraId="1C91E210" w14:textId="77777777" w:rsidR="00AF274B" w:rsidRDefault="00AF274B">
            <w:pPr>
              <w:pStyle w:val="GlossaryTableText"/>
            </w:pPr>
            <w:r>
              <w:t xml:space="preserve">To enter or change previously saved information. </w:t>
            </w:r>
            <w:r>
              <w:rPr>
                <w:i/>
              </w:rPr>
              <w:t>VistA overwrites the data and does not create an audit trail. VBECS overlays the data and creates an audit trail.</w:t>
            </w:r>
          </w:p>
        </w:tc>
      </w:tr>
      <w:tr w:rsidR="00AF274B" w14:paraId="689A92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E5A4805" w14:textId="77777777" w:rsidR="00AF274B" w:rsidRDefault="00AF274B">
            <w:pPr>
              <w:pStyle w:val="GlossaryTableText"/>
              <w:rPr>
                <w:b/>
                <w:bCs/>
              </w:rPr>
            </w:pPr>
            <w:r>
              <w:rPr>
                <w:b/>
                <w:bCs/>
              </w:rPr>
              <w:t>Emergency issue</w:t>
            </w:r>
          </w:p>
        </w:tc>
        <w:tc>
          <w:tcPr>
            <w:tcW w:w="3327" w:type="pct"/>
            <w:tcBorders>
              <w:top w:val="nil"/>
              <w:left w:val="nil"/>
              <w:bottom w:val="nil"/>
              <w:right w:val="nil"/>
            </w:tcBorders>
          </w:tcPr>
          <w:p w14:paraId="4889C6C0" w14:textId="77777777" w:rsidR="00AF274B" w:rsidRDefault="00AF274B">
            <w:pPr>
              <w:pStyle w:val="GlossaryTableText"/>
            </w:pPr>
            <w:r>
              <w:t xml:space="preserve">The release of blood prior to pre-transfusion testing and crossmatch. </w:t>
            </w:r>
          </w:p>
        </w:tc>
      </w:tr>
      <w:tr w:rsidR="00AF274B" w14:paraId="516F35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D02C259" w14:textId="77777777" w:rsidR="00AF274B" w:rsidRDefault="00AF274B">
            <w:pPr>
              <w:pStyle w:val="GlossaryTableText"/>
              <w:rPr>
                <w:b/>
                <w:bCs/>
              </w:rPr>
            </w:pPr>
            <w:r>
              <w:rPr>
                <w:b/>
                <w:bCs/>
              </w:rPr>
              <w:t>Exception Report</w:t>
            </w:r>
          </w:p>
        </w:tc>
        <w:tc>
          <w:tcPr>
            <w:tcW w:w="3327" w:type="pct"/>
            <w:tcBorders>
              <w:top w:val="nil"/>
              <w:left w:val="nil"/>
              <w:bottom w:val="nil"/>
              <w:right w:val="nil"/>
            </w:tcBorders>
          </w:tcPr>
          <w:p w14:paraId="3DE691AC" w14:textId="77777777" w:rsidR="00AF274B" w:rsidRDefault="00AF274B">
            <w:pPr>
              <w:pStyle w:val="GlossaryTableText"/>
            </w:pPr>
            <w:r>
              <w:t xml:space="preserve">A report that details a user deviation from a standard process. </w:t>
            </w:r>
            <w:r>
              <w:rPr>
                <w:i/>
              </w:rPr>
              <w:t>Example: a user overrides a warning and is required to enter a justification for continuing.</w:t>
            </w:r>
            <w:r>
              <w:t xml:space="preserve"> </w:t>
            </w:r>
          </w:p>
        </w:tc>
      </w:tr>
      <w:tr w:rsidR="00AF274B" w14:paraId="7C29D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75632D" w14:textId="77777777" w:rsidR="00AF274B" w:rsidRDefault="00AF274B">
            <w:pPr>
              <w:pStyle w:val="GlossaryTableText"/>
              <w:rPr>
                <w:b/>
                <w:bCs/>
              </w:rPr>
            </w:pPr>
            <w:r>
              <w:rPr>
                <w:b/>
                <w:bCs/>
                <w:snapToGrid w:val="0"/>
              </w:rPr>
              <w:t>eXM</w:t>
            </w:r>
          </w:p>
        </w:tc>
        <w:tc>
          <w:tcPr>
            <w:tcW w:w="3327" w:type="pct"/>
            <w:tcBorders>
              <w:top w:val="nil"/>
              <w:left w:val="nil"/>
              <w:bottom w:val="nil"/>
              <w:right w:val="nil"/>
            </w:tcBorders>
          </w:tcPr>
          <w:p w14:paraId="5C6A7C27" w14:textId="77777777" w:rsidR="00AF274B" w:rsidRDefault="00AF274B">
            <w:pPr>
              <w:pStyle w:val="GlossaryTableText"/>
              <w:rPr>
                <w:b/>
              </w:rPr>
            </w:pPr>
            <w:r>
              <w:rPr>
                <w:snapToGrid w:val="0"/>
              </w:rPr>
              <w:t>Electronic crossmatch.</w:t>
            </w:r>
          </w:p>
        </w:tc>
      </w:tr>
      <w:tr w:rsidR="00AF274B" w14:paraId="5D5CB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285955" w14:textId="77777777" w:rsidR="00AF274B" w:rsidRDefault="00AF274B">
            <w:pPr>
              <w:pStyle w:val="GlossaryTableText"/>
              <w:rPr>
                <w:b/>
                <w:bCs/>
              </w:rPr>
            </w:pPr>
            <w:r>
              <w:rPr>
                <w:b/>
                <w:bCs/>
              </w:rPr>
              <w:lastRenderedPageBreak/>
              <w:t>Expiration date</w:t>
            </w:r>
          </w:p>
        </w:tc>
        <w:tc>
          <w:tcPr>
            <w:tcW w:w="3327" w:type="pct"/>
            <w:tcBorders>
              <w:top w:val="nil"/>
              <w:left w:val="nil"/>
              <w:bottom w:val="nil"/>
              <w:right w:val="nil"/>
            </w:tcBorders>
          </w:tcPr>
          <w:p w14:paraId="62F7F41C" w14:textId="7BA88A13" w:rsidR="00AF274B" w:rsidRDefault="00AF274B">
            <w:pPr>
              <w:pStyle w:val="GlossaryTableText"/>
            </w:pPr>
            <w:r>
              <w:t xml:space="preserve">The last date during which a blood component can be considered safe for transfusion. </w:t>
            </w:r>
            <w:r>
              <w:rPr>
                <w:i/>
              </w:rPr>
              <w:t>If the expiration date does not include a time, the time is assumed to be</w:t>
            </w:r>
            <w:r w:rsidR="00143C19">
              <w:rPr>
                <w:i/>
              </w:rPr>
              <w:t xml:space="preserve"> at</w:t>
            </w:r>
            <w:r>
              <w:rPr>
                <w:i/>
              </w:rPr>
              <w:t xml:space="preserve"> </w:t>
            </w:r>
            <w:r w:rsidR="00143C19">
              <w:rPr>
                <w:i/>
              </w:rPr>
              <w:t>23:59</w:t>
            </w:r>
            <w:r>
              <w:rPr>
                <w:i/>
              </w:rPr>
              <w:t>.</w:t>
            </w:r>
          </w:p>
        </w:tc>
      </w:tr>
      <w:tr w:rsidR="00AF274B" w14:paraId="1FF4B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6A6B3D" w14:textId="77777777" w:rsidR="00AF274B" w:rsidRDefault="00AF274B">
            <w:pPr>
              <w:pStyle w:val="GlossaryTableText"/>
              <w:rPr>
                <w:b/>
                <w:bCs/>
              </w:rPr>
            </w:pPr>
            <w:r>
              <w:rPr>
                <w:b/>
                <w:bCs/>
              </w:rPr>
              <w:t>Facility (see “Site”)</w:t>
            </w:r>
          </w:p>
        </w:tc>
        <w:tc>
          <w:tcPr>
            <w:tcW w:w="3327" w:type="pct"/>
            <w:tcBorders>
              <w:top w:val="nil"/>
              <w:left w:val="nil"/>
              <w:bottom w:val="nil"/>
              <w:right w:val="nil"/>
            </w:tcBorders>
          </w:tcPr>
          <w:p w14:paraId="7DA0E16B" w14:textId="77777777" w:rsidR="00AF274B" w:rsidRDefault="00AF274B">
            <w:pPr>
              <w:pStyle w:val="GlossaryTableText"/>
            </w:pPr>
            <w:r>
              <w:t>A blood bank laboratory where a blood unit is located.</w:t>
            </w:r>
          </w:p>
        </w:tc>
      </w:tr>
      <w:tr w:rsidR="00AF274B" w14:paraId="7EEBC8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7980" w14:textId="77777777" w:rsidR="00AF274B" w:rsidRDefault="00AF274B">
            <w:pPr>
              <w:pStyle w:val="GlossaryTableText"/>
              <w:rPr>
                <w:b/>
                <w:bCs/>
              </w:rPr>
            </w:pPr>
            <w:r>
              <w:rPr>
                <w:b/>
                <w:bCs/>
              </w:rPr>
              <w:t>FDA</w:t>
            </w:r>
          </w:p>
        </w:tc>
        <w:tc>
          <w:tcPr>
            <w:tcW w:w="3327" w:type="pct"/>
            <w:tcBorders>
              <w:top w:val="nil"/>
              <w:left w:val="nil"/>
              <w:bottom w:val="nil"/>
              <w:right w:val="nil"/>
            </w:tcBorders>
          </w:tcPr>
          <w:p w14:paraId="6092E86F" w14:textId="77777777" w:rsidR="00AF274B" w:rsidRDefault="00AF274B">
            <w:pPr>
              <w:pStyle w:val="GlossaryTableText"/>
            </w:pPr>
            <w:r>
              <w:t>Food and Drug Administration.</w:t>
            </w:r>
          </w:p>
        </w:tc>
      </w:tr>
      <w:tr w:rsidR="00AF274B" w14:paraId="7BD907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4B84B6E" w14:textId="77777777" w:rsidR="00AF274B" w:rsidRDefault="00AF274B">
            <w:pPr>
              <w:pStyle w:val="GlossaryTableText"/>
              <w:rPr>
                <w:b/>
                <w:bCs/>
              </w:rPr>
            </w:pPr>
            <w:r>
              <w:rPr>
                <w:b/>
                <w:bCs/>
              </w:rPr>
              <w:t>File</w:t>
            </w:r>
          </w:p>
        </w:tc>
        <w:tc>
          <w:tcPr>
            <w:tcW w:w="3327" w:type="pct"/>
            <w:tcBorders>
              <w:top w:val="nil"/>
              <w:left w:val="nil"/>
              <w:bottom w:val="nil"/>
              <w:right w:val="nil"/>
            </w:tcBorders>
          </w:tcPr>
          <w:p w14:paraId="5D32AB0D" w14:textId="77777777" w:rsidR="00AF274B" w:rsidRDefault="00AF274B">
            <w:pPr>
              <w:pStyle w:val="GlossaryTableText"/>
            </w:pPr>
            <w:r>
              <w:t>Source code, data, and documentation.</w:t>
            </w:r>
          </w:p>
        </w:tc>
      </w:tr>
      <w:tr w:rsidR="00AF274B" w14:paraId="793DE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0A945B" w14:textId="77777777" w:rsidR="00AF274B" w:rsidRDefault="00AF274B">
            <w:pPr>
              <w:pStyle w:val="GlossaryTableText"/>
              <w:rPr>
                <w:b/>
                <w:bCs/>
              </w:rPr>
            </w:pPr>
            <w:r>
              <w:rPr>
                <w:b/>
                <w:bCs/>
              </w:rPr>
              <w:t>Finalized TRW</w:t>
            </w:r>
          </w:p>
        </w:tc>
        <w:tc>
          <w:tcPr>
            <w:tcW w:w="3327" w:type="pct"/>
            <w:tcBorders>
              <w:top w:val="nil"/>
              <w:left w:val="nil"/>
              <w:bottom w:val="nil"/>
              <w:right w:val="nil"/>
            </w:tcBorders>
          </w:tcPr>
          <w:p w14:paraId="40EA57FA" w14:textId="77777777" w:rsidR="00AF274B" w:rsidRDefault="00AF274B">
            <w:pPr>
              <w:pStyle w:val="GlossaryTableText"/>
            </w:pPr>
            <w:r w:rsidRPr="007F427E">
              <w:t>A finalized TRW indicates that the medical director reviewed the TRW, classified the reaction, and may make recommendations for future transfusions.</w:t>
            </w:r>
          </w:p>
        </w:tc>
      </w:tr>
      <w:tr w:rsidR="001A1559" w14:paraId="78F5D1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FCB5C8" w14:textId="77777777" w:rsidR="001A1559" w:rsidRDefault="001A1559">
            <w:pPr>
              <w:pStyle w:val="GlossaryTableText"/>
              <w:rPr>
                <w:b/>
                <w:bCs/>
              </w:rPr>
            </w:pPr>
            <w:r>
              <w:rPr>
                <w:b/>
                <w:bCs/>
              </w:rPr>
              <w:t>FOIA</w:t>
            </w:r>
          </w:p>
        </w:tc>
        <w:tc>
          <w:tcPr>
            <w:tcW w:w="3327" w:type="pct"/>
            <w:tcBorders>
              <w:top w:val="nil"/>
              <w:left w:val="nil"/>
              <w:bottom w:val="nil"/>
              <w:right w:val="nil"/>
            </w:tcBorders>
          </w:tcPr>
          <w:p w14:paraId="5AD6AE9E" w14:textId="77777777" w:rsidR="001A1559" w:rsidRDefault="001A1559">
            <w:pPr>
              <w:pStyle w:val="GlossaryTableText"/>
            </w:pPr>
            <w:r>
              <w:t>Freedom of Information Act.</w:t>
            </w:r>
          </w:p>
        </w:tc>
      </w:tr>
      <w:tr w:rsidR="00AF274B" w14:paraId="15AE3D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DB03" w14:textId="77777777" w:rsidR="00AF274B" w:rsidRDefault="00AF274B">
            <w:pPr>
              <w:pStyle w:val="GlossaryTableText"/>
              <w:rPr>
                <w:b/>
                <w:bCs/>
              </w:rPr>
            </w:pPr>
            <w:r>
              <w:rPr>
                <w:b/>
                <w:bCs/>
              </w:rPr>
              <w:t>HCPCS</w:t>
            </w:r>
          </w:p>
        </w:tc>
        <w:tc>
          <w:tcPr>
            <w:tcW w:w="3327" w:type="pct"/>
            <w:tcBorders>
              <w:top w:val="nil"/>
              <w:left w:val="nil"/>
              <w:bottom w:val="nil"/>
              <w:right w:val="nil"/>
            </w:tcBorders>
          </w:tcPr>
          <w:p w14:paraId="6F2FBE8E" w14:textId="77777777" w:rsidR="00AF274B" w:rsidRDefault="00AF274B">
            <w:pPr>
              <w:pStyle w:val="GlossaryTableText"/>
              <w:rPr>
                <w:b/>
              </w:rPr>
            </w:pPr>
            <w:r>
              <w:t xml:space="preserve">Healthcare Common Procedure Coding System. Codes used to enumerate medical and surgical services and supplies in the outpatient setting. </w:t>
            </w:r>
            <w:r>
              <w:rPr>
                <w:i/>
                <w:iCs/>
              </w:rPr>
              <w:t>CMS (formerly HCFA) uses HCPCS for Medicare and Medicaid reimbursement. HCPCS are the required code set for medical and surgical services and supplies for the outpatient setting under the final code set standards for HIPAA. There are three levels of HCPCS codes: level I are CPT codes from AMA; level II are additional codes developed by HCFA for services and supplies not covered by CPT; level III are local codes assigned by individual state Medicare carriers. Level III codes are scheduled to be phased out under HIPAA.</w:t>
            </w:r>
          </w:p>
        </w:tc>
      </w:tr>
      <w:tr w:rsidR="00AF274B" w14:paraId="22E6A9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86CBC0" w14:textId="77777777" w:rsidR="00AF274B" w:rsidRDefault="00AF274B">
            <w:pPr>
              <w:pStyle w:val="GlossaryTableText"/>
              <w:rPr>
                <w:b/>
                <w:bCs/>
              </w:rPr>
            </w:pPr>
            <w:r>
              <w:rPr>
                <w:b/>
                <w:bCs/>
              </w:rPr>
              <w:t>HIPAA</w:t>
            </w:r>
          </w:p>
        </w:tc>
        <w:tc>
          <w:tcPr>
            <w:tcW w:w="3327" w:type="pct"/>
            <w:tcBorders>
              <w:top w:val="nil"/>
              <w:left w:val="nil"/>
              <w:bottom w:val="nil"/>
              <w:right w:val="nil"/>
            </w:tcBorders>
          </w:tcPr>
          <w:p w14:paraId="46436781" w14:textId="77777777" w:rsidR="00AF274B" w:rsidRDefault="00AF274B">
            <w:pPr>
              <w:pStyle w:val="GlossaryTableText"/>
            </w:pPr>
            <w:r>
              <w:rPr>
                <w:bCs/>
              </w:rPr>
              <w:t>Health Insurance Portability and Accountability Act</w:t>
            </w:r>
            <w:r w:rsidR="00F717BC">
              <w:rPr>
                <w:bCs/>
              </w:rPr>
              <w:t xml:space="preserve"> of 1996</w:t>
            </w:r>
            <w:r>
              <w:rPr>
                <w:bCs/>
              </w:rPr>
              <w:t>.</w:t>
            </w:r>
          </w:p>
        </w:tc>
      </w:tr>
      <w:tr w:rsidR="00AF274B" w14:paraId="738765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5F3856D" w14:textId="77777777" w:rsidR="00AF274B" w:rsidRDefault="00AF274B">
            <w:pPr>
              <w:pStyle w:val="GlossaryTableText"/>
              <w:rPr>
                <w:b/>
                <w:bCs/>
              </w:rPr>
            </w:pPr>
            <w:r>
              <w:rPr>
                <w:b/>
                <w:bCs/>
              </w:rPr>
              <w:t>Historical ABO/Rh</w:t>
            </w:r>
          </w:p>
        </w:tc>
        <w:tc>
          <w:tcPr>
            <w:tcW w:w="3327" w:type="pct"/>
            <w:tcBorders>
              <w:top w:val="nil"/>
              <w:left w:val="nil"/>
              <w:bottom w:val="nil"/>
              <w:right w:val="nil"/>
            </w:tcBorders>
          </w:tcPr>
          <w:p w14:paraId="6A5254AD" w14:textId="77777777" w:rsidR="00AF274B" w:rsidRDefault="00AF274B">
            <w:pPr>
              <w:pStyle w:val="GlossaryTableText"/>
              <w:rPr>
                <w:rFonts w:ascii="Symbol"/>
              </w:rPr>
            </w:pPr>
            <w:r>
              <w:t>The most recent valid entry entered in the same division as the current order/treatment record, not from the database conversion.</w:t>
            </w:r>
          </w:p>
        </w:tc>
      </w:tr>
      <w:tr w:rsidR="00AF274B" w14:paraId="4673CA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5C84AA" w14:textId="77777777" w:rsidR="00AF274B" w:rsidRDefault="00AF274B" w:rsidP="005957FF">
            <w:pPr>
              <w:pStyle w:val="GlossaryTableText"/>
              <w:rPr>
                <w:b/>
                <w:bCs/>
              </w:rPr>
            </w:pPr>
            <w:r>
              <w:rPr>
                <w:b/>
                <w:bCs/>
              </w:rPr>
              <w:t>Historical record</w:t>
            </w:r>
          </w:p>
        </w:tc>
        <w:tc>
          <w:tcPr>
            <w:tcW w:w="3327" w:type="pct"/>
            <w:tcBorders>
              <w:top w:val="nil"/>
              <w:left w:val="nil"/>
              <w:bottom w:val="nil"/>
              <w:right w:val="nil"/>
            </w:tcBorders>
          </w:tcPr>
          <w:p w14:paraId="745A4772" w14:textId="77777777" w:rsidR="00AF274B" w:rsidRDefault="00AF274B" w:rsidP="005957FF">
            <w:pPr>
              <w:pStyle w:val="GlossaryTableText"/>
            </w:pPr>
            <w:r>
              <w:t>Cumulative, redundant data, referenced continually throughout VBECS.</w:t>
            </w:r>
          </w:p>
        </w:tc>
      </w:tr>
      <w:tr w:rsidR="00AF274B" w14:paraId="7B35A2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2CE538" w14:textId="77777777" w:rsidR="00AF274B" w:rsidRDefault="00AF274B">
            <w:pPr>
              <w:pStyle w:val="GlossaryTableText"/>
              <w:rPr>
                <w:b/>
                <w:bCs/>
              </w:rPr>
            </w:pPr>
            <w:r>
              <w:rPr>
                <w:b/>
                <w:bCs/>
              </w:rPr>
              <w:t>HL7</w:t>
            </w:r>
          </w:p>
        </w:tc>
        <w:tc>
          <w:tcPr>
            <w:tcW w:w="3327" w:type="pct"/>
            <w:tcBorders>
              <w:top w:val="nil"/>
              <w:left w:val="nil"/>
              <w:bottom w:val="nil"/>
              <w:right w:val="nil"/>
            </w:tcBorders>
          </w:tcPr>
          <w:p w14:paraId="4C62892F" w14:textId="77777777" w:rsidR="00AF274B" w:rsidRDefault="00AF274B">
            <w:pPr>
              <w:pStyle w:val="GlossaryTableText"/>
            </w:pPr>
            <w:r>
              <w:t>Health Level 7. An international messaging standard used predominantly in the healthcare industry.</w:t>
            </w:r>
          </w:p>
        </w:tc>
      </w:tr>
      <w:tr w:rsidR="00AF274B" w14:paraId="78D0EA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B613D6" w14:textId="77777777" w:rsidR="00AF274B" w:rsidRDefault="00AF274B">
            <w:pPr>
              <w:pStyle w:val="GlossaryTableText"/>
              <w:rPr>
                <w:b/>
                <w:bCs/>
              </w:rPr>
            </w:pPr>
            <w:r>
              <w:rPr>
                <w:b/>
                <w:bCs/>
                <w:snapToGrid w:val="0"/>
              </w:rPr>
              <w:t>HLA (histocompatibility locus antigens)</w:t>
            </w:r>
          </w:p>
        </w:tc>
        <w:tc>
          <w:tcPr>
            <w:tcW w:w="3327" w:type="pct"/>
            <w:tcBorders>
              <w:top w:val="nil"/>
              <w:left w:val="nil"/>
              <w:bottom w:val="nil"/>
              <w:right w:val="nil"/>
            </w:tcBorders>
          </w:tcPr>
          <w:p w14:paraId="0B23D5E2" w14:textId="77777777" w:rsidR="00AF274B" w:rsidRDefault="00AF274B">
            <w:pPr>
              <w:pStyle w:val="GlossaryTableText"/>
              <w:rPr>
                <w:b/>
              </w:rPr>
            </w:pPr>
            <w:r>
              <w:rPr>
                <w:snapToGrid w:val="0"/>
              </w:rPr>
              <w:t>Antigens associated with cellular immunity.</w:t>
            </w:r>
          </w:p>
        </w:tc>
      </w:tr>
      <w:tr w:rsidR="00AF274B" w14:paraId="5B151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B2180E" w14:textId="77777777" w:rsidR="00AF274B" w:rsidRDefault="00AF274B">
            <w:pPr>
              <w:pStyle w:val="GlossaryTableText"/>
              <w:rPr>
                <w:b/>
                <w:bCs/>
              </w:rPr>
            </w:pPr>
            <w:r>
              <w:rPr>
                <w:b/>
                <w:bCs/>
              </w:rPr>
              <w:t>Homologous (also “allogeneic”)</w:t>
            </w:r>
          </w:p>
        </w:tc>
        <w:tc>
          <w:tcPr>
            <w:tcW w:w="3327" w:type="pct"/>
            <w:tcBorders>
              <w:top w:val="nil"/>
              <w:left w:val="nil"/>
              <w:bottom w:val="nil"/>
              <w:right w:val="nil"/>
            </w:tcBorders>
          </w:tcPr>
          <w:p w14:paraId="28518982" w14:textId="77777777" w:rsidR="00AF274B" w:rsidRDefault="00AF274B">
            <w:pPr>
              <w:pStyle w:val="GlossaryTableText"/>
            </w:pPr>
            <w:r>
              <w:t>The standard type of blood donation: a volunteer donor reports to a blood collection facility and donates a unit of blood. The blood is tested and released for general use.</w:t>
            </w:r>
          </w:p>
        </w:tc>
      </w:tr>
      <w:tr w:rsidR="00B85400" w14:paraId="251FF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4B55B9" w14:textId="77777777" w:rsidR="00B85400" w:rsidRDefault="00B85400">
            <w:pPr>
              <w:pStyle w:val="GlossaryTableText"/>
              <w:rPr>
                <w:b/>
                <w:bCs/>
              </w:rPr>
            </w:pPr>
            <w:r>
              <w:rPr>
                <w:b/>
                <w:bCs/>
              </w:rPr>
              <w:t>I</w:t>
            </w:r>
            <w:r w:rsidR="00072167">
              <w:rPr>
                <w:b/>
                <w:bCs/>
              </w:rPr>
              <w:t>AM</w:t>
            </w:r>
          </w:p>
        </w:tc>
        <w:tc>
          <w:tcPr>
            <w:tcW w:w="3327" w:type="pct"/>
            <w:tcBorders>
              <w:top w:val="nil"/>
              <w:left w:val="nil"/>
              <w:bottom w:val="nil"/>
              <w:right w:val="nil"/>
            </w:tcBorders>
          </w:tcPr>
          <w:p w14:paraId="2F247818" w14:textId="77777777" w:rsidR="00B85400" w:rsidRDefault="00072167">
            <w:pPr>
              <w:pStyle w:val="GlossaryTableText"/>
            </w:pPr>
            <w:r>
              <w:t>Identity and Access Management</w:t>
            </w:r>
          </w:p>
        </w:tc>
      </w:tr>
      <w:tr w:rsidR="00AF274B" w14:paraId="55354E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EEDC64" w14:textId="77777777" w:rsidR="00AF274B" w:rsidRDefault="00AF274B">
            <w:pPr>
              <w:pStyle w:val="GlossaryTableText"/>
              <w:rPr>
                <w:b/>
                <w:bCs/>
              </w:rPr>
            </w:pPr>
            <w:r>
              <w:rPr>
                <w:b/>
                <w:bCs/>
              </w:rPr>
              <w:t>ICCBBA</w:t>
            </w:r>
          </w:p>
        </w:tc>
        <w:tc>
          <w:tcPr>
            <w:tcW w:w="3327" w:type="pct"/>
            <w:tcBorders>
              <w:top w:val="nil"/>
              <w:left w:val="nil"/>
              <w:bottom w:val="nil"/>
              <w:right w:val="nil"/>
            </w:tcBorders>
          </w:tcPr>
          <w:p w14:paraId="2489CAC9" w14:textId="77777777" w:rsidR="00AF274B" w:rsidRDefault="00AF274B">
            <w:pPr>
              <w:pStyle w:val="GlossaryTableText"/>
            </w:pPr>
            <w:r>
              <w:t>International Council for Commonality in Blood Banking Automation, Inc. The governing body that developed and maintained the database that governs the ISBT 128 blood labeling system.</w:t>
            </w:r>
          </w:p>
        </w:tc>
      </w:tr>
      <w:tr w:rsidR="001A1559" w14:paraId="3F0BE0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0E510F" w14:textId="77777777" w:rsidR="001A1559" w:rsidRDefault="001A1559">
            <w:pPr>
              <w:pStyle w:val="GlossaryTableText"/>
              <w:rPr>
                <w:b/>
                <w:bCs/>
                <w:snapToGrid w:val="0"/>
              </w:rPr>
            </w:pPr>
            <w:r>
              <w:rPr>
                <w:b/>
                <w:bCs/>
                <w:snapToGrid w:val="0"/>
              </w:rPr>
              <w:t>IEN</w:t>
            </w:r>
          </w:p>
        </w:tc>
        <w:tc>
          <w:tcPr>
            <w:tcW w:w="3327" w:type="pct"/>
            <w:tcBorders>
              <w:top w:val="nil"/>
              <w:left w:val="nil"/>
              <w:bottom w:val="nil"/>
              <w:right w:val="nil"/>
            </w:tcBorders>
          </w:tcPr>
          <w:p w14:paraId="3548A5C2" w14:textId="77777777" w:rsidR="001A1559" w:rsidRDefault="001A1559">
            <w:pPr>
              <w:pStyle w:val="GlossaryTableText"/>
              <w:rPr>
                <w:snapToGrid w:val="0"/>
              </w:rPr>
            </w:pPr>
            <w:r>
              <w:rPr>
                <w:snapToGrid w:val="0"/>
              </w:rPr>
              <w:t xml:space="preserve">Internal Entry Number. </w:t>
            </w:r>
          </w:p>
        </w:tc>
      </w:tr>
      <w:tr w:rsidR="00AF274B" w14:paraId="0FFF5E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5A938ED" w14:textId="77777777" w:rsidR="00AF274B" w:rsidRDefault="00AF274B">
            <w:pPr>
              <w:pStyle w:val="GlossaryTableText"/>
              <w:rPr>
                <w:b/>
                <w:bCs/>
              </w:rPr>
            </w:pPr>
            <w:r>
              <w:rPr>
                <w:b/>
                <w:bCs/>
                <w:snapToGrid w:val="0"/>
              </w:rPr>
              <w:t>IgA (Immunoglobulin A)</w:t>
            </w:r>
          </w:p>
        </w:tc>
        <w:tc>
          <w:tcPr>
            <w:tcW w:w="3327" w:type="pct"/>
            <w:tcBorders>
              <w:top w:val="nil"/>
              <w:left w:val="nil"/>
              <w:bottom w:val="nil"/>
              <w:right w:val="nil"/>
            </w:tcBorders>
          </w:tcPr>
          <w:p w14:paraId="07F9AA1A" w14:textId="77777777" w:rsidR="00AF274B" w:rsidRDefault="00AF274B">
            <w:pPr>
              <w:pStyle w:val="GlossaryTableText"/>
              <w:rPr>
                <w:b/>
              </w:rPr>
            </w:pPr>
            <w:r>
              <w:rPr>
                <w:snapToGrid w:val="0"/>
              </w:rPr>
              <w:t>Immune protein usually associated with tissue response (hypersensitivity).</w:t>
            </w:r>
          </w:p>
        </w:tc>
      </w:tr>
      <w:tr w:rsidR="00AF274B" w14:paraId="3A207B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D13B96" w14:textId="77777777" w:rsidR="00AF274B" w:rsidRDefault="00AF274B">
            <w:pPr>
              <w:pStyle w:val="GlossaryTableText"/>
              <w:rPr>
                <w:b/>
                <w:bCs/>
              </w:rPr>
            </w:pPr>
            <w:r>
              <w:rPr>
                <w:b/>
                <w:bCs/>
              </w:rPr>
              <w:t>In-date</w:t>
            </w:r>
          </w:p>
        </w:tc>
        <w:tc>
          <w:tcPr>
            <w:tcW w:w="3327" w:type="pct"/>
            <w:tcBorders>
              <w:top w:val="nil"/>
              <w:left w:val="nil"/>
              <w:bottom w:val="nil"/>
              <w:right w:val="nil"/>
            </w:tcBorders>
          </w:tcPr>
          <w:p w14:paraId="3FE7C940" w14:textId="77777777" w:rsidR="00AF274B" w:rsidRDefault="00AF274B">
            <w:pPr>
              <w:pStyle w:val="GlossaryTableText"/>
            </w:pPr>
            <w:r>
              <w:t xml:space="preserve">Describes the state of a unit of blood when the expiration date/time of the unit is in the future. </w:t>
            </w:r>
          </w:p>
        </w:tc>
      </w:tr>
      <w:tr w:rsidR="00AF274B" w14:paraId="24E470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2858FA" w14:textId="77777777" w:rsidR="00AF274B" w:rsidRDefault="00AF274B">
            <w:pPr>
              <w:pStyle w:val="GlossaryTableText"/>
              <w:rPr>
                <w:b/>
                <w:bCs/>
              </w:rPr>
            </w:pPr>
            <w:r>
              <w:rPr>
                <w:b/>
                <w:bCs/>
              </w:rPr>
              <w:t>Interpretation</w:t>
            </w:r>
          </w:p>
        </w:tc>
        <w:tc>
          <w:tcPr>
            <w:tcW w:w="3327" w:type="pct"/>
            <w:tcBorders>
              <w:top w:val="nil"/>
              <w:left w:val="nil"/>
              <w:bottom w:val="nil"/>
              <w:right w:val="nil"/>
            </w:tcBorders>
          </w:tcPr>
          <w:p w14:paraId="25EA3448" w14:textId="77777777" w:rsidR="00AF274B" w:rsidRDefault="00AF274B">
            <w:pPr>
              <w:pStyle w:val="GlossaryTableText"/>
            </w:pPr>
            <w:r>
              <w:t>The evaluation of serologic test reactions.</w:t>
            </w:r>
          </w:p>
        </w:tc>
      </w:tr>
      <w:tr w:rsidR="00AF274B" w14:paraId="0E90C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2DC4D" w14:textId="77777777" w:rsidR="00AF274B" w:rsidRDefault="00AF274B">
            <w:pPr>
              <w:pStyle w:val="GlossaryTableText"/>
              <w:rPr>
                <w:b/>
                <w:bCs/>
              </w:rPr>
            </w:pPr>
            <w:r>
              <w:rPr>
                <w:b/>
                <w:bCs/>
              </w:rPr>
              <w:t>IRM</w:t>
            </w:r>
          </w:p>
        </w:tc>
        <w:tc>
          <w:tcPr>
            <w:tcW w:w="3327" w:type="pct"/>
            <w:tcBorders>
              <w:top w:val="nil"/>
              <w:left w:val="nil"/>
              <w:bottom w:val="nil"/>
              <w:right w:val="nil"/>
            </w:tcBorders>
          </w:tcPr>
          <w:p w14:paraId="6ABA77BF" w14:textId="77777777" w:rsidR="00AF274B" w:rsidRDefault="00AF274B">
            <w:pPr>
              <w:pStyle w:val="GlossaryTableText"/>
              <w:rPr>
                <w:rFonts w:ascii="Symbol"/>
              </w:rPr>
            </w:pPr>
            <w:r>
              <w:t>Information Resource Management.</w:t>
            </w:r>
          </w:p>
        </w:tc>
      </w:tr>
      <w:tr w:rsidR="00AF274B" w14:paraId="676C8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D43EE8" w14:textId="77777777" w:rsidR="00AF274B" w:rsidRDefault="00AF274B">
            <w:pPr>
              <w:pStyle w:val="GlossaryTableText"/>
              <w:rPr>
                <w:b/>
                <w:bCs/>
              </w:rPr>
            </w:pPr>
            <w:r>
              <w:rPr>
                <w:b/>
                <w:bCs/>
                <w:snapToGrid w:val="0"/>
              </w:rPr>
              <w:lastRenderedPageBreak/>
              <w:t>Irradiate</w:t>
            </w:r>
          </w:p>
        </w:tc>
        <w:tc>
          <w:tcPr>
            <w:tcW w:w="3327" w:type="pct"/>
            <w:tcBorders>
              <w:top w:val="nil"/>
              <w:left w:val="nil"/>
              <w:bottom w:val="nil"/>
              <w:right w:val="nil"/>
            </w:tcBorders>
          </w:tcPr>
          <w:p w14:paraId="607E46BC" w14:textId="77777777" w:rsidR="00C64C05" w:rsidRPr="00C64C05" w:rsidRDefault="00BB6868" w:rsidP="00BB6868">
            <w:pPr>
              <w:pStyle w:val="GlossaryTableText"/>
            </w:pPr>
            <w:r>
              <w:t xml:space="preserve">To expose blood products to radiation to damage white cells and </w:t>
            </w:r>
            <w:r w:rsidR="00A77C51">
              <w:t>avoid graft-versus-</w:t>
            </w:r>
            <w:r>
              <w:t>host disease.</w:t>
            </w:r>
          </w:p>
        </w:tc>
      </w:tr>
      <w:tr w:rsidR="00AF274B" w14:paraId="197CF1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DE5B3" w14:textId="77777777" w:rsidR="00AF274B" w:rsidRDefault="00AF274B">
            <w:pPr>
              <w:pStyle w:val="GlossaryTableText"/>
              <w:rPr>
                <w:b/>
                <w:bCs/>
              </w:rPr>
            </w:pPr>
            <w:r>
              <w:rPr>
                <w:b/>
                <w:bCs/>
              </w:rPr>
              <w:t>ISBT</w:t>
            </w:r>
          </w:p>
        </w:tc>
        <w:tc>
          <w:tcPr>
            <w:tcW w:w="3327" w:type="pct"/>
            <w:tcBorders>
              <w:top w:val="nil"/>
              <w:left w:val="nil"/>
              <w:bottom w:val="nil"/>
              <w:right w:val="nil"/>
            </w:tcBorders>
          </w:tcPr>
          <w:p w14:paraId="7221E5E2" w14:textId="77777777" w:rsidR="00AF274B" w:rsidRDefault="00AF274B">
            <w:pPr>
              <w:pStyle w:val="GlossaryTableText"/>
            </w:pPr>
            <w:r>
              <w:t>International Society of Blood Transfusion.</w:t>
            </w:r>
          </w:p>
        </w:tc>
      </w:tr>
      <w:tr w:rsidR="00AF274B" w14:paraId="1C7F3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48E88D" w14:textId="77777777" w:rsidR="00AF274B" w:rsidRDefault="00AF274B">
            <w:pPr>
              <w:pStyle w:val="GlossaryTableText"/>
              <w:rPr>
                <w:b/>
                <w:bCs/>
              </w:rPr>
            </w:pPr>
            <w:r>
              <w:rPr>
                <w:b/>
                <w:bCs/>
              </w:rPr>
              <w:t>ISBT 128</w:t>
            </w:r>
          </w:p>
        </w:tc>
        <w:tc>
          <w:tcPr>
            <w:tcW w:w="3327" w:type="pct"/>
            <w:tcBorders>
              <w:top w:val="nil"/>
              <w:left w:val="nil"/>
              <w:bottom w:val="nil"/>
              <w:right w:val="nil"/>
            </w:tcBorders>
          </w:tcPr>
          <w:p w14:paraId="2D0E6681" w14:textId="3F9C2811" w:rsidR="00AF274B" w:rsidRDefault="00AF274B">
            <w:pPr>
              <w:pStyle w:val="GlossaryTableText"/>
            </w:pPr>
            <w:r>
              <w:t>New standardized method for labeling blood units</w:t>
            </w:r>
            <w:r w:rsidR="002A6AEA">
              <w:t>,</w:t>
            </w:r>
            <w:r w:rsidR="00646D98">
              <w:t xml:space="preserve"> </w:t>
            </w:r>
            <w:r w:rsidR="0050114F">
              <w:t>that has replaced Codabar</w:t>
            </w:r>
            <w:r>
              <w:t xml:space="preserve"> </w:t>
            </w:r>
            <w:r>
              <w:rPr>
                <w:i/>
              </w:rPr>
              <w:t>It includes much more information within the barcodes than is possible with Codabar. Its rules are much more structured than Codabar. It is not backwards compatible with Codabar.</w:t>
            </w:r>
          </w:p>
        </w:tc>
      </w:tr>
      <w:tr w:rsidR="00AF274B" w14:paraId="4F226C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93AAB8" w14:textId="77777777" w:rsidR="00AF274B" w:rsidRDefault="00AF274B">
            <w:pPr>
              <w:pStyle w:val="GlossaryTableText"/>
              <w:rPr>
                <w:b/>
                <w:bCs/>
                <w:snapToGrid w:val="0"/>
              </w:rPr>
            </w:pPr>
            <w:r>
              <w:rPr>
                <w:b/>
                <w:bCs/>
                <w:snapToGrid w:val="0"/>
              </w:rPr>
              <w:t>Leukopoor</w:t>
            </w:r>
          </w:p>
        </w:tc>
        <w:tc>
          <w:tcPr>
            <w:tcW w:w="3327" w:type="pct"/>
            <w:tcBorders>
              <w:top w:val="nil"/>
              <w:left w:val="nil"/>
              <w:bottom w:val="nil"/>
              <w:right w:val="nil"/>
            </w:tcBorders>
          </w:tcPr>
          <w:p w14:paraId="7A093AD1" w14:textId="77777777" w:rsidR="00AF274B" w:rsidRDefault="00AF274B">
            <w:pPr>
              <w:pStyle w:val="GlossaryTableText"/>
            </w:pPr>
            <w:r>
              <w:t>See “leukoreduce.”</w:t>
            </w:r>
          </w:p>
        </w:tc>
      </w:tr>
      <w:tr w:rsidR="00E85CF4" w14:paraId="10D2C7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A16990" w14:textId="77777777" w:rsidR="00E85CF4" w:rsidRDefault="00E85CF4" w:rsidP="00AD0B01">
            <w:pPr>
              <w:pStyle w:val="GlossaryTableText"/>
              <w:rPr>
                <w:b/>
                <w:bCs/>
                <w:snapToGrid w:val="0"/>
              </w:rPr>
            </w:pPr>
          </w:p>
          <w:p w14:paraId="295B9DDE" w14:textId="77777777" w:rsidR="00E85CF4" w:rsidRDefault="00E85CF4" w:rsidP="00AD0B01">
            <w:pPr>
              <w:pStyle w:val="GlossaryTableText"/>
              <w:rPr>
                <w:b/>
                <w:bCs/>
                <w:snapToGrid w:val="0"/>
              </w:rPr>
            </w:pPr>
            <w:r>
              <w:rPr>
                <w:b/>
                <w:bCs/>
                <w:snapToGrid w:val="0"/>
              </w:rPr>
              <w:t>Leukoreduce</w:t>
            </w:r>
          </w:p>
        </w:tc>
        <w:tc>
          <w:tcPr>
            <w:tcW w:w="3327" w:type="pct"/>
            <w:tcBorders>
              <w:top w:val="nil"/>
              <w:left w:val="nil"/>
              <w:bottom w:val="nil"/>
              <w:right w:val="nil"/>
            </w:tcBorders>
          </w:tcPr>
          <w:p w14:paraId="3AC41E7F" w14:textId="77777777" w:rsidR="00E85CF4" w:rsidRDefault="00E85CF4" w:rsidP="00AD0B01">
            <w:pPr>
              <w:pStyle w:val="GlossaryTableText"/>
            </w:pPr>
            <w:r>
              <w:t>To remove white cells from a cellular product through filtration. The resulting product is considered “leukoreduced” or “leukopoor.”</w:t>
            </w:r>
          </w:p>
        </w:tc>
      </w:tr>
      <w:tr w:rsidR="0003186D" w14:paraId="5116E2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403425" w14:textId="77777777" w:rsidR="0003186D" w:rsidRDefault="0003186D">
            <w:pPr>
              <w:pStyle w:val="GlossaryTableText"/>
              <w:rPr>
                <w:b/>
                <w:bCs/>
              </w:rPr>
            </w:pPr>
            <w:r>
              <w:rPr>
                <w:b/>
                <w:bCs/>
              </w:rPr>
              <w:t>ListServ</w:t>
            </w:r>
          </w:p>
        </w:tc>
        <w:tc>
          <w:tcPr>
            <w:tcW w:w="3327" w:type="pct"/>
            <w:tcBorders>
              <w:top w:val="nil"/>
              <w:left w:val="nil"/>
              <w:bottom w:val="nil"/>
              <w:right w:val="nil"/>
            </w:tcBorders>
          </w:tcPr>
          <w:p w14:paraId="171D10B6" w14:textId="77777777" w:rsidR="0003186D" w:rsidRDefault="0003186D">
            <w:pPr>
              <w:pStyle w:val="GlossaryTableText"/>
            </w:pPr>
            <w:r>
              <w:t>A</w:t>
            </w:r>
            <w:r w:rsidRPr="00F05B26">
              <w:t>n email distribution list to manage discussion groups</w:t>
            </w:r>
            <w:r>
              <w:t>.</w:t>
            </w:r>
          </w:p>
        </w:tc>
      </w:tr>
      <w:tr w:rsidR="00AF274B" w14:paraId="6794F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5FAFE74" w14:textId="77777777" w:rsidR="00AF274B" w:rsidRDefault="00AF274B">
            <w:pPr>
              <w:pStyle w:val="GlossaryTableText"/>
              <w:rPr>
                <w:b/>
                <w:bCs/>
              </w:rPr>
            </w:pPr>
            <w:r>
              <w:rPr>
                <w:b/>
                <w:bCs/>
              </w:rPr>
              <w:t>LMIP</w:t>
            </w:r>
          </w:p>
        </w:tc>
        <w:tc>
          <w:tcPr>
            <w:tcW w:w="3327" w:type="pct"/>
            <w:tcBorders>
              <w:top w:val="nil"/>
              <w:left w:val="nil"/>
              <w:bottom w:val="nil"/>
              <w:right w:val="nil"/>
            </w:tcBorders>
          </w:tcPr>
          <w:p w14:paraId="39009D08" w14:textId="77777777" w:rsidR="00AF274B" w:rsidRDefault="00AF274B">
            <w:pPr>
              <w:pStyle w:val="GlossaryTableText"/>
            </w:pPr>
            <w:r>
              <w:t>Laboratory Management Index Program</w:t>
            </w:r>
            <w:r w:rsidR="003D16EE">
              <w:t xml:space="preserve"> (LMIP) is the name given to the functionality in Veterans Health Information and Technology Architecture (VistA) software designed to capture and tabulate both technical and professional workload as it relates to the performance of ordered/billable tests in VA laboratories</w:t>
            </w:r>
            <w:r>
              <w:t>.</w:t>
            </w:r>
          </w:p>
        </w:tc>
      </w:tr>
      <w:tr w:rsidR="003D16EE" w14:paraId="7BBA1D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9C13C7A" w14:textId="77777777" w:rsidR="003D16EE" w:rsidRDefault="003D16EE">
            <w:pPr>
              <w:pStyle w:val="GlossaryTableText"/>
              <w:rPr>
                <w:b/>
                <w:bCs/>
              </w:rPr>
            </w:pPr>
            <w:r>
              <w:rPr>
                <w:b/>
                <w:bCs/>
              </w:rPr>
              <w:t>Managerial Cost Accounting</w:t>
            </w:r>
          </w:p>
        </w:tc>
        <w:tc>
          <w:tcPr>
            <w:tcW w:w="3327" w:type="pct"/>
            <w:tcBorders>
              <w:top w:val="nil"/>
              <w:left w:val="nil"/>
              <w:bottom w:val="nil"/>
              <w:right w:val="nil"/>
            </w:tcBorders>
          </w:tcPr>
          <w:p w14:paraId="6539F6B3" w14:textId="77777777" w:rsidR="003D16EE" w:rsidRDefault="003D16EE">
            <w:pPr>
              <w:pStyle w:val="GlossaryTableText"/>
            </w:pPr>
            <w:r>
              <w:t>MCA means the process of accumulating, measuring, analyzing, interpreting and reporting cost information useful to both internal and external groups concerned with the way the organization uses, accounts for, safeguards and controls its resources to meet its objectives. MCA assists budgeting, financial accounting and reporting and provides useful information to leadership.</w:t>
            </w:r>
          </w:p>
        </w:tc>
      </w:tr>
      <w:tr w:rsidR="00AF274B" w14:paraId="38B50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6F79A" w14:textId="77777777" w:rsidR="00AF274B" w:rsidRDefault="00AF274B" w:rsidP="003004A7">
            <w:pPr>
              <w:pStyle w:val="GlossaryTableText"/>
              <w:rPr>
                <w:b/>
              </w:rPr>
            </w:pPr>
            <w:r>
              <w:rPr>
                <w:b/>
              </w:rPr>
              <w:t>Medical device</w:t>
            </w:r>
          </w:p>
        </w:tc>
        <w:tc>
          <w:tcPr>
            <w:tcW w:w="3327" w:type="pct"/>
            <w:tcBorders>
              <w:top w:val="nil"/>
              <w:left w:val="nil"/>
              <w:bottom w:val="nil"/>
              <w:right w:val="nil"/>
            </w:tcBorders>
          </w:tcPr>
          <w:p w14:paraId="4225A197" w14:textId="77777777" w:rsidR="00AF274B" w:rsidRDefault="00142B16" w:rsidP="00142B16">
            <w:pPr>
              <w:pStyle w:val="GlossaryTableText"/>
            </w:pPr>
            <w:r>
              <w:t>An instrument, apparatus, implement, machine, contrivance, implant, in vitro reagent, or other similar or related article, including a component part, or accessory that is intended for use in the diagnosis of disease or other conditions, or in the cure, mitigation, treatment, or prevention of disease.</w:t>
            </w:r>
          </w:p>
        </w:tc>
      </w:tr>
      <w:tr w:rsidR="00AF274B" w14:paraId="214B36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91C231" w14:textId="77777777" w:rsidR="00AF274B" w:rsidRDefault="00AF274B">
            <w:pPr>
              <w:pStyle w:val="GlossaryTableText"/>
              <w:rPr>
                <w:b/>
                <w:bCs/>
              </w:rPr>
            </w:pPr>
            <w:r>
              <w:rPr>
                <w:b/>
                <w:bCs/>
              </w:rPr>
              <w:t>Modifier</w:t>
            </w:r>
          </w:p>
        </w:tc>
        <w:tc>
          <w:tcPr>
            <w:tcW w:w="3327" w:type="pct"/>
            <w:tcBorders>
              <w:top w:val="nil"/>
              <w:left w:val="nil"/>
              <w:bottom w:val="nil"/>
              <w:right w:val="nil"/>
            </w:tcBorders>
          </w:tcPr>
          <w:p w14:paraId="59D37C0F" w14:textId="77777777" w:rsidR="00AF274B" w:rsidRDefault="00AF274B">
            <w:pPr>
              <w:pStyle w:val="GlossaryTableText"/>
            </w:pPr>
            <w:r>
              <w:t xml:space="preserve">An ISBT 128 term that describes a characteristic of a donated unit of blood that distinguishes it from other members of the component class. </w:t>
            </w:r>
            <w:r>
              <w:rPr>
                <w:i/>
              </w:rPr>
              <w:t>The VBECS application is concerned with the modifiers “Washed,” “Thawed,” “Liquid,” “Frozen,” “Rejuvenated,” and “Deglycerolized.”</w:t>
            </w:r>
          </w:p>
        </w:tc>
      </w:tr>
      <w:tr w:rsidR="00AF274B" w14:paraId="55BC34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D71BC11" w14:textId="77777777" w:rsidR="00AF274B" w:rsidRDefault="00AF274B" w:rsidP="005957FF">
            <w:pPr>
              <w:pStyle w:val="GlossaryTableText"/>
              <w:rPr>
                <w:b/>
                <w:bCs/>
              </w:rPr>
            </w:pPr>
            <w:r>
              <w:rPr>
                <w:b/>
                <w:bCs/>
              </w:rPr>
              <w:t>Modifier (order)</w:t>
            </w:r>
          </w:p>
        </w:tc>
        <w:tc>
          <w:tcPr>
            <w:tcW w:w="3327" w:type="pct"/>
            <w:tcBorders>
              <w:top w:val="nil"/>
              <w:left w:val="nil"/>
              <w:bottom w:val="nil"/>
              <w:right w:val="nil"/>
            </w:tcBorders>
          </w:tcPr>
          <w:p w14:paraId="6F48C50B" w14:textId="77777777" w:rsidR="00AF274B" w:rsidRDefault="00AF274B" w:rsidP="005957FF">
            <w:pPr>
              <w:pStyle w:val="GlossaryTableText"/>
            </w:pPr>
            <w:r>
              <w:t xml:space="preserve">Component requirements associated with a specific component order. </w:t>
            </w:r>
            <w:r>
              <w:rPr>
                <w:i/>
              </w:rPr>
              <w:t>Example: a component order where red blood cells must be leukoreduced. When a component order is accompanied by special requirements, units issued for transfusion must meet specific criteria that translate into “Modifiers” or “Attributes” in ISBT 128.</w:t>
            </w:r>
            <w:r>
              <w:t xml:space="preserve"> </w:t>
            </w:r>
          </w:p>
        </w:tc>
      </w:tr>
      <w:tr w:rsidR="00AF274B" w14:paraId="7062E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2E563F" w14:textId="77777777" w:rsidR="00AF274B" w:rsidRDefault="00AF274B">
            <w:pPr>
              <w:pStyle w:val="GlossaryTableText"/>
              <w:rPr>
                <w:b/>
                <w:bCs/>
              </w:rPr>
            </w:pPr>
            <w:r>
              <w:rPr>
                <w:b/>
                <w:bCs/>
              </w:rPr>
              <w:t>MSBOS</w:t>
            </w:r>
          </w:p>
        </w:tc>
        <w:tc>
          <w:tcPr>
            <w:tcW w:w="3327" w:type="pct"/>
            <w:tcBorders>
              <w:top w:val="nil"/>
              <w:left w:val="nil"/>
              <w:bottom w:val="nil"/>
              <w:right w:val="nil"/>
            </w:tcBorders>
          </w:tcPr>
          <w:p w14:paraId="7CAF692D" w14:textId="77777777" w:rsidR="00AF274B" w:rsidRDefault="00AF274B">
            <w:pPr>
              <w:pStyle w:val="GlossaryTableText"/>
            </w:pPr>
            <w:r>
              <w:t xml:space="preserve">Maximum Surgical Blood Ordering Schedule. The appropriate number of specific blood components to be ordered for selected surgeries at a facility. </w:t>
            </w:r>
            <w:r>
              <w:rPr>
                <w:i/>
              </w:rPr>
              <w:t>Preoperative blood component orders are compared with this list and details of orders falling outside of these established criteria are recorded and reportable.</w:t>
            </w:r>
          </w:p>
        </w:tc>
      </w:tr>
      <w:tr w:rsidR="00AF274B" w14:paraId="77ACDF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E921505" w14:textId="77777777" w:rsidR="00AF274B" w:rsidRDefault="00AF274B">
            <w:pPr>
              <w:pStyle w:val="GlossaryTableText"/>
              <w:rPr>
                <w:b/>
                <w:bCs/>
              </w:rPr>
            </w:pPr>
            <w:r>
              <w:rPr>
                <w:b/>
                <w:bCs/>
              </w:rPr>
              <w:t>Multidivisional database</w:t>
            </w:r>
          </w:p>
        </w:tc>
        <w:tc>
          <w:tcPr>
            <w:tcW w:w="3327" w:type="pct"/>
            <w:tcBorders>
              <w:top w:val="nil"/>
              <w:left w:val="nil"/>
              <w:bottom w:val="nil"/>
              <w:right w:val="nil"/>
            </w:tcBorders>
          </w:tcPr>
          <w:p w14:paraId="653D31D0" w14:textId="77777777" w:rsidR="00AF274B" w:rsidRDefault="00AF274B">
            <w:pPr>
              <w:pStyle w:val="GlossaryTableText"/>
            </w:pPr>
            <w:r>
              <w:t>More than one separate transfusion services share a database.</w:t>
            </w:r>
          </w:p>
        </w:tc>
      </w:tr>
      <w:tr w:rsidR="00AF274B" w14:paraId="237235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18D3AF" w14:textId="77777777" w:rsidR="00AF274B" w:rsidRDefault="00AF274B">
            <w:pPr>
              <w:pStyle w:val="GlossaryTableText"/>
              <w:rPr>
                <w:b/>
                <w:bCs/>
              </w:rPr>
            </w:pPr>
            <w:r>
              <w:rPr>
                <w:b/>
                <w:bCs/>
              </w:rPr>
              <w:lastRenderedPageBreak/>
              <w:t>Negative control</w:t>
            </w:r>
          </w:p>
        </w:tc>
        <w:tc>
          <w:tcPr>
            <w:tcW w:w="3327" w:type="pct"/>
            <w:tcBorders>
              <w:top w:val="nil"/>
              <w:left w:val="nil"/>
              <w:bottom w:val="nil"/>
              <w:right w:val="nil"/>
            </w:tcBorders>
          </w:tcPr>
          <w:p w14:paraId="597DA907" w14:textId="77777777" w:rsidR="00AF274B" w:rsidRDefault="00AF274B">
            <w:pPr>
              <w:pStyle w:val="GlossaryTableText"/>
            </w:pPr>
            <w:r>
              <w:t>The negative control cell is known to lack the antigen the antiserum type is to detect. This cell should demonstrate negative serologic reaction, and, therefore, have a valid negative interpretation.</w:t>
            </w:r>
          </w:p>
          <w:p w14:paraId="44CA642F"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“Positive control.”</w:t>
            </w:r>
          </w:p>
        </w:tc>
      </w:tr>
      <w:tr w:rsidR="00AF274B" w14:paraId="0D06BE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7A00A0" w14:textId="77777777" w:rsidR="00AF274B" w:rsidRDefault="00AF274B">
            <w:pPr>
              <w:pStyle w:val="GlossaryTableText"/>
              <w:rPr>
                <w:b/>
                <w:bCs/>
              </w:rPr>
            </w:pPr>
            <w:r>
              <w:rPr>
                <w:b/>
                <w:bCs/>
              </w:rPr>
              <w:t>NFT</w:t>
            </w:r>
          </w:p>
        </w:tc>
        <w:tc>
          <w:tcPr>
            <w:tcW w:w="3327" w:type="pct"/>
            <w:tcBorders>
              <w:top w:val="nil"/>
              <w:left w:val="nil"/>
              <w:bottom w:val="nil"/>
              <w:right w:val="nil"/>
            </w:tcBorders>
          </w:tcPr>
          <w:p w14:paraId="3676F7A1" w14:textId="77777777" w:rsidR="00AF274B" w:rsidRDefault="00AF274B">
            <w:pPr>
              <w:pStyle w:val="GlossaryTableText"/>
              <w:rPr>
                <w:b/>
              </w:rPr>
            </w:pPr>
            <w:r>
              <w:t>Not fully tested.</w:t>
            </w:r>
          </w:p>
        </w:tc>
      </w:tr>
      <w:tr w:rsidR="00AF274B" w14:paraId="5F5C80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D718A2" w14:textId="77777777" w:rsidR="00AF274B" w:rsidRDefault="00AF274B">
            <w:pPr>
              <w:pStyle w:val="GlossaryTableText"/>
              <w:rPr>
                <w:b/>
                <w:bCs/>
              </w:rPr>
            </w:pPr>
            <w:r>
              <w:rPr>
                <w:b/>
                <w:bCs/>
              </w:rPr>
              <w:t>NLT</w:t>
            </w:r>
          </w:p>
        </w:tc>
        <w:tc>
          <w:tcPr>
            <w:tcW w:w="3327" w:type="pct"/>
            <w:tcBorders>
              <w:top w:val="nil"/>
              <w:left w:val="nil"/>
              <w:bottom w:val="nil"/>
              <w:right w:val="nil"/>
            </w:tcBorders>
          </w:tcPr>
          <w:p w14:paraId="14D8E1D6" w14:textId="77777777" w:rsidR="00AF274B" w:rsidRDefault="00AF274B">
            <w:pPr>
              <w:pStyle w:val="GlossaryTableText"/>
            </w:pPr>
            <w:r>
              <w:t xml:space="preserve">National Laboratory Test code. Coding schema used by the </w:t>
            </w:r>
            <w:r w:rsidRPr="00CA6E27">
              <w:rPr>
                <w:bCs/>
              </w:rPr>
              <w:t>VistA</w:t>
            </w:r>
            <w:r>
              <w:t xml:space="preserve"> Laboratory software to assign numeric </w:t>
            </w:r>
            <w:r>
              <w:rPr>
                <w:color w:val="000000"/>
              </w:rPr>
              <w:t>identifier</w:t>
            </w:r>
            <w:r>
              <w:t xml:space="preserve"> code to specific tests. Also known as Workload Code (WKLD CODE).</w:t>
            </w:r>
          </w:p>
        </w:tc>
      </w:tr>
      <w:tr w:rsidR="00AF274B" w14:paraId="13D311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AED381" w14:textId="77777777" w:rsidR="00AF274B" w:rsidRDefault="00AF274B">
            <w:pPr>
              <w:pStyle w:val="GlossaryTableText"/>
              <w:rPr>
                <w:b/>
                <w:bCs/>
              </w:rPr>
            </w:pPr>
            <w:r>
              <w:rPr>
                <w:b/>
                <w:bCs/>
              </w:rPr>
              <w:t>Order</w:t>
            </w:r>
          </w:p>
        </w:tc>
        <w:tc>
          <w:tcPr>
            <w:tcW w:w="3327" w:type="pct"/>
            <w:tcBorders>
              <w:top w:val="nil"/>
              <w:left w:val="nil"/>
              <w:bottom w:val="nil"/>
              <w:right w:val="nil"/>
            </w:tcBorders>
          </w:tcPr>
          <w:p w14:paraId="1FF4F7CC" w14:textId="77777777" w:rsidR="00AF274B" w:rsidRDefault="00AF274B">
            <w:pPr>
              <w:pStyle w:val="GlossaryTableText"/>
            </w:pPr>
            <w:r>
              <w:t xml:space="preserve">Request for a service. </w:t>
            </w:r>
            <w:r>
              <w:rPr>
                <w:i/>
              </w:rPr>
              <w:t>The request may specify when the order is to be completed, e.g., immediately (STAT). VBECS acts on the order when it has been “accessioned.”</w:t>
            </w:r>
          </w:p>
        </w:tc>
      </w:tr>
      <w:tr w:rsidR="001A1559" w14:paraId="78299B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4E2F32" w14:textId="77777777" w:rsidR="001A1559" w:rsidRDefault="001A1559">
            <w:pPr>
              <w:pStyle w:val="GlossaryTableText"/>
              <w:rPr>
                <w:b/>
                <w:bCs/>
              </w:rPr>
            </w:pPr>
            <w:r>
              <w:rPr>
                <w:b/>
                <w:bCs/>
              </w:rPr>
              <w:t>Original unit</w:t>
            </w:r>
          </w:p>
        </w:tc>
        <w:tc>
          <w:tcPr>
            <w:tcW w:w="3327" w:type="pct"/>
            <w:tcBorders>
              <w:top w:val="nil"/>
              <w:left w:val="nil"/>
              <w:bottom w:val="nil"/>
              <w:right w:val="nil"/>
            </w:tcBorders>
          </w:tcPr>
          <w:p w14:paraId="09756829" w14:textId="77777777" w:rsidR="001A1559" w:rsidRDefault="001A1559">
            <w:pPr>
              <w:pStyle w:val="GlossaryTableText"/>
            </w:pPr>
            <w:r>
              <w:rPr>
                <w:snapToGrid w:val="0"/>
              </w:rPr>
              <w:t xml:space="preserve">A unit </w:t>
            </w:r>
            <w:r w:rsidR="004974ED">
              <w:rPr>
                <w:snapToGrid w:val="0"/>
              </w:rPr>
              <w:t>before modification</w:t>
            </w:r>
            <w:r>
              <w:rPr>
                <w:snapToGrid w:val="0"/>
              </w:rPr>
              <w:t>.</w:t>
            </w:r>
          </w:p>
        </w:tc>
      </w:tr>
      <w:tr w:rsidR="00AF274B" w14:paraId="1400F9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5095D0" w14:textId="77777777" w:rsidR="00AF274B" w:rsidRDefault="00AF274B">
            <w:pPr>
              <w:pStyle w:val="GlossaryTableText"/>
              <w:rPr>
                <w:b/>
                <w:bCs/>
              </w:rPr>
            </w:pPr>
            <w:r>
              <w:rPr>
                <w:b/>
                <w:bCs/>
              </w:rPr>
              <w:t>Outdated</w:t>
            </w:r>
          </w:p>
        </w:tc>
        <w:tc>
          <w:tcPr>
            <w:tcW w:w="3327" w:type="pct"/>
            <w:tcBorders>
              <w:top w:val="nil"/>
              <w:left w:val="nil"/>
              <w:bottom w:val="nil"/>
              <w:right w:val="nil"/>
            </w:tcBorders>
          </w:tcPr>
          <w:p w14:paraId="019032FE" w14:textId="77777777" w:rsidR="00AF274B" w:rsidRDefault="00AF274B">
            <w:pPr>
              <w:pStyle w:val="GlossaryTableText"/>
            </w:pPr>
            <w:r>
              <w:t xml:space="preserve">Describes the state of a unit of blood that has passed the expiration date/time. </w:t>
            </w:r>
          </w:p>
        </w:tc>
      </w:tr>
      <w:tr w:rsidR="00AF274B" w14:paraId="6D69FC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46E1C41" w14:textId="77777777" w:rsidR="00AF274B" w:rsidRDefault="00AF274B">
            <w:pPr>
              <w:pStyle w:val="GlossaryTableText"/>
              <w:rPr>
                <w:b/>
                <w:bCs/>
              </w:rPr>
            </w:pPr>
            <w:r>
              <w:rPr>
                <w:b/>
                <w:bCs/>
              </w:rPr>
              <w:t>Patch</w:t>
            </w:r>
          </w:p>
        </w:tc>
        <w:tc>
          <w:tcPr>
            <w:tcW w:w="3327" w:type="pct"/>
            <w:tcBorders>
              <w:top w:val="nil"/>
              <w:left w:val="nil"/>
              <w:bottom w:val="nil"/>
              <w:right w:val="nil"/>
            </w:tcBorders>
          </w:tcPr>
          <w:p w14:paraId="0F3E8B12" w14:textId="77777777" w:rsidR="00AF274B" w:rsidRDefault="00AF274B">
            <w:pPr>
              <w:pStyle w:val="GlossaryTableText"/>
            </w:pPr>
            <w:r>
              <w:rPr>
                <w:color w:val="000000"/>
              </w:rPr>
              <w:t>Software developed and released to correct a defect, or change or enhance existing functionality; usually a modified subset or small addition to existing software.</w:t>
            </w:r>
          </w:p>
        </w:tc>
      </w:tr>
      <w:tr w:rsidR="00AF274B" w14:paraId="5FF0CB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FA643B" w14:textId="77777777" w:rsidR="00AF274B" w:rsidRDefault="00AF274B">
            <w:pPr>
              <w:pStyle w:val="GlossaryTableText"/>
              <w:rPr>
                <w:b/>
                <w:bCs/>
              </w:rPr>
            </w:pPr>
            <w:r>
              <w:rPr>
                <w:b/>
                <w:bCs/>
                <w:snapToGrid w:val="0"/>
              </w:rPr>
              <w:t>Patient care encounter (PCE)</w:t>
            </w:r>
          </w:p>
        </w:tc>
        <w:tc>
          <w:tcPr>
            <w:tcW w:w="3327" w:type="pct"/>
            <w:tcBorders>
              <w:top w:val="nil"/>
              <w:left w:val="nil"/>
              <w:bottom w:val="nil"/>
              <w:right w:val="nil"/>
            </w:tcBorders>
          </w:tcPr>
          <w:p w14:paraId="41E3EC66" w14:textId="77777777" w:rsidR="00AF274B" w:rsidRDefault="00AF274B">
            <w:pPr>
              <w:pStyle w:val="GlossaryTableText"/>
              <w:rPr>
                <w:snapToGrid w:val="0"/>
              </w:rPr>
            </w:pPr>
            <w:r>
              <w:rPr>
                <w:snapToGrid w:val="0"/>
              </w:rPr>
              <w:t>A contact with a patient documented in the patient’s record.</w:t>
            </w:r>
          </w:p>
        </w:tc>
      </w:tr>
      <w:tr w:rsidR="00AF274B" w14:paraId="6CC478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AA0B23" w14:textId="77777777" w:rsidR="00AF274B" w:rsidRDefault="00AF274B">
            <w:pPr>
              <w:pStyle w:val="GlossaryTableText"/>
              <w:rPr>
                <w:b/>
                <w:bCs/>
              </w:rPr>
            </w:pPr>
            <w:r>
              <w:rPr>
                <w:b/>
                <w:bCs/>
                <w:snapToGrid w:val="0"/>
              </w:rPr>
              <w:t>Pending Order List (POL)</w:t>
            </w:r>
          </w:p>
        </w:tc>
        <w:tc>
          <w:tcPr>
            <w:tcW w:w="3327" w:type="pct"/>
            <w:tcBorders>
              <w:top w:val="nil"/>
              <w:left w:val="nil"/>
              <w:bottom w:val="nil"/>
              <w:right w:val="nil"/>
            </w:tcBorders>
          </w:tcPr>
          <w:p w14:paraId="1D7A02A7" w14:textId="77777777" w:rsidR="00AF274B" w:rsidRDefault="00AF274B">
            <w:pPr>
              <w:pStyle w:val="GlossaryTableText"/>
              <w:rPr>
                <w:snapToGrid w:val="0"/>
              </w:rPr>
            </w:pPr>
            <w:r>
              <w:rPr>
                <w:snapToGrid w:val="0"/>
              </w:rPr>
              <w:t>A list of orders transmitted from CPRS waiting to be processed.</w:t>
            </w:r>
          </w:p>
        </w:tc>
      </w:tr>
      <w:tr w:rsidR="00AF274B" w14:paraId="1FF6B3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4979DF" w14:textId="77777777" w:rsidR="00AF274B" w:rsidRDefault="00AF274B">
            <w:pPr>
              <w:pStyle w:val="GlossaryTableText"/>
              <w:rPr>
                <w:b/>
                <w:bCs/>
              </w:rPr>
            </w:pPr>
            <w:r>
              <w:rPr>
                <w:b/>
                <w:bCs/>
                <w:snapToGrid w:val="0"/>
              </w:rPr>
              <w:t>Pending Task List (PTL)</w:t>
            </w:r>
          </w:p>
        </w:tc>
        <w:tc>
          <w:tcPr>
            <w:tcW w:w="3327" w:type="pct"/>
            <w:tcBorders>
              <w:top w:val="nil"/>
              <w:left w:val="nil"/>
              <w:bottom w:val="nil"/>
              <w:right w:val="nil"/>
            </w:tcBorders>
          </w:tcPr>
          <w:p w14:paraId="45D538F4" w14:textId="77777777" w:rsidR="00AF274B" w:rsidRDefault="00AF274B">
            <w:pPr>
              <w:pStyle w:val="GlossaryTableText"/>
              <w:rPr>
                <w:snapToGrid w:val="0"/>
              </w:rPr>
            </w:pPr>
            <w:r>
              <w:t>A list of tasks to be processed in the blood bank.</w:t>
            </w:r>
          </w:p>
        </w:tc>
      </w:tr>
      <w:tr w:rsidR="00AF274B" w14:paraId="366527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4DF459" w14:textId="77777777" w:rsidR="00AF274B" w:rsidRDefault="00AF274B">
            <w:pPr>
              <w:pStyle w:val="GlossaryTableText"/>
              <w:rPr>
                <w:b/>
                <w:bCs/>
              </w:rPr>
            </w:pPr>
            <w:r>
              <w:rPr>
                <w:b/>
                <w:bCs/>
              </w:rPr>
              <w:t>Phenotype</w:t>
            </w:r>
          </w:p>
        </w:tc>
        <w:tc>
          <w:tcPr>
            <w:tcW w:w="3327" w:type="pct"/>
            <w:tcBorders>
              <w:top w:val="nil"/>
              <w:left w:val="nil"/>
              <w:bottom w:val="nil"/>
              <w:right w:val="nil"/>
            </w:tcBorders>
          </w:tcPr>
          <w:p w14:paraId="07A3EA6E" w14:textId="77777777" w:rsidR="00AF274B" w:rsidRDefault="00AF274B">
            <w:pPr>
              <w:pStyle w:val="GlossaryTableText"/>
            </w:pPr>
            <w:r>
              <w:t>Describes the presence or absence of specific antigens.</w:t>
            </w:r>
          </w:p>
        </w:tc>
      </w:tr>
      <w:tr w:rsidR="00AF274B" w14:paraId="338C1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9F78F2" w14:textId="77777777" w:rsidR="00AF274B" w:rsidRDefault="00AF274B">
            <w:pPr>
              <w:pStyle w:val="GlossaryTableText"/>
              <w:rPr>
                <w:b/>
                <w:bCs/>
              </w:rPr>
            </w:pPr>
            <w:r>
              <w:rPr>
                <w:b/>
                <w:bCs/>
              </w:rPr>
              <w:t>Phenotyping</w:t>
            </w:r>
          </w:p>
        </w:tc>
        <w:tc>
          <w:tcPr>
            <w:tcW w:w="3327" w:type="pct"/>
            <w:tcBorders>
              <w:top w:val="nil"/>
              <w:left w:val="nil"/>
              <w:bottom w:val="nil"/>
              <w:right w:val="nil"/>
            </w:tcBorders>
          </w:tcPr>
          <w:p w14:paraId="3DEFCCAE" w14:textId="77777777" w:rsidR="00AF274B" w:rsidRDefault="00AF274B">
            <w:pPr>
              <w:pStyle w:val="GlossaryTableText"/>
            </w:pPr>
            <w:r>
              <w:t>Testing for the presence or absence of specific antigens. See “Antigen typing.”</w:t>
            </w:r>
          </w:p>
        </w:tc>
      </w:tr>
      <w:tr w:rsidR="00AF274B" w14:paraId="4009C7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06350F4" w14:textId="77777777" w:rsidR="00AF274B" w:rsidRDefault="00AF274B">
            <w:pPr>
              <w:pStyle w:val="GlossaryTableText"/>
              <w:rPr>
                <w:b/>
                <w:bCs/>
              </w:rPr>
            </w:pPr>
            <w:r>
              <w:rPr>
                <w:b/>
                <w:bCs/>
                <w:snapToGrid w:val="0"/>
              </w:rPr>
              <w:t>Pick list</w:t>
            </w:r>
          </w:p>
        </w:tc>
        <w:tc>
          <w:tcPr>
            <w:tcW w:w="3327" w:type="pct"/>
            <w:tcBorders>
              <w:top w:val="nil"/>
              <w:left w:val="nil"/>
              <w:bottom w:val="nil"/>
              <w:right w:val="nil"/>
            </w:tcBorders>
          </w:tcPr>
          <w:p w14:paraId="1D256E6B" w14:textId="77777777" w:rsidR="00AF274B" w:rsidRDefault="00AF274B">
            <w:pPr>
              <w:pStyle w:val="GlossaryTableText"/>
              <w:rPr>
                <w:snapToGrid w:val="0"/>
              </w:rPr>
            </w:pPr>
            <w:r>
              <w:rPr>
                <w:snapToGrid w:val="0"/>
              </w:rPr>
              <w:t>A system-generated list that allows a user to select one or more entries.</w:t>
            </w:r>
          </w:p>
        </w:tc>
      </w:tr>
      <w:tr w:rsidR="00AF274B" w14:paraId="69ED5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2AEE0D" w14:textId="77777777" w:rsidR="00AF274B" w:rsidRDefault="00AF274B">
            <w:pPr>
              <w:pStyle w:val="GlossaryTableText"/>
              <w:rPr>
                <w:b/>
                <w:bCs/>
              </w:rPr>
            </w:pPr>
            <w:r>
              <w:rPr>
                <w:b/>
                <w:bCs/>
              </w:rPr>
              <w:t>Pool</w:t>
            </w:r>
          </w:p>
        </w:tc>
        <w:tc>
          <w:tcPr>
            <w:tcW w:w="3327" w:type="pct"/>
            <w:tcBorders>
              <w:top w:val="nil"/>
              <w:left w:val="nil"/>
              <w:bottom w:val="nil"/>
              <w:right w:val="nil"/>
            </w:tcBorders>
          </w:tcPr>
          <w:p w14:paraId="53FB475B" w14:textId="77777777" w:rsidR="008A6FC3" w:rsidRPr="008A6FC3" w:rsidRDefault="008A6FC3" w:rsidP="008A6FC3">
            <w:pPr>
              <w:pStyle w:val="GlossaryTableText"/>
            </w:pPr>
            <w:r>
              <w:t>A blood product from many donors stored for later use.</w:t>
            </w:r>
          </w:p>
        </w:tc>
      </w:tr>
      <w:tr w:rsidR="00AF274B" w14:paraId="094B0E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4A98F0" w14:textId="77777777" w:rsidR="00AF274B" w:rsidRDefault="00AF274B">
            <w:pPr>
              <w:pStyle w:val="GlossaryTableText"/>
              <w:rPr>
                <w:b/>
                <w:bCs/>
              </w:rPr>
            </w:pPr>
            <w:r>
              <w:rPr>
                <w:b/>
                <w:bCs/>
              </w:rPr>
              <w:t>Positive control</w:t>
            </w:r>
          </w:p>
        </w:tc>
        <w:tc>
          <w:tcPr>
            <w:tcW w:w="3327" w:type="pct"/>
            <w:tcBorders>
              <w:top w:val="nil"/>
              <w:left w:val="nil"/>
              <w:bottom w:val="nil"/>
              <w:right w:val="nil"/>
            </w:tcBorders>
          </w:tcPr>
          <w:p w14:paraId="35DA1564" w14:textId="77777777" w:rsidR="00AF274B" w:rsidRDefault="00AF274B">
            <w:pPr>
              <w:pStyle w:val="GlossaryTableText"/>
            </w:pPr>
            <w:r>
              <w:t xml:space="preserve">The positive control cell is known to have the antigen that the reagent antiserum type is to detect. This cell should demonstrate positive serologic reaction and, therefore, have a valid positive interpretation. </w:t>
            </w:r>
          </w:p>
          <w:p w14:paraId="0A736DE1"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“Negative control.”)</w:t>
            </w:r>
          </w:p>
        </w:tc>
      </w:tr>
      <w:tr w:rsidR="00AF274B" w14:paraId="6A829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719232" w14:textId="77777777" w:rsidR="00AF274B" w:rsidRDefault="00AF274B">
            <w:pPr>
              <w:pStyle w:val="GlossaryTableText"/>
              <w:rPr>
                <w:b/>
                <w:bCs/>
              </w:rPr>
            </w:pPr>
            <w:r>
              <w:rPr>
                <w:b/>
                <w:bCs/>
              </w:rPr>
              <w:t>Potential hazard</w:t>
            </w:r>
          </w:p>
        </w:tc>
        <w:tc>
          <w:tcPr>
            <w:tcW w:w="3327" w:type="pct"/>
            <w:tcBorders>
              <w:top w:val="nil"/>
              <w:left w:val="nil"/>
              <w:bottom w:val="nil"/>
              <w:right w:val="nil"/>
            </w:tcBorders>
          </w:tcPr>
          <w:p w14:paraId="63024E4C" w14:textId="77777777" w:rsidR="00AF274B" w:rsidRDefault="00AF274B">
            <w:pPr>
              <w:pStyle w:val="GlossaryTableText"/>
            </w:pPr>
            <w:r>
              <w:t>An event that compromises the safety of the patient or blood supply.</w:t>
            </w:r>
          </w:p>
        </w:tc>
      </w:tr>
      <w:tr w:rsidR="00AF274B" w14:paraId="741776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76736A" w14:textId="77777777" w:rsidR="00AF274B" w:rsidRDefault="00AF274B">
            <w:pPr>
              <w:pStyle w:val="GlossaryTableText"/>
              <w:rPr>
                <w:b/>
                <w:bCs/>
              </w:rPr>
            </w:pPr>
            <w:r>
              <w:rPr>
                <w:b/>
                <w:bCs/>
              </w:rPr>
              <w:t>Pre-transfusion testing</w:t>
            </w:r>
          </w:p>
        </w:tc>
        <w:tc>
          <w:tcPr>
            <w:tcW w:w="3327" w:type="pct"/>
            <w:tcBorders>
              <w:top w:val="nil"/>
              <w:left w:val="nil"/>
              <w:bottom w:val="nil"/>
              <w:right w:val="nil"/>
            </w:tcBorders>
          </w:tcPr>
          <w:p w14:paraId="1136884C" w14:textId="77777777" w:rsidR="00AF274B" w:rsidRDefault="00AF274B">
            <w:pPr>
              <w:pStyle w:val="GlossaryTableText"/>
            </w:pPr>
            <w:r>
              <w:t>A group of tests, including ABO/Rh and an antibody screen, that must be performed on a sample of blood prior to crossmatching red cells for transfusion.</w:t>
            </w:r>
          </w:p>
        </w:tc>
      </w:tr>
      <w:tr w:rsidR="00AF274B" w14:paraId="41C8B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28AF89" w14:textId="77777777" w:rsidR="00AF274B" w:rsidRDefault="00AF274B">
            <w:pPr>
              <w:pStyle w:val="GlossaryTableText"/>
              <w:rPr>
                <w:b/>
                <w:bCs/>
              </w:rPr>
            </w:pPr>
            <w:r>
              <w:rPr>
                <w:b/>
                <w:bCs/>
              </w:rPr>
              <w:t>Product</w:t>
            </w:r>
          </w:p>
        </w:tc>
        <w:tc>
          <w:tcPr>
            <w:tcW w:w="3327" w:type="pct"/>
            <w:tcBorders>
              <w:top w:val="nil"/>
              <w:left w:val="nil"/>
              <w:bottom w:val="nil"/>
              <w:right w:val="nil"/>
            </w:tcBorders>
          </w:tcPr>
          <w:p w14:paraId="0AE301CD" w14:textId="77777777" w:rsidR="00AF274B" w:rsidRDefault="00AF274B">
            <w:pPr>
              <w:pStyle w:val="GlossaryTableText"/>
            </w:pPr>
            <w:r>
              <w:t>Components, manufacturing materials, in-process devices, finished devices, and returned devices.</w:t>
            </w:r>
          </w:p>
        </w:tc>
      </w:tr>
      <w:tr w:rsidR="00AF274B" w14:paraId="641CD7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D6A941D" w14:textId="77777777" w:rsidR="00AF274B" w:rsidRDefault="00AF274B">
            <w:pPr>
              <w:pStyle w:val="GlossaryTableText"/>
              <w:rPr>
                <w:b/>
                <w:bCs/>
              </w:rPr>
            </w:pPr>
            <w:r>
              <w:rPr>
                <w:b/>
                <w:bCs/>
              </w:rPr>
              <w:lastRenderedPageBreak/>
              <w:t>Product type</w:t>
            </w:r>
          </w:p>
        </w:tc>
        <w:tc>
          <w:tcPr>
            <w:tcW w:w="3327" w:type="pct"/>
            <w:tcBorders>
              <w:top w:val="nil"/>
              <w:left w:val="nil"/>
              <w:bottom w:val="nil"/>
              <w:right w:val="nil"/>
            </w:tcBorders>
          </w:tcPr>
          <w:p w14:paraId="0CC10656" w14:textId="77777777" w:rsidR="00AF274B" w:rsidRDefault="00AF274B">
            <w:pPr>
              <w:pStyle w:val="GlossaryTableText"/>
            </w:pPr>
            <w:r>
              <w:t>See “Component class.”</w:t>
            </w:r>
          </w:p>
        </w:tc>
      </w:tr>
      <w:tr w:rsidR="00542729" w14:paraId="2CD144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F8F6" w14:textId="77777777" w:rsidR="00542729" w:rsidRDefault="00542729">
            <w:pPr>
              <w:pStyle w:val="GlossaryTableText"/>
              <w:rPr>
                <w:b/>
                <w:bCs/>
              </w:rPr>
            </w:pPr>
            <w:r>
              <w:rPr>
                <w:b/>
                <w:bCs/>
              </w:rPr>
              <w:t>Presumed transfused</w:t>
            </w:r>
          </w:p>
        </w:tc>
        <w:tc>
          <w:tcPr>
            <w:tcW w:w="3327" w:type="pct"/>
            <w:tcBorders>
              <w:top w:val="nil"/>
              <w:left w:val="nil"/>
              <w:bottom w:val="nil"/>
              <w:right w:val="nil"/>
            </w:tcBorders>
          </w:tcPr>
          <w:p w14:paraId="260BC6AB" w14:textId="77777777" w:rsidR="00542729" w:rsidRDefault="00542729">
            <w:pPr>
              <w:pStyle w:val="GlossaryTableText"/>
            </w:pPr>
            <w:r>
              <w:t>Unit status that VBECS assigns 48 hours after issue of a bl</w:t>
            </w:r>
            <w:r w:rsidR="006B7AA9">
              <w:t>ood product.</w:t>
            </w:r>
          </w:p>
        </w:tc>
      </w:tr>
      <w:tr w:rsidR="00AF274B" w14:paraId="75D6E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436F3" w14:textId="77777777" w:rsidR="00AF274B" w:rsidRDefault="00AF274B">
            <w:pPr>
              <w:pStyle w:val="GlossaryTableText"/>
              <w:rPr>
                <w:b/>
                <w:bCs/>
              </w:rPr>
            </w:pPr>
            <w:r>
              <w:rPr>
                <w:b/>
                <w:bCs/>
              </w:rPr>
              <w:t>QC</w:t>
            </w:r>
          </w:p>
        </w:tc>
        <w:tc>
          <w:tcPr>
            <w:tcW w:w="3327" w:type="pct"/>
            <w:tcBorders>
              <w:top w:val="nil"/>
              <w:left w:val="nil"/>
              <w:bottom w:val="nil"/>
              <w:right w:val="nil"/>
            </w:tcBorders>
          </w:tcPr>
          <w:p w14:paraId="1AFCF886" w14:textId="77777777" w:rsidR="00AF274B" w:rsidRDefault="00AF274B">
            <w:pPr>
              <w:pStyle w:val="GlossaryTableText"/>
            </w:pPr>
            <w:r>
              <w:t xml:space="preserve">Quality control. Testing routinely performed to ensure the proper functioning of materials, equipment, and methods. </w:t>
            </w:r>
          </w:p>
        </w:tc>
      </w:tr>
      <w:tr w:rsidR="00AF274B" w14:paraId="4EFCE6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F7A97A" w14:textId="77777777" w:rsidR="00AF274B" w:rsidRDefault="00AF274B">
            <w:pPr>
              <w:pStyle w:val="GlossaryTableText"/>
              <w:rPr>
                <w:b/>
                <w:bCs/>
              </w:rPr>
            </w:pPr>
            <w:r>
              <w:rPr>
                <w:b/>
                <w:bCs/>
              </w:rPr>
              <w:t>Quality</w:t>
            </w:r>
          </w:p>
        </w:tc>
        <w:tc>
          <w:tcPr>
            <w:tcW w:w="3327" w:type="pct"/>
            <w:tcBorders>
              <w:top w:val="nil"/>
              <w:left w:val="nil"/>
              <w:bottom w:val="nil"/>
              <w:right w:val="nil"/>
            </w:tcBorders>
          </w:tcPr>
          <w:p w14:paraId="6B2D96BE" w14:textId="77777777" w:rsidR="00AF274B" w:rsidRDefault="00AF274B">
            <w:pPr>
              <w:pStyle w:val="GlossaryTableText"/>
            </w:pPr>
            <w:r>
              <w:t>The totality of features and characteristics that affect the ability of a device to satisfy fitness-for-use, including safety and performance.</w:t>
            </w:r>
          </w:p>
        </w:tc>
      </w:tr>
      <w:tr w:rsidR="00AF274B" w14:paraId="02BCF6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729FA79" w14:textId="77777777" w:rsidR="00AF274B" w:rsidRDefault="00AF274B">
            <w:pPr>
              <w:pStyle w:val="GlossaryTableText"/>
              <w:rPr>
                <w:b/>
                <w:bCs/>
              </w:rPr>
            </w:pPr>
            <w:r>
              <w:rPr>
                <w:b/>
                <w:bCs/>
              </w:rPr>
              <w:t>Reagent rack (also “rack”)</w:t>
            </w:r>
          </w:p>
        </w:tc>
        <w:tc>
          <w:tcPr>
            <w:tcW w:w="3327" w:type="pct"/>
            <w:tcBorders>
              <w:top w:val="nil"/>
              <w:left w:val="nil"/>
              <w:bottom w:val="nil"/>
              <w:right w:val="nil"/>
            </w:tcBorders>
          </w:tcPr>
          <w:p w14:paraId="007AD152" w14:textId="77777777" w:rsidR="00AF274B" w:rsidRDefault="00AF274B">
            <w:pPr>
              <w:pStyle w:val="GlossaryTableText"/>
            </w:pPr>
            <w:r>
              <w:t>A group of reagents used in routine blood bank testing.</w:t>
            </w:r>
          </w:p>
        </w:tc>
      </w:tr>
      <w:tr w:rsidR="00AF274B" w14:paraId="662415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6512EE9" w14:textId="77777777" w:rsidR="00AF274B" w:rsidRDefault="00AF274B">
            <w:pPr>
              <w:pStyle w:val="GlossaryTableText"/>
              <w:rPr>
                <w:b/>
                <w:bCs/>
              </w:rPr>
            </w:pPr>
            <w:r>
              <w:rPr>
                <w:b/>
                <w:bCs/>
              </w:rPr>
              <w:t>Reagent red blood cells</w:t>
            </w:r>
          </w:p>
        </w:tc>
        <w:tc>
          <w:tcPr>
            <w:tcW w:w="3327" w:type="pct"/>
            <w:tcBorders>
              <w:top w:val="nil"/>
              <w:left w:val="nil"/>
              <w:bottom w:val="nil"/>
              <w:right w:val="nil"/>
            </w:tcBorders>
          </w:tcPr>
          <w:p w14:paraId="1381659E" w14:textId="77777777" w:rsidR="00AF274B" w:rsidRDefault="00AF274B">
            <w:pPr>
              <w:pStyle w:val="GlossaryTableText"/>
            </w:pPr>
            <w:r>
              <w:t>Non-patient testing materials, usually from a commercial source.</w:t>
            </w:r>
          </w:p>
        </w:tc>
      </w:tr>
      <w:tr w:rsidR="00AF274B" w14:paraId="285147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1629964" w14:textId="77777777" w:rsidR="00AF274B" w:rsidRDefault="00AF274B">
            <w:pPr>
              <w:pStyle w:val="GlossaryTableText"/>
              <w:rPr>
                <w:b/>
                <w:bCs/>
              </w:rPr>
            </w:pPr>
            <w:r>
              <w:rPr>
                <w:b/>
                <w:bCs/>
              </w:rPr>
              <w:t>Reflex order</w:t>
            </w:r>
          </w:p>
        </w:tc>
        <w:tc>
          <w:tcPr>
            <w:tcW w:w="3327" w:type="pct"/>
            <w:tcBorders>
              <w:top w:val="nil"/>
              <w:left w:val="nil"/>
              <w:bottom w:val="nil"/>
              <w:right w:val="nil"/>
            </w:tcBorders>
          </w:tcPr>
          <w:p w14:paraId="0EA34315" w14:textId="77777777" w:rsidR="00AF274B" w:rsidRDefault="00AF274B">
            <w:pPr>
              <w:pStyle w:val="GlossaryTableText"/>
            </w:pPr>
            <w:r>
              <w:t>An order for additional testing to be performed resulting from observations of previous testing.</w:t>
            </w:r>
          </w:p>
        </w:tc>
      </w:tr>
      <w:tr w:rsidR="00AF274B" w14:paraId="7C9B03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302521" w14:textId="77777777" w:rsidR="00AF274B" w:rsidRDefault="00AF274B">
            <w:pPr>
              <w:pStyle w:val="GlossaryTableText"/>
              <w:rPr>
                <w:b/>
                <w:bCs/>
              </w:rPr>
            </w:pPr>
            <w:r>
              <w:rPr>
                <w:b/>
                <w:bCs/>
              </w:rPr>
              <w:t>Reflex test</w:t>
            </w:r>
          </w:p>
        </w:tc>
        <w:tc>
          <w:tcPr>
            <w:tcW w:w="3327" w:type="pct"/>
            <w:tcBorders>
              <w:top w:val="nil"/>
              <w:left w:val="nil"/>
              <w:bottom w:val="nil"/>
              <w:right w:val="nil"/>
            </w:tcBorders>
          </w:tcPr>
          <w:p w14:paraId="3F0D4EF6" w14:textId="77777777" w:rsidR="00AF274B" w:rsidRDefault="00AF274B">
            <w:pPr>
              <w:pStyle w:val="GlossaryTableText"/>
            </w:pPr>
            <w:r>
              <w:t>A laboratory test not ordered by a physician but performed in response to results of other laboratory tests.</w:t>
            </w:r>
          </w:p>
        </w:tc>
      </w:tr>
      <w:tr w:rsidR="00AF274B" w14:paraId="162AB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DECDE" w14:textId="77777777" w:rsidR="00AF274B" w:rsidRDefault="00AF274B">
            <w:pPr>
              <w:pStyle w:val="GlossaryTableText"/>
              <w:rPr>
                <w:b/>
                <w:bCs/>
              </w:rPr>
            </w:pPr>
            <w:r>
              <w:rPr>
                <w:b/>
                <w:bCs/>
                <w:snapToGrid w:val="0"/>
              </w:rPr>
              <w:t>Rh (also “Rh factor”)</w:t>
            </w:r>
          </w:p>
        </w:tc>
        <w:tc>
          <w:tcPr>
            <w:tcW w:w="3327" w:type="pct"/>
            <w:tcBorders>
              <w:top w:val="nil"/>
              <w:left w:val="nil"/>
              <w:bottom w:val="nil"/>
              <w:right w:val="nil"/>
            </w:tcBorders>
          </w:tcPr>
          <w:p w14:paraId="19D4DCE3" w14:textId="77777777" w:rsidR="00AF274B" w:rsidRDefault="00AF274B">
            <w:pPr>
              <w:pStyle w:val="GlossaryTableText"/>
              <w:rPr>
                <w:snapToGrid w:val="0"/>
              </w:rPr>
            </w:pPr>
            <w:r>
              <w:rPr>
                <w:snapToGrid w:val="0"/>
              </w:rPr>
              <w:t xml:space="preserve">Rhesus factor. </w:t>
            </w:r>
            <w:r>
              <w:t>The major antigen of the Rh system. Also “D.”</w:t>
            </w:r>
            <w:r>
              <w:rPr>
                <w:i/>
              </w:rPr>
              <w:t xml:space="preserve"> The presence of this antigen on red blood cells determines if a patient or donor is Rh Pos or Rh Neg. A weak expression of the D antigen, referred to as “Du” or “weak D,” may require additional testing to determine its presence.</w:t>
            </w:r>
          </w:p>
        </w:tc>
      </w:tr>
      <w:tr w:rsidR="00AF274B" w14:paraId="753DE5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0529E86" w14:textId="77777777" w:rsidR="00AF274B" w:rsidRDefault="00AF274B">
            <w:pPr>
              <w:pStyle w:val="GlossaryTableText"/>
              <w:rPr>
                <w:b/>
                <w:bCs/>
              </w:rPr>
            </w:pPr>
            <w:r>
              <w:rPr>
                <w:b/>
                <w:bCs/>
                <w:snapToGrid w:val="0"/>
              </w:rPr>
              <w:t>SCD</w:t>
            </w:r>
          </w:p>
        </w:tc>
        <w:tc>
          <w:tcPr>
            <w:tcW w:w="3327" w:type="pct"/>
            <w:tcBorders>
              <w:top w:val="nil"/>
              <w:left w:val="nil"/>
              <w:bottom w:val="nil"/>
              <w:right w:val="nil"/>
            </w:tcBorders>
          </w:tcPr>
          <w:p w14:paraId="7C982E87" w14:textId="77777777" w:rsidR="00AF274B" w:rsidRDefault="00AF274B">
            <w:pPr>
              <w:pStyle w:val="GlossaryTableText"/>
              <w:rPr>
                <w:snapToGrid w:val="0"/>
              </w:rPr>
            </w:pPr>
            <w:r>
              <w:rPr>
                <w:snapToGrid w:val="0"/>
              </w:rPr>
              <w:t>Sterile connection device.</w:t>
            </w:r>
          </w:p>
        </w:tc>
      </w:tr>
      <w:tr w:rsidR="00AF274B" w14:paraId="7060FE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4137D2" w14:textId="77777777" w:rsidR="00AF274B" w:rsidRDefault="00AF274B">
            <w:pPr>
              <w:pStyle w:val="GlossaryTableText"/>
              <w:rPr>
                <w:b/>
                <w:bCs/>
                <w:snapToGrid w:val="0"/>
              </w:rPr>
            </w:pPr>
            <w:r>
              <w:rPr>
                <w:b/>
                <w:bCs/>
                <w:snapToGrid w:val="0"/>
              </w:rPr>
              <w:t>Screening cell (SC)</w:t>
            </w:r>
          </w:p>
          <w:p w14:paraId="629C7231" w14:textId="68D18599" w:rsidR="0022026D" w:rsidRPr="0022026D" w:rsidRDefault="0022026D" w:rsidP="0022026D">
            <w:pPr>
              <w:pStyle w:val="TableText"/>
              <w:rPr>
                <w:b/>
                <w:sz w:val="20"/>
                <w:szCs w:val="20"/>
              </w:rPr>
            </w:pPr>
            <w:r w:rsidRPr="0022026D">
              <w:rPr>
                <w:b/>
                <w:sz w:val="20"/>
                <w:szCs w:val="20"/>
              </w:rPr>
              <w:t>SD</w:t>
            </w:r>
          </w:p>
        </w:tc>
        <w:tc>
          <w:tcPr>
            <w:tcW w:w="3327" w:type="pct"/>
            <w:tcBorders>
              <w:top w:val="nil"/>
              <w:left w:val="nil"/>
              <w:bottom w:val="nil"/>
              <w:right w:val="nil"/>
            </w:tcBorders>
          </w:tcPr>
          <w:p w14:paraId="247FA565" w14:textId="77777777" w:rsidR="00AF274B" w:rsidRDefault="00AF274B">
            <w:pPr>
              <w:pStyle w:val="GlossaryTableText"/>
              <w:rPr>
                <w:snapToGrid w:val="0"/>
              </w:rPr>
            </w:pPr>
            <w:r>
              <w:rPr>
                <w:snapToGrid w:val="0"/>
              </w:rPr>
              <w:t>Antigenically defined cells used to detect alloantibodies.</w:t>
            </w:r>
          </w:p>
          <w:p w14:paraId="26D5BA83" w14:textId="3CE79ADE" w:rsidR="0022026D" w:rsidRPr="0022026D" w:rsidRDefault="0022026D" w:rsidP="0022026D">
            <w:pPr>
              <w:pStyle w:val="TableText"/>
              <w:rPr>
                <w:sz w:val="20"/>
                <w:szCs w:val="20"/>
              </w:rPr>
            </w:pPr>
            <w:r w:rsidRPr="0022026D">
              <w:rPr>
                <w:sz w:val="20"/>
                <w:szCs w:val="20"/>
              </w:rPr>
              <w:t>Service Desk (formerly National Help Desk).</w:t>
            </w:r>
          </w:p>
        </w:tc>
      </w:tr>
      <w:tr w:rsidR="00AF274B" w14:paraId="17B4D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223F97" w14:textId="77777777" w:rsidR="00AF274B" w:rsidRDefault="00AF274B">
            <w:pPr>
              <w:pStyle w:val="GlossaryTableText"/>
              <w:rPr>
                <w:b/>
                <w:bCs/>
              </w:rPr>
            </w:pPr>
            <w:r>
              <w:rPr>
                <w:b/>
                <w:bCs/>
              </w:rPr>
              <w:t>Selected</w:t>
            </w:r>
          </w:p>
        </w:tc>
        <w:tc>
          <w:tcPr>
            <w:tcW w:w="3327" w:type="pct"/>
            <w:tcBorders>
              <w:top w:val="nil"/>
              <w:left w:val="nil"/>
              <w:bottom w:val="nil"/>
              <w:right w:val="nil"/>
            </w:tcBorders>
          </w:tcPr>
          <w:p w14:paraId="40EE796B" w14:textId="77777777" w:rsidR="00AF274B" w:rsidRDefault="00AF274B">
            <w:pPr>
              <w:pStyle w:val="GlossaryTableText"/>
            </w:pPr>
            <w:r>
              <w:t xml:space="preserve">Status of a unit of red cells when the blood bank technician selects it from available inventory to be crossmatched with a patient specimen. </w:t>
            </w:r>
            <w:r>
              <w:rPr>
                <w:i/>
              </w:rPr>
              <w:t>A unit in “selected” state is not available to be issued for transfusion. By entering a crossmatch result of “compatible,” the state changes from “selected” to “assigned.”</w:t>
            </w:r>
          </w:p>
        </w:tc>
      </w:tr>
      <w:tr w:rsidR="00AF274B" w14:paraId="5E58B1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FBB932E" w14:textId="77777777" w:rsidR="00AF274B" w:rsidRDefault="00AF274B">
            <w:pPr>
              <w:pStyle w:val="GlossaryTableText"/>
              <w:rPr>
                <w:b/>
                <w:bCs/>
              </w:rPr>
            </w:pPr>
            <w:r>
              <w:rPr>
                <w:b/>
                <w:bCs/>
                <w:snapToGrid w:val="0"/>
              </w:rPr>
              <w:t>Serologic crossmatch</w:t>
            </w:r>
          </w:p>
        </w:tc>
        <w:tc>
          <w:tcPr>
            <w:tcW w:w="3327" w:type="pct"/>
            <w:tcBorders>
              <w:top w:val="nil"/>
              <w:left w:val="nil"/>
              <w:bottom w:val="nil"/>
              <w:right w:val="nil"/>
            </w:tcBorders>
          </w:tcPr>
          <w:p w14:paraId="2A0A0B1A" w14:textId="77777777" w:rsidR="00AF274B" w:rsidRDefault="00AF274B">
            <w:pPr>
              <w:pStyle w:val="GlossaryTableText"/>
              <w:rPr>
                <w:b/>
              </w:rPr>
            </w:pPr>
            <w:r>
              <w:rPr>
                <w:snapToGrid w:val="0"/>
              </w:rPr>
              <w:t>Performance of a laboratory test to predict post-transfusion survival of transfused blood.</w:t>
            </w:r>
          </w:p>
        </w:tc>
      </w:tr>
      <w:tr w:rsidR="00AF274B" w14:paraId="140FB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A01E2E" w14:textId="77777777" w:rsidR="00AF274B" w:rsidRDefault="00AF274B">
            <w:pPr>
              <w:pStyle w:val="GlossaryTableText"/>
              <w:rPr>
                <w:b/>
                <w:bCs/>
              </w:rPr>
            </w:pPr>
            <w:r>
              <w:rPr>
                <w:b/>
                <w:bCs/>
              </w:rPr>
              <w:t>Serum</w:t>
            </w:r>
          </w:p>
        </w:tc>
        <w:tc>
          <w:tcPr>
            <w:tcW w:w="3327" w:type="pct"/>
            <w:tcBorders>
              <w:top w:val="nil"/>
              <w:left w:val="nil"/>
              <w:bottom w:val="nil"/>
              <w:right w:val="nil"/>
            </w:tcBorders>
          </w:tcPr>
          <w:p w14:paraId="18B287C8" w14:textId="77777777" w:rsidR="00AF274B" w:rsidRDefault="00AF274B">
            <w:pPr>
              <w:pStyle w:val="GlossaryTableText"/>
            </w:pPr>
            <w:r>
              <w:t>The liquid portion of blood used to detect antibodies.</w:t>
            </w:r>
          </w:p>
        </w:tc>
      </w:tr>
      <w:tr w:rsidR="00AF274B" w14:paraId="493E53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A280291" w14:textId="77777777" w:rsidR="00AF274B" w:rsidRDefault="00AF274B">
            <w:pPr>
              <w:pStyle w:val="GlossaryTableText"/>
              <w:rPr>
                <w:b/>
                <w:bCs/>
              </w:rPr>
            </w:pPr>
            <w:r>
              <w:rPr>
                <w:b/>
                <w:bCs/>
              </w:rPr>
              <w:t>Server</w:t>
            </w:r>
          </w:p>
        </w:tc>
        <w:tc>
          <w:tcPr>
            <w:tcW w:w="3327" w:type="pct"/>
            <w:tcBorders>
              <w:top w:val="nil"/>
              <w:left w:val="nil"/>
              <w:bottom w:val="nil"/>
              <w:right w:val="nil"/>
            </w:tcBorders>
          </w:tcPr>
          <w:p w14:paraId="2BF74C7E" w14:textId="77777777" w:rsidR="00AF274B" w:rsidRDefault="00AF274B">
            <w:pPr>
              <w:pStyle w:val="GlossaryTableText"/>
            </w:pPr>
            <w:r>
              <w:t>A computer system in a network shared by multiple users.</w:t>
            </w:r>
          </w:p>
        </w:tc>
      </w:tr>
      <w:tr w:rsidR="00AF274B" w14:paraId="455BCD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077B77" w14:textId="77777777" w:rsidR="00AF274B" w:rsidRDefault="00AF274B">
            <w:pPr>
              <w:pStyle w:val="GlossaryTableText"/>
              <w:rPr>
                <w:b/>
                <w:bCs/>
              </w:rPr>
            </w:pPr>
            <w:r>
              <w:rPr>
                <w:b/>
                <w:bCs/>
              </w:rPr>
              <w:t>SF 518 equivalent</w:t>
            </w:r>
          </w:p>
        </w:tc>
        <w:tc>
          <w:tcPr>
            <w:tcW w:w="3327" w:type="pct"/>
            <w:tcBorders>
              <w:top w:val="nil"/>
              <w:left w:val="nil"/>
              <w:bottom w:val="nil"/>
              <w:right w:val="nil"/>
            </w:tcBorders>
          </w:tcPr>
          <w:p w14:paraId="75186EB3" w14:textId="77777777" w:rsidR="00AF274B" w:rsidRDefault="00AF274B">
            <w:pPr>
              <w:pStyle w:val="GlossaryTableText"/>
            </w:pPr>
            <w:r>
              <w:t>See “Blood Transfusion Reaction Form.”</w:t>
            </w:r>
          </w:p>
        </w:tc>
      </w:tr>
      <w:tr w:rsidR="00AF274B" w14:paraId="335FD7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DEA66AD" w14:textId="77777777" w:rsidR="00AF274B" w:rsidRDefault="00AF274B">
            <w:pPr>
              <w:pStyle w:val="GlossaryTableText"/>
              <w:rPr>
                <w:b/>
                <w:bCs/>
              </w:rPr>
            </w:pPr>
            <w:r>
              <w:rPr>
                <w:b/>
                <w:bCs/>
              </w:rPr>
              <w:t>Site (see also “Facility”)</w:t>
            </w:r>
          </w:p>
        </w:tc>
        <w:tc>
          <w:tcPr>
            <w:tcW w:w="3327" w:type="pct"/>
            <w:tcBorders>
              <w:top w:val="nil"/>
              <w:left w:val="nil"/>
              <w:bottom w:val="nil"/>
              <w:right w:val="nil"/>
            </w:tcBorders>
          </w:tcPr>
          <w:p w14:paraId="5471F8BA" w14:textId="77777777" w:rsidR="00AF274B" w:rsidRDefault="00AF274B">
            <w:pPr>
              <w:pStyle w:val="GlossaryTableText"/>
            </w:pPr>
            <w:r>
              <w:t>A blood bank laboratory where a blood unit is located.</w:t>
            </w:r>
          </w:p>
        </w:tc>
      </w:tr>
      <w:tr w:rsidR="001A1559" w14:paraId="400A6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ED77077" w14:textId="77777777" w:rsidR="001A1559" w:rsidRDefault="001A1559">
            <w:pPr>
              <w:pStyle w:val="GlossaryTableText"/>
              <w:rPr>
                <w:b/>
                <w:bCs/>
              </w:rPr>
            </w:pPr>
            <w:r>
              <w:rPr>
                <w:b/>
                <w:bCs/>
              </w:rPr>
              <w:t>SME</w:t>
            </w:r>
          </w:p>
        </w:tc>
        <w:tc>
          <w:tcPr>
            <w:tcW w:w="3327" w:type="pct"/>
            <w:tcBorders>
              <w:top w:val="nil"/>
              <w:left w:val="nil"/>
              <w:bottom w:val="nil"/>
              <w:right w:val="nil"/>
            </w:tcBorders>
          </w:tcPr>
          <w:p w14:paraId="2A029492" w14:textId="77777777" w:rsidR="001A1559" w:rsidRDefault="001A1559">
            <w:pPr>
              <w:pStyle w:val="GlossaryTableText"/>
            </w:pPr>
            <w:r>
              <w:t>Subject matter expert.</w:t>
            </w:r>
          </w:p>
        </w:tc>
      </w:tr>
      <w:tr w:rsidR="00AF274B" w14:paraId="7BA9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5B1CF" w14:textId="77777777" w:rsidR="00AF274B" w:rsidRDefault="00AF274B">
            <w:pPr>
              <w:pStyle w:val="GlossaryTableText"/>
              <w:rPr>
                <w:b/>
                <w:bCs/>
              </w:rPr>
            </w:pPr>
            <w:r>
              <w:rPr>
                <w:b/>
                <w:bCs/>
              </w:rPr>
              <w:t>Software</w:t>
            </w:r>
          </w:p>
        </w:tc>
        <w:tc>
          <w:tcPr>
            <w:tcW w:w="3327" w:type="pct"/>
            <w:tcBorders>
              <w:top w:val="nil"/>
              <w:left w:val="nil"/>
              <w:bottom w:val="nil"/>
              <w:right w:val="nil"/>
            </w:tcBorders>
          </w:tcPr>
          <w:p w14:paraId="5773419E" w14:textId="77777777" w:rsidR="00AF274B" w:rsidRDefault="00AF274B">
            <w:pPr>
              <w:pStyle w:val="GlossaryTableText"/>
              <w:rPr>
                <w:b/>
              </w:rPr>
            </w:pPr>
            <w:r>
              <w:t>Computer programs and associated documentation pertaining to the operation of a system.</w:t>
            </w:r>
          </w:p>
        </w:tc>
      </w:tr>
      <w:tr w:rsidR="00AF274B" w14:paraId="474873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72A33D" w14:textId="77777777" w:rsidR="00AF274B" w:rsidRDefault="00AF274B">
            <w:pPr>
              <w:pStyle w:val="GlossaryTableText"/>
              <w:rPr>
                <w:b/>
                <w:bCs/>
              </w:rPr>
            </w:pPr>
            <w:r>
              <w:rPr>
                <w:b/>
                <w:bCs/>
                <w:snapToGrid w:val="0"/>
              </w:rPr>
              <w:t>Special Instructions (SIs)</w:t>
            </w:r>
          </w:p>
        </w:tc>
        <w:tc>
          <w:tcPr>
            <w:tcW w:w="3327" w:type="pct"/>
            <w:tcBorders>
              <w:top w:val="nil"/>
              <w:left w:val="nil"/>
              <w:bottom w:val="nil"/>
              <w:right w:val="nil"/>
            </w:tcBorders>
          </w:tcPr>
          <w:p w14:paraId="7FED2243" w14:textId="77777777" w:rsidR="00AF274B" w:rsidRDefault="00AF274B">
            <w:pPr>
              <w:pStyle w:val="GlossaryTableText"/>
              <w:rPr>
                <w:snapToGrid w:val="0"/>
              </w:rPr>
            </w:pPr>
            <w:r>
              <w:rPr>
                <w:snapToGrid w:val="0"/>
              </w:rPr>
              <w:t>Free-text or canned comments entered by the Blood Bank Technologist to communicate problems, restrictions, and considerations not otherwise documented in a patient’s record.</w:t>
            </w:r>
          </w:p>
        </w:tc>
      </w:tr>
      <w:tr w:rsidR="00AF274B" w14:paraId="283D4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C135" w14:textId="77777777" w:rsidR="00AF274B" w:rsidRDefault="00AF274B">
            <w:pPr>
              <w:pStyle w:val="GlossaryTableText"/>
              <w:rPr>
                <w:b/>
                <w:bCs/>
              </w:rPr>
            </w:pPr>
            <w:r>
              <w:rPr>
                <w:b/>
                <w:bCs/>
              </w:rPr>
              <w:t>Status</w:t>
            </w:r>
          </w:p>
        </w:tc>
        <w:tc>
          <w:tcPr>
            <w:tcW w:w="3327" w:type="pct"/>
            <w:tcBorders>
              <w:top w:val="nil"/>
              <w:left w:val="nil"/>
              <w:bottom w:val="nil"/>
              <w:right w:val="nil"/>
            </w:tcBorders>
          </w:tcPr>
          <w:p w14:paraId="1DB0F1E9" w14:textId="77777777" w:rsidR="00AF274B" w:rsidRDefault="00AF274B">
            <w:pPr>
              <w:pStyle w:val="GlossaryTableText"/>
            </w:pPr>
            <w:r>
              <w:t>The disposition of a unit of blood.</w:t>
            </w:r>
          </w:p>
        </w:tc>
      </w:tr>
      <w:tr w:rsidR="00AF274B" w14:paraId="3E71A7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04AF65" w14:textId="77777777" w:rsidR="00AF274B" w:rsidRDefault="00AF274B">
            <w:pPr>
              <w:pStyle w:val="GlossaryTableText"/>
              <w:rPr>
                <w:b/>
                <w:bCs/>
              </w:rPr>
            </w:pPr>
            <w:r>
              <w:rPr>
                <w:b/>
                <w:bCs/>
                <w:snapToGrid w:val="0"/>
              </w:rPr>
              <w:t>Sterile connection device</w:t>
            </w:r>
          </w:p>
        </w:tc>
        <w:tc>
          <w:tcPr>
            <w:tcW w:w="3327" w:type="pct"/>
            <w:tcBorders>
              <w:top w:val="nil"/>
              <w:left w:val="nil"/>
              <w:bottom w:val="nil"/>
              <w:right w:val="nil"/>
            </w:tcBorders>
          </w:tcPr>
          <w:p w14:paraId="3BC98EA2" w14:textId="77777777" w:rsidR="00AF274B" w:rsidRDefault="00AF274B">
            <w:pPr>
              <w:pStyle w:val="GlossaryTableText"/>
              <w:rPr>
                <w:snapToGrid w:val="0"/>
              </w:rPr>
            </w:pPr>
            <w:r>
              <w:rPr>
                <w:snapToGrid w:val="0"/>
              </w:rPr>
              <w:t>An instrument that connects two plastic tubes while maintaining sterility.</w:t>
            </w:r>
          </w:p>
        </w:tc>
      </w:tr>
      <w:tr w:rsidR="009A6A1E" w14:paraId="2E181C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938AFF8" w14:textId="77777777" w:rsidR="009A6A1E" w:rsidRDefault="009A6A1E">
            <w:pPr>
              <w:pStyle w:val="GlossaryTableText"/>
              <w:rPr>
                <w:b/>
                <w:bCs/>
                <w:snapToGrid w:val="0"/>
              </w:rPr>
            </w:pPr>
            <w:r>
              <w:rPr>
                <w:b/>
                <w:bCs/>
                <w:snapToGrid w:val="0"/>
              </w:rPr>
              <w:t>SSRS</w:t>
            </w:r>
          </w:p>
        </w:tc>
        <w:tc>
          <w:tcPr>
            <w:tcW w:w="3327" w:type="pct"/>
            <w:tcBorders>
              <w:top w:val="nil"/>
              <w:left w:val="nil"/>
              <w:bottom w:val="nil"/>
              <w:right w:val="nil"/>
            </w:tcBorders>
          </w:tcPr>
          <w:p w14:paraId="7EC386D2" w14:textId="77777777" w:rsidR="009A6A1E" w:rsidRDefault="009A6A1E">
            <w:pPr>
              <w:pStyle w:val="GlossaryTableText"/>
              <w:rPr>
                <w:snapToGrid w:val="0"/>
              </w:rPr>
            </w:pPr>
            <w:r>
              <w:rPr>
                <w:snapToGrid w:val="0"/>
              </w:rPr>
              <w:t>SQL Server Reporting Services.</w:t>
            </w:r>
          </w:p>
        </w:tc>
      </w:tr>
      <w:tr w:rsidR="00AF274B" w14:paraId="6A4E3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E02931B" w14:textId="77777777" w:rsidR="00AF274B" w:rsidRDefault="00AF274B">
            <w:pPr>
              <w:pStyle w:val="GlossaryTableText"/>
              <w:rPr>
                <w:b/>
                <w:bCs/>
                <w:snapToGrid w:val="0"/>
              </w:rPr>
            </w:pPr>
            <w:r>
              <w:rPr>
                <w:b/>
                <w:bCs/>
                <w:snapToGrid w:val="0"/>
              </w:rPr>
              <w:t>Target unit</w:t>
            </w:r>
          </w:p>
        </w:tc>
        <w:tc>
          <w:tcPr>
            <w:tcW w:w="3327" w:type="pct"/>
            <w:tcBorders>
              <w:top w:val="nil"/>
              <w:left w:val="nil"/>
              <w:bottom w:val="nil"/>
              <w:right w:val="nil"/>
            </w:tcBorders>
          </w:tcPr>
          <w:p w14:paraId="73D26A8B" w14:textId="77777777" w:rsidR="00AF274B" w:rsidRDefault="00AF274B">
            <w:pPr>
              <w:pStyle w:val="GlossaryTableText"/>
              <w:rPr>
                <w:snapToGrid w:val="0"/>
              </w:rPr>
            </w:pPr>
            <w:r>
              <w:rPr>
                <w:snapToGrid w:val="0"/>
              </w:rPr>
              <w:t>A unit formed as a result of a pool or split.</w:t>
            </w:r>
          </w:p>
        </w:tc>
      </w:tr>
      <w:tr w:rsidR="00AF274B" w14:paraId="0D2A62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281366" w14:textId="77777777" w:rsidR="00AF274B" w:rsidRDefault="00AF274B">
            <w:pPr>
              <w:pStyle w:val="GlossaryTableText"/>
              <w:rPr>
                <w:b/>
                <w:bCs/>
              </w:rPr>
            </w:pPr>
            <w:r>
              <w:rPr>
                <w:b/>
                <w:bCs/>
                <w:snapToGrid w:val="0"/>
              </w:rPr>
              <w:t>TAS</w:t>
            </w:r>
          </w:p>
        </w:tc>
        <w:tc>
          <w:tcPr>
            <w:tcW w:w="3327" w:type="pct"/>
            <w:tcBorders>
              <w:top w:val="nil"/>
              <w:left w:val="nil"/>
              <w:bottom w:val="nil"/>
              <w:right w:val="nil"/>
            </w:tcBorders>
          </w:tcPr>
          <w:p w14:paraId="5A7D1F66" w14:textId="77777777" w:rsidR="00AF274B" w:rsidRDefault="00AF274B">
            <w:pPr>
              <w:pStyle w:val="GlossaryTableText"/>
              <w:rPr>
                <w:snapToGrid w:val="0"/>
              </w:rPr>
            </w:pPr>
            <w:r>
              <w:rPr>
                <w:snapToGrid w:val="0"/>
              </w:rPr>
              <w:t>Type &amp; Screen.</w:t>
            </w:r>
          </w:p>
        </w:tc>
      </w:tr>
      <w:tr w:rsidR="00AF274B" w14:paraId="64D5F8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B194C" w14:textId="77777777" w:rsidR="00AF274B" w:rsidRDefault="00AF274B">
            <w:pPr>
              <w:pStyle w:val="GlossaryTableText"/>
              <w:rPr>
                <w:b/>
                <w:bCs/>
              </w:rPr>
            </w:pPr>
            <w:r w:rsidRPr="00741C68">
              <w:rPr>
                <w:b/>
                <w:bCs/>
                <w:snapToGrid w:val="0"/>
              </w:rPr>
              <w:lastRenderedPageBreak/>
              <w:t>TCP/IP</w:t>
            </w:r>
          </w:p>
        </w:tc>
        <w:tc>
          <w:tcPr>
            <w:tcW w:w="3327" w:type="pct"/>
            <w:tcBorders>
              <w:top w:val="nil"/>
              <w:left w:val="nil"/>
              <w:bottom w:val="nil"/>
              <w:right w:val="nil"/>
            </w:tcBorders>
          </w:tcPr>
          <w:p w14:paraId="60A63F44" w14:textId="77777777" w:rsidR="00AF274B" w:rsidRDefault="00AF274B">
            <w:pPr>
              <w:pStyle w:val="GlossaryTableText"/>
            </w:pPr>
            <w:r>
              <w:t>Transmission Control Protocol/Internet Protocol.</w:t>
            </w:r>
          </w:p>
        </w:tc>
      </w:tr>
      <w:tr w:rsidR="00AF274B" w14:paraId="225285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FAD4C27" w14:textId="77777777" w:rsidR="00AF274B" w:rsidRDefault="00AF274B">
            <w:pPr>
              <w:pStyle w:val="GlossaryTableText"/>
              <w:rPr>
                <w:b/>
                <w:bCs/>
              </w:rPr>
            </w:pPr>
            <w:r>
              <w:rPr>
                <w:b/>
                <w:bCs/>
              </w:rPr>
              <w:t>Test (in general and laboratory contexts)</w:t>
            </w:r>
          </w:p>
        </w:tc>
        <w:tc>
          <w:tcPr>
            <w:tcW w:w="3327" w:type="pct"/>
            <w:tcBorders>
              <w:top w:val="nil"/>
              <w:left w:val="nil"/>
              <w:bottom w:val="nil"/>
              <w:right w:val="nil"/>
            </w:tcBorders>
          </w:tcPr>
          <w:p w14:paraId="364F7BF0" w14:textId="77777777" w:rsidR="00AF274B" w:rsidRDefault="00AF274B">
            <w:pPr>
              <w:pStyle w:val="GlossaryTableText"/>
            </w:pPr>
            <w:r>
              <w:t>A means of examination to determine a property. In the context of the VBECS database, the contents of a single grid entry (test cell).</w:t>
            </w:r>
          </w:p>
        </w:tc>
      </w:tr>
      <w:tr w:rsidR="00AF274B" w14:paraId="2FD981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C9D56B" w14:textId="77777777" w:rsidR="00AF274B" w:rsidRDefault="00AF274B">
            <w:pPr>
              <w:pStyle w:val="GlossaryTableText"/>
              <w:rPr>
                <w:b/>
                <w:bCs/>
              </w:rPr>
            </w:pPr>
            <w:r>
              <w:rPr>
                <w:b/>
                <w:bCs/>
              </w:rPr>
              <w:t>Test cell</w:t>
            </w:r>
          </w:p>
        </w:tc>
        <w:tc>
          <w:tcPr>
            <w:tcW w:w="3327" w:type="pct"/>
            <w:tcBorders>
              <w:top w:val="nil"/>
              <w:left w:val="nil"/>
              <w:bottom w:val="nil"/>
              <w:right w:val="nil"/>
            </w:tcBorders>
          </w:tcPr>
          <w:p w14:paraId="240D5DF0" w14:textId="77777777" w:rsidR="00AF274B" w:rsidRDefault="00AF274B">
            <w:pPr>
              <w:pStyle w:val="GlossaryTableText"/>
              <w:rPr>
                <w:b/>
              </w:rPr>
            </w:pPr>
            <w:r>
              <w:t>In the context of the VBECS database: A grid space. In a laboratory: Red cells, in a reagent vial, used in a test.</w:t>
            </w:r>
          </w:p>
        </w:tc>
      </w:tr>
      <w:tr w:rsidR="00AF274B" w14:paraId="570D4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64ADA81" w14:textId="77777777" w:rsidR="00AF274B" w:rsidRDefault="00AF274B">
            <w:pPr>
              <w:pStyle w:val="GlossaryTableText"/>
              <w:rPr>
                <w:b/>
                <w:bCs/>
              </w:rPr>
            </w:pPr>
            <w:r>
              <w:rPr>
                <w:b/>
                <w:bCs/>
              </w:rPr>
              <w:t>Testing phase</w:t>
            </w:r>
          </w:p>
        </w:tc>
        <w:tc>
          <w:tcPr>
            <w:tcW w:w="3327" w:type="pct"/>
            <w:tcBorders>
              <w:top w:val="nil"/>
              <w:left w:val="nil"/>
              <w:bottom w:val="nil"/>
              <w:right w:val="nil"/>
            </w:tcBorders>
          </w:tcPr>
          <w:p w14:paraId="40AD6520" w14:textId="77777777" w:rsidR="00AF274B" w:rsidRDefault="00AF274B">
            <w:pPr>
              <w:pStyle w:val="GlossaryTableText"/>
            </w:pPr>
            <w:r>
              <w:t>1. The portion of a laboratory test in which an interpretation is recorded. 2. The phase of the development process in which the functionality is available for testing.</w:t>
            </w:r>
          </w:p>
        </w:tc>
      </w:tr>
      <w:tr w:rsidR="00AF274B" w14:paraId="075A50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E0C5C1" w14:textId="77777777" w:rsidR="00AF274B" w:rsidRDefault="00AF274B">
            <w:pPr>
              <w:pStyle w:val="GlossaryTableText"/>
              <w:rPr>
                <w:b/>
                <w:bCs/>
              </w:rPr>
            </w:pPr>
            <w:r>
              <w:rPr>
                <w:b/>
                <w:bCs/>
                <w:snapToGrid w:val="0"/>
              </w:rPr>
              <w:t>Transfusion Requirements (TRs)</w:t>
            </w:r>
          </w:p>
        </w:tc>
        <w:tc>
          <w:tcPr>
            <w:tcW w:w="3327" w:type="pct"/>
            <w:tcBorders>
              <w:top w:val="nil"/>
              <w:left w:val="nil"/>
              <w:bottom w:val="nil"/>
              <w:right w:val="nil"/>
            </w:tcBorders>
          </w:tcPr>
          <w:p w14:paraId="740F3B13" w14:textId="77777777" w:rsidR="00AF274B" w:rsidRDefault="00AF274B">
            <w:pPr>
              <w:pStyle w:val="GlossaryTableText"/>
              <w:rPr>
                <w:snapToGrid w:val="0"/>
              </w:rPr>
            </w:pPr>
            <w:r>
              <w:rPr>
                <w:snapToGrid w:val="0"/>
              </w:rPr>
              <w:t>Mandatory blood product attributes applied to every transfusion.</w:t>
            </w:r>
          </w:p>
        </w:tc>
      </w:tr>
      <w:tr w:rsidR="00AF274B" w14:paraId="002A56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CC1747" w14:textId="77777777" w:rsidR="00AF274B" w:rsidRDefault="00AF274B">
            <w:pPr>
              <w:pStyle w:val="GlossaryTableText"/>
              <w:rPr>
                <w:b/>
                <w:bCs/>
              </w:rPr>
            </w:pPr>
            <w:r>
              <w:rPr>
                <w:b/>
                <w:bCs/>
              </w:rPr>
              <w:t>Truth table</w:t>
            </w:r>
          </w:p>
        </w:tc>
        <w:tc>
          <w:tcPr>
            <w:tcW w:w="3327" w:type="pct"/>
            <w:tcBorders>
              <w:top w:val="nil"/>
              <w:left w:val="nil"/>
              <w:bottom w:val="nil"/>
              <w:right w:val="nil"/>
            </w:tcBorders>
          </w:tcPr>
          <w:p w14:paraId="66A5C2AD" w14:textId="77777777" w:rsidR="00AF274B" w:rsidRDefault="00AF274B">
            <w:pPr>
              <w:pStyle w:val="GlossaryTableText"/>
            </w:pPr>
            <w:r>
              <w:t>A table, specific to a test or action, listing all possible combinations of user inputs and the corresponding acceptable results and/or interpretations. It allows the system to verify user input based on established parameters.</w:t>
            </w:r>
          </w:p>
        </w:tc>
      </w:tr>
      <w:tr w:rsidR="00AF274B" w14:paraId="270CE8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20C1A" w14:textId="77777777" w:rsidR="00AF274B" w:rsidRDefault="00AF274B">
            <w:pPr>
              <w:pStyle w:val="GlossaryTableText"/>
              <w:rPr>
                <w:b/>
                <w:bCs/>
              </w:rPr>
            </w:pPr>
            <w:r>
              <w:rPr>
                <w:b/>
                <w:bCs/>
              </w:rPr>
              <w:t>TRW</w:t>
            </w:r>
          </w:p>
        </w:tc>
        <w:tc>
          <w:tcPr>
            <w:tcW w:w="3327" w:type="pct"/>
            <w:tcBorders>
              <w:top w:val="nil"/>
              <w:left w:val="nil"/>
              <w:bottom w:val="nil"/>
              <w:right w:val="nil"/>
            </w:tcBorders>
          </w:tcPr>
          <w:p w14:paraId="47D73B5B" w14:textId="77777777" w:rsidR="00AF274B" w:rsidRDefault="00AF274B">
            <w:pPr>
              <w:pStyle w:val="GlossaryTableText"/>
            </w:pPr>
            <w:r>
              <w:t>Transfusion reaction workup.</w:t>
            </w:r>
          </w:p>
        </w:tc>
      </w:tr>
      <w:tr w:rsidR="00AF274B" w14:paraId="49FC7D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538AE6F" w14:textId="77777777" w:rsidR="00AF274B" w:rsidRDefault="00AF274B">
            <w:pPr>
              <w:pStyle w:val="GlossaryTableText"/>
              <w:rPr>
                <w:b/>
                <w:bCs/>
              </w:rPr>
            </w:pPr>
            <w:r>
              <w:rPr>
                <w:b/>
                <w:bCs/>
              </w:rPr>
              <w:t>UID</w:t>
            </w:r>
          </w:p>
        </w:tc>
        <w:tc>
          <w:tcPr>
            <w:tcW w:w="3327" w:type="pct"/>
            <w:tcBorders>
              <w:top w:val="nil"/>
              <w:left w:val="nil"/>
              <w:bottom w:val="nil"/>
              <w:right w:val="nil"/>
            </w:tcBorders>
          </w:tcPr>
          <w:p w14:paraId="5A88B7B5" w14:textId="77777777" w:rsidR="00AF274B" w:rsidRDefault="00AF274B">
            <w:pPr>
              <w:pStyle w:val="GlossaryTableText"/>
              <w:rPr>
                <w:i/>
              </w:rPr>
            </w:pPr>
            <w:r>
              <w:t xml:space="preserve">Universal ID. An eye-readable and barcode-scannable coded representation of the Accession Number assigned by the laboratory package. </w:t>
            </w:r>
            <w:r>
              <w:rPr>
                <w:i/>
              </w:rPr>
              <w:t>UID is unique to the generating information system where the specimen was received.</w:t>
            </w:r>
          </w:p>
        </w:tc>
      </w:tr>
      <w:tr w:rsidR="00AF274B" w14:paraId="3E5AEA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620DC2" w14:textId="77777777" w:rsidR="00AF274B" w:rsidRDefault="00AF274B">
            <w:pPr>
              <w:pStyle w:val="GlossaryTableText"/>
              <w:rPr>
                <w:b/>
                <w:bCs/>
              </w:rPr>
            </w:pPr>
            <w:r>
              <w:rPr>
                <w:b/>
                <w:bCs/>
              </w:rPr>
              <w:t>Unit</w:t>
            </w:r>
          </w:p>
        </w:tc>
        <w:tc>
          <w:tcPr>
            <w:tcW w:w="3327" w:type="pct"/>
            <w:tcBorders>
              <w:top w:val="nil"/>
              <w:left w:val="nil"/>
              <w:bottom w:val="nil"/>
              <w:right w:val="nil"/>
            </w:tcBorders>
          </w:tcPr>
          <w:p w14:paraId="2AB6B56D" w14:textId="77777777" w:rsidR="00AF274B" w:rsidRDefault="00AF274B">
            <w:pPr>
              <w:pStyle w:val="GlossaryTableText"/>
            </w:pPr>
            <w:r>
              <w:t>A single example of a blood component type. Example: a single unit of red cells, a unit of plasma, a unit of platelets.</w:t>
            </w:r>
          </w:p>
        </w:tc>
      </w:tr>
      <w:tr w:rsidR="00AF274B" w14:paraId="7E425D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0E0D4B5" w14:textId="77777777" w:rsidR="00AF274B" w:rsidRDefault="00AF274B">
            <w:pPr>
              <w:pStyle w:val="GlossaryTableText"/>
              <w:rPr>
                <w:b/>
                <w:bCs/>
              </w:rPr>
            </w:pPr>
            <w:r>
              <w:rPr>
                <w:b/>
                <w:bCs/>
              </w:rPr>
              <w:t>Unit ID</w:t>
            </w:r>
          </w:p>
        </w:tc>
        <w:tc>
          <w:tcPr>
            <w:tcW w:w="3327" w:type="pct"/>
            <w:tcBorders>
              <w:top w:val="nil"/>
              <w:left w:val="nil"/>
              <w:bottom w:val="nil"/>
              <w:right w:val="nil"/>
            </w:tcBorders>
          </w:tcPr>
          <w:p w14:paraId="0C4CED90" w14:textId="77777777" w:rsidR="00AF274B" w:rsidRDefault="00AF274B">
            <w:pPr>
              <w:pStyle w:val="GlossaryTableText"/>
            </w:pPr>
            <w:r>
              <w:t>The label identifier, consisting of a string of characters, of the unit of blood, barcoded on the blood bag label and scanned when a blood unit is received in the blood bank in a shipment.</w:t>
            </w:r>
          </w:p>
        </w:tc>
      </w:tr>
      <w:tr w:rsidR="00AF274B" w14:paraId="585BAF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0C5C9D" w14:textId="77777777" w:rsidR="00AF274B" w:rsidRDefault="00AF274B">
            <w:pPr>
              <w:pStyle w:val="GlossaryTableText"/>
              <w:rPr>
                <w:b/>
                <w:bCs/>
              </w:rPr>
            </w:pPr>
            <w:r>
              <w:rPr>
                <w:b/>
                <w:bCs/>
              </w:rPr>
              <w:t>Unit status</w:t>
            </w:r>
          </w:p>
        </w:tc>
        <w:tc>
          <w:tcPr>
            <w:tcW w:w="3327" w:type="pct"/>
            <w:tcBorders>
              <w:top w:val="nil"/>
              <w:left w:val="nil"/>
              <w:bottom w:val="nil"/>
              <w:right w:val="nil"/>
            </w:tcBorders>
          </w:tcPr>
          <w:p w14:paraId="1C49E441" w14:textId="77777777" w:rsidR="00AF274B" w:rsidRDefault="00AF274B">
            <w:pPr>
              <w:pStyle w:val="GlossaryTableText"/>
              <w:rPr>
                <w:u w:val="single"/>
              </w:rPr>
            </w:pPr>
            <w:r>
              <w:t>The state of a unit of blood at any given time.</w:t>
            </w:r>
          </w:p>
          <w:p w14:paraId="59C656B2" w14:textId="77777777" w:rsidR="00AF274B" w:rsidRDefault="00AF274B">
            <w:pPr>
              <w:pStyle w:val="GlossaryTableTextBullets"/>
            </w:pPr>
            <w:r>
              <w:t>Available: Required processing is complete.</w:t>
            </w:r>
          </w:p>
          <w:p w14:paraId="28F8D6A3" w14:textId="77777777" w:rsidR="00AF274B" w:rsidRDefault="00AF274B">
            <w:pPr>
              <w:pStyle w:val="GlossaryTableTextBullets"/>
            </w:pPr>
            <w:r>
              <w:t>Crossmatched/Assigned: The unit is immediately available for transfusion. All required compatibility testing, including crossmatch if indicated, is performed.</w:t>
            </w:r>
          </w:p>
          <w:p w14:paraId="6D4EFB3C" w14:textId="77777777" w:rsidR="00AF274B" w:rsidRDefault="00AF274B">
            <w:pPr>
              <w:pStyle w:val="GlossaryTableTextBullets"/>
            </w:pPr>
            <w:r>
              <w:t>Discarded: The unit has been destroyed and is no longer available.</w:t>
            </w:r>
          </w:p>
          <w:p w14:paraId="0A092CB4" w14:textId="77777777" w:rsidR="00AF274B" w:rsidRDefault="00AF274B">
            <w:pPr>
              <w:pStyle w:val="GlossaryTableTextBullets"/>
            </w:pPr>
            <w:r>
              <w:t xml:space="preserve">Issued: The unit is not currently located in the blood bank. </w:t>
            </w:r>
          </w:p>
          <w:p w14:paraId="1D04AB44" w14:textId="77777777" w:rsidR="00AF274B" w:rsidRDefault="00AF274B">
            <w:pPr>
              <w:pStyle w:val="GlossaryTableTextBullets"/>
            </w:pPr>
            <w:r>
              <w:t>Limited: Required processing is complete, except for ABO/Rh confirmation</w:t>
            </w:r>
            <w:r w:rsidR="009204CC">
              <w:t>.</w:t>
            </w:r>
          </w:p>
          <w:p w14:paraId="572B1A2E" w14:textId="77777777" w:rsidR="00AF274B" w:rsidRDefault="00AF274B">
            <w:pPr>
              <w:pStyle w:val="GlossaryTableTextBullets"/>
            </w:pPr>
            <w:r>
              <w:t>Quarantine: The unit cannot be selected.</w:t>
            </w:r>
          </w:p>
          <w:p w14:paraId="2B9845AE" w14:textId="77777777" w:rsidR="00AF274B" w:rsidRDefault="00AF274B">
            <w:pPr>
              <w:pStyle w:val="GlossaryTableTextBullets"/>
            </w:pPr>
            <w:r>
              <w:t>Selected: The unit is reserved for one or more patients. Additional compatibility testing is required, such as antigen phenotype, crossmatch, and unit ABO/Rh confirmation.</w:t>
            </w:r>
          </w:p>
          <w:p w14:paraId="0BB5FE6E" w14:textId="77777777" w:rsidR="00AF274B" w:rsidRDefault="00AF274B">
            <w:pPr>
              <w:pStyle w:val="GlossaryTableTextBullets"/>
              <w:rPr>
                <w:b/>
              </w:rPr>
            </w:pPr>
            <w:r>
              <w:t>Transferred: The unit has been returned to the original supplier or transferred to a different facility.</w:t>
            </w:r>
          </w:p>
          <w:p w14:paraId="5FEE69BF" w14:textId="77777777" w:rsidR="00AF274B" w:rsidRDefault="00AF274B">
            <w:pPr>
              <w:pStyle w:val="GlossaryTableTextBullets"/>
              <w:rPr>
                <w:b/>
              </w:rPr>
            </w:pPr>
            <w:r>
              <w:t>Transfused: The unit has been infused into a patient and is no longer available.</w:t>
            </w:r>
          </w:p>
        </w:tc>
      </w:tr>
      <w:tr w:rsidR="0064398B" w14:paraId="47FC34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DAA8F2F" w14:textId="2E720649" w:rsidR="0064398B" w:rsidRDefault="0064398B">
            <w:pPr>
              <w:pStyle w:val="GlossaryTableText"/>
              <w:rPr>
                <w:b/>
                <w:bCs/>
              </w:rPr>
            </w:pPr>
            <w:r>
              <w:rPr>
                <w:b/>
                <w:bCs/>
              </w:rPr>
              <w:t>UTC</w:t>
            </w:r>
          </w:p>
        </w:tc>
        <w:tc>
          <w:tcPr>
            <w:tcW w:w="3327" w:type="pct"/>
            <w:tcBorders>
              <w:top w:val="nil"/>
              <w:left w:val="nil"/>
              <w:bottom w:val="nil"/>
              <w:right w:val="nil"/>
            </w:tcBorders>
          </w:tcPr>
          <w:p w14:paraId="3343B825" w14:textId="4C0CE83C" w:rsidR="0064398B" w:rsidRDefault="003D267D">
            <w:pPr>
              <w:pStyle w:val="GlossaryTableText"/>
            </w:pPr>
            <w:r>
              <w:t xml:space="preserve">Coordinated </w:t>
            </w:r>
            <w:r w:rsidR="0064398B">
              <w:t>Universal Time</w:t>
            </w:r>
          </w:p>
        </w:tc>
      </w:tr>
      <w:tr w:rsidR="00AF274B" w14:paraId="3F3F01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69EADE" w14:textId="77777777" w:rsidR="00AF274B" w:rsidRDefault="00AF274B">
            <w:pPr>
              <w:pStyle w:val="GlossaryTableText"/>
              <w:rPr>
                <w:b/>
                <w:bCs/>
              </w:rPr>
            </w:pPr>
            <w:r>
              <w:rPr>
                <w:b/>
                <w:bCs/>
              </w:rPr>
              <w:t>Validation</w:t>
            </w:r>
          </w:p>
        </w:tc>
        <w:tc>
          <w:tcPr>
            <w:tcW w:w="3327" w:type="pct"/>
            <w:tcBorders>
              <w:top w:val="nil"/>
              <w:left w:val="nil"/>
              <w:bottom w:val="nil"/>
              <w:right w:val="nil"/>
            </w:tcBorders>
          </w:tcPr>
          <w:p w14:paraId="0A642729" w14:textId="77777777" w:rsidR="00AF274B" w:rsidRDefault="00AF274B">
            <w:pPr>
              <w:pStyle w:val="GlossaryTableText"/>
            </w:pPr>
            <w:r>
              <w:t>Establishment by objective evidence that a specific process or device specification conforms to user needs and intended use.</w:t>
            </w:r>
          </w:p>
        </w:tc>
      </w:tr>
      <w:tr w:rsidR="001A1559" w14:paraId="796CD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6FF746" w14:textId="77777777" w:rsidR="001A1559" w:rsidRDefault="004974ED">
            <w:pPr>
              <w:pStyle w:val="GlossaryTableText"/>
              <w:rPr>
                <w:b/>
                <w:bCs/>
              </w:rPr>
            </w:pPr>
            <w:r>
              <w:rPr>
                <w:b/>
                <w:bCs/>
              </w:rPr>
              <w:lastRenderedPageBreak/>
              <w:t>VDL</w:t>
            </w:r>
          </w:p>
        </w:tc>
        <w:tc>
          <w:tcPr>
            <w:tcW w:w="3327" w:type="pct"/>
            <w:tcBorders>
              <w:top w:val="nil"/>
              <w:left w:val="nil"/>
              <w:bottom w:val="nil"/>
              <w:right w:val="nil"/>
            </w:tcBorders>
          </w:tcPr>
          <w:p w14:paraId="3F6DFC17" w14:textId="77777777" w:rsidR="001A1559" w:rsidRDefault="004974ED">
            <w:pPr>
              <w:pStyle w:val="GlossaryTableText"/>
            </w:pPr>
            <w:r w:rsidRPr="000C7684">
              <w:rPr>
                <w:bCs/>
              </w:rPr>
              <w:t>VistA</w:t>
            </w:r>
            <w:r>
              <w:t xml:space="preserve"> Documentation Library.</w:t>
            </w:r>
          </w:p>
        </w:tc>
      </w:tr>
      <w:tr w:rsidR="00AF274B" w14:paraId="53CCFF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CE71E0" w14:textId="77777777" w:rsidR="00AF274B" w:rsidRDefault="00AF274B">
            <w:pPr>
              <w:pStyle w:val="GlossaryTableText"/>
              <w:rPr>
                <w:b/>
                <w:bCs/>
              </w:rPr>
            </w:pPr>
            <w:r>
              <w:rPr>
                <w:b/>
                <w:bCs/>
              </w:rPr>
              <w:t>Verification</w:t>
            </w:r>
          </w:p>
        </w:tc>
        <w:tc>
          <w:tcPr>
            <w:tcW w:w="3327" w:type="pct"/>
            <w:tcBorders>
              <w:top w:val="nil"/>
              <w:left w:val="nil"/>
              <w:bottom w:val="nil"/>
              <w:right w:val="nil"/>
            </w:tcBorders>
          </w:tcPr>
          <w:p w14:paraId="0DF38F4C" w14:textId="77777777" w:rsidR="00AF274B" w:rsidRDefault="00AF274B">
            <w:pPr>
              <w:pStyle w:val="GlossaryTableText"/>
            </w:pPr>
            <w:r>
              <w:t>Confirmation by examination and provision of objective evidence that requirements were fulfilled.</w:t>
            </w:r>
          </w:p>
        </w:tc>
      </w:tr>
      <w:tr w:rsidR="00AF274B" w14:paraId="3D5AB2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EF161" w14:textId="77777777" w:rsidR="00AF274B" w:rsidRDefault="00AF274B">
            <w:pPr>
              <w:pStyle w:val="GlossaryTableText"/>
              <w:rPr>
                <w:b/>
                <w:bCs/>
              </w:rPr>
            </w:pPr>
            <w:r>
              <w:rPr>
                <w:b/>
                <w:bCs/>
              </w:rPr>
              <w:t>Verify Code</w:t>
            </w:r>
          </w:p>
        </w:tc>
        <w:tc>
          <w:tcPr>
            <w:tcW w:w="3327" w:type="pct"/>
            <w:tcBorders>
              <w:top w:val="nil"/>
              <w:left w:val="nil"/>
              <w:bottom w:val="nil"/>
              <w:right w:val="nil"/>
            </w:tcBorders>
          </w:tcPr>
          <w:p w14:paraId="72FF0B20" w14:textId="77777777" w:rsidR="00AF274B" w:rsidRDefault="00AF274B">
            <w:pPr>
              <w:pStyle w:val="GlossaryTableText"/>
              <w:rPr>
                <w:b/>
              </w:rPr>
            </w:pPr>
            <w:r>
              <w:t xml:space="preserve">A field in the </w:t>
            </w:r>
            <w:r w:rsidRPr="00CA6E27">
              <w:rPr>
                <w:bCs/>
              </w:rPr>
              <w:t>VistA</w:t>
            </w:r>
            <w:r>
              <w:t xml:space="preserve"> New Person file used to verify the identity of a user associated with an Access Code.</w:t>
            </w:r>
          </w:p>
        </w:tc>
      </w:tr>
      <w:tr w:rsidR="00AF274B" w14:paraId="48A479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75232E" w14:textId="77777777" w:rsidR="00AF274B" w:rsidRDefault="00AF274B">
            <w:pPr>
              <w:pStyle w:val="GlossaryTableText"/>
              <w:rPr>
                <w:b/>
                <w:bCs/>
              </w:rPr>
            </w:pPr>
            <w:r>
              <w:rPr>
                <w:b/>
                <w:bCs/>
              </w:rPr>
              <w:t>Vial identifier</w:t>
            </w:r>
          </w:p>
        </w:tc>
        <w:tc>
          <w:tcPr>
            <w:tcW w:w="3327" w:type="pct"/>
            <w:tcBorders>
              <w:top w:val="nil"/>
              <w:left w:val="nil"/>
              <w:bottom w:val="nil"/>
              <w:right w:val="nil"/>
            </w:tcBorders>
          </w:tcPr>
          <w:p w14:paraId="37D38510" w14:textId="77777777" w:rsidR="00AF274B" w:rsidRDefault="00AF274B">
            <w:pPr>
              <w:pStyle w:val="GlossaryTableText"/>
              <w:rPr>
                <w:b/>
              </w:rPr>
            </w:pPr>
            <w:r>
              <w:t xml:space="preserve">A one- or two-character number that identifies a specific vial contained within a kit of reagents. </w:t>
            </w:r>
            <w:r>
              <w:rPr>
                <w:i/>
              </w:rPr>
              <w:t>A vial contains antigen positive or antigen negative blood cells to be used in quality control of antisera. Also referred to as “cell identifier.”</w:t>
            </w:r>
          </w:p>
        </w:tc>
      </w:tr>
      <w:tr w:rsidR="00AF274B" w14:paraId="54712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C790F2" w14:textId="77777777" w:rsidR="00AF274B" w:rsidRDefault="00AF274B">
            <w:pPr>
              <w:pStyle w:val="GlossaryTableText"/>
              <w:rPr>
                <w:b/>
                <w:bCs/>
              </w:rPr>
            </w:pPr>
            <w:r>
              <w:rPr>
                <w:b/>
                <w:bCs/>
              </w:rPr>
              <w:t>VISN</w:t>
            </w:r>
          </w:p>
        </w:tc>
        <w:tc>
          <w:tcPr>
            <w:tcW w:w="3327" w:type="pct"/>
            <w:tcBorders>
              <w:top w:val="nil"/>
              <w:left w:val="nil"/>
              <w:bottom w:val="nil"/>
              <w:right w:val="nil"/>
            </w:tcBorders>
          </w:tcPr>
          <w:p w14:paraId="4B108954" w14:textId="77777777" w:rsidR="00AF274B" w:rsidRDefault="00AF274B">
            <w:pPr>
              <w:pStyle w:val="GlossaryTableText"/>
            </w:pPr>
            <w:r>
              <w:t>Veterans Integrated Services Network.</w:t>
            </w:r>
          </w:p>
        </w:tc>
      </w:tr>
      <w:tr w:rsidR="00AF274B" w14:paraId="3CBC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F96E2D" w14:textId="77777777" w:rsidR="00AF274B" w:rsidRPr="00CA6E27" w:rsidRDefault="00AF274B">
            <w:pPr>
              <w:pStyle w:val="GlossaryTableText"/>
              <w:rPr>
                <w:b/>
                <w:bCs/>
              </w:rPr>
            </w:pPr>
            <w:r w:rsidRPr="00CA6E27">
              <w:rPr>
                <w:b/>
                <w:bCs/>
              </w:rPr>
              <w:t>VistA</w:t>
            </w:r>
          </w:p>
        </w:tc>
        <w:tc>
          <w:tcPr>
            <w:tcW w:w="3327" w:type="pct"/>
            <w:tcBorders>
              <w:top w:val="nil"/>
              <w:left w:val="nil"/>
              <w:bottom w:val="nil"/>
              <w:right w:val="nil"/>
            </w:tcBorders>
          </w:tcPr>
          <w:p w14:paraId="630472FC" w14:textId="77777777" w:rsidR="00AF274B" w:rsidRDefault="00AF274B">
            <w:pPr>
              <w:pStyle w:val="GlossaryTableText"/>
            </w:pPr>
            <w:r>
              <w:t>Veterans Health Information Systems and Technology Architecture.</w:t>
            </w:r>
          </w:p>
        </w:tc>
      </w:tr>
      <w:tr w:rsidR="00AF274B" w14:paraId="443050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597A41" w14:textId="77777777" w:rsidR="00AF274B" w:rsidRDefault="00AF274B">
            <w:pPr>
              <w:pStyle w:val="GlossaryTableText"/>
              <w:rPr>
                <w:b/>
                <w:bCs/>
              </w:rPr>
            </w:pPr>
            <w:r>
              <w:rPr>
                <w:b/>
                <w:bCs/>
              </w:rPr>
              <w:t>VistALink</w:t>
            </w:r>
          </w:p>
        </w:tc>
        <w:tc>
          <w:tcPr>
            <w:tcW w:w="3327" w:type="pct"/>
            <w:tcBorders>
              <w:top w:val="nil"/>
              <w:left w:val="nil"/>
              <w:bottom w:val="nil"/>
              <w:right w:val="nil"/>
            </w:tcBorders>
          </w:tcPr>
          <w:p w14:paraId="18B3C8F0" w14:textId="77777777" w:rsidR="00AF274B" w:rsidRDefault="00AF274B">
            <w:pPr>
              <w:pStyle w:val="GlossaryTableText"/>
            </w:pPr>
            <w:r>
              <w:t xml:space="preserve">A real-time communication link that provides connectivity and utilities for data exchange between </w:t>
            </w:r>
            <w:r w:rsidRPr="00CA6E27">
              <w:rPr>
                <w:bCs/>
              </w:rPr>
              <w:t>VistA</w:t>
            </w:r>
            <w:r>
              <w:t xml:space="preserve"> and VBECS.</w:t>
            </w:r>
          </w:p>
        </w:tc>
      </w:tr>
      <w:tr w:rsidR="004974ED" w14:paraId="39F674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9DF868" w14:textId="77777777" w:rsidR="004974ED" w:rsidRDefault="004974ED">
            <w:pPr>
              <w:pStyle w:val="GlossaryTableText"/>
              <w:rPr>
                <w:b/>
                <w:bCs/>
                <w:snapToGrid w:val="0"/>
              </w:rPr>
            </w:pPr>
            <w:r>
              <w:rPr>
                <w:b/>
                <w:bCs/>
                <w:snapToGrid w:val="0"/>
              </w:rPr>
              <w:t>WAN</w:t>
            </w:r>
          </w:p>
        </w:tc>
        <w:tc>
          <w:tcPr>
            <w:tcW w:w="3327" w:type="pct"/>
            <w:tcBorders>
              <w:top w:val="nil"/>
              <w:left w:val="nil"/>
              <w:bottom w:val="nil"/>
              <w:right w:val="nil"/>
            </w:tcBorders>
          </w:tcPr>
          <w:p w14:paraId="234F72DE" w14:textId="77777777" w:rsidR="004974ED" w:rsidRDefault="004974ED">
            <w:pPr>
              <w:pStyle w:val="GlossaryTableText"/>
              <w:rPr>
                <w:snapToGrid w:val="0"/>
              </w:rPr>
            </w:pPr>
            <w:r>
              <w:rPr>
                <w:snapToGrid w:val="0"/>
              </w:rPr>
              <w:t>Wide Area Network.</w:t>
            </w:r>
          </w:p>
        </w:tc>
      </w:tr>
      <w:tr w:rsidR="00AF274B" w14:paraId="7329F7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D6D800" w14:textId="77777777" w:rsidR="00AF274B" w:rsidRDefault="00AF274B">
            <w:pPr>
              <w:pStyle w:val="GlossaryTableText"/>
              <w:rPr>
                <w:b/>
                <w:bCs/>
              </w:rPr>
            </w:pPr>
            <w:r>
              <w:rPr>
                <w:b/>
                <w:bCs/>
                <w:snapToGrid w:val="0"/>
              </w:rPr>
              <w:t>Worklist</w:t>
            </w:r>
          </w:p>
        </w:tc>
        <w:tc>
          <w:tcPr>
            <w:tcW w:w="3327" w:type="pct"/>
            <w:tcBorders>
              <w:top w:val="nil"/>
              <w:left w:val="nil"/>
              <w:bottom w:val="nil"/>
              <w:right w:val="nil"/>
            </w:tcBorders>
          </w:tcPr>
          <w:p w14:paraId="5329518A" w14:textId="77777777" w:rsidR="00AF274B" w:rsidRDefault="00AF274B">
            <w:pPr>
              <w:pStyle w:val="GlossaryTableText"/>
              <w:rPr>
                <w:snapToGrid w:val="0"/>
              </w:rPr>
            </w:pPr>
            <w:r>
              <w:rPr>
                <w:snapToGrid w:val="0"/>
              </w:rPr>
              <w:t>A list detailing work to be performed.</w:t>
            </w:r>
          </w:p>
        </w:tc>
      </w:tr>
      <w:tr w:rsidR="00AF274B" w14:paraId="58DD22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00E21F" w14:textId="77777777" w:rsidR="00AF274B" w:rsidRDefault="00AF274B">
            <w:pPr>
              <w:pStyle w:val="GlossaryTableText"/>
              <w:rPr>
                <w:b/>
                <w:bCs/>
              </w:rPr>
            </w:pPr>
            <w:r>
              <w:rPr>
                <w:b/>
                <w:bCs/>
              </w:rPr>
              <w:t>Workload</w:t>
            </w:r>
          </w:p>
        </w:tc>
        <w:tc>
          <w:tcPr>
            <w:tcW w:w="3327" w:type="pct"/>
            <w:tcBorders>
              <w:top w:val="nil"/>
              <w:left w:val="nil"/>
              <w:bottom w:val="nil"/>
              <w:right w:val="nil"/>
            </w:tcBorders>
          </w:tcPr>
          <w:p w14:paraId="38EF8C10" w14:textId="77777777" w:rsidR="00AF274B" w:rsidRDefault="00AF274B">
            <w:pPr>
              <w:pStyle w:val="GlossaryTableText"/>
            </w:pPr>
            <w:r>
              <w:t>Statistical data used to calculate productivity.</w:t>
            </w:r>
          </w:p>
        </w:tc>
      </w:tr>
      <w:tr w:rsidR="00AF274B" w14:paraId="217760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85FB50" w14:textId="77777777" w:rsidR="00AF274B" w:rsidRDefault="00AF274B">
            <w:pPr>
              <w:pStyle w:val="GlossaryTableText"/>
              <w:rPr>
                <w:b/>
                <w:bCs/>
              </w:rPr>
            </w:pPr>
            <w:r>
              <w:rPr>
                <w:b/>
                <w:bCs/>
                <w:snapToGrid w:val="0"/>
              </w:rPr>
              <w:t>XM</w:t>
            </w:r>
          </w:p>
        </w:tc>
        <w:tc>
          <w:tcPr>
            <w:tcW w:w="3327" w:type="pct"/>
            <w:tcBorders>
              <w:top w:val="nil"/>
              <w:left w:val="nil"/>
              <w:bottom w:val="nil"/>
              <w:right w:val="nil"/>
            </w:tcBorders>
          </w:tcPr>
          <w:p w14:paraId="4D0705D3" w14:textId="77777777" w:rsidR="00AF274B" w:rsidRDefault="00AF274B">
            <w:pPr>
              <w:pStyle w:val="GlossaryTableText"/>
              <w:rPr>
                <w:snapToGrid w:val="0"/>
              </w:rPr>
            </w:pPr>
            <w:r>
              <w:rPr>
                <w:snapToGrid w:val="0"/>
              </w:rPr>
              <w:t>Crossmatch.</w:t>
            </w:r>
          </w:p>
        </w:tc>
      </w:tr>
      <w:tr w:rsidR="004974ED" w14:paraId="282F39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BC6505A" w14:textId="77777777" w:rsidR="004974ED" w:rsidRDefault="004974ED">
            <w:pPr>
              <w:pStyle w:val="GlossaryTableText"/>
              <w:rPr>
                <w:b/>
                <w:bCs/>
                <w:snapToGrid w:val="0"/>
              </w:rPr>
            </w:pPr>
            <w:r>
              <w:rPr>
                <w:b/>
                <w:bCs/>
                <w:snapToGrid w:val="0"/>
              </w:rPr>
              <w:t>XML</w:t>
            </w:r>
          </w:p>
        </w:tc>
        <w:tc>
          <w:tcPr>
            <w:tcW w:w="3327" w:type="pct"/>
            <w:tcBorders>
              <w:top w:val="nil"/>
              <w:left w:val="nil"/>
              <w:bottom w:val="nil"/>
              <w:right w:val="nil"/>
            </w:tcBorders>
          </w:tcPr>
          <w:p w14:paraId="020580EA" w14:textId="77777777" w:rsidR="004974ED" w:rsidRDefault="004974ED">
            <w:pPr>
              <w:pStyle w:val="GlossaryTableText"/>
              <w:rPr>
                <w:snapToGrid w:val="0"/>
              </w:rPr>
            </w:pPr>
            <w:r>
              <w:t>Extensible Markup Language.</w:t>
            </w:r>
          </w:p>
        </w:tc>
      </w:tr>
    </w:tbl>
    <w:p w14:paraId="6F97546E" w14:textId="77777777" w:rsidR="00B27FE8" w:rsidRDefault="00B27FE8">
      <w:pPr>
        <w:rPr>
          <w:rFonts w:ascii="Arial" w:hAnsi="Arial" w:cs="Arial"/>
          <w:b/>
          <w:bCs/>
          <w:kern w:val="32"/>
          <w:sz w:val="36"/>
          <w:szCs w:val="32"/>
        </w:rPr>
      </w:pPr>
      <w:r>
        <w:br w:type="page"/>
      </w:r>
    </w:p>
    <w:p w14:paraId="7E830C8A" w14:textId="12BCC9D3" w:rsidR="002A21AE" w:rsidRDefault="002A21AE" w:rsidP="0086066C">
      <w:pPr>
        <w:pStyle w:val="Heading1"/>
      </w:pPr>
      <w:bookmarkStart w:id="569" w:name="_Toc163644992"/>
      <w:r>
        <w:lastRenderedPageBreak/>
        <w:t>Appendices</w:t>
      </w:r>
      <w:bookmarkEnd w:id="569"/>
    </w:p>
    <w:p w14:paraId="04850DF0" w14:textId="3C3A0CDF" w:rsidR="002A21AE" w:rsidRDefault="002A21AE">
      <w:pPr>
        <w:pStyle w:val="Heading2"/>
      </w:pPr>
      <w:bookmarkStart w:id="570" w:name="_Toc163644993"/>
      <w:r>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E2140B">
        <w:rPr>
          <w:noProof/>
        </w:rPr>
        <w:t>A</w:t>
      </w:r>
      <w:r w:rsidR="004E20BD">
        <w:rPr>
          <w:noProof/>
        </w:rPr>
        <w:fldChar w:fldCharType="end"/>
      </w:r>
      <w:r>
        <w:t>: Downtime Forms and Instructions</w:t>
      </w:r>
      <w:bookmarkEnd w:id="570"/>
      <w:r>
        <w:fldChar w:fldCharType="begin"/>
      </w:r>
      <w:r>
        <w:instrText xml:space="preserve"> XE </w:instrText>
      </w:r>
      <w:r w:rsidR="00FA7E65">
        <w:instrText>“</w:instrText>
      </w:r>
      <w:r>
        <w:instrText>Downtime Forms and Instructions</w:instrText>
      </w:r>
      <w:r w:rsidR="00FA7E65">
        <w:instrText>”</w:instrText>
      </w:r>
      <w:r>
        <w:instrText xml:space="preserve"> </w:instrText>
      </w:r>
      <w:r>
        <w:fldChar w:fldCharType="end"/>
      </w:r>
    </w:p>
    <w:p w14:paraId="7F7450C7" w14:textId="77777777" w:rsidR="00270245" w:rsidRDefault="00270245" w:rsidP="00E35FC4">
      <w:pPr>
        <w:pStyle w:val="BodyText"/>
        <w:spacing w:before="0" w:after="0"/>
      </w:pPr>
      <w:r>
        <w:t>Each site establishes its own policies, procedures, and processes to address unexpected VBECS downtime issues such as:</w:t>
      </w:r>
      <w:r>
        <w:rPr>
          <w:rStyle w:val="CommentReference"/>
          <w:b/>
          <w:bCs/>
          <w:vanish/>
        </w:rPr>
        <w:t xml:space="preserve"> </w:t>
      </w:r>
    </w:p>
    <w:p w14:paraId="2C4BE305" w14:textId="77777777" w:rsidR="00270245" w:rsidRDefault="00270245" w:rsidP="00270245">
      <w:pPr>
        <w:pStyle w:val="ListBullet"/>
      </w:pPr>
      <w:r>
        <w:t>The interface is unavailable. It is recommended that blood bank staff notify clinicians when messaging between CPRS and VBECS fails during order completion: clinicians may need to know that blood units are ready for pickup and transfusion.</w:t>
      </w:r>
      <w:r>
        <w:rPr>
          <w:vanish/>
        </w:rPr>
        <w:t xml:space="preserve"> (ClearQuest Task 386)</w:t>
      </w:r>
    </w:p>
    <w:p w14:paraId="7651130D" w14:textId="77777777" w:rsidR="00270245" w:rsidRDefault="00270245" w:rsidP="00270245">
      <w:pPr>
        <w:pStyle w:val="ListBullet"/>
      </w:pPr>
      <w:r>
        <w:rPr>
          <w:szCs w:val="20"/>
        </w:rPr>
        <w:t>T</w:t>
      </w:r>
      <w:r>
        <w:t>est order handling and completion when the serologic testing is performed off-site or in a non-VA facility. The CPRS test order must be processed and completed even when testing is done off-site.</w:t>
      </w:r>
    </w:p>
    <w:p w14:paraId="1F54CA91" w14:textId="77777777" w:rsidR="00270245" w:rsidRDefault="00270245" w:rsidP="00270245">
      <w:pPr>
        <w:pStyle w:val="ListBullet"/>
      </w:pPr>
      <w:r>
        <w:t xml:space="preserve">The physical handling of a blood unit when it </w:t>
      </w:r>
      <w:r w:rsidR="00313C6B">
        <w:t>cannot</w:t>
      </w:r>
      <w:r>
        <w:t xml:space="preserve"> be logged into inventory because VistALink is down and the patient is not in the VBECS database. The unit does not exist in VBECS until it is logged in, but is physically available.</w:t>
      </w:r>
      <w:r>
        <w:rPr>
          <w:vanish/>
        </w:rPr>
        <w:t xml:space="preserve"> (ClearQuest Task 387)</w:t>
      </w:r>
    </w:p>
    <w:p w14:paraId="12EBE56F" w14:textId="77777777" w:rsidR="00270245" w:rsidRDefault="00270245" w:rsidP="00270245">
      <w:pPr>
        <w:pStyle w:val="ListBullet"/>
      </w:pPr>
      <w:r>
        <w:t>Manual blood labeling, verification of labels, and tracking documentation of the downtime labeling.</w:t>
      </w:r>
      <w:r>
        <w:rPr>
          <w:vanish/>
        </w:rPr>
        <w:t xml:space="preserve"> (ClearQuest Task 521)</w:t>
      </w:r>
    </w:p>
    <w:p w14:paraId="7ECD951C" w14:textId="77777777" w:rsidR="00270245" w:rsidRDefault="00270245" w:rsidP="00270245">
      <w:pPr>
        <w:pStyle w:val="ListBullet"/>
      </w:pPr>
      <w:r>
        <w:t>Some Special Instructions (SIs) that were moved to VBECS during the database conversion must be entered as Transfusion Requirements (TRs) in VBECS. Inactivate the old SI and create a TR and new updated SI: the database conversion software cannot automatically translate the SI from database conversion into a rule-based TR.</w:t>
      </w:r>
    </w:p>
    <w:p w14:paraId="2FDE3F72" w14:textId="77777777" w:rsidR="00270245" w:rsidRDefault="00270245" w:rsidP="00270245">
      <w:pPr>
        <w:pStyle w:val="ListBullet"/>
      </w:pPr>
      <w:r>
        <w:t>Creating the Audit Trail, Exception, and Testing Worklist Reports.</w:t>
      </w:r>
    </w:p>
    <w:p w14:paraId="7C34BE05" w14:textId="77777777" w:rsidR="00270245" w:rsidRDefault="00270245" w:rsidP="00270245">
      <w:pPr>
        <w:pStyle w:val="ListBullet"/>
      </w:pPr>
      <w:r>
        <w:t>Mitigation of the risk of patient identification conflicts due to patient merge issues (changing patient name or ID). It is recommended that staff submit the patient name and ID in writing to the blood bank when picking up blood products.</w:t>
      </w:r>
      <w:r>
        <w:rPr>
          <w:vanish/>
        </w:rPr>
        <w:t xml:space="preserve"> (ClearQuest Task 395)</w:t>
      </w:r>
    </w:p>
    <w:p w14:paraId="0E6ABC35" w14:textId="77777777" w:rsidR="00270245" w:rsidRDefault="00270245" w:rsidP="00270245">
      <w:pPr>
        <w:pStyle w:val="ListBullet"/>
      </w:pPr>
      <w:r>
        <w:t xml:space="preserve">VBECS is unavailable. To ensure accurate entry of information when VBECS is running, users must record the unit number and ID on their downtime form. </w:t>
      </w:r>
    </w:p>
    <w:p w14:paraId="2FC2F06E" w14:textId="77777777" w:rsidR="00E27E7A" w:rsidRDefault="00640159" w:rsidP="00E35FC4">
      <w:pPr>
        <w:pStyle w:val="BodyText"/>
        <w:spacing w:after="0"/>
      </w:pPr>
      <w:r>
        <w:t>It is recommended that e</w:t>
      </w:r>
      <w:r w:rsidR="00780A01">
        <w:t xml:space="preserve">ach site have </w:t>
      </w:r>
      <w:r w:rsidR="001B6D4B">
        <w:t>available</w:t>
      </w:r>
      <w:r w:rsidR="00780A01">
        <w:t>:</w:t>
      </w:r>
    </w:p>
    <w:p w14:paraId="648E881F" w14:textId="77777777" w:rsidR="00112590" w:rsidRDefault="00112590" w:rsidP="00780A01">
      <w:pPr>
        <w:pStyle w:val="ListBullet"/>
      </w:pPr>
      <w:r>
        <w:t>Antibody Workup Forms</w:t>
      </w:r>
    </w:p>
    <w:p w14:paraId="4B08F723" w14:textId="77777777" w:rsidR="00112590" w:rsidRDefault="00112590" w:rsidP="00780A01">
      <w:pPr>
        <w:pStyle w:val="ListBullet"/>
      </w:pPr>
      <w:r>
        <w:t>Antigen Typing Forms (for patient)</w:t>
      </w:r>
    </w:p>
    <w:p w14:paraId="31FDC671" w14:textId="77777777" w:rsidR="00112590" w:rsidRDefault="00112590" w:rsidP="00780A01">
      <w:pPr>
        <w:pStyle w:val="ListBullet"/>
      </w:pPr>
      <w:r>
        <w:t>Antigen Typing Forms (for unit)</w:t>
      </w:r>
    </w:p>
    <w:p w14:paraId="6FB2B6E3" w14:textId="77777777" w:rsidR="00112590" w:rsidRDefault="00112590" w:rsidP="00780A01">
      <w:pPr>
        <w:pStyle w:val="ListBullet"/>
      </w:pPr>
      <w:r>
        <w:t>Blood Transfusion Record Forms</w:t>
      </w:r>
    </w:p>
    <w:p w14:paraId="361F1A80" w14:textId="77777777" w:rsidR="00112590" w:rsidRDefault="00112590" w:rsidP="00780A01">
      <w:pPr>
        <w:pStyle w:val="ListBullet"/>
      </w:pPr>
      <w:r>
        <w:t>Caution Tags</w:t>
      </w:r>
    </w:p>
    <w:p w14:paraId="62487A0A" w14:textId="77777777" w:rsidR="00112590" w:rsidRDefault="00112590" w:rsidP="00780A01">
      <w:pPr>
        <w:pStyle w:val="ListBullet"/>
      </w:pPr>
      <w:r>
        <w:t>Daily QC Forms</w:t>
      </w:r>
    </w:p>
    <w:p w14:paraId="117EADCC" w14:textId="77777777" w:rsidR="00112590" w:rsidRDefault="00112590" w:rsidP="0095796B">
      <w:pPr>
        <w:pStyle w:val="ListBullet"/>
      </w:pPr>
      <w:r>
        <w:t>Emergency Issue Forms: developed by each site to reflect site-specific emergency issue policies and procedures</w:t>
      </w:r>
    </w:p>
    <w:p w14:paraId="43DE2E9F" w14:textId="77777777" w:rsidR="00112590" w:rsidRDefault="00112590" w:rsidP="00780A01">
      <w:pPr>
        <w:pStyle w:val="ListBullet"/>
      </w:pPr>
      <w:r>
        <w:t>Reagent Receipt Log</w:t>
      </w:r>
    </w:p>
    <w:p w14:paraId="3DAF567D" w14:textId="77777777" w:rsidR="00112590" w:rsidRDefault="00112590" w:rsidP="00780A01">
      <w:pPr>
        <w:pStyle w:val="ListBullet"/>
      </w:pPr>
      <w:r>
        <w:t>Supply Receipt Log</w:t>
      </w:r>
    </w:p>
    <w:p w14:paraId="0A95D341" w14:textId="77777777" w:rsidR="00112590" w:rsidRDefault="00112590" w:rsidP="00780A01">
      <w:pPr>
        <w:pStyle w:val="ListBullet"/>
      </w:pPr>
      <w:r>
        <w:t>Transfusion Reaction Forms</w:t>
      </w:r>
    </w:p>
    <w:p w14:paraId="30D60FEC" w14:textId="6BE19D74" w:rsidR="00112590" w:rsidRDefault="00112590" w:rsidP="0095796B">
      <w:pPr>
        <w:pStyle w:val="ListBullet"/>
      </w:pPr>
      <w:r>
        <w:t>Transfusion Requirements Report: current printed version must be available at all times for user</w:t>
      </w:r>
      <w:r w:rsidR="004C1E6C">
        <w:t>s to check patient historic records and Transfusion Requirements</w:t>
      </w:r>
      <w:r>
        <w:t>. (See</w:t>
      </w:r>
      <w:r w:rsidR="00EE4647">
        <w:t xml:space="preserve"> </w:t>
      </w:r>
      <w:r w:rsidR="00EE455E">
        <w:t xml:space="preserve">Appendix </w:t>
      </w:r>
      <w:r w:rsidR="00EE455E">
        <w:rPr>
          <w:noProof/>
        </w:rPr>
        <w:t>J</w:t>
      </w:r>
      <w:r w:rsidR="00EE455E">
        <w:t>: Recommended Report Usage</w:t>
      </w:r>
      <w:r>
        <w:t xml:space="preserve">: </w:t>
      </w:r>
      <w:r w:rsidR="00EE455E">
        <w:t xml:space="preserve">Table </w:t>
      </w:r>
      <w:r w:rsidR="00EE455E">
        <w:rPr>
          <w:noProof/>
        </w:rPr>
        <w:t>36</w:t>
      </w:r>
      <w:r w:rsidR="00EE455E">
        <w:t>: Recommended Report Usage</w:t>
      </w:r>
      <w:r>
        <w:t>.)</w:t>
      </w:r>
    </w:p>
    <w:p w14:paraId="1F2DAA20" w14:textId="77777777" w:rsidR="004C542E" w:rsidRDefault="0000620B" w:rsidP="00E35FC4">
      <w:pPr>
        <w:pStyle w:val="BodyText"/>
        <w:spacing w:after="0"/>
      </w:pPr>
      <w:r>
        <w:t>Each site may use</w:t>
      </w:r>
      <w:r w:rsidR="004C542E">
        <w:t xml:space="preserve"> and modify</w:t>
      </w:r>
      <w:r>
        <w:t xml:space="preserve"> (included in this appendix)</w:t>
      </w:r>
      <w:r w:rsidR="004C542E">
        <w:t>:</w:t>
      </w:r>
      <w:r w:rsidR="001D72C9">
        <w:t xml:space="preserve"> </w:t>
      </w:r>
    </w:p>
    <w:p w14:paraId="35E45BDA" w14:textId="77777777" w:rsidR="0000620B" w:rsidRDefault="0000620B" w:rsidP="004C542E">
      <w:pPr>
        <w:pStyle w:val="ListBullet"/>
      </w:pPr>
      <w:r>
        <w:t>Patient Testing Forms</w:t>
      </w:r>
    </w:p>
    <w:p w14:paraId="14A485F3" w14:textId="77777777" w:rsidR="0000620B" w:rsidRDefault="0000620B" w:rsidP="004C542E">
      <w:pPr>
        <w:pStyle w:val="ListBullet"/>
      </w:pPr>
      <w:r>
        <w:t>Unit ABO/Rh Confirmation Forms</w:t>
      </w:r>
    </w:p>
    <w:p w14:paraId="06B38742" w14:textId="77777777" w:rsidR="0000620B" w:rsidRDefault="0000620B" w:rsidP="004C542E">
      <w:pPr>
        <w:pStyle w:val="ListBullet"/>
      </w:pPr>
      <w:r>
        <w:t>Unit Issue and Inspection Logs</w:t>
      </w:r>
    </w:p>
    <w:p w14:paraId="3058A97F" w14:textId="77777777" w:rsidR="0000620B" w:rsidRDefault="0000620B" w:rsidP="004C542E">
      <w:pPr>
        <w:pStyle w:val="ListBullet"/>
      </w:pPr>
      <w:r>
        <w:t>Unit Modification Forms</w:t>
      </w:r>
    </w:p>
    <w:p w14:paraId="546B41A8" w14:textId="77777777" w:rsidR="004C542E" w:rsidRDefault="004C542E" w:rsidP="00E35FC4">
      <w:pPr>
        <w:pStyle w:val="BodyText"/>
        <w:spacing w:before="0" w:after="60"/>
      </w:pPr>
      <w:r>
        <w:t>The information on these forms match</w:t>
      </w:r>
      <w:r w:rsidR="00672426">
        <w:t>es</w:t>
      </w:r>
      <w:r>
        <w:t xml:space="preserve"> information to be input in VBECS.</w:t>
      </w:r>
    </w:p>
    <w:p w14:paraId="31C29FAD" w14:textId="77777777" w:rsidR="002A21AE" w:rsidRDefault="002A21AE">
      <w:pPr>
        <w:pStyle w:val="ListBullet"/>
        <w:numPr>
          <w:ilvl w:val="0"/>
          <w:numId w:val="0"/>
        </w:numPr>
        <w:ind w:left="576" w:hanging="288"/>
        <w:sectPr w:rsidR="002A21AE" w:rsidSect="00EE771C">
          <w:pgSz w:w="12240" w:h="15840" w:code="1"/>
          <w:pgMar w:top="1440" w:right="1440" w:bottom="1440" w:left="1440" w:header="720" w:footer="720" w:gutter="0"/>
          <w:cols w:space="720"/>
          <w:docGrid w:linePitch="360"/>
        </w:sectPr>
      </w:pPr>
    </w:p>
    <w:p w14:paraId="12747AEE" w14:textId="77777777" w:rsidR="004A6408" w:rsidRDefault="004A6408" w:rsidP="00266EAB">
      <w:pPr>
        <w:pStyle w:val="Heading3"/>
      </w:pPr>
      <w:bookmarkStart w:id="571" w:name="_Toc163644994"/>
      <w:r w:rsidRPr="009244E2">
        <w:lastRenderedPageBreak/>
        <w:t>Patient Testing Form</w:t>
      </w:r>
      <w:bookmarkEnd w:id="571"/>
      <w:r w:rsidR="00246F04">
        <w:fldChar w:fldCharType="begin"/>
      </w:r>
      <w:r w:rsidR="00246F04">
        <w:instrText xml:space="preserve"> XE "</w:instrText>
      </w:r>
      <w:r w:rsidR="00246F04" w:rsidRPr="004C6254">
        <w:instrText>Patient Testing Form</w:instrText>
      </w:r>
      <w:r w:rsidR="00246F04">
        <w:instrText xml:space="preserve">" </w:instrText>
      </w:r>
      <w:r w:rsidR="00246F04">
        <w:fldChar w:fldCharType="end"/>
      </w:r>
      <w:r w:rsidR="00A95965">
        <w:fldChar w:fldCharType="begin"/>
      </w:r>
      <w:r w:rsidR="00A95965">
        <w:instrText xml:space="preserve"> XE “Forms:Patient Testing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189"/>
        <w:gridCol w:w="1244"/>
        <w:gridCol w:w="1420"/>
        <w:gridCol w:w="897"/>
        <w:gridCol w:w="603"/>
        <w:gridCol w:w="1020"/>
        <w:gridCol w:w="694"/>
        <w:gridCol w:w="457"/>
        <w:gridCol w:w="702"/>
        <w:gridCol w:w="1459"/>
      </w:tblGrid>
      <w:tr w:rsidR="003F4F8B" w14:paraId="2B1C1B9A" w14:textId="77777777">
        <w:tc>
          <w:tcPr>
            <w:tcW w:w="12960" w:type="dxa"/>
            <w:gridSpan w:val="11"/>
          </w:tcPr>
          <w:p w14:paraId="199CB017" w14:textId="77777777" w:rsidR="003F4F8B" w:rsidRPr="003F4F8B" w:rsidRDefault="003F4F8B" w:rsidP="00FC4396">
            <w:pPr>
              <w:pStyle w:val="TableText"/>
            </w:pPr>
            <w:r w:rsidRPr="00887834">
              <w:rPr>
                <w:b/>
              </w:rPr>
              <w:t xml:space="preserve">Facility Name: </w:t>
            </w:r>
          </w:p>
        </w:tc>
      </w:tr>
      <w:tr w:rsidR="003F4F8B" w14:paraId="0918CBB2" w14:textId="77777777">
        <w:tc>
          <w:tcPr>
            <w:tcW w:w="12960" w:type="dxa"/>
            <w:gridSpan w:val="11"/>
          </w:tcPr>
          <w:p w14:paraId="705BB417" w14:textId="77777777" w:rsidR="003F4F8B" w:rsidRPr="003F4F8B" w:rsidRDefault="003F4F8B" w:rsidP="00FC4396">
            <w:pPr>
              <w:pStyle w:val="TableText"/>
            </w:pPr>
            <w:r w:rsidRPr="00887834">
              <w:rPr>
                <w:b/>
              </w:rPr>
              <w:t xml:space="preserve">Address: </w:t>
            </w:r>
          </w:p>
        </w:tc>
      </w:tr>
      <w:tr w:rsidR="003F4F8B" w14:paraId="3A915BBF" w14:textId="77777777">
        <w:tc>
          <w:tcPr>
            <w:tcW w:w="12960" w:type="dxa"/>
            <w:gridSpan w:val="11"/>
          </w:tcPr>
          <w:p w14:paraId="174B3087" w14:textId="77777777" w:rsidR="003F4F8B" w:rsidRPr="003F4F8B" w:rsidRDefault="003F4F8B" w:rsidP="00FC4396">
            <w:pPr>
              <w:pStyle w:val="TableText"/>
            </w:pPr>
            <w:r w:rsidRPr="00887834">
              <w:rPr>
                <w:b/>
              </w:rPr>
              <w:t>City, State, Zip Code:</w:t>
            </w:r>
            <w:r>
              <w:t xml:space="preserve"> </w:t>
            </w:r>
          </w:p>
        </w:tc>
      </w:tr>
      <w:tr w:rsidR="004A6408" w:rsidRPr="0085788A" w14:paraId="5D07378C"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1"/>
        </w:trPr>
        <w:tc>
          <w:tcPr>
            <w:tcW w:w="2275" w:type="dxa"/>
            <w:tcBorders>
              <w:bottom w:val="single" w:sz="2" w:space="0" w:color="auto"/>
            </w:tcBorders>
            <w:shd w:val="clear" w:color="auto" w:fill="B3B3B3"/>
            <w:noWrap/>
          </w:tcPr>
          <w:p w14:paraId="75798AC5" w14:textId="77777777" w:rsidR="004A6408" w:rsidRPr="0085788A" w:rsidRDefault="004A6408" w:rsidP="00A95965">
            <w:pPr>
              <w:pStyle w:val="TableText"/>
              <w:rPr>
                <w:b/>
              </w:rPr>
            </w:pPr>
            <w:r w:rsidRPr="0085788A">
              <w:rPr>
                <w:b/>
              </w:rPr>
              <w:t>Patient Name</w:t>
            </w:r>
          </w:p>
        </w:tc>
        <w:tc>
          <w:tcPr>
            <w:tcW w:w="2189" w:type="dxa"/>
            <w:tcBorders>
              <w:bottom w:val="single" w:sz="2" w:space="0" w:color="auto"/>
            </w:tcBorders>
            <w:shd w:val="clear" w:color="auto" w:fill="B3B3B3"/>
            <w:noWrap/>
          </w:tcPr>
          <w:p w14:paraId="52CDA658" w14:textId="77777777" w:rsidR="004A6408" w:rsidRPr="0085788A" w:rsidRDefault="004A6408" w:rsidP="00A95965">
            <w:pPr>
              <w:pStyle w:val="TableText"/>
              <w:rPr>
                <w:b/>
              </w:rPr>
            </w:pPr>
            <w:r w:rsidRPr="0085788A">
              <w:rPr>
                <w:b/>
              </w:rPr>
              <w:t xml:space="preserve">Patient </w:t>
            </w:r>
            <w:r>
              <w:rPr>
                <w:b/>
                <w:szCs w:val="20"/>
              </w:rPr>
              <w:t>Identification Number</w:t>
            </w:r>
            <w:r w:rsidRPr="0085788A">
              <w:rPr>
                <w:b/>
              </w:rPr>
              <w:t xml:space="preserve"> </w:t>
            </w:r>
          </w:p>
        </w:tc>
        <w:tc>
          <w:tcPr>
            <w:tcW w:w="1244" w:type="dxa"/>
            <w:tcBorders>
              <w:bottom w:val="single" w:sz="2" w:space="0" w:color="auto"/>
            </w:tcBorders>
            <w:shd w:val="clear" w:color="auto" w:fill="B3B3B3"/>
            <w:noWrap/>
          </w:tcPr>
          <w:p w14:paraId="367364B2" w14:textId="77777777" w:rsidR="004A6408" w:rsidRPr="0085788A" w:rsidRDefault="004A6408" w:rsidP="00A95965">
            <w:pPr>
              <w:pStyle w:val="TableText"/>
              <w:rPr>
                <w:b/>
              </w:rPr>
            </w:pPr>
            <w:r w:rsidRPr="0085788A">
              <w:rPr>
                <w:b/>
              </w:rPr>
              <w:t>Location</w:t>
            </w:r>
          </w:p>
        </w:tc>
        <w:tc>
          <w:tcPr>
            <w:tcW w:w="2317" w:type="dxa"/>
            <w:gridSpan w:val="2"/>
            <w:tcBorders>
              <w:bottom w:val="single" w:sz="2" w:space="0" w:color="auto"/>
            </w:tcBorders>
            <w:shd w:val="clear" w:color="auto" w:fill="B3B3B3"/>
            <w:noWrap/>
          </w:tcPr>
          <w:p w14:paraId="03EADBA2" w14:textId="77777777" w:rsidR="004A6408" w:rsidRPr="0085788A" w:rsidRDefault="004A6408" w:rsidP="00A95965">
            <w:pPr>
              <w:pStyle w:val="TableText"/>
              <w:rPr>
                <w:b/>
              </w:rPr>
            </w:pPr>
            <w:r w:rsidRPr="0085788A">
              <w:rPr>
                <w:b/>
              </w:rPr>
              <w:t>CPRS Order Number</w:t>
            </w:r>
          </w:p>
        </w:tc>
        <w:tc>
          <w:tcPr>
            <w:tcW w:w="2317" w:type="dxa"/>
            <w:gridSpan w:val="3"/>
            <w:tcBorders>
              <w:bottom w:val="single" w:sz="2" w:space="0" w:color="auto"/>
            </w:tcBorders>
            <w:shd w:val="clear" w:color="auto" w:fill="B3B3B3"/>
            <w:noWrap/>
          </w:tcPr>
          <w:p w14:paraId="63F87698" w14:textId="77777777" w:rsidR="004A6408" w:rsidRPr="0085788A" w:rsidRDefault="004A6408" w:rsidP="00A95965">
            <w:pPr>
              <w:pStyle w:val="TableText"/>
              <w:rPr>
                <w:b/>
              </w:rPr>
            </w:pPr>
            <w:r w:rsidRPr="0085788A">
              <w:rPr>
                <w:b/>
              </w:rPr>
              <w:t>Lab Order Number</w:t>
            </w:r>
          </w:p>
        </w:tc>
        <w:tc>
          <w:tcPr>
            <w:tcW w:w="1159" w:type="dxa"/>
            <w:gridSpan w:val="2"/>
            <w:tcBorders>
              <w:bottom w:val="single" w:sz="2" w:space="0" w:color="auto"/>
            </w:tcBorders>
            <w:shd w:val="clear" w:color="auto" w:fill="B3B3B3"/>
            <w:noWrap/>
          </w:tcPr>
          <w:p w14:paraId="4DEA8D85" w14:textId="77777777" w:rsidR="004A6408" w:rsidRPr="0085788A" w:rsidRDefault="004A6408" w:rsidP="00A95965">
            <w:pPr>
              <w:pStyle w:val="TableText"/>
              <w:rPr>
                <w:b/>
              </w:rPr>
            </w:pPr>
            <w:r w:rsidRPr="0085788A">
              <w:rPr>
                <w:b/>
              </w:rPr>
              <w:t>Urgency</w:t>
            </w:r>
          </w:p>
        </w:tc>
        <w:tc>
          <w:tcPr>
            <w:tcW w:w="1459" w:type="dxa"/>
            <w:tcBorders>
              <w:bottom w:val="single" w:sz="2" w:space="0" w:color="auto"/>
            </w:tcBorders>
            <w:shd w:val="clear" w:color="auto" w:fill="B3B3B3"/>
            <w:noWrap/>
          </w:tcPr>
          <w:p w14:paraId="3A43FB29" w14:textId="77777777" w:rsidR="004A6408" w:rsidRPr="0085788A" w:rsidRDefault="004A6408" w:rsidP="00A95965">
            <w:pPr>
              <w:pStyle w:val="TableText"/>
              <w:rPr>
                <w:b/>
              </w:rPr>
            </w:pPr>
            <w:r w:rsidRPr="0085788A">
              <w:rPr>
                <w:b/>
              </w:rPr>
              <w:t>Appropriate?</w:t>
            </w:r>
            <w:r>
              <w:rPr>
                <w:b/>
              </w:rPr>
              <w:t xml:space="preserve"> (Yes, No)</w:t>
            </w:r>
          </w:p>
        </w:tc>
      </w:tr>
      <w:tr w:rsidR="004A6408" w:rsidRPr="004603A1" w14:paraId="26A35F9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78EAE60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66877128" w14:textId="77777777" w:rsidR="004A6408" w:rsidRPr="004603A1" w:rsidRDefault="004A6408" w:rsidP="00A95965">
            <w:pPr>
              <w:pStyle w:val="TableText"/>
            </w:pPr>
          </w:p>
        </w:tc>
        <w:tc>
          <w:tcPr>
            <w:tcW w:w="1244" w:type="dxa"/>
            <w:tcBorders>
              <w:top w:val="single" w:sz="2" w:space="0" w:color="auto"/>
              <w:left w:val="single" w:sz="2" w:space="0" w:color="auto"/>
              <w:bottom w:val="single" w:sz="2" w:space="0" w:color="auto"/>
              <w:right w:val="single" w:sz="2" w:space="0" w:color="auto"/>
            </w:tcBorders>
            <w:shd w:val="clear" w:color="auto" w:fill="auto"/>
            <w:noWrap/>
          </w:tcPr>
          <w:p w14:paraId="750D0AD5" w14:textId="77777777" w:rsidR="004A6408" w:rsidRPr="004603A1" w:rsidRDefault="004A6408" w:rsidP="00A95965">
            <w:pPr>
              <w:pStyle w:val="TableText"/>
            </w:pPr>
          </w:p>
        </w:tc>
        <w:tc>
          <w:tcPr>
            <w:tcW w:w="2317" w:type="dxa"/>
            <w:gridSpan w:val="2"/>
            <w:tcBorders>
              <w:top w:val="single" w:sz="2" w:space="0" w:color="auto"/>
              <w:left w:val="single" w:sz="2" w:space="0" w:color="auto"/>
              <w:bottom w:val="single" w:sz="2" w:space="0" w:color="auto"/>
              <w:right w:val="single" w:sz="2" w:space="0" w:color="auto"/>
            </w:tcBorders>
            <w:shd w:val="clear" w:color="auto" w:fill="auto"/>
            <w:noWrap/>
          </w:tcPr>
          <w:p w14:paraId="10657E86" w14:textId="77777777" w:rsidR="004A6408" w:rsidRPr="004603A1" w:rsidRDefault="004A6408" w:rsidP="00A95965">
            <w:pPr>
              <w:pStyle w:val="TableText"/>
            </w:pPr>
          </w:p>
        </w:tc>
        <w:tc>
          <w:tcPr>
            <w:tcW w:w="2317" w:type="dxa"/>
            <w:gridSpan w:val="3"/>
            <w:tcBorders>
              <w:top w:val="single" w:sz="2" w:space="0" w:color="auto"/>
              <w:left w:val="single" w:sz="2" w:space="0" w:color="auto"/>
              <w:bottom w:val="single" w:sz="2" w:space="0" w:color="auto"/>
              <w:right w:val="single" w:sz="2" w:space="0" w:color="auto"/>
            </w:tcBorders>
            <w:shd w:val="clear" w:color="auto" w:fill="auto"/>
            <w:noWrap/>
          </w:tcPr>
          <w:p w14:paraId="20B398F3" w14:textId="77777777" w:rsidR="004A6408" w:rsidRPr="004603A1" w:rsidRDefault="004A6408" w:rsidP="00A95965">
            <w:pPr>
              <w:pStyle w:val="TableText"/>
            </w:pPr>
          </w:p>
        </w:tc>
        <w:tc>
          <w:tcPr>
            <w:tcW w:w="1159" w:type="dxa"/>
            <w:gridSpan w:val="2"/>
            <w:tcBorders>
              <w:top w:val="single" w:sz="2" w:space="0" w:color="auto"/>
              <w:left w:val="single" w:sz="2" w:space="0" w:color="auto"/>
              <w:bottom w:val="single" w:sz="2" w:space="0" w:color="auto"/>
              <w:right w:val="single" w:sz="2" w:space="0" w:color="auto"/>
            </w:tcBorders>
            <w:shd w:val="clear" w:color="auto" w:fill="auto"/>
            <w:noWrap/>
          </w:tcPr>
          <w:p w14:paraId="24FF5395"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72364288" w14:textId="77777777" w:rsidR="004A6408" w:rsidRPr="004603A1" w:rsidRDefault="004A6408" w:rsidP="00A95965">
            <w:pPr>
              <w:pStyle w:val="TableText"/>
            </w:pPr>
          </w:p>
        </w:tc>
      </w:tr>
      <w:tr w:rsidR="004A6408" w:rsidRPr="004603A1" w14:paraId="2AEFEB7A"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B3B3B3"/>
            <w:noWrap/>
          </w:tcPr>
          <w:p w14:paraId="64969A7D" w14:textId="77777777" w:rsidR="004A6408" w:rsidRPr="0085788A" w:rsidRDefault="004A6408" w:rsidP="00A95965">
            <w:pPr>
              <w:pStyle w:val="TableText"/>
              <w:rPr>
                <w:b/>
              </w:rPr>
            </w:pPr>
            <w:r w:rsidRPr="0085788A">
              <w:rPr>
                <w:b/>
              </w:rPr>
              <w:t>Specimen UID</w:t>
            </w:r>
          </w:p>
        </w:tc>
        <w:tc>
          <w:tcPr>
            <w:tcW w:w="2189" w:type="dxa"/>
            <w:tcBorders>
              <w:top w:val="single" w:sz="2" w:space="0" w:color="auto"/>
              <w:left w:val="single" w:sz="2" w:space="0" w:color="auto"/>
              <w:bottom w:val="single" w:sz="2" w:space="0" w:color="auto"/>
              <w:right w:val="single" w:sz="2" w:space="0" w:color="auto"/>
            </w:tcBorders>
            <w:shd w:val="clear" w:color="auto" w:fill="B3B3B3"/>
            <w:noWrap/>
          </w:tcPr>
          <w:p w14:paraId="00B19291" w14:textId="77777777" w:rsidR="004A6408" w:rsidRPr="0085788A" w:rsidRDefault="004A6408" w:rsidP="00A95965">
            <w:pPr>
              <w:pStyle w:val="TableText"/>
              <w:rPr>
                <w:b/>
              </w:rPr>
            </w:pPr>
            <w:r w:rsidRPr="0085788A">
              <w:rPr>
                <w:rFonts w:eastAsia="Symbol"/>
                <w:b/>
              </w:rPr>
              <w:t>Date</w:t>
            </w:r>
            <w:r>
              <w:rPr>
                <w:rFonts w:eastAsia="Symbol"/>
                <w:b/>
              </w:rPr>
              <w:t xml:space="preserve"> and </w:t>
            </w:r>
            <w:r w:rsidRPr="0085788A">
              <w:rPr>
                <w:rFonts w:eastAsia="Symbol"/>
                <w:b/>
              </w:rPr>
              <w:t>Time Collected</w:t>
            </w:r>
          </w:p>
        </w:tc>
        <w:tc>
          <w:tcPr>
            <w:tcW w:w="2664" w:type="dxa"/>
            <w:gridSpan w:val="2"/>
            <w:tcBorders>
              <w:top w:val="single" w:sz="2" w:space="0" w:color="auto"/>
              <w:left w:val="single" w:sz="2" w:space="0" w:color="auto"/>
              <w:bottom w:val="single" w:sz="2" w:space="0" w:color="auto"/>
              <w:right w:val="single" w:sz="2" w:space="0" w:color="auto"/>
            </w:tcBorders>
            <w:shd w:val="clear" w:color="auto" w:fill="B3B3B3"/>
            <w:noWrap/>
          </w:tcPr>
          <w:p w14:paraId="37508065" w14:textId="77777777" w:rsidR="004A6408" w:rsidRPr="004603A1" w:rsidRDefault="004A6408" w:rsidP="00A95965">
            <w:pPr>
              <w:pStyle w:val="TableText"/>
            </w:pPr>
            <w:r w:rsidRPr="0085788A">
              <w:rPr>
                <w:b/>
              </w:rPr>
              <w:t xml:space="preserve">Phlebotomist </w:t>
            </w:r>
            <w:r>
              <w:rPr>
                <w:b/>
                <w:szCs w:val="20"/>
              </w:rPr>
              <w:t>Name</w:t>
            </w:r>
          </w:p>
        </w:tc>
        <w:tc>
          <w:tcPr>
            <w:tcW w:w="2520" w:type="dxa"/>
            <w:gridSpan w:val="3"/>
            <w:tcBorders>
              <w:top w:val="single" w:sz="2" w:space="0" w:color="auto"/>
              <w:left w:val="single" w:sz="2" w:space="0" w:color="auto"/>
              <w:bottom w:val="single" w:sz="2" w:space="0" w:color="auto"/>
              <w:right w:val="single" w:sz="2" w:space="0" w:color="auto"/>
            </w:tcBorders>
            <w:shd w:val="clear" w:color="auto" w:fill="B3B3B3"/>
            <w:noWrap/>
          </w:tcPr>
          <w:p w14:paraId="265A739E" w14:textId="77777777" w:rsidR="004A6408" w:rsidRPr="004603A1" w:rsidRDefault="004A6408" w:rsidP="00A95965">
            <w:pPr>
              <w:pStyle w:val="TableText"/>
            </w:pPr>
            <w:r w:rsidRPr="0085788A">
              <w:rPr>
                <w:b/>
              </w:rPr>
              <w:t>Date</w:t>
            </w:r>
            <w:r>
              <w:rPr>
                <w:b/>
              </w:rPr>
              <w:t xml:space="preserve"> and </w:t>
            </w:r>
            <w:r w:rsidRPr="0085788A">
              <w:rPr>
                <w:b/>
              </w:rPr>
              <w:t>Time Received</w:t>
            </w:r>
          </w:p>
        </w:tc>
        <w:tc>
          <w:tcPr>
            <w:tcW w:w="1853" w:type="dxa"/>
            <w:gridSpan w:val="3"/>
            <w:tcBorders>
              <w:top w:val="single" w:sz="2" w:space="0" w:color="auto"/>
              <w:left w:val="single" w:sz="2" w:space="0" w:color="auto"/>
              <w:bottom w:val="single" w:sz="2" w:space="0" w:color="auto"/>
              <w:right w:val="single" w:sz="2" w:space="0" w:color="auto"/>
            </w:tcBorders>
            <w:shd w:val="clear" w:color="auto" w:fill="B3B3B3"/>
            <w:noWrap/>
          </w:tcPr>
          <w:p w14:paraId="771239EE" w14:textId="77777777" w:rsidR="004A6408" w:rsidRPr="004603A1" w:rsidRDefault="004A6408" w:rsidP="00A95965">
            <w:pPr>
              <w:pStyle w:val="TableText"/>
            </w:pPr>
            <w:r w:rsidRPr="0085788A">
              <w:rPr>
                <w:b/>
              </w:rPr>
              <w:t xml:space="preserve">Processed </w:t>
            </w:r>
            <w:r>
              <w:rPr>
                <w:b/>
              </w:rPr>
              <w:t>B</w:t>
            </w:r>
            <w:r w:rsidRPr="0085788A">
              <w:rPr>
                <w:b/>
              </w:rPr>
              <w:t>y:</w:t>
            </w:r>
          </w:p>
        </w:tc>
        <w:tc>
          <w:tcPr>
            <w:tcW w:w="1459" w:type="dxa"/>
            <w:tcBorders>
              <w:top w:val="single" w:sz="2" w:space="0" w:color="auto"/>
              <w:left w:val="single" w:sz="2" w:space="0" w:color="auto"/>
              <w:bottom w:val="single" w:sz="2" w:space="0" w:color="auto"/>
              <w:right w:val="single" w:sz="2" w:space="0" w:color="auto"/>
            </w:tcBorders>
            <w:shd w:val="clear" w:color="auto" w:fill="B3B3B3"/>
            <w:noWrap/>
          </w:tcPr>
          <w:p w14:paraId="11454EE2" w14:textId="77777777" w:rsidR="004A6408" w:rsidRPr="004603A1" w:rsidRDefault="004A6408" w:rsidP="00A95965">
            <w:pPr>
              <w:pStyle w:val="TableText"/>
            </w:pPr>
            <w:r w:rsidRPr="0085788A">
              <w:rPr>
                <w:b/>
              </w:rPr>
              <w:t>Acceptable?</w:t>
            </w:r>
            <w:r>
              <w:rPr>
                <w:b/>
              </w:rPr>
              <w:t xml:space="preserve"> (Yes, No)</w:t>
            </w:r>
          </w:p>
        </w:tc>
      </w:tr>
      <w:tr w:rsidR="004A6408" w:rsidRPr="004603A1" w14:paraId="2543F8A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512963B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3BE32664" w14:textId="77777777" w:rsidR="004A6408" w:rsidRPr="004603A1" w:rsidRDefault="004A6408" w:rsidP="00A95965">
            <w:pPr>
              <w:pStyle w:val="TableText"/>
            </w:pPr>
          </w:p>
        </w:tc>
        <w:tc>
          <w:tcPr>
            <w:tcW w:w="2664" w:type="dxa"/>
            <w:gridSpan w:val="2"/>
            <w:tcBorders>
              <w:top w:val="single" w:sz="2" w:space="0" w:color="auto"/>
              <w:left w:val="single" w:sz="2" w:space="0" w:color="auto"/>
              <w:bottom w:val="single" w:sz="2" w:space="0" w:color="auto"/>
              <w:right w:val="single" w:sz="2" w:space="0" w:color="auto"/>
            </w:tcBorders>
            <w:shd w:val="clear" w:color="auto" w:fill="auto"/>
            <w:noWrap/>
          </w:tcPr>
          <w:p w14:paraId="1444AC0A" w14:textId="77777777" w:rsidR="004A6408" w:rsidRPr="004603A1" w:rsidRDefault="004A6408" w:rsidP="00A95965">
            <w:pPr>
              <w:pStyle w:val="TableText"/>
            </w:pPr>
          </w:p>
        </w:tc>
        <w:tc>
          <w:tcPr>
            <w:tcW w:w="2520" w:type="dxa"/>
            <w:gridSpan w:val="3"/>
            <w:tcBorders>
              <w:top w:val="single" w:sz="2" w:space="0" w:color="auto"/>
              <w:left w:val="single" w:sz="2" w:space="0" w:color="auto"/>
              <w:bottom w:val="single" w:sz="2" w:space="0" w:color="auto"/>
              <w:right w:val="single" w:sz="2" w:space="0" w:color="auto"/>
            </w:tcBorders>
            <w:shd w:val="clear" w:color="auto" w:fill="auto"/>
            <w:noWrap/>
          </w:tcPr>
          <w:p w14:paraId="2988A9B7" w14:textId="77777777" w:rsidR="004A6408" w:rsidRPr="004603A1" w:rsidRDefault="004A6408" w:rsidP="00A95965">
            <w:pPr>
              <w:pStyle w:val="TableText"/>
            </w:pPr>
          </w:p>
        </w:tc>
        <w:tc>
          <w:tcPr>
            <w:tcW w:w="1853" w:type="dxa"/>
            <w:gridSpan w:val="3"/>
            <w:tcBorders>
              <w:top w:val="single" w:sz="2" w:space="0" w:color="auto"/>
              <w:left w:val="single" w:sz="2" w:space="0" w:color="auto"/>
              <w:bottom w:val="single" w:sz="2" w:space="0" w:color="auto"/>
              <w:right w:val="single" w:sz="2" w:space="0" w:color="auto"/>
            </w:tcBorders>
            <w:shd w:val="clear" w:color="auto" w:fill="auto"/>
            <w:noWrap/>
          </w:tcPr>
          <w:p w14:paraId="7AE3A027"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0983EDBC" w14:textId="77777777" w:rsidR="004A6408" w:rsidRPr="004603A1" w:rsidRDefault="004A6408" w:rsidP="00A95965">
            <w:pPr>
              <w:pStyle w:val="TableText"/>
            </w:pPr>
          </w:p>
        </w:tc>
      </w:tr>
      <w:tr w:rsidR="004A6408" w14:paraId="640A3A8D"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12960" w:type="dxa"/>
            <w:gridSpan w:val="11"/>
            <w:noWrap/>
          </w:tcPr>
          <w:p w14:paraId="3BA5D5DC" w14:textId="77777777" w:rsidR="004A6408" w:rsidRPr="00547668" w:rsidRDefault="004A6408" w:rsidP="00A95965">
            <w:pPr>
              <w:pStyle w:val="TableText"/>
              <w:rPr>
                <w:b/>
                <w:szCs w:val="20"/>
              </w:rPr>
            </w:pPr>
            <w:r w:rsidRPr="00547668">
              <w:rPr>
                <w:b/>
                <w:szCs w:val="20"/>
              </w:rPr>
              <w:t>Ordered Tests:</w:t>
            </w:r>
          </w:p>
        </w:tc>
      </w:tr>
      <w:tr w:rsidR="004A6408" w14:paraId="1A4E932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8628" w:type="dxa"/>
            <w:gridSpan w:val="6"/>
            <w:noWrap/>
          </w:tcPr>
          <w:p w14:paraId="7775270F" w14:textId="77777777" w:rsidR="004A6408" w:rsidRPr="00547668" w:rsidRDefault="004A6408" w:rsidP="00A95965">
            <w:pPr>
              <w:pStyle w:val="TableText"/>
              <w:rPr>
                <w:b/>
                <w:szCs w:val="20"/>
              </w:rPr>
            </w:pPr>
            <w:r w:rsidRPr="00547668">
              <w:rPr>
                <w:b/>
                <w:szCs w:val="20"/>
              </w:rPr>
              <w:t>Comments:</w:t>
            </w:r>
          </w:p>
        </w:tc>
        <w:tc>
          <w:tcPr>
            <w:tcW w:w="2171" w:type="dxa"/>
            <w:gridSpan w:val="3"/>
          </w:tcPr>
          <w:p w14:paraId="6468639B" w14:textId="77777777" w:rsidR="004A6408" w:rsidRPr="00547668" w:rsidRDefault="004A6408" w:rsidP="00A95965">
            <w:pPr>
              <w:pStyle w:val="TableText"/>
              <w:rPr>
                <w:b/>
                <w:szCs w:val="20"/>
              </w:rPr>
            </w:pPr>
            <w:r w:rsidRPr="00547668">
              <w:rPr>
                <w:b/>
                <w:szCs w:val="20"/>
              </w:rPr>
              <w:t>Entered By:</w:t>
            </w:r>
          </w:p>
        </w:tc>
        <w:tc>
          <w:tcPr>
            <w:tcW w:w="2161" w:type="dxa"/>
            <w:gridSpan w:val="2"/>
          </w:tcPr>
          <w:p w14:paraId="13C22693" w14:textId="77777777" w:rsidR="004A6408" w:rsidRPr="00547668" w:rsidRDefault="004A6408" w:rsidP="00A95965">
            <w:pPr>
              <w:pStyle w:val="TableText"/>
              <w:rPr>
                <w:b/>
                <w:szCs w:val="20"/>
              </w:rPr>
            </w:pPr>
            <w:r w:rsidRPr="00547668">
              <w:rPr>
                <w:b/>
                <w:szCs w:val="20"/>
              </w:rPr>
              <w:t>Date and Time</w:t>
            </w:r>
            <w:r>
              <w:rPr>
                <w:b/>
                <w:szCs w:val="20"/>
              </w:rPr>
              <w:t>:</w:t>
            </w:r>
          </w:p>
        </w:tc>
      </w:tr>
    </w:tbl>
    <w:p w14:paraId="536FBFB1" w14:textId="77777777" w:rsidR="004A6408" w:rsidRDefault="004A6408"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1455"/>
        <w:gridCol w:w="897"/>
        <w:gridCol w:w="546"/>
        <w:gridCol w:w="1407"/>
        <w:gridCol w:w="28"/>
        <w:gridCol w:w="1434"/>
        <w:gridCol w:w="1434"/>
        <w:gridCol w:w="1441"/>
        <w:gridCol w:w="1433"/>
        <w:gridCol w:w="1433"/>
        <w:gridCol w:w="1452"/>
      </w:tblGrid>
      <w:tr w:rsidR="004A6408" w14:paraId="4D3DC2F4" w14:textId="77777777">
        <w:trPr>
          <w:cantSplit/>
          <w:trHeight w:val="230"/>
        </w:trPr>
        <w:tc>
          <w:tcPr>
            <w:tcW w:w="2352" w:type="dxa"/>
            <w:gridSpan w:val="2"/>
            <w:shd w:val="clear" w:color="auto" w:fill="B3B3B3"/>
            <w:noWrap/>
          </w:tcPr>
          <w:p w14:paraId="0119CD8F" w14:textId="77777777" w:rsidR="004A6408" w:rsidRPr="00DD058C" w:rsidRDefault="004A6408" w:rsidP="00A95965">
            <w:pPr>
              <w:pStyle w:val="TableText"/>
              <w:rPr>
                <w:b/>
                <w:szCs w:val="20"/>
              </w:rPr>
            </w:pPr>
            <w:r>
              <w:rPr>
                <w:b/>
                <w:szCs w:val="20"/>
              </w:rPr>
              <w:t>Reagent Rack</w:t>
            </w:r>
          </w:p>
        </w:tc>
        <w:tc>
          <w:tcPr>
            <w:tcW w:w="1953" w:type="dxa"/>
            <w:gridSpan w:val="2"/>
            <w:shd w:val="clear" w:color="auto" w:fill="B3B3B3"/>
          </w:tcPr>
          <w:p w14:paraId="55EF9BC6" w14:textId="77777777" w:rsidR="004A6408" w:rsidRPr="00DD058C" w:rsidRDefault="004A6408" w:rsidP="00A95965">
            <w:pPr>
              <w:pStyle w:val="TableText"/>
              <w:rPr>
                <w:b/>
                <w:szCs w:val="20"/>
              </w:rPr>
            </w:pPr>
            <w:r>
              <w:rPr>
                <w:b/>
                <w:szCs w:val="20"/>
              </w:rPr>
              <w:t>Date and Time</w:t>
            </w:r>
          </w:p>
        </w:tc>
        <w:tc>
          <w:tcPr>
            <w:tcW w:w="8655" w:type="dxa"/>
            <w:gridSpan w:val="7"/>
            <w:shd w:val="clear" w:color="auto" w:fill="B3B3B3"/>
          </w:tcPr>
          <w:p w14:paraId="6437D6F1" w14:textId="77777777" w:rsidR="004A6408" w:rsidRPr="00DD058C" w:rsidRDefault="004A6408" w:rsidP="00A95965">
            <w:pPr>
              <w:pStyle w:val="TableText"/>
              <w:rPr>
                <w:b/>
                <w:szCs w:val="20"/>
              </w:rPr>
            </w:pPr>
            <w:r>
              <w:rPr>
                <w:b/>
                <w:szCs w:val="20"/>
              </w:rPr>
              <w:t>Tech Name</w:t>
            </w:r>
          </w:p>
        </w:tc>
      </w:tr>
      <w:tr w:rsidR="004A6408" w14:paraId="71E8E720" w14:textId="77777777">
        <w:tblPrEx>
          <w:shd w:val="clear" w:color="auto" w:fill="auto"/>
        </w:tblPrEx>
        <w:trPr>
          <w:cantSplit/>
          <w:trHeight w:val="432"/>
        </w:trPr>
        <w:tc>
          <w:tcPr>
            <w:tcW w:w="2352" w:type="dxa"/>
            <w:gridSpan w:val="2"/>
            <w:noWrap/>
          </w:tcPr>
          <w:p w14:paraId="556CD797" w14:textId="77777777" w:rsidR="004A6408" w:rsidRDefault="004A6408" w:rsidP="00A95965">
            <w:pPr>
              <w:pStyle w:val="TableText"/>
              <w:rPr>
                <w:szCs w:val="20"/>
              </w:rPr>
            </w:pPr>
          </w:p>
        </w:tc>
        <w:tc>
          <w:tcPr>
            <w:tcW w:w="1953" w:type="dxa"/>
            <w:gridSpan w:val="2"/>
          </w:tcPr>
          <w:p w14:paraId="4B97AA99" w14:textId="77777777" w:rsidR="004A6408" w:rsidRDefault="004A6408" w:rsidP="00A95965">
            <w:pPr>
              <w:pStyle w:val="TableText"/>
              <w:rPr>
                <w:szCs w:val="20"/>
              </w:rPr>
            </w:pPr>
          </w:p>
        </w:tc>
        <w:tc>
          <w:tcPr>
            <w:tcW w:w="8655" w:type="dxa"/>
            <w:gridSpan w:val="7"/>
          </w:tcPr>
          <w:p w14:paraId="14789B42" w14:textId="77777777" w:rsidR="004A6408" w:rsidRDefault="004A6408" w:rsidP="00A95965">
            <w:pPr>
              <w:pStyle w:val="TableText"/>
              <w:rPr>
                <w:szCs w:val="20"/>
              </w:rPr>
            </w:pPr>
          </w:p>
        </w:tc>
      </w:tr>
      <w:tr w:rsidR="004A6408" w14:paraId="4E8EB06F" w14:textId="77777777">
        <w:tblPrEx>
          <w:shd w:val="clear" w:color="auto" w:fill="auto"/>
        </w:tblPrEx>
        <w:trPr>
          <w:cantSplit/>
          <w:trHeight w:val="230"/>
          <w:tblHeader/>
        </w:trPr>
        <w:tc>
          <w:tcPr>
            <w:tcW w:w="1455" w:type="dxa"/>
            <w:vMerge w:val="restart"/>
            <w:shd w:val="clear" w:color="auto" w:fill="B3B3B3"/>
            <w:noWrap/>
          </w:tcPr>
          <w:p w14:paraId="0EF7A0A7" w14:textId="77777777" w:rsidR="004A6408" w:rsidRPr="00E42FCF" w:rsidRDefault="004A6408" w:rsidP="00A95965">
            <w:pPr>
              <w:pStyle w:val="TableText"/>
              <w:rPr>
                <w:b/>
                <w:szCs w:val="20"/>
              </w:rPr>
            </w:pPr>
            <w:r>
              <w:rPr>
                <w:b/>
                <w:szCs w:val="20"/>
              </w:rPr>
              <w:t>Historic ABO/Rh Check</w:t>
            </w:r>
          </w:p>
        </w:tc>
        <w:tc>
          <w:tcPr>
            <w:tcW w:w="4312" w:type="dxa"/>
            <w:gridSpan w:val="5"/>
            <w:tcBorders>
              <w:bottom w:val="single" w:sz="2" w:space="0" w:color="auto"/>
            </w:tcBorders>
            <w:shd w:val="clear" w:color="auto" w:fill="B3B3B3"/>
          </w:tcPr>
          <w:p w14:paraId="4CDADB0B" w14:textId="77777777" w:rsidR="004A6408" w:rsidRPr="00E42FCF" w:rsidRDefault="004A6408" w:rsidP="00FC4396">
            <w:pPr>
              <w:pStyle w:val="TableText"/>
              <w:rPr>
                <w:b/>
                <w:szCs w:val="20"/>
              </w:rPr>
            </w:pPr>
            <w:r w:rsidRPr="00E42FCF">
              <w:rPr>
                <w:b/>
                <w:szCs w:val="20"/>
              </w:rPr>
              <w:t>Forward ABO Grouping</w:t>
            </w:r>
          </w:p>
        </w:tc>
        <w:tc>
          <w:tcPr>
            <w:tcW w:w="2875" w:type="dxa"/>
            <w:gridSpan w:val="2"/>
            <w:tcBorders>
              <w:bottom w:val="single" w:sz="2" w:space="0" w:color="auto"/>
            </w:tcBorders>
            <w:shd w:val="clear" w:color="auto" w:fill="B3B3B3"/>
          </w:tcPr>
          <w:p w14:paraId="03120D91" w14:textId="77777777" w:rsidR="004A6408" w:rsidRPr="00E42FCF" w:rsidRDefault="004A6408" w:rsidP="00FC4396">
            <w:pPr>
              <w:pStyle w:val="TableText"/>
              <w:rPr>
                <w:b/>
                <w:szCs w:val="20"/>
              </w:rPr>
            </w:pPr>
            <w:r w:rsidRPr="00E42FCF">
              <w:rPr>
                <w:b/>
                <w:szCs w:val="20"/>
              </w:rPr>
              <w:t>Rh Typing</w:t>
            </w:r>
          </w:p>
        </w:tc>
        <w:tc>
          <w:tcPr>
            <w:tcW w:w="2866" w:type="dxa"/>
            <w:gridSpan w:val="2"/>
            <w:tcBorders>
              <w:bottom w:val="single" w:sz="2" w:space="0" w:color="auto"/>
            </w:tcBorders>
            <w:shd w:val="clear" w:color="auto" w:fill="B3B3B3"/>
          </w:tcPr>
          <w:p w14:paraId="669F1B9C" w14:textId="77777777" w:rsidR="004A6408" w:rsidRPr="00E42FCF" w:rsidRDefault="004A6408" w:rsidP="00FC4396">
            <w:pPr>
              <w:pStyle w:val="TableText"/>
              <w:rPr>
                <w:b/>
                <w:szCs w:val="20"/>
              </w:rPr>
            </w:pPr>
            <w:r w:rsidRPr="00E42FCF">
              <w:rPr>
                <w:b/>
                <w:szCs w:val="20"/>
              </w:rPr>
              <w:t>Reverse ABO Grouping</w:t>
            </w:r>
          </w:p>
        </w:tc>
        <w:tc>
          <w:tcPr>
            <w:tcW w:w="1452" w:type="dxa"/>
            <w:vMerge w:val="restart"/>
            <w:shd w:val="clear" w:color="auto" w:fill="B3B3B3"/>
          </w:tcPr>
          <w:p w14:paraId="00F328C3" w14:textId="77777777" w:rsidR="004A6408" w:rsidRDefault="004A6408" w:rsidP="00A95965">
            <w:pPr>
              <w:pStyle w:val="TableText"/>
              <w:rPr>
                <w:b/>
                <w:szCs w:val="20"/>
              </w:rPr>
            </w:pPr>
            <w:r w:rsidRPr="00E42FCF">
              <w:rPr>
                <w:b/>
                <w:szCs w:val="20"/>
              </w:rPr>
              <w:t>ABO/Rh</w:t>
            </w:r>
          </w:p>
          <w:p w14:paraId="0B6F7957" w14:textId="77777777" w:rsidR="004A6408" w:rsidRPr="00E42FCF" w:rsidRDefault="004A6408" w:rsidP="00A95965">
            <w:pPr>
              <w:pStyle w:val="TableText"/>
              <w:rPr>
                <w:b/>
                <w:szCs w:val="20"/>
              </w:rPr>
            </w:pPr>
            <w:r>
              <w:rPr>
                <w:b/>
                <w:szCs w:val="20"/>
              </w:rPr>
              <w:t>Interpretation</w:t>
            </w:r>
          </w:p>
        </w:tc>
      </w:tr>
      <w:tr w:rsidR="004A6408" w14:paraId="1D5F4665" w14:textId="77777777">
        <w:tblPrEx>
          <w:shd w:val="clear" w:color="auto" w:fill="auto"/>
        </w:tblPrEx>
        <w:trPr>
          <w:cantSplit/>
          <w:trHeight w:val="230"/>
          <w:tblHeader/>
        </w:trPr>
        <w:tc>
          <w:tcPr>
            <w:tcW w:w="1455" w:type="dxa"/>
            <w:vMerge/>
            <w:noWrap/>
          </w:tcPr>
          <w:p w14:paraId="53136FA6" w14:textId="77777777" w:rsidR="004A6408" w:rsidRDefault="004A6408" w:rsidP="00A95965">
            <w:pPr>
              <w:pStyle w:val="TableText"/>
              <w:rPr>
                <w:szCs w:val="20"/>
              </w:rPr>
            </w:pPr>
          </w:p>
        </w:tc>
        <w:tc>
          <w:tcPr>
            <w:tcW w:w="1443" w:type="dxa"/>
            <w:gridSpan w:val="2"/>
            <w:shd w:val="clear" w:color="auto" w:fill="B3B3B3"/>
          </w:tcPr>
          <w:p w14:paraId="2BAF02E1" w14:textId="77777777" w:rsidR="004A6408" w:rsidRPr="00C3237D" w:rsidRDefault="004A6408" w:rsidP="000D14B2">
            <w:pPr>
              <w:pStyle w:val="TableText"/>
              <w:jc w:val="center"/>
              <w:rPr>
                <w:b/>
                <w:szCs w:val="20"/>
              </w:rPr>
            </w:pPr>
            <w:r>
              <w:rPr>
                <w:b/>
                <w:szCs w:val="20"/>
              </w:rPr>
              <w:t>Anti-A</w:t>
            </w:r>
          </w:p>
        </w:tc>
        <w:tc>
          <w:tcPr>
            <w:tcW w:w="1435" w:type="dxa"/>
            <w:gridSpan w:val="2"/>
            <w:shd w:val="clear" w:color="auto" w:fill="B3B3B3"/>
          </w:tcPr>
          <w:p w14:paraId="740E47D4" w14:textId="77777777" w:rsidR="004A6408" w:rsidRPr="00C3237D" w:rsidRDefault="004A6408" w:rsidP="000D14B2">
            <w:pPr>
              <w:pStyle w:val="TableText"/>
              <w:jc w:val="center"/>
              <w:rPr>
                <w:b/>
                <w:szCs w:val="20"/>
              </w:rPr>
            </w:pPr>
            <w:r>
              <w:rPr>
                <w:b/>
                <w:szCs w:val="20"/>
              </w:rPr>
              <w:t>Anti-B</w:t>
            </w:r>
          </w:p>
        </w:tc>
        <w:tc>
          <w:tcPr>
            <w:tcW w:w="1434" w:type="dxa"/>
            <w:shd w:val="clear" w:color="auto" w:fill="B3B3B3"/>
          </w:tcPr>
          <w:p w14:paraId="62E684E7" w14:textId="77777777" w:rsidR="004A6408" w:rsidRPr="00C3237D" w:rsidRDefault="004A6408" w:rsidP="000D14B2">
            <w:pPr>
              <w:pStyle w:val="TableText"/>
              <w:jc w:val="center"/>
              <w:rPr>
                <w:b/>
                <w:szCs w:val="20"/>
              </w:rPr>
            </w:pPr>
            <w:r>
              <w:rPr>
                <w:b/>
                <w:szCs w:val="20"/>
              </w:rPr>
              <w:t>Anti-A,B</w:t>
            </w:r>
          </w:p>
        </w:tc>
        <w:tc>
          <w:tcPr>
            <w:tcW w:w="1434" w:type="dxa"/>
            <w:shd w:val="clear" w:color="auto" w:fill="B3B3B3"/>
          </w:tcPr>
          <w:p w14:paraId="4085798B" w14:textId="77777777" w:rsidR="004A6408" w:rsidRPr="00C3237D" w:rsidRDefault="004A6408" w:rsidP="000D14B2">
            <w:pPr>
              <w:pStyle w:val="TableText"/>
              <w:jc w:val="center"/>
              <w:rPr>
                <w:b/>
                <w:szCs w:val="20"/>
              </w:rPr>
            </w:pPr>
            <w:r>
              <w:rPr>
                <w:b/>
                <w:szCs w:val="20"/>
              </w:rPr>
              <w:t>Anti-D</w:t>
            </w:r>
          </w:p>
        </w:tc>
        <w:tc>
          <w:tcPr>
            <w:tcW w:w="1441" w:type="dxa"/>
            <w:shd w:val="clear" w:color="auto" w:fill="B3B3B3"/>
          </w:tcPr>
          <w:p w14:paraId="5B94AB5A" w14:textId="77777777" w:rsidR="004A6408" w:rsidRPr="00C3237D" w:rsidRDefault="004A6408" w:rsidP="000D14B2">
            <w:pPr>
              <w:pStyle w:val="TableText"/>
              <w:jc w:val="center"/>
              <w:rPr>
                <w:b/>
                <w:szCs w:val="20"/>
              </w:rPr>
            </w:pPr>
            <w:r>
              <w:rPr>
                <w:b/>
                <w:szCs w:val="20"/>
              </w:rPr>
              <w:t>Rh Control</w:t>
            </w:r>
          </w:p>
        </w:tc>
        <w:tc>
          <w:tcPr>
            <w:tcW w:w="1433" w:type="dxa"/>
            <w:shd w:val="clear" w:color="auto" w:fill="B3B3B3"/>
          </w:tcPr>
          <w:p w14:paraId="717E7E13" w14:textId="77777777" w:rsidR="004A6408" w:rsidRPr="00C3237D" w:rsidRDefault="004A6408" w:rsidP="000D14B2">
            <w:pPr>
              <w:pStyle w:val="TableText"/>
              <w:jc w:val="center"/>
              <w:rPr>
                <w:b/>
                <w:szCs w:val="20"/>
              </w:rPr>
            </w:pPr>
            <w:r>
              <w:rPr>
                <w:b/>
                <w:szCs w:val="20"/>
              </w:rPr>
              <w:t>A1 Cell</w:t>
            </w:r>
          </w:p>
        </w:tc>
        <w:tc>
          <w:tcPr>
            <w:tcW w:w="1433" w:type="dxa"/>
            <w:shd w:val="clear" w:color="auto" w:fill="B3B3B3"/>
          </w:tcPr>
          <w:p w14:paraId="1CB78BB3" w14:textId="77777777" w:rsidR="004A6408" w:rsidRPr="00C3237D" w:rsidRDefault="004A6408" w:rsidP="000D14B2">
            <w:pPr>
              <w:pStyle w:val="TableText"/>
              <w:jc w:val="center"/>
              <w:rPr>
                <w:b/>
                <w:szCs w:val="20"/>
              </w:rPr>
            </w:pPr>
            <w:r>
              <w:rPr>
                <w:b/>
                <w:szCs w:val="20"/>
              </w:rPr>
              <w:t>B Cell</w:t>
            </w:r>
          </w:p>
        </w:tc>
        <w:tc>
          <w:tcPr>
            <w:tcW w:w="1452" w:type="dxa"/>
            <w:vMerge/>
          </w:tcPr>
          <w:p w14:paraId="487721FA" w14:textId="77777777" w:rsidR="004A6408" w:rsidRDefault="004A6408" w:rsidP="00A95965">
            <w:pPr>
              <w:pStyle w:val="TableText"/>
              <w:rPr>
                <w:szCs w:val="20"/>
              </w:rPr>
            </w:pPr>
          </w:p>
        </w:tc>
      </w:tr>
      <w:tr w:rsidR="00041C69" w14:paraId="7054D68E" w14:textId="77777777">
        <w:tblPrEx>
          <w:shd w:val="clear" w:color="auto" w:fill="auto"/>
        </w:tblPrEx>
        <w:trPr>
          <w:cantSplit/>
          <w:trHeight w:val="432"/>
        </w:trPr>
        <w:tc>
          <w:tcPr>
            <w:tcW w:w="1455" w:type="dxa"/>
            <w:noWrap/>
          </w:tcPr>
          <w:p w14:paraId="6B1C4A9C" w14:textId="77777777" w:rsidR="00041C69" w:rsidRDefault="00041C69" w:rsidP="00A95965">
            <w:pPr>
              <w:pStyle w:val="TableText"/>
              <w:rPr>
                <w:szCs w:val="20"/>
              </w:rPr>
            </w:pPr>
          </w:p>
        </w:tc>
        <w:tc>
          <w:tcPr>
            <w:tcW w:w="1443" w:type="dxa"/>
            <w:gridSpan w:val="2"/>
          </w:tcPr>
          <w:p w14:paraId="37672C2C" w14:textId="77777777" w:rsidR="00041C69" w:rsidRDefault="00041C69" w:rsidP="00A95965">
            <w:pPr>
              <w:pStyle w:val="TableText"/>
              <w:rPr>
                <w:szCs w:val="20"/>
              </w:rPr>
            </w:pPr>
          </w:p>
        </w:tc>
        <w:tc>
          <w:tcPr>
            <w:tcW w:w="1435" w:type="dxa"/>
            <w:gridSpan w:val="2"/>
          </w:tcPr>
          <w:p w14:paraId="0C16643C" w14:textId="77777777" w:rsidR="00041C69" w:rsidRDefault="00041C69" w:rsidP="00A95965">
            <w:pPr>
              <w:pStyle w:val="TableText"/>
              <w:rPr>
                <w:szCs w:val="20"/>
              </w:rPr>
            </w:pPr>
          </w:p>
        </w:tc>
        <w:tc>
          <w:tcPr>
            <w:tcW w:w="1434" w:type="dxa"/>
          </w:tcPr>
          <w:p w14:paraId="521019E1" w14:textId="77777777" w:rsidR="00041C69" w:rsidRDefault="00041C69" w:rsidP="00A95965">
            <w:pPr>
              <w:pStyle w:val="TableText"/>
              <w:rPr>
                <w:szCs w:val="20"/>
              </w:rPr>
            </w:pPr>
          </w:p>
        </w:tc>
        <w:tc>
          <w:tcPr>
            <w:tcW w:w="1434" w:type="dxa"/>
          </w:tcPr>
          <w:p w14:paraId="4EBD9C89" w14:textId="77777777" w:rsidR="00041C69" w:rsidRDefault="00041C69" w:rsidP="00A95965">
            <w:pPr>
              <w:pStyle w:val="TableText"/>
              <w:rPr>
                <w:szCs w:val="20"/>
              </w:rPr>
            </w:pPr>
          </w:p>
        </w:tc>
        <w:tc>
          <w:tcPr>
            <w:tcW w:w="1441" w:type="dxa"/>
          </w:tcPr>
          <w:p w14:paraId="5B2B1EC4" w14:textId="77777777" w:rsidR="00041C69" w:rsidRDefault="00041C69" w:rsidP="00A95965">
            <w:pPr>
              <w:pStyle w:val="TableText"/>
              <w:rPr>
                <w:szCs w:val="20"/>
              </w:rPr>
            </w:pPr>
          </w:p>
        </w:tc>
        <w:tc>
          <w:tcPr>
            <w:tcW w:w="1433" w:type="dxa"/>
          </w:tcPr>
          <w:p w14:paraId="20482DBB" w14:textId="77777777" w:rsidR="00041C69" w:rsidRDefault="00041C69" w:rsidP="00A95965">
            <w:pPr>
              <w:pStyle w:val="TableText"/>
              <w:rPr>
                <w:szCs w:val="20"/>
              </w:rPr>
            </w:pPr>
          </w:p>
        </w:tc>
        <w:tc>
          <w:tcPr>
            <w:tcW w:w="1433" w:type="dxa"/>
          </w:tcPr>
          <w:p w14:paraId="0C0F2153" w14:textId="77777777" w:rsidR="00041C69" w:rsidRDefault="00041C69" w:rsidP="00A95965">
            <w:pPr>
              <w:pStyle w:val="TableText"/>
              <w:rPr>
                <w:szCs w:val="20"/>
              </w:rPr>
            </w:pPr>
          </w:p>
        </w:tc>
        <w:tc>
          <w:tcPr>
            <w:tcW w:w="1452" w:type="dxa"/>
          </w:tcPr>
          <w:p w14:paraId="3B7E1E15" w14:textId="77777777" w:rsidR="00041C69" w:rsidRDefault="00041C69" w:rsidP="00A95965">
            <w:pPr>
              <w:pStyle w:val="TableText"/>
              <w:rPr>
                <w:szCs w:val="20"/>
              </w:rPr>
            </w:pPr>
          </w:p>
        </w:tc>
      </w:tr>
      <w:tr w:rsidR="00041C69" w14:paraId="5958216A" w14:textId="77777777">
        <w:tblPrEx>
          <w:shd w:val="clear" w:color="auto" w:fill="auto"/>
        </w:tblPrEx>
        <w:trPr>
          <w:cantSplit/>
          <w:trHeight w:val="432"/>
        </w:trPr>
        <w:tc>
          <w:tcPr>
            <w:tcW w:w="1455" w:type="dxa"/>
            <w:noWrap/>
          </w:tcPr>
          <w:p w14:paraId="01B7F801" w14:textId="77777777" w:rsidR="00041C69" w:rsidRDefault="00041C69" w:rsidP="00A95965">
            <w:pPr>
              <w:pStyle w:val="TableText"/>
              <w:rPr>
                <w:szCs w:val="20"/>
              </w:rPr>
            </w:pPr>
          </w:p>
        </w:tc>
        <w:tc>
          <w:tcPr>
            <w:tcW w:w="1443" w:type="dxa"/>
            <w:gridSpan w:val="2"/>
          </w:tcPr>
          <w:p w14:paraId="09B1FFEE" w14:textId="77777777" w:rsidR="00041C69" w:rsidRDefault="00041C69" w:rsidP="00A95965">
            <w:pPr>
              <w:pStyle w:val="TableText"/>
              <w:rPr>
                <w:szCs w:val="20"/>
              </w:rPr>
            </w:pPr>
          </w:p>
        </w:tc>
        <w:tc>
          <w:tcPr>
            <w:tcW w:w="1435" w:type="dxa"/>
            <w:gridSpan w:val="2"/>
          </w:tcPr>
          <w:p w14:paraId="0CB3FE78" w14:textId="77777777" w:rsidR="00041C69" w:rsidRDefault="00041C69" w:rsidP="00A95965">
            <w:pPr>
              <w:pStyle w:val="TableText"/>
              <w:rPr>
                <w:szCs w:val="20"/>
              </w:rPr>
            </w:pPr>
          </w:p>
        </w:tc>
        <w:tc>
          <w:tcPr>
            <w:tcW w:w="1434" w:type="dxa"/>
          </w:tcPr>
          <w:p w14:paraId="7036041E" w14:textId="77777777" w:rsidR="00041C69" w:rsidRDefault="00041C69" w:rsidP="00A95965">
            <w:pPr>
              <w:pStyle w:val="TableText"/>
              <w:rPr>
                <w:szCs w:val="20"/>
              </w:rPr>
            </w:pPr>
          </w:p>
        </w:tc>
        <w:tc>
          <w:tcPr>
            <w:tcW w:w="1434" w:type="dxa"/>
          </w:tcPr>
          <w:p w14:paraId="6348EF3B" w14:textId="77777777" w:rsidR="00041C69" w:rsidRDefault="00041C69" w:rsidP="00A95965">
            <w:pPr>
              <w:pStyle w:val="TableText"/>
              <w:rPr>
                <w:szCs w:val="20"/>
              </w:rPr>
            </w:pPr>
          </w:p>
        </w:tc>
        <w:tc>
          <w:tcPr>
            <w:tcW w:w="1441" w:type="dxa"/>
          </w:tcPr>
          <w:p w14:paraId="000E98CF" w14:textId="77777777" w:rsidR="00041C69" w:rsidRDefault="00041C69" w:rsidP="00A95965">
            <w:pPr>
              <w:pStyle w:val="TableText"/>
              <w:rPr>
                <w:szCs w:val="20"/>
              </w:rPr>
            </w:pPr>
          </w:p>
        </w:tc>
        <w:tc>
          <w:tcPr>
            <w:tcW w:w="1433" w:type="dxa"/>
          </w:tcPr>
          <w:p w14:paraId="4B08DFAA" w14:textId="77777777" w:rsidR="00041C69" w:rsidRDefault="00041C69" w:rsidP="00A95965">
            <w:pPr>
              <w:pStyle w:val="TableText"/>
              <w:rPr>
                <w:szCs w:val="20"/>
              </w:rPr>
            </w:pPr>
          </w:p>
        </w:tc>
        <w:tc>
          <w:tcPr>
            <w:tcW w:w="1433" w:type="dxa"/>
          </w:tcPr>
          <w:p w14:paraId="2E796BE1" w14:textId="77777777" w:rsidR="00041C69" w:rsidRDefault="00041C69" w:rsidP="00A95965">
            <w:pPr>
              <w:pStyle w:val="TableText"/>
              <w:rPr>
                <w:szCs w:val="20"/>
              </w:rPr>
            </w:pPr>
          </w:p>
        </w:tc>
        <w:tc>
          <w:tcPr>
            <w:tcW w:w="1452" w:type="dxa"/>
          </w:tcPr>
          <w:p w14:paraId="032C662B" w14:textId="77777777" w:rsidR="00041C69" w:rsidRDefault="00041C69" w:rsidP="00A95965">
            <w:pPr>
              <w:pStyle w:val="TableText"/>
              <w:rPr>
                <w:szCs w:val="20"/>
              </w:rPr>
            </w:pPr>
          </w:p>
        </w:tc>
      </w:tr>
    </w:tbl>
    <w:p w14:paraId="2506B647" w14:textId="77777777" w:rsidR="00140686" w:rsidRDefault="00140686" w:rsidP="00DD75E5">
      <w:pPr>
        <w:pStyle w:val="BodyText"/>
      </w:pPr>
    </w:p>
    <w:p w14:paraId="0D8B9950" w14:textId="77777777" w:rsidR="003F3F74" w:rsidRDefault="00140686" w:rsidP="00DD75E5">
      <w:pPr>
        <w:pStyle w:val="BodyText"/>
      </w:pPr>
      <w:r>
        <w:br w:type="page"/>
      </w: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746"/>
        <w:gridCol w:w="641"/>
        <w:gridCol w:w="686"/>
        <w:gridCol w:w="643"/>
        <w:gridCol w:w="681"/>
        <w:gridCol w:w="641"/>
        <w:gridCol w:w="650"/>
        <w:gridCol w:w="639"/>
        <w:gridCol w:w="681"/>
        <w:gridCol w:w="641"/>
        <w:gridCol w:w="650"/>
        <w:gridCol w:w="641"/>
        <w:gridCol w:w="681"/>
        <w:gridCol w:w="641"/>
        <w:gridCol w:w="650"/>
        <w:gridCol w:w="639"/>
        <w:gridCol w:w="2409"/>
      </w:tblGrid>
      <w:tr w:rsidR="004A6408" w14:paraId="77AF8675" w14:textId="77777777">
        <w:trPr>
          <w:cantSplit/>
          <w:trHeight w:val="230"/>
          <w:tblHeader/>
        </w:trPr>
        <w:tc>
          <w:tcPr>
            <w:tcW w:w="12888" w:type="dxa"/>
            <w:gridSpan w:val="17"/>
            <w:shd w:val="clear" w:color="auto" w:fill="B3B3B3"/>
            <w:noWrap/>
          </w:tcPr>
          <w:p w14:paraId="3F854B88" w14:textId="77777777" w:rsidR="004A6408" w:rsidRPr="006A7FD3" w:rsidRDefault="004A6408" w:rsidP="00FC4396">
            <w:pPr>
              <w:pStyle w:val="TableText"/>
              <w:rPr>
                <w:b/>
                <w:szCs w:val="20"/>
              </w:rPr>
            </w:pPr>
            <w:r>
              <w:rPr>
                <w:b/>
                <w:szCs w:val="20"/>
              </w:rPr>
              <w:lastRenderedPageBreak/>
              <w:t>Antibody Screening</w:t>
            </w:r>
          </w:p>
        </w:tc>
      </w:tr>
      <w:tr w:rsidR="004A6408" w14:paraId="0E4DD13E" w14:textId="77777777">
        <w:tblPrEx>
          <w:shd w:val="clear" w:color="auto" w:fill="auto"/>
        </w:tblPrEx>
        <w:trPr>
          <w:cantSplit/>
          <w:trHeight w:val="230"/>
          <w:tblHeader/>
        </w:trPr>
        <w:tc>
          <w:tcPr>
            <w:tcW w:w="2704" w:type="dxa"/>
            <w:gridSpan w:val="4"/>
            <w:tcBorders>
              <w:top w:val="single" w:sz="2" w:space="0" w:color="auto"/>
              <w:left w:val="single" w:sz="2" w:space="0" w:color="auto"/>
              <w:bottom w:val="single" w:sz="2" w:space="0" w:color="auto"/>
              <w:right w:val="single" w:sz="2" w:space="0" w:color="auto"/>
            </w:tcBorders>
            <w:shd w:val="clear" w:color="auto" w:fill="B3B3B3"/>
            <w:noWrap/>
          </w:tcPr>
          <w:p w14:paraId="23C61F7B" w14:textId="77777777" w:rsidR="004A6408" w:rsidRPr="006A7FD3" w:rsidRDefault="004A6408" w:rsidP="00FC4396">
            <w:pPr>
              <w:pStyle w:val="TableText"/>
              <w:rPr>
                <w:b/>
                <w:szCs w:val="20"/>
              </w:rPr>
            </w:pPr>
            <w:r>
              <w:rPr>
                <w:b/>
                <w:szCs w:val="20"/>
              </w:rPr>
              <w:t>Screen Cell 1</w:t>
            </w:r>
          </w:p>
        </w:tc>
        <w:tc>
          <w:tcPr>
            <w:tcW w:w="2596" w:type="dxa"/>
            <w:gridSpan w:val="4"/>
            <w:tcBorders>
              <w:top w:val="single" w:sz="2" w:space="0" w:color="auto"/>
              <w:left w:val="single" w:sz="2" w:space="0" w:color="auto"/>
              <w:bottom w:val="single" w:sz="2" w:space="0" w:color="auto"/>
              <w:right w:val="single" w:sz="2" w:space="0" w:color="auto"/>
            </w:tcBorders>
            <w:shd w:val="clear" w:color="auto" w:fill="B3B3B3"/>
          </w:tcPr>
          <w:p w14:paraId="02B27799" w14:textId="77777777" w:rsidR="004A6408" w:rsidRPr="006A7FD3" w:rsidRDefault="004A6408" w:rsidP="00FC4396">
            <w:pPr>
              <w:pStyle w:val="TableText"/>
              <w:rPr>
                <w:b/>
                <w:szCs w:val="20"/>
              </w:rPr>
            </w:pPr>
            <w:r>
              <w:rPr>
                <w:b/>
                <w:szCs w:val="20"/>
              </w:rPr>
              <w:t>Screen Cell 2</w:t>
            </w:r>
          </w:p>
        </w:tc>
        <w:tc>
          <w:tcPr>
            <w:tcW w:w="2597" w:type="dxa"/>
            <w:gridSpan w:val="4"/>
            <w:tcBorders>
              <w:top w:val="single" w:sz="2" w:space="0" w:color="auto"/>
              <w:left w:val="single" w:sz="2" w:space="0" w:color="auto"/>
              <w:bottom w:val="single" w:sz="2" w:space="0" w:color="auto"/>
              <w:right w:val="single" w:sz="2" w:space="0" w:color="auto"/>
            </w:tcBorders>
            <w:shd w:val="clear" w:color="auto" w:fill="B3B3B3"/>
          </w:tcPr>
          <w:p w14:paraId="13A2C7C1" w14:textId="77777777" w:rsidR="004A6408" w:rsidRPr="006A7FD3" w:rsidRDefault="004A6408" w:rsidP="00FC4396">
            <w:pPr>
              <w:pStyle w:val="TableText"/>
              <w:rPr>
                <w:b/>
                <w:szCs w:val="20"/>
              </w:rPr>
            </w:pPr>
            <w:r>
              <w:rPr>
                <w:b/>
                <w:szCs w:val="20"/>
              </w:rPr>
              <w:t>Screen Cell 3</w:t>
            </w:r>
          </w:p>
        </w:tc>
        <w:tc>
          <w:tcPr>
            <w:tcW w:w="2595" w:type="dxa"/>
            <w:gridSpan w:val="4"/>
            <w:tcBorders>
              <w:top w:val="single" w:sz="2" w:space="0" w:color="auto"/>
              <w:left w:val="single" w:sz="2" w:space="0" w:color="auto"/>
              <w:bottom w:val="single" w:sz="2" w:space="0" w:color="auto"/>
              <w:right w:val="single" w:sz="2" w:space="0" w:color="auto"/>
            </w:tcBorders>
            <w:shd w:val="clear" w:color="auto" w:fill="B3B3B3"/>
          </w:tcPr>
          <w:p w14:paraId="66D6002B" w14:textId="77777777" w:rsidR="004A6408" w:rsidRPr="006A7FD3" w:rsidRDefault="004A6408" w:rsidP="00FC4396">
            <w:pPr>
              <w:pStyle w:val="TableText"/>
              <w:rPr>
                <w:b/>
                <w:szCs w:val="20"/>
              </w:rPr>
            </w:pPr>
            <w:r>
              <w:rPr>
                <w:b/>
                <w:szCs w:val="20"/>
              </w:rPr>
              <w:t>Screen Cell 4</w:t>
            </w:r>
          </w:p>
        </w:tc>
        <w:tc>
          <w:tcPr>
            <w:tcW w:w="2396" w:type="dxa"/>
            <w:vMerge w:val="restart"/>
            <w:tcBorders>
              <w:top w:val="single" w:sz="2" w:space="0" w:color="auto"/>
              <w:left w:val="single" w:sz="2" w:space="0" w:color="auto"/>
              <w:right w:val="single" w:sz="2" w:space="0" w:color="auto"/>
            </w:tcBorders>
            <w:shd w:val="clear" w:color="auto" w:fill="B3B3B3"/>
          </w:tcPr>
          <w:p w14:paraId="3AD16649" w14:textId="77777777" w:rsidR="004A6408" w:rsidRPr="006A7FD3" w:rsidRDefault="004A6408" w:rsidP="00FC4396">
            <w:pPr>
              <w:pStyle w:val="TableText"/>
              <w:rPr>
                <w:b/>
                <w:szCs w:val="20"/>
              </w:rPr>
            </w:pPr>
            <w:r>
              <w:rPr>
                <w:b/>
                <w:szCs w:val="20"/>
              </w:rPr>
              <w:t>Screen Interpretation</w:t>
            </w:r>
          </w:p>
        </w:tc>
      </w:tr>
      <w:tr w:rsidR="004A6408" w14:paraId="20F9E86A" w14:textId="77777777">
        <w:tblPrEx>
          <w:shd w:val="clear" w:color="auto" w:fill="auto"/>
        </w:tblPrEx>
        <w:trPr>
          <w:cantSplit/>
          <w:trHeight w:val="230"/>
          <w:tblHeader/>
        </w:trPr>
        <w:tc>
          <w:tcPr>
            <w:tcW w:w="743" w:type="dxa"/>
            <w:shd w:val="clear" w:color="auto" w:fill="B3B3B3"/>
            <w:noWrap/>
          </w:tcPr>
          <w:p w14:paraId="5A60FF61" w14:textId="77777777" w:rsidR="004A6408" w:rsidRPr="006A7FD3" w:rsidRDefault="004A6408" w:rsidP="00FC4396">
            <w:pPr>
              <w:pStyle w:val="TableText"/>
              <w:jc w:val="both"/>
              <w:rPr>
                <w:b/>
                <w:szCs w:val="20"/>
              </w:rPr>
            </w:pPr>
            <w:r w:rsidRPr="006A7FD3">
              <w:rPr>
                <w:b/>
                <w:szCs w:val="20"/>
              </w:rPr>
              <w:t>RT/IS</w:t>
            </w:r>
            <w:r>
              <w:rPr>
                <w:rStyle w:val="FootnoteReference"/>
                <w:b/>
                <w:szCs w:val="20"/>
              </w:rPr>
              <w:footnoteReference w:id="4"/>
            </w:r>
          </w:p>
        </w:tc>
        <w:tc>
          <w:tcPr>
            <w:tcW w:w="638" w:type="dxa"/>
            <w:shd w:val="clear" w:color="auto" w:fill="B3B3B3"/>
          </w:tcPr>
          <w:p w14:paraId="56320D7F"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83" w:type="dxa"/>
            <w:shd w:val="clear" w:color="auto" w:fill="B3B3B3"/>
          </w:tcPr>
          <w:p w14:paraId="593C9222" w14:textId="77777777" w:rsidR="004A6408" w:rsidRPr="006A7FD3" w:rsidRDefault="004A6408" w:rsidP="00FC4396">
            <w:pPr>
              <w:pStyle w:val="TableText"/>
              <w:jc w:val="both"/>
              <w:rPr>
                <w:b/>
                <w:szCs w:val="20"/>
              </w:rPr>
            </w:pPr>
            <w:r w:rsidRPr="006A7FD3">
              <w:rPr>
                <w:b/>
                <w:szCs w:val="20"/>
              </w:rPr>
              <w:t>AHG</w:t>
            </w:r>
            <w:r>
              <w:rPr>
                <w:rStyle w:val="FootnoteReference"/>
                <w:b/>
                <w:szCs w:val="20"/>
              </w:rPr>
              <w:footnoteReference w:id="5"/>
            </w:r>
          </w:p>
        </w:tc>
        <w:tc>
          <w:tcPr>
            <w:tcW w:w="640" w:type="dxa"/>
            <w:shd w:val="clear" w:color="auto" w:fill="B3B3B3"/>
          </w:tcPr>
          <w:p w14:paraId="03BF09C2" w14:textId="77777777" w:rsidR="004A6408" w:rsidRPr="006A7FD3" w:rsidRDefault="004A6408" w:rsidP="00FC4396">
            <w:pPr>
              <w:pStyle w:val="TableText"/>
              <w:jc w:val="both"/>
              <w:rPr>
                <w:b/>
                <w:szCs w:val="20"/>
              </w:rPr>
            </w:pPr>
            <w:r w:rsidRPr="006A7FD3">
              <w:rPr>
                <w:b/>
                <w:szCs w:val="20"/>
              </w:rPr>
              <w:t>CC</w:t>
            </w:r>
            <w:r>
              <w:rPr>
                <w:rStyle w:val="FootnoteReference"/>
                <w:b/>
                <w:szCs w:val="20"/>
              </w:rPr>
              <w:footnoteReference w:id="6"/>
            </w:r>
          </w:p>
        </w:tc>
        <w:tc>
          <w:tcPr>
            <w:tcW w:w="678" w:type="dxa"/>
            <w:shd w:val="clear" w:color="auto" w:fill="B3B3B3"/>
          </w:tcPr>
          <w:p w14:paraId="52E5FE1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5C509A8E"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B462543" w14:textId="77777777" w:rsidR="004A6408" w:rsidRPr="006A7FD3" w:rsidRDefault="004A6408" w:rsidP="00FC4396">
            <w:pPr>
              <w:pStyle w:val="TableText"/>
              <w:jc w:val="both"/>
              <w:rPr>
                <w:b/>
                <w:szCs w:val="20"/>
              </w:rPr>
            </w:pPr>
            <w:r w:rsidRPr="006A7FD3">
              <w:rPr>
                <w:b/>
                <w:szCs w:val="20"/>
              </w:rPr>
              <w:t>AHG</w:t>
            </w:r>
          </w:p>
        </w:tc>
        <w:tc>
          <w:tcPr>
            <w:tcW w:w="635" w:type="dxa"/>
            <w:shd w:val="clear" w:color="auto" w:fill="B3B3B3"/>
          </w:tcPr>
          <w:p w14:paraId="6D102F7D"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0FAB87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4D825510"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C061F61" w14:textId="77777777" w:rsidR="004A6408" w:rsidRPr="006A7FD3" w:rsidRDefault="004A6408" w:rsidP="00FC4396">
            <w:pPr>
              <w:pStyle w:val="TableText"/>
              <w:jc w:val="both"/>
              <w:rPr>
                <w:b/>
                <w:szCs w:val="20"/>
              </w:rPr>
            </w:pPr>
            <w:r w:rsidRPr="006A7FD3">
              <w:rPr>
                <w:b/>
                <w:szCs w:val="20"/>
              </w:rPr>
              <w:t>AHG</w:t>
            </w:r>
          </w:p>
        </w:tc>
        <w:tc>
          <w:tcPr>
            <w:tcW w:w="637" w:type="dxa"/>
            <w:shd w:val="clear" w:color="auto" w:fill="B3B3B3"/>
          </w:tcPr>
          <w:p w14:paraId="31EE9A8A"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9AB72DB"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3162036B"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829DAC4" w14:textId="77777777" w:rsidR="004A6408" w:rsidRPr="006A7FD3" w:rsidRDefault="004A6408" w:rsidP="00FC4396">
            <w:pPr>
              <w:pStyle w:val="TableText"/>
              <w:jc w:val="both"/>
              <w:rPr>
                <w:b/>
                <w:szCs w:val="20"/>
              </w:rPr>
            </w:pPr>
            <w:r w:rsidRPr="006A7FD3">
              <w:rPr>
                <w:b/>
                <w:szCs w:val="20"/>
              </w:rPr>
              <w:t>AHG</w:t>
            </w:r>
          </w:p>
        </w:tc>
        <w:tc>
          <w:tcPr>
            <w:tcW w:w="635" w:type="dxa"/>
            <w:tcBorders>
              <w:right w:val="single" w:sz="2" w:space="0" w:color="auto"/>
            </w:tcBorders>
            <w:shd w:val="clear" w:color="auto" w:fill="B3B3B3"/>
          </w:tcPr>
          <w:p w14:paraId="18BA6234" w14:textId="77777777" w:rsidR="004A6408" w:rsidRPr="006A7FD3" w:rsidRDefault="004A6408" w:rsidP="00FC4396">
            <w:pPr>
              <w:pStyle w:val="TableText"/>
              <w:jc w:val="both"/>
              <w:rPr>
                <w:b/>
                <w:szCs w:val="20"/>
              </w:rPr>
            </w:pPr>
            <w:r w:rsidRPr="006A7FD3">
              <w:rPr>
                <w:b/>
                <w:szCs w:val="20"/>
              </w:rPr>
              <w:t>CC</w:t>
            </w:r>
          </w:p>
        </w:tc>
        <w:tc>
          <w:tcPr>
            <w:tcW w:w="2396" w:type="dxa"/>
            <w:vMerge/>
            <w:tcBorders>
              <w:left w:val="single" w:sz="2" w:space="0" w:color="auto"/>
              <w:right w:val="single" w:sz="2" w:space="0" w:color="auto"/>
            </w:tcBorders>
          </w:tcPr>
          <w:p w14:paraId="415625EE" w14:textId="77777777" w:rsidR="004A6408" w:rsidRPr="006A7FD3" w:rsidRDefault="004A6408" w:rsidP="00FC4396">
            <w:pPr>
              <w:pStyle w:val="TableText"/>
              <w:jc w:val="both"/>
              <w:rPr>
                <w:b/>
                <w:szCs w:val="20"/>
              </w:rPr>
            </w:pPr>
          </w:p>
        </w:tc>
      </w:tr>
      <w:tr w:rsidR="004A6408" w14:paraId="172CE6F9" w14:textId="77777777">
        <w:tblPrEx>
          <w:shd w:val="clear" w:color="auto" w:fill="auto"/>
        </w:tblPrEx>
        <w:trPr>
          <w:cantSplit/>
          <w:trHeight w:val="432"/>
        </w:trPr>
        <w:tc>
          <w:tcPr>
            <w:tcW w:w="743" w:type="dxa"/>
            <w:noWrap/>
          </w:tcPr>
          <w:p w14:paraId="2E55F2E4" w14:textId="77777777" w:rsidR="004A6408" w:rsidRDefault="004A6408" w:rsidP="00A95965">
            <w:pPr>
              <w:pStyle w:val="TableText"/>
              <w:rPr>
                <w:szCs w:val="20"/>
              </w:rPr>
            </w:pPr>
          </w:p>
        </w:tc>
        <w:tc>
          <w:tcPr>
            <w:tcW w:w="638" w:type="dxa"/>
          </w:tcPr>
          <w:p w14:paraId="3253DA23" w14:textId="77777777" w:rsidR="004A6408" w:rsidRDefault="004A6408" w:rsidP="00A95965">
            <w:pPr>
              <w:pStyle w:val="TableText"/>
              <w:rPr>
                <w:szCs w:val="20"/>
              </w:rPr>
            </w:pPr>
          </w:p>
        </w:tc>
        <w:tc>
          <w:tcPr>
            <w:tcW w:w="683" w:type="dxa"/>
          </w:tcPr>
          <w:p w14:paraId="55E44B3A" w14:textId="77777777" w:rsidR="004A6408" w:rsidRDefault="004A6408" w:rsidP="00A95965">
            <w:pPr>
              <w:pStyle w:val="TableText"/>
              <w:rPr>
                <w:szCs w:val="20"/>
              </w:rPr>
            </w:pPr>
          </w:p>
        </w:tc>
        <w:tc>
          <w:tcPr>
            <w:tcW w:w="640" w:type="dxa"/>
          </w:tcPr>
          <w:p w14:paraId="3226DA18" w14:textId="77777777" w:rsidR="004A6408" w:rsidRDefault="004A6408" w:rsidP="00A95965">
            <w:pPr>
              <w:pStyle w:val="TableText"/>
              <w:rPr>
                <w:szCs w:val="20"/>
              </w:rPr>
            </w:pPr>
          </w:p>
        </w:tc>
        <w:tc>
          <w:tcPr>
            <w:tcW w:w="678" w:type="dxa"/>
          </w:tcPr>
          <w:p w14:paraId="1789A563" w14:textId="77777777" w:rsidR="004A6408" w:rsidRDefault="004A6408" w:rsidP="00A95965">
            <w:pPr>
              <w:pStyle w:val="TableText"/>
              <w:rPr>
                <w:szCs w:val="20"/>
              </w:rPr>
            </w:pPr>
          </w:p>
        </w:tc>
        <w:tc>
          <w:tcPr>
            <w:tcW w:w="637" w:type="dxa"/>
          </w:tcPr>
          <w:p w14:paraId="169A7234" w14:textId="77777777" w:rsidR="004A6408" w:rsidRDefault="004A6408" w:rsidP="00A95965">
            <w:pPr>
              <w:pStyle w:val="TableText"/>
              <w:rPr>
                <w:szCs w:val="20"/>
              </w:rPr>
            </w:pPr>
          </w:p>
        </w:tc>
        <w:tc>
          <w:tcPr>
            <w:tcW w:w="646" w:type="dxa"/>
          </w:tcPr>
          <w:p w14:paraId="3E1BE0F3" w14:textId="77777777" w:rsidR="004A6408" w:rsidRDefault="004A6408" w:rsidP="00A95965">
            <w:pPr>
              <w:pStyle w:val="TableText"/>
              <w:rPr>
                <w:szCs w:val="20"/>
              </w:rPr>
            </w:pPr>
          </w:p>
        </w:tc>
        <w:tc>
          <w:tcPr>
            <w:tcW w:w="635" w:type="dxa"/>
          </w:tcPr>
          <w:p w14:paraId="4E919C9F" w14:textId="77777777" w:rsidR="004A6408" w:rsidRDefault="004A6408" w:rsidP="00A95965">
            <w:pPr>
              <w:pStyle w:val="TableText"/>
              <w:rPr>
                <w:szCs w:val="20"/>
              </w:rPr>
            </w:pPr>
          </w:p>
        </w:tc>
        <w:tc>
          <w:tcPr>
            <w:tcW w:w="677" w:type="dxa"/>
          </w:tcPr>
          <w:p w14:paraId="43327181" w14:textId="77777777" w:rsidR="004A6408" w:rsidRDefault="004A6408" w:rsidP="00A95965">
            <w:pPr>
              <w:pStyle w:val="TableText"/>
              <w:rPr>
                <w:szCs w:val="20"/>
              </w:rPr>
            </w:pPr>
          </w:p>
        </w:tc>
        <w:tc>
          <w:tcPr>
            <w:tcW w:w="637" w:type="dxa"/>
          </w:tcPr>
          <w:p w14:paraId="0139315E" w14:textId="77777777" w:rsidR="004A6408" w:rsidRDefault="004A6408" w:rsidP="00A95965">
            <w:pPr>
              <w:pStyle w:val="TableText"/>
              <w:rPr>
                <w:szCs w:val="20"/>
              </w:rPr>
            </w:pPr>
          </w:p>
        </w:tc>
        <w:tc>
          <w:tcPr>
            <w:tcW w:w="646" w:type="dxa"/>
          </w:tcPr>
          <w:p w14:paraId="0A278BEA" w14:textId="77777777" w:rsidR="004A6408" w:rsidRDefault="004A6408" w:rsidP="00A95965">
            <w:pPr>
              <w:pStyle w:val="TableText"/>
              <w:rPr>
                <w:szCs w:val="20"/>
              </w:rPr>
            </w:pPr>
          </w:p>
        </w:tc>
        <w:tc>
          <w:tcPr>
            <w:tcW w:w="637" w:type="dxa"/>
          </w:tcPr>
          <w:p w14:paraId="2A2F3C4B" w14:textId="77777777" w:rsidR="004A6408" w:rsidRDefault="004A6408" w:rsidP="00A95965">
            <w:pPr>
              <w:pStyle w:val="TableText"/>
              <w:rPr>
                <w:szCs w:val="20"/>
              </w:rPr>
            </w:pPr>
          </w:p>
        </w:tc>
        <w:tc>
          <w:tcPr>
            <w:tcW w:w="677" w:type="dxa"/>
          </w:tcPr>
          <w:p w14:paraId="7128D5A2" w14:textId="77777777" w:rsidR="004A6408" w:rsidRDefault="004A6408" w:rsidP="00A95965">
            <w:pPr>
              <w:pStyle w:val="TableText"/>
              <w:rPr>
                <w:szCs w:val="20"/>
              </w:rPr>
            </w:pPr>
          </w:p>
        </w:tc>
        <w:tc>
          <w:tcPr>
            <w:tcW w:w="637" w:type="dxa"/>
          </w:tcPr>
          <w:p w14:paraId="46989BE1" w14:textId="77777777" w:rsidR="004A6408" w:rsidRDefault="004A6408" w:rsidP="00A95965">
            <w:pPr>
              <w:pStyle w:val="TableText"/>
              <w:rPr>
                <w:szCs w:val="20"/>
              </w:rPr>
            </w:pPr>
          </w:p>
        </w:tc>
        <w:tc>
          <w:tcPr>
            <w:tcW w:w="646" w:type="dxa"/>
          </w:tcPr>
          <w:p w14:paraId="67A0D7E2" w14:textId="77777777" w:rsidR="004A6408" w:rsidRDefault="004A6408" w:rsidP="00A95965">
            <w:pPr>
              <w:pStyle w:val="TableText"/>
              <w:rPr>
                <w:szCs w:val="20"/>
              </w:rPr>
            </w:pPr>
          </w:p>
        </w:tc>
        <w:tc>
          <w:tcPr>
            <w:tcW w:w="635" w:type="dxa"/>
          </w:tcPr>
          <w:p w14:paraId="2086EE71" w14:textId="77777777" w:rsidR="004A6408" w:rsidRDefault="004A6408" w:rsidP="00A95965">
            <w:pPr>
              <w:pStyle w:val="TableText"/>
              <w:rPr>
                <w:szCs w:val="20"/>
              </w:rPr>
            </w:pPr>
          </w:p>
        </w:tc>
        <w:tc>
          <w:tcPr>
            <w:tcW w:w="2396" w:type="dxa"/>
          </w:tcPr>
          <w:p w14:paraId="737629C2" w14:textId="77777777" w:rsidR="004A6408" w:rsidRDefault="004A6408" w:rsidP="00A95965">
            <w:pPr>
              <w:pStyle w:val="TableText"/>
              <w:rPr>
                <w:szCs w:val="20"/>
              </w:rPr>
            </w:pPr>
          </w:p>
        </w:tc>
      </w:tr>
      <w:tr w:rsidR="004A6408" w14:paraId="67711F5F" w14:textId="77777777">
        <w:tblPrEx>
          <w:shd w:val="clear" w:color="auto" w:fill="auto"/>
        </w:tblPrEx>
        <w:trPr>
          <w:cantSplit/>
          <w:trHeight w:val="432"/>
        </w:trPr>
        <w:tc>
          <w:tcPr>
            <w:tcW w:w="743" w:type="dxa"/>
            <w:noWrap/>
          </w:tcPr>
          <w:p w14:paraId="30A59CB9" w14:textId="77777777" w:rsidR="004A6408" w:rsidRDefault="004A6408" w:rsidP="00A95965">
            <w:pPr>
              <w:pStyle w:val="TableText"/>
              <w:rPr>
                <w:szCs w:val="20"/>
              </w:rPr>
            </w:pPr>
          </w:p>
        </w:tc>
        <w:tc>
          <w:tcPr>
            <w:tcW w:w="638" w:type="dxa"/>
          </w:tcPr>
          <w:p w14:paraId="5C7A3CDF" w14:textId="77777777" w:rsidR="004A6408" w:rsidRDefault="004A6408" w:rsidP="00A95965">
            <w:pPr>
              <w:pStyle w:val="TableText"/>
              <w:rPr>
                <w:szCs w:val="20"/>
              </w:rPr>
            </w:pPr>
          </w:p>
        </w:tc>
        <w:tc>
          <w:tcPr>
            <w:tcW w:w="683" w:type="dxa"/>
          </w:tcPr>
          <w:p w14:paraId="587E24C8" w14:textId="77777777" w:rsidR="004A6408" w:rsidRDefault="004A6408" w:rsidP="00A95965">
            <w:pPr>
              <w:pStyle w:val="TableText"/>
              <w:rPr>
                <w:szCs w:val="20"/>
              </w:rPr>
            </w:pPr>
          </w:p>
        </w:tc>
        <w:tc>
          <w:tcPr>
            <w:tcW w:w="640" w:type="dxa"/>
          </w:tcPr>
          <w:p w14:paraId="7A55EA77" w14:textId="77777777" w:rsidR="004A6408" w:rsidRDefault="004A6408" w:rsidP="00A95965">
            <w:pPr>
              <w:pStyle w:val="TableText"/>
              <w:rPr>
                <w:szCs w:val="20"/>
              </w:rPr>
            </w:pPr>
          </w:p>
        </w:tc>
        <w:tc>
          <w:tcPr>
            <w:tcW w:w="678" w:type="dxa"/>
          </w:tcPr>
          <w:p w14:paraId="4D10C0F4" w14:textId="77777777" w:rsidR="004A6408" w:rsidRDefault="004A6408" w:rsidP="00A95965">
            <w:pPr>
              <w:pStyle w:val="TableText"/>
              <w:rPr>
                <w:szCs w:val="20"/>
              </w:rPr>
            </w:pPr>
          </w:p>
        </w:tc>
        <w:tc>
          <w:tcPr>
            <w:tcW w:w="637" w:type="dxa"/>
          </w:tcPr>
          <w:p w14:paraId="16C735DF" w14:textId="77777777" w:rsidR="004A6408" w:rsidRDefault="004A6408" w:rsidP="00A95965">
            <w:pPr>
              <w:pStyle w:val="TableText"/>
              <w:rPr>
                <w:szCs w:val="20"/>
              </w:rPr>
            </w:pPr>
          </w:p>
        </w:tc>
        <w:tc>
          <w:tcPr>
            <w:tcW w:w="646" w:type="dxa"/>
          </w:tcPr>
          <w:p w14:paraId="736A6EB2" w14:textId="77777777" w:rsidR="004A6408" w:rsidRDefault="004A6408" w:rsidP="00A95965">
            <w:pPr>
              <w:pStyle w:val="TableText"/>
              <w:rPr>
                <w:szCs w:val="20"/>
              </w:rPr>
            </w:pPr>
          </w:p>
        </w:tc>
        <w:tc>
          <w:tcPr>
            <w:tcW w:w="635" w:type="dxa"/>
          </w:tcPr>
          <w:p w14:paraId="552595D4" w14:textId="77777777" w:rsidR="004A6408" w:rsidRDefault="004A6408" w:rsidP="00A95965">
            <w:pPr>
              <w:pStyle w:val="TableText"/>
              <w:rPr>
                <w:szCs w:val="20"/>
              </w:rPr>
            </w:pPr>
          </w:p>
        </w:tc>
        <w:tc>
          <w:tcPr>
            <w:tcW w:w="677" w:type="dxa"/>
          </w:tcPr>
          <w:p w14:paraId="1DF1C6E6" w14:textId="77777777" w:rsidR="004A6408" w:rsidRDefault="004A6408" w:rsidP="00A95965">
            <w:pPr>
              <w:pStyle w:val="TableText"/>
              <w:rPr>
                <w:szCs w:val="20"/>
              </w:rPr>
            </w:pPr>
          </w:p>
        </w:tc>
        <w:tc>
          <w:tcPr>
            <w:tcW w:w="637" w:type="dxa"/>
          </w:tcPr>
          <w:p w14:paraId="5F683A12" w14:textId="77777777" w:rsidR="004A6408" w:rsidRDefault="004A6408" w:rsidP="00A95965">
            <w:pPr>
              <w:pStyle w:val="TableText"/>
              <w:rPr>
                <w:szCs w:val="20"/>
              </w:rPr>
            </w:pPr>
          </w:p>
        </w:tc>
        <w:tc>
          <w:tcPr>
            <w:tcW w:w="646" w:type="dxa"/>
          </w:tcPr>
          <w:p w14:paraId="3C88C08C" w14:textId="77777777" w:rsidR="004A6408" w:rsidRDefault="004A6408" w:rsidP="00A95965">
            <w:pPr>
              <w:pStyle w:val="TableText"/>
              <w:rPr>
                <w:szCs w:val="20"/>
              </w:rPr>
            </w:pPr>
          </w:p>
        </w:tc>
        <w:tc>
          <w:tcPr>
            <w:tcW w:w="637" w:type="dxa"/>
          </w:tcPr>
          <w:p w14:paraId="654F85F0" w14:textId="77777777" w:rsidR="004A6408" w:rsidRDefault="004A6408" w:rsidP="00A95965">
            <w:pPr>
              <w:pStyle w:val="TableText"/>
              <w:rPr>
                <w:szCs w:val="20"/>
              </w:rPr>
            </w:pPr>
          </w:p>
        </w:tc>
        <w:tc>
          <w:tcPr>
            <w:tcW w:w="677" w:type="dxa"/>
          </w:tcPr>
          <w:p w14:paraId="36D2222D" w14:textId="77777777" w:rsidR="004A6408" w:rsidRDefault="004A6408" w:rsidP="00A95965">
            <w:pPr>
              <w:pStyle w:val="TableText"/>
              <w:rPr>
                <w:szCs w:val="20"/>
              </w:rPr>
            </w:pPr>
          </w:p>
        </w:tc>
        <w:tc>
          <w:tcPr>
            <w:tcW w:w="637" w:type="dxa"/>
          </w:tcPr>
          <w:p w14:paraId="3675F7F5" w14:textId="77777777" w:rsidR="004A6408" w:rsidRDefault="004A6408" w:rsidP="00A95965">
            <w:pPr>
              <w:pStyle w:val="TableText"/>
              <w:rPr>
                <w:szCs w:val="20"/>
              </w:rPr>
            </w:pPr>
          </w:p>
        </w:tc>
        <w:tc>
          <w:tcPr>
            <w:tcW w:w="646" w:type="dxa"/>
          </w:tcPr>
          <w:p w14:paraId="66B64326" w14:textId="77777777" w:rsidR="004A6408" w:rsidRDefault="004A6408" w:rsidP="00A95965">
            <w:pPr>
              <w:pStyle w:val="TableText"/>
              <w:rPr>
                <w:szCs w:val="20"/>
              </w:rPr>
            </w:pPr>
          </w:p>
        </w:tc>
        <w:tc>
          <w:tcPr>
            <w:tcW w:w="635" w:type="dxa"/>
          </w:tcPr>
          <w:p w14:paraId="793AFE24" w14:textId="77777777" w:rsidR="004A6408" w:rsidRDefault="004A6408" w:rsidP="00A95965">
            <w:pPr>
              <w:pStyle w:val="TableText"/>
              <w:rPr>
                <w:szCs w:val="20"/>
              </w:rPr>
            </w:pPr>
          </w:p>
        </w:tc>
        <w:tc>
          <w:tcPr>
            <w:tcW w:w="2396" w:type="dxa"/>
          </w:tcPr>
          <w:p w14:paraId="67349626" w14:textId="77777777" w:rsidR="004A6408" w:rsidRDefault="004A6408" w:rsidP="00A95965">
            <w:pPr>
              <w:pStyle w:val="TableText"/>
              <w:rPr>
                <w:szCs w:val="20"/>
              </w:rPr>
            </w:pPr>
          </w:p>
        </w:tc>
      </w:tr>
      <w:tr w:rsidR="004A6408" w14:paraId="5892E4B7" w14:textId="77777777">
        <w:tblPrEx>
          <w:shd w:val="clear" w:color="auto" w:fill="auto"/>
        </w:tblPrEx>
        <w:trPr>
          <w:cantSplit/>
          <w:trHeight w:val="432"/>
        </w:trPr>
        <w:tc>
          <w:tcPr>
            <w:tcW w:w="12888" w:type="dxa"/>
            <w:gridSpan w:val="17"/>
            <w:noWrap/>
          </w:tcPr>
          <w:p w14:paraId="79CD6B1B" w14:textId="77777777" w:rsidR="004A6408" w:rsidRPr="00AC5C64" w:rsidRDefault="004A6408" w:rsidP="00A95965">
            <w:pPr>
              <w:pStyle w:val="TableText"/>
              <w:rPr>
                <w:b/>
                <w:szCs w:val="20"/>
              </w:rPr>
            </w:pPr>
            <w:r>
              <w:rPr>
                <w:b/>
                <w:szCs w:val="20"/>
              </w:rPr>
              <w:t>Comments:</w:t>
            </w:r>
          </w:p>
        </w:tc>
      </w:tr>
    </w:tbl>
    <w:p w14:paraId="165D2EB4" w14:textId="77777777" w:rsidR="003F3F74" w:rsidRDefault="003F3F74"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402"/>
        <w:gridCol w:w="19"/>
        <w:gridCol w:w="969"/>
        <w:gridCol w:w="970"/>
        <w:gridCol w:w="970"/>
        <w:gridCol w:w="971"/>
        <w:gridCol w:w="970"/>
        <w:gridCol w:w="970"/>
        <w:gridCol w:w="21"/>
        <w:gridCol w:w="1938"/>
        <w:gridCol w:w="1760"/>
      </w:tblGrid>
      <w:tr w:rsidR="004A6408" w14:paraId="1344A179" w14:textId="77777777">
        <w:trPr>
          <w:cantSplit/>
          <w:trHeight w:val="230"/>
        </w:trPr>
        <w:tc>
          <w:tcPr>
            <w:tcW w:w="3402" w:type="dxa"/>
            <w:shd w:val="clear" w:color="auto" w:fill="B3B3B3"/>
            <w:noWrap/>
          </w:tcPr>
          <w:p w14:paraId="0FD56A4A" w14:textId="77777777" w:rsidR="004A6408" w:rsidRPr="00AC5C64" w:rsidRDefault="004A6408" w:rsidP="00A95965">
            <w:pPr>
              <w:pStyle w:val="TableText"/>
              <w:rPr>
                <w:b/>
                <w:szCs w:val="20"/>
              </w:rPr>
            </w:pPr>
            <w:r>
              <w:rPr>
                <w:b/>
                <w:szCs w:val="20"/>
              </w:rPr>
              <w:t>Patient Name</w:t>
            </w:r>
          </w:p>
        </w:tc>
        <w:tc>
          <w:tcPr>
            <w:tcW w:w="3899" w:type="dxa"/>
            <w:gridSpan w:val="5"/>
            <w:shd w:val="clear" w:color="auto" w:fill="B3B3B3"/>
          </w:tcPr>
          <w:p w14:paraId="095B4385" w14:textId="77777777" w:rsidR="004A6408" w:rsidRPr="00AC5C64" w:rsidRDefault="004A6408" w:rsidP="00A95965">
            <w:pPr>
              <w:pStyle w:val="TableText"/>
              <w:rPr>
                <w:b/>
                <w:szCs w:val="20"/>
              </w:rPr>
            </w:pPr>
            <w:r>
              <w:rPr>
                <w:b/>
                <w:szCs w:val="20"/>
              </w:rPr>
              <w:t>Patient Identification Number</w:t>
            </w:r>
          </w:p>
        </w:tc>
        <w:tc>
          <w:tcPr>
            <w:tcW w:w="1961" w:type="dxa"/>
            <w:gridSpan w:val="3"/>
            <w:shd w:val="clear" w:color="auto" w:fill="B3B3B3"/>
          </w:tcPr>
          <w:p w14:paraId="0D3A065C" w14:textId="77777777" w:rsidR="004A6408" w:rsidRPr="00AC5C64" w:rsidRDefault="004A6408" w:rsidP="00A95965">
            <w:pPr>
              <w:pStyle w:val="TableText"/>
              <w:rPr>
                <w:b/>
                <w:szCs w:val="20"/>
              </w:rPr>
            </w:pPr>
            <w:r>
              <w:rPr>
                <w:b/>
                <w:szCs w:val="20"/>
              </w:rPr>
              <w:t>Location</w:t>
            </w:r>
          </w:p>
        </w:tc>
        <w:tc>
          <w:tcPr>
            <w:tcW w:w="3698" w:type="dxa"/>
            <w:gridSpan w:val="2"/>
            <w:shd w:val="clear" w:color="auto" w:fill="B3B3B3"/>
          </w:tcPr>
          <w:p w14:paraId="06129E04" w14:textId="77777777" w:rsidR="004A6408" w:rsidRPr="00AC5C64" w:rsidRDefault="004A6408" w:rsidP="00A95965">
            <w:pPr>
              <w:pStyle w:val="TableText"/>
              <w:rPr>
                <w:b/>
                <w:szCs w:val="20"/>
              </w:rPr>
            </w:pPr>
            <w:r>
              <w:rPr>
                <w:b/>
                <w:szCs w:val="20"/>
              </w:rPr>
              <w:t>Specimen UID</w:t>
            </w:r>
          </w:p>
        </w:tc>
      </w:tr>
      <w:tr w:rsidR="004A6408" w14:paraId="4E105E03" w14:textId="77777777">
        <w:trPr>
          <w:cantSplit/>
          <w:trHeight w:val="432"/>
        </w:trPr>
        <w:tc>
          <w:tcPr>
            <w:tcW w:w="3402" w:type="dxa"/>
            <w:noWrap/>
          </w:tcPr>
          <w:p w14:paraId="4AF36444" w14:textId="77777777" w:rsidR="004A6408" w:rsidRDefault="004A6408" w:rsidP="00A95965">
            <w:pPr>
              <w:pStyle w:val="TableText"/>
              <w:rPr>
                <w:szCs w:val="20"/>
              </w:rPr>
            </w:pPr>
          </w:p>
        </w:tc>
        <w:tc>
          <w:tcPr>
            <w:tcW w:w="3899" w:type="dxa"/>
            <w:gridSpan w:val="5"/>
          </w:tcPr>
          <w:p w14:paraId="765A5F37" w14:textId="77777777" w:rsidR="004A6408" w:rsidRDefault="004A6408" w:rsidP="00A95965">
            <w:pPr>
              <w:pStyle w:val="TableText"/>
              <w:rPr>
                <w:szCs w:val="20"/>
              </w:rPr>
            </w:pPr>
          </w:p>
        </w:tc>
        <w:tc>
          <w:tcPr>
            <w:tcW w:w="1961" w:type="dxa"/>
            <w:gridSpan w:val="3"/>
          </w:tcPr>
          <w:p w14:paraId="0403AB02" w14:textId="77777777" w:rsidR="004A6408" w:rsidRDefault="004A6408" w:rsidP="00A95965">
            <w:pPr>
              <w:pStyle w:val="TableText"/>
              <w:rPr>
                <w:szCs w:val="20"/>
              </w:rPr>
            </w:pPr>
          </w:p>
        </w:tc>
        <w:tc>
          <w:tcPr>
            <w:tcW w:w="3698" w:type="dxa"/>
            <w:gridSpan w:val="2"/>
          </w:tcPr>
          <w:p w14:paraId="1BC4201B" w14:textId="77777777" w:rsidR="004A6408" w:rsidRDefault="004A6408" w:rsidP="00A95965">
            <w:pPr>
              <w:pStyle w:val="TableText"/>
              <w:rPr>
                <w:szCs w:val="20"/>
              </w:rPr>
            </w:pPr>
          </w:p>
        </w:tc>
      </w:tr>
      <w:tr w:rsidR="004A6408" w14:paraId="68D23A0C" w14:textId="77777777">
        <w:trPr>
          <w:cantSplit/>
          <w:trHeight w:val="230"/>
          <w:tblHeader/>
        </w:trPr>
        <w:tc>
          <w:tcPr>
            <w:tcW w:w="12960" w:type="dxa"/>
            <w:gridSpan w:val="11"/>
            <w:shd w:val="clear" w:color="auto" w:fill="B3B3B3"/>
            <w:noWrap/>
          </w:tcPr>
          <w:p w14:paraId="64F36763" w14:textId="77777777" w:rsidR="004A6408" w:rsidRPr="00035A4D" w:rsidRDefault="004A6408" w:rsidP="00FC4396">
            <w:pPr>
              <w:pStyle w:val="TableText"/>
              <w:rPr>
                <w:b/>
                <w:szCs w:val="20"/>
              </w:rPr>
            </w:pPr>
            <w:r>
              <w:rPr>
                <w:b/>
                <w:szCs w:val="20"/>
              </w:rPr>
              <w:t>Compatibility Testing</w:t>
            </w:r>
          </w:p>
        </w:tc>
      </w:tr>
      <w:tr w:rsidR="006304EB" w14:paraId="5135CEE4" w14:textId="77777777">
        <w:trPr>
          <w:cantSplit/>
          <w:trHeight w:val="230"/>
          <w:tblHeader/>
        </w:trPr>
        <w:tc>
          <w:tcPr>
            <w:tcW w:w="3421" w:type="dxa"/>
            <w:gridSpan w:val="2"/>
            <w:shd w:val="clear" w:color="auto" w:fill="B3B3B3"/>
            <w:noWrap/>
          </w:tcPr>
          <w:p w14:paraId="6409CC94" w14:textId="77777777" w:rsidR="006304EB" w:rsidRPr="00035A4D" w:rsidRDefault="006304EB" w:rsidP="00FC4396">
            <w:pPr>
              <w:pStyle w:val="TableText"/>
              <w:rPr>
                <w:b/>
                <w:szCs w:val="20"/>
              </w:rPr>
            </w:pPr>
            <w:r w:rsidRPr="00035A4D">
              <w:rPr>
                <w:b/>
                <w:szCs w:val="20"/>
              </w:rPr>
              <w:t>Unit Identification Number</w:t>
            </w:r>
          </w:p>
        </w:tc>
        <w:tc>
          <w:tcPr>
            <w:tcW w:w="969" w:type="dxa"/>
            <w:shd w:val="clear" w:color="auto" w:fill="B3B3B3"/>
          </w:tcPr>
          <w:p w14:paraId="66FA2B05" w14:textId="77777777" w:rsidR="006304EB" w:rsidRPr="00035A4D" w:rsidRDefault="006304EB" w:rsidP="00FC4396">
            <w:pPr>
              <w:pStyle w:val="TableText"/>
              <w:rPr>
                <w:b/>
                <w:szCs w:val="20"/>
              </w:rPr>
            </w:pPr>
            <w:r>
              <w:rPr>
                <w:b/>
                <w:szCs w:val="20"/>
              </w:rPr>
              <w:t>Product Code</w:t>
            </w:r>
          </w:p>
        </w:tc>
        <w:tc>
          <w:tcPr>
            <w:tcW w:w="970" w:type="dxa"/>
            <w:shd w:val="clear" w:color="auto" w:fill="B3B3B3"/>
          </w:tcPr>
          <w:p w14:paraId="2651562E" w14:textId="77777777" w:rsidR="006304EB" w:rsidRPr="00035A4D" w:rsidRDefault="006304EB" w:rsidP="00FC4396">
            <w:pPr>
              <w:pStyle w:val="TableText"/>
              <w:rPr>
                <w:b/>
                <w:szCs w:val="20"/>
              </w:rPr>
            </w:pPr>
            <w:r w:rsidRPr="00035A4D">
              <w:rPr>
                <w:b/>
                <w:szCs w:val="20"/>
              </w:rPr>
              <w:t>ABO/Rh</w:t>
            </w:r>
          </w:p>
        </w:tc>
        <w:tc>
          <w:tcPr>
            <w:tcW w:w="970" w:type="dxa"/>
            <w:shd w:val="clear" w:color="auto" w:fill="B3B3B3"/>
          </w:tcPr>
          <w:p w14:paraId="1963E3C0" w14:textId="77777777" w:rsidR="006304EB" w:rsidRPr="00035A4D" w:rsidRDefault="006304EB" w:rsidP="00FC4396">
            <w:pPr>
              <w:pStyle w:val="TableText"/>
              <w:rPr>
                <w:b/>
                <w:szCs w:val="20"/>
              </w:rPr>
            </w:pPr>
            <w:r w:rsidRPr="00035A4D">
              <w:rPr>
                <w:b/>
                <w:szCs w:val="20"/>
              </w:rPr>
              <w:t>RT/IS</w:t>
            </w:r>
          </w:p>
        </w:tc>
        <w:tc>
          <w:tcPr>
            <w:tcW w:w="971" w:type="dxa"/>
            <w:shd w:val="clear" w:color="auto" w:fill="B3B3B3"/>
          </w:tcPr>
          <w:p w14:paraId="282509B4" w14:textId="77777777" w:rsidR="006304EB" w:rsidRPr="00035A4D" w:rsidRDefault="006304EB" w:rsidP="00FC4396">
            <w:pPr>
              <w:pStyle w:val="TableText"/>
              <w:rPr>
                <w:b/>
                <w:szCs w:val="20"/>
              </w:rPr>
            </w:pPr>
            <w:r w:rsidRPr="00035A4D">
              <w:rPr>
                <w:b/>
                <w:szCs w:val="20"/>
              </w:rPr>
              <w:t>37</w:t>
            </w:r>
            <w:r w:rsidRPr="00035A4D">
              <w:rPr>
                <w:rFonts w:cs="Arial"/>
                <w:b/>
                <w:szCs w:val="20"/>
              </w:rPr>
              <w:t>°</w:t>
            </w:r>
          </w:p>
        </w:tc>
        <w:tc>
          <w:tcPr>
            <w:tcW w:w="970" w:type="dxa"/>
            <w:shd w:val="clear" w:color="auto" w:fill="B3B3B3"/>
          </w:tcPr>
          <w:p w14:paraId="2FF206C6" w14:textId="77777777" w:rsidR="006304EB" w:rsidRPr="00035A4D" w:rsidRDefault="006304EB" w:rsidP="00FC4396">
            <w:pPr>
              <w:pStyle w:val="TableText"/>
              <w:rPr>
                <w:b/>
                <w:szCs w:val="20"/>
              </w:rPr>
            </w:pPr>
            <w:r w:rsidRPr="00035A4D">
              <w:rPr>
                <w:b/>
                <w:szCs w:val="20"/>
              </w:rPr>
              <w:t>AHG</w:t>
            </w:r>
          </w:p>
        </w:tc>
        <w:tc>
          <w:tcPr>
            <w:tcW w:w="970" w:type="dxa"/>
            <w:shd w:val="clear" w:color="auto" w:fill="B3B3B3"/>
          </w:tcPr>
          <w:p w14:paraId="72FA9F3C" w14:textId="77777777" w:rsidR="006304EB" w:rsidRPr="00035A4D" w:rsidRDefault="006304EB" w:rsidP="00FC4396">
            <w:pPr>
              <w:pStyle w:val="TableText"/>
              <w:rPr>
                <w:b/>
                <w:szCs w:val="20"/>
              </w:rPr>
            </w:pPr>
            <w:r w:rsidRPr="00035A4D">
              <w:rPr>
                <w:b/>
                <w:szCs w:val="20"/>
              </w:rPr>
              <w:t>CC</w:t>
            </w:r>
          </w:p>
        </w:tc>
        <w:tc>
          <w:tcPr>
            <w:tcW w:w="1959" w:type="dxa"/>
            <w:gridSpan w:val="2"/>
            <w:shd w:val="clear" w:color="auto" w:fill="B3B3B3"/>
          </w:tcPr>
          <w:p w14:paraId="13BBC1AD" w14:textId="77777777" w:rsidR="006304EB" w:rsidRPr="00035A4D" w:rsidRDefault="006304EB" w:rsidP="00FC4396">
            <w:pPr>
              <w:pStyle w:val="TableText"/>
              <w:rPr>
                <w:b/>
                <w:szCs w:val="20"/>
              </w:rPr>
            </w:pPr>
            <w:r w:rsidRPr="00035A4D">
              <w:rPr>
                <w:b/>
                <w:szCs w:val="20"/>
              </w:rPr>
              <w:t>Interpretation</w:t>
            </w:r>
          </w:p>
        </w:tc>
        <w:tc>
          <w:tcPr>
            <w:tcW w:w="1760" w:type="dxa"/>
            <w:shd w:val="clear" w:color="auto" w:fill="B3B3B3"/>
          </w:tcPr>
          <w:p w14:paraId="2501CD83" w14:textId="77777777" w:rsidR="006304EB" w:rsidRPr="00035A4D" w:rsidRDefault="006304EB" w:rsidP="00FC4396">
            <w:pPr>
              <w:pStyle w:val="TableText"/>
              <w:rPr>
                <w:b/>
                <w:szCs w:val="20"/>
              </w:rPr>
            </w:pPr>
            <w:r w:rsidRPr="00035A4D">
              <w:rPr>
                <w:b/>
                <w:szCs w:val="20"/>
              </w:rPr>
              <w:t>Tech Name</w:t>
            </w:r>
          </w:p>
        </w:tc>
      </w:tr>
      <w:tr w:rsidR="006304EB" w14:paraId="6E9BC5E0" w14:textId="77777777">
        <w:trPr>
          <w:cantSplit/>
          <w:trHeight w:val="432"/>
        </w:trPr>
        <w:tc>
          <w:tcPr>
            <w:tcW w:w="3421" w:type="dxa"/>
            <w:gridSpan w:val="2"/>
            <w:noWrap/>
          </w:tcPr>
          <w:p w14:paraId="184ED26E" w14:textId="77777777" w:rsidR="006304EB" w:rsidRDefault="006304EB" w:rsidP="00A95965">
            <w:pPr>
              <w:pStyle w:val="TableText"/>
              <w:rPr>
                <w:szCs w:val="20"/>
              </w:rPr>
            </w:pPr>
          </w:p>
        </w:tc>
        <w:tc>
          <w:tcPr>
            <w:tcW w:w="969" w:type="dxa"/>
          </w:tcPr>
          <w:p w14:paraId="22EB7205" w14:textId="77777777" w:rsidR="006304EB" w:rsidRDefault="006304EB" w:rsidP="00A95965">
            <w:pPr>
              <w:pStyle w:val="TableText"/>
              <w:rPr>
                <w:szCs w:val="20"/>
              </w:rPr>
            </w:pPr>
          </w:p>
        </w:tc>
        <w:tc>
          <w:tcPr>
            <w:tcW w:w="970" w:type="dxa"/>
          </w:tcPr>
          <w:p w14:paraId="3D81FC2A" w14:textId="77777777" w:rsidR="006304EB" w:rsidRDefault="006304EB" w:rsidP="00A95965">
            <w:pPr>
              <w:pStyle w:val="TableText"/>
              <w:rPr>
                <w:szCs w:val="20"/>
              </w:rPr>
            </w:pPr>
          </w:p>
        </w:tc>
        <w:tc>
          <w:tcPr>
            <w:tcW w:w="970" w:type="dxa"/>
          </w:tcPr>
          <w:p w14:paraId="3EB3A2A3" w14:textId="77777777" w:rsidR="006304EB" w:rsidRDefault="006304EB" w:rsidP="00A95965">
            <w:pPr>
              <w:pStyle w:val="TableText"/>
              <w:rPr>
                <w:szCs w:val="20"/>
              </w:rPr>
            </w:pPr>
          </w:p>
        </w:tc>
        <w:tc>
          <w:tcPr>
            <w:tcW w:w="971" w:type="dxa"/>
          </w:tcPr>
          <w:p w14:paraId="0C7316B8" w14:textId="77777777" w:rsidR="006304EB" w:rsidRPr="006A7FD3" w:rsidRDefault="006304EB" w:rsidP="00A95965">
            <w:pPr>
              <w:pStyle w:val="TableText"/>
              <w:jc w:val="center"/>
              <w:rPr>
                <w:b/>
                <w:szCs w:val="20"/>
              </w:rPr>
            </w:pPr>
          </w:p>
        </w:tc>
        <w:tc>
          <w:tcPr>
            <w:tcW w:w="970" w:type="dxa"/>
          </w:tcPr>
          <w:p w14:paraId="363B399B" w14:textId="77777777" w:rsidR="006304EB" w:rsidRPr="006A7FD3" w:rsidRDefault="006304EB" w:rsidP="00A95965">
            <w:pPr>
              <w:pStyle w:val="TableText"/>
              <w:jc w:val="center"/>
              <w:rPr>
                <w:b/>
                <w:szCs w:val="20"/>
              </w:rPr>
            </w:pPr>
          </w:p>
        </w:tc>
        <w:tc>
          <w:tcPr>
            <w:tcW w:w="970" w:type="dxa"/>
          </w:tcPr>
          <w:p w14:paraId="191DC1F5" w14:textId="77777777" w:rsidR="006304EB" w:rsidRPr="006A7FD3" w:rsidRDefault="006304EB" w:rsidP="00A95965">
            <w:pPr>
              <w:pStyle w:val="TableText"/>
              <w:jc w:val="center"/>
              <w:rPr>
                <w:b/>
                <w:szCs w:val="20"/>
              </w:rPr>
            </w:pPr>
          </w:p>
        </w:tc>
        <w:tc>
          <w:tcPr>
            <w:tcW w:w="1959" w:type="dxa"/>
            <w:gridSpan w:val="2"/>
          </w:tcPr>
          <w:p w14:paraId="25A694E5" w14:textId="77777777" w:rsidR="006304EB" w:rsidRDefault="006304EB" w:rsidP="00A95965">
            <w:pPr>
              <w:pStyle w:val="TableText"/>
              <w:rPr>
                <w:szCs w:val="20"/>
              </w:rPr>
            </w:pPr>
          </w:p>
        </w:tc>
        <w:tc>
          <w:tcPr>
            <w:tcW w:w="1760" w:type="dxa"/>
          </w:tcPr>
          <w:p w14:paraId="02AAD436" w14:textId="77777777" w:rsidR="006304EB" w:rsidRDefault="006304EB" w:rsidP="00A95965">
            <w:pPr>
              <w:pStyle w:val="TableText"/>
              <w:rPr>
                <w:szCs w:val="20"/>
              </w:rPr>
            </w:pPr>
          </w:p>
        </w:tc>
      </w:tr>
      <w:tr w:rsidR="006304EB" w14:paraId="688116C3" w14:textId="77777777">
        <w:trPr>
          <w:cantSplit/>
          <w:trHeight w:val="432"/>
        </w:trPr>
        <w:tc>
          <w:tcPr>
            <w:tcW w:w="3421" w:type="dxa"/>
            <w:gridSpan w:val="2"/>
            <w:noWrap/>
          </w:tcPr>
          <w:p w14:paraId="69030D4C" w14:textId="77777777" w:rsidR="006304EB" w:rsidRDefault="006304EB" w:rsidP="00A95965">
            <w:pPr>
              <w:pStyle w:val="TableText"/>
              <w:rPr>
                <w:szCs w:val="20"/>
              </w:rPr>
            </w:pPr>
          </w:p>
        </w:tc>
        <w:tc>
          <w:tcPr>
            <w:tcW w:w="969" w:type="dxa"/>
          </w:tcPr>
          <w:p w14:paraId="3522152C" w14:textId="77777777" w:rsidR="006304EB" w:rsidRDefault="006304EB" w:rsidP="00A95965">
            <w:pPr>
              <w:pStyle w:val="TableText"/>
              <w:rPr>
                <w:szCs w:val="20"/>
              </w:rPr>
            </w:pPr>
          </w:p>
        </w:tc>
        <w:tc>
          <w:tcPr>
            <w:tcW w:w="970" w:type="dxa"/>
          </w:tcPr>
          <w:p w14:paraId="7792F66C" w14:textId="77777777" w:rsidR="006304EB" w:rsidRDefault="006304EB" w:rsidP="00A95965">
            <w:pPr>
              <w:pStyle w:val="TableText"/>
              <w:rPr>
                <w:szCs w:val="20"/>
              </w:rPr>
            </w:pPr>
          </w:p>
        </w:tc>
        <w:tc>
          <w:tcPr>
            <w:tcW w:w="970" w:type="dxa"/>
          </w:tcPr>
          <w:p w14:paraId="5C048B56" w14:textId="77777777" w:rsidR="006304EB" w:rsidRDefault="006304EB" w:rsidP="00A95965">
            <w:pPr>
              <w:pStyle w:val="TableText"/>
              <w:rPr>
                <w:szCs w:val="20"/>
              </w:rPr>
            </w:pPr>
          </w:p>
        </w:tc>
        <w:tc>
          <w:tcPr>
            <w:tcW w:w="971" w:type="dxa"/>
          </w:tcPr>
          <w:p w14:paraId="3562570E" w14:textId="77777777" w:rsidR="006304EB" w:rsidRPr="006A7FD3" w:rsidRDefault="006304EB" w:rsidP="00A95965">
            <w:pPr>
              <w:pStyle w:val="TableText"/>
              <w:jc w:val="center"/>
              <w:rPr>
                <w:b/>
                <w:szCs w:val="20"/>
              </w:rPr>
            </w:pPr>
          </w:p>
        </w:tc>
        <w:tc>
          <w:tcPr>
            <w:tcW w:w="970" w:type="dxa"/>
          </w:tcPr>
          <w:p w14:paraId="18B294BF" w14:textId="77777777" w:rsidR="006304EB" w:rsidRPr="006A7FD3" w:rsidRDefault="006304EB" w:rsidP="00A95965">
            <w:pPr>
              <w:pStyle w:val="TableText"/>
              <w:jc w:val="center"/>
              <w:rPr>
                <w:b/>
                <w:szCs w:val="20"/>
              </w:rPr>
            </w:pPr>
          </w:p>
        </w:tc>
        <w:tc>
          <w:tcPr>
            <w:tcW w:w="970" w:type="dxa"/>
          </w:tcPr>
          <w:p w14:paraId="16012301" w14:textId="77777777" w:rsidR="006304EB" w:rsidRPr="006A7FD3" w:rsidRDefault="006304EB" w:rsidP="00A95965">
            <w:pPr>
              <w:pStyle w:val="TableText"/>
              <w:jc w:val="center"/>
              <w:rPr>
                <w:b/>
                <w:szCs w:val="20"/>
              </w:rPr>
            </w:pPr>
          </w:p>
        </w:tc>
        <w:tc>
          <w:tcPr>
            <w:tcW w:w="1959" w:type="dxa"/>
            <w:gridSpan w:val="2"/>
          </w:tcPr>
          <w:p w14:paraId="44A89902" w14:textId="77777777" w:rsidR="006304EB" w:rsidRDefault="006304EB" w:rsidP="00A95965">
            <w:pPr>
              <w:pStyle w:val="TableText"/>
              <w:rPr>
                <w:szCs w:val="20"/>
              </w:rPr>
            </w:pPr>
          </w:p>
        </w:tc>
        <w:tc>
          <w:tcPr>
            <w:tcW w:w="1760" w:type="dxa"/>
          </w:tcPr>
          <w:p w14:paraId="1302ABAF" w14:textId="77777777" w:rsidR="006304EB" w:rsidRDefault="006304EB" w:rsidP="00A95965">
            <w:pPr>
              <w:pStyle w:val="TableText"/>
              <w:rPr>
                <w:szCs w:val="20"/>
              </w:rPr>
            </w:pPr>
          </w:p>
        </w:tc>
      </w:tr>
      <w:tr w:rsidR="006304EB" w14:paraId="7D09D4DE" w14:textId="77777777">
        <w:trPr>
          <w:cantSplit/>
          <w:trHeight w:val="432"/>
        </w:trPr>
        <w:tc>
          <w:tcPr>
            <w:tcW w:w="3421" w:type="dxa"/>
            <w:gridSpan w:val="2"/>
            <w:noWrap/>
          </w:tcPr>
          <w:p w14:paraId="3B532DE7" w14:textId="77777777" w:rsidR="006304EB" w:rsidRDefault="006304EB" w:rsidP="00A95965">
            <w:pPr>
              <w:pStyle w:val="TableText"/>
              <w:rPr>
                <w:szCs w:val="20"/>
              </w:rPr>
            </w:pPr>
          </w:p>
        </w:tc>
        <w:tc>
          <w:tcPr>
            <w:tcW w:w="969" w:type="dxa"/>
          </w:tcPr>
          <w:p w14:paraId="0114C273" w14:textId="77777777" w:rsidR="006304EB" w:rsidRDefault="006304EB" w:rsidP="00A95965">
            <w:pPr>
              <w:pStyle w:val="TableText"/>
              <w:rPr>
                <w:szCs w:val="20"/>
              </w:rPr>
            </w:pPr>
          </w:p>
        </w:tc>
        <w:tc>
          <w:tcPr>
            <w:tcW w:w="970" w:type="dxa"/>
          </w:tcPr>
          <w:p w14:paraId="14746CDA" w14:textId="77777777" w:rsidR="006304EB" w:rsidRDefault="006304EB" w:rsidP="00A95965">
            <w:pPr>
              <w:pStyle w:val="TableText"/>
              <w:rPr>
                <w:szCs w:val="20"/>
              </w:rPr>
            </w:pPr>
          </w:p>
        </w:tc>
        <w:tc>
          <w:tcPr>
            <w:tcW w:w="970" w:type="dxa"/>
          </w:tcPr>
          <w:p w14:paraId="5180AE14" w14:textId="77777777" w:rsidR="006304EB" w:rsidRDefault="006304EB" w:rsidP="00A95965">
            <w:pPr>
              <w:pStyle w:val="TableText"/>
              <w:rPr>
                <w:szCs w:val="20"/>
              </w:rPr>
            </w:pPr>
          </w:p>
        </w:tc>
        <w:tc>
          <w:tcPr>
            <w:tcW w:w="971" w:type="dxa"/>
          </w:tcPr>
          <w:p w14:paraId="50A31429" w14:textId="77777777" w:rsidR="006304EB" w:rsidRPr="006A7FD3" w:rsidRDefault="006304EB" w:rsidP="00A95965">
            <w:pPr>
              <w:pStyle w:val="TableText"/>
              <w:jc w:val="center"/>
              <w:rPr>
                <w:b/>
                <w:szCs w:val="20"/>
              </w:rPr>
            </w:pPr>
          </w:p>
        </w:tc>
        <w:tc>
          <w:tcPr>
            <w:tcW w:w="970" w:type="dxa"/>
          </w:tcPr>
          <w:p w14:paraId="1B4957CA" w14:textId="77777777" w:rsidR="006304EB" w:rsidRPr="006A7FD3" w:rsidRDefault="006304EB" w:rsidP="00A95965">
            <w:pPr>
              <w:pStyle w:val="TableText"/>
              <w:jc w:val="center"/>
              <w:rPr>
                <w:b/>
                <w:szCs w:val="20"/>
              </w:rPr>
            </w:pPr>
          </w:p>
        </w:tc>
        <w:tc>
          <w:tcPr>
            <w:tcW w:w="970" w:type="dxa"/>
          </w:tcPr>
          <w:p w14:paraId="67B9B3A0" w14:textId="77777777" w:rsidR="006304EB" w:rsidRPr="006A7FD3" w:rsidRDefault="006304EB" w:rsidP="00A95965">
            <w:pPr>
              <w:pStyle w:val="TableText"/>
              <w:jc w:val="center"/>
              <w:rPr>
                <w:b/>
                <w:szCs w:val="20"/>
              </w:rPr>
            </w:pPr>
          </w:p>
        </w:tc>
        <w:tc>
          <w:tcPr>
            <w:tcW w:w="1959" w:type="dxa"/>
            <w:gridSpan w:val="2"/>
          </w:tcPr>
          <w:p w14:paraId="5A2CF9C2" w14:textId="77777777" w:rsidR="006304EB" w:rsidRDefault="006304EB" w:rsidP="00A95965">
            <w:pPr>
              <w:pStyle w:val="TableText"/>
              <w:rPr>
                <w:szCs w:val="20"/>
              </w:rPr>
            </w:pPr>
          </w:p>
        </w:tc>
        <w:tc>
          <w:tcPr>
            <w:tcW w:w="1760" w:type="dxa"/>
          </w:tcPr>
          <w:p w14:paraId="0A767241" w14:textId="77777777" w:rsidR="006304EB" w:rsidRDefault="006304EB" w:rsidP="00A95965">
            <w:pPr>
              <w:pStyle w:val="TableText"/>
              <w:rPr>
                <w:szCs w:val="20"/>
              </w:rPr>
            </w:pPr>
          </w:p>
        </w:tc>
      </w:tr>
      <w:tr w:rsidR="006304EB" w14:paraId="302873A3" w14:textId="77777777">
        <w:trPr>
          <w:cantSplit/>
          <w:trHeight w:val="432"/>
        </w:trPr>
        <w:tc>
          <w:tcPr>
            <w:tcW w:w="3421" w:type="dxa"/>
            <w:gridSpan w:val="2"/>
            <w:noWrap/>
          </w:tcPr>
          <w:p w14:paraId="7D383DC2" w14:textId="77777777" w:rsidR="006304EB" w:rsidRDefault="006304EB" w:rsidP="00A95965">
            <w:pPr>
              <w:pStyle w:val="TableText"/>
              <w:rPr>
                <w:szCs w:val="20"/>
              </w:rPr>
            </w:pPr>
          </w:p>
        </w:tc>
        <w:tc>
          <w:tcPr>
            <w:tcW w:w="969" w:type="dxa"/>
          </w:tcPr>
          <w:p w14:paraId="71A63814" w14:textId="77777777" w:rsidR="006304EB" w:rsidRDefault="006304EB" w:rsidP="00A95965">
            <w:pPr>
              <w:pStyle w:val="TableText"/>
              <w:rPr>
                <w:szCs w:val="20"/>
              </w:rPr>
            </w:pPr>
          </w:p>
        </w:tc>
        <w:tc>
          <w:tcPr>
            <w:tcW w:w="970" w:type="dxa"/>
          </w:tcPr>
          <w:p w14:paraId="10C25A2B" w14:textId="77777777" w:rsidR="006304EB" w:rsidRDefault="006304EB" w:rsidP="00A95965">
            <w:pPr>
              <w:pStyle w:val="TableText"/>
              <w:rPr>
                <w:szCs w:val="20"/>
              </w:rPr>
            </w:pPr>
          </w:p>
        </w:tc>
        <w:tc>
          <w:tcPr>
            <w:tcW w:w="970" w:type="dxa"/>
          </w:tcPr>
          <w:p w14:paraId="0B09E3B0" w14:textId="77777777" w:rsidR="006304EB" w:rsidRDefault="006304EB" w:rsidP="00A95965">
            <w:pPr>
              <w:pStyle w:val="TableText"/>
              <w:rPr>
                <w:szCs w:val="20"/>
              </w:rPr>
            </w:pPr>
          </w:p>
        </w:tc>
        <w:tc>
          <w:tcPr>
            <w:tcW w:w="971" w:type="dxa"/>
          </w:tcPr>
          <w:p w14:paraId="15709608" w14:textId="77777777" w:rsidR="006304EB" w:rsidRPr="006A7FD3" w:rsidRDefault="006304EB" w:rsidP="00A95965">
            <w:pPr>
              <w:pStyle w:val="TableText"/>
              <w:jc w:val="center"/>
              <w:rPr>
                <w:b/>
                <w:szCs w:val="20"/>
              </w:rPr>
            </w:pPr>
          </w:p>
        </w:tc>
        <w:tc>
          <w:tcPr>
            <w:tcW w:w="970" w:type="dxa"/>
          </w:tcPr>
          <w:p w14:paraId="1B386223" w14:textId="77777777" w:rsidR="006304EB" w:rsidRPr="006A7FD3" w:rsidRDefault="006304EB" w:rsidP="00A95965">
            <w:pPr>
              <w:pStyle w:val="TableText"/>
              <w:jc w:val="center"/>
              <w:rPr>
                <w:b/>
                <w:szCs w:val="20"/>
              </w:rPr>
            </w:pPr>
          </w:p>
        </w:tc>
        <w:tc>
          <w:tcPr>
            <w:tcW w:w="970" w:type="dxa"/>
          </w:tcPr>
          <w:p w14:paraId="5D199927" w14:textId="77777777" w:rsidR="006304EB" w:rsidRPr="006A7FD3" w:rsidRDefault="006304EB" w:rsidP="00A95965">
            <w:pPr>
              <w:pStyle w:val="TableText"/>
              <w:jc w:val="center"/>
              <w:rPr>
                <w:b/>
                <w:szCs w:val="20"/>
              </w:rPr>
            </w:pPr>
          </w:p>
        </w:tc>
        <w:tc>
          <w:tcPr>
            <w:tcW w:w="1959" w:type="dxa"/>
            <w:gridSpan w:val="2"/>
          </w:tcPr>
          <w:p w14:paraId="3A154F1A" w14:textId="77777777" w:rsidR="006304EB" w:rsidRDefault="006304EB" w:rsidP="00A95965">
            <w:pPr>
              <w:pStyle w:val="TableText"/>
              <w:rPr>
                <w:szCs w:val="20"/>
              </w:rPr>
            </w:pPr>
          </w:p>
        </w:tc>
        <w:tc>
          <w:tcPr>
            <w:tcW w:w="1760" w:type="dxa"/>
          </w:tcPr>
          <w:p w14:paraId="5E885B6E" w14:textId="77777777" w:rsidR="006304EB" w:rsidRDefault="006304EB" w:rsidP="00A95965">
            <w:pPr>
              <w:pStyle w:val="TableText"/>
              <w:rPr>
                <w:szCs w:val="20"/>
              </w:rPr>
            </w:pPr>
          </w:p>
        </w:tc>
      </w:tr>
      <w:tr w:rsidR="006304EB" w14:paraId="217B9172" w14:textId="77777777">
        <w:trPr>
          <w:cantSplit/>
          <w:trHeight w:val="432"/>
        </w:trPr>
        <w:tc>
          <w:tcPr>
            <w:tcW w:w="3421" w:type="dxa"/>
            <w:gridSpan w:val="2"/>
            <w:noWrap/>
          </w:tcPr>
          <w:p w14:paraId="1AE9048A" w14:textId="77777777" w:rsidR="006304EB" w:rsidRDefault="006304EB" w:rsidP="00A95965">
            <w:pPr>
              <w:pStyle w:val="TableText"/>
              <w:rPr>
                <w:szCs w:val="20"/>
              </w:rPr>
            </w:pPr>
          </w:p>
        </w:tc>
        <w:tc>
          <w:tcPr>
            <w:tcW w:w="969" w:type="dxa"/>
          </w:tcPr>
          <w:p w14:paraId="785FF12E" w14:textId="77777777" w:rsidR="006304EB" w:rsidRDefault="006304EB" w:rsidP="00A95965">
            <w:pPr>
              <w:pStyle w:val="TableText"/>
              <w:rPr>
                <w:szCs w:val="20"/>
              </w:rPr>
            </w:pPr>
          </w:p>
        </w:tc>
        <w:tc>
          <w:tcPr>
            <w:tcW w:w="970" w:type="dxa"/>
          </w:tcPr>
          <w:p w14:paraId="13B463C1" w14:textId="77777777" w:rsidR="006304EB" w:rsidRDefault="006304EB" w:rsidP="00A95965">
            <w:pPr>
              <w:pStyle w:val="TableText"/>
              <w:rPr>
                <w:szCs w:val="20"/>
              </w:rPr>
            </w:pPr>
          </w:p>
        </w:tc>
        <w:tc>
          <w:tcPr>
            <w:tcW w:w="970" w:type="dxa"/>
          </w:tcPr>
          <w:p w14:paraId="0A63A847" w14:textId="77777777" w:rsidR="006304EB" w:rsidRDefault="006304EB" w:rsidP="00A95965">
            <w:pPr>
              <w:pStyle w:val="TableText"/>
              <w:rPr>
                <w:szCs w:val="20"/>
              </w:rPr>
            </w:pPr>
          </w:p>
        </w:tc>
        <w:tc>
          <w:tcPr>
            <w:tcW w:w="971" w:type="dxa"/>
          </w:tcPr>
          <w:p w14:paraId="2C3B5202" w14:textId="77777777" w:rsidR="006304EB" w:rsidRPr="006A7FD3" w:rsidRDefault="006304EB" w:rsidP="00A95965">
            <w:pPr>
              <w:pStyle w:val="TableText"/>
              <w:jc w:val="center"/>
              <w:rPr>
                <w:b/>
                <w:szCs w:val="20"/>
              </w:rPr>
            </w:pPr>
          </w:p>
        </w:tc>
        <w:tc>
          <w:tcPr>
            <w:tcW w:w="970" w:type="dxa"/>
          </w:tcPr>
          <w:p w14:paraId="7AC5E2A0" w14:textId="77777777" w:rsidR="006304EB" w:rsidRPr="006A7FD3" w:rsidRDefault="006304EB" w:rsidP="00A95965">
            <w:pPr>
              <w:pStyle w:val="TableText"/>
              <w:jc w:val="center"/>
              <w:rPr>
                <w:b/>
                <w:szCs w:val="20"/>
              </w:rPr>
            </w:pPr>
          </w:p>
        </w:tc>
        <w:tc>
          <w:tcPr>
            <w:tcW w:w="970" w:type="dxa"/>
          </w:tcPr>
          <w:p w14:paraId="14941468" w14:textId="77777777" w:rsidR="006304EB" w:rsidRPr="006A7FD3" w:rsidRDefault="006304EB" w:rsidP="00A95965">
            <w:pPr>
              <w:pStyle w:val="TableText"/>
              <w:jc w:val="center"/>
              <w:rPr>
                <w:b/>
                <w:szCs w:val="20"/>
              </w:rPr>
            </w:pPr>
          </w:p>
        </w:tc>
        <w:tc>
          <w:tcPr>
            <w:tcW w:w="1959" w:type="dxa"/>
            <w:gridSpan w:val="2"/>
          </w:tcPr>
          <w:p w14:paraId="0FDF8C10" w14:textId="77777777" w:rsidR="006304EB" w:rsidRDefault="006304EB" w:rsidP="00A95965">
            <w:pPr>
              <w:pStyle w:val="TableText"/>
              <w:rPr>
                <w:szCs w:val="20"/>
              </w:rPr>
            </w:pPr>
          </w:p>
        </w:tc>
        <w:tc>
          <w:tcPr>
            <w:tcW w:w="1760" w:type="dxa"/>
          </w:tcPr>
          <w:p w14:paraId="0E0CF0B9" w14:textId="77777777" w:rsidR="006304EB" w:rsidRDefault="006304EB" w:rsidP="00A95965">
            <w:pPr>
              <w:pStyle w:val="TableText"/>
              <w:rPr>
                <w:szCs w:val="20"/>
              </w:rPr>
            </w:pPr>
          </w:p>
        </w:tc>
      </w:tr>
      <w:tr w:rsidR="006304EB" w14:paraId="5F48C799" w14:textId="77777777">
        <w:trPr>
          <w:cantSplit/>
          <w:trHeight w:val="432"/>
        </w:trPr>
        <w:tc>
          <w:tcPr>
            <w:tcW w:w="3421" w:type="dxa"/>
            <w:gridSpan w:val="2"/>
            <w:noWrap/>
          </w:tcPr>
          <w:p w14:paraId="1C878AA6" w14:textId="77777777" w:rsidR="006304EB" w:rsidRDefault="006304EB" w:rsidP="00A95965">
            <w:pPr>
              <w:pStyle w:val="TableText"/>
              <w:rPr>
                <w:szCs w:val="20"/>
              </w:rPr>
            </w:pPr>
          </w:p>
        </w:tc>
        <w:tc>
          <w:tcPr>
            <w:tcW w:w="969" w:type="dxa"/>
          </w:tcPr>
          <w:p w14:paraId="16DEB9AE" w14:textId="77777777" w:rsidR="006304EB" w:rsidRDefault="006304EB" w:rsidP="00A95965">
            <w:pPr>
              <w:pStyle w:val="TableText"/>
              <w:rPr>
                <w:szCs w:val="20"/>
              </w:rPr>
            </w:pPr>
          </w:p>
        </w:tc>
        <w:tc>
          <w:tcPr>
            <w:tcW w:w="970" w:type="dxa"/>
          </w:tcPr>
          <w:p w14:paraId="7986049A" w14:textId="77777777" w:rsidR="006304EB" w:rsidRDefault="006304EB" w:rsidP="00A95965">
            <w:pPr>
              <w:pStyle w:val="TableText"/>
              <w:rPr>
                <w:szCs w:val="20"/>
              </w:rPr>
            </w:pPr>
          </w:p>
        </w:tc>
        <w:tc>
          <w:tcPr>
            <w:tcW w:w="970" w:type="dxa"/>
          </w:tcPr>
          <w:p w14:paraId="256B7139" w14:textId="77777777" w:rsidR="006304EB" w:rsidRDefault="006304EB" w:rsidP="00A95965">
            <w:pPr>
              <w:pStyle w:val="TableText"/>
              <w:rPr>
                <w:szCs w:val="20"/>
              </w:rPr>
            </w:pPr>
          </w:p>
        </w:tc>
        <w:tc>
          <w:tcPr>
            <w:tcW w:w="971" w:type="dxa"/>
          </w:tcPr>
          <w:p w14:paraId="25E35321" w14:textId="77777777" w:rsidR="006304EB" w:rsidRPr="006A7FD3" w:rsidRDefault="006304EB" w:rsidP="00A95965">
            <w:pPr>
              <w:pStyle w:val="TableText"/>
              <w:jc w:val="center"/>
              <w:rPr>
                <w:b/>
                <w:szCs w:val="20"/>
              </w:rPr>
            </w:pPr>
          </w:p>
        </w:tc>
        <w:tc>
          <w:tcPr>
            <w:tcW w:w="970" w:type="dxa"/>
          </w:tcPr>
          <w:p w14:paraId="1CF8CE0A" w14:textId="77777777" w:rsidR="006304EB" w:rsidRPr="006A7FD3" w:rsidRDefault="006304EB" w:rsidP="00A95965">
            <w:pPr>
              <w:pStyle w:val="TableText"/>
              <w:jc w:val="center"/>
              <w:rPr>
                <w:b/>
                <w:szCs w:val="20"/>
              </w:rPr>
            </w:pPr>
          </w:p>
        </w:tc>
        <w:tc>
          <w:tcPr>
            <w:tcW w:w="970" w:type="dxa"/>
          </w:tcPr>
          <w:p w14:paraId="10052031" w14:textId="77777777" w:rsidR="006304EB" w:rsidRPr="006A7FD3" w:rsidRDefault="006304EB" w:rsidP="00A95965">
            <w:pPr>
              <w:pStyle w:val="TableText"/>
              <w:jc w:val="center"/>
              <w:rPr>
                <w:b/>
                <w:szCs w:val="20"/>
              </w:rPr>
            </w:pPr>
          </w:p>
        </w:tc>
        <w:tc>
          <w:tcPr>
            <w:tcW w:w="1959" w:type="dxa"/>
            <w:gridSpan w:val="2"/>
          </w:tcPr>
          <w:p w14:paraId="2FB0A103" w14:textId="77777777" w:rsidR="006304EB" w:rsidRDefault="006304EB" w:rsidP="00A95965">
            <w:pPr>
              <w:pStyle w:val="TableText"/>
              <w:rPr>
                <w:szCs w:val="20"/>
              </w:rPr>
            </w:pPr>
          </w:p>
        </w:tc>
        <w:tc>
          <w:tcPr>
            <w:tcW w:w="1760" w:type="dxa"/>
          </w:tcPr>
          <w:p w14:paraId="261DC62F" w14:textId="77777777" w:rsidR="006304EB" w:rsidRDefault="006304EB" w:rsidP="00A95965">
            <w:pPr>
              <w:pStyle w:val="TableText"/>
              <w:rPr>
                <w:szCs w:val="20"/>
              </w:rPr>
            </w:pPr>
          </w:p>
        </w:tc>
      </w:tr>
      <w:tr w:rsidR="006304EB" w14:paraId="735C6AE2" w14:textId="77777777">
        <w:trPr>
          <w:cantSplit/>
          <w:trHeight w:val="432"/>
        </w:trPr>
        <w:tc>
          <w:tcPr>
            <w:tcW w:w="3421" w:type="dxa"/>
            <w:gridSpan w:val="2"/>
            <w:noWrap/>
          </w:tcPr>
          <w:p w14:paraId="061E2036" w14:textId="77777777" w:rsidR="006304EB" w:rsidRDefault="006304EB" w:rsidP="00A95965">
            <w:pPr>
              <w:pStyle w:val="TableText"/>
              <w:rPr>
                <w:szCs w:val="20"/>
              </w:rPr>
            </w:pPr>
          </w:p>
        </w:tc>
        <w:tc>
          <w:tcPr>
            <w:tcW w:w="969" w:type="dxa"/>
          </w:tcPr>
          <w:p w14:paraId="4CC6731C" w14:textId="77777777" w:rsidR="006304EB" w:rsidRDefault="006304EB" w:rsidP="00A95965">
            <w:pPr>
              <w:pStyle w:val="TableText"/>
              <w:rPr>
                <w:szCs w:val="20"/>
              </w:rPr>
            </w:pPr>
          </w:p>
        </w:tc>
        <w:tc>
          <w:tcPr>
            <w:tcW w:w="970" w:type="dxa"/>
          </w:tcPr>
          <w:p w14:paraId="743ADB8D" w14:textId="77777777" w:rsidR="006304EB" w:rsidRDefault="006304EB" w:rsidP="00A95965">
            <w:pPr>
              <w:pStyle w:val="TableText"/>
              <w:rPr>
                <w:szCs w:val="20"/>
              </w:rPr>
            </w:pPr>
          </w:p>
        </w:tc>
        <w:tc>
          <w:tcPr>
            <w:tcW w:w="970" w:type="dxa"/>
          </w:tcPr>
          <w:p w14:paraId="11059D06" w14:textId="77777777" w:rsidR="006304EB" w:rsidRDefault="006304EB" w:rsidP="00A95965">
            <w:pPr>
              <w:pStyle w:val="TableText"/>
              <w:rPr>
                <w:szCs w:val="20"/>
              </w:rPr>
            </w:pPr>
          </w:p>
        </w:tc>
        <w:tc>
          <w:tcPr>
            <w:tcW w:w="971" w:type="dxa"/>
          </w:tcPr>
          <w:p w14:paraId="1F6598C4" w14:textId="77777777" w:rsidR="006304EB" w:rsidRPr="006A7FD3" w:rsidRDefault="006304EB" w:rsidP="00A95965">
            <w:pPr>
              <w:pStyle w:val="TableText"/>
              <w:jc w:val="center"/>
              <w:rPr>
                <w:b/>
                <w:szCs w:val="20"/>
              </w:rPr>
            </w:pPr>
          </w:p>
        </w:tc>
        <w:tc>
          <w:tcPr>
            <w:tcW w:w="970" w:type="dxa"/>
          </w:tcPr>
          <w:p w14:paraId="17A269C7" w14:textId="77777777" w:rsidR="006304EB" w:rsidRPr="006A7FD3" w:rsidRDefault="006304EB" w:rsidP="00A95965">
            <w:pPr>
              <w:pStyle w:val="TableText"/>
              <w:jc w:val="center"/>
              <w:rPr>
                <w:b/>
                <w:szCs w:val="20"/>
              </w:rPr>
            </w:pPr>
          </w:p>
        </w:tc>
        <w:tc>
          <w:tcPr>
            <w:tcW w:w="970" w:type="dxa"/>
          </w:tcPr>
          <w:p w14:paraId="4CC0B136" w14:textId="77777777" w:rsidR="006304EB" w:rsidRPr="006A7FD3" w:rsidRDefault="006304EB" w:rsidP="00A95965">
            <w:pPr>
              <w:pStyle w:val="TableText"/>
              <w:jc w:val="center"/>
              <w:rPr>
                <w:b/>
                <w:szCs w:val="20"/>
              </w:rPr>
            </w:pPr>
          </w:p>
        </w:tc>
        <w:tc>
          <w:tcPr>
            <w:tcW w:w="1959" w:type="dxa"/>
            <w:gridSpan w:val="2"/>
          </w:tcPr>
          <w:p w14:paraId="175B4E1E" w14:textId="77777777" w:rsidR="006304EB" w:rsidRDefault="006304EB" w:rsidP="00A95965">
            <w:pPr>
              <w:pStyle w:val="TableText"/>
              <w:rPr>
                <w:szCs w:val="20"/>
              </w:rPr>
            </w:pPr>
          </w:p>
        </w:tc>
        <w:tc>
          <w:tcPr>
            <w:tcW w:w="1760" w:type="dxa"/>
          </w:tcPr>
          <w:p w14:paraId="24D0A526" w14:textId="77777777" w:rsidR="006304EB" w:rsidRDefault="006304EB" w:rsidP="00A95965">
            <w:pPr>
              <w:pStyle w:val="TableText"/>
              <w:rPr>
                <w:szCs w:val="20"/>
              </w:rPr>
            </w:pPr>
          </w:p>
        </w:tc>
      </w:tr>
    </w:tbl>
    <w:p w14:paraId="3B7D5644" w14:textId="77777777" w:rsidR="004A6408" w:rsidRDefault="004A6408" w:rsidP="00DD75E5">
      <w:pPr>
        <w:pStyle w:val="BodyText"/>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044"/>
        <w:gridCol w:w="2044"/>
        <w:gridCol w:w="1973"/>
        <w:gridCol w:w="2432"/>
        <w:gridCol w:w="2091"/>
      </w:tblGrid>
      <w:tr w:rsidR="00902D46" w:rsidRPr="00887834" w14:paraId="42B832A3" w14:textId="77777777">
        <w:trPr>
          <w:tblHeader/>
        </w:trPr>
        <w:tc>
          <w:tcPr>
            <w:tcW w:w="12960" w:type="dxa"/>
            <w:gridSpan w:val="6"/>
            <w:shd w:val="clear" w:color="auto" w:fill="B3B3B3"/>
          </w:tcPr>
          <w:p w14:paraId="52633369" w14:textId="77777777" w:rsidR="00902D46" w:rsidRPr="00887834" w:rsidRDefault="00902D46" w:rsidP="00FC4396">
            <w:pPr>
              <w:pStyle w:val="TableText"/>
              <w:rPr>
                <w:b/>
              </w:rPr>
            </w:pPr>
            <w:r w:rsidRPr="00887834">
              <w:rPr>
                <w:b/>
              </w:rPr>
              <w:lastRenderedPageBreak/>
              <w:t>Direct Antiglobulin Test</w:t>
            </w:r>
          </w:p>
        </w:tc>
      </w:tr>
      <w:tr w:rsidR="00887834" w:rsidRPr="00887834" w14:paraId="3AAE88DB" w14:textId="77777777">
        <w:trPr>
          <w:tblHeader/>
        </w:trPr>
        <w:tc>
          <w:tcPr>
            <w:tcW w:w="2376" w:type="dxa"/>
            <w:shd w:val="clear" w:color="auto" w:fill="B3B3B3"/>
          </w:tcPr>
          <w:p w14:paraId="2F7B7BD8" w14:textId="77777777" w:rsidR="008B5CC4" w:rsidRPr="00887834" w:rsidRDefault="008B5CC4" w:rsidP="00FC4396">
            <w:pPr>
              <w:pStyle w:val="TableText"/>
              <w:rPr>
                <w:b/>
              </w:rPr>
            </w:pPr>
            <w:r w:rsidRPr="00887834">
              <w:rPr>
                <w:b/>
              </w:rPr>
              <w:t>Reagent</w:t>
            </w:r>
            <w:r w:rsidR="00CB127B" w:rsidRPr="00887834">
              <w:rPr>
                <w:b/>
              </w:rPr>
              <w:t xml:space="preserve"> Antiserum</w:t>
            </w:r>
          </w:p>
        </w:tc>
        <w:tc>
          <w:tcPr>
            <w:tcW w:w="2044" w:type="dxa"/>
            <w:shd w:val="clear" w:color="auto" w:fill="B3B3B3"/>
          </w:tcPr>
          <w:p w14:paraId="2F4AE523" w14:textId="77777777" w:rsidR="008B5CC4" w:rsidRPr="00887834" w:rsidRDefault="008B5CC4" w:rsidP="00FC4396">
            <w:pPr>
              <w:pStyle w:val="TableText"/>
              <w:rPr>
                <w:b/>
              </w:rPr>
            </w:pPr>
            <w:r w:rsidRPr="00887834">
              <w:rPr>
                <w:b/>
                <w:szCs w:val="20"/>
              </w:rPr>
              <w:t>Lot Number</w:t>
            </w:r>
          </w:p>
        </w:tc>
        <w:tc>
          <w:tcPr>
            <w:tcW w:w="2044" w:type="dxa"/>
            <w:shd w:val="clear" w:color="auto" w:fill="B3B3B3"/>
          </w:tcPr>
          <w:p w14:paraId="6745371F" w14:textId="77777777" w:rsidR="008B5CC4" w:rsidRPr="00887834" w:rsidRDefault="008B5CC4" w:rsidP="00FC4396">
            <w:pPr>
              <w:pStyle w:val="TableText"/>
              <w:rPr>
                <w:b/>
              </w:rPr>
            </w:pPr>
            <w:r w:rsidRPr="00887834">
              <w:rPr>
                <w:b/>
                <w:szCs w:val="20"/>
              </w:rPr>
              <w:t>AHG</w:t>
            </w:r>
          </w:p>
        </w:tc>
        <w:tc>
          <w:tcPr>
            <w:tcW w:w="1973" w:type="dxa"/>
            <w:shd w:val="clear" w:color="auto" w:fill="B3B3B3"/>
          </w:tcPr>
          <w:p w14:paraId="65607E12" w14:textId="77777777" w:rsidR="008B5CC4" w:rsidRPr="00887834" w:rsidRDefault="008B5CC4" w:rsidP="00FC4396">
            <w:pPr>
              <w:pStyle w:val="TableText"/>
              <w:rPr>
                <w:b/>
              </w:rPr>
            </w:pPr>
            <w:r w:rsidRPr="00887834">
              <w:rPr>
                <w:b/>
                <w:szCs w:val="20"/>
              </w:rPr>
              <w:t>CC</w:t>
            </w:r>
          </w:p>
        </w:tc>
        <w:tc>
          <w:tcPr>
            <w:tcW w:w="2432" w:type="dxa"/>
            <w:shd w:val="clear" w:color="auto" w:fill="B3B3B3"/>
          </w:tcPr>
          <w:p w14:paraId="41D16243" w14:textId="77777777" w:rsidR="008B5CC4" w:rsidRPr="00887834" w:rsidRDefault="008B5CC4" w:rsidP="00FC4396">
            <w:pPr>
              <w:pStyle w:val="TableText"/>
              <w:rPr>
                <w:b/>
              </w:rPr>
            </w:pPr>
            <w:r w:rsidRPr="00887834">
              <w:rPr>
                <w:b/>
                <w:szCs w:val="20"/>
              </w:rPr>
              <w:t>Interpretation</w:t>
            </w:r>
          </w:p>
        </w:tc>
        <w:tc>
          <w:tcPr>
            <w:tcW w:w="2091" w:type="dxa"/>
            <w:shd w:val="clear" w:color="auto" w:fill="B3B3B3"/>
          </w:tcPr>
          <w:p w14:paraId="18B3897F" w14:textId="77777777" w:rsidR="008B5CC4" w:rsidRPr="00887834" w:rsidRDefault="008B5CC4" w:rsidP="00FC4396">
            <w:pPr>
              <w:pStyle w:val="TableText"/>
              <w:rPr>
                <w:b/>
              </w:rPr>
            </w:pPr>
            <w:r w:rsidRPr="00887834">
              <w:rPr>
                <w:b/>
                <w:szCs w:val="20"/>
              </w:rPr>
              <w:t>Tech Name</w:t>
            </w:r>
          </w:p>
        </w:tc>
      </w:tr>
      <w:tr w:rsidR="00887834" w14:paraId="382D7AD4" w14:textId="77777777">
        <w:trPr>
          <w:trHeight w:val="432"/>
        </w:trPr>
        <w:tc>
          <w:tcPr>
            <w:tcW w:w="2376" w:type="dxa"/>
          </w:tcPr>
          <w:p w14:paraId="54C50A7B" w14:textId="77777777" w:rsidR="008B5CC4" w:rsidRPr="00887834" w:rsidRDefault="008B5CC4" w:rsidP="00902D46">
            <w:pPr>
              <w:pStyle w:val="TableText"/>
              <w:rPr>
                <w:b/>
              </w:rPr>
            </w:pPr>
            <w:r w:rsidRPr="00887834">
              <w:rPr>
                <w:b/>
              </w:rPr>
              <w:t>Polyspecific</w:t>
            </w:r>
          </w:p>
        </w:tc>
        <w:tc>
          <w:tcPr>
            <w:tcW w:w="2044" w:type="dxa"/>
          </w:tcPr>
          <w:p w14:paraId="262FF11E" w14:textId="77777777" w:rsidR="008B5CC4" w:rsidRDefault="008B5CC4" w:rsidP="00571D70">
            <w:pPr>
              <w:pStyle w:val="TableText"/>
            </w:pPr>
          </w:p>
        </w:tc>
        <w:tc>
          <w:tcPr>
            <w:tcW w:w="2044" w:type="dxa"/>
          </w:tcPr>
          <w:p w14:paraId="1841DCF9" w14:textId="77777777" w:rsidR="008B5CC4" w:rsidRDefault="008B5CC4" w:rsidP="00902D46">
            <w:pPr>
              <w:pStyle w:val="TableText"/>
            </w:pPr>
          </w:p>
        </w:tc>
        <w:tc>
          <w:tcPr>
            <w:tcW w:w="1973" w:type="dxa"/>
          </w:tcPr>
          <w:p w14:paraId="31C70477" w14:textId="77777777" w:rsidR="008B5CC4" w:rsidRDefault="008B5CC4" w:rsidP="00902D46">
            <w:pPr>
              <w:pStyle w:val="TableText"/>
            </w:pPr>
          </w:p>
        </w:tc>
        <w:tc>
          <w:tcPr>
            <w:tcW w:w="2432" w:type="dxa"/>
          </w:tcPr>
          <w:p w14:paraId="3B031210" w14:textId="77777777" w:rsidR="008B5CC4" w:rsidRDefault="008B5CC4" w:rsidP="00902D46">
            <w:pPr>
              <w:pStyle w:val="TableText"/>
            </w:pPr>
          </w:p>
        </w:tc>
        <w:tc>
          <w:tcPr>
            <w:tcW w:w="2091" w:type="dxa"/>
          </w:tcPr>
          <w:p w14:paraId="7FD8B890" w14:textId="77777777" w:rsidR="008B5CC4" w:rsidRDefault="008B5CC4" w:rsidP="00902D46">
            <w:pPr>
              <w:pStyle w:val="TableText"/>
            </w:pPr>
          </w:p>
        </w:tc>
      </w:tr>
      <w:tr w:rsidR="00887834" w14:paraId="570534BA" w14:textId="77777777">
        <w:trPr>
          <w:trHeight w:val="432"/>
        </w:trPr>
        <w:tc>
          <w:tcPr>
            <w:tcW w:w="2376" w:type="dxa"/>
          </w:tcPr>
          <w:p w14:paraId="43CDDD13" w14:textId="77777777" w:rsidR="008B5CC4" w:rsidRPr="00887834" w:rsidRDefault="008B5CC4" w:rsidP="00902D46">
            <w:pPr>
              <w:pStyle w:val="TableText"/>
              <w:rPr>
                <w:b/>
              </w:rPr>
            </w:pPr>
            <w:r w:rsidRPr="00887834">
              <w:rPr>
                <w:b/>
              </w:rPr>
              <w:t>Anti-IgG</w:t>
            </w:r>
          </w:p>
        </w:tc>
        <w:tc>
          <w:tcPr>
            <w:tcW w:w="2044" w:type="dxa"/>
          </w:tcPr>
          <w:p w14:paraId="4BA6F55F" w14:textId="77777777" w:rsidR="008B5CC4" w:rsidRDefault="008B5CC4" w:rsidP="00571D70">
            <w:pPr>
              <w:pStyle w:val="TableText"/>
            </w:pPr>
          </w:p>
        </w:tc>
        <w:tc>
          <w:tcPr>
            <w:tcW w:w="2044" w:type="dxa"/>
          </w:tcPr>
          <w:p w14:paraId="5F2024B0" w14:textId="77777777" w:rsidR="008B5CC4" w:rsidRDefault="008B5CC4" w:rsidP="00902D46">
            <w:pPr>
              <w:pStyle w:val="TableText"/>
            </w:pPr>
          </w:p>
        </w:tc>
        <w:tc>
          <w:tcPr>
            <w:tcW w:w="1973" w:type="dxa"/>
          </w:tcPr>
          <w:p w14:paraId="6F2C5258" w14:textId="77777777" w:rsidR="008B5CC4" w:rsidRDefault="008B5CC4" w:rsidP="00902D46">
            <w:pPr>
              <w:pStyle w:val="TableText"/>
            </w:pPr>
          </w:p>
        </w:tc>
        <w:tc>
          <w:tcPr>
            <w:tcW w:w="2432" w:type="dxa"/>
          </w:tcPr>
          <w:p w14:paraId="125FF514" w14:textId="77777777" w:rsidR="008B5CC4" w:rsidRDefault="008B5CC4" w:rsidP="00902D46">
            <w:pPr>
              <w:pStyle w:val="TableText"/>
            </w:pPr>
          </w:p>
        </w:tc>
        <w:tc>
          <w:tcPr>
            <w:tcW w:w="2091" w:type="dxa"/>
          </w:tcPr>
          <w:p w14:paraId="0649C487" w14:textId="77777777" w:rsidR="008B5CC4" w:rsidRDefault="008B5CC4" w:rsidP="00902D46">
            <w:pPr>
              <w:pStyle w:val="TableText"/>
            </w:pPr>
          </w:p>
        </w:tc>
      </w:tr>
      <w:tr w:rsidR="00887834" w14:paraId="65B081D5" w14:textId="77777777">
        <w:trPr>
          <w:trHeight w:val="432"/>
        </w:trPr>
        <w:tc>
          <w:tcPr>
            <w:tcW w:w="2376" w:type="dxa"/>
          </w:tcPr>
          <w:p w14:paraId="7DC49A8F" w14:textId="77777777" w:rsidR="008B5CC4" w:rsidRPr="00887834" w:rsidRDefault="008B5CC4" w:rsidP="00902D46">
            <w:pPr>
              <w:pStyle w:val="TableText"/>
              <w:rPr>
                <w:b/>
              </w:rPr>
            </w:pPr>
            <w:r w:rsidRPr="00887834">
              <w:rPr>
                <w:b/>
              </w:rPr>
              <w:t>Anti-C3d</w:t>
            </w:r>
          </w:p>
        </w:tc>
        <w:tc>
          <w:tcPr>
            <w:tcW w:w="2044" w:type="dxa"/>
          </w:tcPr>
          <w:p w14:paraId="7A6A5BBA" w14:textId="77777777" w:rsidR="008B5CC4" w:rsidRDefault="008B5CC4" w:rsidP="00571D70">
            <w:pPr>
              <w:pStyle w:val="TableText"/>
            </w:pPr>
          </w:p>
        </w:tc>
        <w:tc>
          <w:tcPr>
            <w:tcW w:w="2044" w:type="dxa"/>
          </w:tcPr>
          <w:p w14:paraId="5D4DF178" w14:textId="77777777" w:rsidR="008B5CC4" w:rsidRDefault="008B5CC4" w:rsidP="00902D46">
            <w:pPr>
              <w:pStyle w:val="TableText"/>
            </w:pPr>
          </w:p>
        </w:tc>
        <w:tc>
          <w:tcPr>
            <w:tcW w:w="1973" w:type="dxa"/>
          </w:tcPr>
          <w:p w14:paraId="12356F06" w14:textId="77777777" w:rsidR="008B5CC4" w:rsidRDefault="008B5CC4" w:rsidP="00902D46">
            <w:pPr>
              <w:pStyle w:val="TableText"/>
            </w:pPr>
          </w:p>
        </w:tc>
        <w:tc>
          <w:tcPr>
            <w:tcW w:w="2432" w:type="dxa"/>
          </w:tcPr>
          <w:p w14:paraId="26F0F845" w14:textId="77777777" w:rsidR="008B5CC4" w:rsidRDefault="008B5CC4" w:rsidP="00902D46">
            <w:pPr>
              <w:pStyle w:val="TableText"/>
            </w:pPr>
          </w:p>
        </w:tc>
        <w:tc>
          <w:tcPr>
            <w:tcW w:w="2091" w:type="dxa"/>
          </w:tcPr>
          <w:p w14:paraId="057146A9" w14:textId="77777777" w:rsidR="008B5CC4" w:rsidRDefault="008B5CC4" w:rsidP="00902D46">
            <w:pPr>
              <w:pStyle w:val="TableText"/>
            </w:pPr>
          </w:p>
        </w:tc>
      </w:tr>
    </w:tbl>
    <w:p w14:paraId="3F71AA4F" w14:textId="77777777" w:rsidR="00902D46" w:rsidRDefault="00902D46" w:rsidP="00902D46">
      <w:pPr>
        <w:rPr>
          <w:rFonts w:ascii="Arial" w:hAnsi="Arial" w:cs="Arial"/>
          <w:sz w:val="18"/>
          <w:szCs w:val="18"/>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8"/>
        <w:gridCol w:w="1099"/>
        <w:gridCol w:w="1099"/>
        <w:gridCol w:w="1100"/>
        <w:gridCol w:w="1100"/>
        <w:gridCol w:w="1100"/>
        <w:gridCol w:w="1100"/>
        <w:gridCol w:w="1100"/>
        <w:gridCol w:w="1410"/>
        <w:gridCol w:w="1434"/>
      </w:tblGrid>
      <w:tr w:rsidR="00C54677" w:rsidRPr="00887834" w14:paraId="304CEF09" w14:textId="77777777">
        <w:trPr>
          <w:tblHeader/>
        </w:trPr>
        <w:tc>
          <w:tcPr>
            <w:tcW w:w="12960" w:type="dxa"/>
            <w:gridSpan w:val="10"/>
            <w:shd w:val="clear" w:color="auto" w:fill="B3B3B3"/>
          </w:tcPr>
          <w:p w14:paraId="069F820D" w14:textId="77777777" w:rsidR="00C54677" w:rsidRPr="00887834" w:rsidRDefault="00C54677" w:rsidP="00FC4396">
            <w:pPr>
              <w:pStyle w:val="TableText"/>
              <w:rPr>
                <w:b/>
              </w:rPr>
            </w:pPr>
            <w:r w:rsidRPr="00887834">
              <w:rPr>
                <w:b/>
              </w:rPr>
              <w:t>Direct Antiglobulin QC</w:t>
            </w:r>
          </w:p>
        </w:tc>
      </w:tr>
      <w:tr w:rsidR="00887834" w:rsidRPr="00887834" w14:paraId="6A0C388A" w14:textId="77777777">
        <w:trPr>
          <w:tblHeader/>
        </w:trPr>
        <w:tc>
          <w:tcPr>
            <w:tcW w:w="2418" w:type="dxa"/>
            <w:shd w:val="clear" w:color="auto" w:fill="B3B3B3"/>
          </w:tcPr>
          <w:p w14:paraId="127AFC99" w14:textId="77777777" w:rsidR="007375B1" w:rsidRPr="00887834" w:rsidRDefault="007375B1" w:rsidP="00FC4396">
            <w:pPr>
              <w:pStyle w:val="TableText"/>
              <w:rPr>
                <w:b/>
              </w:rPr>
            </w:pPr>
            <w:r w:rsidRPr="00887834">
              <w:rPr>
                <w:b/>
              </w:rPr>
              <w:t>Reagent Antiserum</w:t>
            </w:r>
          </w:p>
        </w:tc>
        <w:tc>
          <w:tcPr>
            <w:tcW w:w="1099" w:type="dxa"/>
            <w:shd w:val="clear" w:color="auto" w:fill="B3B3B3"/>
          </w:tcPr>
          <w:p w14:paraId="13392245" w14:textId="77777777" w:rsidR="007375B1" w:rsidRPr="00887834" w:rsidRDefault="007375B1" w:rsidP="00FC4396">
            <w:pPr>
              <w:pStyle w:val="TableText"/>
              <w:rPr>
                <w:b/>
              </w:rPr>
            </w:pPr>
            <w:r w:rsidRPr="00887834">
              <w:rPr>
                <w:b/>
                <w:szCs w:val="20"/>
              </w:rPr>
              <w:t>Lot Number</w:t>
            </w:r>
          </w:p>
        </w:tc>
        <w:tc>
          <w:tcPr>
            <w:tcW w:w="1099" w:type="dxa"/>
            <w:shd w:val="clear" w:color="auto" w:fill="B3B3B3"/>
          </w:tcPr>
          <w:p w14:paraId="11E47CB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05927066" w14:textId="77777777" w:rsidR="007375B1" w:rsidRPr="00887834" w:rsidRDefault="007375B1" w:rsidP="00FC4396">
            <w:pPr>
              <w:pStyle w:val="TableText"/>
              <w:rPr>
                <w:b/>
                <w:szCs w:val="20"/>
              </w:rPr>
            </w:pPr>
            <w:r w:rsidRPr="00887834">
              <w:rPr>
                <w:b/>
                <w:szCs w:val="20"/>
              </w:rPr>
              <w:t>Reagent Red Cells</w:t>
            </w:r>
          </w:p>
        </w:tc>
        <w:tc>
          <w:tcPr>
            <w:tcW w:w="1100" w:type="dxa"/>
            <w:shd w:val="clear" w:color="auto" w:fill="B3B3B3"/>
          </w:tcPr>
          <w:p w14:paraId="5DEEB7B1" w14:textId="77777777" w:rsidR="007375B1" w:rsidRPr="00887834" w:rsidRDefault="007375B1" w:rsidP="00FC4396">
            <w:pPr>
              <w:pStyle w:val="TableText"/>
              <w:rPr>
                <w:b/>
                <w:szCs w:val="20"/>
              </w:rPr>
            </w:pPr>
            <w:r w:rsidRPr="00887834">
              <w:rPr>
                <w:b/>
                <w:szCs w:val="20"/>
              </w:rPr>
              <w:t>Lot Number</w:t>
            </w:r>
          </w:p>
        </w:tc>
        <w:tc>
          <w:tcPr>
            <w:tcW w:w="1100" w:type="dxa"/>
            <w:shd w:val="clear" w:color="auto" w:fill="B3B3B3"/>
          </w:tcPr>
          <w:p w14:paraId="2A09FBC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5C0E0D5D" w14:textId="77777777" w:rsidR="007375B1" w:rsidRPr="00887834" w:rsidRDefault="007375B1" w:rsidP="00FC4396">
            <w:pPr>
              <w:pStyle w:val="TableText"/>
              <w:rPr>
                <w:b/>
              </w:rPr>
            </w:pPr>
            <w:r w:rsidRPr="00887834">
              <w:rPr>
                <w:b/>
                <w:szCs w:val="20"/>
              </w:rPr>
              <w:t>AHG</w:t>
            </w:r>
          </w:p>
        </w:tc>
        <w:tc>
          <w:tcPr>
            <w:tcW w:w="1100" w:type="dxa"/>
            <w:shd w:val="clear" w:color="auto" w:fill="B3B3B3"/>
          </w:tcPr>
          <w:p w14:paraId="22238879" w14:textId="77777777" w:rsidR="007375B1" w:rsidRPr="00887834" w:rsidRDefault="007375B1" w:rsidP="00FC4396">
            <w:pPr>
              <w:pStyle w:val="TableText"/>
              <w:rPr>
                <w:b/>
              </w:rPr>
            </w:pPr>
            <w:r w:rsidRPr="00887834">
              <w:rPr>
                <w:b/>
                <w:szCs w:val="20"/>
              </w:rPr>
              <w:t>CC</w:t>
            </w:r>
          </w:p>
        </w:tc>
        <w:tc>
          <w:tcPr>
            <w:tcW w:w="1410" w:type="dxa"/>
            <w:shd w:val="clear" w:color="auto" w:fill="B3B3B3"/>
          </w:tcPr>
          <w:p w14:paraId="48373BB6" w14:textId="77777777" w:rsidR="007375B1" w:rsidRPr="00887834" w:rsidRDefault="007375B1" w:rsidP="00FC4396">
            <w:pPr>
              <w:pStyle w:val="TableText"/>
              <w:rPr>
                <w:b/>
              </w:rPr>
            </w:pPr>
            <w:r w:rsidRPr="00887834">
              <w:rPr>
                <w:b/>
                <w:szCs w:val="20"/>
              </w:rPr>
              <w:t>Interpretation</w:t>
            </w:r>
          </w:p>
        </w:tc>
        <w:tc>
          <w:tcPr>
            <w:tcW w:w="1434" w:type="dxa"/>
            <w:shd w:val="clear" w:color="auto" w:fill="B3B3B3"/>
          </w:tcPr>
          <w:p w14:paraId="09FA7FF9" w14:textId="77777777" w:rsidR="007375B1" w:rsidRPr="00887834" w:rsidRDefault="007375B1" w:rsidP="00FC4396">
            <w:pPr>
              <w:pStyle w:val="TableText"/>
              <w:rPr>
                <w:b/>
              </w:rPr>
            </w:pPr>
            <w:r w:rsidRPr="00887834">
              <w:rPr>
                <w:b/>
                <w:szCs w:val="20"/>
              </w:rPr>
              <w:t>Tech Name</w:t>
            </w:r>
          </w:p>
        </w:tc>
      </w:tr>
      <w:tr w:rsidR="00887834" w14:paraId="39F05340" w14:textId="77777777">
        <w:trPr>
          <w:trHeight w:val="432"/>
        </w:trPr>
        <w:tc>
          <w:tcPr>
            <w:tcW w:w="2418" w:type="dxa"/>
          </w:tcPr>
          <w:p w14:paraId="71E1F21A" w14:textId="77777777" w:rsidR="007375B1" w:rsidRPr="00887834" w:rsidRDefault="007375B1" w:rsidP="00DF12C8">
            <w:pPr>
              <w:pStyle w:val="TableText"/>
              <w:rPr>
                <w:b/>
              </w:rPr>
            </w:pPr>
            <w:r w:rsidRPr="00887834">
              <w:rPr>
                <w:b/>
              </w:rPr>
              <w:t>Polyspecific</w:t>
            </w:r>
          </w:p>
        </w:tc>
        <w:tc>
          <w:tcPr>
            <w:tcW w:w="1099" w:type="dxa"/>
          </w:tcPr>
          <w:p w14:paraId="0411C5D6" w14:textId="77777777" w:rsidR="007375B1" w:rsidRDefault="007375B1" w:rsidP="00DF12C8">
            <w:pPr>
              <w:pStyle w:val="TableText"/>
            </w:pPr>
          </w:p>
        </w:tc>
        <w:tc>
          <w:tcPr>
            <w:tcW w:w="1099" w:type="dxa"/>
          </w:tcPr>
          <w:p w14:paraId="38DF55EB" w14:textId="77777777" w:rsidR="007375B1" w:rsidRDefault="007375B1" w:rsidP="00DF12C8">
            <w:pPr>
              <w:pStyle w:val="TableText"/>
            </w:pPr>
          </w:p>
        </w:tc>
        <w:tc>
          <w:tcPr>
            <w:tcW w:w="1100" w:type="dxa"/>
          </w:tcPr>
          <w:p w14:paraId="6AEFF488" w14:textId="77777777" w:rsidR="007375B1" w:rsidRDefault="007375B1" w:rsidP="00DF12C8">
            <w:pPr>
              <w:pStyle w:val="TableText"/>
            </w:pPr>
          </w:p>
        </w:tc>
        <w:tc>
          <w:tcPr>
            <w:tcW w:w="1100" w:type="dxa"/>
          </w:tcPr>
          <w:p w14:paraId="1284EF48" w14:textId="77777777" w:rsidR="007375B1" w:rsidRDefault="007375B1" w:rsidP="00DF12C8">
            <w:pPr>
              <w:pStyle w:val="TableText"/>
            </w:pPr>
          </w:p>
        </w:tc>
        <w:tc>
          <w:tcPr>
            <w:tcW w:w="1100" w:type="dxa"/>
          </w:tcPr>
          <w:p w14:paraId="10DC69F6" w14:textId="77777777" w:rsidR="007375B1" w:rsidRDefault="007375B1" w:rsidP="00DF12C8">
            <w:pPr>
              <w:pStyle w:val="TableText"/>
            </w:pPr>
          </w:p>
        </w:tc>
        <w:tc>
          <w:tcPr>
            <w:tcW w:w="1100" w:type="dxa"/>
          </w:tcPr>
          <w:p w14:paraId="72D9BCCF" w14:textId="77777777" w:rsidR="007375B1" w:rsidRDefault="007375B1" w:rsidP="00DF12C8">
            <w:pPr>
              <w:pStyle w:val="TableText"/>
            </w:pPr>
          </w:p>
        </w:tc>
        <w:tc>
          <w:tcPr>
            <w:tcW w:w="1100" w:type="dxa"/>
          </w:tcPr>
          <w:p w14:paraId="262D451D" w14:textId="77777777" w:rsidR="007375B1" w:rsidRDefault="007375B1" w:rsidP="00DF12C8">
            <w:pPr>
              <w:pStyle w:val="TableText"/>
            </w:pPr>
          </w:p>
        </w:tc>
        <w:tc>
          <w:tcPr>
            <w:tcW w:w="1410" w:type="dxa"/>
          </w:tcPr>
          <w:p w14:paraId="31C14360" w14:textId="77777777" w:rsidR="007375B1" w:rsidRDefault="007375B1" w:rsidP="00DF12C8">
            <w:pPr>
              <w:pStyle w:val="TableText"/>
            </w:pPr>
          </w:p>
        </w:tc>
        <w:tc>
          <w:tcPr>
            <w:tcW w:w="1434" w:type="dxa"/>
          </w:tcPr>
          <w:p w14:paraId="5E428B8C" w14:textId="77777777" w:rsidR="007375B1" w:rsidRDefault="007375B1" w:rsidP="00DF12C8">
            <w:pPr>
              <w:pStyle w:val="TableText"/>
            </w:pPr>
          </w:p>
        </w:tc>
      </w:tr>
      <w:tr w:rsidR="00887834" w14:paraId="07769D52" w14:textId="77777777">
        <w:trPr>
          <w:trHeight w:val="432"/>
        </w:trPr>
        <w:tc>
          <w:tcPr>
            <w:tcW w:w="2418" w:type="dxa"/>
          </w:tcPr>
          <w:p w14:paraId="53B68C79" w14:textId="77777777" w:rsidR="007375B1" w:rsidRPr="00887834" w:rsidRDefault="007375B1" w:rsidP="00DF12C8">
            <w:pPr>
              <w:pStyle w:val="TableText"/>
              <w:rPr>
                <w:b/>
              </w:rPr>
            </w:pPr>
            <w:r w:rsidRPr="00887834">
              <w:rPr>
                <w:b/>
              </w:rPr>
              <w:t>Anti-IgG</w:t>
            </w:r>
          </w:p>
        </w:tc>
        <w:tc>
          <w:tcPr>
            <w:tcW w:w="1099" w:type="dxa"/>
          </w:tcPr>
          <w:p w14:paraId="1D37F013" w14:textId="77777777" w:rsidR="007375B1" w:rsidRDefault="007375B1" w:rsidP="00DF12C8">
            <w:pPr>
              <w:pStyle w:val="TableText"/>
            </w:pPr>
          </w:p>
        </w:tc>
        <w:tc>
          <w:tcPr>
            <w:tcW w:w="1099" w:type="dxa"/>
          </w:tcPr>
          <w:p w14:paraId="0601D4E2" w14:textId="77777777" w:rsidR="007375B1" w:rsidRDefault="007375B1" w:rsidP="00DF12C8">
            <w:pPr>
              <w:pStyle w:val="TableText"/>
            </w:pPr>
          </w:p>
        </w:tc>
        <w:tc>
          <w:tcPr>
            <w:tcW w:w="1100" w:type="dxa"/>
          </w:tcPr>
          <w:p w14:paraId="0F509CA0" w14:textId="77777777" w:rsidR="007375B1" w:rsidRDefault="007375B1" w:rsidP="00DF12C8">
            <w:pPr>
              <w:pStyle w:val="TableText"/>
            </w:pPr>
          </w:p>
        </w:tc>
        <w:tc>
          <w:tcPr>
            <w:tcW w:w="1100" w:type="dxa"/>
          </w:tcPr>
          <w:p w14:paraId="22955448" w14:textId="77777777" w:rsidR="007375B1" w:rsidRDefault="007375B1" w:rsidP="00DF12C8">
            <w:pPr>
              <w:pStyle w:val="TableText"/>
            </w:pPr>
          </w:p>
        </w:tc>
        <w:tc>
          <w:tcPr>
            <w:tcW w:w="1100" w:type="dxa"/>
          </w:tcPr>
          <w:p w14:paraId="55CF23CC" w14:textId="77777777" w:rsidR="007375B1" w:rsidRDefault="007375B1" w:rsidP="00DF12C8">
            <w:pPr>
              <w:pStyle w:val="TableText"/>
            </w:pPr>
          </w:p>
        </w:tc>
        <w:tc>
          <w:tcPr>
            <w:tcW w:w="1100" w:type="dxa"/>
          </w:tcPr>
          <w:p w14:paraId="069D3A8E" w14:textId="77777777" w:rsidR="007375B1" w:rsidRDefault="007375B1" w:rsidP="00DF12C8">
            <w:pPr>
              <w:pStyle w:val="TableText"/>
            </w:pPr>
          </w:p>
        </w:tc>
        <w:tc>
          <w:tcPr>
            <w:tcW w:w="1100" w:type="dxa"/>
          </w:tcPr>
          <w:p w14:paraId="58DC0D36" w14:textId="77777777" w:rsidR="007375B1" w:rsidRDefault="007375B1" w:rsidP="00DF12C8">
            <w:pPr>
              <w:pStyle w:val="TableText"/>
            </w:pPr>
          </w:p>
        </w:tc>
        <w:tc>
          <w:tcPr>
            <w:tcW w:w="1410" w:type="dxa"/>
          </w:tcPr>
          <w:p w14:paraId="0CF3B03B" w14:textId="77777777" w:rsidR="007375B1" w:rsidRDefault="007375B1" w:rsidP="00DF12C8">
            <w:pPr>
              <w:pStyle w:val="TableText"/>
            </w:pPr>
          </w:p>
        </w:tc>
        <w:tc>
          <w:tcPr>
            <w:tcW w:w="1434" w:type="dxa"/>
          </w:tcPr>
          <w:p w14:paraId="7BBC7237" w14:textId="77777777" w:rsidR="007375B1" w:rsidRDefault="007375B1" w:rsidP="00DF12C8">
            <w:pPr>
              <w:pStyle w:val="TableText"/>
            </w:pPr>
          </w:p>
        </w:tc>
      </w:tr>
      <w:tr w:rsidR="00887834" w14:paraId="7E125E34" w14:textId="77777777">
        <w:trPr>
          <w:trHeight w:val="432"/>
        </w:trPr>
        <w:tc>
          <w:tcPr>
            <w:tcW w:w="2418" w:type="dxa"/>
          </w:tcPr>
          <w:p w14:paraId="6C7E17A5" w14:textId="77777777" w:rsidR="007375B1" w:rsidRPr="00887834" w:rsidRDefault="007375B1" w:rsidP="00DF12C8">
            <w:pPr>
              <w:pStyle w:val="TableText"/>
              <w:rPr>
                <w:b/>
              </w:rPr>
            </w:pPr>
            <w:r w:rsidRPr="00887834">
              <w:rPr>
                <w:b/>
              </w:rPr>
              <w:t>Anti-C3d</w:t>
            </w:r>
          </w:p>
        </w:tc>
        <w:tc>
          <w:tcPr>
            <w:tcW w:w="1099" w:type="dxa"/>
          </w:tcPr>
          <w:p w14:paraId="3C5E125F" w14:textId="77777777" w:rsidR="007375B1" w:rsidRDefault="007375B1" w:rsidP="00DF12C8">
            <w:pPr>
              <w:pStyle w:val="TableText"/>
            </w:pPr>
          </w:p>
        </w:tc>
        <w:tc>
          <w:tcPr>
            <w:tcW w:w="1099" w:type="dxa"/>
          </w:tcPr>
          <w:p w14:paraId="7FF3A30B" w14:textId="77777777" w:rsidR="007375B1" w:rsidRDefault="007375B1" w:rsidP="00DF12C8">
            <w:pPr>
              <w:pStyle w:val="TableText"/>
            </w:pPr>
          </w:p>
        </w:tc>
        <w:tc>
          <w:tcPr>
            <w:tcW w:w="1100" w:type="dxa"/>
          </w:tcPr>
          <w:p w14:paraId="40C2E9B6" w14:textId="77777777" w:rsidR="007375B1" w:rsidRDefault="007375B1" w:rsidP="00DF12C8">
            <w:pPr>
              <w:pStyle w:val="TableText"/>
            </w:pPr>
          </w:p>
        </w:tc>
        <w:tc>
          <w:tcPr>
            <w:tcW w:w="1100" w:type="dxa"/>
          </w:tcPr>
          <w:p w14:paraId="108CC9C1" w14:textId="77777777" w:rsidR="007375B1" w:rsidRDefault="007375B1" w:rsidP="00DF12C8">
            <w:pPr>
              <w:pStyle w:val="TableText"/>
            </w:pPr>
          </w:p>
        </w:tc>
        <w:tc>
          <w:tcPr>
            <w:tcW w:w="1100" w:type="dxa"/>
          </w:tcPr>
          <w:p w14:paraId="0424B467" w14:textId="77777777" w:rsidR="007375B1" w:rsidRDefault="007375B1" w:rsidP="00DF12C8">
            <w:pPr>
              <w:pStyle w:val="TableText"/>
            </w:pPr>
          </w:p>
        </w:tc>
        <w:tc>
          <w:tcPr>
            <w:tcW w:w="1100" w:type="dxa"/>
          </w:tcPr>
          <w:p w14:paraId="0F298B3E" w14:textId="77777777" w:rsidR="007375B1" w:rsidRDefault="007375B1" w:rsidP="00DF12C8">
            <w:pPr>
              <w:pStyle w:val="TableText"/>
            </w:pPr>
          </w:p>
        </w:tc>
        <w:tc>
          <w:tcPr>
            <w:tcW w:w="1100" w:type="dxa"/>
          </w:tcPr>
          <w:p w14:paraId="47CF895D" w14:textId="77777777" w:rsidR="007375B1" w:rsidRDefault="007375B1" w:rsidP="00DF12C8">
            <w:pPr>
              <w:pStyle w:val="TableText"/>
            </w:pPr>
          </w:p>
        </w:tc>
        <w:tc>
          <w:tcPr>
            <w:tcW w:w="1410" w:type="dxa"/>
          </w:tcPr>
          <w:p w14:paraId="7FD58554" w14:textId="77777777" w:rsidR="007375B1" w:rsidRDefault="007375B1" w:rsidP="00DF12C8">
            <w:pPr>
              <w:pStyle w:val="TableText"/>
            </w:pPr>
          </w:p>
        </w:tc>
        <w:tc>
          <w:tcPr>
            <w:tcW w:w="1434" w:type="dxa"/>
          </w:tcPr>
          <w:p w14:paraId="3D68F1D5" w14:textId="77777777" w:rsidR="007375B1" w:rsidRDefault="007375B1" w:rsidP="00DF12C8">
            <w:pPr>
              <w:pStyle w:val="TableText"/>
            </w:pPr>
          </w:p>
        </w:tc>
      </w:tr>
    </w:tbl>
    <w:p w14:paraId="21B4EB53" w14:textId="77777777" w:rsidR="00C54677" w:rsidRDefault="00C54677" w:rsidP="00C54677">
      <w:pPr>
        <w:pStyle w:val="BodyText"/>
      </w:pPr>
      <w:r>
        <w:t>Test Results: Positive, Graded = M, F, W, 1+, 2+, 3+, 4+; Negative = 0; NT = Not Tested</w:t>
      </w:r>
    </w:p>
    <w:p w14:paraId="34B4A180" w14:textId="77777777" w:rsidR="0050722E" w:rsidRDefault="0050722E" w:rsidP="00C54677">
      <w:pPr>
        <w:pStyle w:val="BodyText"/>
      </w:pPr>
    </w:p>
    <w:p w14:paraId="10A476E2" w14:textId="77777777" w:rsidR="00E7240A" w:rsidRDefault="00E7240A" w:rsidP="0050722E">
      <w:pPr>
        <w:pStyle w:val="Heading3"/>
      </w:pPr>
      <w:r>
        <w:br w:type="page"/>
      </w:r>
      <w:bookmarkStart w:id="572" w:name="_Toc163644995"/>
      <w:r>
        <w:lastRenderedPageBreak/>
        <w:t>Unit ABO/Rh Confirmation Form</w:t>
      </w:r>
      <w:bookmarkEnd w:id="572"/>
      <w:r w:rsidR="00246F04">
        <w:fldChar w:fldCharType="begin"/>
      </w:r>
      <w:r w:rsidR="00246F04">
        <w:instrText xml:space="preserve"> XE "</w:instrText>
      </w:r>
      <w:r w:rsidR="00246F04" w:rsidRPr="005960AD">
        <w:instrText>Unit ABO/Rh Confirmation Form</w:instrText>
      </w:r>
      <w:r w:rsidR="00246F04">
        <w:instrText xml:space="preserve">" </w:instrText>
      </w:r>
      <w:r w:rsidR="00246F04">
        <w:fldChar w:fldCharType="end"/>
      </w:r>
      <w:r w:rsidR="00A95965">
        <w:fldChar w:fldCharType="begin"/>
      </w:r>
      <w:r w:rsidR="00A95965">
        <w:instrText xml:space="preserve"> XE “Forms:Unit ABO/Rh Confirmation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3161"/>
        <w:gridCol w:w="1588"/>
        <w:gridCol w:w="1584"/>
        <w:gridCol w:w="3157"/>
      </w:tblGrid>
      <w:tr w:rsidR="003F4F8B" w14:paraId="6945A448" w14:textId="77777777">
        <w:tc>
          <w:tcPr>
            <w:tcW w:w="12960" w:type="dxa"/>
            <w:gridSpan w:val="5"/>
          </w:tcPr>
          <w:p w14:paraId="1071653E" w14:textId="77777777" w:rsidR="003F4F8B" w:rsidRPr="003F4F8B" w:rsidRDefault="003F4F8B" w:rsidP="003F4F8B">
            <w:pPr>
              <w:pStyle w:val="TableText"/>
            </w:pPr>
            <w:r w:rsidRPr="00887834">
              <w:rPr>
                <w:b/>
              </w:rPr>
              <w:t xml:space="preserve">Facility Name: </w:t>
            </w:r>
          </w:p>
        </w:tc>
      </w:tr>
      <w:tr w:rsidR="003F4F8B" w14:paraId="6768CD82" w14:textId="77777777">
        <w:tc>
          <w:tcPr>
            <w:tcW w:w="12960" w:type="dxa"/>
            <w:gridSpan w:val="5"/>
          </w:tcPr>
          <w:p w14:paraId="2FBC572B" w14:textId="77777777" w:rsidR="003F4F8B" w:rsidRPr="003F4F8B" w:rsidRDefault="003F4F8B" w:rsidP="003F4F8B">
            <w:pPr>
              <w:pStyle w:val="TableText"/>
            </w:pPr>
            <w:r w:rsidRPr="00887834">
              <w:rPr>
                <w:b/>
              </w:rPr>
              <w:t xml:space="preserve">Address: </w:t>
            </w:r>
          </w:p>
        </w:tc>
      </w:tr>
      <w:tr w:rsidR="003F4F8B" w14:paraId="47C8DFEE" w14:textId="77777777">
        <w:tc>
          <w:tcPr>
            <w:tcW w:w="12960" w:type="dxa"/>
            <w:gridSpan w:val="5"/>
          </w:tcPr>
          <w:p w14:paraId="3AA0D99B" w14:textId="77777777" w:rsidR="003F4F8B" w:rsidRPr="003F4F8B" w:rsidRDefault="003F4F8B" w:rsidP="003F4F8B">
            <w:pPr>
              <w:pStyle w:val="TableText"/>
            </w:pPr>
            <w:r w:rsidRPr="00887834">
              <w:rPr>
                <w:b/>
              </w:rPr>
              <w:t>City, State, Zip Code:</w:t>
            </w:r>
            <w:r>
              <w:t xml:space="preserve"> </w:t>
            </w:r>
          </w:p>
        </w:tc>
      </w:tr>
      <w:tr w:rsidR="00E7240A" w14:paraId="6675C4F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3470" w:type="dxa"/>
            <w:tcBorders>
              <w:bottom w:val="single" w:sz="2" w:space="0" w:color="auto"/>
            </w:tcBorders>
            <w:shd w:val="clear" w:color="auto" w:fill="B3B3B3"/>
            <w:noWrap/>
          </w:tcPr>
          <w:p w14:paraId="00439863" w14:textId="77777777" w:rsidR="00E7240A" w:rsidRPr="00E8564A" w:rsidRDefault="00E7240A" w:rsidP="00A95965">
            <w:pPr>
              <w:pStyle w:val="TableText"/>
              <w:rPr>
                <w:b/>
                <w:szCs w:val="20"/>
              </w:rPr>
            </w:pPr>
            <w:r w:rsidRPr="00E8564A">
              <w:rPr>
                <w:b/>
                <w:szCs w:val="20"/>
              </w:rPr>
              <w:t>Invoice Number</w:t>
            </w:r>
          </w:p>
        </w:tc>
        <w:tc>
          <w:tcPr>
            <w:tcW w:w="3161" w:type="dxa"/>
            <w:tcBorders>
              <w:bottom w:val="single" w:sz="2" w:space="0" w:color="auto"/>
            </w:tcBorders>
            <w:shd w:val="clear" w:color="auto" w:fill="B3B3B3"/>
          </w:tcPr>
          <w:p w14:paraId="3C39C929" w14:textId="77777777" w:rsidR="00E7240A" w:rsidRPr="00E8564A" w:rsidRDefault="00E7240A" w:rsidP="00A95965">
            <w:pPr>
              <w:pStyle w:val="TableText"/>
              <w:rPr>
                <w:b/>
                <w:szCs w:val="20"/>
              </w:rPr>
            </w:pPr>
            <w:r w:rsidRPr="00E8564A">
              <w:rPr>
                <w:b/>
                <w:szCs w:val="20"/>
              </w:rPr>
              <w:t>Source (Shipper) Name</w:t>
            </w:r>
          </w:p>
        </w:tc>
        <w:tc>
          <w:tcPr>
            <w:tcW w:w="1588" w:type="dxa"/>
            <w:tcBorders>
              <w:bottom w:val="single" w:sz="2" w:space="0" w:color="auto"/>
            </w:tcBorders>
            <w:shd w:val="clear" w:color="auto" w:fill="B3B3B3"/>
          </w:tcPr>
          <w:p w14:paraId="0FE6F068" w14:textId="77777777" w:rsidR="00E7240A" w:rsidRPr="00E8564A" w:rsidRDefault="00E7240A" w:rsidP="00A95965">
            <w:pPr>
              <w:pStyle w:val="TableText"/>
              <w:rPr>
                <w:b/>
                <w:szCs w:val="20"/>
              </w:rPr>
            </w:pPr>
            <w:r w:rsidRPr="00E8564A">
              <w:rPr>
                <w:b/>
                <w:szCs w:val="20"/>
              </w:rPr>
              <w:t>Reagent Rack</w:t>
            </w:r>
          </w:p>
        </w:tc>
        <w:tc>
          <w:tcPr>
            <w:tcW w:w="1584" w:type="dxa"/>
            <w:tcBorders>
              <w:bottom w:val="single" w:sz="2" w:space="0" w:color="auto"/>
            </w:tcBorders>
            <w:shd w:val="clear" w:color="auto" w:fill="B3B3B3"/>
          </w:tcPr>
          <w:p w14:paraId="29A184B9" w14:textId="77777777" w:rsidR="00E7240A" w:rsidRPr="00E8564A" w:rsidRDefault="00E7240A" w:rsidP="00A95965">
            <w:pPr>
              <w:pStyle w:val="TableText"/>
              <w:rPr>
                <w:b/>
                <w:szCs w:val="20"/>
              </w:rPr>
            </w:pPr>
            <w:r w:rsidRPr="00E8564A">
              <w:rPr>
                <w:b/>
                <w:szCs w:val="20"/>
              </w:rPr>
              <w:t>Date</w:t>
            </w:r>
            <w:r>
              <w:rPr>
                <w:b/>
                <w:szCs w:val="20"/>
              </w:rPr>
              <w:t xml:space="preserve"> and Time</w:t>
            </w:r>
          </w:p>
        </w:tc>
        <w:tc>
          <w:tcPr>
            <w:tcW w:w="3157" w:type="dxa"/>
            <w:tcBorders>
              <w:bottom w:val="single" w:sz="2" w:space="0" w:color="auto"/>
            </w:tcBorders>
            <w:shd w:val="clear" w:color="auto" w:fill="B3B3B3"/>
          </w:tcPr>
          <w:p w14:paraId="346D76DD" w14:textId="77777777" w:rsidR="00E7240A" w:rsidRPr="00E8564A" w:rsidRDefault="00E7240A" w:rsidP="00A95965">
            <w:pPr>
              <w:pStyle w:val="TableText"/>
              <w:rPr>
                <w:b/>
                <w:szCs w:val="20"/>
              </w:rPr>
            </w:pPr>
            <w:r w:rsidRPr="00E8564A">
              <w:rPr>
                <w:b/>
                <w:szCs w:val="20"/>
              </w:rPr>
              <w:t>Tech Name</w:t>
            </w:r>
          </w:p>
        </w:tc>
      </w:tr>
      <w:tr w:rsidR="00E7240A" w14:paraId="1064CDB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3470" w:type="dxa"/>
            <w:shd w:val="clear" w:color="auto" w:fill="auto"/>
            <w:noWrap/>
          </w:tcPr>
          <w:p w14:paraId="4F1218E9" w14:textId="77777777" w:rsidR="00E7240A" w:rsidRPr="00E8564A" w:rsidRDefault="00E7240A" w:rsidP="00A95965">
            <w:pPr>
              <w:pStyle w:val="TableText"/>
              <w:rPr>
                <w:b/>
                <w:szCs w:val="20"/>
              </w:rPr>
            </w:pPr>
          </w:p>
        </w:tc>
        <w:tc>
          <w:tcPr>
            <w:tcW w:w="3161" w:type="dxa"/>
            <w:shd w:val="clear" w:color="auto" w:fill="auto"/>
          </w:tcPr>
          <w:p w14:paraId="0452930A" w14:textId="77777777" w:rsidR="00E7240A" w:rsidRPr="00E8564A" w:rsidRDefault="00E7240A" w:rsidP="00A95965">
            <w:pPr>
              <w:pStyle w:val="TableText"/>
              <w:rPr>
                <w:b/>
                <w:szCs w:val="20"/>
              </w:rPr>
            </w:pPr>
          </w:p>
        </w:tc>
        <w:tc>
          <w:tcPr>
            <w:tcW w:w="1588" w:type="dxa"/>
            <w:shd w:val="clear" w:color="auto" w:fill="auto"/>
          </w:tcPr>
          <w:p w14:paraId="6EDFABCA" w14:textId="77777777" w:rsidR="00E7240A" w:rsidRPr="00E8564A" w:rsidRDefault="00E7240A" w:rsidP="00A95965">
            <w:pPr>
              <w:pStyle w:val="TableText"/>
              <w:rPr>
                <w:b/>
                <w:szCs w:val="20"/>
              </w:rPr>
            </w:pPr>
          </w:p>
        </w:tc>
        <w:tc>
          <w:tcPr>
            <w:tcW w:w="1584" w:type="dxa"/>
            <w:shd w:val="clear" w:color="auto" w:fill="auto"/>
          </w:tcPr>
          <w:p w14:paraId="15CE5753" w14:textId="77777777" w:rsidR="00E7240A" w:rsidRPr="00E8564A" w:rsidRDefault="00E7240A" w:rsidP="00A95965">
            <w:pPr>
              <w:pStyle w:val="TableText"/>
              <w:rPr>
                <w:b/>
                <w:szCs w:val="20"/>
              </w:rPr>
            </w:pPr>
          </w:p>
        </w:tc>
        <w:tc>
          <w:tcPr>
            <w:tcW w:w="3157" w:type="dxa"/>
            <w:shd w:val="clear" w:color="auto" w:fill="auto"/>
          </w:tcPr>
          <w:p w14:paraId="27F8D735" w14:textId="77777777" w:rsidR="00E7240A" w:rsidRPr="00E8564A" w:rsidRDefault="00E7240A" w:rsidP="00A95965">
            <w:pPr>
              <w:pStyle w:val="TableText"/>
              <w:rPr>
                <w:b/>
                <w:szCs w:val="20"/>
              </w:rPr>
            </w:pPr>
          </w:p>
        </w:tc>
      </w:tr>
    </w:tbl>
    <w:p w14:paraId="0635C26D"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973"/>
        <w:gridCol w:w="1127"/>
        <w:gridCol w:w="1132"/>
        <w:gridCol w:w="971"/>
        <w:gridCol w:w="971"/>
        <w:gridCol w:w="971"/>
        <w:gridCol w:w="971"/>
        <w:gridCol w:w="1103"/>
        <w:gridCol w:w="1741"/>
      </w:tblGrid>
      <w:tr w:rsidR="006304EB" w14:paraId="10B5B47E" w14:textId="77777777">
        <w:trPr>
          <w:cantSplit/>
          <w:trHeight w:val="230"/>
          <w:tblHeader/>
        </w:trPr>
        <w:tc>
          <w:tcPr>
            <w:tcW w:w="3973" w:type="dxa"/>
            <w:shd w:val="clear" w:color="auto" w:fill="B3B3B3"/>
            <w:noWrap/>
          </w:tcPr>
          <w:p w14:paraId="57707F40" w14:textId="77777777" w:rsidR="006304EB" w:rsidRPr="005F4649" w:rsidRDefault="006304EB" w:rsidP="00A95965">
            <w:pPr>
              <w:pStyle w:val="TableText"/>
              <w:rPr>
                <w:b/>
                <w:szCs w:val="20"/>
              </w:rPr>
            </w:pPr>
            <w:r w:rsidRPr="005F4649">
              <w:rPr>
                <w:b/>
                <w:szCs w:val="20"/>
              </w:rPr>
              <w:t>Unit Identification Number</w:t>
            </w:r>
          </w:p>
        </w:tc>
        <w:tc>
          <w:tcPr>
            <w:tcW w:w="1127" w:type="dxa"/>
            <w:shd w:val="clear" w:color="auto" w:fill="B3B3B3"/>
          </w:tcPr>
          <w:p w14:paraId="11CEA82C" w14:textId="77777777" w:rsidR="006304EB" w:rsidRPr="005F4649" w:rsidRDefault="006304EB" w:rsidP="006304EB">
            <w:pPr>
              <w:pStyle w:val="TableText"/>
              <w:rPr>
                <w:b/>
                <w:szCs w:val="20"/>
              </w:rPr>
            </w:pPr>
            <w:r>
              <w:rPr>
                <w:b/>
                <w:szCs w:val="20"/>
              </w:rPr>
              <w:t xml:space="preserve">Product Code </w:t>
            </w:r>
          </w:p>
        </w:tc>
        <w:tc>
          <w:tcPr>
            <w:tcW w:w="1132" w:type="dxa"/>
            <w:shd w:val="clear" w:color="auto" w:fill="B3B3B3"/>
          </w:tcPr>
          <w:p w14:paraId="4016655E" w14:textId="77777777" w:rsidR="006304EB" w:rsidRPr="005F4649" w:rsidRDefault="006304EB" w:rsidP="00A95965">
            <w:pPr>
              <w:pStyle w:val="TableText"/>
              <w:rPr>
                <w:b/>
                <w:szCs w:val="20"/>
              </w:rPr>
            </w:pPr>
            <w:r w:rsidRPr="005F4649">
              <w:rPr>
                <w:b/>
                <w:szCs w:val="20"/>
              </w:rPr>
              <w:t>Unit ABO/Rh</w:t>
            </w:r>
          </w:p>
        </w:tc>
        <w:tc>
          <w:tcPr>
            <w:tcW w:w="971" w:type="dxa"/>
            <w:shd w:val="clear" w:color="auto" w:fill="B3B3B3"/>
          </w:tcPr>
          <w:p w14:paraId="363BA8A2" w14:textId="77777777" w:rsidR="006304EB" w:rsidRPr="005F4649" w:rsidRDefault="006304EB" w:rsidP="00A95965">
            <w:pPr>
              <w:pStyle w:val="TableText"/>
              <w:rPr>
                <w:b/>
                <w:szCs w:val="20"/>
              </w:rPr>
            </w:pPr>
            <w:r w:rsidRPr="005F4649">
              <w:rPr>
                <w:b/>
                <w:szCs w:val="20"/>
              </w:rPr>
              <w:t>Anti-A</w:t>
            </w:r>
          </w:p>
        </w:tc>
        <w:tc>
          <w:tcPr>
            <w:tcW w:w="971" w:type="dxa"/>
            <w:shd w:val="clear" w:color="auto" w:fill="B3B3B3"/>
          </w:tcPr>
          <w:p w14:paraId="29C10E64" w14:textId="77777777" w:rsidR="006304EB" w:rsidRPr="005F4649" w:rsidRDefault="006304EB" w:rsidP="00A95965">
            <w:pPr>
              <w:pStyle w:val="TableText"/>
              <w:rPr>
                <w:b/>
                <w:szCs w:val="20"/>
              </w:rPr>
            </w:pPr>
            <w:r w:rsidRPr="005F4649">
              <w:rPr>
                <w:b/>
                <w:szCs w:val="20"/>
              </w:rPr>
              <w:t>Anti-B</w:t>
            </w:r>
          </w:p>
        </w:tc>
        <w:tc>
          <w:tcPr>
            <w:tcW w:w="971" w:type="dxa"/>
            <w:shd w:val="clear" w:color="auto" w:fill="B3B3B3"/>
          </w:tcPr>
          <w:p w14:paraId="6E51ED5D" w14:textId="77777777" w:rsidR="006304EB" w:rsidRPr="005F4649" w:rsidRDefault="006304EB" w:rsidP="00A95965">
            <w:pPr>
              <w:pStyle w:val="TableText"/>
              <w:rPr>
                <w:b/>
                <w:szCs w:val="20"/>
              </w:rPr>
            </w:pPr>
            <w:r w:rsidRPr="005F4649">
              <w:rPr>
                <w:b/>
                <w:szCs w:val="20"/>
              </w:rPr>
              <w:t>Anti-A,B</w:t>
            </w:r>
          </w:p>
        </w:tc>
        <w:tc>
          <w:tcPr>
            <w:tcW w:w="971" w:type="dxa"/>
            <w:shd w:val="clear" w:color="auto" w:fill="B3B3B3"/>
          </w:tcPr>
          <w:p w14:paraId="580BFD39" w14:textId="77777777" w:rsidR="006304EB" w:rsidRPr="005F4649" w:rsidRDefault="006304EB" w:rsidP="00A95965">
            <w:pPr>
              <w:pStyle w:val="TableText"/>
              <w:rPr>
                <w:b/>
                <w:szCs w:val="20"/>
              </w:rPr>
            </w:pPr>
            <w:r w:rsidRPr="005F4649">
              <w:rPr>
                <w:b/>
                <w:szCs w:val="20"/>
              </w:rPr>
              <w:t>Anti-D</w:t>
            </w:r>
          </w:p>
        </w:tc>
        <w:tc>
          <w:tcPr>
            <w:tcW w:w="1103" w:type="dxa"/>
            <w:shd w:val="clear" w:color="auto" w:fill="B3B3B3"/>
          </w:tcPr>
          <w:p w14:paraId="5EFE5809" w14:textId="77777777" w:rsidR="006304EB" w:rsidRPr="005F4649" w:rsidRDefault="006304EB" w:rsidP="00A95965">
            <w:pPr>
              <w:pStyle w:val="TableText"/>
              <w:rPr>
                <w:b/>
                <w:szCs w:val="20"/>
              </w:rPr>
            </w:pPr>
            <w:r>
              <w:rPr>
                <w:b/>
                <w:szCs w:val="20"/>
              </w:rPr>
              <w:t>Rh C</w:t>
            </w:r>
            <w:r w:rsidRPr="005F4649">
              <w:rPr>
                <w:b/>
                <w:szCs w:val="20"/>
              </w:rPr>
              <w:t>ontrol</w:t>
            </w:r>
          </w:p>
        </w:tc>
        <w:tc>
          <w:tcPr>
            <w:tcW w:w="1741" w:type="dxa"/>
            <w:shd w:val="clear" w:color="auto" w:fill="B3B3B3"/>
          </w:tcPr>
          <w:p w14:paraId="5E84336D" w14:textId="77777777" w:rsidR="006304EB" w:rsidRPr="005F4649" w:rsidRDefault="006304EB" w:rsidP="00A95965">
            <w:pPr>
              <w:pStyle w:val="TableText"/>
              <w:rPr>
                <w:b/>
                <w:szCs w:val="20"/>
              </w:rPr>
            </w:pPr>
            <w:r w:rsidRPr="005F4649">
              <w:rPr>
                <w:b/>
                <w:szCs w:val="20"/>
              </w:rPr>
              <w:t>ABO/Rh Interpretation</w:t>
            </w:r>
          </w:p>
        </w:tc>
      </w:tr>
      <w:tr w:rsidR="006304EB" w14:paraId="772D3865" w14:textId="77777777">
        <w:trPr>
          <w:cantSplit/>
          <w:trHeight w:val="432"/>
        </w:trPr>
        <w:tc>
          <w:tcPr>
            <w:tcW w:w="3973" w:type="dxa"/>
            <w:noWrap/>
          </w:tcPr>
          <w:p w14:paraId="25D9FBB9" w14:textId="77777777" w:rsidR="006304EB" w:rsidRPr="005F4649" w:rsidRDefault="006304EB" w:rsidP="00A95965">
            <w:pPr>
              <w:pStyle w:val="TableText"/>
              <w:rPr>
                <w:b/>
                <w:szCs w:val="20"/>
              </w:rPr>
            </w:pPr>
          </w:p>
        </w:tc>
        <w:tc>
          <w:tcPr>
            <w:tcW w:w="1127" w:type="dxa"/>
          </w:tcPr>
          <w:p w14:paraId="369AB9A8" w14:textId="77777777" w:rsidR="006304EB" w:rsidRPr="005F4649" w:rsidRDefault="006304EB" w:rsidP="006304EB">
            <w:pPr>
              <w:pStyle w:val="TableText"/>
              <w:rPr>
                <w:b/>
                <w:szCs w:val="20"/>
              </w:rPr>
            </w:pPr>
          </w:p>
        </w:tc>
        <w:tc>
          <w:tcPr>
            <w:tcW w:w="1132" w:type="dxa"/>
          </w:tcPr>
          <w:p w14:paraId="68D12683" w14:textId="77777777" w:rsidR="006304EB" w:rsidRPr="005F4649" w:rsidRDefault="006304EB" w:rsidP="00A95965">
            <w:pPr>
              <w:pStyle w:val="TableText"/>
              <w:rPr>
                <w:b/>
                <w:szCs w:val="20"/>
              </w:rPr>
            </w:pPr>
          </w:p>
        </w:tc>
        <w:tc>
          <w:tcPr>
            <w:tcW w:w="971" w:type="dxa"/>
          </w:tcPr>
          <w:p w14:paraId="3ABF708B" w14:textId="77777777" w:rsidR="006304EB" w:rsidRPr="005F4649" w:rsidRDefault="006304EB" w:rsidP="00A95965">
            <w:pPr>
              <w:pStyle w:val="TableText"/>
              <w:rPr>
                <w:b/>
                <w:szCs w:val="20"/>
              </w:rPr>
            </w:pPr>
          </w:p>
        </w:tc>
        <w:tc>
          <w:tcPr>
            <w:tcW w:w="971" w:type="dxa"/>
          </w:tcPr>
          <w:p w14:paraId="5D4D4F20" w14:textId="77777777" w:rsidR="006304EB" w:rsidRPr="005F4649" w:rsidRDefault="006304EB" w:rsidP="00A95965">
            <w:pPr>
              <w:pStyle w:val="TableText"/>
              <w:rPr>
                <w:b/>
                <w:szCs w:val="20"/>
              </w:rPr>
            </w:pPr>
          </w:p>
        </w:tc>
        <w:tc>
          <w:tcPr>
            <w:tcW w:w="971" w:type="dxa"/>
          </w:tcPr>
          <w:p w14:paraId="79E1552A" w14:textId="77777777" w:rsidR="006304EB" w:rsidRPr="005F4649" w:rsidRDefault="006304EB" w:rsidP="00A95965">
            <w:pPr>
              <w:pStyle w:val="TableText"/>
              <w:rPr>
                <w:b/>
                <w:szCs w:val="20"/>
              </w:rPr>
            </w:pPr>
          </w:p>
        </w:tc>
        <w:tc>
          <w:tcPr>
            <w:tcW w:w="971" w:type="dxa"/>
          </w:tcPr>
          <w:p w14:paraId="548D2497" w14:textId="77777777" w:rsidR="006304EB" w:rsidRPr="005F4649" w:rsidRDefault="006304EB" w:rsidP="00A95965">
            <w:pPr>
              <w:pStyle w:val="TableText"/>
              <w:rPr>
                <w:b/>
                <w:szCs w:val="20"/>
              </w:rPr>
            </w:pPr>
          </w:p>
        </w:tc>
        <w:tc>
          <w:tcPr>
            <w:tcW w:w="1103" w:type="dxa"/>
          </w:tcPr>
          <w:p w14:paraId="45C1AA45" w14:textId="77777777" w:rsidR="006304EB" w:rsidRDefault="006304EB" w:rsidP="00A95965">
            <w:pPr>
              <w:pStyle w:val="TableText"/>
              <w:rPr>
                <w:b/>
                <w:szCs w:val="20"/>
              </w:rPr>
            </w:pPr>
          </w:p>
        </w:tc>
        <w:tc>
          <w:tcPr>
            <w:tcW w:w="1741" w:type="dxa"/>
          </w:tcPr>
          <w:p w14:paraId="31ADE4BF" w14:textId="77777777" w:rsidR="006304EB" w:rsidRPr="005F4649" w:rsidRDefault="006304EB" w:rsidP="00A95965">
            <w:pPr>
              <w:pStyle w:val="TableText"/>
              <w:rPr>
                <w:b/>
                <w:szCs w:val="20"/>
              </w:rPr>
            </w:pPr>
          </w:p>
        </w:tc>
      </w:tr>
      <w:tr w:rsidR="006304EB" w14:paraId="7D363DC9" w14:textId="77777777">
        <w:trPr>
          <w:cantSplit/>
          <w:trHeight w:val="432"/>
        </w:trPr>
        <w:tc>
          <w:tcPr>
            <w:tcW w:w="3973" w:type="dxa"/>
            <w:noWrap/>
          </w:tcPr>
          <w:p w14:paraId="1CD95FB2" w14:textId="77777777" w:rsidR="006304EB" w:rsidRPr="005F4649" w:rsidRDefault="006304EB" w:rsidP="00A95965">
            <w:pPr>
              <w:pStyle w:val="TableText"/>
              <w:rPr>
                <w:b/>
                <w:szCs w:val="20"/>
              </w:rPr>
            </w:pPr>
          </w:p>
        </w:tc>
        <w:tc>
          <w:tcPr>
            <w:tcW w:w="1127" w:type="dxa"/>
          </w:tcPr>
          <w:p w14:paraId="5A3903CF" w14:textId="77777777" w:rsidR="006304EB" w:rsidRPr="005F4649" w:rsidRDefault="006304EB" w:rsidP="006304EB">
            <w:pPr>
              <w:pStyle w:val="TableText"/>
              <w:rPr>
                <w:b/>
                <w:szCs w:val="20"/>
              </w:rPr>
            </w:pPr>
          </w:p>
        </w:tc>
        <w:tc>
          <w:tcPr>
            <w:tcW w:w="1132" w:type="dxa"/>
          </w:tcPr>
          <w:p w14:paraId="5853F55D" w14:textId="77777777" w:rsidR="006304EB" w:rsidRPr="005F4649" w:rsidRDefault="006304EB" w:rsidP="00A95965">
            <w:pPr>
              <w:pStyle w:val="TableText"/>
              <w:rPr>
                <w:b/>
                <w:szCs w:val="20"/>
              </w:rPr>
            </w:pPr>
          </w:p>
        </w:tc>
        <w:tc>
          <w:tcPr>
            <w:tcW w:w="971" w:type="dxa"/>
          </w:tcPr>
          <w:p w14:paraId="27F8D078" w14:textId="77777777" w:rsidR="006304EB" w:rsidRPr="005F4649" w:rsidRDefault="006304EB" w:rsidP="00A95965">
            <w:pPr>
              <w:pStyle w:val="TableText"/>
              <w:rPr>
                <w:b/>
                <w:szCs w:val="20"/>
              </w:rPr>
            </w:pPr>
          </w:p>
        </w:tc>
        <w:tc>
          <w:tcPr>
            <w:tcW w:w="971" w:type="dxa"/>
          </w:tcPr>
          <w:p w14:paraId="0F6263B6" w14:textId="77777777" w:rsidR="006304EB" w:rsidRPr="005F4649" w:rsidRDefault="006304EB" w:rsidP="00A95965">
            <w:pPr>
              <w:pStyle w:val="TableText"/>
              <w:rPr>
                <w:b/>
                <w:szCs w:val="20"/>
              </w:rPr>
            </w:pPr>
          </w:p>
        </w:tc>
        <w:tc>
          <w:tcPr>
            <w:tcW w:w="971" w:type="dxa"/>
          </w:tcPr>
          <w:p w14:paraId="4C9807F8" w14:textId="77777777" w:rsidR="006304EB" w:rsidRPr="005F4649" w:rsidRDefault="006304EB" w:rsidP="00A95965">
            <w:pPr>
              <w:pStyle w:val="TableText"/>
              <w:rPr>
                <w:b/>
                <w:szCs w:val="20"/>
              </w:rPr>
            </w:pPr>
          </w:p>
        </w:tc>
        <w:tc>
          <w:tcPr>
            <w:tcW w:w="971" w:type="dxa"/>
          </w:tcPr>
          <w:p w14:paraId="7F76A08A" w14:textId="77777777" w:rsidR="006304EB" w:rsidRPr="005F4649" w:rsidRDefault="006304EB" w:rsidP="00A95965">
            <w:pPr>
              <w:pStyle w:val="TableText"/>
              <w:rPr>
                <w:b/>
                <w:szCs w:val="20"/>
              </w:rPr>
            </w:pPr>
          </w:p>
        </w:tc>
        <w:tc>
          <w:tcPr>
            <w:tcW w:w="1103" w:type="dxa"/>
          </w:tcPr>
          <w:p w14:paraId="04F9BA1C" w14:textId="77777777" w:rsidR="006304EB" w:rsidRDefault="006304EB" w:rsidP="00A95965">
            <w:pPr>
              <w:pStyle w:val="TableText"/>
              <w:rPr>
                <w:b/>
                <w:szCs w:val="20"/>
              </w:rPr>
            </w:pPr>
          </w:p>
        </w:tc>
        <w:tc>
          <w:tcPr>
            <w:tcW w:w="1741" w:type="dxa"/>
          </w:tcPr>
          <w:p w14:paraId="7B656DE7" w14:textId="77777777" w:rsidR="006304EB" w:rsidRPr="005F4649" w:rsidRDefault="006304EB" w:rsidP="00A95965">
            <w:pPr>
              <w:pStyle w:val="TableText"/>
              <w:rPr>
                <w:b/>
                <w:szCs w:val="20"/>
              </w:rPr>
            </w:pPr>
          </w:p>
        </w:tc>
      </w:tr>
      <w:tr w:rsidR="006304EB" w14:paraId="4AD12AE5" w14:textId="77777777">
        <w:trPr>
          <w:cantSplit/>
          <w:trHeight w:val="432"/>
        </w:trPr>
        <w:tc>
          <w:tcPr>
            <w:tcW w:w="3973" w:type="dxa"/>
            <w:noWrap/>
          </w:tcPr>
          <w:p w14:paraId="24ED466D" w14:textId="77777777" w:rsidR="006304EB" w:rsidRPr="005F4649" w:rsidRDefault="006304EB" w:rsidP="00A95965">
            <w:pPr>
              <w:pStyle w:val="TableText"/>
              <w:rPr>
                <w:b/>
                <w:szCs w:val="20"/>
              </w:rPr>
            </w:pPr>
          </w:p>
        </w:tc>
        <w:tc>
          <w:tcPr>
            <w:tcW w:w="1127" w:type="dxa"/>
          </w:tcPr>
          <w:p w14:paraId="3DB3878F" w14:textId="77777777" w:rsidR="006304EB" w:rsidRPr="005F4649" w:rsidRDefault="006304EB" w:rsidP="006304EB">
            <w:pPr>
              <w:pStyle w:val="TableText"/>
              <w:rPr>
                <w:b/>
                <w:szCs w:val="20"/>
              </w:rPr>
            </w:pPr>
          </w:p>
        </w:tc>
        <w:tc>
          <w:tcPr>
            <w:tcW w:w="1132" w:type="dxa"/>
          </w:tcPr>
          <w:p w14:paraId="2B644920" w14:textId="77777777" w:rsidR="006304EB" w:rsidRPr="005F4649" w:rsidRDefault="006304EB" w:rsidP="00A95965">
            <w:pPr>
              <w:pStyle w:val="TableText"/>
              <w:rPr>
                <w:b/>
                <w:szCs w:val="20"/>
              </w:rPr>
            </w:pPr>
          </w:p>
        </w:tc>
        <w:tc>
          <w:tcPr>
            <w:tcW w:w="971" w:type="dxa"/>
          </w:tcPr>
          <w:p w14:paraId="415611BD" w14:textId="77777777" w:rsidR="006304EB" w:rsidRPr="005F4649" w:rsidRDefault="006304EB" w:rsidP="00A95965">
            <w:pPr>
              <w:pStyle w:val="TableText"/>
              <w:rPr>
                <w:b/>
                <w:szCs w:val="20"/>
              </w:rPr>
            </w:pPr>
          </w:p>
        </w:tc>
        <w:tc>
          <w:tcPr>
            <w:tcW w:w="971" w:type="dxa"/>
          </w:tcPr>
          <w:p w14:paraId="1DF35395" w14:textId="77777777" w:rsidR="006304EB" w:rsidRPr="005F4649" w:rsidRDefault="006304EB" w:rsidP="00A95965">
            <w:pPr>
              <w:pStyle w:val="TableText"/>
              <w:rPr>
                <w:b/>
                <w:szCs w:val="20"/>
              </w:rPr>
            </w:pPr>
          </w:p>
        </w:tc>
        <w:tc>
          <w:tcPr>
            <w:tcW w:w="971" w:type="dxa"/>
          </w:tcPr>
          <w:p w14:paraId="1ADA3F64" w14:textId="77777777" w:rsidR="006304EB" w:rsidRPr="005F4649" w:rsidRDefault="006304EB" w:rsidP="00A95965">
            <w:pPr>
              <w:pStyle w:val="TableText"/>
              <w:rPr>
                <w:b/>
                <w:szCs w:val="20"/>
              </w:rPr>
            </w:pPr>
          </w:p>
        </w:tc>
        <w:tc>
          <w:tcPr>
            <w:tcW w:w="971" w:type="dxa"/>
          </w:tcPr>
          <w:p w14:paraId="41BEA503" w14:textId="77777777" w:rsidR="006304EB" w:rsidRPr="005F4649" w:rsidRDefault="006304EB" w:rsidP="00A95965">
            <w:pPr>
              <w:pStyle w:val="TableText"/>
              <w:rPr>
                <w:b/>
                <w:szCs w:val="20"/>
              </w:rPr>
            </w:pPr>
          </w:p>
        </w:tc>
        <w:tc>
          <w:tcPr>
            <w:tcW w:w="1103" w:type="dxa"/>
          </w:tcPr>
          <w:p w14:paraId="49CD3B15" w14:textId="77777777" w:rsidR="006304EB" w:rsidRDefault="006304EB" w:rsidP="00A95965">
            <w:pPr>
              <w:pStyle w:val="TableText"/>
              <w:rPr>
                <w:b/>
                <w:szCs w:val="20"/>
              </w:rPr>
            </w:pPr>
          </w:p>
        </w:tc>
        <w:tc>
          <w:tcPr>
            <w:tcW w:w="1741" w:type="dxa"/>
          </w:tcPr>
          <w:p w14:paraId="61606A0C" w14:textId="77777777" w:rsidR="006304EB" w:rsidRPr="005F4649" w:rsidRDefault="006304EB" w:rsidP="00A95965">
            <w:pPr>
              <w:pStyle w:val="TableText"/>
              <w:rPr>
                <w:b/>
                <w:szCs w:val="20"/>
              </w:rPr>
            </w:pPr>
          </w:p>
        </w:tc>
      </w:tr>
      <w:tr w:rsidR="006304EB" w14:paraId="6C15B4F9" w14:textId="77777777">
        <w:trPr>
          <w:cantSplit/>
          <w:trHeight w:val="432"/>
        </w:trPr>
        <w:tc>
          <w:tcPr>
            <w:tcW w:w="3973" w:type="dxa"/>
            <w:noWrap/>
          </w:tcPr>
          <w:p w14:paraId="5567798B" w14:textId="77777777" w:rsidR="006304EB" w:rsidRPr="005F4649" w:rsidRDefault="006304EB" w:rsidP="00A95965">
            <w:pPr>
              <w:pStyle w:val="TableText"/>
              <w:rPr>
                <w:b/>
                <w:szCs w:val="20"/>
              </w:rPr>
            </w:pPr>
          </w:p>
        </w:tc>
        <w:tc>
          <w:tcPr>
            <w:tcW w:w="1127" w:type="dxa"/>
          </w:tcPr>
          <w:p w14:paraId="7DAEA7FA" w14:textId="77777777" w:rsidR="006304EB" w:rsidRPr="005F4649" w:rsidRDefault="006304EB" w:rsidP="006304EB">
            <w:pPr>
              <w:pStyle w:val="TableText"/>
              <w:rPr>
                <w:b/>
                <w:szCs w:val="20"/>
              </w:rPr>
            </w:pPr>
          </w:p>
        </w:tc>
        <w:tc>
          <w:tcPr>
            <w:tcW w:w="1132" w:type="dxa"/>
          </w:tcPr>
          <w:p w14:paraId="306F23E6" w14:textId="77777777" w:rsidR="006304EB" w:rsidRPr="005F4649" w:rsidRDefault="006304EB" w:rsidP="00A95965">
            <w:pPr>
              <w:pStyle w:val="TableText"/>
              <w:rPr>
                <w:b/>
                <w:szCs w:val="20"/>
              </w:rPr>
            </w:pPr>
          </w:p>
        </w:tc>
        <w:tc>
          <w:tcPr>
            <w:tcW w:w="971" w:type="dxa"/>
          </w:tcPr>
          <w:p w14:paraId="32C0EE9F" w14:textId="77777777" w:rsidR="006304EB" w:rsidRPr="005F4649" w:rsidRDefault="006304EB" w:rsidP="00A95965">
            <w:pPr>
              <w:pStyle w:val="TableText"/>
              <w:rPr>
                <w:b/>
                <w:szCs w:val="20"/>
              </w:rPr>
            </w:pPr>
          </w:p>
        </w:tc>
        <w:tc>
          <w:tcPr>
            <w:tcW w:w="971" w:type="dxa"/>
          </w:tcPr>
          <w:p w14:paraId="2E8F08DA" w14:textId="77777777" w:rsidR="006304EB" w:rsidRPr="005F4649" w:rsidRDefault="006304EB" w:rsidP="00A95965">
            <w:pPr>
              <w:pStyle w:val="TableText"/>
              <w:rPr>
                <w:b/>
                <w:szCs w:val="20"/>
              </w:rPr>
            </w:pPr>
          </w:p>
        </w:tc>
        <w:tc>
          <w:tcPr>
            <w:tcW w:w="971" w:type="dxa"/>
          </w:tcPr>
          <w:p w14:paraId="40536AC9" w14:textId="77777777" w:rsidR="006304EB" w:rsidRPr="005F4649" w:rsidRDefault="006304EB" w:rsidP="00A95965">
            <w:pPr>
              <w:pStyle w:val="TableText"/>
              <w:rPr>
                <w:b/>
                <w:szCs w:val="20"/>
              </w:rPr>
            </w:pPr>
          </w:p>
        </w:tc>
        <w:tc>
          <w:tcPr>
            <w:tcW w:w="971" w:type="dxa"/>
          </w:tcPr>
          <w:p w14:paraId="5B3487D2" w14:textId="77777777" w:rsidR="006304EB" w:rsidRPr="005F4649" w:rsidRDefault="006304EB" w:rsidP="00A95965">
            <w:pPr>
              <w:pStyle w:val="TableText"/>
              <w:rPr>
                <w:b/>
                <w:szCs w:val="20"/>
              </w:rPr>
            </w:pPr>
          </w:p>
        </w:tc>
        <w:tc>
          <w:tcPr>
            <w:tcW w:w="1103" w:type="dxa"/>
          </w:tcPr>
          <w:p w14:paraId="094B6539" w14:textId="77777777" w:rsidR="006304EB" w:rsidRDefault="006304EB" w:rsidP="00A95965">
            <w:pPr>
              <w:pStyle w:val="TableText"/>
              <w:rPr>
                <w:b/>
                <w:szCs w:val="20"/>
              </w:rPr>
            </w:pPr>
          </w:p>
        </w:tc>
        <w:tc>
          <w:tcPr>
            <w:tcW w:w="1741" w:type="dxa"/>
          </w:tcPr>
          <w:p w14:paraId="2C76FEB2" w14:textId="77777777" w:rsidR="006304EB" w:rsidRPr="005F4649" w:rsidRDefault="006304EB" w:rsidP="00A95965">
            <w:pPr>
              <w:pStyle w:val="TableText"/>
              <w:rPr>
                <w:b/>
                <w:szCs w:val="20"/>
              </w:rPr>
            </w:pPr>
          </w:p>
        </w:tc>
      </w:tr>
      <w:tr w:rsidR="006304EB" w14:paraId="714F72D1" w14:textId="77777777">
        <w:trPr>
          <w:cantSplit/>
          <w:trHeight w:val="432"/>
        </w:trPr>
        <w:tc>
          <w:tcPr>
            <w:tcW w:w="3973" w:type="dxa"/>
            <w:noWrap/>
          </w:tcPr>
          <w:p w14:paraId="17CCAB25" w14:textId="77777777" w:rsidR="006304EB" w:rsidRPr="005F4649" w:rsidRDefault="006304EB" w:rsidP="00A95965">
            <w:pPr>
              <w:pStyle w:val="TableText"/>
              <w:rPr>
                <w:b/>
                <w:szCs w:val="20"/>
              </w:rPr>
            </w:pPr>
          </w:p>
        </w:tc>
        <w:tc>
          <w:tcPr>
            <w:tcW w:w="1127" w:type="dxa"/>
          </w:tcPr>
          <w:p w14:paraId="21CE797E" w14:textId="77777777" w:rsidR="006304EB" w:rsidRPr="005F4649" w:rsidRDefault="006304EB" w:rsidP="006304EB">
            <w:pPr>
              <w:pStyle w:val="TableText"/>
              <w:rPr>
                <w:b/>
                <w:szCs w:val="20"/>
              </w:rPr>
            </w:pPr>
          </w:p>
        </w:tc>
        <w:tc>
          <w:tcPr>
            <w:tcW w:w="1132" w:type="dxa"/>
          </w:tcPr>
          <w:p w14:paraId="0917A274" w14:textId="77777777" w:rsidR="006304EB" w:rsidRPr="005F4649" w:rsidRDefault="006304EB" w:rsidP="00A95965">
            <w:pPr>
              <w:pStyle w:val="TableText"/>
              <w:rPr>
                <w:b/>
                <w:szCs w:val="20"/>
              </w:rPr>
            </w:pPr>
          </w:p>
        </w:tc>
        <w:tc>
          <w:tcPr>
            <w:tcW w:w="971" w:type="dxa"/>
          </w:tcPr>
          <w:p w14:paraId="6AC00126" w14:textId="77777777" w:rsidR="006304EB" w:rsidRPr="005F4649" w:rsidRDefault="006304EB" w:rsidP="00A95965">
            <w:pPr>
              <w:pStyle w:val="TableText"/>
              <w:rPr>
                <w:b/>
                <w:szCs w:val="20"/>
              </w:rPr>
            </w:pPr>
          </w:p>
        </w:tc>
        <w:tc>
          <w:tcPr>
            <w:tcW w:w="971" w:type="dxa"/>
          </w:tcPr>
          <w:p w14:paraId="62F8F3CE" w14:textId="77777777" w:rsidR="006304EB" w:rsidRPr="005F4649" w:rsidRDefault="006304EB" w:rsidP="00A95965">
            <w:pPr>
              <w:pStyle w:val="TableText"/>
              <w:rPr>
                <w:b/>
                <w:szCs w:val="20"/>
              </w:rPr>
            </w:pPr>
          </w:p>
        </w:tc>
        <w:tc>
          <w:tcPr>
            <w:tcW w:w="971" w:type="dxa"/>
          </w:tcPr>
          <w:p w14:paraId="03AE2059" w14:textId="77777777" w:rsidR="006304EB" w:rsidRPr="005F4649" w:rsidRDefault="006304EB" w:rsidP="00A95965">
            <w:pPr>
              <w:pStyle w:val="TableText"/>
              <w:rPr>
                <w:b/>
                <w:szCs w:val="20"/>
              </w:rPr>
            </w:pPr>
          </w:p>
        </w:tc>
        <w:tc>
          <w:tcPr>
            <w:tcW w:w="971" w:type="dxa"/>
          </w:tcPr>
          <w:p w14:paraId="4A1BA922" w14:textId="77777777" w:rsidR="006304EB" w:rsidRPr="005F4649" w:rsidRDefault="006304EB" w:rsidP="00A95965">
            <w:pPr>
              <w:pStyle w:val="TableText"/>
              <w:rPr>
                <w:b/>
                <w:szCs w:val="20"/>
              </w:rPr>
            </w:pPr>
          </w:p>
        </w:tc>
        <w:tc>
          <w:tcPr>
            <w:tcW w:w="1103" w:type="dxa"/>
          </w:tcPr>
          <w:p w14:paraId="22345D0A" w14:textId="77777777" w:rsidR="006304EB" w:rsidRDefault="006304EB" w:rsidP="00A95965">
            <w:pPr>
              <w:pStyle w:val="TableText"/>
              <w:rPr>
                <w:b/>
                <w:szCs w:val="20"/>
              </w:rPr>
            </w:pPr>
          </w:p>
        </w:tc>
        <w:tc>
          <w:tcPr>
            <w:tcW w:w="1741" w:type="dxa"/>
          </w:tcPr>
          <w:p w14:paraId="4DE1FA62" w14:textId="77777777" w:rsidR="006304EB" w:rsidRPr="005F4649" w:rsidRDefault="006304EB" w:rsidP="00A95965">
            <w:pPr>
              <w:pStyle w:val="TableText"/>
              <w:rPr>
                <w:b/>
                <w:szCs w:val="20"/>
              </w:rPr>
            </w:pPr>
          </w:p>
        </w:tc>
      </w:tr>
      <w:tr w:rsidR="006304EB" w14:paraId="33626256" w14:textId="77777777">
        <w:trPr>
          <w:cantSplit/>
          <w:trHeight w:val="432"/>
        </w:trPr>
        <w:tc>
          <w:tcPr>
            <w:tcW w:w="3973" w:type="dxa"/>
            <w:noWrap/>
          </w:tcPr>
          <w:p w14:paraId="0FF4A760" w14:textId="77777777" w:rsidR="006304EB" w:rsidRPr="005F4649" w:rsidRDefault="006304EB" w:rsidP="00A95965">
            <w:pPr>
              <w:pStyle w:val="TableText"/>
              <w:rPr>
                <w:b/>
                <w:szCs w:val="20"/>
              </w:rPr>
            </w:pPr>
          </w:p>
        </w:tc>
        <w:tc>
          <w:tcPr>
            <w:tcW w:w="1127" w:type="dxa"/>
          </w:tcPr>
          <w:p w14:paraId="37C5D3A2" w14:textId="77777777" w:rsidR="006304EB" w:rsidRPr="005F4649" w:rsidRDefault="006304EB" w:rsidP="006304EB">
            <w:pPr>
              <w:pStyle w:val="TableText"/>
              <w:rPr>
                <w:b/>
                <w:szCs w:val="20"/>
              </w:rPr>
            </w:pPr>
          </w:p>
        </w:tc>
        <w:tc>
          <w:tcPr>
            <w:tcW w:w="1132" w:type="dxa"/>
          </w:tcPr>
          <w:p w14:paraId="3B54CBD0" w14:textId="77777777" w:rsidR="006304EB" w:rsidRPr="005F4649" w:rsidRDefault="006304EB" w:rsidP="00A95965">
            <w:pPr>
              <w:pStyle w:val="TableText"/>
              <w:rPr>
                <w:b/>
                <w:szCs w:val="20"/>
              </w:rPr>
            </w:pPr>
          </w:p>
        </w:tc>
        <w:tc>
          <w:tcPr>
            <w:tcW w:w="971" w:type="dxa"/>
          </w:tcPr>
          <w:p w14:paraId="3F1BBBDC" w14:textId="77777777" w:rsidR="006304EB" w:rsidRPr="005F4649" w:rsidRDefault="006304EB" w:rsidP="00A95965">
            <w:pPr>
              <w:pStyle w:val="TableText"/>
              <w:rPr>
                <w:b/>
                <w:szCs w:val="20"/>
              </w:rPr>
            </w:pPr>
          </w:p>
        </w:tc>
        <w:tc>
          <w:tcPr>
            <w:tcW w:w="971" w:type="dxa"/>
          </w:tcPr>
          <w:p w14:paraId="2602C3D6" w14:textId="77777777" w:rsidR="006304EB" w:rsidRPr="005F4649" w:rsidRDefault="006304EB" w:rsidP="00A95965">
            <w:pPr>
              <w:pStyle w:val="TableText"/>
              <w:rPr>
                <w:b/>
                <w:szCs w:val="20"/>
              </w:rPr>
            </w:pPr>
          </w:p>
        </w:tc>
        <w:tc>
          <w:tcPr>
            <w:tcW w:w="971" w:type="dxa"/>
          </w:tcPr>
          <w:p w14:paraId="531FA535" w14:textId="77777777" w:rsidR="006304EB" w:rsidRPr="005F4649" w:rsidRDefault="006304EB" w:rsidP="00A95965">
            <w:pPr>
              <w:pStyle w:val="TableText"/>
              <w:rPr>
                <w:b/>
                <w:szCs w:val="20"/>
              </w:rPr>
            </w:pPr>
          </w:p>
        </w:tc>
        <w:tc>
          <w:tcPr>
            <w:tcW w:w="971" w:type="dxa"/>
          </w:tcPr>
          <w:p w14:paraId="0011D280" w14:textId="77777777" w:rsidR="006304EB" w:rsidRPr="005F4649" w:rsidRDefault="006304EB" w:rsidP="00A95965">
            <w:pPr>
              <w:pStyle w:val="TableText"/>
              <w:rPr>
                <w:b/>
                <w:szCs w:val="20"/>
              </w:rPr>
            </w:pPr>
          </w:p>
        </w:tc>
        <w:tc>
          <w:tcPr>
            <w:tcW w:w="1103" w:type="dxa"/>
          </w:tcPr>
          <w:p w14:paraId="46C52FB9" w14:textId="77777777" w:rsidR="006304EB" w:rsidRDefault="006304EB" w:rsidP="00A95965">
            <w:pPr>
              <w:pStyle w:val="TableText"/>
              <w:rPr>
                <w:b/>
                <w:szCs w:val="20"/>
              </w:rPr>
            </w:pPr>
          </w:p>
        </w:tc>
        <w:tc>
          <w:tcPr>
            <w:tcW w:w="1741" w:type="dxa"/>
          </w:tcPr>
          <w:p w14:paraId="15C4A108" w14:textId="77777777" w:rsidR="006304EB" w:rsidRPr="005F4649" w:rsidRDefault="006304EB" w:rsidP="00A95965">
            <w:pPr>
              <w:pStyle w:val="TableText"/>
              <w:rPr>
                <w:b/>
                <w:szCs w:val="20"/>
              </w:rPr>
            </w:pPr>
          </w:p>
        </w:tc>
      </w:tr>
      <w:tr w:rsidR="006304EB" w14:paraId="3FB535F2" w14:textId="77777777">
        <w:trPr>
          <w:cantSplit/>
          <w:trHeight w:val="432"/>
        </w:trPr>
        <w:tc>
          <w:tcPr>
            <w:tcW w:w="3973" w:type="dxa"/>
            <w:noWrap/>
          </w:tcPr>
          <w:p w14:paraId="60633A15" w14:textId="77777777" w:rsidR="006304EB" w:rsidRPr="005F4649" w:rsidRDefault="006304EB" w:rsidP="00A95965">
            <w:pPr>
              <w:pStyle w:val="TableText"/>
              <w:rPr>
                <w:b/>
                <w:szCs w:val="20"/>
              </w:rPr>
            </w:pPr>
          </w:p>
        </w:tc>
        <w:tc>
          <w:tcPr>
            <w:tcW w:w="1127" w:type="dxa"/>
          </w:tcPr>
          <w:p w14:paraId="59B82459" w14:textId="77777777" w:rsidR="006304EB" w:rsidRPr="005F4649" w:rsidRDefault="006304EB" w:rsidP="006304EB">
            <w:pPr>
              <w:pStyle w:val="TableText"/>
              <w:rPr>
                <w:b/>
                <w:szCs w:val="20"/>
              </w:rPr>
            </w:pPr>
          </w:p>
        </w:tc>
        <w:tc>
          <w:tcPr>
            <w:tcW w:w="1132" w:type="dxa"/>
          </w:tcPr>
          <w:p w14:paraId="085759AE" w14:textId="77777777" w:rsidR="006304EB" w:rsidRPr="005F4649" w:rsidRDefault="006304EB" w:rsidP="00A95965">
            <w:pPr>
              <w:pStyle w:val="TableText"/>
              <w:rPr>
                <w:b/>
                <w:szCs w:val="20"/>
              </w:rPr>
            </w:pPr>
          </w:p>
        </w:tc>
        <w:tc>
          <w:tcPr>
            <w:tcW w:w="971" w:type="dxa"/>
          </w:tcPr>
          <w:p w14:paraId="1A18188B" w14:textId="77777777" w:rsidR="006304EB" w:rsidRPr="005F4649" w:rsidRDefault="006304EB" w:rsidP="00A95965">
            <w:pPr>
              <w:pStyle w:val="TableText"/>
              <w:rPr>
                <w:b/>
                <w:szCs w:val="20"/>
              </w:rPr>
            </w:pPr>
          </w:p>
        </w:tc>
        <w:tc>
          <w:tcPr>
            <w:tcW w:w="971" w:type="dxa"/>
          </w:tcPr>
          <w:p w14:paraId="2972460B" w14:textId="77777777" w:rsidR="006304EB" w:rsidRPr="005F4649" w:rsidRDefault="006304EB" w:rsidP="00A95965">
            <w:pPr>
              <w:pStyle w:val="TableText"/>
              <w:rPr>
                <w:b/>
                <w:szCs w:val="20"/>
              </w:rPr>
            </w:pPr>
          </w:p>
        </w:tc>
        <w:tc>
          <w:tcPr>
            <w:tcW w:w="971" w:type="dxa"/>
          </w:tcPr>
          <w:p w14:paraId="1FF5DAA8" w14:textId="77777777" w:rsidR="006304EB" w:rsidRPr="005F4649" w:rsidRDefault="006304EB" w:rsidP="00A95965">
            <w:pPr>
              <w:pStyle w:val="TableText"/>
              <w:rPr>
                <w:b/>
                <w:szCs w:val="20"/>
              </w:rPr>
            </w:pPr>
          </w:p>
        </w:tc>
        <w:tc>
          <w:tcPr>
            <w:tcW w:w="971" w:type="dxa"/>
          </w:tcPr>
          <w:p w14:paraId="35D21D86" w14:textId="77777777" w:rsidR="006304EB" w:rsidRPr="005F4649" w:rsidRDefault="006304EB" w:rsidP="00A95965">
            <w:pPr>
              <w:pStyle w:val="TableText"/>
              <w:rPr>
                <w:b/>
                <w:szCs w:val="20"/>
              </w:rPr>
            </w:pPr>
          </w:p>
        </w:tc>
        <w:tc>
          <w:tcPr>
            <w:tcW w:w="1103" w:type="dxa"/>
          </w:tcPr>
          <w:p w14:paraId="58C363E3" w14:textId="77777777" w:rsidR="006304EB" w:rsidRDefault="006304EB" w:rsidP="00A95965">
            <w:pPr>
              <w:pStyle w:val="TableText"/>
              <w:rPr>
                <w:b/>
                <w:szCs w:val="20"/>
              </w:rPr>
            </w:pPr>
          </w:p>
        </w:tc>
        <w:tc>
          <w:tcPr>
            <w:tcW w:w="1741" w:type="dxa"/>
          </w:tcPr>
          <w:p w14:paraId="5ADBDCDF" w14:textId="77777777" w:rsidR="006304EB" w:rsidRPr="005F4649" w:rsidRDefault="006304EB" w:rsidP="00A95965">
            <w:pPr>
              <w:pStyle w:val="TableText"/>
              <w:rPr>
                <w:b/>
                <w:szCs w:val="20"/>
              </w:rPr>
            </w:pPr>
          </w:p>
        </w:tc>
      </w:tr>
      <w:tr w:rsidR="006304EB" w14:paraId="04CD2994" w14:textId="77777777">
        <w:trPr>
          <w:cantSplit/>
          <w:trHeight w:val="432"/>
        </w:trPr>
        <w:tc>
          <w:tcPr>
            <w:tcW w:w="3973" w:type="dxa"/>
            <w:noWrap/>
          </w:tcPr>
          <w:p w14:paraId="25E36413" w14:textId="77777777" w:rsidR="006304EB" w:rsidRPr="005F4649" w:rsidRDefault="006304EB" w:rsidP="00A95965">
            <w:pPr>
              <w:pStyle w:val="TableText"/>
              <w:rPr>
                <w:b/>
                <w:szCs w:val="20"/>
              </w:rPr>
            </w:pPr>
          </w:p>
        </w:tc>
        <w:tc>
          <w:tcPr>
            <w:tcW w:w="1127" w:type="dxa"/>
          </w:tcPr>
          <w:p w14:paraId="1F82FA9B" w14:textId="77777777" w:rsidR="006304EB" w:rsidRPr="005F4649" w:rsidRDefault="006304EB" w:rsidP="006304EB">
            <w:pPr>
              <w:pStyle w:val="TableText"/>
              <w:rPr>
                <w:b/>
                <w:szCs w:val="20"/>
              </w:rPr>
            </w:pPr>
          </w:p>
        </w:tc>
        <w:tc>
          <w:tcPr>
            <w:tcW w:w="1132" w:type="dxa"/>
          </w:tcPr>
          <w:p w14:paraId="7ED4CDA4" w14:textId="77777777" w:rsidR="006304EB" w:rsidRPr="005F4649" w:rsidRDefault="006304EB" w:rsidP="00A95965">
            <w:pPr>
              <w:pStyle w:val="TableText"/>
              <w:rPr>
                <w:b/>
                <w:szCs w:val="20"/>
              </w:rPr>
            </w:pPr>
          </w:p>
        </w:tc>
        <w:tc>
          <w:tcPr>
            <w:tcW w:w="971" w:type="dxa"/>
          </w:tcPr>
          <w:p w14:paraId="44E21BC4" w14:textId="77777777" w:rsidR="006304EB" w:rsidRPr="005F4649" w:rsidRDefault="006304EB" w:rsidP="00A95965">
            <w:pPr>
              <w:pStyle w:val="TableText"/>
              <w:rPr>
                <w:b/>
                <w:szCs w:val="20"/>
              </w:rPr>
            </w:pPr>
          </w:p>
        </w:tc>
        <w:tc>
          <w:tcPr>
            <w:tcW w:w="971" w:type="dxa"/>
          </w:tcPr>
          <w:p w14:paraId="31500C8A" w14:textId="77777777" w:rsidR="006304EB" w:rsidRPr="005F4649" w:rsidRDefault="006304EB" w:rsidP="00A95965">
            <w:pPr>
              <w:pStyle w:val="TableText"/>
              <w:rPr>
                <w:b/>
                <w:szCs w:val="20"/>
              </w:rPr>
            </w:pPr>
          </w:p>
        </w:tc>
        <w:tc>
          <w:tcPr>
            <w:tcW w:w="971" w:type="dxa"/>
          </w:tcPr>
          <w:p w14:paraId="66FDD7E8" w14:textId="77777777" w:rsidR="006304EB" w:rsidRPr="005F4649" w:rsidRDefault="006304EB" w:rsidP="00A95965">
            <w:pPr>
              <w:pStyle w:val="TableText"/>
              <w:rPr>
                <w:b/>
                <w:szCs w:val="20"/>
              </w:rPr>
            </w:pPr>
          </w:p>
        </w:tc>
        <w:tc>
          <w:tcPr>
            <w:tcW w:w="971" w:type="dxa"/>
          </w:tcPr>
          <w:p w14:paraId="3350CDF4" w14:textId="77777777" w:rsidR="006304EB" w:rsidRPr="005F4649" w:rsidRDefault="006304EB" w:rsidP="00A95965">
            <w:pPr>
              <w:pStyle w:val="TableText"/>
              <w:rPr>
                <w:b/>
                <w:szCs w:val="20"/>
              </w:rPr>
            </w:pPr>
          </w:p>
        </w:tc>
        <w:tc>
          <w:tcPr>
            <w:tcW w:w="1103" w:type="dxa"/>
          </w:tcPr>
          <w:p w14:paraId="3DF9C7FB" w14:textId="77777777" w:rsidR="006304EB" w:rsidRDefault="006304EB" w:rsidP="00A95965">
            <w:pPr>
              <w:pStyle w:val="TableText"/>
              <w:rPr>
                <w:b/>
                <w:szCs w:val="20"/>
              </w:rPr>
            </w:pPr>
          </w:p>
        </w:tc>
        <w:tc>
          <w:tcPr>
            <w:tcW w:w="1741" w:type="dxa"/>
          </w:tcPr>
          <w:p w14:paraId="3279C6D2" w14:textId="77777777" w:rsidR="006304EB" w:rsidRPr="005F4649" w:rsidRDefault="006304EB" w:rsidP="00A95965">
            <w:pPr>
              <w:pStyle w:val="TableText"/>
              <w:rPr>
                <w:b/>
                <w:szCs w:val="20"/>
              </w:rPr>
            </w:pPr>
          </w:p>
        </w:tc>
      </w:tr>
      <w:tr w:rsidR="006304EB" w14:paraId="2B8332EE" w14:textId="77777777">
        <w:trPr>
          <w:cantSplit/>
          <w:trHeight w:val="432"/>
        </w:trPr>
        <w:tc>
          <w:tcPr>
            <w:tcW w:w="3973" w:type="dxa"/>
            <w:noWrap/>
          </w:tcPr>
          <w:p w14:paraId="4DC0CA96" w14:textId="77777777" w:rsidR="006304EB" w:rsidRPr="005F4649" w:rsidRDefault="006304EB" w:rsidP="00A95965">
            <w:pPr>
              <w:pStyle w:val="TableText"/>
              <w:rPr>
                <w:b/>
                <w:szCs w:val="20"/>
              </w:rPr>
            </w:pPr>
          </w:p>
        </w:tc>
        <w:tc>
          <w:tcPr>
            <w:tcW w:w="1127" w:type="dxa"/>
          </w:tcPr>
          <w:p w14:paraId="7828C2B1" w14:textId="77777777" w:rsidR="006304EB" w:rsidRPr="005F4649" w:rsidRDefault="006304EB" w:rsidP="006304EB">
            <w:pPr>
              <w:pStyle w:val="TableText"/>
              <w:rPr>
                <w:b/>
                <w:szCs w:val="20"/>
              </w:rPr>
            </w:pPr>
          </w:p>
        </w:tc>
        <w:tc>
          <w:tcPr>
            <w:tcW w:w="1132" w:type="dxa"/>
          </w:tcPr>
          <w:p w14:paraId="4EC1F736" w14:textId="77777777" w:rsidR="006304EB" w:rsidRPr="005F4649" w:rsidRDefault="006304EB" w:rsidP="00A95965">
            <w:pPr>
              <w:pStyle w:val="TableText"/>
              <w:rPr>
                <w:b/>
                <w:szCs w:val="20"/>
              </w:rPr>
            </w:pPr>
          </w:p>
        </w:tc>
        <w:tc>
          <w:tcPr>
            <w:tcW w:w="971" w:type="dxa"/>
          </w:tcPr>
          <w:p w14:paraId="0235B6A7" w14:textId="77777777" w:rsidR="006304EB" w:rsidRPr="005F4649" w:rsidRDefault="006304EB" w:rsidP="00A95965">
            <w:pPr>
              <w:pStyle w:val="TableText"/>
              <w:rPr>
                <w:b/>
                <w:szCs w:val="20"/>
              </w:rPr>
            </w:pPr>
          </w:p>
        </w:tc>
        <w:tc>
          <w:tcPr>
            <w:tcW w:w="971" w:type="dxa"/>
          </w:tcPr>
          <w:p w14:paraId="61ACC496" w14:textId="77777777" w:rsidR="006304EB" w:rsidRPr="005F4649" w:rsidRDefault="006304EB" w:rsidP="00A95965">
            <w:pPr>
              <w:pStyle w:val="TableText"/>
              <w:rPr>
                <w:b/>
                <w:szCs w:val="20"/>
              </w:rPr>
            </w:pPr>
          </w:p>
        </w:tc>
        <w:tc>
          <w:tcPr>
            <w:tcW w:w="971" w:type="dxa"/>
          </w:tcPr>
          <w:p w14:paraId="3BFE96DF" w14:textId="77777777" w:rsidR="006304EB" w:rsidRPr="005F4649" w:rsidRDefault="006304EB" w:rsidP="00A95965">
            <w:pPr>
              <w:pStyle w:val="TableText"/>
              <w:rPr>
                <w:b/>
                <w:szCs w:val="20"/>
              </w:rPr>
            </w:pPr>
          </w:p>
        </w:tc>
        <w:tc>
          <w:tcPr>
            <w:tcW w:w="971" w:type="dxa"/>
          </w:tcPr>
          <w:p w14:paraId="30EEB477" w14:textId="77777777" w:rsidR="006304EB" w:rsidRPr="005F4649" w:rsidRDefault="006304EB" w:rsidP="00A95965">
            <w:pPr>
              <w:pStyle w:val="TableText"/>
              <w:rPr>
                <w:b/>
                <w:szCs w:val="20"/>
              </w:rPr>
            </w:pPr>
          </w:p>
        </w:tc>
        <w:tc>
          <w:tcPr>
            <w:tcW w:w="1103" w:type="dxa"/>
          </w:tcPr>
          <w:p w14:paraId="508E0FB2" w14:textId="77777777" w:rsidR="006304EB" w:rsidRDefault="006304EB" w:rsidP="00A95965">
            <w:pPr>
              <w:pStyle w:val="TableText"/>
              <w:rPr>
                <w:b/>
                <w:szCs w:val="20"/>
              </w:rPr>
            </w:pPr>
          </w:p>
        </w:tc>
        <w:tc>
          <w:tcPr>
            <w:tcW w:w="1741" w:type="dxa"/>
          </w:tcPr>
          <w:p w14:paraId="74FD1107" w14:textId="77777777" w:rsidR="006304EB" w:rsidRPr="005F4649" w:rsidRDefault="006304EB" w:rsidP="00A95965">
            <w:pPr>
              <w:pStyle w:val="TableText"/>
              <w:rPr>
                <w:b/>
                <w:szCs w:val="20"/>
              </w:rPr>
            </w:pPr>
          </w:p>
        </w:tc>
      </w:tr>
      <w:tr w:rsidR="006304EB" w14:paraId="000F378F" w14:textId="77777777">
        <w:trPr>
          <w:cantSplit/>
          <w:trHeight w:val="432"/>
        </w:trPr>
        <w:tc>
          <w:tcPr>
            <w:tcW w:w="3973" w:type="dxa"/>
            <w:noWrap/>
          </w:tcPr>
          <w:p w14:paraId="634591D3" w14:textId="77777777" w:rsidR="006304EB" w:rsidRPr="005F4649" w:rsidRDefault="006304EB" w:rsidP="00A95965">
            <w:pPr>
              <w:pStyle w:val="TableText"/>
              <w:rPr>
                <w:b/>
                <w:szCs w:val="20"/>
              </w:rPr>
            </w:pPr>
          </w:p>
        </w:tc>
        <w:tc>
          <w:tcPr>
            <w:tcW w:w="1127" w:type="dxa"/>
          </w:tcPr>
          <w:p w14:paraId="7EF842C9" w14:textId="77777777" w:rsidR="006304EB" w:rsidRPr="005F4649" w:rsidRDefault="006304EB" w:rsidP="006304EB">
            <w:pPr>
              <w:pStyle w:val="TableText"/>
              <w:rPr>
                <w:b/>
                <w:szCs w:val="20"/>
              </w:rPr>
            </w:pPr>
          </w:p>
        </w:tc>
        <w:tc>
          <w:tcPr>
            <w:tcW w:w="1132" w:type="dxa"/>
          </w:tcPr>
          <w:p w14:paraId="152711E2" w14:textId="77777777" w:rsidR="006304EB" w:rsidRPr="005F4649" w:rsidRDefault="006304EB" w:rsidP="00A95965">
            <w:pPr>
              <w:pStyle w:val="TableText"/>
              <w:rPr>
                <w:b/>
                <w:szCs w:val="20"/>
              </w:rPr>
            </w:pPr>
          </w:p>
        </w:tc>
        <w:tc>
          <w:tcPr>
            <w:tcW w:w="971" w:type="dxa"/>
          </w:tcPr>
          <w:p w14:paraId="16E5BE21" w14:textId="77777777" w:rsidR="006304EB" w:rsidRPr="005F4649" w:rsidRDefault="006304EB" w:rsidP="00A95965">
            <w:pPr>
              <w:pStyle w:val="TableText"/>
              <w:rPr>
                <w:b/>
                <w:szCs w:val="20"/>
              </w:rPr>
            </w:pPr>
          </w:p>
        </w:tc>
        <w:tc>
          <w:tcPr>
            <w:tcW w:w="971" w:type="dxa"/>
          </w:tcPr>
          <w:p w14:paraId="06BBC638" w14:textId="77777777" w:rsidR="006304EB" w:rsidRPr="005F4649" w:rsidRDefault="006304EB" w:rsidP="00A95965">
            <w:pPr>
              <w:pStyle w:val="TableText"/>
              <w:rPr>
                <w:b/>
                <w:szCs w:val="20"/>
              </w:rPr>
            </w:pPr>
          </w:p>
        </w:tc>
        <w:tc>
          <w:tcPr>
            <w:tcW w:w="971" w:type="dxa"/>
          </w:tcPr>
          <w:p w14:paraId="6CAFF7BB" w14:textId="77777777" w:rsidR="006304EB" w:rsidRPr="005F4649" w:rsidRDefault="006304EB" w:rsidP="00A95965">
            <w:pPr>
              <w:pStyle w:val="TableText"/>
              <w:rPr>
                <w:b/>
                <w:szCs w:val="20"/>
              </w:rPr>
            </w:pPr>
          </w:p>
        </w:tc>
        <w:tc>
          <w:tcPr>
            <w:tcW w:w="971" w:type="dxa"/>
          </w:tcPr>
          <w:p w14:paraId="35BFB346" w14:textId="77777777" w:rsidR="006304EB" w:rsidRPr="005F4649" w:rsidRDefault="006304EB" w:rsidP="00A95965">
            <w:pPr>
              <w:pStyle w:val="TableText"/>
              <w:rPr>
                <w:b/>
                <w:szCs w:val="20"/>
              </w:rPr>
            </w:pPr>
          </w:p>
        </w:tc>
        <w:tc>
          <w:tcPr>
            <w:tcW w:w="1103" w:type="dxa"/>
          </w:tcPr>
          <w:p w14:paraId="164D6577" w14:textId="77777777" w:rsidR="006304EB" w:rsidRDefault="006304EB" w:rsidP="00A95965">
            <w:pPr>
              <w:pStyle w:val="TableText"/>
              <w:rPr>
                <w:b/>
                <w:szCs w:val="20"/>
              </w:rPr>
            </w:pPr>
          </w:p>
        </w:tc>
        <w:tc>
          <w:tcPr>
            <w:tcW w:w="1741" w:type="dxa"/>
          </w:tcPr>
          <w:p w14:paraId="323A4253" w14:textId="77777777" w:rsidR="006304EB" w:rsidRPr="005F4649" w:rsidRDefault="006304EB" w:rsidP="00A95965">
            <w:pPr>
              <w:pStyle w:val="TableText"/>
              <w:rPr>
                <w:b/>
                <w:szCs w:val="20"/>
              </w:rPr>
            </w:pPr>
          </w:p>
        </w:tc>
      </w:tr>
      <w:tr w:rsidR="006304EB" w14:paraId="43198127" w14:textId="77777777">
        <w:trPr>
          <w:cantSplit/>
          <w:trHeight w:val="432"/>
        </w:trPr>
        <w:tc>
          <w:tcPr>
            <w:tcW w:w="3973" w:type="dxa"/>
            <w:noWrap/>
          </w:tcPr>
          <w:p w14:paraId="62D30E69" w14:textId="77777777" w:rsidR="006304EB" w:rsidRPr="005F4649" w:rsidRDefault="006304EB" w:rsidP="00A95965">
            <w:pPr>
              <w:pStyle w:val="TableText"/>
              <w:rPr>
                <w:b/>
                <w:szCs w:val="20"/>
              </w:rPr>
            </w:pPr>
          </w:p>
        </w:tc>
        <w:tc>
          <w:tcPr>
            <w:tcW w:w="1127" w:type="dxa"/>
          </w:tcPr>
          <w:p w14:paraId="55DCCB74" w14:textId="77777777" w:rsidR="006304EB" w:rsidRPr="005F4649" w:rsidRDefault="006304EB" w:rsidP="006304EB">
            <w:pPr>
              <w:pStyle w:val="TableText"/>
              <w:rPr>
                <w:b/>
                <w:szCs w:val="20"/>
              </w:rPr>
            </w:pPr>
          </w:p>
        </w:tc>
        <w:tc>
          <w:tcPr>
            <w:tcW w:w="1132" w:type="dxa"/>
          </w:tcPr>
          <w:p w14:paraId="12760B8B" w14:textId="77777777" w:rsidR="006304EB" w:rsidRPr="005F4649" w:rsidRDefault="006304EB" w:rsidP="00A95965">
            <w:pPr>
              <w:pStyle w:val="TableText"/>
              <w:rPr>
                <w:b/>
                <w:szCs w:val="20"/>
              </w:rPr>
            </w:pPr>
          </w:p>
        </w:tc>
        <w:tc>
          <w:tcPr>
            <w:tcW w:w="971" w:type="dxa"/>
          </w:tcPr>
          <w:p w14:paraId="55A58446" w14:textId="77777777" w:rsidR="006304EB" w:rsidRPr="005F4649" w:rsidRDefault="006304EB" w:rsidP="00A95965">
            <w:pPr>
              <w:pStyle w:val="TableText"/>
              <w:rPr>
                <w:b/>
                <w:szCs w:val="20"/>
              </w:rPr>
            </w:pPr>
          </w:p>
        </w:tc>
        <w:tc>
          <w:tcPr>
            <w:tcW w:w="971" w:type="dxa"/>
          </w:tcPr>
          <w:p w14:paraId="49D054C9" w14:textId="77777777" w:rsidR="006304EB" w:rsidRPr="005F4649" w:rsidRDefault="006304EB" w:rsidP="00A95965">
            <w:pPr>
              <w:pStyle w:val="TableText"/>
              <w:rPr>
                <w:b/>
                <w:szCs w:val="20"/>
              </w:rPr>
            </w:pPr>
          </w:p>
        </w:tc>
        <w:tc>
          <w:tcPr>
            <w:tcW w:w="971" w:type="dxa"/>
          </w:tcPr>
          <w:p w14:paraId="58517750" w14:textId="77777777" w:rsidR="006304EB" w:rsidRPr="005F4649" w:rsidRDefault="006304EB" w:rsidP="00A95965">
            <w:pPr>
              <w:pStyle w:val="TableText"/>
              <w:rPr>
                <w:b/>
                <w:szCs w:val="20"/>
              </w:rPr>
            </w:pPr>
          </w:p>
        </w:tc>
        <w:tc>
          <w:tcPr>
            <w:tcW w:w="971" w:type="dxa"/>
          </w:tcPr>
          <w:p w14:paraId="485B1F2A" w14:textId="77777777" w:rsidR="006304EB" w:rsidRPr="005F4649" w:rsidRDefault="006304EB" w:rsidP="00A95965">
            <w:pPr>
              <w:pStyle w:val="TableText"/>
              <w:rPr>
                <w:b/>
                <w:szCs w:val="20"/>
              </w:rPr>
            </w:pPr>
          </w:p>
        </w:tc>
        <w:tc>
          <w:tcPr>
            <w:tcW w:w="1103" w:type="dxa"/>
          </w:tcPr>
          <w:p w14:paraId="6AC765B2" w14:textId="77777777" w:rsidR="006304EB" w:rsidRDefault="006304EB" w:rsidP="00A95965">
            <w:pPr>
              <w:pStyle w:val="TableText"/>
              <w:rPr>
                <w:b/>
                <w:szCs w:val="20"/>
              </w:rPr>
            </w:pPr>
          </w:p>
        </w:tc>
        <w:tc>
          <w:tcPr>
            <w:tcW w:w="1741" w:type="dxa"/>
          </w:tcPr>
          <w:p w14:paraId="7E955CE4" w14:textId="77777777" w:rsidR="006304EB" w:rsidRPr="005F4649" w:rsidRDefault="006304EB" w:rsidP="00A95965">
            <w:pPr>
              <w:pStyle w:val="TableText"/>
              <w:rPr>
                <w:b/>
                <w:szCs w:val="20"/>
              </w:rPr>
            </w:pPr>
          </w:p>
        </w:tc>
      </w:tr>
      <w:tr w:rsidR="006304EB" w14:paraId="79A0BBD2" w14:textId="77777777">
        <w:trPr>
          <w:cantSplit/>
          <w:trHeight w:val="432"/>
        </w:trPr>
        <w:tc>
          <w:tcPr>
            <w:tcW w:w="3973" w:type="dxa"/>
            <w:noWrap/>
          </w:tcPr>
          <w:p w14:paraId="447C856B" w14:textId="77777777" w:rsidR="006304EB" w:rsidRPr="005F4649" w:rsidRDefault="006304EB" w:rsidP="00A95965">
            <w:pPr>
              <w:pStyle w:val="TableText"/>
              <w:rPr>
                <w:b/>
                <w:szCs w:val="20"/>
              </w:rPr>
            </w:pPr>
          </w:p>
        </w:tc>
        <w:tc>
          <w:tcPr>
            <w:tcW w:w="1127" w:type="dxa"/>
          </w:tcPr>
          <w:p w14:paraId="781721F3" w14:textId="77777777" w:rsidR="006304EB" w:rsidRPr="005F4649" w:rsidRDefault="006304EB" w:rsidP="006304EB">
            <w:pPr>
              <w:pStyle w:val="TableText"/>
              <w:rPr>
                <w:b/>
                <w:szCs w:val="20"/>
              </w:rPr>
            </w:pPr>
          </w:p>
        </w:tc>
        <w:tc>
          <w:tcPr>
            <w:tcW w:w="1132" w:type="dxa"/>
          </w:tcPr>
          <w:p w14:paraId="2A7E5D71" w14:textId="77777777" w:rsidR="006304EB" w:rsidRPr="005F4649" w:rsidRDefault="006304EB" w:rsidP="00A95965">
            <w:pPr>
              <w:pStyle w:val="TableText"/>
              <w:rPr>
                <w:b/>
                <w:szCs w:val="20"/>
              </w:rPr>
            </w:pPr>
          </w:p>
        </w:tc>
        <w:tc>
          <w:tcPr>
            <w:tcW w:w="971" w:type="dxa"/>
          </w:tcPr>
          <w:p w14:paraId="4CD37CC2" w14:textId="77777777" w:rsidR="006304EB" w:rsidRPr="005F4649" w:rsidRDefault="006304EB" w:rsidP="00A95965">
            <w:pPr>
              <w:pStyle w:val="TableText"/>
              <w:rPr>
                <w:b/>
                <w:szCs w:val="20"/>
              </w:rPr>
            </w:pPr>
          </w:p>
        </w:tc>
        <w:tc>
          <w:tcPr>
            <w:tcW w:w="971" w:type="dxa"/>
          </w:tcPr>
          <w:p w14:paraId="68660DF8" w14:textId="77777777" w:rsidR="006304EB" w:rsidRPr="005F4649" w:rsidRDefault="006304EB" w:rsidP="00A95965">
            <w:pPr>
              <w:pStyle w:val="TableText"/>
              <w:rPr>
                <w:b/>
                <w:szCs w:val="20"/>
              </w:rPr>
            </w:pPr>
          </w:p>
        </w:tc>
        <w:tc>
          <w:tcPr>
            <w:tcW w:w="971" w:type="dxa"/>
          </w:tcPr>
          <w:p w14:paraId="2E32C7B9" w14:textId="77777777" w:rsidR="006304EB" w:rsidRPr="005F4649" w:rsidRDefault="006304EB" w:rsidP="00A95965">
            <w:pPr>
              <w:pStyle w:val="TableText"/>
              <w:rPr>
                <w:b/>
                <w:szCs w:val="20"/>
              </w:rPr>
            </w:pPr>
          </w:p>
        </w:tc>
        <w:tc>
          <w:tcPr>
            <w:tcW w:w="971" w:type="dxa"/>
          </w:tcPr>
          <w:p w14:paraId="6D24DBDF" w14:textId="77777777" w:rsidR="006304EB" w:rsidRPr="005F4649" w:rsidRDefault="006304EB" w:rsidP="00A95965">
            <w:pPr>
              <w:pStyle w:val="TableText"/>
              <w:rPr>
                <w:b/>
                <w:szCs w:val="20"/>
              </w:rPr>
            </w:pPr>
          </w:p>
        </w:tc>
        <w:tc>
          <w:tcPr>
            <w:tcW w:w="1103" w:type="dxa"/>
          </w:tcPr>
          <w:p w14:paraId="3A13E7C8" w14:textId="77777777" w:rsidR="006304EB" w:rsidRDefault="006304EB" w:rsidP="00A95965">
            <w:pPr>
              <w:pStyle w:val="TableText"/>
              <w:rPr>
                <w:b/>
                <w:szCs w:val="20"/>
              </w:rPr>
            </w:pPr>
          </w:p>
        </w:tc>
        <w:tc>
          <w:tcPr>
            <w:tcW w:w="1741" w:type="dxa"/>
          </w:tcPr>
          <w:p w14:paraId="28AFC18B" w14:textId="77777777" w:rsidR="006304EB" w:rsidRPr="005F4649" w:rsidRDefault="006304EB" w:rsidP="00A95965">
            <w:pPr>
              <w:pStyle w:val="TableText"/>
              <w:rPr>
                <w:b/>
                <w:szCs w:val="20"/>
              </w:rPr>
            </w:pPr>
          </w:p>
        </w:tc>
      </w:tr>
    </w:tbl>
    <w:p w14:paraId="26526EB0" w14:textId="77777777" w:rsidR="00E7240A" w:rsidRDefault="00E7240A" w:rsidP="00E7240A">
      <w:pPr>
        <w:pStyle w:val="Heading3"/>
      </w:pPr>
      <w:bookmarkStart w:id="573" w:name="_Toc163644996"/>
      <w:r>
        <w:lastRenderedPageBreak/>
        <w:t>Unit Issue and Inspection Log</w:t>
      </w:r>
      <w:bookmarkEnd w:id="573"/>
      <w:r w:rsidR="00246F04">
        <w:fldChar w:fldCharType="begin"/>
      </w:r>
      <w:r w:rsidR="00246F04">
        <w:instrText xml:space="preserve"> XE "</w:instrText>
      </w:r>
      <w:r w:rsidR="00246F04" w:rsidRPr="003C3810">
        <w:instrText>Unit Issue and Inspection Log</w:instrText>
      </w:r>
      <w:r w:rsidR="00246F04">
        <w:instrText xml:space="preserve">" </w:instrText>
      </w:r>
      <w:r w:rsidR="00246F04">
        <w:fldChar w:fldCharType="end"/>
      </w:r>
      <w:r w:rsidR="00A95965">
        <w:fldChar w:fldCharType="begin"/>
      </w:r>
      <w:r w:rsidR="00A95965">
        <w:instrText xml:space="preserve"> XE “Forms:Unit Issue and Inspection Log”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2290"/>
        <w:gridCol w:w="897"/>
        <w:gridCol w:w="797"/>
        <w:gridCol w:w="835"/>
        <w:gridCol w:w="905"/>
        <w:gridCol w:w="1357"/>
        <w:gridCol w:w="747"/>
        <w:gridCol w:w="708"/>
        <w:gridCol w:w="1026"/>
      </w:tblGrid>
      <w:tr w:rsidR="003F4F8B" w14:paraId="4A5C6A2D" w14:textId="77777777">
        <w:tc>
          <w:tcPr>
            <w:tcW w:w="12960" w:type="dxa"/>
            <w:gridSpan w:val="10"/>
          </w:tcPr>
          <w:p w14:paraId="436D121B" w14:textId="77777777" w:rsidR="003F4F8B" w:rsidRPr="003F4F8B" w:rsidRDefault="003F4F8B" w:rsidP="003F4F8B">
            <w:pPr>
              <w:pStyle w:val="TableText"/>
            </w:pPr>
            <w:r w:rsidRPr="00887834">
              <w:rPr>
                <w:b/>
              </w:rPr>
              <w:t xml:space="preserve">Facility Name: </w:t>
            </w:r>
          </w:p>
        </w:tc>
      </w:tr>
      <w:tr w:rsidR="003F4F8B" w14:paraId="0F9B9232" w14:textId="77777777">
        <w:tc>
          <w:tcPr>
            <w:tcW w:w="12960" w:type="dxa"/>
            <w:gridSpan w:val="10"/>
          </w:tcPr>
          <w:p w14:paraId="56622E6B" w14:textId="77777777" w:rsidR="003F4F8B" w:rsidRPr="003F4F8B" w:rsidRDefault="003F4F8B" w:rsidP="003F4F8B">
            <w:pPr>
              <w:pStyle w:val="TableText"/>
            </w:pPr>
            <w:r w:rsidRPr="00887834">
              <w:rPr>
                <w:b/>
              </w:rPr>
              <w:t xml:space="preserve">Address: </w:t>
            </w:r>
          </w:p>
        </w:tc>
      </w:tr>
      <w:tr w:rsidR="003F4F8B" w14:paraId="7A99D548" w14:textId="77777777">
        <w:tc>
          <w:tcPr>
            <w:tcW w:w="12960" w:type="dxa"/>
            <w:gridSpan w:val="10"/>
          </w:tcPr>
          <w:p w14:paraId="5E443B0A" w14:textId="77777777" w:rsidR="003F4F8B" w:rsidRPr="003F4F8B" w:rsidRDefault="003F4F8B" w:rsidP="003F4F8B">
            <w:pPr>
              <w:pStyle w:val="TableText"/>
            </w:pPr>
            <w:r w:rsidRPr="00887834">
              <w:rPr>
                <w:b/>
              </w:rPr>
              <w:t>City, State, Zip Code:</w:t>
            </w:r>
            <w:r>
              <w:t xml:space="preserve"> </w:t>
            </w:r>
          </w:p>
        </w:tc>
      </w:tr>
      <w:tr w:rsidR="00695EBA" w14:paraId="54FBB57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val="restart"/>
            <w:shd w:val="clear" w:color="auto" w:fill="B3B3B3"/>
            <w:noWrap/>
          </w:tcPr>
          <w:p w14:paraId="7A982583" w14:textId="77777777" w:rsidR="00695EBA" w:rsidRPr="003521C6" w:rsidRDefault="00695EBA" w:rsidP="00F72DE4">
            <w:pPr>
              <w:pStyle w:val="TableText"/>
              <w:rPr>
                <w:b/>
                <w:szCs w:val="20"/>
              </w:rPr>
            </w:pPr>
            <w:r w:rsidRPr="003521C6">
              <w:rPr>
                <w:b/>
                <w:szCs w:val="20"/>
              </w:rPr>
              <w:t>Patient Last Name</w:t>
            </w:r>
            <w:r>
              <w:rPr>
                <w:b/>
                <w:szCs w:val="20"/>
              </w:rPr>
              <w:t>, Last Four Digits</w:t>
            </w:r>
            <w:r w:rsidRPr="003521C6">
              <w:rPr>
                <w:b/>
                <w:szCs w:val="20"/>
              </w:rPr>
              <w:t xml:space="preserve"> of SSN</w:t>
            </w:r>
          </w:p>
        </w:tc>
        <w:tc>
          <w:tcPr>
            <w:tcW w:w="2290" w:type="dxa"/>
            <w:vMerge w:val="restart"/>
            <w:shd w:val="clear" w:color="auto" w:fill="B3B3B3"/>
          </w:tcPr>
          <w:p w14:paraId="39E40442" w14:textId="77777777" w:rsidR="00695EBA" w:rsidRPr="003521C6" w:rsidRDefault="00695EBA" w:rsidP="00F72DE4">
            <w:pPr>
              <w:pStyle w:val="TableText"/>
              <w:rPr>
                <w:b/>
                <w:szCs w:val="20"/>
              </w:rPr>
            </w:pPr>
            <w:r w:rsidRPr="003521C6">
              <w:rPr>
                <w:b/>
                <w:szCs w:val="20"/>
              </w:rPr>
              <w:t>Unit Number</w:t>
            </w:r>
          </w:p>
        </w:tc>
        <w:tc>
          <w:tcPr>
            <w:tcW w:w="897" w:type="dxa"/>
            <w:vMerge w:val="restart"/>
            <w:shd w:val="clear" w:color="auto" w:fill="B3B3B3"/>
          </w:tcPr>
          <w:p w14:paraId="7B842094" w14:textId="77777777" w:rsidR="00695EBA" w:rsidRPr="003521C6" w:rsidRDefault="00695EBA" w:rsidP="00F72DE4">
            <w:pPr>
              <w:pStyle w:val="TableText"/>
              <w:rPr>
                <w:b/>
                <w:szCs w:val="20"/>
              </w:rPr>
            </w:pPr>
            <w:r>
              <w:rPr>
                <w:b/>
                <w:szCs w:val="20"/>
              </w:rPr>
              <w:t>Product Code</w:t>
            </w:r>
          </w:p>
        </w:tc>
        <w:tc>
          <w:tcPr>
            <w:tcW w:w="797" w:type="dxa"/>
            <w:vMerge w:val="restart"/>
            <w:shd w:val="clear" w:color="auto" w:fill="B3B3B3"/>
          </w:tcPr>
          <w:p w14:paraId="16E2CE58" w14:textId="77777777" w:rsidR="00695EBA" w:rsidRPr="003521C6" w:rsidRDefault="00695EBA" w:rsidP="00F72DE4">
            <w:pPr>
              <w:pStyle w:val="TableText"/>
              <w:rPr>
                <w:b/>
                <w:szCs w:val="20"/>
              </w:rPr>
            </w:pPr>
            <w:r w:rsidRPr="003521C6">
              <w:rPr>
                <w:b/>
                <w:szCs w:val="20"/>
              </w:rPr>
              <w:t>Date</w:t>
            </w:r>
          </w:p>
        </w:tc>
        <w:tc>
          <w:tcPr>
            <w:tcW w:w="1740" w:type="dxa"/>
            <w:gridSpan w:val="2"/>
            <w:tcBorders>
              <w:bottom w:val="single" w:sz="2" w:space="0" w:color="auto"/>
            </w:tcBorders>
            <w:shd w:val="clear" w:color="auto" w:fill="B3B3B3"/>
          </w:tcPr>
          <w:p w14:paraId="1612D41F" w14:textId="77777777" w:rsidR="00695EBA" w:rsidRPr="003521C6" w:rsidRDefault="00695EBA" w:rsidP="00F72DE4">
            <w:pPr>
              <w:pStyle w:val="TableText"/>
              <w:rPr>
                <w:b/>
                <w:szCs w:val="20"/>
              </w:rPr>
            </w:pPr>
            <w:r w:rsidRPr="003521C6">
              <w:rPr>
                <w:b/>
                <w:szCs w:val="20"/>
              </w:rPr>
              <w:t>Time</w:t>
            </w:r>
          </w:p>
        </w:tc>
        <w:tc>
          <w:tcPr>
            <w:tcW w:w="1357" w:type="dxa"/>
            <w:vMerge w:val="restart"/>
            <w:shd w:val="clear" w:color="auto" w:fill="B3B3B3"/>
          </w:tcPr>
          <w:p w14:paraId="6B606E0B" w14:textId="77777777" w:rsidR="00695EBA" w:rsidRPr="003521C6" w:rsidRDefault="00695EBA" w:rsidP="00F72DE4">
            <w:pPr>
              <w:pStyle w:val="TableText"/>
              <w:rPr>
                <w:b/>
                <w:szCs w:val="20"/>
              </w:rPr>
            </w:pPr>
            <w:r>
              <w:rPr>
                <w:b/>
                <w:szCs w:val="20"/>
              </w:rPr>
              <w:t xml:space="preserve">Unit </w:t>
            </w:r>
            <w:r w:rsidRPr="003521C6">
              <w:rPr>
                <w:b/>
                <w:szCs w:val="20"/>
              </w:rPr>
              <w:t>Satisfactory</w:t>
            </w:r>
            <w:r>
              <w:rPr>
                <w:b/>
                <w:szCs w:val="20"/>
              </w:rPr>
              <w:t>?</w:t>
            </w:r>
          </w:p>
          <w:p w14:paraId="6D6A9275" w14:textId="77777777" w:rsidR="00695EBA" w:rsidRPr="003521C6" w:rsidRDefault="00695EBA" w:rsidP="00F72DE4">
            <w:pPr>
              <w:pStyle w:val="TableText"/>
              <w:rPr>
                <w:b/>
                <w:szCs w:val="20"/>
              </w:rPr>
            </w:pPr>
            <w:r w:rsidRPr="003521C6">
              <w:rPr>
                <w:b/>
                <w:szCs w:val="20"/>
              </w:rPr>
              <w:t>(Yes</w:t>
            </w:r>
            <w:r>
              <w:rPr>
                <w:b/>
                <w:szCs w:val="20"/>
              </w:rPr>
              <w:t>,</w:t>
            </w:r>
            <w:r w:rsidRPr="003521C6">
              <w:rPr>
                <w:b/>
                <w:szCs w:val="20"/>
              </w:rPr>
              <w:t xml:space="preserve"> No)</w:t>
            </w:r>
          </w:p>
        </w:tc>
        <w:tc>
          <w:tcPr>
            <w:tcW w:w="747" w:type="dxa"/>
            <w:vMerge w:val="restart"/>
            <w:shd w:val="clear" w:color="auto" w:fill="B3B3B3"/>
          </w:tcPr>
          <w:p w14:paraId="2C817317" w14:textId="77777777" w:rsidR="00695EBA" w:rsidRPr="003521C6" w:rsidRDefault="00695EBA" w:rsidP="00F72DE4">
            <w:pPr>
              <w:pStyle w:val="TableText"/>
              <w:rPr>
                <w:b/>
                <w:szCs w:val="20"/>
              </w:rPr>
            </w:pPr>
            <w:r w:rsidRPr="003521C6">
              <w:rPr>
                <w:b/>
                <w:szCs w:val="20"/>
              </w:rPr>
              <w:t>Ward</w:t>
            </w:r>
          </w:p>
        </w:tc>
        <w:tc>
          <w:tcPr>
            <w:tcW w:w="708" w:type="dxa"/>
            <w:vMerge w:val="restart"/>
            <w:shd w:val="clear" w:color="auto" w:fill="B3B3B3"/>
          </w:tcPr>
          <w:p w14:paraId="7D28F213" w14:textId="77777777" w:rsidR="00695EBA" w:rsidRPr="003521C6" w:rsidRDefault="00695EBA" w:rsidP="00F72DE4">
            <w:pPr>
              <w:pStyle w:val="TableText"/>
              <w:rPr>
                <w:b/>
                <w:szCs w:val="20"/>
              </w:rPr>
            </w:pPr>
            <w:r w:rsidRPr="003521C6">
              <w:rPr>
                <w:b/>
                <w:szCs w:val="20"/>
              </w:rPr>
              <w:t>Tech</w:t>
            </w:r>
          </w:p>
        </w:tc>
        <w:tc>
          <w:tcPr>
            <w:tcW w:w="1026" w:type="dxa"/>
            <w:vMerge w:val="restart"/>
            <w:shd w:val="clear" w:color="auto" w:fill="B3B3B3"/>
          </w:tcPr>
          <w:p w14:paraId="26DBB000" w14:textId="77777777" w:rsidR="00695EBA" w:rsidRPr="003521C6" w:rsidRDefault="00695EBA" w:rsidP="00F72DE4">
            <w:pPr>
              <w:pStyle w:val="TableText"/>
              <w:rPr>
                <w:b/>
                <w:szCs w:val="20"/>
              </w:rPr>
            </w:pPr>
            <w:r w:rsidRPr="003521C6">
              <w:rPr>
                <w:b/>
                <w:szCs w:val="20"/>
              </w:rPr>
              <w:t>Issued To</w:t>
            </w:r>
            <w:r>
              <w:rPr>
                <w:b/>
                <w:szCs w:val="20"/>
              </w:rPr>
              <w:t>:</w:t>
            </w:r>
          </w:p>
        </w:tc>
      </w:tr>
      <w:tr w:rsidR="00695EBA" w14:paraId="11501E3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noWrap/>
          </w:tcPr>
          <w:p w14:paraId="576D31F4" w14:textId="77777777" w:rsidR="00695EBA" w:rsidRDefault="00695EBA" w:rsidP="00F72DE4">
            <w:pPr>
              <w:pStyle w:val="TableText"/>
              <w:rPr>
                <w:szCs w:val="20"/>
              </w:rPr>
            </w:pPr>
          </w:p>
        </w:tc>
        <w:tc>
          <w:tcPr>
            <w:tcW w:w="2290" w:type="dxa"/>
            <w:vMerge/>
          </w:tcPr>
          <w:p w14:paraId="13223F6D" w14:textId="77777777" w:rsidR="00695EBA" w:rsidRDefault="00695EBA" w:rsidP="00F72DE4">
            <w:pPr>
              <w:pStyle w:val="TableText"/>
              <w:rPr>
                <w:szCs w:val="20"/>
              </w:rPr>
            </w:pPr>
          </w:p>
        </w:tc>
        <w:tc>
          <w:tcPr>
            <w:tcW w:w="897" w:type="dxa"/>
            <w:vMerge/>
          </w:tcPr>
          <w:p w14:paraId="23E7EDA6" w14:textId="77777777" w:rsidR="00695EBA" w:rsidRDefault="00695EBA" w:rsidP="00F72DE4">
            <w:pPr>
              <w:pStyle w:val="TableText"/>
              <w:rPr>
                <w:szCs w:val="20"/>
              </w:rPr>
            </w:pPr>
          </w:p>
        </w:tc>
        <w:tc>
          <w:tcPr>
            <w:tcW w:w="797" w:type="dxa"/>
            <w:vMerge/>
          </w:tcPr>
          <w:p w14:paraId="1394C3DD" w14:textId="77777777" w:rsidR="00695EBA" w:rsidRDefault="00695EBA" w:rsidP="00F72DE4">
            <w:pPr>
              <w:pStyle w:val="TableText"/>
              <w:rPr>
                <w:szCs w:val="20"/>
              </w:rPr>
            </w:pPr>
          </w:p>
        </w:tc>
        <w:tc>
          <w:tcPr>
            <w:tcW w:w="835" w:type="dxa"/>
            <w:shd w:val="clear" w:color="auto" w:fill="B3B3B3"/>
          </w:tcPr>
          <w:p w14:paraId="4D2A9E7F" w14:textId="77777777" w:rsidR="00695EBA" w:rsidRPr="003521C6" w:rsidRDefault="00695EBA" w:rsidP="00F72DE4">
            <w:pPr>
              <w:pStyle w:val="TableText"/>
              <w:rPr>
                <w:b/>
                <w:szCs w:val="20"/>
              </w:rPr>
            </w:pPr>
            <w:r w:rsidRPr="003521C6">
              <w:rPr>
                <w:b/>
                <w:szCs w:val="20"/>
              </w:rPr>
              <w:t>Issue</w:t>
            </w:r>
          </w:p>
        </w:tc>
        <w:tc>
          <w:tcPr>
            <w:tcW w:w="905" w:type="dxa"/>
            <w:shd w:val="clear" w:color="auto" w:fill="B3B3B3"/>
          </w:tcPr>
          <w:p w14:paraId="770F443A" w14:textId="77777777" w:rsidR="00695EBA" w:rsidRPr="003521C6" w:rsidRDefault="00695EBA" w:rsidP="00F72DE4">
            <w:pPr>
              <w:pStyle w:val="TableText"/>
              <w:rPr>
                <w:b/>
                <w:szCs w:val="20"/>
              </w:rPr>
            </w:pPr>
            <w:r w:rsidRPr="003521C6">
              <w:rPr>
                <w:b/>
                <w:szCs w:val="20"/>
              </w:rPr>
              <w:t>Return</w:t>
            </w:r>
          </w:p>
        </w:tc>
        <w:tc>
          <w:tcPr>
            <w:tcW w:w="1357" w:type="dxa"/>
            <w:vMerge/>
          </w:tcPr>
          <w:p w14:paraId="1FB959F6" w14:textId="77777777" w:rsidR="00695EBA" w:rsidRDefault="00695EBA" w:rsidP="00F72DE4">
            <w:pPr>
              <w:pStyle w:val="TableText"/>
              <w:rPr>
                <w:szCs w:val="20"/>
              </w:rPr>
            </w:pPr>
          </w:p>
        </w:tc>
        <w:tc>
          <w:tcPr>
            <w:tcW w:w="747" w:type="dxa"/>
            <w:vMerge/>
          </w:tcPr>
          <w:p w14:paraId="24BCF3A2" w14:textId="77777777" w:rsidR="00695EBA" w:rsidRDefault="00695EBA" w:rsidP="00F72DE4">
            <w:pPr>
              <w:pStyle w:val="TableText"/>
              <w:rPr>
                <w:szCs w:val="20"/>
              </w:rPr>
            </w:pPr>
          </w:p>
        </w:tc>
        <w:tc>
          <w:tcPr>
            <w:tcW w:w="708" w:type="dxa"/>
            <w:vMerge/>
          </w:tcPr>
          <w:p w14:paraId="7FDB4957" w14:textId="77777777" w:rsidR="00695EBA" w:rsidRDefault="00695EBA" w:rsidP="00F72DE4">
            <w:pPr>
              <w:pStyle w:val="TableText"/>
              <w:rPr>
                <w:szCs w:val="20"/>
              </w:rPr>
            </w:pPr>
          </w:p>
        </w:tc>
        <w:tc>
          <w:tcPr>
            <w:tcW w:w="1026" w:type="dxa"/>
            <w:vMerge/>
          </w:tcPr>
          <w:p w14:paraId="1A99975A" w14:textId="77777777" w:rsidR="00695EBA" w:rsidRDefault="00695EBA" w:rsidP="00F72DE4">
            <w:pPr>
              <w:pStyle w:val="TableText"/>
              <w:rPr>
                <w:szCs w:val="20"/>
              </w:rPr>
            </w:pPr>
          </w:p>
        </w:tc>
      </w:tr>
      <w:tr w:rsidR="00695EBA" w14:paraId="609C234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A387CF" w14:textId="77777777" w:rsidR="00695EBA" w:rsidRDefault="00695EBA" w:rsidP="00A95965">
            <w:pPr>
              <w:pStyle w:val="TableText"/>
              <w:rPr>
                <w:szCs w:val="20"/>
              </w:rPr>
            </w:pPr>
          </w:p>
        </w:tc>
        <w:tc>
          <w:tcPr>
            <w:tcW w:w="2290" w:type="dxa"/>
          </w:tcPr>
          <w:p w14:paraId="219DDEA7" w14:textId="77777777" w:rsidR="00695EBA" w:rsidRDefault="00695EBA" w:rsidP="00A95965">
            <w:pPr>
              <w:pStyle w:val="TableText"/>
              <w:rPr>
                <w:szCs w:val="20"/>
              </w:rPr>
            </w:pPr>
          </w:p>
        </w:tc>
        <w:tc>
          <w:tcPr>
            <w:tcW w:w="897" w:type="dxa"/>
          </w:tcPr>
          <w:p w14:paraId="407366F6" w14:textId="77777777" w:rsidR="00695EBA" w:rsidRDefault="00695EBA" w:rsidP="00571D70">
            <w:pPr>
              <w:pStyle w:val="TableText"/>
              <w:rPr>
                <w:szCs w:val="20"/>
              </w:rPr>
            </w:pPr>
          </w:p>
        </w:tc>
        <w:tc>
          <w:tcPr>
            <w:tcW w:w="797" w:type="dxa"/>
          </w:tcPr>
          <w:p w14:paraId="2641D159" w14:textId="77777777" w:rsidR="00695EBA" w:rsidRDefault="00695EBA" w:rsidP="00A95965">
            <w:pPr>
              <w:pStyle w:val="TableText"/>
              <w:rPr>
                <w:szCs w:val="20"/>
              </w:rPr>
            </w:pPr>
          </w:p>
        </w:tc>
        <w:tc>
          <w:tcPr>
            <w:tcW w:w="835" w:type="dxa"/>
          </w:tcPr>
          <w:p w14:paraId="4608FEFA" w14:textId="77777777" w:rsidR="00695EBA" w:rsidRDefault="00695EBA" w:rsidP="00A95965">
            <w:pPr>
              <w:pStyle w:val="TableText"/>
              <w:rPr>
                <w:szCs w:val="20"/>
              </w:rPr>
            </w:pPr>
          </w:p>
        </w:tc>
        <w:tc>
          <w:tcPr>
            <w:tcW w:w="905" w:type="dxa"/>
          </w:tcPr>
          <w:p w14:paraId="622A86C6" w14:textId="77777777" w:rsidR="00695EBA" w:rsidRDefault="00695EBA" w:rsidP="00A95965">
            <w:pPr>
              <w:pStyle w:val="TableText"/>
              <w:rPr>
                <w:szCs w:val="20"/>
              </w:rPr>
            </w:pPr>
          </w:p>
        </w:tc>
        <w:tc>
          <w:tcPr>
            <w:tcW w:w="1357" w:type="dxa"/>
          </w:tcPr>
          <w:p w14:paraId="14813E7D" w14:textId="77777777" w:rsidR="00695EBA" w:rsidRDefault="00695EBA" w:rsidP="00A95965">
            <w:pPr>
              <w:pStyle w:val="TableText"/>
              <w:rPr>
                <w:szCs w:val="20"/>
              </w:rPr>
            </w:pPr>
          </w:p>
        </w:tc>
        <w:tc>
          <w:tcPr>
            <w:tcW w:w="747" w:type="dxa"/>
          </w:tcPr>
          <w:p w14:paraId="3D46EBBF" w14:textId="77777777" w:rsidR="00695EBA" w:rsidRDefault="00695EBA" w:rsidP="00A95965">
            <w:pPr>
              <w:pStyle w:val="TableText"/>
              <w:rPr>
                <w:szCs w:val="20"/>
              </w:rPr>
            </w:pPr>
          </w:p>
        </w:tc>
        <w:tc>
          <w:tcPr>
            <w:tcW w:w="708" w:type="dxa"/>
          </w:tcPr>
          <w:p w14:paraId="64CEC9EA" w14:textId="77777777" w:rsidR="00695EBA" w:rsidRDefault="00695EBA" w:rsidP="00A95965">
            <w:pPr>
              <w:pStyle w:val="TableText"/>
              <w:rPr>
                <w:szCs w:val="20"/>
              </w:rPr>
            </w:pPr>
          </w:p>
        </w:tc>
        <w:tc>
          <w:tcPr>
            <w:tcW w:w="1026" w:type="dxa"/>
          </w:tcPr>
          <w:p w14:paraId="6C24F371" w14:textId="77777777" w:rsidR="00695EBA" w:rsidRDefault="00695EBA" w:rsidP="00A95965">
            <w:pPr>
              <w:pStyle w:val="TableText"/>
              <w:rPr>
                <w:szCs w:val="20"/>
              </w:rPr>
            </w:pPr>
          </w:p>
        </w:tc>
      </w:tr>
      <w:tr w:rsidR="00695EBA" w14:paraId="749DD2B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102EE27" w14:textId="77777777" w:rsidR="00695EBA" w:rsidRDefault="00695EBA" w:rsidP="00A95965">
            <w:pPr>
              <w:pStyle w:val="TableText"/>
              <w:rPr>
                <w:szCs w:val="20"/>
              </w:rPr>
            </w:pPr>
          </w:p>
        </w:tc>
        <w:tc>
          <w:tcPr>
            <w:tcW w:w="2290" w:type="dxa"/>
          </w:tcPr>
          <w:p w14:paraId="48773C50" w14:textId="77777777" w:rsidR="00695EBA" w:rsidRDefault="00695EBA" w:rsidP="00A95965">
            <w:pPr>
              <w:pStyle w:val="TableText"/>
              <w:rPr>
                <w:szCs w:val="20"/>
              </w:rPr>
            </w:pPr>
          </w:p>
        </w:tc>
        <w:tc>
          <w:tcPr>
            <w:tcW w:w="897" w:type="dxa"/>
          </w:tcPr>
          <w:p w14:paraId="2151A35A" w14:textId="77777777" w:rsidR="00695EBA" w:rsidRDefault="00695EBA" w:rsidP="00571D70">
            <w:pPr>
              <w:pStyle w:val="TableText"/>
              <w:rPr>
                <w:szCs w:val="20"/>
              </w:rPr>
            </w:pPr>
          </w:p>
        </w:tc>
        <w:tc>
          <w:tcPr>
            <w:tcW w:w="797" w:type="dxa"/>
          </w:tcPr>
          <w:p w14:paraId="53F488D0" w14:textId="77777777" w:rsidR="00695EBA" w:rsidRDefault="00695EBA" w:rsidP="00A95965">
            <w:pPr>
              <w:pStyle w:val="TableText"/>
              <w:rPr>
                <w:szCs w:val="20"/>
              </w:rPr>
            </w:pPr>
          </w:p>
        </w:tc>
        <w:tc>
          <w:tcPr>
            <w:tcW w:w="835" w:type="dxa"/>
          </w:tcPr>
          <w:p w14:paraId="67317A96" w14:textId="77777777" w:rsidR="00695EBA" w:rsidRDefault="00695EBA" w:rsidP="00A95965">
            <w:pPr>
              <w:pStyle w:val="TableText"/>
              <w:rPr>
                <w:szCs w:val="20"/>
              </w:rPr>
            </w:pPr>
          </w:p>
        </w:tc>
        <w:tc>
          <w:tcPr>
            <w:tcW w:w="905" w:type="dxa"/>
          </w:tcPr>
          <w:p w14:paraId="7038C353" w14:textId="77777777" w:rsidR="00695EBA" w:rsidRDefault="00695EBA" w:rsidP="00A95965">
            <w:pPr>
              <w:pStyle w:val="TableText"/>
              <w:rPr>
                <w:szCs w:val="20"/>
              </w:rPr>
            </w:pPr>
          </w:p>
        </w:tc>
        <w:tc>
          <w:tcPr>
            <w:tcW w:w="1357" w:type="dxa"/>
          </w:tcPr>
          <w:p w14:paraId="4CAA4A80" w14:textId="77777777" w:rsidR="00695EBA" w:rsidRDefault="00695EBA" w:rsidP="00A95965">
            <w:pPr>
              <w:pStyle w:val="TableText"/>
              <w:rPr>
                <w:szCs w:val="20"/>
              </w:rPr>
            </w:pPr>
          </w:p>
        </w:tc>
        <w:tc>
          <w:tcPr>
            <w:tcW w:w="747" w:type="dxa"/>
          </w:tcPr>
          <w:p w14:paraId="3BF8FA60" w14:textId="77777777" w:rsidR="00695EBA" w:rsidRDefault="00695EBA" w:rsidP="00A95965">
            <w:pPr>
              <w:pStyle w:val="TableText"/>
              <w:rPr>
                <w:szCs w:val="20"/>
              </w:rPr>
            </w:pPr>
          </w:p>
        </w:tc>
        <w:tc>
          <w:tcPr>
            <w:tcW w:w="708" w:type="dxa"/>
          </w:tcPr>
          <w:p w14:paraId="59AA019A" w14:textId="77777777" w:rsidR="00695EBA" w:rsidRDefault="00695EBA" w:rsidP="00A95965">
            <w:pPr>
              <w:pStyle w:val="TableText"/>
              <w:rPr>
                <w:szCs w:val="20"/>
              </w:rPr>
            </w:pPr>
          </w:p>
        </w:tc>
        <w:tc>
          <w:tcPr>
            <w:tcW w:w="1026" w:type="dxa"/>
          </w:tcPr>
          <w:p w14:paraId="6A0C4AC8" w14:textId="77777777" w:rsidR="00695EBA" w:rsidRDefault="00695EBA" w:rsidP="00A95965">
            <w:pPr>
              <w:pStyle w:val="TableText"/>
              <w:rPr>
                <w:szCs w:val="20"/>
              </w:rPr>
            </w:pPr>
          </w:p>
        </w:tc>
      </w:tr>
      <w:tr w:rsidR="00695EBA" w14:paraId="2258F60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5A8A9B0" w14:textId="77777777" w:rsidR="00695EBA" w:rsidRDefault="00695EBA" w:rsidP="00A95965">
            <w:pPr>
              <w:pStyle w:val="TableText"/>
              <w:rPr>
                <w:szCs w:val="20"/>
              </w:rPr>
            </w:pPr>
          </w:p>
        </w:tc>
        <w:tc>
          <w:tcPr>
            <w:tcW w:w="2290" w:type="dxa"/>
          </w:tcPr>
          <w:p w14:paraId="1282B99B" w14:textId="77777777" w:rsidR="00695EBA" w:rsidRDefault="00695EBA" w:rsidP="00A95965">
            <w:pPr>
              <w:pStyle w:val="TableText"/>
              <w:rPr>
                <w:szCs w:val="20"/>
              </w:rPr>
            </w:pPr>
          </w:p>
        </w:tc>
        <w:tc>
          <w:tcPr>
            <w:tcW w:w="897" w:type="dxa"/>
          </w:tcPr>
          <w:p w14:paraId="3C171BAB" w14:textId="77777777" w:rsidR="00695EBA" w:rsidRDefault="00695EBA" w:rsidP="00571D70">
            <w:pPr>
              <w:pStyle w:val="TableText"/>
              <w:rPr>
                <w:szCs w:val="20"/>
              </w:rPr>
            </w:pPr>
          </w:p>
        </w:tc>
        <w:tc>
          <w:tcPr>
            <w:tcW w:w="797" w:type="dxa"/>
          </w:tcPr>
          <w:p w14:paraId="5D8D36FA" w14:textId="77777777" w:rsidR="00695EBA" w:rsidRDefault="00695EBA" w:rsidP="00A95965">
            <w:pPr>
              <w:pStyle w:val="TableText"/>
              <w:rPr>
                <w:szCs w:val="20"/>
              </w:rPr>
            </w:pPr>
          </w:p>
        </w:tc>
        <w:tc>
          <w:tcPr>
            <w:tcW w:w="835" w:type="dxa"/>
          </w:tcPr>
          <w:p w14:paraId="0D82F615" w14:textId="77777777" w:rsidR="00695EBA" w:rsidRDefault="00695EBA" w:rsidP="00A95965">
            <w:pPr>
              <w:pStyle w:val="TableText"/>
              <w:rPr>
                <w:szCs w:val="20"/>
              </w:rPr>
            </w:pPr>
          </w:p>
        </w:tc>
        <w:tc>
          <w:tcPr>
            <w:tcW w:w="905" w:type="dxa"/>
          </w:tcPr>
          <w:p w14:paraId="74272E43" w14:textId="77777777" w:rsidR="00695EBA" w:rsidRDefault="00695EBA" w:rsidP="00A95965">
            <w:pPr>
              <w:pStyle w:val="TableText"/>
              <w:rPr>
                <w:szCs w:val="20"/>
              </w:rPr>
            </w:pPr>
          </w:p>
        </w:tc>
        <w:tc>
          <w:tcPr>
            <w:tcW w:w="1357" w:type="dxa"/>
          </w:tcPr>
          <w:p w14:paraId="1E26A7BE" w14:textId="77777777" w:rsidR="00695EBA" w:rsidRDefault="00695EBA" w:rsidP="00A95965">
            <w:pPr>
              <w:pStyle w:val="TableText"/>
              <w:rPr>
                <w:szCs w:val="20"/>
              </w:rPr>
            </w:pPr>
          </w:p>
        </w:tc>
        <w:tc>
          <w:tcPr>
            <w:tcW w:w="747" w:type="dxa"/>
          </w:tcPr>
          <w:p w14:paraId="4BFDF0F9" w14:textId="77777777" w:rsidR="00695EBA" w:rsidRDefault="00695EBA" w:rsidP="00A95965">
            <w:pPr>
              <w:pStyle w:val="TableText"/>
              <w:rPr>
                <w:szCs w:val="20"/>
              </w:rPr>
            </w:pPr>
          </w:p>
        </w:tc>
        <w:tc>
          <w:tcPr>
            <w:tcW w:w="708" w:type="dxa"/>
          </w:tcPr>
          <w:p w14:paraId="68126F33" w14:textId="77777777" w:rsidR="00695EBA" w:rsidRDefault="00695EBA" w:rsidP="00A95965">
            <w:pPr>
              <w:pStyle w:val="TableText"/>
              <w:rPr>
                <w:szCs w:val="20"/>
              </w:rPr>
            </w:pPr>
          </w:p>
        </w:tc>
        <w:tc>
          <w:tcPr>
            <w:tcW w:w="1026" w:type="dxa"/>
          </w:tcPr>
          <w:p w14:paraId="2640E334" w14:textId="77777777" w:rsidR="00695EBA" w:rsidRDefault="00695EBA" w:rsidP="00A95965">
            <w:pPr>
              <w:pStyle w:val="TableText"/>
              <w:rPr>
                <w:szCs w:val="20"/>
              </w:rPr>
            </w:pPr>
          </w:p>
        </w:tc>
      </w:tr>
      <w:tr w:rsidR="00695EBA" w14:paraId="545C7FC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E3C7A8" w14:textId="77777777" w:rsidR="00695EBA" w:rsidRDefault="00695EBA" w:rsidP="00A95965">
            <w:pPr>
              <w:pStyle w:val="TableText"/>
              <w:rPr>
                <w:szCs w:val="20"/>
              </w:rPr>
            </w:pPr>
          </w:p>
        </w:tc>
        <w:tc>
          <w:tcPr>
            <w:tcW w:w="2290" w:type="dxa"/>
          </w:tcPr>
          <w:p w14:paraId="426F52B2" w14:textId="77777777" w:rsidR="00695EBA" w:rsidRDefault="00695EBA" w:rsidP="00A95965">
            <w:pPr>
              <w:pStyle w:val="TableText"/>
              <w:rPr>
                <w:szCs w:val="20"/>
              </w:rPr>
            </w:pPr>
          </w:p>
        </w:tc>
        <w:tc>
          <w:tcPr>
            <w:tcW w:w="897" w:type="dxa"/>
          </w:tcPr>
          <w:p w14:paraId="43C44843" w14:textId="77777777" w:rsidR="00695EBA" w:rsidRDefault="00695EBA" w:rsidP="00571D70">
            <w:pPr>
              <w:pStyle w:val="TableText"/>
              <w:rPr>
                <w:szCs w:val="20"/>
              </w:rPr>
            </w:pPr>
          </w:p>
        </w:tc>
        <w:tc>
          <w:tcPr>
            <w:tcW w:w="797" w:type="dxa"/>
          </w:tcPr>
          <w:p w14:paraId="5C1504C2" w14:textId="77777777" w:rsidR="00695EBA" w:rsidRDefault="00695EBA" w:rsidP="00A95965">
            <w:pPr>
              <w:pStyle w:val="TableText"/>
              <w:rPr>
                <w:szCs w:val="20"/>
              </w:rPr>
            </w:pPr>
          </w:p>
        </w:tc>
        <w:tc>
          <w:tcPr>
            <w:tcW w:w="835" w:type="dxa"/>
          </w:tcPr>
          <w:p w14:paraId="2D647F30" w14:textId="77777777" w:rsidR="00695EBA" w:rsidRDefault="00695EBA" w:rsidP="00A95965">
            <w:pPr>
              <w:pStyle w:val="TableText"/>
              <w:rPr>
                <w:szCs w:val="20"/>
              </w:rPr>
            </w:pPr>
          </w:p>
        </w:tc>
        <w:tc>
          <w:tcPr>
            <w:tcW w:w="905" w:type="dxa"/>
          </w:tcPr>
          <w:p w14:paraId="03701FD2" w14:textId="77777777" w:rsidR="00695EBA" w:rsidRDefault="00695EBA" w:rsidP="00A95965">
            <w:pPr>
              <w:pStyle w:val="TableText"/>
              <w:rPr>
                <w:szCs w:val="20"/>
              </w:rPr>
            </w:pPr>
          </w:p>
        </w:tc>
        <w:tc>
          <w:tcPr>
            <w:tcW w:w="1357" w:type="dxa"/>
          </w:tcPr>
          <w:p w14:paraId="7F81646C" w14:textId="77777777" w:rsidR="00695EBA" w:rsidRDefault="00695EBA" w:rsidP="00A95965">
            <w:pPr>
              <w:pStyle w:val="TableText"/>
              <w:rPr>
                <w:szCs w:val="20"/>
              </w:rPr>
            </w:pPr>
          </w:p>
        </w:tc>
        <w:tc>
          <w:tcPr>
            <w:tcW w:w="747" w:type="dxa"/>
          </w:tcPr>
          <w:p w14:paraId="21F678B9" w14:textId="77777777" w:rsidR="00695EBA" w:rsidRDefault="00695EBA" w:rsidP="00A95965">
            <w:pPr>
              <w:pStyle w:val="TableText"/>
              <w:rPr>
                <w:szCs w:val="20"/>
              </w:rPr>
            </w:pPr>
          </w:p>
        </w:tc>
        <w:tc>
          <w:tcPr>
            <w:tcW w:w="708" w:type="dxa"/>
          </w:tcPr>
          <w:p w14:paraId="078223DB" w14:textId="77777777" w:rsidR="00695EBA" w:rsidRDefault="00695EBA" w:rsidP="00A95965">
            <w:pPr>
              <w:pStyle w:val="TableText"/>
              <w:rPr>
                <w:szCs w:val="20"/>
              </w:rPr>
            </w:pPr>
          </w:p>
        </w:tc>
        <w:tc>
          <w:tcPr>
            <w:tcW w:w="1026" w:type="dxa"/>
          </w:tcPr>
          <w:p w14:paraId="26A64973" w14:textId="77777777" w:rsidR="00695EBA" w:rsidRDefault="00695EBA" w:rsidP="00A95965">
            <w:pPr>
              <w:pStyle w:val="TableText"/>
              <w:rPr>
                <w:szCs w:val="20"/>
              </w:rPr>
            </w:pPr>
          </w:p>
        </w:tc>
      </w:tr>
      <w:tr w:rsidR="00695EBA" w14:paraId="3F72F76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B9F5F5E" w14:textId="77777777" w:rsidR="00695EBA" w:rsidRDefault="00695EBA" w:rsidP="00A95965">
            <w:pPr>
              <w:pStyle w:val="TableText"/>
              <w:rPr>
                <w:szCs w:val="20"/>
              </w:rPr>
            </w:pPr>
          </w:p>
        </w:tc>
        <w:tc>
          <w:tcPr>
            <w:tcW w:w="2290" w:type="dxa"/>
          </w:tcPr>
          <w:p w14:paraId="2C1A8413" w14:textId="77777777" w:rsidR="00695EBA" w:rsidRDefault="00695EBA" w:rsidP="00A95965">
            <w:pPr>
              <w:pStyle w:val="TableText"/>
              <w:rPr>
                <w:szCs w:val="20"/>
              </w:rPr>
            </w:pPr>
          </w:p>
        </w:tc>
        <w:tc>
          <w:tcPr>
            <w:tcW w:w="897" w:type="dxa"/>
          </w:tcPr>
          <w:p w14:paraId="1049882D" w14:textId="77777777" w:rsidR="00695EBA" w:rsidRDefault="00695EBA" w:rsidP="00571D70">
            <w:pPr>
              <w:pStyle w:val="TableText"/>
              <w:rPr>
                <w:szCs w:val="20"/>
              </w:rPr>
            </w:pPr>
          </w:p>
        </w:tc>
        <w:tc>
          <w:tcPr>
            <w:tcW w:w="797" w:type="dxa"/>
          </w:tcPr>
          <w:p w14:paraId="6FF9CD75" w14:textId="77777777" w:rsidR="00695EBA" w:rsidRDefault="00695EBA" w:rsidP="00A95965">
            <w:pPr>
              <w:pStyle w:val="TableText"/>
              <w:rPr>
                <w:szCs w:val="20"/>
              </w:rPr>
            </w:pPr>
          </w:p>
        </w:tc>
        <w:tc>
          <w:tcPr>
            <w:tcW w:w="835" w:type="dxa"/>
          </w:tcPr>
          <w:p w14:paraId="5D4BFAA9" w14:textId="77777777" w:rsidR="00695EBA" w:rsidRDefault="00695EBA" w:rsidP="00A95965">
            <w:pPr>
              <w:pStyle w:val="TableText"/>
              <w:rPr>
                <w:szCs w:val="20"/>
              </w:rPr>
            </w:pPr>
          </w:p>
        </w:tc>
        <w:tc>
          <w:tcPr>
            <w:tcW w:w="905" w:type="dxa"/>
          </w:tcPr>
          <w:p w14:paraId="46DC1AA8" w14:textId="77777777" w:rsidR="00695EBA" w:rsidRDefault="00695EBA" w:rsidP="00A95965">
            <w:pPr>
              <w:pStyle w:val="TableText"/>
              <w:rPr>
                <w:szCs w:val="20"/>
              </w:rPr>
            </w:pPr>
          </w:p>
        </w:tc>
        <w:tc>
          <w:tcPr>
            <w:tcW w:w="1357" w:type="dxa"/>
          </w:tcPr>
          <w:p w14:paraId="04F78324" w14:textId="77777777" w:rsidR="00695EBA" w:rsidRDefault="00695EBA" w:rsidP="00A95965">
            <w:pPr>
              <w:pStyle w:val="TableText"/>
              <w:rPr>
                <w:szCs w:val="20"/>
              </w:rPr>
            </w:pPr>
          </w:p>
        </w:tc>
        <w:tc>
          <w:tcPr>
            <w:tcW w:w="747" w:type="dxa"/>
          </w:tcPr>
          <w:p w14:paraId="266EA2F8" w14:textId="77777777" w:rsidR="00695EBA" w:rsidRDefault="00695EBA" w:rsidP="00A95965">
            <w:pPr>
              <w:pStyle w:val="TableText"/>
              <w:rPr>
                <w:szCs w:val="20"/>
              </w:rPr>
            </w:pPr>
          </w:p>
        </w:tc>
        <w:tc>
          <w:tcPr>
            <w:tcW w:w="708" w:type="dxa"/>
          </w:tcPr>
          <w:p w14:paraId="7D6EC1FB" w14:textId="77777777" w:rsidR="00695EBA" w:rsidRDefault="00695EBA" w:rsidP="00A95965">
            <w:pPr>
              <w:pStyle w:val="TableText"/>
              <w:rPr>
                <w:szCs w:val="20"/>
              </w:rPr>
            </w:pPr>
          </w:p>
        </w:tc>
        <w:tc>
          <w:tcPr>
            <w:tcW w:w="1026" w:type="dxa"/>
          </w:tcPr>
          <w:p w14:paraId="1D14BBBD" w14:textId="77777777" w:rsidR="00695EBA" w:rsidRDefault="00695EBA" w:rsidP="00A95965">
            <w:pPr>
              <w:pStyle w:val="TableText"/>
              <w:rPr>
                <w:szCs w:val="20"/>
              </w:rPr>
            </w:pPr>
          </w:p>
        </w:tc>
      </w:tr>
      <w:tr w:rsidR="00695EBA" w14:paraId="7C061EE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38894D82" w14:textId="77777777" w:rsidR="00695EBA" w:rsidRDefault="00695EBA" w:rsidP="00A95965">
            <w:pPr>
              <w:pStyle w:val="TableText"/>
              <w:rPr>
                <w:szCs w:val="20"/>
              </w:rPr>
            </w:pPr>
          </w:p>
        </w:tc>
        <w:tc>
          <w:tcPr>
            <w:tcW w:w="2290" w:type="dxa"/>
          </w:tcPr>
          <w:p w14:paraId="066F4514" w14:textId="77777777" w:rsidR="00695EBA" w:rsidRDefault="00695EBA" w:rsidP="00A95965">
            <w:pPr>
              <w:pStyle w:val="TableText"/>
              <w:rPr>
                <w:szCs w:val="20"/>
              </w:rPr>
            </w:pPr>
          </w:p>
        </w:tc>
        <w:tc>
          <w:tcPr>
            <w:tcW w:w="897" w:type="dxa"/>
          </w:tcPr>
          <w:p w14:paraId="75B9C35D" w14:textId="77777777" w:rsidR="00695EBA" w:rsidRDefault="00695EBA" w:rsidP="00571D70">
            <w:pPr>
              <w:pStyle w:val="TableText"/>
              <w:rPr>
                <w:szCs w:val="20"/>
              </w:rPr>
            </w:pPr>
          </w:p>
        </w:tc>
        <w:tc>
          <w:tcPr>
            <w:tcW w:w="797" w:type="dxa"/>
          </w:tcPr>
          <w:p w14:paraId="7288C257" w14:textId="77777777" w:rsidR="00695EBA" w:rsidRDefault="00695EBA" w:rsidP="00A95965">
            <w:pPr>
              <w:pStyle w:val="TableText"/>
              <w:rPr>
                <w:szCs w:val="20"/>
              </w:rPr>
            </w:pPr>
          </w:p>
        </w:tc>
        <w:tc>
          <w:tcPr>
            <w:tcW w:w="835" w:type="dxa"/>
          </w:tcPr>
          <w:p w14:paraId="039471AE" w14:textId="77777777" w:rsidR="00695EBA" w:rsidRDefault="00695EBA" w:rsidP="00A95965">
            <w:pPr>
              <w:pStyle w:val="TableText"/>
              <w:rPr>
                <w:szCs w:val="20"/>
              </w:rPr>
            </w:pPr>
          </w:p>
        </w:tc>
        <w:tc>
          <w:tcPr>
            <w:tcW w:w="905" w:type="dxa"/>
          </w:tcPr>
          <w:p w14:paraId="70D9CD3D" w14:textId="77777777" w:rsidR="00695EBA" w:rsidRDefault="00695EBA" w:rsidP="00A95965">
            <w:pPr>
              <w:pStyle w:val="TableText"/>
              <w:rPr>
                <w:szCs w:val="20"/>
              </w:rPr>
            </w:pPr>
          </w:p>
        </w:tc>
        <w:tc>
          <w:tcPr>
            <w:tcW w:w="1357" w:type="dxa"/>
          </w:tcPr>
          <w:p w14:paraId="6EA3A3BB" w14:textId="77777777" w:rsidR="00695EBA" w:rsidRDefault="00695EBA" w:rsidP="00A95965">
            <w:pPr>
              <w:pStyle w:val="TableText"/>
              <w:rPr>
                <w:szCs w:val="20"/>
              </w:rPr>
            </w:pPr>
          </w:p>
        </w:tc>
        <w:tc>
          <w:tcPr>
            <w:tcW w:w="747" w:type="dxa"/>
          </w:tcPr>
          <w:p w14:paraId="16CD1F78" w14:textId="77777777" w:rsidR="00695EBA" w:rsidRDefault="00695EBA" w:rsidP="00A95965">
            <w:pPr>
              <w:pStyle w:val="TableText"/>
              <w:rPr>
                <w:szCs w:val="20"/>
              </w:rPr>
            </w:pPr>
          </w:p>
        </w:tc>
        <w:tc>
          <w:tcPr>
            <w:tcW w:w="708" w:type="dxa"/>
          </w:tcPr>
          <w:p w14:paraId="563CECAC" w14:textId="77777777" w:rsidR="00695EBA" w:rsidRDefault="00695EBA" w:rsidP="00A95965">
            <w:pPr>
              <w:pStyle w:val="TableText"/>
              <w:rPr>
                <w:szCs w:val="20"/>
              </w:rPr>
            </w:pPr>
          </w:p>
        </w:tc>
        <w:tc>
          <w:tcPr>
            <w:tcW w:w="1026" w:type="dxa"/>
          </w:tcPr>
          <w:p w14:paraId="7A507785" w14:textId="77777777" w:rsidR="00695EBA" w:rsidRDefault="00695EBA" w:rsidP="00A95965">
            <w:pPr>
              <w:pStyle w:val="TableText"/>
              <w:rPr>
                <w:szCs w:val="20"/>
              </w:rPr>
            </w:pPr>
          </w:p>
        </w:tc>
      </w:tr>
      <w:tr w:rsidR="00695EBA" w14:paraId="2383ACD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1DB776E" w14:textId="77777777" w:rsidR="00695EBA" w:rsidRDefault="00695EBA" w:rsidP="00A95965">
            <w:pPr>
              <w:pStyle w:val="TableText"/>
              <w:rPr>
                <w:szCs w:val="20"/>
              </w:rPr>
            </w:pPr>
          </w:p>
        </w:tc>
        <w:tc>
          <w:tcPr>
            <w:tcW w:w="2290" w:type="dxa"/>
          </w:tcPr>
          <w:p w14:paraId="2B817AC6" w14:textId="77777777" w:rsidR="00695EBA" w:rsidRDefault="00695EBA" w:rsidP="00A95965">
            <w:pPr>
              <w:pStyle w:val="TableText"/>
              <w:rPr>
                <w:szCs w:val="20"/>
              </w:rPr>
            </w:pPr>
          </w:p>
        </w:tc>
        <w:tc>
          <w:tcPr>
            <w:tcW w:w="897" w:type="dxa"/>
          </w:tcPr>
          <w:p w14:paraId="214FC02B" w14:textId="77777777" w:rsidR="00695EBA" w:rsidRDefault="00695EBA" w:rsidP="00571D70">
            <w:pPr>
              <w:pStyle w:val="TableText"/>
              <w:rPr>
                <w:szCs w:val="20"/>
              </w:rPr>
            </w:pPr>
          </w:p>
        </w:tc>
        <w:tc>
          <w:tcPr>
            <w:tcW w:w="797" w:type="dxa"/>
          </w:tcPr>
          <w:p w14:paraId="0B8BFAFB" w14:textId="77777777" w:rsidR="00695EBA" w:rsidRDefault="00695EBA" w:rsidP="00A95965">
            <w:pPr>
              <w:pStyle w:val="TableText"/>
              <w:rPr>
                <w:szCs w:val="20"/>
              </w:rPr>
            </w:pPr>
          </w:p>
        </w:tc>
        <w:tc>
          <w:tcPr>
            <w:tcW w:w="835" w:type="dxa"/>
          </w:tcPr>
          <w:p w14:paraId="14281BFE" w14:textId="77777777" w:rsidR="00695EBA" w:rsidRDefault="00695EBA" w:rsidP="00A95965">
            <w:pPr>
              <w:pStyle w:val="TableText"/>
              <w:rPr>
                <w:szCs w:val="20"/>
              </w:rPr>
            </w:pPr>
          </w:p>
        </w:tc>
        <w:tc>
          <w:tcPr>
            <w:tcW w:w="905" w:type="dxa"/>
          </w:tcPr>
          <w:p w14:paraId="61C6AA93" w14:textId="77777777" w:rsidR="00695EBA" w:rsidRDefault="00695EBA" w:rsidP="00A95965">
            <w:pPr>
              <w:pStyle w:val="TableText"/>
              <w:rPr>
                <w:szCs w:val="20"/>
              </w:rPr>
            </w:pPr>
          </w:p>
        </w:tc>
        <w:tc>
          <w:tcPr>
            <w:tcW w:w="1357" w:type="dxa"/>
          </w:tcPr>
          <w:p w14:paraId="1D8AB84C" w14:textId="77777777" w:rsidR="00695EBA" w:rsidRDefault="00695EBA" w:rsidP="00A95965">
            <w:pPr>
              <w:pStyle w:val="TableText"/>
              <w:rPr>
                <w:szCs w:val="20"/>
              </w:rPr>
            </w:pPr>
          </w:p>
        </w:tc>
        <w:tc>
          <w:tcPr>
            <w:tcW w:w="747" w:type="dxa"/>
          </w:tcPr>
          <w:p w14:paraId="6DCD0EDA" w14:textId="77777777" w:rsidR="00695EBA" w:rsidRDefault="00695EBA" w:rsidP="00A95965">
            <w:pPr>
              <w:pStyle w:val="TableText"/>
              <w:rPr>
                <w:szCs w:val="20"/>
              </w:rPr>
            </w:pPr>
          </w:p>
        </w:tc>
        <w:tc>
          <w:tcPr>
            <w:tcW w:w="708" w:type="dxa"/>
          </w:tcPr>
          <w:p w14:paraId="6EBFB9D4" w14:textId="77777777" w:rsidR="00695EBA" w:rsidRDefault="00695EBA" w:rsidP="00A95965">
            <w:pPr>
              <w:pStyle w:val="TableText"/>
              <w:rPr>
                <w:szCs w:val="20"/>
              </w:rPr>
            </w:pPr>
          </w:p>
        </w:tc>
        <w:tc>
          <w:tcPr>
            <w:tcW w:w="1026" w:type="dxa"/>
          </w:tcPr>
          <w:p w14:paraId="4C48E4F0" w14:textId="77777777" w:rsidR="00695EBA" w:rsidRDefault="00695EBA" w:rsidP="00A95965">
            <w:pPr>
              <w:pStyle w:val="TableText"/>
              <w:rPr>
                <w:szCs w:val="20"/>
              </w:rPr>
            </w:pPr>
          </w:p>
        </w:tc>
      </w:tr>
      <w:tr w:rsidR="00695EBA" w14:paraId="6F578B1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D89C1C5" w14:textId="77777777" w:rsidR="00695EBA" w:rsidRDefault="00695EBA" w:rsidP="00A95965">
            <w:pPr>
              <w:pStyle w:val="TableText"/>
              <w:rPr>
                <w:szCs w:val="20"/>
              </w:rPr>
            </w:pPr>
          </w:p>
        </w:tc>
        <w:tc>
          <w:tcPr>
            <w:tcW w:w="2290" w:type="dxa"/>
          </w:tcPr>
          <w:p w14:paraId="78DB4EFF" w14:textId="77777777" w:rsidR="00695EBA" w:rsidRDefault="00695EBA" w:rsidP="00A95965">
            <w:pPr>
              <w:pStyle w:val="TableText"/>
              <w:rPr>
                <w:szCs w:val="20"/>
              </w:rPr>
            </w:pPr>
          </w:p>
        </w:tc>
        <w:tc>
          <w:tcPr>
            <w:tcW w:w="897" w:type="dxa"/>
          </w:tcPr>
          <w:p w14:paraId="107281D4" w14:textId="77777777" w:rsidR="00695EBA" w:rsidRDefault="00695EBA" w:rsidP="00571D70">
            <w:pPr>
              <w:pStyle w:val="TableText"/>
              <w:rPr>
                <w:szCs w:val="20"/>
              </w:rPr>
            </w:pPr>
          </w:p>
        </w:tc>
        <w:tc>
          <w:tcPr>
            <w:tcW w:w="797" w:type="dxa"/>
          </w:tcPr>
          <w:p w14:paraId="13EB58CB" w14:textId="77777777" w:rsidR="00695EBA" w:rsidRDefault="00695EBA" w:rsidP="00A95965">
            <w:pPr>
              <w:pStyle w:val="TableText"/>
              <w:rPr>
                <w:szCs w:val="20"/>
              </w:rPr>
            </w:pPr>
          </w:p>
        </w:tc>
        <w:tc>
          <w:tcPr>
            <w:tcW w:w="835" w:type="dxa"/>
          </w:tcPr>
          <w:p w14:paraId="46BA0EC1" w14:textId="77777777" w:rsidR="00695EBA" w:rsidRDefault="00695EBA" w:rsidP="00A95965">
            <w:pPr>
              <w:pStyle w:val="TableText"/>
              <w:rPr>
                <w:szCs w:val="20"/>
              </w:rPr>
            </w:pPr>
          </w:p>
        </w:tc>
        <w:tc>
          <w:tcPr>
            <w:tcW w:w="905" w:type="dxa"/>
          </w:tcPr>
          <w:p w14:paraId="6AD4E5FE" w14:textId="77777777" w:rsidR="00695EBA" w:rsidRDefault="00695EBA" w:rsidP="00A95965">
            <w:pPr>
              <w:pStyle w:val="TableText"/>
              <w:rPr>
                <w:szCs w:val="20"/>
              </w:rPr>
            </w:pPr>
          </w:p>
        </w:tc>
        <w:tc>
          <w:tcPr>
            <w:tcW w:w="1357" w:type="dxa"/>
          </w:tcPr>
          <w:p w14:paraId="04881FFD" w14:textId="77777777" w:rsidR="00695EBA" w:rsidRDefault="00695EBA" w:rsidP="00A95965">
            <w:pPr>
              <w:pStyle w:val="TableText"/>
              <w:rPr>
                <w:szCs w:val="20"/>
              </w:rPr>
            </w:pPr>
          </w:p>
        </w:tc>
        <w:tc>
          <w:tcPr>
            <w:tcW w:w="747" w:type="dxa"/>
          </w:tcPr>
          <w:p w14:paraId="753FD0CC" w14:textId="77777777" w:rsidR="00695EBA" w:rsidRDefault="00695EBA" w:rsidP="00A95965">
            <w:pPr>
              <w:pStyle w:val="TableText"/>
              <w:rPr>
                <w:szCs w:val="20"/>
              </w:rPr>
            </w:pPr>
          </w:p>
        </w:tc>
        <w:tc>
          <w:tcPr>
            <w:tcW w:w="708" w:type="dxa"/>
          </w:tcPr>
          <w:p w14:paraId="2C3A228A" w14:textId="77777777" w:rsidR="00695EBA" w:rsidRDefault="00695EBA" w:rsidP="00A95965">
            <w:pPr>
              <w:pStyle w:val="TableText"/>
              <w:rPr>
                <w:szCs w:val="20"/>
              </w:rPr>
            </w:pPr>
          </w:p>
        </w:tc>
        <w:tc>
          <w:tcPr>
            <w:tcW w:w="1026" w:type="dxa"/>
          </w:tcPr>
          <w:p w14:paraId="4D4BC87F" w14:textId="77777777" w:rsidR="00695EBA" w:rsidRDefault="00695EBA" w:rsidP="00A95965">
            <w:pPr>
              <w:pStyle w:val="TableText"/>
              <w:rPr>
                <w:szCs w:val="20"/>
              </w:rPr>
            </w:pPr>
          </w:p>
        </w:tc>
      </w:tr>
      <w:tr w:rsidR="00695EBA" w14:paraId="3E70C28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C802B8E" w14:textId="77777777" w:rsidR="00695EBA" w:rsidRDefault="00695EBA" w:rsidP="00A95965">
            <w:pPr>
              <w:pStyle w:val="TableText"/>
              <w:rPr>
                <w:szCs w:val="20"/>
              </w:rPr>
            </w:pPr>
          </w:p>
        </w:tc>
        <w:tc>
          <w:tcPr>
            <w:tcW w:w="2290" w:type="dxa"/>
          </w:tcPr>
          <w:p w14:paraId="2C13A899" w14:textId="77777777" w:rsidR="00695EBA" w:rsidRDefault="00695EBA" w:rsidP="00A95965">
            <w:pPr>
              <w:pStyle w:val="TableText"/>
              <w:rPr>
                <w:szCs w:val="20"/>
              </w:rPr>
            </w:pPr>
          </w:p>
        </w:tc>
        <w:tc>
          <w:tcPr>
            <w:tcW w:w="897" w:type="dxa"/>
          </w:tcPr>
          <w:p w14:paraId="0937D066" w14:textId="77777777" w:rsidR="00695EBA" w:rsidRDefault="00695EBA" w:rsidP="00571D70">
            <w:pPr>
              <w:pStyle w:val="TableText"/>
              <w:rPr>
                <w:szCs w:val="20"/>
              </w:rPr>
            </w:pPr>
          </w:p>
        </w:tc>
        <w:tc>
          <w:tcPr>
            <w:tcW w:w="797" w:type="dxa"/>
          </w:tcPr>
          <w:p w14:paraId="3D42923A" w14:textId="77777777" w:rsidR="00695EBA" w:rsidRDefault="00695EBA" w:rsidP="00A95965">
            <w:pPr>
              <w:pStyle w:val="TableText"/>
              <w:rPr>
                <w:szCs w:val="20"/>
              </w:rPr>
            </w:pPr>
          </w:p>
        </w:tc>
        <w:tc>
          <w:tcPr>
            <w:tcW w:w="835" w:type="dxa"/>
          </w:tcPr>
          <w:p w14:paraId="3DF08540" w14:textId="77777777" w:rsidR="00695EBA" w:rsidRDefault="00695EBA" w:rsidP="00A95965">
            <w:pPr>
              <w:pStyle w:val="TableText"/>
              <w:rPr>
                <w:szCs w:val="20"/>
              </w:rPr>
            </w:pPr>
          </w:p>
        </w:tc>
        <w:tc>
          <w:tcPr>
            <w:tcW w:w="905" w:type="dxa"/>
          </w:tcPr>
          <w:p w14:paraId="4F34BB58" w14:textId="77777777" w:rsidR="00695EBA" w:rsidRDefault="00695EBA" w:rsidP="00A95965">
            <w:pPr>
              <w:pStyle w:val="TableText"/>
              <w:rPr>
                <w:szCs w:val="20"/>
              </w:rPr>
            </w:pPr>
          </w:p>
        </w:tc>
        <w:tc>
          <w:tcPr>
            <w:tcW w:w="1357" w:type="dxa"/>
          </w:tcPr>
          <w:p w14:paraId="350409AB" w14:textId="77777777" w:rsidR="00695EBA" w:rsidRDefault="00695EBA" w:rsidP="00A95965">
            <w:pPr>
              <w:pStyle w:val="TableText"/>
              <w:rPr>
                <w:szCs w:val="20"/>
              </w:rPr>
            </w:pPr>
          </w:p>
        </w:tc>
        <w:tc>
          <w:tcPr>
            <w:tcW w:w="747" w:type="dxa"/>
          </w:tcPr>
          <w:p w14:paraId="76F3B1C5" w14:textId="77777777" w:rsidR="00695EBA" w:rsidRDefault="00695EBA" w:rsidP="00A95965">
            <w:pPr>
              <w:pStyle w:val="TableText"/>
              <w:rPr>
                <w:szCs w:val="20"/>
              </w:rPr>
            </w:pPr>
          </w:p>
        </w:tc>
        <w:tc>
          <w:tcPr>
            <w:tcW w:w="708" w:type="dxa"/>
          </w:tcPr>
          <w:p w14:paraId="7DF7CBCC" w14:textId="77777777" w:rsidR="00695EBA" w:rsidRDefault="00695EBA" w:rsidP="00A95965">
            <w:pPr>
              <w:pStyle w:val="TableText"/>
              <w:rPr>
                <w:szCs w:val="20"/>
              </w:rPr>
            </w:pPr>
          </w:p>
        </w:tc>
        <w:tc>
          <w:tcPr>
            <w:tcW w:w="1026" w:type="dxa"/>
          </w:tcPr>
          <w:p w14:paraId="26524D6B" w14:textId="77777777" w:rsidR="00695EBA" w:rsidRDefault="00695EBA" w:rsidP="00A95965">
            <w:pPr>
              <w:pStyle w:val="TableText"/>
              <w:rPr>
                <w:szCs w:val="20"/>
              </w:rPr>
            </w:pPr>
          </w:p>
        </w:tc>
      </w:tr>
      <w:tr w:rsidR="00695EBA" w14:paraId="3E1AFC0E"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6E3D23F" w14:textId="77777777" w:rsidR="00695EBA" w:rsidRDefault="00695EBA" w:rsidP="00A95965">
            <w:pPr>
              <w:pStyle w:val="TableText"/>
              <w:rPr>
                <w:szCs w:val="20"/>
              </w:rPr>
            </w:pPr>
          </w:p>
        </w:tc>
        <w:tc>
          <w:tcPr>
            <w:tcW w:w="2290" w:type="dxa"/>
          </w:tcPr>
          <w:p w14:paraId="6D057182" w14:textId="77777777" w:rsidR="00695EBA" w:rsidRDefault="00695EBA" w:rsidP="00A95965">
            <w:pPr>
              <w:pStyle w:val="TableText"/>
              <w:rPr>
                <w:szCs w:val="20"/>
              </w:rPr>
            </w:pPr>
          </w:p>
        </w:tc>
        <w:tc>
          <w:tcPr>
            <w:tcW w:w="897" w:type="dxa"/>
          </w:tcPr>
          <w:p w14:paraId="04E07207" w14:textId="77777777" w:rsidR="00695EBA" w:rsidRDefault="00695EBA" w:rsidP="00571D70">
            <w:pPr>
              <w:pStyle w:val="TableText"/>
              <w:rPr>
                <w:szCs w:val="20"/>
              </w:rPr>
            </w:pPr>
          </w:p>
        </w:tc>
        <w:tc>
          <w:tcPr>
            <w:tcW w:w="797" w:type="dxa"/>
          </w:tcPr>
          <w:p w14:paraId="31833C4D" w14:textId="77777777" w:rsidR="00695EBA" w:rsidRDefault="00695EBA" w:rsidP="00A95965">
            <w:pPr>
              <w:pStyle w:val="TableText"/>
              <w:rPr>
                <w:szCs w:val="20"/>
              </w:rPr>
            </w:pPr>
          </w:p>
        </w:tc>
        <w:tc>
          <w:tcPr>
            <w:tcW w:w="835" w:type="dxa"/>
          </w:tcPr>
          <w:p w14:paraId="12AD33F0" w14:textId="77777777" w:rsidR="00695EBA" w:rsidRDefault="00695EBA" w:rsidP="00A95965">
            <w:pPr>
              <w:pStyle w:val="TableText"/>
              <w:rPr>
                <w:szCs w:val="20"/>
              </w:rPr>
            </w:pPr>
          </w:p>
        </w:tc>
        <w:tc>
          <w:tcPr>
            <w:tcW w:w="905" w:type="dxa"/>
          </w:tcPr>
          <w:p w14:paraId="19AE2920" w14:textId="77777777" w:rsidR="00695EBA" w:rsidRDefault="00695EBA" w:rsidP="00A95965">
            <w:pPr>
              <w:pStyle w:val="TableText"/>
              <w:rPr>
                <w:szCs w:val="20"/>
              </w:rPr>
            </w:pPr>
          </w:p>
        </w:tc>
        <w:tc>
          <w:tcPr>
            <w:tcW w:w="1357" w:type="dxa"/>
          </w:tcPr>
          <w:p w14:paraId="496C672C" w14:textId="77777777" w:rsidR="00695EBA" w:rsidRDefault="00695EBA" w:rsidP="00A95965">
            <w:pPr>
              <w:pStyle w:val="TableText"/>
              <w:rPr>
                <w:szCs w:val="20"/>
              </w:rPr>
            </w:pPr>
          </w:p>
        </w:tc>
        <w:tc>
          <w:tcPr>
            <w:tcW w:w="747" w:type="dxa"/>
          </w:tcPr>
          <w:p w14:paraId="5EBEE5D0" w14:textId="77777777" w:rsidR="00695EBA" w:rsidRDefault="00695EBA" w:rsidP="00A95965">
            <w:pPr>
              <w:pStyle w:val="TableText"/>
              <w:rPr>
                <w:szCs w:val="20"/>
              </w:rPr>
            </w:pPr>
          </w:p>
        </w:tc>
        <w:tc>
          <w:tcPr>
            <w:tcW w:w="708" w:type="dxa"/>
          </w:tcPr>
          <w:p w14:paraId="5C834CCE" w14:textId="77777777" w:rsidR="00695EBA" w:rsidRDefault="00695EBA" w:rsidP="00A95965">
            <w:pPr>
              <w:pStyle w:val="TableText"/>
              <w:rPr>
                <w:szCs w:val="20"/>
              </w:rPr>
            </w:pPr>
          </w:p>
        </w:tc>
        <w:tc>
          <w:tcPr>
            <w:tcW w:w="1026" w:type="dxa"/>
          </w:tcPr>
          <w:p w14:paraId="3426586C" w14:textId="77777777" w:rsidR="00695EBA" w:rsidRDefault="00695EBA" w:rsidP="00A95965">
            <w:pPr>
              <w:pStyle w:val="TableText"/>
              <w:rPr>
                <w:szCs w:val="20"/>
              </w:rPr>
            </w:pPr>
          </w:p>
        </w:tc>
      </w:tr>
      <w:tr w:rsidR="00695EBA" w14:paraId="4D9E2BD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2C44703E" w14:textId="77777777" w:rsidR="00695EBA" w:rsidRDefault="00695EBA" w:rsidP="00A95965">
            <w:pPr>
              <w:pStyle w:val="TableText"/>
              <w:rPr>
                <w:szCs w:val="20"/>
              </w:rPr>
            </w:pPr>
          </w:p>
        </w:tc>
        <w:tc>
          <w:tcPr>
            <w:tcW w:w="2290" w:type="dxa"/>
          </w:tcPr>
          <w:p w14:paraId="5892B51E" w14:textId="77777777" w:rsidR="00695EBA" w:rsidRDefault="00695EBA" w:rsidP="00A95965">
            <w:pPr>
              <w:pStyle w:val="TableText"/>
              <w:rPr>
                <w:szCs w:val="20"/>
              </w:rPr>
            </w:pPr>
          </w:p>
        </w:tc>
        <w:tc>
          <w:tcPr>
            <w:tcW w:w="897" w:type="dxa"/>
          </w:tcPr>
          <w:p w14:paraId="0F3B1B64" w14:textId="77777777" w:rsidR="00695EBA" w:rsidRDefault="00695EBA" w:rsidP="00571D70">
            <w:pPr>
              <w:pStyle w:val="TableText"/>
              <w:rPr>
                <w:szCs w:val="20"/>
              </w:rPr>
            </w:pPr>
          </w:p>
        </w:tc>
        <w:tc>
          <w:tcPr>
            <w:tcW w:w="797" w:type="dxa"/>
          </w:tcPr>
          <w:p w14:paraId="6996767C" w14:textId="77777777" w:rsidR="00695EBA" w:rsidRDefault="00695EBA" w:rsidP="00A95965">
            <w:pPr>
              <w:pStyle w:val="TableText"/>
              <w:rPr>
                <w:szCs w:val="20"/>
              </w:rPr>
            </w:pPr>
          </w:p>
        </w:tc>
        <w:tc>
          <w:tcPr>
            <w:tcW w:w="835" w:type="dxa"/>
          </w:tcPr>
          <w:p w14:paraId="4C4C64DD" w14:textId="77777777" w:rsidR="00695EBA" w:rsidRDefault="00695EBA" w:rsidP="00A95965">
            <w:pPr>
              <w:pStyle w:val="TableText"/>
              <w:rPr>
                <w:szCs w:val="20"/>
              </w:rPr>
            </w:pPr>
          </w:p>
        </w:tc>
        <w:tc>
          <w:tcPr>
            <w:tcW w:w="905" w:type="dxa"/>
          </w:tcPr>
          <w:p w14:paraId="29C648C1" w14:textId="77777777" w:rsidR="00695EBA" w:rsidRDefault="00695EBA" w:rsidP="00A95965">
            <w:pPr>
              <w:pStyle w:val="TableText"/>
              <w:rPr>
                <w:szCs w:val="20"/>
              </w:rPr>
            </w:pPr>
          </w:p>
        </w:tc>
        <w:tc>
          <w:tcPr>
            <w:tcW w:w="1357" w:type="dxa"/>
          </w:tcPr>
          <w:p w14:paraId="36E1DF1E" w14:textId="77777777" w:rsidR="00695EBA" w:rsidRDefault="00695EBA" w:rsidP="00A95965">
            <w:pPr>
              <w:pStyle w:val="TableText"/>
              <w:rPr>
                <w:szCs w:val="20"/>
              </w:rPr>
            </w:pPr>
          </w:p>
        </w:tc>
        <w:tc>
          <w:tcPr>
            <w:tcW w:w="747" w:type="dxa"/>
          </w:tcPr>
          <w:p w14:paraId="123954EC" w14:textId="77777777" w:rsidR="00695EBA" w:rsidRDefault="00695EBA" w:rsidP="00A95965">
            <w:pPr>
              <w:pStyle w:val="TableText"/>
              <w:rPr>
                <w:szCs w:val="20"/>
              </w:rPr>
            </w:pPr>
          </w:p>
        </w:tc>
        <w:tc>
          <w:tcPr>
            <w:tcW w:w="708" w:type="dxa"/>
          </w:tcPr>
          <w:p w14:paraId="3C7B9F1A" w14:textId="77777777" w:rsidR="00695EBA" w:rsidRDefault="00695EBA" w:rsidP="00A95965">
            <w:pPr>
              <w:pStyle w:val="TableText"/>
              <w:rPr>
                <w:szCs w:val="20"/>
              </w:rPr>
            </w:pPr>
          </w:p>
        </w:tc>
        <w:tc>
          <w:tcPr>
            <w:tcW w:w="1026" w:type="dxa"/>
          </w:tcPr>
          <w:p w14:paraId="6D937937" w14:textId="77777777" w:rsidR="00695EBA" w:rsidRDefault="00695EBA" w:rsidP="00A95965">
            <w:pPr>
              <w:pStyle w:val="TableText"/>
              <w:rPr>
                <w:szCs w:val="20"/>
              </w:rPr>
            </w:pPr>
          </w:p>
        </w:tc>
      </w:tr>
      <w:tr w:rsidR="00695EBA" w14:paraId="4721B9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804B07F" w14:textId="77777777" w:rsidR="00695EBA" w:rsidRDefault="00695EBA" w:rsidP="00A95965">
            <w:pPr>
              <w:pStyle w:val="TableText"/>
              <w:rPr>
                <w:szCs w:val="20"/>
              </w:rPr>
            </w:pPr>
          </w:p>
        </w:tc>
        <w:tc>
          <w:tcPr>
            <w:tcW w:w="2290" w:type="dxa"/>
          </w:tcPr>
          <w:p w14:paraId="76F3C65C" w14:textId="77777777" w:rsidR="00695EBA" w:rsidRDefault="00695EBA" w:rsidP="00A95965">
            <w:pPr>
              <w:pStyle w:val="TableText"/>
              <w:rPr>
                <w:szCs w:val="20"/>
              </w:rPr>
            </w:pPr>
          </w:p>
        </w:tc>
        <w:tc>
          <w:tcPr>
            <w:tcW w:w="897" w:type="dxa"/>
          </w:tcPr>
          <w:p w14:paraId="010DA98B" w14:textId="77777777" w:rsidR="00695EBA" w:rsidRDefault="00695EBA" w:rsidP="00571D70">
            <w:pPr>
              <w:pStyle w:val="TableText"/>
              <w:rPr>
                <w:szCs w:val="20"/>
              </w:rPr>
            </w:pPr>
          </w:p>
        </w:tc>
        <w:tc>
          <w:tcPr>
            <w:tcW w:w="797" w:type="dxa"/>
          </w:tcPr>
          <w:p w14:paraId="042DDF30" w14:textId="77777777" w:rsidR="00695EBA" w:rsidRDefault="00695EBA" w:rsidP="00A95965">
            <w:pPr>
              <w:pStyle w:val="TableText"/>
              <w:rPr>
                <w:szCs w:val="20"/>
              </w:rPr>
            </w:pPr>
          </w:p>
        </w:tc>
        <w:tc>
          <w:tcPr>
            <w:tcW w:w="835" w:type="dxa"/>
          </w:tcPr>
          <w:p w14:paraId="6ED7F5EC" w14:textId="77777777" w:rsidR="00695EBA" w:rsidRDefault="00695EBA" w:rsidP="00A95965">
            <w:pPr>
              <w:pStyle w:val="TableText"/>
              <w:rPr>
                <w:szCs w:val="20"/>
              </w:rPr>
            </w:pPr>
          </w:p>
        </w:tc>
        <w:tc>
          <w:tcPr>
            <w:tcW w:w="905" w:type="dxa"/>
          </w:tcPr>
          <w:p w14:paraId="6E0260FD" w14:textId="77777777" w:rsidR="00695EBA" w:rsidRDefault="00695EBA" w:rsidP="00A95965">
            <w:pPr>
              <w:pStyle w:val="TableText"/>
              <w:rPr>
                <w:szCs w:val="20"/>
              </w:rPr>
            </w:pPr>
          </w:p>
        </w:tc>
        <w:tc>
          <w:tcPr>
            <w:tcW w:w="1357" w:type="dxa"/>
          </w:tcPr>
          <w:p w14:paraId="6C4FCD68" w14:textId="77777777" w:rsidR="00695EBA" w:rsidRDefault="00695EBA" w:rsidP="00A95965">
            <w:pPr>
              <w:pStyle w:val="TableText"/>
              <w:rPr>
                <w:szCs w:val="20"/>
              </w:rPr>
            </w:pPr>
          </w:p>
        </w:tc>
        <w:tc>
          <w:tcPr>
            <w:tcW w:w="747" w:type="dxa"/>
          </w:tcPr>
          <w:p w14:paraId="4C880697" w14:textId="77777777" w:rsidR="00695EBA" w:rsidRDefault="00695EBA" w:rsidP="00A95965">
            <w:pPr>
              <w:pStyle w:val="TableText"/>
              <w:rPr>
                <w:szCs w:val="20"/>
              </w:rPr>
            </w:pPr>
          </w:p>
        </w:tc>
        <w:tc>
          <w:tcPr>
            <w:tcW w:w="708" w:type="dxa"/>
          </w:tcPr>
          <w:p w14:paraId="1971B9C8" w14:textId="77777777" w:rsidR="00695EBA" w:rsidRDefault="00695EBA" w:rsidP="00A95965">
            <w:pPr>
              <w:pStyle w:val="TableText"/>
              <w:rPr>
                <w:szCs w:val="20"/>
              </w:rPr>
            </w:pPr>
          </w:p>
        </w:tc>
        <w:tc>
          <w:tcPr>
            <w:tcW w:w="1026" w:type="dxa"/>
          </w:tcPr>
          <w:p w14:paraId="3AF0E8DA" w14:textId="77777777" w:rsidR="00695EBA" w:rsidRDefault="00695EBA" w:rsidP="00A95965">
            <w:pPr>
              <w:pStyle w:val="TableText"/>
              <w:rPr>
                <w:szCs w:val="20"/>
              </w:rPr>
            </w:pPr>
          </w:p>
        </w:tc>
      </w:tr>
      <w:tr w:rsidR="00695EBA" w14:paraId="30A3D66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3DE054E" w14:textId="77777777" w:rsidR="00695EBA" w:rsidRDefault="00695EBA" w:rsidP="00A95965">
            <w:pPr>
              <w:pStyle w:val="TableText"/>
              <w:rPr>
                <w:szCs w:val="20"/>
              </w:rPr>
            </w:pPr>
          </w:p>
        </w:tc>
        <w:tc>
          <w:tcPr>
            <w:tcW w:w="2290" w:type="dxa"/>
          </w:tcPr>
          <w:p w14:paraId="277E7627" w14:textId="77777777" w:rsidR="00695EBA" w:rsidRDefault="00695EBA" w:rsidP="00A95965">
            <w:pPr>
              <w:pStyle w:val="TableText"/>
              <w:rPr>
                <w:szCs w:val="20"/>
              </w:rPr>
            </w:pPr>
          </w:p>
        </w:tc>
        <w:tc>
          <w:tcPr>
            <w:tcW w:w="897" w:type="dxa"/>
          </w:tcPr>
          <w:p w14:paraId="3987708A" w14:textId="77777777" w:rsidR="00695EBA" w:rsidRDefault="00695EBA" w:rsidP="00571D70">
            <w:pPr>
              <w:pStyle w:val="TableText"/>
              <w:rPr>
                <w:szCs w:val="20"/>
              </w:rPr>
            </w:pPr>
          </w:p>
        </w:tc>
        <w:tc>
          <w:tcPr>
            <w:tcW w:w="797" w:type="dxa"/>
          </w:tcPr>
          <w:p w14:paraId="1BF524B8" w14:textId="77777777" w:rsidR="00695EBA" w:rsidRDefault="00695EBA" w:rsidP="00A95965">
            <w:pPr>
              <w:pStyle w:val="TableText"/>
              <w:rPr>
                <w:szCs w:val="20"/>
              </w:rPr>
            </w:pPr>
          </w:p>
        </w:tc>
        <w:tc>
          <w:tcPr>
            <w:tcW w:w="835" w:type="dxa"/>
          </w:tcPr>
          <w:p w14:paraId="268E5E5E" w14:textId="77777777" w:rsidR="00695EBA" w:rsidRDefault="00695EBA" w:rsidP="00A95965">
            <w:pPr>
              <w:pStyle w:val="TableText"/>
              <w:rPr>
                <w:szCs w:val="20"/>
              </w:rPr>
            </w:pPr>
          </w:p>
        </w:tc>
        <w:tc>
          <w:tcPr>
            <w:tcW w:w="905" w:type="dxa"/>
          </w:tcPr>
          <w:p w14:paraId="3EC7067A" w14:textId="77777777" w:rsidR="00695EBA" w:rsidRDefault="00695EBA" w:rsidP="00A95965">
            <w:pPr>
              <w:pStyle w:val="TableText"/>
              <w:rPr>
                <w:szCs w:val="20"/>
              </w:rPr>
            </w:pPr>
          </w:p>
        </w:tc>
        <w:tc>
          <w:tcPr>
            <w:tcW w:w="1357" w:type="dxa"/>
          </w:tcPr>
          <w:p w14:paraId="74505759" w14:textId="77777777" w:rsidR="00695EBA" w:rsidRDefault="00695EBA" w:rsidP="00A95965">
            <w:pPr>
              <w:pStyle w:val="TableText"/>
              <w:rPr>
                <w:szCs w:val="20"/>
              </w:rPr>
            </w:pPr>
          </w:p>
        </w:tc>
        <w:tc>
          <w:tcPr>
            <w:tcW w:w="747" w:type="dxa"/>
          </w:tcPr>
          <w:p w14:paraId="4933FA27" w14:textId="77777777" w:rsidR="00695EBA" w:rsidRDefault="00695EBA" w:rsidP="00A95965">
            <w:pPr>
              <w:pStyle w:val="TableText"/>
              <w:rPr>
                <w:szCs w:val="20"/>
              </w:rPr>
            </w:pPr>
          </w:p>
        </w:tc>
        <w:tc>
          <w:tcPr>
            <w:tcW w:w="708" w:type="dxa"/>
          </w:tcPr>
          <w:p w14:paraId="6A1077B7" w14:textId="77777777" w:rsidR="00695EBA" w:rsidRDefault="00695EBA" w:rsidP="00A95965">
            <w:pPr>
              <w:pStyle w:val="TableText"/>
              <w:rPr>
                <w:szCs w:val="20"/>
              </w:rPr>
            </w:pPr>
          </w:p>
        </w:tc>
        <w:tc>
          <w:tcPr>
            <w:tcW w:w="1026" w:type="dxa"/>
          </w:tcPr>
          <w:p w14:paraId="14CDA79C" w14:textId="77777777" w:rsidR="00695EBA" w:rsidRDefault="00695EBA" w:rsidP="00A95965">
            <w:pPr>
              <w:pStyle w:val="TableText"/>
              <w:rPr>
                <w:szCs w:val="20"/>
              </w:rPr>
            </w:pPr>
          </w:p>
        </w:tc>
      </w:tr>
      <w:tr w:rsidR="00695EBA" w14:paraId="6163481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863FE63" w14:textId="77777777" w:rsidR="00695EBA" w:rsidRDefault="00695EBA" w:rsidP="00A95965">
            <w:pPr>
              <w:pStyle w:val="TableText"/>
              <w:rPr>
                <w:szCs w:val="20"/>
              </w:rPr>
            </w:pPr>
          </w:p>
        </w:tc>
        <w:tc>
          <w:tcPr>
            <w:tcW w:w="2290" w:type="dxa"/>
          </w:tcPr>
          <w:p w14:paraId="4F22E9D1" w14:textId="77777777" w:rsidR="00695EBA" w:rsidRDefault="00695EBA" w:rsidP="00A95965">
            <w:pPr>
              <w:pStyle w:val="TableText"/>
              <w:rPr>
                <w:szCs w:val="20"/>
              </w:rPr>
            </w:pPr>
          </w:p>
        </w:tc>
        <w:tc>
          <w:tcPr>
            <w:tcW w:w="897" w:type="dxa"/>
          </w:tcPr>
          <w:p w14:paraId="0970C634" w14:textId="77777777" w:rsidR="00695EBA" w:rsidRDefault="00695EBA" w:rsidP="00571D70">
            <w:pPr>
              <w:pStyle w:val="TableText"/>
              <w:rPr>
                <w:szCs w:val="20"/>
              </w:rPr>
            </w:pPr>
          </w:p>
        </w:tc>
        <w:tc>
          <w:tcPr>
            <w:tcW w:w="797" w:type="dxa"/>
          </w:tcPr>
          <w:p w14:paraId="4670731C" w14:textId="77777777" w:rsidR="00695EBA" w:rsidRDefault="00695EBA" w:rsidP="00A95965">
            <w:pPr>
              <w:pStyle w:val="TableText"/>
              <w:rPr>
                <w:szCs w:val="20"/>
              </w:rPr>
            </w:pPr>
          </w:p>
        </w:tc>
        <w:tc>
          <w:tcPr>
            <w:tcW w:w="835" w:type="dxa"/>
          </w:tcPr>
          <w:p w14:paraId="62FCD82E" w14:textId="77777777" w:rsidR="00695EBA" w:rsidRDefault="00695EBA" w:rsidP="00A95965">
            <w:pPr>
              <w:pStyle w:val="TableText"/>
              <w:rPr>
                <w:szCs w:val="20"/>
              </w:rPr>
            </w:pPr>
          </w:p>
        </w:tc>
        <w:tc>
          <w:tcPr>
            <w:tcW w:w="905" w:type="dxa"/>
          </w:tcPr>
          <w:p w14:paraId="18FE42D7" w14:textId="77777777" w:rsidR="00695EBA" w:rsidRDefault="00695EBA" w:rsidP="00A95965">
            <w:pPr>
              <w:pStyle w:val="TableText"/>
              <w:rPr>
                <w:szCs w:val="20"/>
              </w:rPr>
            </w:pPr>
          </w:p>
        </w:tc>
        <w:tc>
          <w:tcPr>
            <w:tcW w:w="1357" w:type="dxa"/>
          </w:tcPr>
          <w:p w14:paraId="6D56FBAF" w14:textId="77777777" w:rsidR="00695EBA" w:rsidRDefault="00695EBA" w:rsidP="00A95965">
            <w:pPr>
              <w:pStyle w:val="TableText"/>
              <w:rPr>
                <w:szCs w:val="20"/>
              </w:rPr>
            </w:pPr>
          </w:p>
        </w:tc>
        <w:tc>
          <w:tcPr>
            <w:tcW w:w="747" w:type="dxa"/>
          </w:tcPr>
          <w:p w14:paraId="3D0250A6" w14:textId="77777777" w:rsidR="00695EBA" w:rsidRDefault="00695EBA" w:rsidP="00A95965">
            <w:pPr>
              <w:pStyle w:val="TableText"/>
              <w:rPr>
                <w:szCs w:val="20"/>
              </w:rPr>
            </w:pPr>
          </w:p>
        </w:tc>
        <w:tc>
          <w:tcPr>
            <w:tcW w:w="708" w:type="dxa"/>
          </w:tcPr>
          <w:p w14:paraId="1CDCD5AF" w14:textId="77777777" w:rsidR="00695EBA" w:rsidRDefault="00695EBA" w:rsidP="00A95965">
            <w:pPr>
              <w:pStyle w:val="TableText"/>
              <w:rPr>
                <w:szCs w:val="20"/>
              </w:rPr>
            </w:pPr>
          </w:p>
        </w:tc>
        <w:tc>
          <w:tcPr>
            <w:tcW w:w="1026" w:type="dxa"/>
          </w:tcPr>
          <w:p w14:paraId="5EFE6B32" w14:textId="77777777" w:rsidR="00695EBA" w:rsidRDefault="00695EBA" w:rsidP="00A95965">
            <w:pPr>
              <w:pStyle w:val="TableText"/>
              <w:rPr>
                <w:szCs w:val="20"/>
              </w:rPr>
            </w:pPr>
          </w:p>
        </w:tc>
      </w:tr>
    </w:tbl>
    <w:p w14:paraId="38D1558D" w14:textId="77777777" w:rsidR="00E7240A" w:rsidRDefault="00E7240A" w:rsidP="00DD75E5">
      <w:pPr>
        <w:pStyle w:val="BodyText"/>
      </w:pPr>
    </w:p>
    <w:p w14:paraId="51CBC8BB" w14:textId="77777777" w:rsidR="00E7240A" w:rsidRDefault="00E7240A" w:rsidP="00E7240A">
      <w:pPr>
        <w:pStyle w:val="Heading3"/>
      </w:pPr>
      <w:r>
        <w:br w:type="page"/>
      </w:r>
      <w:bookmarkStart w:id="574" w:name="_Toc163644997"/>
      <w:r>
        <w:lastRenderedPageBreak/>
        <w:t>Unit Modification Form</w:t>
      </w:r>
      <w:bookmarkEnd w:id="574"/>
      <w:r w:rsidR="00246F04">
        <w:fldChar w:fldCharType="begin"/>
      </w:r>
      <w:r w:rsidR="00246F04">
        <w:instrText xml:space="preserve"> XE "</w:instrText>
      </w:r>
      <w:r w:rsidR="00246F04" w:rsidRPr="00775C8B">
        <w:instrText>Unit Modification Form</w:instrText>
      </w:r>
      <w:r w:rsidR="00246F04">
        <w:instrText xml:space="preserve">" </w:instrText>
      </w:r>
      <w:r w:rsidR="00246F04">
        <w:fldChar w:fldCharType="end"/>
      </w:r>
      <w:r w:rsidR="00A95965">
        <w:fldChar w:fldCharType="begin"/>
      </w:r>
      <w:r w:rsidR="00A95965">
        <w:instrText xml:space="preserve"> XE “Forms:Unit Modification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09"/>
        <w:gridCol w:w="2039"/>
        <w:gridCol w:w="1201"/>
        <w:gridCol w:w="2639"/>
        <w:gridCol w:w="600"/>
        <w:gridCol w:w="3240"/>
      </w:tblGrid>
      <w:tr w:rsidR="003F4F8B" w14:paraId="6D556DA5" w14:textId="77777777">
        <w:tc>
          <w:tcPr>
            <w:tcW w:w="12960" w:type="dxa"/>
            <w:gridSpan w:val="7"/>
          </w:tcPr>
          <w:p w14:paraId="11E084DB" w14:textId="77777777" w:rsidR="003F4F8B" w:rsidRPr="003F4F8B" w:rsidRDefault="003F4F8B" w:rsidP="003F4F8B">
            <w:pPr>
              <w:pStyle w:val="TableText"/>
            </w:pPr>
            <w:r w:rsidRPr="00887834">
              <w:rPr>
                <w:b/>
              </w:rPr>
              <w:t xml:space="preserve">Facility Name: </w:t>
            </w:r>
          </w:p>
        </w:tc>
      </w:tr>
      <w:tr w:rsidR="003F4F8B" w14:paraId="49345AB6" w14:textId="77777777">
        <w:tc>
          <w:tcPr>
            <w:tcW w:w="12960" w:type="dxa"/>
            <w:gridSpan w:val="7"/>
          </w:tcPr>
          <w:p w14:paraId="015C339A" w14:textId="77777777" w:rsidR="003F4F8B" w:rsidRPr="003F4F8B" w:rsidRDefault="003F4F8B" w:rsidP="003F4F8B">
            <w:pPr>
              <w:pStyle w:val="TableText"/>
            </w:pPr>
            <w:r w:rsidRPr="00887834">
              <w:rPr>
                <w:b/>
              </w:rPr>
              <w:t xml:space="preserve">Address: </w:t>
            </w:r>
          </w:p>
        </w:tc>
      </w:tr>
      <w:tr w:rsidR="003F4F8B" w14:paraId="317BBD34" w14:textId="77777777">
        <w:tc>
          <w:tcPr>
            <w:tcW w:w="12960" w:type="dxa"/>
            <w:gridSpan w:val="7"/>
          </w:tcPr>
          <w:p w14:paraId="7888C1B2" w14:textId="77777777" w:rsidR="003F4F8B" w:rsidRPr="003F4F8B" w:rsidRDefault="003F4F8B" w:rsidP="003F4F8B">
            <w:pPr>
              <w:pStyle w:val="TableText"/>
            </w:pPr>
            <w:r w:rsidRPr="00887834">
              <w:rPr>
                <w:b/>
              </w:rPr>
              <w:t>City, State, Zip Code:</w:t>
            </w:r>
            <w:r>
              <w:t xml:space="preserve"> </w:t>
            </w:r>
          </w:p>
        </w:tc>
      </w:tr>
      <w:tr w:rsidR="00E7240A" w14:paraId="4665370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0"/>
        </w:trPr>
        <w:tc>
          <w:tcPr>
            <w:tcW w:w="3241" w:type="dxa"/>
            <w:gridSpan w:val="2"/>
            <w:shd w:val="clear" w:color="auto" w:fill="B3B3B3"/>
            <w:noWrap/>
          </w:tcPr>
          <w:p w14:paraId="73165153" w14:textId="77777777" w:rsidR="00E7240A" w:rsidRPr="005F4649" w:rsidRDefault="00E7240A" w:rsidP="00A95965">
            <w:pPr>
              <w:pStyle w:val="TableText"/>
              <w:rPr>
                <w:b/>
                <w:szCs w:val="20"/>
              </w:rPr>
            </w:pPr>
            <w:r>
              <w:rPr>
                <w:b/>
                <w:szCs w:val="20"/>
              </w:rPr>
              <w:t>Modification Date and Time</w:t>
            </w:r>
          </w:p>
        </w:tc>
        <w:tc>
          <w:tcPr>
            <w:tcW w:w="3240" w:type="dxa"/>
            <w:gridSpan w:val="2"/>
            <w:shd w:val="clear" w:color="auto" w:fill="B3B3B3"/>
          </w:tcPr>
          <w:p w14:paraId="3A3ACA66" w14:textId="77777777" w:rsidR="00E7240A" w:rsidRPr="005F4649" w:rsidRDefault="00E7240A" w:rsidP="00A95965">
            <w:pPr>
              <w:pStyle w:val="TableText"/>
              <w:rPr>
                <w:b/>
                <w:szCs w:val="20"/>
              </w:rPr>
            </w:pPr>
            <w:r>
              <w:rPr>
                <w:b/>
                <w:szCs w:val="20"/>
              </w:rPr>
              <w:t>Modification Type</w:t>
            </w:r>
          </w:p>
        </w:tc>
        <w:tc>
          <w:tcPr>
            <w:tcW w:w="3239" w:type="dxa"/>
            <w:gridSpan w:val="2"/>
            <w:shd w:val="clear" w:color="auto" w:fill="B3B3B3"/>
          </w:tcPr>
          <w:p w14:paraId="7C737E99" w14:textId="77777777" w:rsidR="00E7240A" w:rsidRDefault="00E7240A" w:rsidP="00A95965">
            <w:pPr>
              <w:pStyle w:val="TableText"/>
              <w:rPr>
                <w:b/>
                <w:szCs w:val="20"/>
              </w:rPr>
            </w:pPr>
            <w:r>
              <w:rPr>
                <w:b/>
                <w:szCs w:val="20"/>
              </w:rPr>
              <w:t>Method (Open, Closed, SCD)</w:t>
            </w:r>
          </w:p>
        </w:tc>
        <w:tc>
          <w:tcPr>
            <w:tcW w:w="3240" w:type="dxa"/>
            <w:shd w:val="clear" w:color="auto" w:fill="B3B3B3"/>
          </w:tcPr>
          <w:p w14:paraId="75CCA1B9" w14:textId="77777777" w:rsidR="00E7240A" w:rsidRPr="005F4649" w:rsidRDefault="00E7240A" w:rsidP="00A95965">
            <w:pPr>
              <w:pStyle w:val="TableText"/>
              <w:rPr>
                <w:b/>
                <w:szCs w:val="20"/>
              </w:rPr>
            </w:pPr>
            <w:r>
              <w:rPr>
                <w:b/>
                <w:szCs w:val="20"/>
              </w:rPr>
              <w:t>Modified By:</w:t>
            </w:r>
          </w:p>
        </w:tc>
      </w:tr>
      <w:tr w:rsidR="00E7240A" w14:paraId="4B383E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3241" w:type="dxa"/>
            <w:gridSpan w:val="2"/>
            <w:noWrap/>
          </w:tcPr>
          <w:p w14:paraId="33FC2ADC" w14:textId="77777777" w:rsidR="00E7240A" w:rsidRDefault="00E7240A" w:rsidP="00A95965">
            <w:pPr>
              <w:pStyle w:val="TableText"/>
              <w:rPr>
                <w:b/>
                <w:szCs w:val="20"/>
              </w:rPr>
            </w:pPr>
          </w:p>
        </w:tc>
        <w:tc>
          <w:tcPr>
            <w:tcW w:w="3240" w:type="dxa"/>
            <w:gridSpan w:val="2"/>
          </w:tcPr>
          <w:p w14:paraId="6C04F94F" w14:textId="77777777" w:rsidR="00E7240A" w:rsidRDefault="00E7240A" w:rsidP="00A95965">
            <w:pPr>
              <w:pStyle w:val="TableText"/>
              <w:rPr>
                <w:b/>
                <w:szCs w:val="20"/>
              </w:rPr>
            </w:pPr>
          </w:p>
        </w:tc>
        <w:tc>
          <w:tcPr>
            <w:tcW w:w="3239" w:type="dxa"/>
            <w:gridSpan w:val="2"/>
          </w:tcPr>
          <w:p w14:paraId="15DD3F2B" w14:textId="77777777" w:rsidR="00E7240A" w:rsidRDefault="00E7240A" w:rsidP="00A95965">
            <w:pPr>
              <w:pStyle w:val="TableText"/>
              <w:rPr>
                <w:b/>
                <w:szCs w:val="20"/>
              </w:rPr>
            </w:pPr>
          </w:p>
        </w:tc>
        <w:tc>
          <w:tcPr>
            <w:tcW w:w="3240" w:type="dxa"/>
          </w:tcPr>
          <w:p w14:paraId="63CD04A6" w14:textId="77777777" w:rsidR="00E7240A" w:rsidRDefault="00E7240A" w:rsidP="00A95965">
            <w:pPr>
              <w:pStyle w:val="TableText"/>
              <w:rPr>
                <w:b/>
                <w:szCs w:val="20"/>
              </w:rPr>
            </w:pPr>
          </w:p>
        </w:tc>
      </w:tr>
      <w:tr w:rsidR="00E7240A" w14:paraId="04AF9B9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1632" w:type="dxa"/>
            <w:tcBorders>
              <w:bottom w:val="single" w:sz="2" w:space="0" w:color="auto"/>
            </w:tcBorders>
            <w:shd w:val="clear" w:color="auto" w:fill="B3B3B3"/>
            <w:noWrap/>
          </w:tcPr>
          <w:p w14:paraId="47CA5688" w14:textId="77777777" w:rsidR="00E7240A" w:rsidRDefault="00E7240A" w:rsidP="00A95965">
            <w:pPr>
              <w:pStyle w:val="TableText"/>
              <w:rPr>
                <w:b/>
                <w:szCs w:val="20"/>
              </w:rPr>
            </w:pPr>
            <w:r>
              <w:rPr>
                <w:b/>
                <w:szCs w:val="20"/>
              </w:rPr>
              <w:t>Unit Assigned? (Yes, No)</w:t>
            </w:r>
          </w:p>
        </w:tc>
        <w:tc>
          <w:tcPr>
            <w:tcW w:w="3648" w:type="dxa"/>
            <w:gridSpan w:val="2"/>
            <w:tcBorders>
              <w:bottom w:val="single" w:sz="2" w:space="0" w:color="auto"/>
            </w:tcBorders>
            <w:shd w:val="clear" w:color="auto" w:fill="B3B3B3"/>
          </w:tcPr>
          <w:p w14:paraId="386682C3" w14:textId="77777777" w:rsidR="00E7240A" w:rsidRDefault="00E7240A" w:rsidP="00A95965">
            <w:pPr>
              <w:pStyle w:val="TableText"/>
              <w:rPr>
                <w:b/>
                <w:szCs w:val="20"/>
              </w:rPr>
            </w:pPr>
            <w:r>
              <w:rPr>
                <w:b/>
                <w:szCs w:val="20"/>
              </w:rPr>
              <w:t>Patient Name</w:t>
            </w:r>
          </w:p>
        </w:tc>
        <w:tc>
          <w:tcPr>
            <w:tcW w:w="3840" w:type="dxa"/>
            <w:gridSpan w:val="2"/>
            <w:tcBorders>
              <w:bottom w:val="single" w:sz="2" w:space="0" w:color="auto"/>
            </w:tcBorders>
            <w:shd w:val="clear" w:color="auto" w:fill="B3B3B3"/>
          </w:tcPr>
          <w:p w14:paraId="4FB34722" w14:textId="77777777" w:rsidR="00E7240A" w:rsidRDefault="00E7240A" w:rsidP="00A95965">
            <w:pPr>
              <w:pStyle w:val="TableText"/>
              <w:rPr>
                <w:b/>
                <w:szCs w:val="20"/>
              </w:rPr>
            </w:pPr>
            <w:r>
              <w:rPr>
                <w:b/>
                <w:szCs w:val="20"/>
              </w:rPr>
              <w:t>Patient Identification Number</w:t>
            </w:r>
          </w:p>
        </w:tc>
        <w:tc>
          <w:tcPr>
            <w:tcW w:w="3840" w:type="dxa"/>
            <w:gridSpan w:val="2"/>
            <w:tcBorders>
              <w:bottom w:val="single" w:sz="2" w:space="0" w:color="auto"/>
            </w:tcBorders>
            <w:shd w:val="clear" w:color="auto" w:fill="B3B3B3"/>
          </w:tcPr>
          <w:p w14:paraId="2BBCCA74" w14:textId="77777777" w:rsidR="00E7240A" w:rsidRDefault="00E7240A" w:rsidP="00A95965">
            <w:pPr>
              <w:pStyle w:val="TableText"/>
              <w:rPr>
                <w:b/>
                <w:szCs w:val="20"/>
              </w:rPr>
            </w:pPr>
            <w:r>
              <w:rPr>
                <w:b/>
                <w:szCs w:val="20"/>
              </w:rPr>
              <w:t>Specimen UID</w:t>
            </w:r>
          </w:p>
        </w:tc>
      </w:tr>
      <w:tr w:rsidR="00E7240A" w14:paraId="3AC72D5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1632" w:type="dxa"/>
            <w:shd w:val="clear" w:color="auto" w:fill="auto"/>
            <w:noWrap/>
          </w:tcPr>
          <w:p w14:paraId="5FF07BFE" w14:textId="77777777" w:rsidR="00E7240A" w:rsidRDefault="00E7240A" w:rsidP="00A95965">
            <w:pPr>
              <w:pStyle w:val="TableText"/>
              <w:rPr>
                <w:b/>
                <w:szCs w:val="20"/>
              </w:rPr>
            </w:pPr>
          </w:p>
        </w:tc>
        <w:tc>
          <w:tcPr>
            <w:tcW w:w="3648" w:type="dxa"/>
            <w:gridSpan w:val="2"/>
            <w:shd w:val="clear" w:color="auto" w:fill="auto"/>
          </w:tcPr>
          <w:p w14:paraId="27D1A973" w14:textId="77777777" w:rsidR="00E7240A" w:rsidRDefault="00E7240A" w:rsidP="00A95965">
            <w:pPr>
              <w:pStyle w:val="TableText"/>
              <w:rPr>
                <w:b/>
                <w:szCs w:val="20"/>
              </w:rPr>
            </w:pPr>
          </w:p>
        </w:tc>
        <w:tc>
          <w:tcPr>
            <w:tcW w:w="3840" w:type="dxa"/>
            <w:gridSpan w:val="2"/>
            <w:shd w:val="clear" w:color="auto" w:fill="auto"/>
          </w:tcPr>
          <w:p w14:paraId="315E6304" w14:textId="77777777" w:rsidR="00E7240A" w:rsidRDefault="00E7240A" w:rsidP="00A95965">
            <w:pPr>
              <w:pStyle w:val="TableText"/>
              <w:rPr>
                <w:b/>
                <w:szCs w:val="20"/>
              </w:rPr>
            </w:pPr>
          </w:p>
        </w:tc>
        <w:tc>
          <w:tcPr>
            <w:tcW w:w="3840" w:type="dxa"/>
            <w:gridSpan w:val="2"/>
            <w:shd w:val="clear" w:color="auto" w:fill="auto"/>
          </w:tcPr>
          <w:p w14:paraId="0D0959D0" w14:textId="77777777" w:rsidR="00E7240A" w:rsidRDefault="00E7240A" w:rsidP="00A95965">
            <w:pPr>
              <w:pStyle w:val="TableText"/>
              <w:rPr>
                <w:b/>
                <w:szCs w:val="20"/>
              </w:rPr>
            </w:pPr>
          </w:p>
        </w:tc>
      </w:tr>
    </w:tbl>
    <w:p w14:paraId="062460D2"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536F2DC0" w14:textId="77777777">
        <w:trPr>
          <w:cantSplit/>
          <w:trHeight w:val="235"/>
          <w:tblHeader/>
        </w:trPr>
        <w:tc>
          <w:tcPr>
            <w:tcW w:w="12960" w:type="dxa"/>
            <w:gridSpan w:val="5"/>
            <w:shd w:val="clear" w:color="auto" w:fill="B3B3B3"/>
            <w:noWrap/>
          </w:tcPr>
          <w:p w14:paraId="3CA2FA75" w14:textId="77777777" w:rsidR="00E7240A" w:rsidRPr="005F4649" w:rsidRDefault="00E7240A" w:rsidP="00CA119C">
            <w:pPr>
              <w:pStyle w:val="TableText"/>
              <w:rPr>
                <w:b/>
                <w:szCs w:val="20"/>
              </w:rPr>
            </w:pPr>
            <w:r>
              <w:rPr>
                <w:b/>
                <w:szCs w:val="20"/>
              </w:rPr>
              <w:t>Unit(s) to Be Modified</w:t>
            </w:r>
          </w:p>
        </w:tc>
      </w:tr>
      <w:tr w:rsidR="00E7240A" w14:paraId="3218E773" w14:textId="77777777">
        <w:tblPrEx>
          <w:shd w:val="clear" w:color="auto" w:fill="auto"/>
        </w:tblPrEx>
        <w:trPr>
          <w:cantSplit/>
          <w:trHeight w:val="230"/>
          <w:tblHeader/>
        </w:trPr>
        <w:tc>
          <w:tcPr>
            <w:tcW w:w="3793" w:type="dxa"/>
            <w:shd w:val="clear" w:color="auto" w:fill="B3B3B3"/>
            <w:noWrap/>
          </w:tcPr>
          <w:p w14:paraId="6B3AF10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4F3D3797"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7A8A6F8C" w14:textId="77777777" w:rsidR="00E7240A" w:rsidRDefault="00E7240A" w:rsidP="00CA119C">
            <w:pPr>
              <w:pStyle w:val="TableText"/>
              <w:rPr>
                <w:b/>
                <w:szCs w:val="20"/>
              </w:rPr>
            </w:pPr>
            <w:r>
              <w:rPr>
                <w:b/>
                <w:szCs w:val="20"/>
              </w:rPr>
              <w:t>ABO/Rh</w:t>
            </w:r>
          </w:p>
        </w:tc>
        <w:tc>
          <w:tcPr>
            <w:tcW w:w="2330" w:type="dxa"/>
            <w:shd w:val="clear" w:color="auto" w:fill="B3B3B3"/>
          </w:tcPr>
          <w:p w14:paraId="2BE649F1"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3CAF7499" w14:textId="77777777" w:rsidR="00E7240A" w:rsidRPr="005F4649" w:rsidRDefault="00E7240A" w:rsidP="00CA119C">
            <w:pPr>
              <w:pStyle w:val="TableText"/>
              <w:rPr>
                <w:b/>
                <w:szCs w:val="20"/>
              </w:rPr>
            </w:pPr>
            <w:r>
              <w:rPr>
                <w:b/>
                <w:szCs w:val="20"/>
              </w:rPr>
              <w:t>Expiration Date and Time</w:t>
            </w:r>
          </w:p>
        </w:tc>
      </w:tr>
      <w:tr w:rsidR="00E7240A" w14:paraId="77FC1AA8" w14:textId="77777777">
        <w:tblPrEx>
          <w:shd w:val="clear" w:color="auto" w:fill="auto"/>
        </w:tblPrEx>
        <w:trPr>
          <w:cantSplit/>
          <w:trHeight w:val="432"/>
        </w:trPr>
        <w:tc>
          <w:tcPr>
            <w:tcW w:w="3793" w:type="dxa"/>
            <w:noWrap/>
          </w:tcPr>
          <w:p w14:paraId="007406C4" w14:textId="77777777" w:rsidR="00E7240A" w:rsidRDefault="00E7240A" w:rsidP="00A95965">
            <w:pPr>
              <w:pStyle w:val="TableText"/>
              <w:rPr>
                <w:b/>
                <w:szCs w:val="20"/>
              </w:rPr>
            </w:pPr>
          </w:p>
        </w:tc>
        <w:tc>
          <w:tcPr>
            <w:tcW w:w="2330" w:type="dxa"/>
          </w:tcPr>
          <w:p w14:paraId="7E343476" w14:textId="77777777" w:rsidR="00E7240A" w:rsidRDefault="00E7240A" w:rsidP="00A95965">
            <w:pPr>
              <w:pStyle w:val="TableText"/>
              <w:rPr>
                <w:b/>
                <w:szCs w:val="20"/>
              </w:rPr>
            </w:pPr>
          </w:p>
        </w:tc>
        <w:tc>
          <w:tcPr>
            <w:tcW w:w="2111" w:type="dxa"/>
          </w:tcPr>
          <w:p w14:paraId="33CD99F7" w14:textId="77777777" w:rsidR="00E7240A" w:rsidRDefault="00E7240A" w:rsidP="00A95965">
            <w:pPr>
              <w:pStyle w:val="TableText"/>
              <w:rPr>
                <w:b/>
                <w:szCs w:val="20"/>
              </w:rPr>
            </w:pPr>
          </w:p>
        </w:tc>
        <w:tc>
          <w:tcPr>
            <w:tcW w:w="2330" w:type="dxa"/>
          </w:tcPr>
          <w:p w14:paraId="71986AED" w14:textId="77777777" w:rsidR="00E7240A" w:rsidRDefault="00E7240A" w:rsidP="00A95965">
            <w:pPr>
              <w:pStyle w:val="TableText"/>
              <w:rPr>
                <w:b/>
                <w:szCs w:val="20"/>
              </w:rPr>
            </w:pPr>
          </w:p>
        </w:tc>
        <w:tc>
          <w:tcPr>
            <w:tcW w:w="2396" w:type="dxa"/>
          </w:tcPr>
          <w:p w14:paraId="7F4AE9E6" w14:textId="77777777" w:rsidR="00E7240A" w:rsidRDefault="00E7240A" w:rsidP="00A95965">
            <w:pPr>
              <w:pStyle w:val="TableText"/>
              <w:rPr>
                <w:b/>
                <w:szCs w:val="20"/>
              </w:rPr>
            </w:pPr>
          </w:p>
        </w:tc>
      </w:tr>
      <w:tr w:rsidR="00E7240A" w14:paraId="1C5BA426" w14:textId="77777777">
        <w:tblPrEx>
          <w:shd w:val="clear" w:color="auto" w:fill="auto"/>
        </w:tblPrEx>
        <w:trPr>
          <w:cantSplit/>
          <w:trHeight w:val="432"/>
        </w:trPr>
        <w:tc>
          <w:tcPr>
            <w:tcW w:w="3793" w:type="dxa"/>
            <w:noWrap/>
          </w:tcPr>
          <w:p w14:paraId="1D9793D9" w14:textId="77777777" w:rsidR="00E7240A" w:rsidRDefault="00E7240A" w:rsidP="00A95965">
            <w:pPr>
              <w:pStyle w:val="TableText"/>
              <w:rPr>
                <w:b/>
                <w:szCs w:val="20"/>
              </w:rPr>
            </w:pPr>
          </w:p>
        </w:tc>
        <w:tc>
          <w:tcPr>
            <w:tcW w:w="2330" w:type="dxa"/>
          </w:tcPr>
          <w:p w14:paraId="5B0FA633" w14:textId="77777777" w:rsidR="00E7240A" w:rsidRDefault="00E7240A" w:rsidP="00A95965">
            <w:pPr>
              <w:pStyle w:val="TableText"/>
              <w:rPr>
                <w:b/>
                <w:szCs w:val="20"/>
              </w:rPr>
            </w:pPr>
          </w:p>
        </w:tc>
        <w:tc>
          <w:tcPr>
            <w:tcW w:w="2111" w:type="dxa"/>
          </w:tcPr>
          <w:p w14:paraId="0267DF7A" w14:textId="77777777" w:rsidR="00E7240A" w:rsidRDefault="00E7240A" w:rsidP="00A95965">
            <w:pPr>
              <w:pStyle w:val="TableText"/>
              <w:rPr>
                <w:b/>
                <w:szCs w:val="20"/>
              </w:rPr>
            </w:pPr>
          </w:p>
        </w:tc>
        <w:tc>
          <w:tcPr>
            <w:tcW w:w="2330" w:type="dxa"/>
          </w:tcPr>
          <w:p w14:paraId="65F502D7" w14:textId="77777777" w:rsidR="00E7240A" w:rsidRDefault="00E7240A" w:rsidP="00A95965">
            <w:pPr>
              <w:pStyle w:val="TableText"/>
              <w:rPr>
                <w:b/>
                <w:szCs w:val="20"/>
              </w:rPr>
            </w:pPr>
          </w:p>
        </w:tc>
        <w:tc>
          <w:tcPr>
            <w:tcW w:w="2396" w:type="dxa"/>
          </w:tcPr>
          <w:p w14:paraId="037AE2CE" w14:textId="77777777" w:rsidR="00E7240A" w:rsidRDefault="00E7240A" w:rsidP="00A95965">
            <w:pPr>
              <w:pStyle w:val="TableText"/>
              <w:rPr>
                <w:b/>
                <w:szCs w:val="20"/>
              </w:rPr>
            </w:pPr>
          </w:p>
        </w:tc>
      </w:tr>
      <w:tr w:rsidR="00E7240A" w14:paraId="08F307A9" w14:textId="77777777">
        <w:tblPrEx>
          <w:shd w:val="clear" w:color="auto" w:fill="auto"/>
        </w:tblPrEx>
        <w:trPr>
          <w:cantSplit/>
          <w:trHeight w:val="432"/>
        </w:trPr>
        <w:tc>
          <w:tcPr>
            <w:tcW w:w="3793" w:type="dxa"/>
            <w:noWrap/>
          </w:tcPr>
          <w:p w14:paraId="02B4F8D6" w14:textId="77777777" w:rsidR="00E7240A" w:rsidRDefault="00E7240A" w:rsidP="00A95965">
            <w:pPr>
              <w:pStyle w:val="TableText"/>
              <w:rPr>
                <w:b/>
                <w:szCs w:val="20"/>
              </w:rPr>
            </w:pPr>
          </w:p>
        </w:tc>
        <w:tc>
          <w:tcPr>
            <w:tcW w:w="2330" w:type="dxa"/>
          </w:tcPr>
          <w:p w14:paraId="73BAD19A" w14:textId="77777777" w:rsidR="00E7240A" w:rsidRDefault="00E7240A" w:rsidP="00A95965">
            <w:pPr>
              <w:pStyle w:val="TableText"/>
              <w:rPr>
                <w:b/>
                <w:szCs w:val="20"/>
              </w:rPr>
            </w:pPr>
          </w:p>
        </w:tc>
        <w:tc>
          <w:tcPr>
            <w:tcW w:w="2111" w:type="dxa"/>
          </w:tcPr>
          <w:p w14:paraId="6107F310" w14:textId="77777777" w:rsidR="00E7240A" w:rsidRDefault="00E7240A" w:rsidP="00A95965">
            <w:pPr>
              <w:pStyle w:val="TableText"/>
              <w:rPr>
                <w:b/>
                <w:szCs w:val="20"/>
              </w:rPr>
            </w:pPr>
          </w:p>
        </w:tc>
        <w:tc>
          <w:tcPr>
            <w:tcW w:w="2330" w:type="dxa"/>
          </w:tcPr>
          <w:p w14:paraId="09048FCC" w14:textId="77777777" w:rsidR="00E7240A" w:rsidRDefault="00E7240A" w:rsidP="00A95965">
            <w:pPr>
              <w:pStyle w:val="TableText"/>
              <w:rPr>
                <w:b/>
                <w:szCs w:val="20"/>
              </w:rPr>
            </w:pPr>
          </w:p>
        </w:tc>
        <w:tc>
          <w:tcPr>
            <w:tcW w:w="2396" w:type="dxa"/>
          </w:tcPr>
          <w:p w14:paraId="0F0D3691" w14:textId="77777777" w:rsidR="00E7240A" w:rsidRDefault="00E7240A" w:rsidP="00A95965">
            <w:pPr>
              <w:pStyle w:val="TableText"/>
              <w:rPr>
                <w:b/>
                <w:szCs w:val="20"/>
              </w:rPr>
            </w:pPr>
          </w:p>
        </w:tc>
      </w:tr>
      <w:tr w:rsidR="00E7240A" w14:paraId="14212F11" w14:textId="77777777">
        <w:tblPrEx>
          <w:shd w:val="clear" w:color="auto" w:fill="auto"/>
        </w:tblPrEx>
        <w:trPr>
          <w:cantSplit/>
          <w:trHeight w:val="432"/>
        </w:trPr>
        <w:tc>
          <w:tcPr>
            <w:tcW w:w="3793" w:type="dxa"/>
            <w:noWrap/>
          </w:tcPr>
          <w:p w14:paraId="6E798D99" w14:textId="77777777" w:rsidR="00E7240A" w:rsidRDefault="00E7240A" w:rsidP="00A95965">
            <w:pPr>
              <w:pStyle w:val="TableText"/>
              <w:rPr>
                <w:b/>
                <w:szCs w:val="20"/>
              </w:rPr>
            </w:pPr>
          </w:p>
        </w:tc>
        <w:tc>
          <w:tcPr>
            <w:tcW w:w="2330" w:type="dxa"/>
          </w:tcPr>
          <w:p w14:paraId="483A110E" w14:textId="77777777" w:rsidR="00E7240A" w:rsidRDefault="00E7240A" w:rsidP="00A95965">
            <w:pPr>
              <w:pStyle w:val="TableText"/>
              <w:rPr>
                <w:b/>
                <w:szCs w:val="20"/>
              </w:rPr>
            </w:pPr>
          </w:p>
        </w:tc>
        <w:tc>
          <w:tcPr>
            <w:tcW w:w="2111" w:type="dxa"/>
          </w:tcPr>
          <w:p w14:paraId="76AD2445" w14:textId="77777777" w:rsidR="00E7240A" w:rsidRDefault="00E7240A" w:rsidP="00A95965">
            <w:pPr>
              <w:pStyle w:val="TableText"/>
              <w:rPr>
                <w:b/>
                <w:szCs w:val="20"/>
              </w:rPr>
            </w:pPr>
          </w:p>
        </w:tc>
        <w:tc>
          <w:tcPr>
            <w:tcW w:w="2330" w:type="dxa"/>
          </w:tcPr>
          <w:p w14:paraId="6B555144" w14:textId="77777777" w:rsidR="00E7240A" w:rsidRDefault="00E7240A" w:rsidP="00A95965">
            <w:pPr>
              <w:pStyle w:val="TableText"/>
              <w:rPr>
                <w:b/>
                <w:szCs w:val="20"/>
              </w:rPr>
            </w:pPr>
          </w:p>
        </w:tc>
        <w:tc>
          <w:tcPr>
            <w:tcW w:w="2396" w:type="dxa"/>
          </w:tcPr>
          <w:p w14:paraId="431B949D" w14:textId="77777777" w:rsidR="00E7240A" w:rsidRDefault="00E7240A" w:rsidP="00A95965">
            <w:pPr>
              <w:pStyle w:val="TableText"/>
              <w:rPr>
                <w:b/>
                <w:szCs w:val="20"/>
              </w:rPr>
            </w:pPr>
          </w:p>
        </w:tc>
      </w:tr>
      <w:tr w:rsidR="00E7240A" w14:paraId="1C6BB747" w14:textId="77777777">
        <w:tblPrEx>
          <w:shd w:val="clear" w:color="auto" w:fill="auto"/>
        </w:tblPrEx>
        <w:trPr>
          <w:cantSplit/>
          <w:trHeight w:val="432"/>
        </w:trPr>
        <w:tc>
          <w:tcPr>
            <w:tcW w:w="3793" w:type="dxa"/>
            <w:noWrap/>
          </w:tcPr>
          <w:p w14:paraId="58176575" w14:textId="77777777" w:rsidR="00E7240A" w:rsidRDefault="00E7240A" w:rsidP="00A95965">
            <w:pPr>
              <w:pStyle w:val="TableText"/>
              <w:rPr>
                <w:b/>
                <w:szCs w:val="20"/>
              </w:rPr>
            </w:pPr>
          </w:p>
        </w:tc>
        <w:tc>
          <w:tcPr>
            <w:tcW w:w="2330" w:type="dxa"/>
          </w:tcPr>
          <w:p w14:paraId="149C21E2" w14:textId="77777777" w:rsidR="00E7240A" w:rsidRDefault="00E7240A" w:rsidP="00A95965">
            <w:pPr>
              <w:pStyle w:val="TableText"/>
              <w:rPr>
                <w:b/>
                <w:szCs w:val="20"/>
              </w:rPr>
            </w:pPr>
          </w:p>
        </w:tc>
        <w:tc>
          <w:tcPr>
            <w:tcW w:w="2111" w:type="dxa"/>
          </w:tcPr>
          <w:p w14:paraId="44CC8F8D" w14:textId="77777777" w:rsidR="00E7240A" w:rsidRDefault="00E7240A" w:rsidP="00A95965">
            <w:pPr>
              <w:pStyle w:val="TableText"/>
              <w:rPr>
                <w:b/>
                <w:szCs w:val="20"/>
              </w:rPr>
            </w:pPr>
          </w:p>
        </w:tc>
        <w:tc>
          <w:tcPr>
            <w:tcW w:w="2330" w:type="dxa"/>
          </w:tcPr>
          <w:p w14:paraId="76ABF3C1" w14:textId="77777777" w:rsidR="00E7240A" w:rsidRDefault="00E7240A" w:rsidP="00A95965">
            <w:pPr>
              <w:pStyle w:val="TableText"/>
              <w:rPr>
                <w:b/>
                <w:szCs w:val="20"/>
              </w:rPr>
            </w:pPr>
          </w:p>
        </w:tc>
        <w:tc>
          <w:tcPr>
            <w:tcW w:w="2396" w:type="dxa"/>
          </w:tcPr>
          <w:p w14:paraId="3DB323A8" w14:textId="77777777" w:rsidR="00E7240A" w:rsidRDefault="00E7240A" w:rsidP="00A95965">
            <w:pPr>
              <w:pStyle w:val="TableText"/>
              <w:rPr>
                <w:b/>
                <w:szCs w:val="20"/>
              </w:rPr>
            </w:pPr>
          </w:p>
        </w:tc>
      </w:tr>
      <w:tr w:rsidR="00E7240A" w14:paraId="09A305B6" w14:textId="77777777">
        <w:tblPrEx>
          <w:shd w:val="clear" w:color="auto" w:fill="auto"/>
        </w:tblPrEx>
        <w:trPr>
          <w:cantSplit/>
          <w:trHeight w:val="432"/>
        </w:trPr>
        <w:tc>
          <w:tcPr>
            <w:tcW w:w="3793" w:type="dxa"/>
            <w:noWrap/>
          </w:tcPr>
          <w:p w14:paraId="6B62F110" w14:textId="77777777" w:rsidR="00E7240A" w:rsidRDefault="00E7240A" w:rsidP="00A95965">
            <w:pPr>
              <w:pStyle w:val="TableText"/>
              <w:rPr>
                <w:b/>
                <w:szCs w:val="20"/>
              </w:rPr>
            </w:pPr>
          </w:p>
        </w:tc>
        <w:tc>
          <w:tcPr>
            <w:tcW w:w="2330" w:type="dxa"/>
          </w:tcPr>
          <w:p w14:paraId="4DC6DD96" w14:textId="77777777" w:rsidR="00E7240A" w:rsidRDefault="00E7240A" w:rsidP="00A95965">
            <w:pPr>
              <w:pStyle w:val="TableText"/>
              <w:rPr>
                <w:b/>
                <w:szCs w:val="20"/>
              </w:rPr>
            </w:pPr>
          </w:p>
        </w:tc>
        <w:tc>
          <w:tcPr>
            <w:tcW w:w="2111" w:type="dxa"/>
          </w:tcPr>
          <w:p w14:paraId="612F972F" w14:textId="77777777" w:rsidR="00E7240A" w:rsidRDefault="00E7240A" w:rsidP="00A95965">
            <w:pPr>
              <w:pStyle w:val="TableText"/>
              <w:rPr>
                <w:b/>
                <w:szCs w:val="20"/>
              </w:rPr>
            </w:pPr>
          </w:p>
        </w:tc>
        <w:tc>
          <w:tcPr>
            <w:tcW w:w="2330" w:type="dxa"/>
          </w:tcPr>
          <w:p w14:paraId="79C7E227" w14:textId="77777777" w:rsidR="00E7240A" w:rsidRDefault="00E7240A" w:rsidP="00A95965">
            <w:pPr>
              <w:pStyle w:val="TableText"/>
              <w:rPr>
                <w:b/>
                <w:szCs w:val="20"/>
              </w:rPr>
            </w:pPr>
          </w:p>
        </w:tc>
        <w:tc>
          <w:tcPr>
            <w:tcW w:w="2396" w:type="dxa"/>
          </w:tcPr>
          <w:p w14:paraId="043BEA95" w14:textId="77777777" w:rsidR="00E7240A" w:rsidRDefault="00E7240A" w:rsidP="00A95965">
            <w:pPr>
              <w:pStyle w:val="TableText"/>
              <w:rPr>
                <w:b/>
                <w:szCs w:val="20"/>
              </w:rPr>
            </w:pPr>
          </w:p>
        </w:tc>
      </w:tr>
      <w:tr w:rsidR="00E7240A" w14:paraId="15DCE05A" w14:textId="77777777">
        <w:tblPrEx>
          <w:shd w:val="clear" w:color="auto" w:fill="auto"/>
        </w:tblPrEx>
        <w:trPr>
          <w:cantSplit/>
          <w:trHeight w:val="432"/>
        </w:trPr>
        <w:tc>
          <w:tcPr>
            <w:tcW w:w="3793" w:type="dxa"/>
            <w:noWrap/>
          </w:tcPr>
          <w:p w14:paraId="4E1ED7B4" w14:textId="77777777" w:rsidR="00E7240A" w:rsidRDefault="00E7240A" w:rsidP="00A95965">
            <w:pPr>
              <w:pStyle w:val="TableText"/>
              <w:rPr>
                <w:b/>
                <w:szCs w:val="20"/>
              </w:rPr>
            </w:pPr>
          </w:p>
        </w:tc>
        <w:tc>
          <w:tcPr>
            <w:tcW w:w="2330" w:type="dxa"/>
          </w:tcPr>
          <w:p w14:paraId="10460443" w14:textId="77777777" w:rsidR="00E7240A" w:rsidRDefault="00E7240A" w:rsidP="00A95965">
            <w:pPr>
              <w:pStyle w:val="TableText"/>
              <w:rPr>
                <w:b/>
                <w:szCs w:val="20"/>
              </w:rPr>
            </w:pPr>
          </w:p>
        </w:tc>
        <w:tc>
          <w:tcPr>
            <w:tcW w:w="2111" w:type="dxa"/>
          </w:tcPr>
          <w:p w14:paraId="691E3915" w14:textId="77777777" w:rsidR="00E7240A" w:rsidRDefault="00E7240A" w:rsidP="00A95965">
            <w:pPr>
              <w:pStyle w:val="TableText"/>
              <w:rPr>
                <w:b/>
                <w:szCs w:val="20"/>
              </w:rPr>
            </w:pPr>
          </w:p>
        </w:tc>
        <w:tc>
          <w:tcPr>
            <w:tcW w:w="2330" w:type="dxa"/>
          </w:tcPr>
          <w:p w14:paraId="4780C40E" w14:textId="77777777" w:rsidR="00E7240A" w:rsidRDefault="00E7240A" w:rsidP="00A95965">
            <w:pPr>
              <w:pStyle w:val="TableText"/>
              <w:rPr>
                <w:b/>
                <w:szCs w:val="20"/>
              </w:rPr>
            </w:pPr>
          </w:p>
        </w:tc>
        <w:tc>
          <w:tcPr>
            <w:tcW w:w="2396" w:type="dxa"/>
          </w:tcPr>
          <w:p w14:paraId="31EE165E" w14:textId="77777777" w:rsidR="00E7240A" w:rsidRDefault="00E7240A" w:rsidP="00A95965">
            <w:pPr>
              <w:pStyle w:val="TableText"/>
              <w:rPr>
                <w:b/>
                <w:szCs w:val="20"/>
              </w:rPr>
            </w:pPr>
          </w:p>
        </w:tc>
      </w:tr>
      <w:tr w:rsidR="00E7240A" w14:paraId="0F7439D8" w14:textId="77777777">
        <w:tblPrEx>
          <w:shd w:val="clear" w:color="auto" w:fill="auto"/>
        </w:tblPrEx>
        <w:trPr>
          <w:cantSplit/>
          <w:trHeight w:val="432"/>
        </w:trPr>
        <w:tc>
          <w:tcPr>
            <w:tcW w:w="3793" w:type="dxa"/>
            <w:noWrap/>
          </w:tcPr>
          <w:p w14:paraId="5597AC1E" w14:textId="77777777" w:rsidR="00E7240A" w:rsidRDefault="00E7240A" w:rsidP="00A95965">
            <w:pPr>
              <w:pStyle w:val="TableText"/>
              <w:rPr>
                <w:b/>
                <w:szCs w:val="20"/>
              </w:rPr>
            </w:pPr>
          </w:p>
        </w:tc>
        <w:tc>
          <w:tcPr>
            <w:tcW w:w="2330" w:type="dxa"/>
          </w:tcPr>
          <w:p w14:paraId="36B2E96B" w14:textId="77777777" w:rsidR="00E7240A" w:rsidRDefault="00E7240A" w:rsidP="00A95965">
            <w:pPr>
              <w:pStyle w:val="TableText"/>
              <w:rPr>
                <w:b/>
                <w:szCs w:val="20"/>
              </w:rPr>
            </w:pPr>
          </w:p>
        </w:tc>
        <w:tc>
          <w:tcPr>
            <w:tcW w:w="2111" w:type="dxa"/>
          </w:tcPr>
          <w:p w14:paraId="08B184A4" w14:textId="77777777" w:rsidR="00E7240A" w:rsidRDefault="00E7240A" w:rsidP="00A95965">
            <w:pPr>
              <w:pStyle w:val="TableText"/>
              <w:rPr>
                <w:b/>
                <w:szCs w:val="20"/>
              </w:rPr>
            </w:pPr>
          </w:p>
        </w:tc>
        <w:tc>
          <w:tcPr>
            <w:tcW w:w="2330" w:type="dxa"/>
          </w:tcPr>
          <w:p w14:paraId="1D3A4818" w14:textId="77777777" w:rsidR="00E7240A" w:rsidRDefault="00E7240A" w:rsidP="00A95965">
            <w:pPr>
              <w:pStyle w:val="TableText"/>
              <w:rPr>
                <w:b/>
                <w:szCs w:val="20"/>
              </w:rPr>
            </w:pPr>
          </w:p>
        </w:tc>
        <w:tc>
          <w:tcPr>
            <w:tcW w:w="2396" w:type="dxa"/>
          </w:tcPr>
          <w:p w14:paraId="5FEC8341" w14:textId="77777777" w:rsidR="00E7240A" w:rsidRDefault="00E7240A" w:rsidP="00A95965">
            <w:pPr>
              <w:pStyle w:val="TableText"/>
              <w:rPr>
                <w:b/>
                <w:szCs w:val="20"/>
              </w:rPr>
            </w:pPr>
          </w:p>
        </w:tc>
      </w:tr>
      <w:tr w:rsidR="00E7240A" w14:paraId="3DCC3941" w14:textId="77777777">
        <w:tblPrEx>
          <w:shd w:val="clear" w:color="auto" w:fill="auto"/>
        </w:tblPrEx>
        <w:trPr>
          <w:cantSplit/>
          <w:trHeight w:val="432"/>
        </w:trPr>
        <w:tc>
          <w:tcPr>
            <w:tcW w:w="3793" w:type="dxa"/>
            <w:noWrap/>
          </w:tcPr>
          <w:p w14:paraId="78DBD627" w14:textId="77777777" w:rsidR="00E7240A" w:rsidRDefault="00E7240A" w:rsidP="00A95965">
            <w:pPr>
              <w:pStyle w:val="TableText"/>
              <w:rPr>
                <w:b/>
                <w:szCs w:val="20"/>
              </w:rPr>
            </w:pPr>
          </w:p>
        </w:tc>
        <w:tc>
          <w:tcPr>
            <w:tcW w:w="2330" w:type="dxa"/>
          </w:tcPr>
          <w:p w14:paraId="24B38956" w14:textId="77777777" w:rsidR="00E7240A" w:rsidRDefault="00E7240A" w:rsidP="00A95965">
            <w:pPr>
              <w:pStyle w:val="TableText"/>
              <w:rPr>
                <w:b/>
                <w:szCs w:val="20"/>
              </w:rPr>
            </w:pPr>
          </w:p>
        </w:tc>
        <w:tc>
          <w:tcPr>
            <w:tcW w:w="2111" w:type="dxa"/>
          </w:tcPr>
          <w:p w14:paraId="16A862C4" w14:textId="77777777" w:rsidR="00E7240A" w:rsidRDefault="00E7240A" w:rsidP="00A95965">
            <w:pPr>
              <w:pStyle w:val="TableText"/>
              <w:rPr>
                <w:b/>
                <w:szCs w:val="20"/>
              </w:rPr>
            </w:pPr>
          </w:p>
        </w:tc>
        <w:tc>
          <w:tcPr>
            <w:tcW w:w="2330" w:type="dxa"/>
          </w:tcPr>
          <w:p w14:paraId="54E1A75C" w14:textId="77777777" w:rsidR="00E7240A" w:rsidRDefault="00E7240A" w:rsidP="00A95965">
            <w:pPr>
              <w:pStyle w:val="TableText"/>
              <w:rPr>
                <w:b/>
                <w:szCs w:val="20"/>
              </w:rPr>
            </w:pPr>
          </w:p>
        </w:tc>
        <w:tc>
          <w:tcPr>
            <w:tcW w:w="2396" w:type="dxa"/>
          </w:tcPr>
          <w:p w14:paraId="6FDE4A10" w14:textId="77777777" w:rsidR="00E7240A" w:rsidRDefault="00E7240A" w:rsidP="00A95965">
            <w:pPr>
              <w:pStyle w:val="TableText"/>
              <w:rPr>
                <w:b/>
                <w:szCs w:val="20"/>
              </w:rPr>
            </w:pPr>
          </w:p>
        </w:tc>
      </w:tr>
      <w:tr w:rsidR="00E7240A" w14:paraId="23320386" w14:textId="77777777">
        <w:tblPrEx>
          <w:shd w:val="clear" w:color="auto" w:fill="auto"/>
        </w:tblPrEx>
        <w:trPr>
          <w:cantSplit/>
          <w:trHeight w:val="432"/>
        </w:trPr>
        <w:tc>
          <w:tcPr>
            <w:tcW w:w="3793" w:type="dxa"/>
            <w:noWrap/>
          </w:tcPr>
          <w:p w14:paraId="5EBD4CC0" w14:textId="77777777" w:rsidR="00E7240A" w:rsidRDefault="00E7240A" w:rsidP="00A95965">
            <w:pPr>
              <w:pStyle w:val="TableText"/>
              <w:rPr>
                <w:b/>
                <w:szCs w:val="20"/>
              </w:rPr>
            </w:pPr>
          </w:p>
        </w:tc>
        <w:tc>
          <w:tcPr>
            <w:tcW w:w="2330" w:type="dxa"/>
          </w:tcPr>
          <w:p w14:paraId="1F364F4C" w14:textId="77777777" w:rsidR="00E7240A" w:rsidRDefault="00E7240A" w:rsidP="00A95965">
            <w:pPr>
              <w:pStyle w:val="TableText"/>
              <w:rPr>
                <w:b/>
                <w:szCs w:val="20"/>
              </w:rPr>
            </w:pPr>
          </w:p>
        </w:tc>
        <w:tc>
          <w:tcPr>
            <w:tcW w:w="2111" w:type="dxa"/>
          </w:tcPr>
          <w:p w14:paraId="018CDF85" w14:textId="77777777" w:rsidR="00E7240A" w:rsidRDefault="00E7240A" w:rsidP="00A95965">
            <w:pPr>
              <w:pStyle w:val="TableText"/>
              <w:rPr>
                <w:b/>
                <w:szCs w:val="20"/>
              </w:rPr>
            </w:pPr>
          </w:p>
        </w:tc>
        <w:tc>
          <w:tcPr>
            <w:tcW w:w="2330" w:type="dxa"/>
          </w:tcPr>
          <w:p w14:paraId="14679AAE" w14:textId="77777777" w:rsidR="00E7240A" w:rsidRDefault="00E7240A" w:rsidP="00A95965">
            <w:pPr>
              <w:pStyle w:val="TableText"/>
              <w:rPr>
                <w:b/>
                <w:szCs w:val="20"/>
              </w:rPr>
            </w:pPr>
          </w:p>
        </w:tc>
        <w:tc>
          <w:tcPr>
            <w:tcW w:w="2396" w:type="dxa"/>
          </w:tcPr>
          <w:p w14:paraId="65A5C2E0" w14:textId="77777777" w:rsidR="00E7240A" w:rsidRDefault="00E7240A" w:rsidP="00A95965">
            <w:pPr>
              <w:pStyle w:val="TableText"/>
              <w:rPr>
                <w:b/>
                <w:szCs w:val="20"/>
              </w:rPr>
            </w:pPr>
          </w:p>
        </w:tc>
      </w:tr>
      <w:tr w:rsidR="00246F04" w14:paraId="659897A4" w14:textId="77777777">
        <w:tblPrEx>
          <w:shd w:val="clear" w:color="auto" w:fill="auto"/>
        </w:tblPrEx>
        <w:trPr>
          <w:cantSplit/>
          <w:trHeight w:val="432"/>
        </w:trPr>
        <w:tc>
          <w:tcPr>
            <w:tcW w:w="3793" w:type="dxa"/>
            <w:noWrap/>
          </w:tcPr>
          <w:p w14:paraId="50BDFC4D" w14:textId="77777777" w:rsidR="00246F04" w:rsidRDefault="00246F04" w:rsidP="00A95965">
            <w:pPr>
              <w:pStyle w:val="TableText"/>
              <w:rPr>
                <w:b/>
                <w:szCs w:val="20"/>
              </w:rPr>
            </w:pPr>
          </w:p>
        </w:tc>
        <w:tc>
          <w:tcPr>
            <w:tcW w:w="2330" w:type="dxa"/>
          </w:tcPr>
          <w:p w14:paraId="238500E6" w14:textId="77777777" w:rsidR="00246F04" w:rsidRDefault="00246F04" w:rsidP="00A95965">
            <w:pPr>
              <w:pStyle w:val="TableText"/>
              <w:rPr>
                <w:b/>
                <w:szCs w:val="20"/>
              </w:rPr>
            </w:pPr>
          </w:p>
        </w:tc>
        <w:tc>
          <w:tcPr>
            <w:tcW w:w="2111" w:type="dxa"/>
          </w:tcPr>
          <w:p w14:paraId="408032C0" w14:textId="77777777" w:rsidR="00246F04" w:rsidRDefault="00246F04" w:rsidP="00A95965">
            <w:pPr>
              <w:pStyle w:val="TableText"/>
              <w:rPr>
                <w:b/>
                <w:szCs w:val="20"/>
              </w:rPr>
            </w:pPr>
          </w:p>
        </w:tc>
        <w:tc>
          <w:tcPr>
            <w:tcW w:w="2330" w:type="dxa"/>
          </w:tcPr>
          <w:p w14:paraId="1127B643" w14:textId="77777777" w:rsidR="00246F04" w:rsidRDefault="00246F04" w:rsidP="00A95965">
            <w:pPr>
              <w:pStyle w:val="TableText"/>
              <w:rPr>
                <w:b/>
                <w:szCs w:val="20"/>
              </w:rPr>
            </w:pPr>
          </w:p>
        </w:tc>
        <w:tc>
          <w:tcPr>
            <w:tcW w:w="2396" w:type="dxa"/>
          </w:tcPr>
          <w:p w14:paraId="3B87D8E5" w14:textId="77777777" w:rsidR="00246F04" w:rsidRDefault="00246F04" w:rsidP="00A95965">
            <w:pPr>
              <w:pStyle w:val="TableText"/>
              <w:rPr>
                <w:b/>
                <w:szCs w:val="20"/>
              </w:rPr>
            </w:pPr>
          </w:p>
        </w:tc>
      </w:tr>
      <w:tr w:rsidR="00E7240A" w14:paraId="1B075C8D" w14:textId="77777777">
        <w:tblPrEx>
          <w:shd w:val="clear" w:color="auto" w:fill="auto"/>
        </w:tblPrEx>
        <w:trPr>
          <w:cantSplit/>
          <w:trHeight w:val="432"/>
        </w:trPr>
        <w:tc>
          <w:tcPr>
            <w:tcW w:w="3793" w:type="dxa"/>
            <w:noWrap/>
          </w:tcPr>
          <w:p w14:paraId="29FE4F3D" w14:textId="77777777" w:rsidR="00E7240A" w:rsidRDefault="00E7240A" w:rsidP="00A95965">
            <w:pPr>
              <w:pStyle w:val="TableText"/>
              <w:rPr>
                <w:b/>
                <w:szCs w:val="20"/>
              </w:rPr>
            </w:pPr>
          </w:p>
        </w:tc>
        <w:tc>
          <w:tcPr>
            <w:tcW w:w="2330" w:type="dxa"/>
          </w:tcPr>
          <w:p w14:paraId="1C3296C7" w14:textId="77777777" w:rsidR="00E7240A" w:rsidRDefault="00E7240A" w:rsidP="00A95965">
            <w:pPr>
              <w:pStyle w:val="TableText"/>
              <w:rPr>
                <w:b/>
                <w:szCs w:val="20"/>
              </w:rPr>
            </w:pPr>
          </w:p>
        </w:tc>
        <w:tc>
          <w:tcPr>
            <w:tcW w:w="2111" w:type="dxa"/>
          </w:tcPr>
          <w:p w14:paraId="5BCF0BEF" w14:textId="77777777" w:rsidR="00E7240A" w:rsidRDefault="00E7240A" w:rsidP="00A95965">
            <w:pPr>
              <w:pStyle w:val="TableText"/>
              <w:rPr>
                <w:b/>
                <w:szCs w:val="20"/>
              </w:rPr>
            </w:pPr>
          </w:p>
        </w:tc>
        <w:tc>
          <w:tcPr>
            <w:tcW w:w="2330" w:type="dxa"/>
          </w:tcPr>
          <w:p w14:paraId="3109C025" w14:textId="77777777" w:rsidR="00E7240A" w:rsidRDefault="00E7240A" w:rsidP="00A95965">
            <w:pPr>
              <w:pStyle w:val="TableText"/>
              <w:rPr>
                <w:b/>
                <w:szCs w:val="20"/>
              </w:rPr>
            </w:pPr>
          </w:p>
        </w:tc>
        <w:tc>
          <w:tcPr>
            <w:tcW w:w="2396" w:type="dxa"/>
          </w:tcPr>
          <w:p w14:paraId="5E1D09A1" w14:textId="77777777" w:rsidR="00E7240A" w:rsidRDefault="00E7240A" w:rsidP="00A95965">
            <w:pPr>
              <w:pStyle w:val="TableText"/>
              <w:rPr>
                <w:b/>
                <w:szCs w:val="20"/>
              </w:rPr>
            </w:pPr>
          </w:p>
        </w:tc>
      </w:tr>
      <w:tr w:rsidR="00E7240A" w14:paraId="0B3D33B1" w14:textId="77777777">
        <w:tblPrEx>
          <w:shd w:val="clear" w:color="auto" w:fill="auto"/>
        </w:tblPrEx>
        <w:trPr>
          <w:cantSplit/>
          <w:trHeight w:val="432"/>
        </w:trPr>
        <w:tc>
          <w:tcPr>
            <w:tcW w:w="3793" w:type="dxa"/>
            <w:noWrap/>
          </w:tcPr>
          <w:p w14:paraId="047658C1" w14:textId="77777777" w:rsidR="00E7240A" w:rsidRDefault="00E7240A" w:rsidP="00A95965">
            <w:pPr>
              <w:pStyle w:val="TableText"/>
              <w:rPr>
                <w:b/>
                <w:szCs w:val="20"/>
              </w:rPr>
            </w:pPr>
          </w:p>
        </w:tc>
        <w:tc>
          <w:tcPr>
            <w:tcW w:w="2330" w:type="dxa"/>
          </w:tcPr>
          <w:p w14:paraId="4B379B2F" w14:textId="77777777" w:rsidR="00E7240A" w:rsidRDefault="00E7240A" w:rsidP="00A95965">
            <w:pPr>
              <w:pStyle w:val="TableText"/>
              <w:rPr>
                <w:b/>
                <w:szCs w:val="20"/>
              </w:rPr>
            </w:pPr>
          </w:p>
        </w:tc>
        <w:tc>
          <w:tcPr>
            <w:tcW w:w="2111" w:type="dxa"/>
          </w:tcPr>
          <w:p w14:paraId="2F494752" w14:textId="77777777" w:rsidR="00E7240A" w:rsidRDefault="00E7240A" w:rsidP="00A95965">
            <w:pPr>
              <w:pStyle w:val="TableText"/>
              <w:rPr>
                <w:b/>
                <w:szCs w:val="20"/>
              </w:rPr>
            </w:pPr>
          </w:p>
        </w:tc>
        <w:tc>
          <w:tcPr>
            <w:tcW w:w="2330" w:type="dxa"/>
          </w:tcPr>
          <w:p w14:paraId="2941E830" w14:textId="77777777" w:rsidR="00E7240A" w:rsidRDefault="00E7240A" w:rsidP="00A95965">
            <w:pPr>
              <w:pStyle w:val="TableText"/>
              <w:rPr>
                <w:b/>
                <w:szCs w:val="20"/>
              </w:rPr>
            </w:pPr>
          </w:p>
        </w:tc>
        <w:tc>
          <w:tcPr>
            <w:tcW w:w="2396" w:type="dxa"/>
          </w:tcPr>
          <w:p w14:paraId="60753348" w14:textId="77777777" w:rsidR="00E7240A" w:rsidRDefault="00E7240A" w:rsidP="00A95965">
            <w:pPr>
              <w:pStyle w:val="TableText"/>
              <w:rPr>
                <w:b/>
                <w:szCs w:val="20"/>
              </w:rPr>
            </w:pPr>
          </w:p>
        </w:tc>
      </w:tr>
    </w:tbl>
    <w:p w14:paraId="45F4BB4F"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ayout w:type="fixed"/>
        <w:tblLook w:val="0000" w:firstRow="0" w:lastRow="0" w:firstColumn="0" w:lastColumn="0" w:noHBand="0" w:noVBand="0"/>
      </w:tblPr>
      <w:tblGrid>
        <w:gridCol w:w="1632"/>
        <w:gridCol w:w="3648"/>
        <w:gridCol w:w="3840"/>
        <w:gridCol w:w="3840"/>
      </w:tblGrid>
      <w:tr w:rsidR="00E7240A" w14:paraId="479D7D11" w14:textId="77777777">
        <w:trPr>
          <w:cantSplit/>
          <w:trHeight w:val="230"/>
        </w:trPr>
        <w:tc>
          <w:tcPr>
            <w:tcW w:w="1632" w:type="dxa"/>
            <w:tcBorders>
              <w:bottom w:val="single" w:sz="2" w:space="0" w:color="auto"/>
            </w:tcBorders>
            <w:shd w:val="clear" w:color="auto" w:fill="B3B3B3"/>
            <w:noWrap/>
          </w:tcPr>
          <w:p w14:paraId="58C28D68" w14:textId="77777777" w:rsidR="00E7240A" w:rsidRDefault="00E7240A" w:rsidP="00A95965">
            <w:pPr>
              <w:pStyle w:val="TableText"/>
              <w:rPr>
                <w:b/>
                <w:szCs w:val="20"/>
              </w:rPr>
            </w:pPr>
            <w:r>
              <w:br w:type="page"/>
            </w:r>
            <w:r>
              <w:rPr>
                <w:b/>
                <w:szCs w:val="20"/>
              </w:rPr>
              <w:t xml:space="preserve"> Unit Assigned? (Yes, No)</w:t>
            </w:r>
          </w:p>
        </w:tc>
        <w:tc>
          <w:tcPr>
            <w:tcW w:w="3648" w:type="dxa"/>
            <w:tcBorders>
              <w:bottom w:val="single" w:sz="2" w:space="0" w:color="auto"/>
            </w:tcBorders>
            <w:shd w:val="clear" w:color="auto" w:fill="B3B3B3"/>
          </w:tcPr>
          <w:p w14:paraId="3AB7A21A" w14:textId="77777777" w:rsidR="00E7240A" w:rsidRDefault="00E7240A" w:rsidP="00A95965">
            <w:pPr>
              <w:pStyle w:val="TableText"/>
              <w:rPr>
                <w:b/>
                <w:szCs w:val="20"/>
              </w:rPr>
            </w:pPr>
            <w:r>
              <w:rPr>
                <w:b/>
                <w:szCs w:val="20"/>
              </w:rPr>
              <w:t>Patient Name</w:t>
            </w:r>
          </w:p>
        </w:tc>
        <w:tc>
          <w:tcPr>
            <w:tcW w:w="3840" w:type="dxa"/>
            <w:tcBorders>
              <w:bottom w:val="single" w:sz="2" w:space="0" w:color="auto"/>
            </w:tcBorders>
            <w:shd w:val="clear" w:color="auto" w:fill="B3B3B3"/>
          </w:tcPr>
          <w:p w14:paraId="31D298B0" w14:textId="77777777" w:rsidR="00E7240A" w:rsidRDefault="00E7240A" w:rsidP="00A95965">
            <w:pPr>
              <w:pStyle w:val="TableText"/>
              <w:rPr>
                <w:b/>
                <w:szCs w:val="20"/>
              </w:rPr>
            </w:pPr>
            <w:r>
              <w:rPr>
                <w:b/>
                <w:szCs w:val="20"/>
              </w:rPr>
              <w:t>Patient Identification Number</w:t>
            </w:r>
          </w:p>
        </w:tc>
        <w:tc>
          <w:tcPr>
            <w:tcW w:w="3840" w:type="dxa"/>
            <w:tcBorders>
              <w:bottom w:val="single" w:sz="2" w:space="0" w:color="auto"/>
            </w:tcBorders>
            <w:shd w:val="clear" w:color="auto" w:fill="B3B3B3"/>
          </w:tcPr>
          <w:p w14:paraId="77385839" w14:textId="77777777" w:rsidR="00E7240A" w:rsidRDefault="00E7240A" w:rsidP="00A95965">
            <w:pPr>
              <w:pStyle w:val="TableText"/>
              <w:rPr>
                <w:b/>
                <w:szCs w:val="20"/>
              </w:rPr>
            </w:pPr>
            <w:r>
              <w:rPr>
                <w:b/>
                <w:szCs w:val="20"/>
              </w:rPr>
              <w:t>Specimen UID</w:t>
            </w:r>
          </w:p>
        </w:tc>
      </w:tr>
      <w:tr w:rsidR="00E7240A" w14:paraId="712A973F" w14:textId="77777777">
        <w:trPr>
          <w:cantSplit/>
          <w:trHeight w:val="432"/>
        </w:trPr>
        <w:tc>
          <w:tcPr>
            <w:tcW w:w="1632" w:type="dxa"/>
            <w:shd w:val="clear" w:color="auto" w:fill="auto"/>
            <w:noWrap/>
          </w:tcPr>
          <w:p w14:paraId="7FD3C07A" w14:textId="77777777" w:rsidR="00E7240A" w:rsidRDefault="00E7240A" w:rsidP="00A95965">
            <w:pPr>
              <w:pStyle w:val="TableText"/>
              <w:rPr>
                <w:b/>
                <w:szCs w:val="20"/>
              </w:rPr>
            </w:pPr>
          </w:p>
        </w:tc>
        <w:tc>
          <w:tcPr>
            <w:tcW w:w="3648" w:type="dxa"/>
            <w:shd w:val="clear" w:color="auto" w:fill="auto"/>
          </w:tcPr>
          <w:p w14:paraId="798BF736" w14:textId="77777777" w:rsidR="00E7240A" w:rsidRDefault="00E7240A" w:rsidP="00A95965">
            <w:pPr>
              <w:pStyle w:val="TableText"/>
              <w:rPr>
                <w:b/>
                <w:szCs w:val="20"/>
              </w:rPr>
            </w:pPr>
          </w:p>
        </w:tc>
        <w:tc>
          <w:tcPr>
            <w:tcW w:w="3840" w:type="dxa"/>
            <w:shd w:val="clear" w:color="auto" w:fill="auto"/>
          </w:tcPr>
          <w:p w14:paraId="0997CC3B" w14:textId="77777777" w:rsidR="00E7240A" w:rsidRDefault="00E7240A" w:rsidP="00A95965">
            <w:pPr>
              <w:pStyle w:val="TableText"/>
              <w:rPr>
                <w:b/>
                <w:szCs w:val="20"/>
              </w:rPr>
            </w:pPr>
          </w:p>
        </w:tc>
        <w:tc>
          <w:tcPr>
            <w:tcW w:w="3840" w:type="dxa"/>
            <w:shd w:val="clear" w:color="auto" w:fill="auto"/>
          </w:tcPr>
          <w:p w14:paraId="1F829F6B" w14:textId="77777777" w:rsidR="00E7240A" w:rsidRDefault="00E7240A" w:rsidP="00A95965">
            <w:pPr>
              <w:pStyle w:val="TableText"/>
              <w:rPr>
                <w:b/>
                <w:szCs w:val="20"/>
              </w:rPr>
            </w:pPr>
          </w:p>
        </w:tc>
      </w:tr>
    </w:tbl>
    <w:p w14:paraId="09F941C1"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7DF510E3" w14:textId="77777777">
        <w:trPr>
          <w:cantSplit/>
          <w:trHeight w:val="235"/>
          <w:tblHeader/>
        </w:trPr>
        <w:tc>
          <w:tcPr>
            <w:tcW w:w="12960" w:type="dxa"/>
            <w:gridSpan w:val="5"/>
            <w:shd w:val="clear" w:color="auto" w:fill="B3B3B3"/>
            <w:noWrap/>
          </w:tcPr>
          <w:p w14:paraId="3A5C31F3" w14:textId="77777777" w:rsidR="00E7240A" w:rsidRPr="005F4649" w:rsidRDefault="00E7240A" w:rsidP="00CA119C">
            <w:pPr>
              <w:pStyle w:val="TableText"/>
              <w:rPr>
                <w:b/>
                <w:szCs w:val="20"/>
              </w:rPr>
            </w:pPr>
            <w:r>
              <w:rPr>
                <w:b/>
                <w:szCs w:val="20"/>
              </w:rPr>
              <w:t>Modified Unit(s)</w:t>
            </w:r>
          </w:p>
        </w:tc>
      </w:tr>
      <w:tr w:rsidR="00E7240A" w14:paraId="78A2AB14" w14:textId="77777777">
        <w:tblPrEx>
          <w:shd w:val="clear" w:color="auto" w:fill="auto"/>
        </w:tblPrEx>
        <w:trPr>
          <w:cantSplit/>
          <w:trHeight w:val="230"/>
          <w:tblHeader/>
        </w:trPr>
        <w:tc>
          <w:tcPr>
            <w:tcW w:w="3793" w:type="dxa"/>
            <w:shd w:val="clear" w:color="auto" w:fill="B3B3B3"/>
            <w:noWrap/>
          </w:tcPr>
          <w:p w14:paraId="3D95DDF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3970E5D5"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3B2DF073" w14:textId="77777777" w:rsidR="00E7240A" w:rsidRDefault="00E7240A" w:rsidP="00CA119C">
            <w:pPr>
              <w:pStyle w:val="TableText"/>
              <w:rPr>
                <w:b/>
                <w:szCs w:val="20"/>
              </w:rPr>
            </w:pPr>
            <w:r>
              <w:rPr>
                <w:b/>
                <w:szCs w:val="20"/>
              </w:rPr>
              <w:t>ABO/Rh</w:t>
            </w:r>
          </w:p>
        </w:tc>
        <w:tc>
          <w:tcPr>
            <w:tcW w:w="2330" w:type="dxa"/>
            <w:shd w:val="clear" w:color="auto" w:fill="B3B3B3"/>
          </w:tcPr>
          <w:p w14:paraId="6C6E3DF9"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5C4C5D43" w14:textId="77777777" w:rsidR="00E7240A" w:rsidRPr="005F4649" w:rsidRDefault="00E7240A" w:rsidP="00CA119C">
            <w:pPr>
              <w:pStyle w:val="TableText"/>
              <w:rPr>
                <w:b/>
                <w:szCs w:val="20"/>
              </w:rPr>
            </w:pPr>
            <w:r>
              <w:rPr>
                <w:b/>
                <w:szCs w:val="20"/>
              </w:rPr>
              <w:t>Expiration Date and Time</w:t>
            </w:r>
          </w:p>
        </w:tc>
      </w:tr>
      <w:tr w:rsidR="00E7240A" w14:paraId="584DFC26" w14:textId="77777777">
        <w:tblPrEx>
          <w:shd w:val="clear" w:color="auto" w:fill="auto"/>
        </w:tblPrEx>
        <w:trPr>
          <w:cantSplit/>
          <w:trHeight w:val="432"/>
        </w:trPr>
        <w:tc>
          <w:tcPr>
            <w:tcW w:w="3793" w:type="dxa"/>
            <w:noWrap/>
          </w:tcPr>
          <w:p w14:paraId="138A1302" w14:textId="77777777" w:rsidR="00E7240A" w:rsidRDefault="00E7240A" w:rsidP="00A95965">
            <w:pPr>
              <w:pStyle w:val="TableText"/>
              <w:rPr>
                <w:b/>
                <w:szCs w:val="20"/>
              </w:rPr>
            </w:pPr>
          </w:p>
        </w:tc>
        <w:tc>
          <w:tcPr>
            <w:tcW w:w="2330" w:type="dxa"/>
          </w:tcPr>
          <w:p w14:paraId="3307E734" w14:textId="77777777" w:rsidR="00E7240A" w:rsidRDefault="00E7240A" w:rsidP="00A95965">
            <w:pPr>
              <w:pStyle w:val="TableText"/>
              <w:rPr>
                <w:b/>
                <w:szCs w:val="20"/>
              </w:rPr>
            </w:pPr>
          </w:p>
        </w:tc>
        <w:tc>
          <w:tcPr>
            <w:tcW w:w="2111" w:type="dxa"/>
          </w:tcPr>
          <w:p w14:paraId="513D8790" w14:textId="77777777" w:rsidR="00E7240A" w:rsidRDefault="00E7240A" w:rsidP="00A95965">
            <w:pPr>
              <w:pStyle w:val="TableText"/>
              <w:rPr>
                <w:b/>
                <w:szCs w:val="20"/>
              </w:rPr>
            </w:pPr>
          </w:p>
        </w:tc>
        <w:tc>
          <w:tcPr>
            <w:tcW w:w="2330" w:type="dxa"/>
          </w:tcPr>
          <w:p w14:paraId="408678B4" w14:textId="77777777" w:rsidR="00E7240A" w:rsidRDefault="00E7240A" w:rsidP="00A95965">
            <w:pPr>
              <w:pStyle w:val="TableText"/>
              <w:rPr>
                <w:b/>
                <w:szCs w:val="20"/>
              </w:rPr>
            </w:pPr>
          </w:p>
        </w:tc>
        <w:tc>
          <w:tcPr>
            <w:tcW w:w="2396" w:type="dxa"/>
          </w:tcPr>
          <w:p w14:paraId="01D15F9F" w14:textId="77777777" w:rsidR="00E7240A" w:rsidRDefault="00E7240A" w:rsidP="00A95965">
            <w:pPr>
              <w:pStyle w:val="TableText"/>
              <w:rPr>
                <w:b/>
                <w:szCs w:val="20"/>
              </w:rPr>
            </w:pPr>
          </w:p>
        </w:tc>
      </w:tr>
      <w:tr w:rsidR="00E7240A" w14:paraId="311F8130" w14:textId="77777777">
        <w:tblPrEx>
          <w:shd w:val="clear" w:color="auto" w:fill="auto"/>
        </w:tblPrEx>
        <w:trPr>
          <w:cantSplit/>
          <w:trHeight w:val="432"/>
        </w:trPr>
        <w:tc>
          <w:tcPr>
            <w:tcW w:w="3793" w:type="dxa"/>
            <w:noWrap/>
          </w:tcPr>
          <w:p w14:paraId="42CF3026" w14:textId="77777777" w:rsidR="00E7240A" w:rsidRDefault="00E7240A" w:rsidP="00A95965">
            <w:pPr>
              <w:pStyle w:val="TableText"/>
              <w:rPr>
                <w:b/>
                <w:szCs w:val="20"/>
              </w:rPr>
            </w:pPr>
          </w:p>
        </w:tc>
        <w:tc>
          <w:tcPr>
            <w:tcW w:w="2330" w:type="dxa"/>
          </w:tcPr>
          <w:p w14:paraId="2176F354" w14:textId="77777777" w:rsidR="00E7240A" w:rsidRDefault="00E7240A" w:rsidP="00A95965">
            <w:pPr>
              <w:pStyle w:val="TableText"/>
              <w:rPr>
                <w:b/>
                <w:szCs w:val="20"/>
              </w:rPr>
            </w:pPr>
          </w:p>
        </w:tc>
        <w:tc>
          <w:tcPr>
            <w:tcW w:w="2111" w:type="dxa"/>
          </w:tcPr>
          <w:p w14:paraId="6B61A8F7" w14:textId="77777777" w:rsidR="00E7240A" w:rsidRDefault="00E7240A" w:rsidP="00A95965">
            <w:pPr>
              <w:pStyle w:val="TableText"/>
              <w:rPr>
                <w:b/>
                <w:szCs w:val="20"/>
              </w:rPr>
            </w:pPr>
          </w:p>
        </w:tc>
        <w:tc>
          <w:tcPr>
            <w:tcW w:w="2330" w:type="dxa"/>
          </w:tcPr>
          <w:p w14:paraId="1C9C0890" w14:textId="77777777" w:rsidR="00E7240A" w:rsidRDefault="00E7240A" w:rsidP="00A95965">
            <w:pPr>
              <w:pStyle w:val="TableText"/>
              <w:rPr>
                <w:b/>
                <w:szCs w:val="20"/>
              </w:rPr>
            </w:pPr>
          </w:p>
        </w:tc>
        <w:tc>
          <w:tcPr>
            <w:tcW w:w="2396" w:type="dxa"/>
          </w:tcPr>
          <w:p w14:paraId="29014778" w14:textId="77777777" w:rsidR="00E7240A" w:rsidRDefault="00E7240A" w:rsidP="00A95965">
            <w:pPr>
              <w:pStyle w:val="TableText"/>
              <w:rPr>
                <w:b/>
                <w:szCs w:val="20"/>
              </w:rPr>
            </w:pPr>
          </w:p>
        </w:tc>
      </w:tr>
      <w:tr w:rsidR="00E7240A" w14:paraId="69684C91" w14:textId="77777777">
        <w:tblPrEx>
          <w:shd w:val="clear" w:color="auto" w:fill="auto"/>
        </w:tblPrEx>
        <w:trPr>
          <w:cantSplit/>
          <w:trHeight w:val="432"/>
        </w:trPr>
        <w:tc>
          <w:tcPr>
            <w:tcW w:w="3793" w:type="dxa"/>
            <w:noWrap/>
          </w:tcPr>
          <w:p w14:paraId="20ABE9ED" w14:textId="77777777" w:rsidR="00E7240A" w:rsidRDefault="00E7240A" w:rsidP="00A95965">
            <w:pPr>
              <w:pStyle w:val="TableText"/>
              <w:rPr>
                <w:b/>
                <w:szCs w:val="20"/>
              </w:rPr>
            </w:pPr>
          </w:p>
        </w:tc>
        <w:tc>
          <w:tcPr>
            <w:tcW w:w="2330" w:type="dxa"/>
          </w:tcPr>
          <w:p w14:paraId="7E39FA9E" w14:textId="77777777" w:rsidR="00E7240A" w:rsidRDefault="00E7240A" w:rsidP="00A95965">
            <w:pPr>
              <w:pStyle w:val="TableText"/>
              <w:rPr>
                <w:b/>
                <w:szCs w:val="20"/>
              </w:rPr>
            </w:pPr>
          </w:p>
        </w:tc>
        <w:tc>
          <w:tcPr>
            <w:tcW w:w="2111" w:type="dxa"/>
          </w:tcPr>
          <w:p w14:paraId="11507138" w14:textId="77777777" w:rsidR="00E7240A" w:rsidRDefault="00E7240A" w:rsidP="00A95965">
            <w:pPr>
              <w:pStyle w:val="TableText"/>
              <w:rPr>
                <w:b/>
                <w:szCs w:val="20"/>
              </w:rPr>
            </w:pPr>
          </w:p>
        </w:tc>
        <w:tc>
          <w:tcPr>
            <w:tcW w:w="2330" w:type="dxa"/>
          </w:tcPr>
          <w:p w14:paraId="56142186" w14:textId="77777777" w:rsidR="00E7240A" w:rsidRDefault="00E7240A" w:rsidP="00A95965">
            <w:pPr>
              <w:pStyle w:val="TableText"/>
              <w:rPr>
                <w:b/>
                <w:szCs w:val="20"/>
              </w:rPr>
            </w:pPr>
          </w:p>
        </w:tc>
        <w:tc>
          <w:tcPr>
            <w:tcW w:w="2396" w:type="dxa"/>
          </w:tcPr>
          <w:p w14:paraId="5D56E3A6" w14:textId="77777777" w:rsidR="00E7240A" w:rsidRDefault="00E7240A" w:rsidP="00A95965">
            <w:pPr>
              <w:pStyle w:val="TableText"/>
              <w:rPr>
                <w:b/>
                <w:szCs w:val="20"/>
              </w:rPr>
            </w:pPr>
          </w:p>
        </w:tc>
      </w:tr>
      <w:tr w:rsidR="00246F04" w14:paraId="1AD19D65" w14:textId="77777777">
        <w:tblPrEx>
          <w:shd w:val="clear" w:color="auto" w:fill="auto"/>
        </w:tblPrEx>
        <w:trPr>
          <w:cantSplit/>
          <w:trHeight w:val="432"/>
        </w:trPr>
        <w:tc>
          <w:tcPr>
            <w:tcW w:w="3793" w:type="dxa"/>
            <w:noWrap/>
          </w:tcPr>
          <w:p w14:paraId="614E3AC7" w14:textId="77777777" w:rsidR="00246F04" w:rsidRDefault="00246F04" w:rsidP="00A95965">
            <w:pPr>
              <w:pStyle w:val="TableText"/>
              <w:rPr>
                <w:b/>
                <w:szCs w:val="20"/>
              </w:rPr>
            </w:pPr>
          </w:p>
        </w:tc>
        <w:tc>
          <w:tcPr>
            <w:tcW w:w="2330" w:type="dxa"/>
          </w:tcPr>
          <w:p w14:paraId="1131D7E9" w14:textId="77777777" w:rsidR="00246F04" w:rsidRDefault="00246F04" w:rsidP="00A95965">
            <w:pPr>
              <w:pStyle w:val="TableText"/>
              <w:rPr>
                <w:b/>
                <w:szCs w:val="20"/>
              </w:rPr>
            </w:pPr>
          </w:p>
        </w:tc>
        <w:tc>
          <w:tcPr>
            <w:tcW w:w="2111" w:type="dxa"/>
          </w:tcPr>
          <w:p w14:paraId="4034C389" w14:textId="77777777" w:rsidR="00246F04" w:rsidRDefault="00246F04" w:rsidP="00A95965">
            <w:pPr>
              <w:pStyle w:val="TableText"/>
              <w:rPr>
                <w:b/>
                <w:szCs w:val="20"/>
              </w:rPr>
            </w:pPr>
          </w:p>
        </w:tc>
        <w:tc>
          <w:tcPr>
            <w:tcW w:w="2330" w:type="dxa"/>
          </w:tcPr>
          <w:p w14:paraId="433E39F5" w14:textId="77777777" w:rsidR="00246F04" w:rsidRDefault="00246F04" w:rsidP="00A95965">
            <w:pPr>
              <w:pStyle w:val="TableText"/>
              <w:rPr>
                <w:b/>
                <w:szCs w:val="20"/>
              </w:rPr>
            </w:pPr>
          </w:p>
        </w:tc>
        <w:tc>
          <w:tcPr>
            <w:tcW w:w="2396" w:type="dxa"/>
          </w:tcPr>
          <w:p w14:paraId="45424804" w14:textId="77777777" w:rsidR="00246F04" w:rsidRDefault="00246F04" w:rsidP="00A95965">
            <w:pPr>
              <w:pStyle w:val="TableText"/>
              <w:rPr>
                <w:b/>
                <w:szCs w:val="20"/>
              </w:rPr>
            </w:pPr>
          </w:p>
        </w:tc>
      </w:tr>
      <w:tr w:rsidR="00246F04" w14:paraId="0400771A" w14:textId="77777777">
        <w:tblPrEx>
          <w:shd w:val="clear" w:color="auto" w:fill="auto"/>
        </w:tblPrEx>
        <w:trPr>
          <w:cantSplit/>
          <w:trHeight w:val="432"/>
        </w:trPr>
        <w:tc>
          <w:tcPr>
            <w:tcW w:w="3793" w:type="dxa"/>
            <w:noWrap/>
          </w:tcPr>
          <w:p w14:paraId="768FDA4B" w14:textId="77777777" w:rsidR="00246F04" w:rsidRDefault="00246F04" w:rsidP="00A95965">
            <w:pPr>
              <w:pStyle w:val="TableText"/>
              <w:rPr>
                <w:b/>
                <w:szCs w:val="20"/>
              </w:rPr>
            </w:pPr>
          </w:p>
        </w:tc>
        <w:tc>
          <w:tcPr>
            <w:tcW w:w="2330" w:type="dxa"/>
          </w:tcPr>
          <w:p w14:paraId="07B66EB4" w14:textId="77777777" w:rsidR="00246F04" w:rsidRDefault="00246F04" w:rsidP="00A95965">
            <w:pPr>
              <w:pStyle w:val="TableText"/>
              <w:rPr>
                <w:b/>
                <w:szCs w:val="20"/>
              </w:rPr>
            </w:pPr>
          </w:p>
        </w:tc>
        <w:tc>
          <w:tcPr>
            <w:tcW w:w="2111" w:type="dxa"/>
          </w:tcPr>
          <w:p w14:paraId="7CC1A1D0" w14:textId="77777777" w:rsidR="00246F04" w:rsidRDefault="00246F04" w:rsidP="00A95965">
            <w:pPr>
              <w:pStyle w:val="TableText"/>
              <w:rPr>
                <w:b/>
                <w:szCs w:val="20"/>
              </w:rPr>
            </w:pPr>
          </w:p>
        </w:tc>
        <w:tc>
          <w:tcPr>
            <w:tcW w:w="2330" w:type="dxa"/>
          </w:tcPr>
          <w:p w14:paraId="2B69B222" w14:textId="77777777" w:rsidR="00246F04" w:rsidRDefault="00246F04" w:rsidP="00A95965">
            <w:pPr>
              <w:pStyle w:val="TableText"/>
              <w:rPr>
                <w:b/>
                <w:szCs w:val="20"/>
              </w:rPr>
            </w:pPr>
          </w:p>
        </w:tc>
        <w:tc>
          <w:tcPr>
            <w:tcW w:w="2396" w:type="dxa"/>
          </w:tcPr>
          <w:p w14:paraId="10E388B6" w14:textId="77777777" w:rsidR="00246F04" w:rsidRDefault="00246F04" w:rsidP="00A95965">
            <w:pPr>
              <w:pStyle w:val="TableText"/>
              <w:rPr>
                <w:b/>
                <w:szCs w:val="20"/>
              </w:rPr>
            </w:pPr>
          </w:p>
        </w:tc>
      </w:tr>
      <w:tr w:rsidR="00246F04" w14:paraId="2F693C29" w14:textId="77777777">
        <w:tblPrEx>
          <w:shd w:val="clear" w:color="auto" w:fill="auto"/>
        </w:tblPrEx>
        <w:trPr>
          <w:cantSplit/>
          <w:trHeight w:val="432"/>
        </w:trPr>
        <w:tc>
          <w:tcPr>
            <w:tcW w:w="3793" w:type="dxa"/>
            <w:noWrap/>
          </w:tcPr>
          <w:p w14:paraId="20E5D0C7" w14:textId="77777777" w:rsidR="00246F04" w:rsidRDefault="00246F04" w:rsidP="00A95965">
            <w:pPr>
              <w:pStyle w:val="TableText"/>
              <w:rPr>
                <w:b/>
                <w:szCs w:val="20"/>
              </w:rPr>
            </w:pPr>
          </w:p>
        </w:tc>
        <w:tc>
          <w:tcPr>
            <w:tcW w:w="2330" w:type="dxa"/>
          </w:tcPr>
          <w:p w14:paraId="2B871BD7" w14:textId="77777777" w:rsidR="00246F04" w:rsidRDefault="00246F04" w:rsidP="00A95965">
            <w:pPr>
              <w:pStyle w:val="TableText"/>
              <w:rPr>
                <w:b/>
                <w:szCs w:val="20"/>
              </w:rPr>
            </w:pPr>
          </w:p>
        </w:tc>
        <w:tc>
          <w:tcPr>
            <w:tcW w:w="2111" w:type="dxa"/>
          </w:tcPr>
          <w:p w14:paraId="7943CDC2" w14:textId="77777777" w:rsidR="00246F04" w:rsidRDefault="00246F04" w:rsidP="00A95965">
            <w:pPr>
              <w:pStyle w:val="TableText"/>
              <w:rPr>
                <w:b/>
                <w:szCs w:val="20"/>
              </w:rPr>
            </w:pPr>
          </w:p>
        </w:tc>
        <w:tc>
          <w:tcPr>
            <w:tcW w:w="2330" w:type="dxa"/>
          </w:tcPr>
          <w:p w14:paraId="393996B2" w14:textId="77777777" w:rsidR="00246F04" w:rsidRDefault="00246F04" w:rsidP="00A95965">
            <w:pPr>
              <w:pStyle w:val="TableText"/>
              <w:rPr>
                <w:b/>
                <w:szCs w:val="20"/>
              </w:rPr>
            </w:pPr>
          </w:p>
        </w:tc>
        <w:tc>
          <w:tcPr>
            <w:tcW w:w="2396" w:type="dxa"/>
          </w:tcPr>
          <w:p w14:paraId="7156F105" w14:textId="77777777" w:rsidR="00246F04" w:rsidRDefault="00246F04" w:rsidP="00A95965">
            <w:pPr>
              <w:pStyle w:val="TableText"/>
              <w:rPr>
                <w:b/>
                <w:szCs w:val="20"/>
              </w:rPr>
            </w:pPr>
          </w:p>
        </w:tc>
      </w:tr>
      <w:tr w:rsidR="00E7240A" w14:paraId="33B74B18" w14:textId="77777777">
        <w:tblPrEx>
          <w:shd w:val="clear" w:color="auto" w:fill="auto"/>
        </w:tblPrEx>
        <w:trPr>
          <w:cantSplit/>
          <w:trHeight w:val="432"/>
        </w:trPr>
        <w:tc>
          <w:tcPr>
            <w:tcW w:w="3793" w:type="dxa"/>
            <w:noWrap/>
          </w:tcPr>
          <w:p w14:paraId="7335C7BC" w14:textId="77777777" w:rsidR="00E7240A" w:rsidRDefault="00E7240A" w:rsidP="00A95965">
            <w:pPr>
              <w:pStyle w:val="TableText"/>
              <w:rPr>
                <w:b/>
                <w:szCs w:val="20"/>
              </w:rPr>
            </w:pPr>
          </w:p>
        </w:tc>
        <w:tc>
          <w:tcPr>
            <w:tcW w:w="2330" w:type="dxa"/>
          </w:tcPr>
          <w:p w14:paraId="713C6524" w14:textId="77777777" w:rsidR="00E7240A" w:rsidRDefault="00E7240A" w:rsidP="00A95965">
            <w:pPr>
              <w:pStyle w:val="TableText"/>
              <w:rPr>
                <w:b/>
                <w:szCs w:val="20"/>
              </w:rPr>
            </w:pPr>
          </w:p>
        </w:tc>
        <w:tc>
          <w:tcPr>
            <w:tcW w:w="2111" w:type="dxa"/>
          </w:tcPr>
          <w:p w14:paraId="3500FB02" w14:textId="77777777" w:rsidR="00E7240A" w:rsidRDefault="00E7240A" w:rsidP="00A95965">
            <w:pPr>
              <w:pStyle w:val="TableText"/>
              <w:rPr>
                <w:b/>
                <w:szCs w:val="20"/>
              </w:rPr>
            </w:pPr>
          </w:p>
        </w:tc>
        <w:tc>
          <w:tcPr>
            <w:tcW w:w="2330" w:type="dxa"/>
          </w:tcPr>
          <w:p w14:paraId="01AA48FB" w14:textId="77777777" w:rsidR="00E7240A" w:rsidRDefault="00E7240A" w:rsidP="00A95965">
            <w:pPr>
              <w:pStyle w:val="TableText"/>
              <w:rPr>
                <w:b/>
                <w:szCs w:val="20"/>
              </w:rPr>
            </w:pPr>
          </w:p>
        </w:tc>
        <w:tc>
          <w:tcPr>
            <w:tcW w:w="2396" w:type="dxa"/>
          </w:tcPr>
          <w:p w14:paraId="7CBE8312" w14:textId="77777777" w:rsidR="00E7240A" w:rsidRDefault="00E7240A" w:rsidP="00A95965">
            <w:pPr>
              <w:pStyle w:val="TableText"/>
              <w:rPr>
                <w:b/>
                <w:szCs w:val="20"/>
              </w:rPr>
            </w:pPr>
          </w:p>
        </w:tc>
      </w:tr>
      <w:tr w:rsidR="00E7240A" w14:paraId="59B9A127" w14:textId="77777777">
        <w:tblPrEx>
          <w:shd w:val="clear" w:color="auto" w:fill="auto"/>
        </w:tblPrEx>
        <w:trPr>
          <w:cantSplit/>
          <w:trHeight w:val="432"/>
        </w:trPr>
        <w:tc>
          <w:tcPr>
            <w:tcW w:w="3793" w:type="dxa"/>
            <w:noWrap/>
          </w:tcPr>
          <w:p w14:paraId="19C898FC" w14:textId="77777777" w:rsidR="00E7240A" w:rsidRDefault="00E7240A" w:rsidP="00A95965">
            <w:pPr>
              <w:pStyle w:val="TableText"/>
              <w:rPr>
                <w:b/>
                <w:szCs w:val="20"/>
              </w:rPr>
            </w:pPr>
          </w:p>
        </w:tc>
        <w:tc>
          <w:tcPr>
            <w:tcW w:w="2330" w:type="dxa"/>
          </w:tcPr>
          <w:p w14:paraId="3FA1B70A" w14:textId="77777777" w:rsidR="00E7240A" w:rsidRDefault="00E7240A" w:rsidP="00A95965">
            <w:pPr>
              <w:pStyle w:val="TableText"/>
              <w:rPr>
                <w:b/>
                <w:szCs w:val="20"/>
              </w:rPr>
            </w:pPr>
          </w:p>
        </w:tc>
        <w:tc>
          <w:tcPr>
            <w:tcW w:w="2111" w:type="dxa"/>
          </w:tcPr>
          <w:p w14:paraId="39F7DD04" w14:textId="77777777" w:rsidR="00E7240A" w:rsidRDefault="00E7240A" w:rsidP="00A95965">
            <w:pPr>
              <w:pStyle w:val="TableText"/>
              <w:rPr>
                <w:b/>
                <w:szCs w:val="20"/>
              </w:rPr>
            </w:pPr>
          </w:p>
        </w:tc>
        <w:tc>
          <w:tcPr>
            <w:tcW w:w="2330" w:type="dxa"/>
          </w:tcPr>
          <w:p w14:paraId="74E6A8E2" w14:textId="77777777" w:rsidR="00E7240A" w:rsidRDefault="00E7240A" w:rsidP="00A95965">
            <w:pPr>
              <w:pStyle w:val="TableText"/>
              <w:rPr>
                <w:b/>
                <w:szCs w:val="20"/>
              </w:rPr>
            </w:pPr>
          </w:p>
        </w:tc>
        <w:tc>
          <w:tcPr>
            <w:tcW w:w="2396" w:type="dxa"/>
          </w:tcPr>
          <w:p w14:paraId="4FE9DC6A" w14:textId="77777777" w:rsidR="00E7240A" w:rsidRDefault="00E7240A" w:rsidP="00A95965">
            <w:pPr>
              <w:pStyle w:val="TableText"/>
              <w:rPr>
                <w:b/>
                <w:szCs w:val="20"/>
              </w:rPr>
            </w:pPr>
          </w:p>
        </w:tc>
      </w:tr>
      <w:tr w:rsidR="00E7240A" w14:paraId="0231BA1D" w14:textId="77777777">
        <w:tblPrEx>
          <w:shd w:val="clear" w:color="auto" w:fill="auto"/>
        </w:tblPrEx>
        <w:trPr>
          <w:cantSplit/>
          <w:trHeight w:val="432"/>
        </w:trPr>
        <w:tc>
          <w:tcPr>
            <w:tcW w:w="3793" w:type="dxa"/>
            <w:noWrap/>
          </w:tcPr>
          <w:p w14:paraId="41683C6B" w14:textId="77777777" w:rsidR="00E7240A" w:rsidRDefault="00E7240A" w:rsidP="00A95965">
            <w:pPr>
              <w:pStyle w:val="TableText"/>
              <w:rPr>
                <w:b/>
                <w:szCs w:val="20"/>
              </w:rPr>
            </w:pPr>
          </w:p>
        </w:tc>
        <w:tc>
          <w:tcPr>
            <w:tcW w:w="2330" w:type="dxa"/>
          </w:tcPr>
          <w:p w14:paraId="56E2BA3F" w14:textId="77777777" w:rsidR="00E7240A" w:rsidRDefault="00E7240A" w:rsidP="00A95965">
            <w:pPr>
              <w:pStyle w:val="TableText"/>
              <w:rPr>
                <w:b/>
                <w:szCs w:val="20"/>
              </w:rPr>
            </w:pPr>
          </w:p>
        </w:tc>
        <w:tc>
          <w:tcPr>
            <w:tcW w:w="2111" w:type="dxa"/>
          </w:tcPr>
          <w:p w14:paraId="530FF9DF" w14:textId="77777777" w:rsidR="00E7240A" w:rsidRDefault="00E7240A" w:rsidP="00A95965">
            <w:pPr>
              <w:pStyle w:val="TableText"/>
              <w:rPr>
                <w:b/>
                <w:szCs w:val="20"/>
              </w:rPr>
            </w:pPr>
          </w:p>
        </w:tc>
        <w:tc>
          <w:tcPr>
            <w:tcW w:w="2330" w:type="dxa"/>
          </w:tcPr>
          <w:p w14:paraId="26F1CAF0" w14:textId="77777777" w:rsidR="00E7240A" w:rsidRDefault="00E7240A" w:rsidP="00A95965">
            <w:pPr>
              <w:pStyle w:val="TableText"/>
              <w:rPr>
                <w:b/>
                <w:szCs w:val="20"/>
              </w:rPr>
            </w:pPr>
          </w:p>
        </w:tc>
        <w:tc>
          <w:tcPr>
            <w:tcW w:w="2396" w:type="dxa"/>
          </w:tcPr>
          <w:p w14:paraId="25031462" w14:textId="77777777" w:rsidR="00E7240A" w:rsidRDefault="00E7240A" w:rsidP="00A95965">
            <w:pPr>
              <w:pStyle w:val="TableText"/>
              <w:rPr>
                <w:b/>
                <w:szCs w:val="20"/>
              </w:rPr>
            </w:pPr>
          </w:p>
        </w:tc>
      </w:tr>
    </w:tbl>
    <w:p w14:paraId="48BD9B17" w14:textId="77777777" w:rsidR="00902D46" w:rsidRDefault="00902D46" w:rsidP="00CF32F4">
      <w:pPr>
        <w:pStyle w:val="BodyText"/>
        <w:jc w:val="center"/>
        <w:sectPr w:rsidR="00902D46" w:rsidSect="00EE771C">
          <w:footerReference w:type="default" r:id="rId207"/>
          <w:pgSz w:w="15840" w:h="12240" w:orient="landscape" w:code="1"/>
          <w:pgMar w:top="1440" w:right="1440" w:bottom="1440" w:left="1440" w:header="720" w:footer="720" w:gutter="0"/>
          <w:cols w:space="720"/>
          <w:docGrid w:linePitch="360"/>
        </w:sectPr>
      </w:pPr>
    </w:p>
    <w:p w14:paraId="16E0C980" w14:textId="1A1B513F" w:rsidR="002A21AE" w:rsidRDefault="002A21AE">
      <w:pPr>
        <w:pStyle w:val="Heading2"/>
      </w:pPr>
      <w:bookmarkStart w:id="575" w:name="_Ref170004931"/>
      <w:bookmarkStart w:id="576" w:name="_Toc163644998"/>
      <w:r>
        <w:lastRenderedPageBreak/>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E2140B">
        <w:rPr>
          <w:noProof/>
        </w:rPr>
        <w:t>B</w:t>
      </w:r>
      <w:r w:rsidR="004E20BD">
        <w:rPr>
          <w:noProof/>
        </w:rPr>
        <w:fldChar w:fldCharType="end"/>
      </w:r>
      <w:bookmarkEnd w:id="575"/>
      <w:r>
        <w:t>: Database Table Information</w:t>
      </w:r>
      <w:bookmarkEnd w:id="576"/>
      <w:r w:rsidR="00681D23">
        <w:fldChar w:fldCharType="begin"/>
      </w:r>
      <w:r w:rsidR="00681D23">
        <w:instrText xml:space="preserve"> XE "</w:instrText>
      </w:r>
      <w:r w:rsidR="00681D23" w:rsidRPr="00FB2A0A">
        <w:instrText>Database Table Information</w:instrText>
      </w:r>
      <w:r w:rsidR="00681D23">
        <w:instrText xml:space="preserve">" </w:instrText>
      </w:r>
      <w:r w:rsidR="00681D23">
        <w:fldChar w:fldCharType="end"/>
      </w:r>
    </w:p>
    <w:p w14:paraId="489EEA0C" w14:textId="77777777" w:rsidR="002A21AE" w:rsidRDefault="002A21AE">
      <w:pPr>
        <w:pStyle w:val="Heading3"/>
      </w:pPr>
      <w:bookmarkStart w:id="577" w:name="_Toc77663546"/>
      <w:bookmarkStart w:id="578" w:name="_Toc91323761"/>
      <w:bookmarkStart w:id="579" w:name="_Toc77663549"/>
      <w:bookmarkStart w:id="580" w:name="_Toc91323764"/>
      <w:bookmarkStart w:id="581" w:name="_Toc91323735"/>
      <w:r w:rsidRPr="00302434">
        <w:rPr>
          <w:rFonts w:ascii="Arial Bold" w:hAnsi="Arial Bold"/>
          <w:vanish/>
        </w:rPr>
        <w:t xml:space="preserve">TT_23.01 </w:t>
      </w:r>
      <w:bookmarkStart w:id="582" w:name="_Toc163644999"/>
      <w:r>
        <w:t>Antibody and Antigen Tables</w:t>
      </w:r>
      <w:bookmarkEnd w:id="577"/>
      <w:bookmarkEnd w:id="578"/>
      <w:bookmarkEnd w:id="582"/>
    </w:p>
    <w:p w14:paraId="1385B131" w14:textId="77777777" w:rsidR="002A21AE" w:rsidRDefault="002A21AE" w:rsidP="0065062F">
      <w:pPr>
        <w:pStyle w:val="Heading3"/>
      </w:pPr>
      <w:bookmarkStart w:id="583" w:name="table13"/>
      <w:bookmarkStart w:id="584" w:name="_Toc77663547"/>
      <w:bookmarkStart w:id="585" w:name="_Toc91323762"/>
      <w:bookmarkStart w:id="586" w:name="_Toc163645000"/>
      <w:bookmarkEnd w:id="583"/>
      <w:r>
        <w:t>Antibody and Antigen Table: Irregular Antibodies</w:t>
      </w:r>
      <w:bookmarkEnd w:id="584"/>
      <w:bookmarkEnd w:id="585"/>
      <w:bookmarkEnd w:id="586"/>
      <w:r>
        <w:fldChar w:fldCharType="begin"/>
      </w:r>
      <w:r>
        <w:instrText xml:space="preserve"> XE </w:instrText>
      </w:r>
      <w:r w:rsidR="00FA7E65">
        <w:instrText>“</w:instrText>
      </w:r>
      <w:r>
        <w:instrText>Tables:Antibody and Antigen Table, Irregular Antibodies</w:instrText>
      </w:r>
      <w:r w:rsidR="00FA7E65">
        <w:instrText>”</w:instrText>
      </w:r>
      <w:r>
        <w:instrText xml:space="preserve"> </w:instrText>
      </w:r>
      <w:r>
        <w:fldChar w:fldCharType="end"/>
      </w:r>
    </w:p>
    <w:p w14:paraId="0AEB6EAF" w14:textId="77777777" w:rsidR="006C5E3A" w:rsidRDefault="00247207" w:rsidP="006C5E3A">
      <w:pPr>
        <w:pStyle w:val="BodyText"/>
      </w:pPr>
      <w:r>
        <w:t xml:space="preserve">VBECS </w:t>
      </w:r>
      <w:r w:rsidR="006C5E3A">
        <w:t xml:space="preserve">creates a division-specific copy in each division in the database. Setting Antibody Parameters allows the division to reset the calculated antigen negative requirement of antibodies to its medical director’s policy. </w:t>
      </w:r>
      <w:r w:rsidR="009A11C7">
        <w:t>Each orderable test name has a corresponding repeat test.</w:t>
      </w:r>
    </w:p>
    <w:p w14:paraId="0501E6CD" w14:textId="77777777" w:rsidR="002A21AE" w:rsidRDefault="002A21AE" w:rsidP="00FA7E65">
      <w:pPr>
        <w:pStyle w:val="BodyText"/>
      </w:pPr>
      <w:r>
        <w:t>Clinical significance of antibody specificity is set using the 14th edition of the AABB Technical Manual. A specific instance of an antibody for certain patients or different treatment conditions may behave quite differently, requiring antigen negative or crossmatch-compatible blood for the patient. The user may edit these settings for an individual patient.</w:t>
      </w:r>
    </w:p>
    <w:p w14:paraId="34FFF4EE" w14:textId="77777777" w:rsidR="002A21AE" w:rsidRDefault="002A21AE" w:rsidP="00FA7E65">
      <w:pPr>
        <w:pStyle w:val="BodyText"/>
      </w:pPr>
      <w:r>
        <w:t xml:space="preserve">The antigen negative required settings apply to all instances of the antibody. Individual hospital policy may indicate that a setting of “OPT” should be made “REQ.” A policy of a global OPT may remain in the event of a specific clinically significant instance of a specificity in a particular patient. The individual patient’s antigen negative requirement may be set for the specificity in Entering and Removing Transfusion Requirements. </w:t>
      </w:r>
      <w:r>
        <w:rPr>
          <w:szCs w:val="16"/>
        </w:rPr>
        <w:t>In the Antigen Negative Requirement column:</w:t>
      </w:r>
    </w:p>
    <w:p w14:paraId="5A64199D" w14:textId="77777777" w:rsidR="002A21AE" w:rsidRDefault="002A21AE">
      <w:pPr>
        <w:pStyle w:val="ListBullet"/>
      </w:pPr>
      <w:r>
        <w:t>“REQ” sets an antigen negative requirement that is not editable because these are generally considered to require the provision of antigen negative blood for patient transfusion.</w:t>
      </w:r>
    </w:p>
    <w:p w14:paraId="4D377CFE" w14:textId="77777777" w:rsidR="002A21AE" w:rsidRDefault="002A21AE">
      <w:pPr>
        <w:pStyle w:val="ListBullet"/>
      </w:pPr>
      <w:r>
        <w:t xml:space="preserve">“NO” does not set an antigen negative requirement and is not editable. </w:t>
      </w:r>
    </w:p>
    <w:p w14:paraId="64C2F7C2" w14:textId="77777777" w:rsidR="002A21AE" w:rsidRDefault="002A21AE">
      <w:pPr>
        <w:pStyle w:val="ListBullet"/>
      </w:pPr>
      <w:r>
        <w:t xml:space="preserve">“OPT” in the Antibody sets an antigen negative requirement is editable and may be reset repeatedly on the division’s copy of the table. </w:t>
      </w:r>
    </w:p>
    <w:p w14:paraId="26A7C55D" w14:textId="365F0EB2" w:rsidR="002A21AE" w:rsidRDefault="00896B41">
      <w:pPr>
        <w:pStyle w:val="Caption"/>
      </w:pPr>
      <w:bookmarkStart w:id="587" w:name="_Toc97523630"/>
      <w:bookmarkStart w:id="588" w:name="_Toc97527600"/>
      <w:r>
        <w:br w:type="page"/>
      </w:r>
      <w:bookmarkStart w:id="589" w:name="_Ref126730855"/>
      <w:bookmarkStart w:id="590" w:name="_Ref126484449"/>
      <w:r w:rsidR="002A21AE">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14</w:t>
      </w:r>
      <w:r w:rsidR="004E20BD">
        <w:rPr>
          <w:noProof/>
        </w:rPr>
        <w:fldChar w:fldCharType="end"/>
      </w:r>
      <w:bookmarkEnd w:id="589"/>
      <w:r w:rsidR="002A21AE">
        <w:t xml:space="preserve">: </w:t>
      </w:r>
      <w:r w:rsidR="002A21AE">
        <w:rPr>
          <w:vanish/>
        </w:rPr>
        <w:t xml:space="preserve">TT_23.01A </w:t>
      </w:r>
      <w:r w:rsidR="002A21AE">
        <w:t>Antibody and Antigen Table: Irregular Antibodies</w:t>
      </w:r>
      <w:bookmarkEnd w:id="587"/>
      <w:bookmarkEnd w:id="588"/>
      <w:bookmarkEnd w:id="590"/>
    </w:p>
    <w:tbl>
      <w:tblPr>
        <w:tblW w:w="1008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75"/>
        <w:gridCol w:w="1710"/>
        <w:gridCol w:w="878"/>
        <w:gridCol w:w="878"/>
        <w:gridCol w:w="1253"/>
        <w:gridCol w:w="1253"/>
        <w:gridCol w:w="1296"/>
        <w:gridCol w:w="841"/>
      </w:tblGrid>
      <w:tr w:rsidR="00B769D3" w:rsidRPr="00F77B4F" w14:paraId="7760C45D" w14:textId="77777777" w:rsidTr="00031618">
        <w:trPr>
          <w:cantSplit/>
          <w:tblHeader/>
        </w:trPr>
        <w:tc>
          <w:tcPr>
            <w:tcW w:w="3685" w:type="dxa"/>
            <w:gridSpan w:val="2"/>
            <w:tcBorders>
              <w:top w:val="single" w:sz="4" w:space="0" w:color="auto"/>
              <w:left w:val="single" w:sz="4" w:space="0" w:color="auto"/>
              <w:bottom w:val="single" w:sz="4" w:space="0" w:color="auto"/>
              <w:right w:val="single" w:sz="4" w:space="0" w:color="auto"/>
            </w:tcBorders>
            <w:shd w:val="clear" w:color="auto" w:fill="B3B3B3"/>
          </w:tcPr>
          <w:p w14:paraId="0D4B4C3E" w14:textId="77777777" w:rsidR="00824338" w:rsidRPr="00F77B4F" w:rsidRDefault="00824338" w:rsidP="004D0818">
            <w:pPr>
              <w:pStyle w:val="TableText"/>
              <w:jc w:val="center"/>
              <w:rPr>
                <w:b/>
              </w:rPr>
            </w:pPr>
            <w:r w:rsidRPr="00F77B4F">
              <w:rPr>
                <w:b/>
              </w:rPr>
              <w:t>Antibody Name</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1CB896A1" w14:textId="77777777" w:rsidR="00824338" w:rsidRPr="00F77B4F" w:rsidRDefault="00824338" w:rsidP="0088039E">
            <w:pPr>
              <w:pStyle w:val="TableText"/>
              <w:rPr>
                <w:b/>
                <w:szCs w:val="16"/>
              </w:rPr>
            </w:pPr>
            <w:r>
              <w:rPr>
                <w:b/>
                <w:szCs w:val="16"/>
              </w:rPr>
              <w:t>Clinically Significant?</w:t>
            </w:r>
            <w:r w:rsidR="00F528F3" w:rsidRPr="00191509">
              <w:rPr>
                <w:rFonts w:ascii="Arial Bold" w:hAnsi="Arial Bold"/>
                <w:b/>
                <w:szCs w:val="18"/>
              </w:rPr>
              <w:t>§</w:t>
            </w:r>
            <w:r w:rsidR="00191509" w:rsidRPr="00191509">
              <w:rPr>
                <w:rFonts w:ascii="Arial Bold" w:hAnsi="Arial Bold"/>
                <w:b/>
                <w:vanish/>
                <w:szCs w:val="18"/>
              </w:rPr>
              <w:t>UserDoc Task 1096</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7077697D" w14:textId="77777777" w:rsidR="00824338" w:rsidRPr="00F77B4F" w:rsidRDefault="00824338" w:rsidP="0088039E">
            <w:pPr>
              <w:pStyle w:val="TableText"/>
              <w:rPr>
                <w:b/>
                <w:szCs w:val="16"/>
              </w:rPr>
            </w:pPr>
            <w:r w:rsidRPr="00F77B4F">
              <w:rPr>
                <w:b/>
                <w:szCs w:val="16"/>
              </w:rPr>
              <w:t>Does Antibody Set a</w:t>
            </w:r>
            <w:r>
              <w:rPr>
                <w:b/>
                <w:szCs w:val="16"/>
              </w:rPr>
              <w:t>n Antigen Negative Requirement?</w:t>
            </w:r>
          </w:p>
        </w:tc>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14:paraId="3016D9CC" w14:textId="77777777" w:rsidR="00824338" w:rsidRPr="00F77B4F" w:rsidRDefault="00824338" w:rsidP="004D0818">
            <w:pPr>
              <w:pStyle w:val="TableText"/>
              <w:jc w:val="center"/>
              <w:rPr>
                <w:b/>
              </w:rPr>
            </w:pPr>
            <w:r w:rsidRPr="00F77B4F">
              <w:rPr>
                <w:b/>
              </w:rPr>
              <w:t>Associated Antigen</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14:paraId="77AE2479" w14:textId="77777777" w:rsidR="00824338" w:rsidRPr="00F77B4F" w:rsidRDefault="00824338" w:rsidP="0088039E">
            <w:pPr>
              <w:pStyle w:val="TableText"/>
              <w:rPr>
                <w:b/>
              </w:rPr>
            </w:pPr>
            <w:r w:rsidRPr="00F77B4F">
              <w:rPr>
                <w:b/>
              </w:rPr>
              <w:t>Antigen Negative Compatibility Percentage</w:t>
            </w:r>
          </w:p>
        </w:tc>
        <w:tc>
          <w:tcPr>
            <w:tcW w:w="841" w:type="dxa"/>
            <w:vMerge w:val="restart"/>
            <w:tcBorders>
              <w:top w:val="single" w:sz="4" w:space="0" w:color="auto"/>
              <w:left w:val="single" w:sz="4" w:space="0" w:color="auto"/>
              <w:right w:val="single" w:sz="4" w:space="0" w:color="auto"/>
            </w:tcBorders>
            <w:shd w:val="clear" w:color="auto" w:fill="B3B3B3"/>
            <w:textDirection w:val="btLr"/>
          </w:tcPr>
          <w:p w14:paraId="6EBA2D17" w14:textId="77777777" w:rsidR="00824338" w:rsidRPr="00F77B4F" w:rsidRDefault="00824338" w:rsidP="0088039E">
            <w:pPr>
              <w:pStyle w:val="TableText"/>
              <w:rPr>
                <w:b/>
              </w:rPr>
            </w:pPr>
            <w:r w:rsidRPr="00F77B4F">
              <w:rPr>
                <w:b/>
              </w:rPr>
              <w:t>VBECS Antigen Typing Orderable Test</w:t>
            </w:r>
          </w:p>
        </w:tc>
      </w:tr>
      <w:tr w:rsidR="00824338" w:rsidRPr="00F77B4F" w14:paraId="2A445DF4" w14:textId="77777777" w:rsidTr="00031618">
        <w:trPr>
          <w:cantSplit/>
          <w:trHeight w:val="1358"/>
          <w:tblHeader/>
        </w:trPr>
        <w:tc>
          <w:tcPr>
            <w:tcW w:w="1975" w:type="dxa"/>
            <w:tcBorders>
              <w:top w:val="single" w:sz="4" w:space="0" w:color="auto"/>
              <w:left w:val="single" w:sz="4" w:space="0" w:color="auto"/>
              <w:bottom w:val="single" w:sz="4" w:space="0" w:color="auto"/>
              <w:right w:val="single" w:sz="4" w:space="0" w:color="auto"/>
            </w:tcBorders>
            <w:shd w:val="clear" w:color="auto" w:fill="B3B3B3"/>
            <w:vAlign w:val="bottom"/>
          </w:tcPr>
          <w:p w14:paraId="565A0B1C" w14:textId="77777777" w:rsidR="00824338" w:rsidRPr="00F77B4F" w:rsidRDefault="00824338" w:rsidP="00AD0B01">
            <w:pPr>
              <w:pStyle w:val="TableText"/>
              <w:rPr>
                <w:rFonts w:eastAsia="Symbol"/>
                <w:b/>
              </w:rPr>
            </w:pPr>
            <w:r w:rsidRPr="00F77B4F">
              <w:rPr>
                <w:b/>
              </w:rPr>
              <w:t>VBECS*</w:t>
            </w:r>
          </w:p>
        </w:tc>
        <w:tc>
          <w:tcPr>
            <w:tcW w:w="1710" w:type="dxa"/>
            <w:tcBorders>
              <w:top w:val="single" w:sz="4" w:space="0" w:color="auto"/>
              <w:left w:val="single" w:sz="4" w:space="0" w:color="auto"/>
              <w:bottom w:val="single" w:sz="4" w:space="0" w:color="auto"/>
              <w:right w:val="single" w:sz="4" w:space="0" w:color="auto"/>
            </w:tcBorders>
            <w:shd w:val="clear" w:color="auto" w:fill="B3B3B3"/>
            <w:vAlign w:val="bottom"/>
          </w:tcPr>
          <w:p w14:paraId="57691D98" w14:textId="77777777" w:rsidR="00824338" w:rsidRPr="00F77B4F" w:rsidRDefault="00824338" w:rsidP="00AD0B01">
            <w:pPr>
              <w:pStyle w:val="TableText"/>
              <w:rPr>
                <w:b/>
              </w:rPr>
            </w:pPr>
            <w:r w:rsidRPr="00F77B4F">
              <w:rPr>
                <w:b/>
              </w:rPr>
              <w:t>VistA</w:t>
            </w:r>
            <w:r>
              <w:rPr>
                <w:b/>
              </w:rPr>
              <w:t>†</w:t>
            </w:r>
          </w:p>
        </w:tc>
        <w:tc>
          <w:tcPr>
            <w:tcW w:w="878" w:type="dxa"/>
            <w:vMerge/>
            <w:tcBorders>
              <w:left w:val="single" w:sz="4" w:space="0" w:color="auto"/>
              <w:bottom w:val="single" w:sz="4" w:space="0" w:color="auto"/>
              <w:right w:val="single" w:sz="4" w:space="0" w:color="auto"/>
            </w:tcBorders>
            <w:shd w:val="clear" w:color="auto" w:fill="B3B3B3"/>
            <w:textDirection w:val="btLr"/>
          </w:tcPr>
          <w:p w14:paraId="76A123B0" w14:textId="77777777" w:rsidR="00824338" w:rsidRPr="00F77B4F" w:rsidRDefault="00824338" w:rsidP="00AD0B01">
            <w:pPr>
              <w:pStyle w:val="TableText"/>
              <w:rPr>
                <w:b/>
                <w:szCs w:val="16"/>
              </w:rPr>
            </w:pPr>
          </w:p>
        </w:tc>
        <w:tc>
          <w:tcPr>
            <w:tcW w:w="878" w:type="dxa"/>
            <w:vMerge/>
            <w:tcBorders>
              <w:left w:val="single" w:sz="4" w:space="0" w:color="auto"/>
              <w:bottom w:val="single" w:sz="4" w:space="0" w:color="auto"/>
              <w:right w:val="single" w:sz="4" w:space="0" w:color="auto"/>
            </w:tcBorders>
            <w:shd w:val="clear" w:color="auto" w:fill="B3B3B3"/>
            <w:textDirection w:val="btLr"/>
          </w:tcPr>
          <w:p w14:paraId="1EE2FE1E" w14:textId="77777777" w:rsidR="00824338" w:rsidRPr="00F77B4F" w:rsidRDefault="00824338" w:rsidP="00AD0B01">
            <w:pPr>
              <w:pStyle w:val="TableText"/>
              <w:rPr>
                <w:rFonts w:eastAsia="Symbol"/>
                <w:b/>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053B7D06" w14:textId="77777777" w:rsidR="00824338" w:rsidRPr="006831BE" w:rsidRDefault="00824338" w:rsidP="006831BE">
            <w:pPr>
              <w:pStyle w:val="TableText"/>
              <w:rPr>
                <w:b/>
              </w:rPr>
            </w:pPr>
            <w:r w:rsidRPr="006831BE">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6380487" w14:textId="77777777" w:rsidR="00824338" w:rsidRPr="006831BE" w:rsidRDefault="00824338" w:rsidP="006831BE">
            <w:pPr>
              <w:pStyle w:val="TableText"/>
              <w:rPr>
                <w:b/>
              </w:rPr>
            </w:pPr>
            <w:r w:rsidRPr="006831BE">
              <w:rPr>
                <w:b/>
              </w:rPr>
              <w:t>VistA†</w:t>
            </w:r>
          </w:p>
        </w:tc>
        <w:tc>
          <w:tcPr>
            <w:tcW w:w="1296" w:type="dxa"/>
            <w:vMerge/>
            <w:tcBorders>
              <w:left w:val="single" w:sz="4" w:space="0" w:color="auto"/>
              <w:bottom w:val="single" w:sz="4" w:space="0" w:color="auto"/>
              <w:right w:val="single" w:sz="4" w:space="0" w:color="auto"/>
            </w:tcBorders>
            <w:shd w:val="clear" w:color="auto" w:fill="B3B3B3"/>
            <w:textDirection w:val="btLr"/>
          </w:tcPr>
          <w:p w14:paraId="3E129578" w14:textId="77777777" w:rsidR="00824338" w:rsidRPr="00F77B4F" w:rsidRDefault="00824338" w:rsidP="00AD0B01">
            <w:pPr>
              <w:pStyle w:val="TableText"/>
              <w:rPr>
                <w:rFonts w:eastAsia="Symbol"/>
                <w:b/>
              </w:rPr>
            </w:pPr>
          </w:p>
        </w:tc>
        <w:tc>
          <w:tcPr>
            <w:tcW w:w="841" w:type="dxa"/>
            <w:vMerge/>
            <w:tcBorders>
              <w:left w:val="single" w:sz="4" w:space="0" w:color="auto"/>
              <w:bottom w:val="single" w:sz="4" w:space="0" w:color="auto"/>
              <w:right w:val="single" w:sz="4" w:space="0" w:color="auto"/>
            </w:tcBorders>
            <w:shd w:val="clear" w:color="auto" w:fill="B3B3B3"/>
            <w:textDirection w:val="btLr"/>
          </w:tcPr>
          <w:p w14:paraId="69FD020B" w14:textId="77777777" w:rsidR="00824338" w:rsidRPr="00F77B4F" w:rsidRDefault="00824338" w:rsidP="00AD0B01">
            <w:pPr>
              <w:pStyle w:val="TableText"/>
              <w:rPr>
                <w:b/>
              </w:rPr>
            </w:pPr>
          </w:p>
        </w:tc>
      </w:tr>
      <w:tr w:rsidR="00824338" w14:paraId="5A4E9F51" w14:textId="77777777" w:rsidTr="00031618">
        <w:tblPrEx>
          <w:tblBorders>
            <w:insideH w:val="single" w:sz="4" w:space="0" w:color="auto"/>
            <w:insideV w:val="single" w:sz="4" w:space="0" w:color="auto"/>
          </w:tblBorders>
        </w:tblPrEx>
        <w:tc>
          <w:tcPr>
            <w:tcW w:w="1975" w:type="dxa"/>
            <w:shd w:val="clear" w:color="auto" w:fill="auto"/>
          </w:tcPr>
          <w:p w14:paraId="1BD51A15" w14:textId="77777777" w:rsidR="003E3D07" w:rsidRDefault="003E3D07">
            <w:pPr>
              <w:pStyle w:val="TableText"/>
              <w:rPr>
                <w:rFonts w:eastAsia="Symbol"/>
              </w:rPr>
            </w:pPr>
            <w:bookmarkStart w:id="591" w:name="_Toc77663548"/>
            <w:r>
              <w:t>Anti-D</w:t>
            </w:r>
          </w:p>
        </w:tc>
        <w:tc>
          <w:tcPr>
            <w:tcW w:w="1710" w:type="dxa"/>
            <w:shd w:val="clear" w:color="auto" w:fill="auto"/>
          </w:tcPr>
          <w:p w14:paraId="59565332" w14:textId="77777777" w:rsidR="003E3D07" w:rsidRDefault="003E3D07">
            <w:pPr>
              <w:pStyle w:val="TableText"/>
              <w:rPr>
                <w:rFonts w:eastAsia="Symbol"/>
              </w:rPr>
            </w:pPr>
            <w:r>
              <w:t>Anti-D</w:t>
            </w:r>
          </w:p>
        </w:tc>
        <w:tc>
          <w:tcPr>
            <w:tcW w:w="878" w:type="dxa"/>
            <w:shd w:val="clear" w:color="auto" w:fill="auto"/>
          </w:tcPr>
          <w:p w14:paraId="5FC28E83" w14:textId="77777777" w:rsidR="003E3D07" w:rsidRDefault="003E3D07">
            <w:pPr>
              <w:pStyle w:val="TableText"/>
              <w:rPr>
                <w:b/>
                <w:bCs/>
              </w:rPr>
            </w:pPr>
            <w:r>
              <w:rPr>
                <w:bCs/>
              </w:rPr>
              <w:t>Yes</w:t>
            </w:r>
          </w:p>
        </w:tc>
        <w:tc>
          <w:tcPr>
            <w:tcW w:w="878" w:type="dxa"/>
            <w:shd w:val="clear" w:color="auto" w:fill="auto"/>
          </w:tcPr>
          <w:p w14:paraId="45E22044" w14:textId="77777777" w:rsidR="003E3D07" w:rsidRDefault="003E3D07">
            <w:pPr>
              <w:pStyle w:val="TableText"/>
              <w:rPr>
                <w:rFonts w:eastAsia="Symbol"/>
                <w:b/>
                <w:bCs/>
              </w:rPr>
            </w:pPr>
            <w:r>
              <w:rPr>
                <w:bCs/>
              </w:rPr>
              <w:t>Yes</w:t>
            </w:r>
          </w:p>
        </w:tc>
        <w:tc>
          <w:tcPr>
            <w:tcW w:w="1253" w:type="dxa"/>
            <w:shd w:val="clear" w:color="auto" w:fill="auto"/>
          </w:tcPr>
          <w:p w14:paraId="0EFCA108" w14:textId="77777777" w:rsidR="003E3D07" w:rsidRDefault="003E3D07">
            <w:pPr>
              <w:pStyle w:val="TableText"/>
              <w:rPr>
                <w:rFonts w:eastAsia="Symbol"/>
              </w:rPr>
            </w:pPr>
            <w:r>
              <w:t>D</w:t>
            </w:r>
          </w:p>
        </w:tc>
        <w:tc>
          <w:tcPr>
            <w:tcW w:w="1253" w:type="dxa"/>
            <w:shd w:val="clear" w:color="auto" w:fill="auto"/>
          </w:tcPr>
          <w:p w14:paraId="0CBA5899" w14:textId="77777777" w:rsidR="003E3D07" w:rsidRDefault="003E3D07">
            <w:pPr>
              <w:pStyle w:val="TableText"/>
              <w:rPr>
                <w:rFonts w:eastAsia="Symbol"/>
              </w:rPr>
            </w:pPr>
            <w:r>
              <w:t>D</w:t>
            </w:r>
          </w:p>
        </w:tc>
        <w:tc>
          <w:tcPr>
            <w:tcW w:w="1296" w:type="dxa"/>
            <w:shd w:val="clear" w:color="auto" w:fill="auto"/>
          </w:tcPr>
          <w:p w14:paraId="63E58AE5" w14:textId="77777777" w:rsidR="003E3D07" w:rsidRDefault="003E3D07">
            <w:pPr>
              <w:pStyle w:val="TableText"/>
              <w:rPr>
                <w:rFonts w:eastAsia="Symbol"/>
              </w:rPr>
            </w:pPr>
            <w:r>
              <w:t>13</w:t>
            </w:r>
          </w:p>
        </w:tc>
        <w:tc>
          <w:tcPr>
            <w:tcW w:w="841" w:type="dxa"/>
            <w:shd w:val="clear" w:color="auto" w:fill="auto"/>
          </w:tcPr>
          <w:p w14:paraId="780E5E90" w14:textId="77777777" w:rsidR="003E3D07" w:rsidRDefault="003E3D07">
            <w:pPr>
              <w:pStyle w:val="TableText"/>
              <w:rPr>
                <w:rFonts w:eastAsia="Symbol"/>
              </w:rPr>
            </w:pPr>
            <w:r>
              <w:t>AGD</w:t>
            </w:r>
          </w:p>
        </w:tc>
      </w:tr>
      <w:tr w:rsidR="00824338" w14:paraId="774ED68D" w14:textId="77777777" w:rsidTr="00031618">
        <w:tblPrEx>
          <w:tblBorders>
            <w:insideH w:val="single" w:sz="4" w:space="0" w:color="auto"/>
            <w:insideV w:val="single" w:sz="4" w:space="0" w:color="auto"/>
          </w:tblBorders>
        </w:tblPrEx>
        <w:tc>
          <w:tcPr>
            <w:tcW w:w="1975" w:type="dxa"/>
            <w:shd w:val="clear" w:color="auto" w:fill="auto"/>
          </w:tcPr>
          <w:p w14:paraId="1542BA93" w14:textId="77777777" w:rsidR="003E3D07" w:rsidRDefault="003E3D07">
            <w:pPr>
              <w:pStyle w:val="TableText"/>
            </w:pPr>
            <w:r>
              <w:t>N/A</w:t>
            </w:r>
          </w:p>
        </w:tc>
        <w:tc>
          <w:tcPr>
            <w:tcW w:w="1710" w:type="dxa"/>
            <w:shd w:val="clear" w:color="auto" w:fill="auto"/>
          </w:tcPr>
          <w:p w14:paraId="3BFC4C34" w14:textId="77777777" w:rsidR="003E3D07" w:rsidRDefault="003E3D07">
            <w:pPr>
              <w:pStyle w:val="TableText"/>
            </w:pPr>
            <w:r>
              <w:t>N/A</w:t>
            </w:r>
          </w:p>
        </w:tc>
        <w:tc>
          <w:tcPr>
            <w:tcW w:w="878" w:type="dxa"/>
            <w:shd w:val="clear" w:color="auto" w:fill="auto"/>
          </w:tcPr>
          <w:p w14:paraId="59044693" w14:textId="77777777" w:rsidR="003E3D07" w:rsidRDefault="003E3D07">
            <w:pPr>
              <w:pStyle w:val="TableText"/>
              <w:rPr>
                <w:b/>
                <w:bCs/>
              </w:rPr>
            </w:pPr>
            <w:r>
              <w:t>N/A</w:t>
            </w:r>
          </w:p>
        </w:tc>
        <w:tc>
          <w:tcPr>
            <w:tcW w:w="878" w:type="dxa"/>
            <w:shd w:val="clear" w:color="auto" w:fill="auto"/>
          </w:tcPr>
          <w:p w14:paraId="14144D85" w14:textId="77777777" w:rsidR="003E3D07" w:rsidRDefault="003E3D07">
            <w:pPr>
              <w:pStyle w:val="TableText"/>
              <w:rPr>
                <w:b/>
                <w:bCs/>
              </w:rPr>
            </w:pPr>
            <w:r>
              <w:t>N/A</w:t>
            </w:r>
          </w:p>
        </w:tc>
        <w:tc>
          <w:tcPr>
            <w:tcW w:w="1253" w:type="dxa"/>
            <w:shd w:val="clear" w:color="auto" w:fill="auto"/>
          </w:tcPr>
          <w:p w14:paraId="69EEB22B" w14:textId="77777777" w:rsidR="003E3D07" w:rsidRDefault="003E3D07">
            <w:pPr>
              <w:pStyle w:val="TableText"/>
            </w:pPr>
            <w:r>
              <w:t>N/A</w:t>
            </w:r>
          </w:p>
        </w:tc>
        <w:tc>
          <w:tcPr>
            <w:tcW w:w="1253" w:type="dxa"/>
            <w:shd w:val="clear" w:color="auto" w:fill="auto"/>
          </w:tcPr>
          <w:p w14:paraId="05360712" w14:textId="77777777" w:rsidR="003E3D07" w:rsidRDefault="003E3D07">
            <w:pPr>
              <w:pStyle w:val="TableText"/>
            </w:pPr>
            <w:r>
              <w:t>N/A</w:t>
            </w:r>
          </w:p>
        </w:tc>
        <w:tc>
          <w:tcPr>
            <w:tcW w:w="1296" w:type="dxa"/>
            <w:shd w:val="clear" w:color="auto" w:fill="auto"/>
          </w:tcPr>
          <w:p w14:paraId="04BA0327" w14:textId="77777777" w:rsidR="003E3D07" w:rsidRDefault="003E3D07">
            <w:pPr>
              <w:pStyle w:val="TableText"/>
            </w:pPr>
            <w:r>
              <w:t>N/A</w:t>
            </w:r>
          </w:p>
        </w:tc>
        <w:tc>
          <w:tcPr>
            <w:tcW w:w="841" w:type="dxa"/>
            <w:shd w:val="clear" w:color="auto" w:fill="auto"/>
          </w:tcPr>
          <w:p w14:paraId="6F1798D3" w14:textId="77777777" w:rsidR="003E3D07" w:rsidRDefault="003E3D07">
            <w:pPr>
              <w:pStyle w:val="TableText"/>
            </w:pPr>
            <w:r>
              <w:t>AGwD</w:t>
            </w:r>
          </w:p>
        </w:tc>
      </w:tr>
      <w:tr w:rsidR="00824338" w14:paraId="3C767DF3" w14:textId="77777777" w:rsidTr="00031618">
        <w:tblPrEx>
          <w:tblBorders>
            <w:insideH w:val="single" w:sz="4" w:space="0" w:color="auto"/>
            <w:insideV w:val="single" w:sz="4" w:space="0" w:color="auto"/>
          </w:tblBorders>
        </w:tblPrEx>
        <w:tc>
          <w:tcPr>
            <w:tcW w:w="1975" w:type="dxa"/>
            <w:shd w:val="clear" w:color="auto" w:fill="auto"/>
          </w:tcPr>
          <w:p w14:paraId="2689E1D3" w14:textId="77777777" w:rsidR="003E3D07" w:rsidRDefault="003E3D07">
            <w:pPr>
              <w:pStyle w:val="TableText"/>
              <w:rPr>
                <w:rFonts w:eastAsia="Symbol"/>
              </w:rPr>
            </w:pPr>
            <w:r>
              <w:t>Anti-C</w:t>
            </w:r>
          </w:p>
        </w:tc>
        <w:tc>
          <w:tcPr>
            <w:tcW w:w="1710" w:type="dxa"/>
            <w:shd w:val="clear" w:color="auto" w:fill="auto"/>
          </w:tcPr>
          <w:p w14:paraId="12A92636" w14:textId="77777777" w:rsidR="003E3D07" w:rsidRDefault="003E3D07">
            <w:pPr>
              <w:pStyle w:val="TableText"/>
              <w:rPr>
                <w:rFonts w:eastAsia="Symbol"/>
              </w:rPr>
            </w:pPr>
            <w:r>
              <w:t>Anti-C</w:t>
            </w:r>
          </w:p>
        </w:tc>
        <w:tc>
          <w:tcPr>
            <w:tcW w:w="878" w:type="dxa"/>
            <w:shd w:val="clear" w:color="auto" w:fill="auto"/>
          </w:tcPr>
          <w:p w14:paraId="7E2B8ED3" w14:textId="77777777" w:rsidR="003E3D07" w:rsidRDefault="003E3D07">
            <w:pPr>
              <w:pStyle w:val="TableText"/>
              <w:rPr>
                <w:b/>
                <w:bCs/>
              </w:rPr>
            </w:pPr>
            <w:r>
              <w:rPr>
                <w:bCs/>
              </w:rPr>
              <w:t>Yes</w:t>
            </w:r>
          </w:p>
        </w:tc>
        <w:tc>
          <w:tcPr>
            <w:tcW w:w="878" w:type="dxa"/>
            <w:shd w:val="clear" w:color="auto" w:fill="auto"/>
          </w:tcPr>
          <w:p w14:paraId="6813311B" w14:textId="77777777" w:rsidR="003E3D07" w:rsidRDefault="003E3D07">
            <w:pPr>
              <w:pStyle w:val="TableText"/>
              <w:rPr>
                <w:rFonts w:eastAsia="Symbol"/>
                <w:b/>
                <w:bCs/>
              </w:rPr>
            </w:pPr>
            <w:r>
              <w:rPr>
                <w:bCs/>
              </w:rPr>
              <w:t>Yes</w:t>
            </w:r>
          </w:p>
        </w:tc>
        <w:tc>
          <w:tcPr>
            <w:tcW w:w="1253" w:type="dxa"/>
            <w:shd w:val="clear" w:color="auto" w:fill="auto"/>
          </w:tcPr>
          <w:p w14:paraId="434FCDC6" w14:textId="77777777" w:rsidR="003E3D07" w:rsidRDefault="003E3D07">
            <w:pPr>
              <w:pStyle w:val="TableText"/>
              <w:rPr>
                <w:rFonts w:eastAsia="Symbol"/>
              </w:rPr>
            </w:pPr>
            <w:r>
              <w:t>C</w:t>
            </w:r>
          </w:p>
        </w:tc>
        <w:tc>
          <w:tcPr>
            <w:tcW w:w="1253" w:type="dxa"/>
            <w:shd w:val="clear" w:color="auto" w:fill="auto"/>
          </w:tcPr>
          <w:p w14:paraId="6795ED29" w14:textId="77777777" w:rsidR="003E3D07" w:rsidRDefault="003E3D07">
            <w:pPr>
              <w:pStyle w:val="TableText"/>
              <w:rPr>
                <w:rFonts w:eastAsia="Symbol"/>
              </w:rPr>
            </w:pPr>
            <w:r>
              <w:t>C</w:t>
            </w:r>
          </w:p>
        </w:tc>
        <w:tc>
          <w:tcPr>
            <w:tcW w:w="1296" w:type="dxa"/>
            <w:shd w:val="clear" w:color="auto" w:fill="auto"/>
          </w:tcPr>
          <w:p w14:paraId="7DB81BA0" w14:textId="77777777" w:rsidR="003E3D07" w:rsidRDefault="003E3D07">
            <w:pPr>
              <w:pStyle w:val="TableText"/>
              <w:rPr>
                <w:rFonts w:eastAsia="Symbol"/>
              </w:rPr>
            </w:pPr>
            <w:r>
              <w:t>53</w:t>
            </w:r>
          </w:p>
        </w:tc>
        <w:tc>
          <w:tcPr>
            <w:tcW w:w="841" w:type="dxa"/>
            <w:shd w:val="clear" w:color="auto" w:fill="auto"/>
          </w:tcPr>
          <w:p w14:paraId="1B08D23F" w14:textId="77777777" w:rsidR="003E3D07" w:rsidRDefault="003E3D07">
            <w:pPr>
              <w:pStyle w:val="TableText"/>
              <w:rPr>
                <w:rFonts w:eastAsia="Symbol"/>
              </w:rPr>
            </w:pPr>
            <w:r>
              <w:t>AGC</w:t>
            </w:r>
          </w:p>
        </w:tc>
      </w:tr>
      <w:tr w:rsidR="00824338" w14:paraId="60CE930B" w14:textId="77777777" w:rsidTr="00031618">
        <w:tblPrEx>
          <w:tblBorders>
            <w:insideH w:val="single" w:sz="4" w:space="0" w:color="auto"/>
            <w:insideV w:val="single" w:sz="4" w:space="0" w:color="auto"/>
          </w:tblBorders>
        </w:tblPrEx>
        <w:tc>
          <w:tcPr>
            <w:tcW w:w="1975" w:type="dxa"/>
            <w:shd w:val="clear" w:color="auto" w:fill="auto"/>
          </w:tcPr>
          <w:p w14:paraId="28CA9C8F" w14:textId="77777777" w:rsidR="003E3D07" w:rsidRDefault="003E3D07">
            <w:pPr>
              <w:pStyle w:val="TableText"/>
              <w:rPr>
                <w:rFonts w:eastAsia="Symbol"/>
              </w:rPr>
            </w:pPr>
            <w:r>
              <w:t>Anti-E</w:t>
            </w:r>
          </w:p>
        </w:tc>
        <w:tc>
          <w:tcPr>
            <w:tcW w:w="1710" w:type="dxa"/>
            <w:shd w:val="clear" w:color="auto" w:fill="auto"/>
          </w:tcPr>
          <w:p w14:paraId="7FE4E626" w14:textId="77777777" w:rsidR="003E3D07" w:rsidRDefault="003E3D07">
            <w:pPr>
              <w:pStyle w:val="TableText"/>
              <w:rPr>
                <w:rFonts w:eastAsia="Symbol"/>
              </w:rPr>
            </w:pPr>
            <w:r>
              <w:t>Anti-E</w:t>
            </w:r>
          </w:p>
        </w:tc>
        <w:tc>
          <w:tcPr>
            <w:tcW w:w="878" w:type="dxa"/>
            <w:shd w:val="clear" w:color="auto" w:fill="auto"/>
          </w:tcPr>
          <w:p w14:paraId="0B5E3598" w14:textId="77777777" w:rsidR="003E3D07" w:rsidRDefault="003E3D07">
            <w:pPr>
              <w:pStyle w:val="TableText"/>
              <w:rPr>
                <w:b/>
                <w:bCs/>
              </w:rPr>
            </w:pPr>
            <w:r>
              <w:rPr>
                <w:bCs/>
              </w:rPr>
              <w:t>Yes</w:t>
            </w:r>
          </w:p>
        </w:tc>
        <w:tc>
          <w:tcPr>
            <w:tcW w:w="878" w:type="dxa"/>
            <w:shd w:val="clear" w:color="auto" w:fill="auto"/>
          </w:tcPr>
          <w:p w14:paraId="383AD060" w14:textId="77777777" w:rsidR="003E3D07" w:rsidRDefault="003E3D07">
            <w:pPr>
              <w:pStyle w:val="TableText"/>
              <w:rPr>
                <w:rFonts w:eastAsia="Symbol"/>
                <w:b/>
                <w:bCs/>
              </w:rPr>
            </w:pPr>
            <w:r>
              <w:rPr>
                <w:bCs/>
              </w:rPr>
              <w:t>Yes</w:t>
            </w:r>
          </w:p>
        </w:tc>
        <w:tc>
          <w:tcPr>
            <w:tcW w:w="1253" w:type="dxa"/>
            <w:shd w:val="clear" w:color="auto" w:fill="auto"/>
          </w:tcPr>
          <w:p w14:paraId="4358C9A4" w14:textId="77777777" w:rsidR="003E3D07" w:rsidRDefault="003E3D07">
            <w:pPr>
              <w:pStyle w:val="TableText"/>
              <w:rPr>
                <w:rFonts w:eastAsia="Symbol"/>
              </w:rPr>
            </w:pPr>
            <w:r>
              <w:t>E</w:t>
            </w:r>
          </w:p>
        </w:tc>
        <w:tc>
          <w:tcPr>
            <w:tcW w:w="1253" w:type="dxa"/>
            <w:shd w:val="clear" w:color="auto" w:fill="auto"/>
          </w:tcPr>
          <w:p w14:paraId="403C7F74" w14:textId="77777777" w:rsidR="003E3D07" w:rsidRDefault="003E3D07">
            <w:pPr>
              <w:pStyle w:val="TableText"/>
              <w:rPr>
                <w:rFonts w:eastAsia="Symbol"/>
              </w:rPr>
            </w:pPr>
            <w:r>
              <w:t>E</w:t>
            </w:r>
          </w:p>
        </w:tc>
        <w:tc>
          <w:tcPr>
            <w:tcW w:w="1296" w:type="dxa"/>
            <w:shd w:val="clear" w:color="auto" w:fill="auto"/>
          </w:tcPr>
          <w:p w14:paraId="6BF26E0A" w14:textId="77777777" w:rsidR="003E3D07" w:rsidRDefault="003E3D07">
            <w:pPr>
              <w:pStyle w:val="TableText"/>
              <w:rPr>
                <w:rFonts w:eastAsia="Symbol"/>
              </w:rPr>
            </w:pPr>
            <w:r>
              <w:t>75</w:t>
            </w:r>
          </w:p>
        </w:tc>
        <w:tc>
          <w:tcPr>
            <w:tcW w:w="841" w:type="dxa"/>
            <w:shd w:val="clear" w:color="auto" w:fill="auto"/>
          </w:tcPr>
          <w:p w14:paraId="4E745ADC" w14:textId="77777777" w:rsidR="003E3D07" w:rsidRDefault="003E3D07">
            <w:pPr>
              <w:pStyle w:val="TableText"/>
              <w:rPr>
                <w:rFonts w:eastAsia="Symbol"/>
              </w:rPr>
            </w:pPr>
            <w:r>
              <w:t>AGE</w:t>
            </w:r>
          </w:p>
        </w:tc>
      </w:tr>
      <w:tr w:rsidR="00824338" w14:paraId="060D2408" w14:textId="77777777" w:rsidTr="00031618">
        <w:tblPrEx>
          <w:tblBorders>
            <w:insideH w:val="single" w:sz="4" w:space="0" w:color="auto"/>
            <w:insideV w:val="single" w:sz="4" w:space="0" w:color="auto"/>
          </w:tblBorders>
        </w:tblPrEx>
        <w:tc>
          <w:tcPr>
            <w:tcW w:w="1975" w:type="dxa"/>
            <w:shd w:val="clear" w:color="auto" w:fill="auto"/>
          </w:tcPr>
          <w:p w14:paraId="6FEC0720" w14:textId="77777777" w:rsidR="003E3D07" w:rsidRDefault="003E3D07">
            <w:pPr>
              <w:pStyle w:val="TableText"/>
              <w:rPr>
                <w:rFonts w:eastAsia="Symbol"/>
              </w:rPr>
            </w:pPr>
            <w:r>
              <w:t>Anti-c</w:t>
            </w:r>
          </w:p>
        </w:tc>
        <w:tc>
          <w:tcPr>
            <w:tcW w:w="1710" w:type="dxa"/>
            <w:shd w:val="clear" w:color="auto" w:fill="auto"/>
          </w:tcPr>
          <w:p w14:paraId="4CDA59AD" w14:textId="77777777" w:rsidR="003E3D07" w:rsidRDefault="003E3D07">
            <w:pPr>
              <w:pStyle w:val="TableText"/>
              <w:rPr>
                <w:rFonts w:eastAsia="Symbol"/>
              </w:rPr>
            </w:pPr>
            <w:r>
              <w:t>Anti-c</w:t>
            </w:r>
          </w:p>
        </w:tc>
        <w:tc>
          <w:tcPr>
            <w:tcW w:w="878" w:type="dxa"/>
            <w:shd w:val="clear" w:color="auto" w:fill="auto"/>
          </w:tcPr>
          <w:p w14:paraId="6FAF0FD8" w14:textId="77777777" w:rsidR="003E3D07" w:rsidRDefault="003E3D07">
            <w:pPr>
              <w:pStyle w:val="TableText"/>
              <w:rPr>
                <w:b/>
                <w:bCs/>
              </w:rPr>
            </w:pPr>
            <w:r>
              <w:rPr>
                <w:bCs/>
              </w:rPr>
              <w:t>Yes</w:t>
            </w:r>
          </w:p>
        </w:tc>
        <w:tc>
          <w:tcPr>
            <w:tcW w:w="878" w:type="dxa"/>
            <w:shd w:val="clear" w:color="auto" w:fill="auto"/>
          </w:tcPr>
          <w:p w14:paraId="29FFD50B" w14:textId="77777777" w:rsidR="003E3D07" w:rsidRDefault="003E3D07">
            <w:pPr>
              <w:pStyle w:val="TableText"/>
              <w:rPr>
                <w:rFonts w:eastAsia="Symbol"/>
                <w:b/>
                <w:bCs/>
              </w:rPr>
            </w:pPr>
            <w:r>
              <w:rPr>
                <w:bCs/>
              </w:rPr>
              <w:t>Yes</w:t>
            </w:r>
          </w:p>
        </w:tc>
        <w:tc>
          <w:tcPr>
            <w:tcW w:w="1253" w:type="dxa"/>
            <w:shd w:val="clear" w:color="auto" w:fill="auto"/>
          </w:tcPr>
          <w:p w14:paraId="569CDF56" w14:textId="77777777" w:rsidR="003E3D07" w:rsidRDefault="003E3D07">
            <w:pPr>
              <w:pStyle w:val="TableText"/>
              <w:rPr>
                <w:rFonts w:eastAsia="Symbol"/>
              </w:rPr>
            </w:pPr>
            <w:r>
              <w:t>c</w:t>
            </w:r>
          </w:p>
        </w:tc>
        <w:tc>
          <w:tcPr>
            <w:tcW w:w="1253" w:type="dxa"/>
            <w:shd w:val="clear" w:color="auto" w:fill="auto"/>
          </w:tcPr>
          <w:p w14:paraId="5B30C600" w14:textId="77777777" w:rsidR="003E3D07" w:rsidRDefault="003E3D07">
            <w:pPr>
              <w:pStyle w:val="TableText"/>
              <w:rPr>
                <w:rFonts w:eastAsia="Symbol"/>
              </w:rPr>
            </w:pPr>
            <w:r>
              <w:t>c</w:t>
            </w:r>
          </w:p>
        </w:tc>
        <w:tc>
          <w:tcPr>
            <w:tcW w:w="1296" w:type="dxa"/>
            <w:shd w:val="clear" w:color="auto" w:fill="auto"/>
          </w:tcPr>
          <w:p w14:paraId="7928CD15" w14:textId="77777777" w:rsidR="003E3D07" w:rsidRDefault="003E3D07">
            <w:pPr>
              <w:pStyle w:val="TableText"/>
              <w:rPr>
                <w:rFonts w:eastAsia="Symbol"/>
              </w:rPr>
            </w:pPr>
            <w:r>
              <w:t>12</w:t>
            </w:r>
          </w:p>
        </w:tc>
        <w:tc>
          <w:tcPr>
            <w:tcW w:w="841" w:type="dxa"/>
            <w:shd w:val="clear" w:color="auto" w:fill="auto"/>
          </w:tcPr>
          <w:p w14:paraId="2D508BBA" w14:textId="77777777" w:rsidR="003E3D07" w:rsidRDefault="003E3D07">
            <w:pPr>
              <w:pStyle w:val="TableText"/>
              <w:rPr>
                <w:rFonts w:eastAsia="Symbol"/>
              </w:rPr>
            </w:pPr>
            <w:r>
              <w:t>AGc</w:t>
            </w:r>
          </w:p>
        </w:tc>
      </w:tr>
      <w:tr w:rsidR="00824338" w14:paraId="0563970B" w14:textId="77777777" w:rsidTr="00031618">
        <w:tblPrEx>
          <w:tblBorders>
            <w:insideH w:val="single" w:sz="4" w:space="0" w:color="auto"/>
            <w:insideV w:val="single" w:sz="4" w:space="0" w:color="auto"/>
          </w:tblBorders>
        </w:tblPrEx>
        <w:tc>
          <w:tcPr>
            <w:tcW w:w="1975" w:type="dxa"/>
            <w:shd w:val="clear" w:color="auto" w:fill="auto"/>
          </w:tcPr>
          <w:p w14:paraId="412C08FE" w14:textId="77777777" w:rsidR="003E3D07" w:rsidRDefault="003E3D07">
            <w:pPr>
              <w:pStyle w:val="TableText"/>
              <w:rPr>
                <w:rFonts w:eastAsia="Symbol"/>
              </w:rPr>
            </w:pPr>
            <w:r>
              <w:t>Anti-e</w:t>
            </w:r>
          </w:p>
        </w:tc>
        <w:tc>
          <w:tcPr>
            <w:tcW w:w="1710" w:type="dxa"/>
            <w:shd w:val="clear" w:color="auto" w:fill="auto"/>
          </w:tcPr>
          <w:p w14:paraId="5161DA0E" w14:textId="77777777" w:rsidR="003E3D07" w:rsidRDefault="003E3D07">
            <w:pPr>
              <w:pStyle w:val="TableText"/>
              <w:rPr>
                <w:rFonts w:eastAsia="Symbol"/>
              </w:rPr>
            </w:pPr>
            <w:r>
              <w:t>Anti-e</w:t>
            </w:r>
          </w:p>
        </w:tc>
        <w:tc>
          <w:tcPr>
            <w:tcW w:w="878" w:type="dxa"/>
            <w:shd w:val="clear" w:color="auto" w:fill="auto"/>
          </w:tcPr>
          <w:p w14:paraId="31F72680" w14:textId="77777777" w:rsidR="003E3D07" w:rsidRDefault="003E3D07">
            <w:pPr>
              <w:pStyle w:val="TableText"/>
              <w:rPr>
                <w:b/>
                <w:bCs/>
              </w:rPr>
            </w:pPr>
            <w:r>
              <w:rPr>
                <w:bCs/>
              </w:rPr>
              <w:t>Yes</w:t>
            </w:r>
          </w:p>
        </w:tc>
        <w:tc>
          <w:tcPr>
            <w:tcW w:w="878" w:type="dxa"/>
            <w:shd w:val="clear" w:color="auto" w:fill="auto"/>
          </w:tcPr>
          <w:p w14:paraId="718CC70D" w14:textId="77777777" w:rsidR="003E3D07" w:rsidRDefault="003E3D07">
            <w:pPr>
              <w:pStyle w:val="TableText"/>
              <w:rPr>
                <w:rFonts w:eastAsia="Symbol"/>
                <w:b/>
                <w:bCs/>
              </w:rPr>
            </w:pPr>
            <w:r>
              <w:rPr>
                <w:bCs/>
              </w:rPr>
              <w:t>Yes</w:t>
            </w:r>
          </w:p>
        </w:tc>
        <w:tc>
          <w:tcPr>
            <w:tcW w:w="1253" w:type="dxa"/>
            <w:shd w:val="clear" w:color="auto" w:fill="auto"/>
          </w:tcPr>
          <w:p w14:paraId="40BD33A9" w14:textId="77777777" w:rsidR="003E3D07" w:rsidRDefault="003E3D07">
            <w:pPr>
              <w:pStyle w:val="TableText"/>
              <w:rPr>
                <w:rFonts w:eastAsia="Symbol"/>
              </w:rPr>
            </w:pPr>
            <w:r>
              <w:t>e</w:t>
            </w:r>
          </w:p>
        </w:tc>
        <w:tc>
          <w:tcPr>
            <w:tcW w:w="1253" w:type="dxa"/>
            <w:shd w:val="clear" w:color="auto" w:fill="auto"/>
          </w:tcPr>
          <w:p w14:paraId="3573B0A3" w14:textId="77777777" w:rsidR="003E3D07" w:rsidRDefault="003E3D07">
            <w:pPr>
              <w:pStyle w:val="TableText"/>
              <w:rPr>
                <w:rFonts w:eastAsia="Symbol"/>
              </w:rPr>
            </w:pPr>
            <w:r>
              <w:t>e</w:t>
            </w:r>
          </w:p>
        </w:tc>
        <w:tc>
          <w:tcPr>
            <w:tcW w:w="1296" w:type="dxa"/>
            <w:shd w:val="clear" w:color="auto" w:fill="auto"/>
          </w:tcPr>
          <w:p w14:paraId="324C39AD" w14:textId="77777777" w:rsidR="003E3D07" w:rsidRDefault="003E3D07">
            <w:pPr>
              <w:pStyle w:val="TableText"/>
              <w:rPr>
                <w:rFonts w:eastAsia="Symbol"/>
              </w:rPr>
            </w:pPr>
            <w:r>
              <w:t>2</w:t>
            </w:r>
          </w:p>
        </w:tc>
        <w:tc>
          <w:tcPr>
            <w:tcW w:w="841" w:type="dxa"/>
            <w:shd w:val="clear" w:color="auto" w:fill="auto"/>
          </w:tcPr>
          <w:p w14:paraId="314D813C" w14:textId="77777777" w:rsidR="003E3D07" w:rsidRDefault="003E3D07">
            <w:pPr>
              <w:pStyle w:val="TableText"/>
              <w:rPr>
                <w:rFonts w:eastAsia="Symbol"/>
              </w:rPr>
            </w:pPr>
            <w:r>
              <w:t>AGe</w:t>
            </w:r>
          </w:p>
        </w:tc>
      </w:tr>
      <w:tr w:rsidR="00824338" w14:paraId="582E595A" w14:textId="77777777" w:rsidTr="00031618">
        <w:tblPrEx>
          <w:tblBorders>
            <w:insideH w:val="single" w:sz="4" w:space="0" w:color="auto"/>
            <w:insideV w:val="single" w:sz="4" w:space="0" w:color="auto"/>
          </w:tblBorders>
        </w:tblPrEx>
        <w:tc>
          <w:tcPr>
            <w:tcW w:w="1975" w:type="dxa"/>
            <w:shd w:val="clear" w:color="auto" w:fill="auto"/>
          </w:tcPr>
          <w:p w14:paraId="58A635F8" w14:textId="0EE3CB5C" w:rsidR="007408F1" w:rsidRDefault="003E3D07" w:rsidP="00F358AF">
            <w:pPr>
              <w:pStyle w:val="TableText"/>
              <w:rPr>
                <w:rFonts w:eastAsia="Symbol"/>
              </w:rPr>
            </w:pPr>
            <w:r>
              <w:t>Anti-f</w:t>
            </w:r>
          </w:p>
        </w:tc>
        <w:tc>
          <w:tcPr>
            <w:tcW w:w="1710" w:type="dxa"/>
            <w:shd w:val="clear" w:color="auto" w:fill="auto"/>
          </w:tcPr>
          <w:p w14:paraId="7B71550A" w14:textId="77777777" w:rsidR="003E3D07" w:rsidRDefault="003E3D07">
            <w:pPr>
              <w:pStyle w:val="TableText"/>
              <w:rPr>
                <w:rFonts w:eastAsia="Symbol"/>
              </w:rPr>
            </w:pPr>
            <w:r>
              <w:t>Anti-f</w:t>
            </w:r>
          </w:p>
        </w:tc>
        <w:tc>
          <w:tcPr>
            <w:tcW w:w="878" w:type="dxa"/>
            <w:shd w:val="clear" w:color="auto" w:fill="auto"/>
          </w:tcPr>
          <w:p w14:paraId="45D85AB1" w14:textId="77777777" w:rsidR="003E3D07" w:rsidRDefault="003E3D07">
            <w:pPr>
              <w:pStyle w:val="TableText"/>
              <w:rPr>
                <w:b/>
                <w:bCs/>
              </w:rPr>
            </w:pPr>
            <w:r>
              <w:rPr>
                <w:bCs/>
              </w:rPr>
              <w:t>Yes</w:t>
            </w:r>
          </w:p>
        </w:tc>
        <w:tc>
          <w:tcPr>
            <w:tcW w:w="878" w:type="dxa"/>
            <w:shd w:val="clear" w:color="auto" w:fill="auto"/>
          </w:tcPr>
          <w:p w14:paraId="181C0E19" w14:textId="77777777" w:rsidR="003E3D07" w:rsidRDefault="003E3D07">
            <w:pPr>
              <w:pStyle w:val="TableText"/>
              <w:rPr>
                <w:rFonts w:eastAsia="Symbol"/>
                <w:b/>
                <w:bCs/>
              </w:rPr>
            </w:pPr>
            <w:r>
              <w:rPr>
                <w:bCs/>
              </w:rPr>
              <w:t>Yes</w:t>
            </w:r>
          </w:p>
        </w:tc>
        <w:tc>
          <w:tcPr>
            <w:tcW w:w="1253" w:type="dxa"/>
            <w:shd w:val="clear" w:color="auto" w:fill="auto"/>
          </w:tcPr>
          <w:p w14:paraId="075587BD" w14:textId="0ADA7C08" w:rsidR="003E3D07" w:rsidRDefault="003E3D07">
            <w:pPr>
              <w:pStyle w:val="TableText"/>
              <w:rPr>
                <w:rFonts w:eastAsia="Symbol"/>
              </w:rPr>
            </w:pPr>
            <w:r>
              <w:t>c and e</w:t>
            </w:r>
            <w:r w:rsidR="00F358AF">
              <w:br/>
              <w:t>(only one needs to be negative, neither can be positive)</w:t>
            </w:r>
          </w:p>
        </w:tc>
        <w:tc>
          <w:tcPr>
            <w:tcW w:w="1253" w:type="dxa"/>
            <w:shd w:val="clear" w:color="auto" w:fill="auto"/>
          </w:tcPr>
          <w:p w14:paraId="7745090A" w14:textId="77777777" w:rsidR="003E3D07" w:rsidRDefault="003E3D07">
            <w:pPr>
              <w:pStyle w:val="TableText"/>
              <w:rPr>
                <w:rFonts w:eastAsia="Symbol"/>
              </w:rPr>
            </w:pPr>
            <w:r>
              <w:t>f</w:t>
            </w:r>
          </w:p>
        </w:tc>
        <w:tc>
          <w:tcPr>
            <w:tcW w:w="1296" w:type="dxa"/>
            <w:shd w:val="clear" w:color="auto" w:fill="auto"/>
          </w:tcPr>
          <w:p w14:paraId="2E78CB5B" w14:textId="77777777" w:rsidR="003E3D07" w:rsidRDefault="003E3D07">
            <w:pPr>
              <w:pStyle w:val="TableText"/>
              <w:rPr>
                <w:rFonts w:eastAsia="Symbol"/>
              </w:rPr>
            </w:pPr>
            <w:r>
              <w:t>N/A</w:t>
            </w:r>
          </w:p>
        </w:tc>
        <w:tc>
          <w:tcPr>
            <w:tcW w:w="841" w:type="dxa"/>
            <w:shd w:val="clear" w:color="auto" w:fill="auto"/>
          </w:tcPr>
          <w:p w14:paraId="6B1E2C4F" w14:textId="77777777" w:rsidR="003E3D07" w:rsidRDefault="003E3D07">
            <w:pPr>
              <w:pStyle w:val="TableText"/>
            </w:pPr>
            <w:r>
              <w:t>AGc</w:t>
            </w:r>
          </w:p>
          <w:p w14:paraId="7F96D31F" w14:textId="77777777" w:rsidR="003E3D07" w:rsidRDefault="003E3D07">
            <w:pPr>
              <w:pStyle w:val="TableText"/>
              <w:rPr>
                <w:rFonts w:eastAsia="Symbol"/>
              </w:rPr>
            </w:pPr>
            <w:r>
              <w:t>AGe</w:t>
            </w:r>
          </w:p>
        </w:tc>
      </w:tr>
      <w:tr w:rsidR="00824338" w14:paraId="5A7FA011" w14:textId="77777777" w:rsidTr="00031618">
        <w:tblPrEx>
          <w:tblBorders>
            <w:insideH w:val="single" w:sz="4" w:space="0" w:color="auto"/>
            <w:insideV w:val="single" w:sz="4" w:space="0" w:color="auto"/>
          </w:tblBorders>
        </w:tblPrEx>
        <w:tc>
          <w:tcPr>
            <w:tcW w:w="1975" w:type="dxa"/>
            <w:shd w:val="clear" w:color="auto" w:fill="auto"/>
          </w:tcPr>
          <w:p w14:paraId="0526ACBD" w14:textId="77777777" w:rsidR="003E3D07" w:rsidRDefault="003E3D07">
            <w:pPr>
              <w:pStyle w:val="TableText"/>
              <w:rPr>
                <w:rFonts w:eastAsia="Symbol"/>
              </w:rPr>
            </w:pPr>
            <w:r>
              <w:t>Anti-G</w:t>
            </w:r>
          </w:p>
        </w:tc>
        <w:tc>
          <w:tcPr>
            <w:tcW w:w="1710" w:type="dxa"/>
            <w:shd w:val="clear" w:color="auto" w:fill="auto"/>
          </w:tcPr>
          <w:p w14:paraId="37BD765F" w14:textId="77777777" w:rsidR="003E3D07" w:rsidRDefault="003E3D07">
            <w:pPr>
              <w:pStyle w:val="TableText"/>
              <w:rPr>
                <w:rFonts w:eastAsia="Symbol"/>
              </w:rPr>
            </w:pPr>
            <w:r>
              <w:t>Anti-G</w:t>
            </w:r>
          </w:p>
        </w:tc>
        <w:tc>
          <w:tcPr>
            <w:tcW w:w="878" w:type="dxa"/>
            <w:shd w:val="clear" w:color="auto" w:fill="auto"/>
          </w:tcPr>
          <w:p w14:paraId="7A72FEB0" w14:textId="77777777" w:rsidR="003E3D07" w:rsidRDefault="003E3D07">
            <w:pPr>
              <w:pStyle w:val="TableText"/>
              <w:rPr>
                <w:b/>
                <w:bCs/>
              </w:rPr>
            </w:pPr>
            <w:r>
              <w:rPr>
                <w:bCs/>
              </w:rPr>
              <w:t>Yes</w:t>
            </w:r>
          </w:p>
        </w:tc>
        <w:tc>
          <w:tcPr>
            <w:tcW w:w="878" w:type="dxa"/>
            <w:shd w:val="clear" w:color="auto" w:fill="auto"/>
          </w:tcPr>
          <w:p w14:paraId="28A1A086" w14:textId="77777777" w:rsidR="003E3D07" w:rsidRDefault="003E3D07">
            <w:pPr>
              <w:pStyle w:val="TableText"/>
              <w:rPr>
                <w:rFonts w:eastAsia="Symbol"/>
                <w:b/>
                <w:bCs/>
              </w:rPr>
            </w:pPr>
            <w:r>
              <w:rPr>
                <w:bCs/>
              </w:rPr>
              <w:t>Yes</w:t>
            </w:r>
          </w:p>
        </w:tc>
        <w:tc>
          <w:tcPr>
            <w:tcW w:w="1253" w:type="dxa"/>
            <w:shd w:val="clear" w:color="auto" w:fill="auto"/>
          </w:tcPr>
          <w:p w14:paraId="5B97EE73" w14:textId="77777777" w:rsidR="003E3D07" w:rsidRDefault="003E3D07">
            <w:pPr>
              <w:pStyle w:val="TableText"/>
              <w:rPr>
                <w:rFonts w:eastAsia="Symbol"/>
              </w:rPr>
            </w:pPr>
            <w:r>
              <w:rPr>
                <w:rFonts w:eastAsia="Symbol"/>
              </w:rPr>
              <w:t>C and D</w:t>
            </w:r>
          </w:p>
        </w:tc>
        <w:tc>
          <w:tcPr>
            <w:tcW w:w="1253" w:type="dxa"/>
            <w:shd w:val="clear" w:color="auto" w:fill="auto"/>
          </w:tcPr>
          <w:p w14:paraId="6EA38D56" w14:textId="77777777" w:rsidR="003E3D07" w:rsidRDefault="003E3D07">
            <w:pPr>
              <w:pStyle w:val="TableText"/>
              <w:rPr>
                <w:rFonts w:eastAsia="Symbol"/>
              </w:rPr>
            </w:pPr>
            <w:r>
              <w:t>G</w:t>
            </w:r>
          </w:p>
        </w:tc>
        <w:tc>
          <w:tcPr>
            <w:tcW w:w="1296" w:type="dxa"/>
            <w:shd w:val="clear" w:color="auto" w:fill="auto"/>
          </w:tcPr>
          <w:p w14:paraId="13721B19" w14:textId="77777777" w:rsidR="003E3D07" w:rsidRDefault="003E3D07">
            <w:pPr>
              <w:pStyle w:val="TableText"/>
              <w:rPr>
                <w:rFonts w:eastAsia="Symbol"/>
              </w:rPr>
            </w:pPr>
            <w:r>
              <w:t>N/A</w:t>
            </w:r>
          </w:p>
        </w:tc>
        <w:tc>
          <w:tcPr>
            <w:tcW w:w="841" w:type="dxa"/>
            <w:shd w:val="clear" w:color="auto" w:fill="auto"/>
          </w:tcPr>
          <w:p w14:paraId="1B86557E" w14:textId="77777777" w:rsidR="003E3D07" w:rsidRDefault="003E3D07">
            <w:pPr>
              <w:pStyle w:val="TableText"/>
            </w:pPr>
            <w:r>
              <w:t>AGD</w:t>
            </w:r>
          </w:p>
          <w:p w14:paraId="0B8A7A39" w14:textId="77777777" w:rsidR="003E3D07" w:rsidRDefault="003E3D07">
            <w:pPr>
              <w:pStyle w:val="TableText"/>
              <w:rPr>
                <w:rFonts w:eastAsia="Symbol"/>
              </w:rPr>
            </w:pPr>
            <w:r>
              <w:t>AGC</w:t>
            </w:r>
          </w:p>
        </w:tc>
      </w:tr>
      <w:tr w:rsidR="00824338" w14:paraId="15659884" w14:textId="77777777" w:rsidTr="00031618">
        <w:tblPrEx>
          <w:tblBorders>
            <w:insideH w:val="single" w:sz="4" w:space="0" w:color="auto"/>
            <w:insideV w:val="single" w:sz="4" w:space="0" w:color="auto"/>
          </w:tblBorders>
        </w:tblPrEx>
        <w:tc>
          <w:tcPr>
            <w:tcW w:w="1975" w:type="dxa"/>
            <w:shd w:val="clear" w:color="auto" w:fill="auto"/>
          </w:tcPr>
          <w:p w14:paraId="6D2C9154" w14:textId="77777777" w:rsidR="003E3D07" w:rsidRDefault="003E3D07">
            <w:pPr>
              <w:pStyle w:val="TableText"/>
              <w:rPr>
                <w:rFonts w:eastAsia="Symbol"/>
              </w:rPr>
            </w:pPr>
            <w:r>
              <w:t>Anti-K</w:t>
            </w:r>
          </w:p>
        </w:tc>
        <w:tc>
          <w:tcPr>
            <w:tcW w:w="1710" w:type="dxa"/>
            <w:shd w:val="clear" w:color="auto" w:fill="auto"/>
          </w:tcPr>
          <w:p w14:paraId="61D02598" w14:textId="77777777" w:rsidR="003E3D07" w:rsidRDefault="003E3D07">
            <w:pPr>
              <w:pStyle w:val="TableText"/>
              <w:rPr>
                <w:b/>
                <w:bCs/>
              </w:rPr>
            </w:pPr>
            <w:r>
              <w:t>Anti-K</w:t>
            </w:r>
          </w:p>
        </w:tc>
        <w:tc>
          <w:tcPr>
            <w:tcW w:w="878" w:type="dxa"/>
            <w:shd w:val="clear" w:color="auto" w:fill="auto"/>
          </w:tcPr>
          <w:p w14:paraId="093F2F95" w14:textId="77777777" w:rsidR="003E3D07" w:rsidRDefault="003E3D07">
            <w:pPr>
              <w:pStyle w:val="TableText"/>
              <w:rPr>
                <w:b/>
                <w:bCs/>
              </w:rPr>
            </w:pPr>
            <w:r>
              <w:rPr>
                <w:bCs/>
              </w:rPr>
              <w:t>Yes</w:t>
            </w:r>
          </w:p>
        </w:tc>
        <w:tc>
          <w:tcPr>
            <w:tcW w:w="878" w:type="dxa"/>
            <w:shd w:val="clear" w:color="auto" w:fill="auto"/>
          </w:tcPr>
          <w:p w14:paraId="5811282A" w14:textId="77777777" w:rsidR="003E3D07" w:rsidRDefault="003E3D07">
            <w:pPr>
              <w:pStyle w:val="TableText"/>
              <w:rPr>
                <w:rFonts w:eastAsia="Symbol"/>
                <w:b/>
                <w:bCs/>
              </w:rPr>
            </w:pPr>
            <w:r>
              <w:rPr>
                <w:bCs/>
              </w:rPr>
              <w:t>Yes</w:t>
            </w:r>
          </w:p>
        </w:tc>
        <w:tc>
          <w:tcPr>
            <w:tcW w:w="1253" w:type="dxa"/>
            <w:shd w:val="clear" w:color="auto" w:fill="auto"/>
          </w:tcPr>
          <w:p w14:paraId="253EC693" w14:textId="77777777" w:rsidR="003E3D07" w:rsidRDefault="003E3D07">
            <w:pPr>
              <w:pStyle w:val="TableText"/>
              <w:rPr>
                <w:rFonts w:eastAsia="Symbol"/>
              </w:rPr>
            </w:pPr>
            <w:r>
              <w:t>K</w:t>
            </w:r>
          </w:p>
        </w:tc>
        <w:tc>
          <w:tcPr>
            <w:tcW w:w="1253" w:type="dxa"/>
            <w:shd w:val="clear" w:color="auto" w:fill="auto"/>
          </w:tcPr>
          <w:p w14:paraId="7454BDC8" w14:textId="77777777" w:rsidR="003E3D07" w:rsidRDefault="003E3D07">
            <w:pPr>
              <w:pStyle w:val="TableText"/>
            </w:pPr>
            <w:r>
              <w:t>K</w:t>
            </w:r>
          </w:p>
        </w:tc>
        <w:tc>
          <w:tcPr>
            <w:tcW w:w="1296" w:type="dxa"/>
            <w:shd w:val="clear" w:color="auto" w:fill="auto"/>
          </w:tcPr>
          <w:p w14:paraId="72018D53" w14:textId="77777777" w:rsidR="003E3D07" w:rsidRDefault="003E3D07">
            <w:pPr>
              <w:pStyle w:val="TableText"/>
              <w:rPr>
                <w:rFonts w:eastAsia="Symbol"/>
              </w:rPr>
            </w:pPr>
            <w:r>
              <w:t>91</w:t>
            </w:r>
          </w:p>
        </w:tc>
        <w:tc>
          <w:tcPr>
            <w:tcW w:w="841" w:type="dxa"/>
            <w:shd w:val="clear" w:color="auto" w:fill="auto"/>
          </w:tcPr>
          <w:p w14:paraId="4097AA1B" w14:textId="77777777" w:rsidR="003E3D07" w:rsidRDefault="003E3D07">
            <w:pPr>
              <w:pStyle w:val="TableText"/>
              <w:rPr>
                <w:rFonts w:eastAsia="Symbol"/>
              </w:rPr>
            </w:pPr>
            <w:r>
              <w:t>AGK</w:t>
            </w:r>
          </w:p>
        </w:tc>
      </w:tr>
      <w:tr w:rsidR="00824338" w14:paraId="5AF96BC2" w14:textId="77777777" w:rsidTr="00031618">
        <w:tblPrEx>
          <w:tblBorders>
            <w:insideH w:val="single" w:sz="4" w:space="0" w:color="auto"/>
            <w:insideV w:val="single" w:sz="4" w:space="0" w:color="auto"/>
          </w:tblBorders>
        </w:tblPrEx>
        <w:tc>
          <w:tcPr>
            <w:tcW w:w="1975" w:type="dxa"/>
            <w:shd w:val="clear" w:color="auto" w:fill="auto"/>
          </w:tcPr>
          <w:p w14:paraId="7598B719" w14:textId="77777777" w:rsidR="003E3D07" w:rsidRDefault="003E3D07">
            <w:pPr>
              <w:pStyle w:val="TableText"/>
              <w:rPr>
                <w:rFonts w:eastAsia="Symbol"/>
              </w:rPr>
            </w:pPr>
            <w:r>
              <w:t>Anti-k</w:t>
            </w:r>
          </w:p>
        </w:tc>
        <w:tc>
          <w:tcPr>
            <w:tcW w:w="1710" w:type="dxa"/>
            <w:shd w:val="clear" w:color="auto" w:fill="auto"/>
          </w:tcPr>
          <w:p w14:paraId="7EB52E4B" w14:textId="77777777" w:rsidR="003E3D07" w:rsidRDefault="003E3D07">
            <w:pPr>
              <w:pStyle w:val="TableText"/>
              <w:rPr>
                <w:rFonts w:eastAsia="Symbol"/>
              </w:rPr>
            </w:pPr>
            <w:r>
              <w:t>Anti-k</w:t>
            </w:r>
          </w:p>
        </w:tc>
        <w:tc>
          <w:tcPr>
            <w:tcW w:w="878" w:type="dxa"/>
            <w:shd w:val="clear" w:color="auto" w:fill="auto"/>
          </w:tcPr>
          <w:p w14:paraId="07BDE8F6" w14:textId="77777777" w:rsidR="003E3D07" w:rsidRDefault="003E3D07">
            <w:pPr>
              <w:pStyle w:val="TableText"/>
              <w:rPr>
                <w:b/>
                <w:bCs/>
              </w:rPr>
            </w:pPr>
            <w:r>
              <w:rPr>
                <w:bCs/>
              </w:rPr>
              <w:t>Yes</w:t>
            </w:r>
          </w:p>
        </w:tc>
        <w:tc>
          <w:tcPr>
            <w:tcW w:w="878" w:type="dxa"/>
            <w:shd w:val="clear" w:color="auto" w:fill="auto"/>
          </w:tcPr>
          <w:p w14:paraId="1B9EE6A2" w14:textId="77777777" w:rsidR="003E3D07" w:rsidRDefault="003E3D07">
            <w:pPr>
              <w:pStyle w:val="TableText"/>
              <w:rPr>
                <w:rFonts w:eastAsia="Symbol"/>
                <w:b/>
                <w:bCs/>
              </w:rPr>
            </w:pPr>
            <w:r>
              <w:rPr>
                <w:bCs/>
              </w:rPr>
              <w:t>Yes</w:t>
            </w:r>
          </w:p>
        </w:tc>
        <w:tc>
          <w:tcPr>
            <w:tcW w:w="1253" w:type="dxa"/>
            <w:shd w:val="clear" w:color="auto" w:fill="auto"/>
          </w:tcPr>
          <w:p w14:paraId="3A029058" w14:textId="77777777" w:rsidR="003E3D07" w:rsidRDefault="003E3D07">
            <w:pPr>
              <w:pStyle w:val="TableText"/>
              <w:rPr>
                <w:rFonts w:eastAsia="Symbol"/>
              </w:rPr>
            </w:pPr>
            <w:r>
              <w:t>k</w:t>
            </w:r>
          </w:p>
        </w:tc>
        <w:tc>
          <w:tcPr>
            <w:tcW w:w="1253" w:type="dxa"/>
            <w:shd w:val="clear" w:color="auto" w:fill="auto"/>
          </w:tcPr>
          <w:p w14:paraId="0F68625A" w14:textId="77777777" w:rsidR="003E3D07" w:rsidRDefault="003E3D07">
            <w:pPr>
              <w:pStyle w:val="TableText"/>
              <w:rPr>
                <w:rFonts w:eastAsia="Symbol"/>
              </w:rPr>
            </w:pPr>
            <w:r>
              <w:t>k</w:t>
            </w:r>
          </w:p>
        </w:tc>
        <w:tc>
          <w:tcPr>
            <w:tcW w:w="1296" w:type="dxa"/>
            <w:shd w:val="clear" w:color="auto" w:fill="auto"/>
          </w:tcPr>
          <w:p w14:paraId="3291DD21" w14:textId="77777777" w:rsidR="003E3D07" w:rsidRDefault="003E3D07">
            <w:pPr>
              <w:pStyle w:val="TableText"/>
              <w:rPr>
                <w:rFonts w:eastAsia="Symbol"/>
              </w:rPr>
            </w:pPr>
            <w:r>
              <w:t>1</w:t>
            </w:r>
          </w:p>
        </w:tc>
        <w:tc>
          <w:tcPr>
            <w:tcW w:w="841" w:type="dxa"/>
            <w:shd w:val="clear" w:color="auto" w:fill="auto"/>
          </w:tcPr>
          <w:p w14:paraId="20DD0AF0" w14:textId="77777777" w:rsidR="003E3D07" w:rsidRDefault="003E3D07">
            <w:pPr>
              <w:pStyle w:val="TableText"/>
              <w:rPr>
                <w:rFonts w:eastAsia="Symbol"/>
              </w:rPr>
            </w:pPr>
            <w:r>
              <w:t>AGk</w:t>
            </w:r>
          </w:p>
        </w:tc>
      </w:tr>
      <w:tr w:rsidR="00824338" w14:paraId="657F0CEC" w14:textId="77777777" w:rsidTr="00031618">
        <w:tblPrEx>
          <w:tblBorders>
            <w:insideH w:val="single" w:sz="4" w:space="0" w:color="auto"/>
            <w:insideV w:val="single" w:sz="4" w:space="0" w:color="auto"/>
          </w:tblBorders>
        </w:tblPrEx>
        <w:tc>
          <w:tcPr>
            <w:tcW w:w="1975" w:type="dxa"/>
            <w:shd w:val="clear" w:color="auto" w:fill="auto"/>
          </w:tcPr>
          <w:p w14:paraId="2DA7D1C3" w14:textId="77777777" w:rsidR="003E3D07" w:rsidRDefault="003E3D07">
            <w:pPr>
              <w:pStyle w:val="TableText"/>
              <w:rPr>
                <w:rFonts w:eastAsia="Symbol"/>
              </w:rPr>
            </w:pPr>
            <w:r>
              <w:t xml:space="preserve">Anti-Kp(a) </w:t>
            </w:r>
          </w:p>
        </w:tc>
        <w:tc>
          <w:tcPr>
            <w:tcW w:w="1710" w:type="dxa"/>
            <w:shd w:val="clear" w:color="auto" w:fill="auto"/>
          </w:tcPr>
          <w:p w14:paraId="1A26E8FA" w14:textId="77777777" w:rsidR="003E3D07" w:rsidRDefault="003E3D07">
            <w:pPr>
              <w:pStyle w:val="TableText"/>
              <w:rPr>
                <w:rFonts w:eastAsia="Symbol"/>
              </w:rPr>
            </w:pPr>
            <w:r>
              <w:t>Anti-Kp(a)</w:t>
            </w:r>
          </w:p>
        </w:tc>
        <w:tc>
          <w:tcPr>
            <w:tcW w:w="878" w:type="dxa"/>
            <w:shd w:val="clear" w:color="auto" w:fill="auto"/>
          </w:tcPr>
          <w:p w14:paraId="61C48F11" w14:textId="77777777" w:rsidR="003E3D07" w:rsidRDefault="003E3D07">
            <w:pPr>
              <w:pStyle w:val="TableText"/>
              <w:rPr>
                <w:b/>
                <w:bCs/>
              </w:rPr>
            </w:pPr>
            <w:r>
              <w:rPr>
                <w:bCs/>
              </w:rPr>
              <w:t>Yes</w:t>
            </w:r>
          </w:p>
        </w:tc>
        <w:tc>
          <w:tcPr>
            <w:tcW w:w="878" w:type="dxa"/>
            <w:shd w:val="clear" w:color="auto" w:fill="auto"/>
          </w:tcPr>
          <w:p w14:paraId="4CB16D9F" w14:textId="77777777" w:rsidR="003E3D07" w:rsidRDefault="003E3D07">
            <w:pPr>
              <w:pStyle w:val="TableText"/>
              <w:rPr>
                <w:rFonts w:eastAsia="Symbol"/>
              </w:rPr>
            </w:pPr>
            <w:r>
              <w:t>Optional</w:t>
            </w:r>
          </w:p>
        </w:tc>
        <w:tc>
          <w:tcPr>
            <w:tcW w:w="1253" w:type="dxa"/>
            <w:shd w:val="clear" w:color="auto" w:fill="auto"/>
          </w:tcPr>
          <w:p w14:paraId="4DC73C8F" w14:textId="77777777" w:rsidR="003E3D07" w:rsidRDefault="003E3D07">
            <w:pPr>
              <w:pStyle w:val="TableText"/>
              <w:rPr>
                <w:rFonts w:eastAsia="Symbol"/>
              </w:rPr>
            </w:pPr>
            <w:r>
              <w:t>Kp(a)</w:t>
            </w:r>
          </w:p>
        </w:tc>
        <w:tc>
          <w:tcPr>
            <w:tcW w:w="1253" w:type="dxa"/>
            <w:shd w:val="clear" w:color="auto" w:fill="auto"/>
          </w:tcPr>
          <w:p w14:paraId="6F6B24F2" w14:textId="77777777" w:rsidR="003E3D07" w:rsidRDefault="003E3D07">
            <w:pPr>
              <w:pStyle w:val="TableText"/>
              <w:rPr>
                <w:rFonts w:eastAsia="Symbol"/>
              </w:rPr>
            </w:pPr>
            <w:r>
              <w:t>Kp(a)</w:t>
            </w:r>
          </w:p>
        </w:tc>
        <w:tc>
          <w:tcPr>
            <w:tcW w:w="1296" w:type="dxa"/>
            <w:shd w:val="clear" w:color="auto" w:fill="auto"/>
          </w:tcPr>
          <w:p w14:paraId="7C754070" w14:textId="77777777" w:rsidR="003E3D07" w:rsidRDefault="003E3D07">
            <w:pPr>
              <w:pStyle w:val="TableText"/>
              <w:rPr>
                <w:rFonts w:eastAsia="Symbol"/>
              </w:rPr>
            </w:pPr>
            <w:r>
              <w:t>98</w:t>
            </w:r>
          </w:p>
        </w:tc>
        <w:tc>
          <w:tcPr>
            <w:tcW w:w="841" w:type="dxa"/>
            <w:shd w:val="clear" w:color="auto" w:fill="auto"/>
          </w:tcPr>
          <w:p w14:paraId="3935F183" w14:textId="77777777" w:rsidR="003E3D07" w:rsidRDefault="003E3D07">
            <w:pPr>
              <w:pStyle w:val="TableText"/>
              <w:rPr>
                <w:rFonts w:eastAsia="Symbol"/>
              </w:rPr>
            </w:pPr>
            <w:r>
              <w:t xml:space="preserve">AGKp(a) </w:t>
            </w:r>
          </w:p>
        </w:tc>
      </w:tr>
      <w:tr w:rsidR="00824338" w14:paraId="45858648" w14:textId="77777777" w:rsidTr="00031618">
        <w:tblPrEx>
          <w:tblBorders>
            <w:insideH w:val="single" w:sz="4" w:space="0" w:color="auto"/>
            <w:insideV w:val="single" w:sz="4" w:space="0" w:color="auto"/>
          </w:tblBorders>
        </w:tblPrEx>
        <w:tc>
          <w:tcPr>
            <w:tcW w:w="1975" w:type="dxa"/>
            <w:shd w:val="clear" w:color="auto" w:fill="auto"/>
          </w:tcPr>
          <w:p w14:paraId="561FADDF" w14:textId="77777777" w:rsidR="003E3D07" w:rsidRDefault="003E3D07">
            <w:pPr>
              <w:pStyle w:val="TableText"/>
              <w:rPr>
                <w:rFonts w:eastAsia="Symbol"/>
              </w:rPr>
            </w:pPr>
            <w:r>
              <w:t>Anti-Kp(b)</w:t>
            </w:r>
          </w:p>
        </w:tc>
        <w:tc>
          <w:tcPr>
            <w:tcW w:w="1710" w:type="dxa"/>
            <w:shd w:val="clear" w:color="auto" w:fill="auto"/>
          </w:tcPr>
          <w:p w14:paraId="185E32AF" w14:textId="77777777" w:rsidR="003E3D07" w:rsidRDefault="003E3D07">
            <w:pPr>
              <w:pStyle w:val="TableText"/>
              <w:rPr>
                <w:rFonts w:eastAsia="Symbol"/>
              </w:rPr>
            </w:pPr>
            <w:r>
              <w:t>Anti-Kp(b)</w:t>
            </w:r>
          </w:p>
        </w:tc>
        <w:tc>
          <w:tcPr>
            <w:tcW w:w="878" w:type="dxa"/>
            <w:shd w:val="clear" w:color="auto" w:fill="auto"/>
          </w:tcPr>
          <w:p w14:paraId="70CB21E9" w14:textId="77777777" w:rsidR="003E3D07" w:rsidRDefault="003E3D07">
            <w:pPr>
              <w:pStyle w:val="TableText"/>
              <w:rPr>
                <w:b/>
                <w:bCs/>
              </w:rPr>
            </w:pPr>
            <w:r>
              <w:rPr>
                <w:bCs/>
              </w:rPr>
              <w:t>Yes</w:t>
            </w:r>
          </w:p>
        </w:tc>
        <w:tc>
          <w:tcPr>
            <w:tcW w:w="878" w:type="dxa"/>
            <w:shd w:val="clear" w:color="auto" w:fill="auto"/>
          </w:tcPr>
          <w:p w14:paraId="3BE0ECA5" w14:textId="77777777" w:rsidR="003E3D07" w:rsidRDefault="003E3D07">
            <w:pPr>
              <w:pStyle w:val="TableText"/>
              <w:rPr>
                <w:rFonts w:eastAsia="Symbol"/>
              </w:rPr>
            </w:pPr>
            <w:r>
              <w:t>Optional</w:t>
            </w:r>
          </w:p>
        </w:tc>
        <w:tc>
          <w:tcPr>
            <w:tcW w:w="1253" w:type="dxa"/>
            <w:shd w:val="clear" w:color="auto" w:fill="auto"/>
          </w:tcPr>
          <w:p w14:paraId="3EE3394D" w14:textId="77777777" w:rsidR="003E3D07" w:rsidRDefault="003E3D07">
            <w:pPr>
              <w:pStyle w:val="TableText"/>
              <w:rPr>
                <w:rFonts w:eastAsia="Symbol"/>
              </w:rPr>
            </w:pPr>
            <w:r>
              <w:t>Kp(b)</w:t>
            </w:r>
          </w:p>
        </w:tc>
        <w:tc>
          <w:tcPr>
            <w:tcW w:w="1253" w:type="dxa"/>
            <w:shd w:val="clear" w:color="auto" w:fill="auto"/>
          </w:tcPr>
          <w:p w14:paraId="2E1A2421" w14:textId="77777777" w:rsidR="003E3D07" w:rsidRDefault="003E3D07">
            <w:pPr>
              <w:pStyle w:val="TableText"/>
              <w:rPr>
                <w:rFonts w:eastAsia="Symbol"/>
              </w:rPr>
            </w:pPr>
            <w:r>
              <w:t>Kp(b)</w:t>
            </w:r>
          </w:p>
        </w:tc>
        <w:tc>
          <w:tcPr>
            <w:tcW w:w="1296" w:type="dxa"/>
            <w:shd w:val="clear" w:color="auto" w:fill="auto"/>
          </w:tcPr>
          <w:p w14:paraId="3BE8C1B5" w14:textId="77777777" w:rsidR="003E3D07" w:rsidRDefault="003E3D07">
            <w:pPr>
              <w:pStyle w:val="TableText"/>
              <w:rPr>
                <w:rFonts w:eastAsia="Symbol"/>
              </w:rPr>
            </w:pPr>
            <w:r>
              <w:t>2</w:t>
            </w:r>
          </w:p>
        </w:tc>
        <w:tc>
          <w:tcPr>
            <w:tcW w:w="841" w:type="dxa"/>
            <w:shd w:val="clear" w:color="auto" w:fill="auto"/>
          </w:tcPr>
          <w:p w14:paraId="6B5C0DAD" w14:textId="77777777" w:rsidR="003E3D07" w:rsidRDefault="003E3D07">
            <w:pPr>
              <w:pStyle w:val="TableText"/>
              <w:rPr>
                <w:rFonts w:eastAsia="Symbol"/>
              </w:rPr>
            </w:pPr>
            <w:r>
              <w:t>AGKp(b)</w:t>
            </w:r>
          </w:p>
        </w:tc>
      </w:tr>
      <w:tr w:rsidR="00824338" w14:paraId="40995D3F" w14:textId="77777777" w:rsidTr="00031618">
        <w:tblPrEx>
          <w:tblBorders>
            <w:insideH w:val="single" w:sz="4" w:space="0" w:color="auto"/>
            <w:insideV w:val="single" w:sz="4" w:space="0" w:color="auto"/>
          </w:tblBorders>
        </w:tblPrEx>
        <w:tc>
          <w:tcPr>
            <w:tcW w:w="1975" w:type="dxa"/>
            <w:shd w:val="clear" w:color="auto" w:fill="auto"/>
          </w:tcPr>
          <w:p w14:paraId="2E7D494E" w14:textId="77777777" w:rsidR="003E3D07" w:rsidRDefault="003E3D07">
            <w:pPr>
              <w:pStyle w:val="TableText"/>
              <w:rPr>
                <w:rFonts w:eastAsia="Symbol"/>
              </w:rPr>
            </w:pPr>
            <w:r>
              <w:t>Anti-Jk(a)</w:t>
            </w:r>
          </w:p>
        </w:tc>
        <w:tc>
          <w:tcPr>
            <w:tcW w:w="1710" w:type="dxa"/>
            <w:shd w:val="clear" w:color="auto" w:fill="auto"/>
          </w:tcPr>
          <w:p w14:paraId="17720450" w14:textId="77777777" w:rsidR="003E3D07" w:rsidRDefault="003E3D07">
            <w:pPr>
              <w:pStyle w:val="TableText"/>
              <w:rPr>
                <w:rFonts w:eastAsia="Symbol"/>
              </w:rPr>
            </w:pPr>
            <w:r>
              <w:t>Anti-Jk(a)</w:t>
            </w:r>
          </w:p>
        </w:tc>
        <w:tc>
          <w:tcPr>
            <w:tcW w:w="878" w:type="dxa"/>
            <w:shd w:val="clear" w:color="auto" w:fill="auto"/>
          </w:tcPr>
          <w:p w14:paraId="0C1C35C6" w14:textId="77777777" w:rsidR="003E3D07" w:rsidRDefault="003E3D07">
            <w:pPr>
              <w:pStyle w:val="TableText"/>
              <w:rPr>
                <w:b/>
                <w:bCs/>
              </w:rPr>
            </w:pPr>
            <w:r>
              <w:rPr>
                <w:bCs/>
              </w:rPr>
              <w:t>Yes</w:t>
            </w:r>
          </w:p>
        </w:tc>
        <w:tc>
          <w:tcPr>
            <w:tcW w:w="878" w:type="dxa"/>
            <w:shd w:val="clear" w:color="auto" w:fill="auto"/>
          </w:tcPr>
          <w:p w14:paraId="3147B610" w14:textId="77777777" w:rsidR="003E3D07" w:rsidRDefault="003E3D07">
            <w:pPr>
              <w:pStyle w:val="TableText"/>
              <w:rPr>
                <w:rFonts w:eastAsia="Symbol"/>
                <w:b/>
                <w:bCs/>
              </w:rPr>
            </w:pPr>
            <w:r>
              <w:rPr>
                <w:bCs/>
              </w:rPr>
              <w:t>Yes</w:t>
            </w:r>
          </w:p>
        </w:tc>
        <w:tc>
          <w:tcPr>
            <w:tcW w:w="1253" w:type="dxa"/>
            <w:shd w:val="clear" w:color="auto" w:fill="auto"/>
          </w:tcPr>
          <w:p w14:paraId="27204214" w14:textId="77777777" w:rsidR="003E3D07" w:rsidRDefault="003E3D07">
            <w:pPr>
              <w:pStyle w:val="TableText"/>
              <w:rPr>
                <w:rFonts w:eastAsia="Symbol"/>
              </w:rPr>
            </w:pPr>
            <w:r>
              <w:t>Jk(a)</w:t>
            </w:r>
          </w:p>
        </w:tc>
        <w:tc>
          <w:tcPr>
            <w:tcW w:w="1253" w:type="dxa"/>
            <w:shd w:val="clear" w:color="auto" w:fill="auto"/>
          </w:tcPr>
          <w:p w14:paraId="1B93D0EF" w14:textId="77777777" w:rsidR="003E3D07" w:rsidRDefault="003E3D07">
            <w:pPr>
              <w:pStyle w:val="TableText"/>
              <w:rPr>
                <w:rFonts w:eastAsia="Symbol"/>
              </w:rPr>
            </w:pPr>
            <w:r>
              <w:t>Jk(a)</w:t>
            </w:r>
          </w:p>
        </w:tc>
        <w:tc>
          <w:tcPr>
            <w:tcW w:w="1296" w:type="dxa"/>
            <w:shd w:val="clear" w:color="auto" w:fill="auto"/>
          </w:tcPr>
          <w:p w14:paraId="10C3283C" w14:textId="77777777" w:rsidR="003E3D07" w:rsidRDefault="003E3D07">
            <w:pPr>
              <w:pStyle w:val="TableText"/>
              <w:rPr>
                <w:rFonts w:eastAsia="Symbol"/>
              </w:rPr>
            </w:pPr>
            <w:r>
              <w:t>15</w:t>
            </w:r>
          </w:p>
        </w:tc>
        <w:tc>
          <w:tcPr>
            <w:tcW w:w="841" w:type="dxa"/>
            <w:shd w:val="clear" w:color="auto" w:fill="auto"/>
          </w:tcPr>
          <w:p w14:paraId="29EB3D3F" w14:textId="77777777" w:rsidR="003E3D07" w:rsidRDefault="003E3D07">
            <w:pPr>
              <w:pStyle w:val="TableText"/>
              <w:rPr>
                <w:rFonts w:eastAsia="Symbol"/>
              </w:rPr>
            </w:pPr>
            <w:r>
              <w:t>AGJk(a)</w:t>
            </w:r>
          </w:p>
        </w:tc>
      </w:tr>
      <w:tr w:rsidR="00824338" w14:paraId="7EACA7DF" w14:textId="77777777" w:rsidTr="00031618">
        <w:tblPrEx>
          <w:tblBorders>
            <w:insideH w:val="single" w:sz="4" w:space="0" w:color="auto"/>
            <w:insideV w:val="single" w:sz="4" w:space="0" w:color="auto"/>
          </w:tblBorders>
        </w:tblPrEx>
        <w:tc>
          <w:tcPr>
            <w:tcW w:w="1975" w:type="dxa"/>
            <w:shd w:val="clear" w:color="auto" w:fill="auto"/>
          </w:tcPr>
          <w:p w14:paraId="569B1F0A" w14:textId="77777777" w:rsidR="003E3D07" w:rsidRDefault="003E3D07">
            <w:pPr>
              <w:pStyle w:val="TableText"/>
              <w:rPr>
                <w:rFonts w:eastAsia="Symbol"/>
              </w:rPr>
            </w:pPr>
            <w:r>
              <w:t>Anti-Jk(b)</w:t>
            </w:r>
          </w:p>
        </w:tc>
        <w:tc>
          <w:tcPr>
            <w:tcW w:w="1710" w:type="dxa"/>
            <w:shd w:val="clear" w:color="auto" w:fill="auto"/>
          </w:tcPr>
          <w:p w14:paraId="1802A4B7" w14:textId="77777777" w:rsidR="003E3D07" w:rsidRDefault="003E3D07">
            <w:pPr>
              <w:pStyle w:val="TableText"/>
              <w:rPr>
                <w:rFonts w:eastAsia="Symbol"/>
              </w:rPr>
            </w:pPr>
            <w:r>
              <w:t>Anti-Jk(b)</w:t>
            </w:r>
          </w:p>
        </w:tc>
        <w:tc>
          <w:tcPr>
            <w:tcW w:w="878" w:type="dxa"/>
            <w:shd w:val="clear" w:color="auto" w:fill="auto"/>
          </w:tcPr>
          <w:p w14:paraId="3875D167" w14:textId="77777777" w:rsidR="003E3D07" w:rsidRDefault="003E3D07">
            <w:pPr>
              <w:pStyle w:val="TableText"/>
              <w:rPr>
                <w:b/>
                <w:bCs/>
              </w:rPr>
            </w:pPr>
            <w:r>
              <w:rPr>
                <w:bCs/>
              </w:rPr>
              <w:t>Yes</w:t>
            </w:r>
          </w:p>
        </w:tc>
        <w:tc>
          <w:tcPr>
            <w:tcW w:w="878" w:type="dxa"/>
            <w:shd w:val="clear" w:color="auto" w:fill="auto"/>
          </w:tcPr>
          <w:p w14:paraId="1AEF3CDA" w14:textId="77777777" w:rsidR="003E3D07" w:rsidRDefault="003E3D07">
            <w:pPr>
              <w:pStyle w:val="TableText"/>
              <w:rPr>
                <w:rFonts w:eastAsia="Symbol"/>
                <w:b/>
                <w:bCs/>
              </w:rPr>
            </w:pPr>
            <w:r>
              <w:rPr>
                <w:bCs/>
              </w:rPr>
              <w:t>Yes</w:t>
            </w:r>
          </w:p>
        </w:tc>
        <w:tc>
          <w:tcPr>
            <w:tcW w:w="1253" w:type="dxa"/>
            <w:shd w:val="clear" w:color="auto" w:fill="auto"/>
          </w:tcPr>
          <w:p w14:paraId="66FE4844" w14:textId="77777777" w:rsidR="003E3D07" w:rsidRDefault="003E3D07">
            <w:pPr>
              <w:pStyle w:val="TableText"/>
              <w:rPr>
                <w:rFonts w:eastAsia="Symbol"/>
              </w:rPr>
            </w:pPr>
            <w:r>
              <w:t>Jk(b)</w:t>
            </w:r>
          </w:p>
        </w:tc>
        <w:tc>
          <w:tcPr>
            <w:tcW w:w="1253" w:type="dxa"/>
            <w:shd w:val="clear" w:color="auto" w:fill="auto"/>
          </w:tcPr>
          <w:p w14:paraId="44274713" w14:textId="77777777" w:rsidR="003E3D07" w:rsidRDefault="003E3D07">
            <w:pPr>
              <w:pStyle w:val="TableText"/>
              <w:rPr>
                <w:rFonts w:eastAsia="Symbol"/>
              </w:rPr>
            </w:pPr>
            <w:r>
              <w:t>Jk(b)</w:t>
            </w:r>
          </w:p>
        </w:tc>
        <w:tc>
          <w:tcPr>
            <w:tcW w:w="1296" w:type="dxa"/>
            <w:shd w:val="clear" w:color="auto" w:fill="auto"/>
          </w:tcPr>
          <w:p w14:paraId="31DE6CBC" w14:textId="77777777" w:rsidR="003E3D07" w:rsidRDefault="003E3D07">
            <w:pPr>
              <w:pStyle w:val="TableText"/>
              <w:rPr>
                <w:rFonts w:eastAsia="Symbol"/>
              </w:rPr>
            </w:pPr>
            <w:r>
              <w:t>42</w:t>
            </w:r>
          </w:p>
        </w:tc>
        <w:tc>
          <w:tcPr>
            <w:tcW w:w="841" w:type="dxa"/>
            <w:shd w:val="clear" w:color="auto" w:fill="auto"/>
          </w:tcPr>
          <w:p w14:paraId="3CFE310E" w14:textId="77777777" w:rsidR="003E3D07" w:rsidRDefault="003E3D07">
            <w:pPr>
              <w:pStyle w:val="TableText"/>
              <w:rPr>
                <w:rFonts w:eastAsia="Symbol"/>
              </w:rPr>
            </w:pPr>
            <w:r>
              <w:t>AGJk(b)</w:t>
            </w:r>
          </w:p>
        </w:tc>
      </w:tr>
      <w:tr w:rsidR="00824338" w14:paraId="64C487C6" w14:textId="77777777" w:rsidTr="00031618">
        <w:tblPrEx>
          <w:tblBorders>
            <w:insideH w:val="single" w:sz="4" w:space="0" w:color="auto"/>
            <w:insideV w:val="single" w:sz="4" w:space="0" w:color="auto"/>
          </w:tblBorders>
        </w:tblPrEx>
        <w:tc>
          <w:tcPr>
            <w:tcW w:w="1975" w:type="dxa"/>
            <w:shd w:val="clear" w:color="auto" w:fill="auto"/>
          </w:tcPr>
          <w:p w14:paraId="40B10249" w14:textId="77777777" w:rsidR="003E3D07" w:rsidRDefault="003E3D07">
            <w:pPr>
              <w:pStyle w:val="TableText"/>
              <w:rPr>
                <w:rFonts w:eastAsia="Symbol"/>
              </w:rPr>
            </w:pPr>
            <w:r>
              <w:t>Anti-Jk3</w:t>
            </w:r>
          </w:p>
        </w:tc>
        <w:tc>
          <w:tcPr>
            <w:tcW w:w="1710" w:type="dxa"/>
            <w:shd w:val="clear" w:color="auto" w:fill="auto"/>
          </w:tcPr>
          <w:p w14:paraId="61B17020" w14:textId="77777777" w:rsidR="003E3D07" w:rsidRDefault="003E3D07">
            <w:pPr>
              <w:pStyle w:val="TableText"/>
              <w:rPr>
                <w:rFonts w:eastAsia="Symbol"/>
              </w:rPr>
            </w:pPr>
            <w:r>
              <w:rPr>
                <w:rFonts w:eastAsia="Symbol"/>
              </w:rPr>
              <w:t>Anti-Jk(a)Jk(b)</w:t>
            </w:r>
          </w:p>
        </w:tc>
        <w:tc>
          <w:tcPr>
            <w:tcW w:w="878" w:type="dxa"/>
            <w:shd w:val="clear" w:color="auto" w:fill="auto"/>
          </w:tcPr>
          <w:p w14:paraId="6F277202" w14:textId="77777777" w:rsidR="003E3D07" w:rsidRDefault="003E3D07">
            <w:pPr>
              <w:pStyle w:val="TableText"/>
              <w:rPr>
                <w:rFonts w:eastAsia="Symbol"/>
              </w:rPr>
            </w:pPr>
            <w:r>
              <w:rPr>
                <w:bCs/>
              </w:rPr>
              <w:t>Yes</w:t>
            </w:r>
          </w:p>
        </w:tc>
        <w:tc>
          <w:tcPr>
            <w:tcW w:w="878" w:type="dxa"/>
            <w:shd w:val="clear" w:color="auto" w:fill="auto"/>
          </w:tcPr>
          <w:p w14:paraId="574DB6A1" w14:textId="77777777" w:rsidR="003E3D07" w:rsidRDefault="003E3D07">
            <w:pPr>
              <w:pStyle w:val="TableText"/>
              <w:rPr>
                <w:rFonts w:eastAsia="Symbol"/>
              </w:rPr>
            </w:pPr>
            <w:r>
              <w:rPr>
                <w:bCs/>
              </w:rPr>
              <w:t>Yes</w:t>
            </w:r>
          </w:p>
        </w:tc>
        <w:tc>
          <w:tcPr>
            <w:tcW w:w="1253" w:type="dxa"/>
            <w:shd w:val="clear" w:color="auto" w:fill="auto"/>
          </w:tcPr>
          <w:p w14:paraId="5B641AB9" w14:textId="77777777" w:rsidR="003E3D07" w:rsidRDefault="003E3D07">
            <w:pPr>
              <w:pStyle w:val="TableText"/>
              <w:rPr>
                <w:rFonts w:eastAsia="Symbol"/>
              </w:rPr>
            </w:pPr>
            <w:r>
              <w:t>Jk(a) and Jk(b)</w:t>
            </w:r>
          </w:p>
        </w:tc>
        <w:tc>
          <w:tcPr>
            <w:tcW w:w="1253" w:type="dxa"/>
            <w:shd w:val="clear" w:color="auto" w:fill="auto"/>
          </w:tcPr>
          <w:p w14:paraId="2A621C0D" w14:textId="77777777" w:rsidR="003E3D07" w:rsidRDefault="003E3D07">
            <w:pPr>
              <w:pStyle w:val="TableText"/>
              <w:rPr>
                <w:rFonts w:eastAsia="Symbol"/>
              </w:rPr>
            </w:pPr>
            <w:r>
              <w:rPr>
                <w:rFonts w:eastAsia="Symbol"/>
              </w:rPr>
              <w:t>None</w:t>
            </w:r>
          </w:p>
        </w:tc>
        <w:tc>
          <w:tcPr>
            <w:tcW w:w="1296" w:type="dxa"/>
            <w:shd w:val="clear" w:color="auto" w:fill="auto"/>
          </w:tcPr>
          <w:p w14:paraId="10DAE755" w14:textId="77777777" w:rsidR="003E3D07" w:rsidRDefault="003E3D07">
            <w:pPr>
              <w:pStyle w:val="TableText"/>
              <w:rPr>
                <w:rFonts w:eastAsia="Symbol"/>
              </w:rPr>
            </w:pPr>
            <w:r>
              <w:t>N/A</w:t>
            </w:r>
          </w:p>
        </w:tc>
        <w:tc>
          <w:tcPr>
            <w:tcW w:w="841" w:type="dxa"/>
            <w:shd w:val="clear" w:color="auto" w:fill="auto"/>
          </w:tcPr>
          <w:p w14:paraId="38E95BBB" w14:textId="77777777" w:rsidR="003E3D07" w:rsidRDefault="003E3D07">
            <w:pPr>
              <w:pStyle w:val="TableText"/>
            </w:pPr>
            <w:r>
              <w:t>AGJk(a)</w:t>
            </w:r>
          </w:p>
          <w:p w14:paraId="6B70E315" w14:textId="77777777" w:rsidR="003E3D07" w:rsidRDefault="003E3D07">
            <w:pPr>
              <w:pStyle w:val="TableText"/>
              <w:rPr>
                <w:rFonts w:eastAsia="Symbol"/>
              </w:rPr>
            </w:pPr>
            <w:r>
              <w:t>AGJk(b)</w:t>
            </w:r>
          </w:p>
        </w:tc>
      </w:tr>
      <w:tr w:rsidR="00824338" w14:paraId="3D9D9A8E" w14:textId="77777777" w:rsidTr="00031618">
        <w:tblPrEx>
          <w:tblBorders>
            <w:insideH w:val="single" w:sz="4" w:space="0" w:color="auto"/>
            <w:insideV w:val="single" w:sz="4" w:space="0" w:color="auto"/>
          </w:tblBorders>
        </w:tblPrEx>
        <w:tc>
          <w:tcPr>
            <w:tcW w:w="1975" w:type="dxa"/>
            <w:shd w:val="clear" w:color="auto" w:fill="auto"/>
          </w:tcPr>
          <w:p w14:paraId="6299AD8A" w14:textId="77777777" w:rsidR="003E3D07" w:rsidRDefault="003E3D07">
            <w:pPr>
              <w:pStyle w:val="TableText"/>
              <w:rPr>
                <w:rFonts w:eastAsia="Symbol"/>
              </w:rPr>
            </w:pPr>
            <w:r>
              <w:t>Anti-Fy(a)</w:t>
            </w:r>
          </w:p>
        </w:tc>
        <w:tc>
          <w:tcPr>
            <w:tcW w:w="1710" w:type="dxa"/>
            <w:shd w:val="clear" w:color="auto" w:fill="auto"/>
          </w:tcPr>
          <w:p w14:paraId="3CA37594" w14:textId="77777777" w:rsidR="003E3D07" w:rsidRDefault="003E3D07">
            <w:pPr>
              <w:pStyle w:val="TableText"/>
              <w:rPr>
                <w:rFonts w:eastAsia="Symbol"/>
              </w:rPr>
            </w:pPr>
            <w:r>
              <w:t>Anti-Fy(a)</w:t>
            </w:r>
          </w:p>
        </w:tc>
        <w:tc>
          <w:tcPr>
            <w:tcW w:w="878" w:type="dxa"/>
            <w:shd w:val="clear" w:color="auto" w:fill="auto"/>
          </w:tcPr>
          <w:p w14:paraId="65E27E90" w14:textId="77777777" w:rsidR="003E3D07" w:rsidRDefault="003E3D07">
            <w:pPr>
              <w:pStyle w:val="TableText"/>
              <w:rPr>
                <w:b/>
                <w:bCs/>
              </w:rPr>
            </w:pPr>
            <w:r>
              <w:rPr>
                <w:bCs/>
              </w:rPr>
              <w:t>Yes</w:t>
            </w:r>
          </w:p>
        </w:tc>
        <w:tc>
          <w:tcPr>
            <w:tcW w:w="878" w:type="dxa"/>
            <w:shd w:val="clear" w:color="auto" w:fill="auto"/>
          </w:tcPr>
          <w:p w14:paraId="3D1E4550" w14:textId="77777777" w:rsidR="003E3D07" w:rsidRDefault="003E3D07">
            <w:pPr>
              <w:pStyle w:val="TableText"/>
              <w:rPr>
                <w:rFonts w:eastAsia="Symbol"/>
                <w:b/>
                <w:bCs/>
              </w:rPr>
            </w:pPr>
            <w:r>
              <w:rPr>
                <w:bCs/>
              </w:rPr>
              <w:t>Yes</w:t>
            </w:r>
          </w:p>
        </w:tc>
        <w:tc>
          <w:tcPr>
            <w:tcW w:w="1253" w:type="dxa"/>
            <w:shd w:val="clear" w:color="auto" w:fill="auto"/>
          </w:tcPr>
          <w:p w14:paraId="4D55D039" w14:textId="77777777" w:rsidR="003E3D07" w:rsidRDefault="003E3D07">
            <w:pPr>
              <w:pStyle w:val="TableText"/>
              <w:rPr>
                <w:rFonts w:eastAsia="Symbol"/>
              </w:rPr>
            </w:pPr>
            <w:r>
              <w:t>Fy(a)</w:t>
            </w:r>
          </w:p>
        </w:tc>
        <w:tc>
          <w:tcPr>
            <w:tcW w:w="1253" w:type="dxa"/>
            <w:shd w:val="clear" w:color="auto" w:fill="auto"/>
          </w:tcPr>
          <w:p w14:paraId="70220374" w14:textId="77777777" w:rsidR="003E3D07" w:rsidRDefault="003E3D07">
            <w:pPr>
              <w:pStyle w:val="TableText"/>
              <w:rPr>
                <w:rFonts w:eastAsia="Symbol"/>
              </w:rPr>
            </w:pPr>
            <w:r>
              <w:t>Fy(a)</w:t>
            </w:r>
          </w:p>
        </w:tc>
        <w:tc>
          <w:tcPr>
            <w:tcW w:w="1296" w:type="dxa"/>
            <w:shd w:val="clear" w:color="auto" w:fill="auto"/>
          </w:tcPr>
          <w:p w14:paraId="63EB76CB" w14:textId="77777777" w:rsidR="003E3D07" w:rsidRDefault="003E3D07">
            <w:pPr>
              <w:pStyle w:val="TableText"/>
              <w:rPr>
                <w:rFonts w:eastAsia="Symbol"/>
              </w:rPr>
            </w:pPr>
            <w:r>
              <w:t>63</w:t>
            </w:r>
          </w:p>
        </w:tc>
        <w:tc>
          <w:tcPr>
            <w:tcW w:w="841" w:type="dxa"/>
            <w:shd w:val="clear" w:color="auto" w:fill="auto"/>
          </w:tcPr>
          <w:p w14:paraId="5B393B1C" w14:textId="77777777" w:rsidR="003E3D07" w:rsidRDefault="003E3D07">
            <w:pPr>
              <w:pStyle w:val="TableText"/>
              <w:rPr>
                <w:rFonts w:eastAsia="Symbol"/>
              </w:rPr>
            </w:pPr>
            <w:r>
              <w:t>AGFy(a)</w:t>
            </w:r>
          </w:p>
        </w:tc>
      </w:tr>
      <w:tr w:rsidR="00824338" w14:paraId="50724538" w14:textId="77777777" w:rsidTr="00031618">
        <w:tblPrEx>
          <w:tblBorders>
            <w:insideH w:val="single" w:sz="4" w:space="0" w:color="auto"/>
            <w:insideV w:val="single" w:sz="4" w:space="0" w:color="auto"/>
          </w:tblBorders>
        </w:tblPrEx>
        <w:tc>
          <w:tcPr>
            <w:tcW w:w="1975" w:type="dxa"/>
            <w:shd w:val="clear" w:color="auto" w:fill="auto"/>
          </w:tcPr>
          <w:p w14:paraId="623F1D50" w14:textId="77777777" w:rsidR="003E3D07" w:rsidRDefault="003E3D07">
            <w:pPr>
              <w:pStyle w:val="TableText"/>
              <w:rPr>
                <w:rFonts w:eastAsia="Symbol"/>
              </w:rPr>
            </w:pPr>
            <w:r>
              <w:t>Anti-Fy(b)</w:t>
            </w:r>
          </w:p>
        </w:tc>
        <w:tc>
          <w:tcPr>
            <w:tcW w:w="1710" w:type="dxa"/>
            <w:shd w:val="clear" w:color="auto" w:fill="auto"/>
          </w:tcPr>
          <w:p w14:paraId="2A547D33" w14:textId="77777777" w:rsidR="003E3D07" w:rsidRDefault="003E3D07">
            <w:pPr>
              <w:pStyle w:val="TableText"/>
              <w:rPr>
                <w:rFonts w:eastAsia="Symbol"/>
              </w:rPr>
            </w:pPr>
            <w:r>
              <w:t>Anti-Fy(b)</w:t>
            </w:r>
          </w:p>
        </w:tc>
        <w:tc>
          <w:tcPr>
            <w:tcW w:w="878" w:type="dxa"/>
            <w:shd w:val="clear" w:color="auto" w:fill="auto"/>
          </w:tcPr>
          <w:p w14:paraId="0653E007" w14:textId="77777777" w:rsidR="003E3D07" w:rsidRDefault="003E3D07">
            <w:pPr>
              <w:pStyle w:val="TableText"/>
              <w:rPr>
                <w:b/>
                <w:bCs/>
              </w:rPr>
            </w:pPr>
            <w:r>
              <w:rPr>
                <w:bCs/>
              </w:rPr>
              <w:t>Yes</w:t>
            </w:r>
          </w:p>
        </w:tc>
        <w:tc>
          <w:tcPr>
            <w:tcW w:w="878" w:type="dxa"/>
            <w:shd w:val="clear" w:color="auto" w:fill="auto"/>
          </w:tcPr>
          <w:p w14:paraId="5AC61F7E" w14:textId="77777777" w:rsidR="003E3D07" w:rsidRDefault="003E3D07">
            <w:pPr>
              <w:pStyle w:val="TableText"/>
              <w:rPr>
                <w:rFonts w:eastAsia="Symbol"/>
                <w:b/>
                <w:bCs/>
              </w:rPr>
            </w:pPr>
            <w:r>
              <w:rPr>
                <w:bCs/>
              </w:rPr>
              <w:t>Yes</w:t>
            </w:r>
          </w:p>
        </w:tc>
        <w:tc>
          <w:tcPr>
            <w:tcW w:w="1253" w:type="dxa"/>
            <w:shd w:val="clear" w:color="auto" w:fill="auto"/>
          </w:tcPr>
          <w:p w14:paraId="7DB31264" w14:textId="77777777" w:rsidR="003E3D07" w:rsidRDefault="003E3D07">
            <w:pPr>
              <w:pStyle w:val="TableText"/>
              <w:rPr>
                <w:rFonts w:eastAsia="Symbol"/>
              </w:rPr>
            </w:pPr>
            <w:r>
              <w:t>Fy(b)</w:t>
            </w:r>
          </w:p>
        </w:tc>
        <w:tc>
          <w:tcPr>
            <w:tcW w:w="1253" w:type="dxa"/>
            <w:shd w:val="clear" w:color="auto" w:fill="auto"/>
          </w:tcPr>
          <w:p w14:paraId="59D57C90" w14:textId="77777777" w:rsidR="003E3D07" w:rsidRDefault="003E3D07">
            <w:pPr>
              <w:pStyle w:val="TableText"/>
              <w:rPr>
                <w:rFonts w:eastAsia="Symbol"/>
              </w:rPr>
            </w:pPr>
            <w:r>
              <w:t>Fy(b)</w:t>
            </w:r>
          </w:p>
        </w:tc>
        <w:tc>
          <w:tcPr>
            <w:tcW w:w="1296" w:type="dxa"/>
            <w:shd w:val="clear" w:color="auto" w:fill="auto"/>
          </w:tcPr>
          <w:p w14:paraId="6E18926D" w14:textId="77777777" w:rsidR="003E3D07" w:rsidRDefault="003E3D07">
            <w:pPr>
              <w:pStyle w:val="TableText"/>
              <w:rPr>
                <w:rFonts w:eastAsia="Symbol"/>
              </w:rPr>
            </w:pPr>
            <w:r>
              <w:t>47</w:t>
            </w:r>
          </w:p>
        </w:tc>
        <w:tc>
          <w:tcPr>
            <w:tcW w:w="841" w:type="dxa"/>
            <w:shd w:val="clear" w:color="auto" w:fill="auto"/>
          </w:tcPr>
          <w:p w14:paraId="3FB651F0" w14:textId="77777777" w:rsidR="003E3D07" w:rsidRDefault="003E3D07">
            <w:pPr>
              <w:pStyle w:val="TableText"/>
              <w:rPr>
                <w:rFonts w:eastAsia="Symbol"/>
              </w:rPr>
            </w:pPr>
            <w:r>
              <w:t>AGFy(b)</w:t>
            </w:r>
          </w:p>
        </w:tc>
      </w:tr>
      <w:tr w:rsidR="00824338" w14:paraId="7BB473CE" w14:textId="77777777" w:rsidTr="00031618">
        <w:tblPrEx>
          <w:tblBorders>
            <w:insideH w:val="single" w:sz="4" w:space="0" w:color="auto"/>
            <w:insideV w:val="single" w:sz="4" w:space="0" w:color="auto"/>
          </w:tblBorders>
        </w:tblPrEx>
        <w:tc>
          <w:tcPr>
            <w:tcW w:w="1975" w:type="dxa"/>
            <w:shd w:val="clear" w:color="auto" w:fill="auto"/>
          </w:tcPr>
          <w:p w14:paraId="4AD657CD" w14:textId="77777777" w:rsidR="003E3D07" w:rsidRDefault="003E3D07">
            <w:pPr>
              <w:pStyle w:val="TableText"/>
              <w:rPr>
                <w:rFonts w:eastAsia="Symbol"/>
              </w:rPr>
            </w:pPr>
            <w:r>
              <w:t>Anti-M</w:t>
            </w:r>
          </w:p>
        </w:tc>
        <w:tc>
          <w:tcPr>
            <w:tcW w:w="1710" w:type="dxa"/>
            <w:shd w:val="clear" w:color="auto" w:fill="auto"/>
          </w:tcPr>
          <w:p w14:paraId="1BF320E0" w14:textId="77777777" w:rsidR="003E3D07" w:rsidRDefault="003E3D07">
            <w:pPr>
              <w:pStyle w:val="TableText"/>
            </w:pPr>
            <w:r>
              <w:t>Anti-M</w:t>
            </w:r>
          </w:p>
        </w:tc>
        <w:tc>
          <w:tcPr>
            <w:tcW w:w="878" w:type="dxa"/>
            <w:shd w:val="clear" w:color="auto" w:fill="auto"/>
          </w:tcPr>
          <w:p w14:paraId="5940FD34" w14:textId="77777777" w:rsidR="003E3D07" w:rsidRDefault="003E3D07">
            <w:pPr>
              <w:pStyle w:val="TableText"/>
            </w:pPr>
            <w:r>
              <w:t>No</w:t>
            </w:r>
          </w:p>
        </w:tc>
        <w:tc>
          <w:tcPr>
            <w:tcW w:w="878" w:type="dxa"/>
            <w:shd w:val="clear" w:color="auto" w:fill="auto"/>
          </w:tcPr>
          <w:p w14:paraId="2D3E86D6" w14:textId="77777777" w:rsidR="003E3D07" w:rsidRDefault="003E3D07">
            <w:pPr>
              <w:pStyle w:val="TableText"/>
              <w:rPr>
                <w:rFonts w:eastAsia="Symbol"/>
              </w:rPr>
            </w:pPr>
            <w:r w:rsidRPr="00035BA7">
              <w:t>Optional</w:t>
            </w:r>
          </w:p>
        </w:tc>
        <w:tc>
          <w:tcPr>
            <w:tcW w:w="1253" w:type="dxa"/>
            <w:shd w:val="clear" w:color="auto" w:fill="auto"/>
          </w:tcPr>
          <w:p w14:paraId="52C79C81" w14:textId="77777777" w:rsidR="003E3D07" w:rsidRDefault="003E3D07">
            <w:pPr>
              <w:pStyle w:val="TableText"/>
              <w:rPr>
                <w:rFonts w:eastAsia="Symbol"/>
              </w:rPr>
            </w:pPr>
            <w:r>
              <w:t>M</w:t>
            </w:r>
          </w:p>
        </w:tc>
        <w:tc>
          <w:tcPr>
            <w:tcW w:w="1253" w:type="dxa"/>
            <w:shd w:val="clear" w:color="auto" w:fill="auto"/>
          </w:tcPr>
          <w:p w14:paraId="4ECBD5C2" w14:textId="77777777" w:rsidR="003E3D07" w:rsidRDefault="003E3D07">
            <w:pPr>
              <w:pStyle w:val="TableText"/>
            </w:pPr>
            <w:r>
              <w:t>M</w:t>
            </w:r>
          </w:p>
        </w:tc>
        <w:tc>
          <w:tcPr>
            <w:tcW w:w="1296" w:type="dxa"/>
            <w:shd w:val="clear" w:color="auto" w:fill="auto"/>
          </w:tcPr>
          <w:p w14:paraId="7CD44598" w14:textId="77777777" w:rsidR="003E3D07" w:rsidRDefault="003E3D07">
            <w:pPr>
              <w:pStyle w:val="TableText"/>
              <w:rPr>
                <w:rFonts w:eastAsia="Symbol"/>
              </w:rPr>
            </w:pPr>
            <w:r>
              <w:t>26</w:t>
            </w:r>
          </w:p>
        </w:tc>
        <w:tc>
          <w:tcPr>
            <w:tcW w:w="841" w:type="dxa"/>
            <w:shd w:val="clear" w:color="auto" w:fill="auto"/>
          </w:tcPr>
          <w:p w14:paraId="767EDB6A" w14:textId="77777777" w:rsidR="003E3D07" w:rsidRDefault="003E3D07">
            <w:pPr>
              <w:pStyle w:val="TableText"/>
              <w:rPr>
                <w:rFonts w:eastAsia="Symbol"/>
              </w:rPr>
            </w:pPr>
            <w:r>
              <w:t>AGM</w:t>
            </w:r>
          </w:p>
        </w:tc>
      </w:tr>
      <w:tr w:rsidR="00824338" w14:paraId="3986DA93" w14:textId="77777777" w:rsidTr="00031618">
        <w:tblPrEx>
          <w:tblBorders>
            <w:insideH w:val="single" w:sz="4" w:space="0" w:color="auto"/>
            <w:insideV w:val="single" w:sz="4" w:space="0" w:color="auto"/>
          </w:tblBorders>
        </w:tblPrEx>
        <w:tc>
          <w:tcPr>
            <w:tcW w:w="1975" w:type="dxa"/>
            <w:shd w:val="clear" w:color="auto" w:fill="auto"/>
          </w:tcPr>
          <w:p w14:paraId="54CBA13E" w14:textId="77777777" w:rsidR="003E3D07" w:rsidRDefault="003E3D07">
            <w:pPr>
              <w:pStyle w:val="TableText"/>
              <w:rPr>
                <w:rFonts w:eastAsia="Symbol"/>
              </w:rPr>
            </w:pPr>
            <w:r>
              <w:t>Anti-N</w:t>
            </w:r>
          </w:p>
        </w:tc>
        <w:tc>
          <w:tcPr>
            <w:tcW w:w="1710" w:type="dxa"/>
            <w:shd w:val="clear" w:color="auto" w:fill="auto"/>
          </w:tcPr>
          <w:p w14:paraId="22F5A7A9" w14:textId="77777777" w:rsidR="003E3D07" w:rsidRDefault="003E3D07">
            <w:pPr>
              <w:pStyle w:val="TableText"/>
            </w:pPr>
            <w:r>
              <w:t>Anti-N</w:t>
            </w:r>
          </w:p>
        </w:tc>
        <w:tc>
          <w:tcPr>
            <w:tcW w:w="878" w:type="dxa"/>
            <w:shd w:val="clear" w:color="auto" w:fill="auto"/>
          </w:tcPr>
          <w:p w14:paraId="452DB398" w14:textId="77777777" w:rsidR="003E3D07" w:rsidRDefault="003E3D07">
            <w:pPr>
              <w:pStyle w:val="TableText"/>
            </w:pPr>
            <w:r>
              <w:t>No</w:t>
            </w:r>
          </w:p>
        </w:tc>
        <w:tc>
          <w:tcPr>
            <w:tcW w:w="878" w:type="dxa"/>
            <w:shd w:val="clear" w:color="auto" w:fill="auto"/>
          </w:tcPr>
          <w:p w14:paraId="054FA6B7" w14:textId="77777777" w:rsidR="003E3D07" w:rsidRDefault="003E3D07">
            <w:pPr>
              <w:pStyle w:val="TableText"/>
              <w:rPr>
                <w:rFonts w:eastAsia="Symbol"/>
              </w:rPr>
            </w:pPr>
            <w:r>
              <w:t>Optional</w:t>
            </w:r>
          </w:p>
        </w:tc>
        <w:tc>
          <w:tcPr>
            <w:tcW w:w="1253" w:type="dxa"/>
            <w:shd w:val="clear" w:color="auto" w:fill="auto"/>
          </w:tcPr>
          <w:p w14:paraId="5BBB5B73" w14:textId="77777777" w:rsidR="003E3D07" w:rsidRDefault="003E3D07">
            <w:pPr>
              <w:pStyle w:val="TableText"/>
              <w:rPr>
                <w:rFonts w:eastAsia="Symbol"/>
              </w:rPr>
            </w:pPr>
            <w:r>
              <w:t>N</w:t>
            </w:r>
          </w:p>
        </w:tc>
        <w:tc>
          <w:tcPr>
            <w:tcW w:w="1253" w:type="dxa"/>
            <w:shd w:val="clear" w:color="auto" w:fill="auto"/>
          </w:tcPr>
          <w:p w14:paraId="3DB0219F" w14:textId="77777777" w:rsidR="003E3D07" w:rsidRDefault="003E3D07">
            <w:pPr>
              <w:pStyle w:val="TableText"/>
            </w:pPr>
            <w:r>
              <w:t>N</w:t>
            </w:r>
          </w:p>
        </w:tc>
        <w:tc>
          <w:tcPr>
            <w:tcW w:w="1296" w:type="dxa"/>
            <w:shd w:val="clear" w:color="auto" w:fill="auto"/>
          </w:tcPr>
          <w:p w14:paraId="2906983F" w14:textId="77777777" w:rsidR="003E3D07" w:rsidRDefault="003E3D07">
            <w:pPr>
              <w:pStyle w:val="TableText"/>
              <w:rPr>
                <w:rFonts w:eastAsia="Symbol"/>
              </w:rPr>
            </w:pPr>
            <w:r>
              <w:t>27</w:t>
            </w:r>
          </w:p>
        </w:tc>
        <w:tc>
          <w:tcPr>
            <w:tcW w:w="841" w:type="dxa"/>
            <w:shd w:val="clear" w:color="auto" w:fill="auto"/>
          </w:tcPr>
          <w:p w14:paraId="7D0B674C" w14:textId="77777777" w:rsidR="003E3D07" w:rsidRDefault="003E3D07">
            <w:pPr>
              <w:pStyle w:val="TableText"/>
              <w:rPr>
                <w:rFonts w:eastAsia="Symbol"/>
              </w:rPr>
            </w:pPr>
            <w:r>
              <w:t>AGN</w:t>
            </w:r>
          </w:p>
        </w:tc>
      </w:tr>
      <w:tr w:rsidR="00824338" w14:paraId="10FD6535" w14:textId="77777777" w:rsidTr="00031618">
        <w:tblPrEx>
          <w:tblBorders>
            <w:insideH w:val="single" w:sz="4" w:space="0" w:color="auto"/>
            <w:insideV w:val="single" w:sz="4" w:space="0" w:color="auto"/>
          </w:tblBorders>
        </w:tblPrEx>
        <w:tc>
          <w:tcPr>
            <w:tcW w:w="1975" w:type="dxa"/>
            <w:shd w:val="clear" w:color="auto" w:fill="auto"/>
          </w:tcPr>
          <w:p w14:paraId="057C1EEF" w14:textId="77777777" w:rsidR="003E3D07" w:rsidRDefault="003E3D07">
            <w:pPr>
              <w:pStyle w:val="TableText"/>
              <w:rPr>
                <w:rFonts w:eastAsia="Symbol"/>
              </w:rPr>
            </w:pPr>
            <w:r>
              <w:t>Anti-S</w:t>
            </w:r>
          </w:p>
        </w:tc>
        <w:tc>
          <w:tcPr>
            <w:tcW w:w="1710" w:type="dxa"/>
            <w:shd w:val="clear" w:color="auto" w:fill="auto"/>
          </w:tcPr>
          <w:p w14:paraId="05BB6F06" w14:textId="77777777" w:rsidR="003E3D07" w:rsidRDefault="003E3D07">
            <w:pPr>
              <w:pStyle w:val="TableText"/>
              <w:rPr>
                <w:rFonts w:eastAsia="Symbol"/>
              </w:rPr>
            </w:pPr>
            <w:r>
              <w:t>Anti-S</w:t>
            </w:r>
          </w:p>
        </w:tc>
        <w:tc>
          <w:tcPr>
            <w:tcW w:w="878" w:type="dxa"/>
            <w:shd w:val="clear" w:color="auto" w:fill="auto"/>
          </w:tcPr>
          <w:p w14:paraId="029EF580" w14:textId="77777777" w:rsidR="003E3D07" w:rsidRDefault="003E3D07">
            <w:pPr>
              <w:pStyle w:val="TableText"/>
              <w:rPr>
                <w:b/>
                <w:bCs/>
              </w:rPr>
            </w:pPr>
            <w:r>
              <w:rPr>
                <w:bCs/>
              </w:rPr>
              <w:t>Yes</w:t>
            </w:r>
          </w:p>
        </w:tc>
        <w:tc>
          <w:tcPr>
            <w:tcW w:w="878" w:type="dxa"/>
            <w:shd w:val="clear" w:color="auto" w:fill="auto"/>
          </w:tcPr>
          <w:p w14:paraId="273CEB72" w14:textId="77777777" w:rsidR="003E3D07" w:rsidRDefault="003E3D07">
            <w:pPr>
              <w:pStyle w:val="TableText"/>
              <w:rPr>
                <w:rFonts w:eastAsia="Symbol"/>
                <w:b/>
                <w:bCs/>
              </w:rPr>
            </w:pPr>
            <w:r>
              <w:rPr>
                <w:bCs/>
              </w:rPr>
              <w:t>Yes</w:t>
            </w:r>
          </w:p>
        </w:tc>
        <w:tc>
          <w:tcPr>
            <w:tcW w:w="1253" w:type="dxa"/>
            <w:shd w:val="clear" w:color="auto" w:fill="auto"/>
          </w:tcPr>
          <w:p w14:paraId="672133E1" w14:textId="77777777" w:rsidR="003E3D07" w:rsidRDefault="003E3D07">
            <w:pPr>
              <w:pStyle w:val="TableText"/>
              <w:rPr>
                <w:rFonts w:eastAsia="Symbol"/>
              </w:rPr>
            </w:pPr>
            <w:r>
              <w:t>S</w:t>
            </w:r>
          </w:p>
        </w:tc>
        <w:tc>
          <w:tcPr>
            <w:tcW w:w="1253" w:type="dxa"/>
            <w:shd w:val="clear" w:color="auto" w:fill="auto"/>
          </w:tcPr>
          <w:p w14:paraId="7FD029CF" w14:textId="77777777" w:rsidR="003E3D07" w:rsidRDefault="003E3D07">
            <w:pPr>
              <w:pStyle w:val="TableText"/>
              <w:rPr>
                <w:rFonts w:eastAsia="Symbol"/>
              </w:rPr>
            </w:pPr>
            <w:r>
              <w:t>S</w:t>
            </w:r>
          </w:p>
        </w:tc>
        <w:tc>
          <w:tcPr>
            <w:tcW w:w="1296" w:type="dxa"/>
            <w:shd w:val="clear" w:color="auto" w:fill="auto"/>
          </w:tcPr>
          <w:p w14:paraId="6FE0D9B1" w14:textId="77777777" w:rsidR="003E3D07" w:rsidRDefault="003E3D07">
            <w:pPr>
              <w:pStyle w:val="TableText"/>
              <w:rPr>
                <w:rFonts w:eastAsia="Symbol"/>
              </w:rPr>
            </w:pPr>
            <w:r>
              <w:t>58</w:t>
            </w:r>
          </w:p>
        </w:tc>
        <w:tc>
          <w:tcPr>
            <w:tcW w:w="841" w:type="dxa"/>
            <w:shd w:val="clear" w:color="auto" w:fill="auto"/>
          </w:tcPr>
          <w:p w14:paraId="200C3FEF" w14:textId="77777777" w:rsidR="003E3D07" w:rsidRDefault="003E3D07">
            <w:pPr>
              <w:pStyle w:val="TableText"/>
              <w:rPr>
                <w:rFonts w:eastAsia="Symbol"/>
              </w:rPr>
            </w:pPr>
            <w:r>
              <w:t>AGS</w:t>
            </w:r>
          </w:p>
        </w:tc>
      </w:tr>
      <w:tr w:rsidR="00824338" w14:paraId="42DB3B35" w14:textId="77777777" w:rsidTr="00031618">
        <w:tblPrEx>
          <w:tblBorders>
            <w:insideH w:val="single" w:sz="4" w:space="0" w:color="auto"/>
            <w:insideV w:val="single" w:sz="4" w:space="0" w:color="auto"/>
          </w:tblBorders>
        </w:tblPrEx>
        <w:tc>
          <w:tcPr>
            <w:tcW w:w="1975" w:type="dxa"/>
            <w:shd w:val="clear" w:color="auto" w:fill="auto"/>
          </w:tcPr>
          <w:p w14:paraId="64204A44" w14:textId="77777777" w:rsidR="003E3D07" w:rsidRDefault="003E3D07">
            <w:pPr>
              <w:pStyle w:val="TableText"/>
              <w:rPr>
                <w:rFonts w:eastAsia="Symbol"/>
              </w:rPr>
            </w:pPr>
            <w:r>
              <w:t>Anti-s</w:t>
            </w:r>
          </w:p>
        </w:tc>
        <w:tc>
          <w:tcPr>
            <w:tcW w:w="1710" w:type="dxa"/>
            <w:shd w:val="clear" w:color="auto" w:fill="auto"/>
          </w:tcPr>
          <w:p w14:paraId="45CDEC64" w14:textId="77777777" w:rsidR="003E3D07" w:rsidRDefault="003E3D07">
            <w:pPr>
              <w:pStyle w:val="TableText"/>
              <w:rPr>
                <w:rFonts w:eastAsia="Symbol"/>
              </w:rPr>
            </w:pPr>
            <w:r>
              <w:t>Anti-s</w:t>
            </w:r>
          </w:p>
        </w:tc>
        <w:tc>
          <w:tcPr>
            <w:tcW w:w="878" w:type="dxa"/>
            <w:shd w:val="clear" w:color="auto" w:fill="auto"/>
          </w:tcPr>
          <w:p w14:paraId="07F2A26E" w14:textId="77777777" w:rsidR="003E3D07" w:rsidRDefault="003E3D07">
            <w:pPr>
              <w:pStyle w:val="TableText"/>
              <w:rPr>
                <w:b/>
                <w:bCs/>
              </w:rPr>
            </w:pPr>
            <w:r>
              <w:rPr>
                <w:bCs/>
              </w:rPr>
              <w:t>Yes</w:t>
            </w:r>
          </w:p>
        </w:tc>
        <w:tc>
          <w:tcPr>
            <w:tcW w:w="878" w:type="dxa"/>
            <w:shd w:val="clear" w:color="auto" w:fill="auto"/>
          </w:tcPr>
          <w:p w14:paraId="024E113C" w14:textId="77777777" w:rsidR="003E3D07" w:rsidRDefault="003E3D07">
            <w:pPr>
              <w:pStyle w:val="TableText"/>
              <w:rPr>
                <w:rFonts w:eastAsia="Symbol"/>
                <w:b/>
                <w:bCs/>
              </w:rPr>
            </w:pPr>
            <w:r>
              <w:rPr>
                <w:bCs/>
              </w:rPr>
              <w:t>Yes</w:t>
            </w:r>
          </w:p>
        </w:tc>
        <w:tc>
          <w:tcPr>
            <w:tcW w:w="1253" w:type="dxa"/>
            <w:shd w:val="clear" w:color="auto" w:fill="auto"/>
          </w:tcPr>
          <w:p w14:paraId="07F7D1EA" w14:textId="77777777" w:rsidR="003E3D07" w:rsidRDefault="003E3D07">
            <w:pPr>
              <w:pStyle w:val="TableText"/>
              <w:rPr>
                <w:rFonts w:eastAsia="Symbol"/>
              </w:rPr>
            </w:pPr>
            <w:r>
              <w:t>s</w:t>
            </w:r>
          </w:p>
        </w:tc>
        <w:tc>
          <w:tcPr>
            <w:tcW w:w="1253" w:type="dxa"/>
            <w:shd w:val="clear" w:color="auto" w:fill="auto"/>
          </w:tcPr>
          <w:p w14:paraId="493CAA71" w14:textId="77777777" w:rsidR="003E3D07" w:rsidRDefault="003E3D07">
            <w:pPr>
              <w:pStyle w:val="TableText"/>
              <w:rPr>
                <w:rFonts w:eastAsia="Symbol"/>
              </w:rPr>
            </w:pPr>
            <w:r>
              <w:t>s</w:t>
            </w:r>
          </w:p>
        </w:tc>
        <w:tc>
          <w:tcPr>
            <w:tcW w:w="1296" w:type="dxa"/>
            <w:shd w:val="clear" w:color="auto" w:fill="auto"/>
          </w:tcPr>
          <w:p w14:paraId="376396DF" w14:textId="77777777" w:rsidR="003E3D07" w:rsidRDefault="003E3D07">
            <w:pPr>
              <w:pStyle w:val="TableText"/>
              <w:rPr>
                <w:rFonts w:eastAsia="Symbol"/>
              </w:rPr>
            </w:pPr>
            <w:r>
              <w:t>7</w:t>
            </w:r>
          </w:p>
        </w:tc>
        <w:tc>
          <w:tcPr>
            <w:tcW w:w="841" w:type="dxa"/>
            <w:shd w:val="clear" w:color="auto" w:fill="auto"/>
          </w:tcPr>
          <w:p w14:paraId="029FADCD" w14:textId="77777777" w:rsidR="003E3D07" w:rsidRDefault="003E3D07">
            <w:pPr>
              <w:pStyle w:val="TableText"/>
              <w:rPr>
                <w:rFonts w:eastAsia="Symbol"/>
              </w:rPr>
            </w:pPr>
            <w:r>
              <w:t>AGs</w:t>
            </w:r>
          </w:p>
        </w:tc>
      </w:tr>
      <w:tr w:rsidR="00824338" w14:paraId="13473369" w14:textId="77777777" w:rsidTr="00031618">
        <w:tblPrEx>
          <w:tblBorders>
            <w:insideH w:val="single" w:sz="4" w:space="0" w:color="auto"/>
            <w:insideV w:val="single" w:sz="4" w:space="0" w:color="auto"/>
          </w:tblBorders>
        </w:tblPrEx>
        <w:tc>
          <w:tcPr>
            <w:tcW w:w="1975" w:type="dxa"/>
            <w:shd w:val="clear" w:color="auto" w:fill="auto"/>
          </w:tcPr>
          <w:p w14:paraId="6F7B40C3" w14:textId="77777777" w:rsidR="003E3D07" w:rsidRDefault="003E3D07">
            <w:pPr>
              <w:pStyle w:val="TableText"/>
              <w:rPr>
                <w:rFonts w:eastAsia="Symbol"/>
              </w:rPr>
            </w:pPr>
            <w:r>
              <w:t>Anti-U</w:t>
            </w:r>
          </w:p>
        </w:tc>
        <w:tc>
          <w:tcPr>
            <w:tcW w:w="1710" w:type="dxa"/>
            <w:shd w:val="clear" w:color="auto" w:fill="auto"/>
          </w:tcPr>
          <w:p w14:paraId="667067E2" w14:textId="77777777" w:rsidR="003E3D07" w:rsidRDefault="003E3D07">
            <w:pPr>
              <w:pStyle w:val="TableText"/>
              <w:rPr>
                <w:b/>
                <w:bCs/>
              </w:rPr>
            </w:pPr>
            <w:r>
              <w:t>Anti-U</w:t>
            </w:r>
          </w:p>
        </w:tc>
        <w:tc>
          <w:tcPr>
            <w:tcW w:w="878" w:type="dxa"/>
            <w:shd w:val="clear" w:color="auto" w:fill="auto"/>
          </w:tcPr>
          <w:p w14:paraId="014E2A70" w14:textId="77777777" w:rsidR="003E3D07" w:rsidRDefault="003E3D07">
            <w:pPr>
              <w:pStyle w:val="TableText"/>
              <w:rPr>
                <w:b/>
                <w:bCs/>
              </w:rPr>
            </w:pPr>
            <w:r>
              <w:rPr>
                <w:bCs/>
              </w:rPr>
              <w:t>Yes</w:t>
            </w:r>
          </w:p>
        </w:tc>
        <w:tc>
          <w:tcPr>
            <w:tcW w:w="878" w:type="dxa"/>
            <w:shd w:val="clear" w:color="auto" w:fill="auto"/>
          </w:tcPr>
          <w:p w14:paraId="2EBEBC4B" w14:textId="77777777" w:rsidR="003E3D07" w:rsidRDefault="003E3D07">
            <w:pPr>
              <w:pStyle w:val="TableText"/>
              <w:rPr>
                <w:rFonts w:eastAsia="Symbol"/>
              </w:rPr>
            </w:pPr>
            <w:r>
              <w:t>Optional</w:t>
            </w:r>
          </w:p>
        </w:tc>
        <w:tc>
          <w:tcPr>
            <w:tcW w:w="1253" w:type="dxa"/>
            <w:shd w:val="clear" w:color="auto" w:fill="auto"/>
          </w:tcPr>
          <w:p w14:paraId="664A4629" w14:textId="77777777" w:rsidR="003E3D07" w:rsidRDefault="003E3D07">
            <w:pPr>
              <w:pStyle w:val="TableText"/>
              <w:rPr>
                <w:rFonts w:eastAsia="Symbol"/>
              </w:rPr>
            </w:pPr>
            <w:r>
              <w:t>U</w:t>
            </w:r>
          </w:p>
        </w:tc>
        <w:tc>
          <w:tcPr>
            <w:tcW w:w="1253" w:type="dxa"/>
            <w:shd w:val="clear" w:color="auto" w:fill="auto"/>
          </w:tcPr>
          <w:p w14:paraId="4A729216" w14:textId="77777777" w:rsidR="003E3D07" w:rsidRDefault="003E3D07">
            <w:pPr>
              <w:pStyle w:val="TableText"/>
            </w:pPr>
            <w:r>
              <w:t>U</w:t>
            </w:r>
          </w:p>
        </w:tc>
        <w:tc>
          <w:tcPr>
            <w:tcW w:w="1296" w:type="dxa"/>
            <w:shd w:val="clear" w:color="auto" w:fill="auto"/>
          </w:tcPr>
          <w:p w14:paraId="285B2977" w14:textId="77777777" w:rsidR="003E3D07" w:rsidRDefault="003E3D07">
            <w:pPr>
              <w:pStyle w:val="TableText"/>
              <w:rPr>
                <w:rFonts w:eastAsia="Symbol"/>
              </w:rPr>
            </w:pPr>
            <w:r>
              <w:t>0</w:t>
            </w:r>
          </w:p>
        </w:tc>
        <w:tc>
          <w:tcPr>
            <w:tcW w:w="841" w:type="dxa"/>
            <w:shd w:val="clear" w:color="auto" w:fill="auto"/>
          </w:tcPr>
          <w:p w14:paraId="4C527B0B" w14:textId="77777777" w:rsidR="003E3D07" w:rsidRDefault="003E3D07">
            <w:pPr>
              <w:pStyle w:val="TableText"/>
              <w:rPr>
                <w:rFonts w:eastAsia="Symbol"/>
              </w:rPr>
            </w:pPr>
            <w:r>
              <w:t>AGU</w:t>
            </w:r>
          </w:p>
        </w:tc>
      </w:tr>
      <w:tr w:rsidR="00824338" w14:paraId="79275613" w14:textId="77777777" w:rsidTr="00031618">
        <w:tblPrEx>
          <w:tblBorders>
            <w:insideH w:val="single" w:sz="4" w:space="0" w:color="auto"/>
            <w:insideV w:val="single" w:sz="4" w:space="0" w:color="auto"/>
          </w:tblBorders>
        </w:tblPrEx>
        <w:tc>
          <w:tcPr>
            <w:tcW w:w="1975" w:type="dxa"/>
            <w:shd w:val="clear" w:color="auto" w:fill="auto"/>
          </w:tcPr>
          <w:p w14:paraId="2D8BF187" w14:textId="77777777" w:rsidR="003E3D07" w:rsidRDefault="003E3D07">
            <w:pPr>
              <w:pStyle w:val="TableText"/>
              <w:rPr>
                <w:rFonts w:eastAsia="Symbol"/>
              </w:rPr>
            </w:pPr>
            <w:r>
              <w:t>Anti-P1</w:t>
            </w:r>
          </w:p>
        </w:tc>
        <w:tc>
          <w:tcPr>
            <w:tcW w:w="1710" w:type="dxa"/>
            <w:shd w:val="clear" w:color="auto" w:fill="auto"/>
          </w:tcPr>
          <w:p w14:paraId="6CBD8C3A" w14:textId="77777777" w:rsidR="003E3D07" w:rsidRDefault="003E3D07">
            <w:pPr>
              <w:pStyle w:val="TableText"/>
            </w:pPr>
            <w:r>
              <w:t>Anti-P1</w:t>
            </w:r>
          </w:p>
        </w:tc>
        <w:tc>
          <w:tcPr>
            <w:tcW w:w="878" w:type="dxa"/>
            <w:shd w:val="clear" w:color="auto" w:fill="auto"/>
          </w:tcPr>
          <w:p w14:paraId="3EB97226" w14:textId="77777777" w:rsidR="003E3D07" w:rsidRDefault="003E3D07">
            <w:pPr>
              <w:pStyle w:val="TableText"/>
            </w:pPr>
            <w:r>
              <w:t>No</w:t>
            </w:r>
          </w:p>
        </w:tc>
        <w:tc>
          <w:tcPr>
            <w:tcW w:w="878" w:type="dxa"/>
            <w:shd w:val="clear" w:color="auto" w:fill="auto"/>
          </w:tcPr>
          <w:p w14:paraId="6B5CF6FD" w14:textId="77777777" w:rsidR="003E3D07" w:rsidRDefault="003E3D07">
            <w:pPr>
              <w:pStyle w:val="TableText"/>
              <w:rPr>
                <w:rFonts w:eastAsia="Symbol"/>
              </w:rPr>
            </w:pPr>
            <w:r>
              <w:t>Optional</w:t>
            </w:r>
          </w:p>
        </w:tc>
        <w:tc>
          <w:tcPr>
            <w:tcW w:w="1253" w:type="dxa"/>
            <w:shd w:val="clear" w:color="auto" w:fill="auto"/>
          </w:tcPr>
          <w:p w14:paraId="687C4A49" w14:textId="77777777" w:rsidR="003E3D07" w:rsidRDefault="003E3D07">
            <w:pPr>
              <w:pStyle w:val="TableText"/>
              <w:rPr>
                <w:rFonts w:eastAsia="Symbol"/>
              </w:rPr>
            </w:pPr>
            <w:r>
              <w:t>P1</w:t>
            </w:r>
          </w:p>
        </w:tc>
        <w:tc>
          <w:tcPr>
            <w:tcW w:w="1253" w:type="dxa"/>
            <w:shd w:val="clear" w:color="auto" w:fill="auto"/>
          </w:tcPr>
          <w:p w14:paraId="033AAE76" w14:textId="77777777" w:rsidR="003E3D07" w:rsidRDefault="003E3D07">
            <w:pPr>
              <w:pStyle w:val="TableText"/>
              <w:rPr>
                <w:rFonts w:eastAsia="Symbol"/>
              </w:rPr>
            </w:pPr>
            <w:r>
              <w:t>P1</w:t>
            </w:r>
          </w:p>
        </w:tc>
        <w:tc>
          <w:tcPr>
            <w:tcW w:w="1296" w:type="dxa"/>
            <w:shd w:val="clear" w:color="auto" w:fill="auto"/>
          </w:tcPr>
          <w:p w14:paraId="7D439378" w14:textId="77777777" w:rsidR="003E3D07" w:rsidRDefault="003E3D07">
            <w:pPr>
              <w:pStyle w:val="TableText"/>
              <w:rPr>
                <w:rFonts w:eastAsia="Symbol"/>
              </w:rPr>
            </w:pPr>
            <w:r>
              <w:rPr>
                <w:rFonts w:eastAsia="Symbol"/>
              </w:rPr>
              <w:t>21</w:t>
            </w:r>
          </w:p>
        </w:tc>
        <w:tc>
          <w:tcPr>
            <w:tcW w:w="841" w:type="dxa"/>
            <w:shd w:val="clear" w:color="auto" w:fill="auto"/>
          </w:tcPr>
          <w:p w14:paraId="247D620D" w14:textId="77777777" w:rsidR="003E3D07" w:rsidRDefault="003E3D07">
            <w:pPr>
              <w:pStyle w:val="TableText"/>
              <w:rPr>
                <w:rFonts w:eastAsia="Symbol"/>
              </w:rPr>
            </w:pPr>
            <w:r>
              <w:t>AGP1</w:t>
            </w:r>
          </w:p>
        </w:tc>
      </w:tr>
      <w:tr w:rsidR="00824338" w14:paraId="498FCCEB" w14:textId="77777777" w:rsidTr="00031618">
        <w:tblPrEx>
          <w:tblBorders>
            <w:insideH w:val="single" w:sz="4" w:space="0" w:color="auto"/>
            <w:insideV w:val="single" w:sz="4" w:space="0" w:color="auto"/>
          </w:tblBorders>
        </w:tblPrEx>
        <w:tc>
          <w:tcPr>
            <w:tcW w:w="1975" w:type="dxa"/>
            <w:shd w:val="clear" w:color="auto" w:fill="auto"/>
          </w:tcPr>
          <w:p w14:paraId="751E106F" w14:textId="77777777" w:rsidR="003E3D07" w:rsidRDefault="003E3D07">
            <w:pPr>
              <w:pStyle w:val="TableText"/>
              <w:rPr>
                <w:rFonts w:eastAsia="Symbol"/>
              </w:rPr>
            </w:pPr>
            <w:r>
              <w:t>Anti-Le(a)</w:t>
            </w:r>
          </w:p>
        </w:tc>
        <w:tc>
          <w:tcPr>
            <w:tcW w:w="1710" w:type="dxa"/>
            <w:shd w:val="clear" w:color="auto" w:fill="auto"/>
          </w:tcPr>
          <w:p w14:paraId="1D696425" w14:textId="77777777" w:rsidR="003E3D07" w:rsidRDefault="003E3D07">
            <w:pPr>
              <w:pStyle w:val="TableText"/>
              <w:rPr>
                <w:rFonts w:eastAsia="Symbol"/>
              </w:rPr>
            </w:pPr>
            <w:r>
              <w:t>Anti-Le(a)</w:t>
            </w:r>
          </w:p>
        </w:tc>
        <w:tc>
          <w:tcPr>
            <w:tcW w:w="878" w:type="dxa"/>
            <w:shd w:val="clear" w:color="auto" w:fill="auto"/>
          </w:tcPr>
          <w:p w14:paraId="6F338F9E" w14:textId="77777777" w:rsidR="003E3D07" w:rsidRDefault="003E3D07">
            <w:pPr>
              <w:pStyle w:val="TableText"/>
            </w:pPr>
            <w:r>
              <w:t>No</w:t>
            </w:r>
          </w:p>
        </w:tc>
        <w:tc>
          <w:tcPr>
            <w:tcW w:w="878" w:type="dxa"/>
            <w:shd w:val="clear" w:color="auto" w:fill="auto"/>
          </w:tcPr>
          <w:p w14:paraId="281998BC" w14:textId="77777777" w:rsidR="003E3D07" w:rsidRDefault="003E3D07">
            <w:pPr>
              <w:pStyle w:val="TableText"/>
              <w:rPr>
                <w:rFonts w:eastAsia="Symbol"/>
              </w:rPr>
            </w:pPr>
            <w:r>
              <w:t>Optional</w:t>
            </w:r>
          </w:p>
        </w:tc>
        <w:tc>
          <w:tcPr>
            <w:tcW w:w="1253" w:type="dxa"/>
            <w:shd w:val="clear" w:color="auto" w:fill="auto"/>
          </w:tcPr>
          <w:p w14:paraId="79053358" w14:textId="77777777" w:rsidR="003E3D07" w:rsidRDefault="003E3D07">
            <w:pPr>
              <w:pStyle w:val="TableText"/>
              <w:rPr>
                <w:rFonts w:eastAsia="Symbol"/>
              </w:rPr>
            </w:pPr>
            <w:r>
              <w:t>Le(a)</w:t>
            </w:r>
          </w:p>
        </w:tc>
        <w:tc>
          <w:tcPr>
            <w:tcW w:w="1253" w:type="dxa"/>
            <w:shd w:val="clear" w:color="auto" w:fill="auto"/>
          </w:tcPr>
          <w:p w14:paraId="578FA902" w14:textId="77777777" w:rsidR="003E3D07" w:rsidRDefault="003E3D07">
            <w:pPr>
              <w:pStyle w:val="TableText"/>
              <w:rPr>
                <w:rFonts w:eastAsia="Symbol"/>
              </w:rPr>
            </w:pPr>
            <w:r>
              <w:t>Le(a)</w:t>
            </w:r>
          </w:p>
        </w:tc>
        <w:tc>
          <w:tcPr>
            <w:tcW w:w="1296" w:type="dxa"/>
            <w:shd w:val="clear" w:color="auto" w:fill="auto"/>
          </w:tcPr>
          <w:p w14:paraId="3D539D40" w14:textId="77777777" w:rsidR="003E3D07" w:rsidRDefault="003E3D07">
            <w:pPr>
              <w:pStyle w:val="TableText"/>
              <w:rPr>
                <w:rFonts w:eastAsia="Symbol"/>
              </w:rPr>
            </w:pPr>
            <w:r>
              <w:t>78</w:t>
            </w:r>
          </w:p>
        </w:tc>
        <w:tc>
          <w:tcPr>
            <w:tcW w:w="841" w:type="dxa"/>
            <w:shd w:val="clear" w:color="auto" w:fill="auto"/>
          </w:tcPr>
          <w:p w14:paraId="4BC46CD4" w14:textId="77777777" w:rsidR="003E3D07" w:rsidRDefault="003E3D07">
            <w:pPr>
              <w:pStyle w:val="TableText"/>
              <w:rPr>
                <w:rFonts w:eastAsia="Symbol"/>
              </w:rPr>
            </w:pPr>
            <w:r>
              <w:t>AGLe(a)</w:t>
            </w:r>
          </w:p>
        </w:tc>
      </w:tr>
      <w:tr w:rsidR="00824338" w14:paraId="4444A92F" w14:textId="77777777" w:rsidTr="00031618">
        <w:tblPrEx>
          <w:tblBorders>
            <w:insideH w:val="single" w:sz="4" w:space="0" w:color="auto"/>
            <w:insideV w:val="single" w:sz="4" w:space="0" w:color="auto"/>
          </w:tblBorders>
        </w:tblPrEx>
        <w:tc>
          <w:tcPr>
            <w:tcW w:w="1975" w:type="dxa"/>
            <w:shd w:val="clear" w:color="auto" w:fill="auto"/>
          </w:tcPr>
          <w:p w14:paraId="2CB52D49" w14:textId="77777777" w:rsidR="003E3D07" w:rsidRDefault="003E3D07">
            <w:pPr>
              <w:pStyle w:val="TableText"/>
              <w:rPr>
                <w:rFonts w:eastAsia="Symbol"/>
              </w:rPr>
            </w:pPr>
            <w:r>
              <w:t>Anti-Le(b)</w:t>
            </w:r>
          </w:p>
        </w:tc>
        <w:tc>
          <w:tcPr>
            <w:tcW w:w="1710" w:type="dxa"/>
            <w:shd w:val="clear" w:color="auto" w:fill="auto"/>
          </w:tcPr>
          <w:p w14:paraId="3D972229" w14:textId="77777777" w:rsidR="003E3D07" w:rsidRDefault="003E3D07">
            <w:pPr>
              <w:pStyle w:val="TableText"/>
              <w:rPr>
                <w:rFonts w:eastAsia="Symbol"/>
              </w:rPr>
            </w:pPr>
            <w:r>
              <w:t>Anti-Le(b)</w:t>
            </w:r>
          </w:p>
        </w:tc>
        <w:tc>
          <w:tcPr>
            <w:tcW w:w="878" w:type="dxa"/>
            <w:shd w:val="clear" w:color="auto" w:fill="auto"/>
          </w:tcPr>
          <w:p w14:paraId="6A065429" w14:textId="77777777" w:rsidR="003E3D07" w:rsidRDefault="003E3D07">
            <w:pPr>
              <w:pStyle w:val="TableText"/>
            </w:pPr>
            <w:r>
              <w:t>No</w:t>
            </w:r>
          </w:p>
        </w:tc>
        <w:tc>
          <w:tcPr>
            <w:tcW w:w="878" w:type="dxa"/>
            <w:shd w:val="clear" w:color="auto" w:fill="auto"/>
          </w:tcPr>
          <w:p w14:paraId="0FD79DDC" w14:textId="77777777" w:rsidR="003E3D07" w:rsidRDefault="003E3D07">
            <w:pPr>
              <w:pStyle w:val="TableText"/>
              <w:rPr>
                <w:rFonts w:eastAsia="Symbol"/>
              </w:rPr>
            </w:pPr>
            <w:r>
              <w:t>Optional</w:t>
            </w:r>
          </w:p>
        </w:tc>
        <w:tc>
          <w:tcPr>
            <w:tcW w:w="1253" w:type="dxa"/>
            <w:shd w:val="clear" w:color="auto" w:fill="auto"/>
          </w:tcPr>
          <w:p w14:paraId="5DCFC927" w14:textId="77777777" w:rsidR="003E3D07" w:rsidRDefault="003E3D07">
            <w:pPr>
              <w:pStyle w:val="TableText"/>
              <w:rPr>
                <w:rFonts w:eastAsia="Symbol"/>
              </w:rPr>
            </w:pPr>
            <w:r>
              <w:t>Le(b)</w:t>
            </w:r>
          </w:p>
        </w:tc>
        <w:tc>
          <w:tcPr>
            <w:tcW w:w="1253" w:type="dxa"/>
            <w:shd w:val="clear" w:color="auto" w:fill="auto"/>
          </w:tcPr>
          <w:p w14:paraId="0764BAE8" w14:textId="77777777" w:rsidR="003E3D07" w:rsidRDefault="003E3D07">
            <w:pPr>
              <w:pStyle w:val="TableText"/>
              <w:rPr>
                <w:rFonts w:eastAsia="Symbol"/>
              </w:rPr>
            </w:pPr>
            <w:r>
              <w:t>Le(b)</w:t>
            </w:r>
          </w:p>
        </w:tc>
        <w:tc>
          <w:tcPr>
            <w:tcW w:w="1296" w:type="dxa"/>
            <w:shd w:val="clear" w:color="auto" w:fill="auto"/>
          </w:tcPr>
          <w:p w14:paraId="3E6312AD" w14:textId="77777777" w:rsidR="003E3D07" w:rsidRDefault="003E3D07">
            <w:pPr>
              <w:pStyle w:val="TableText"/>
              <w:rPr>
                <w:rFonts w:eastAsia="Symbol"/>
              </w:rPr>
            </w:pPr>
            <w:r>
              <w:t>37</w:t>
            </w:r>
          </w:p>
        </w:tc>
        <w:tc>
          <w:tcPr>
            <w:tcW w:w="841" w:type="dxa"/>
            <w:shd w:val="clear" w:color="auto" w:fill="auto"/>
          </w:tcPr>
          <w:p w14:paraId="79D039C1" w14:textId="77777777" w:rsidR="003E3D07" w:rsidRDefault="003E3D07">
            <w:pPr>
              <w:pStyle w:val="TableText"/>
              <w:rPr>
                <w:rFonts w:eastAsia="Symbol"/>
              </w:rPr>
            </w:pPr>
            <w:r>
              <w:t>AGLe(b)</w:t>
            </w:r>
          </w:p>
        </w:tc>
      </w:tr>
      <w:tr w:rsidR="00824338" w14:paraId="6CCDEF03" w14:textId="77777777" w:rsidTr="00031618">
        <w:tblPrEx>
          <w:tblBorders>
            <w:insideH w:val="single" w:sz="4" w:space="0" w:color="auto"/>
            <w:insideV w:val="single" w:sz="4" w:space="0" w:color="auto"/>
          </w:tblBorders>
        </w:tblPrEx>
        <w:tc>
          <w:tcPr>
            <w:tcW w:w="1975" w:type="dxa"/>
            <w:shd w:val="clear" w:color="auto" w:fill="auto"/>
          </w:tcPr>
          <w:p w14:paraId="191B4485" w14:textId="77777777" w:rsidR="003E3D07" w:rsidRDefault="003E3D07">
            <w:pPr>
              <w:pStyle w:val="TableText"/>
              <w:rPr>
                <w:rFonts w:eastAsia="Symbol"/>
              </w:rPr>
            </w:pPr>
            <w:r>
              <w:t>Anti-Js(a)</w:t>
            </w:r>
          </w:p>
        </w:tc>
        <w:tc>
          <w:tcPr>
            <w:tcW w:w="1710" w:type="dxa"/>
            <w:shd w:val="clear" w:color="auto" w:fill="auto"/>
          </w:tcPr>
          <w:p w14:paraId="462070FE" w14:textId="77777777" w:rsidR="003E3D07" w:rsidRDefault="003E3D07">
            <w:pPr>
              <w:pStyle w:val="TableText"/>
              <w:rPr>
                <w:rFonts w:eastAsia="Symbol"/>
              </w:rPr>
            </w:pPr>
            <w:r>
              <w:t>Anti-Js(a)</w:t>
            </w:r>
          </w:p>
        </w:tc>
        <w:tc>
          <w:tcPr>
            <w:tcW w:w="878" w:type="dxa"/>
            <w:shd w:val="clear" w:color="auto" w:fill="auto"/>
          </w:tcPr>
          <w:p w14:paraId="659B8F78" w14:textId="77777777" w:rsidR="003E3D07" w:rsidRDefault="003E3D07">
            <w:pPr>
              <w:pStyle w:val="TableText"/>
              <w:rPr>
                <w:b/>
                <w:bCs/>
              </w:rPr>
            </w:pPr>
            <w:r>
              <w:rPr>
                <w:bCs/>
              </w:rPr>
              <w:t>Yes</w:t>
            </w:r>
          </w:p>
        </w:tc>
        <w:tc>
          <w:tcPr>
            <w:tcW w:w="878" w:type="dxa"/>
            <w:shd w:val="clear" w:color="auto" w:fill="auto"/>
          </w:tcPr>
          <w:p w14:paraId="1BDBEE93" w14:textId="77777777" w:rsidR="003E3D07" w:rsidRDefault="003E3D07">
            <w:pPr>
              <w:pStyle w:val="TableText"/>
              <w:rPr>
                <w:rFonts w:eastAsia="Symbol"/>
              </w:rPr>
            </w:pPr>
            <w:r>
              <w:t>Optional</w:t>
            </w:r>
          </w:p>
        </w:tc>
        <w:tc>
          <w:tcPr>
            <w:tcW w:w="1253" w:type="dxa"/>
            <w:shd w:val="clear" w:color="auto" w:fill="auto"/>
          </w:tcPr>
          <w:p w14:paraId="5F5C3A2B" w14:textId="77777777" w:rsidR="003E3D07" w:rsidRDefault="003E3D07">
            <w:pPr>
              <w:pStyle w:val="TableText"/>
              <w:rPr>
                <w:rFonts w:eastAsia="Symbol"/>
              </w:rPr>
            </w:pPr>
            <w:r>
              <w:t>Js(a)</w:t>
            </w:r>
          </w:p>
        </w:tc>
        <w:tc>
          <w:tcPr>
            <w:tcW w:w="1253" w:type="dxa"/>
            <w:shd w:val="clear" w:color="auto" w:fill="auto"/>
          </w:tcPr>
          <w:p w14:paraId="7030695F" w14:textId="77777777" w:rsidR="003E3D07" w:rsidRDefault="003E3D07">
            <w:pPr>
              <w:pStyle w:val="TableText"/>
              <w:rPr>
                <w:rFonts w:eastAsia="Symbol"/>
              </w:rPr>
            </w:pPr>
            <w:r>
              <w:t>Js(a)</w:t>
            </w:r>
          </w:p>
        </w:tc>
        <w:tc>
          <w:tcPr>
            <w:tcW w:w="1296" w:type="dxa"/>
            <w:shd w:val="clear" w:color="auto" w:fill="auto"/>
          </w:tcPr>
          <w:p w14:paraId="0C4754FB" w14:textId="77777777" w:rsidR="003E3D07" w:rsidRDefault="003E3D07">
            <w:pPr>
              <w:pStyle w:val="TableText"/>
              <w:rPr>
                <w:rFonts w:eastAsia="Symbol"/>
              </w:rPr>
            </w:pPr>
            <w:r>
              <w:t>90</w:t>
            </w:r>
          </w:p>
        </w:tc>
        <w:tc>
          <w:tcPr>
            <w:tcW w:w="841" w:type="dxa"/>
            <w:shd w:val="clear" w:color="auto" w:fill="auto"/>
          </w:tcPr>
          <w:p w14:paraId="2793D137" w14:textId="77777777" w:rsidR="003E3D07" w:rsidRDefault="003E3D07">
            <w:pPr>
              <w:pStyle w:val="TableText"/>
              <w:rPr>
                <w:rFonts w:eastAsia="Symbol"/>
              </w:rPr>
            </w:pPr>
            <w:r>
              <w:t>AGJs(a)</w:t>
            </w:r>
          </w:p>
        </w:tc>
      </w:tr>
      <w:tr w:rsidR="00824338" w14:paraId="483CC55D" w14:textId="77777777" w:rsidTr="00031618">
        <w:tblPrEx>
          <w:tblBorders>
            <w:insideH w:val="single" w:sz="4" w:space="0" w:color="auto"/>
            <w:insideV w:val="single" w:sz="4" w:space="0" w:color="auto"/>
          </w:tblBorders>
        </w:tblPrEx>
        <w:tc>
          <w:tcPr>
            <w:tcW w:w="1975" w:type="dxa"/>
            <w:shd w:val="clear" w:color="auto" w:fill="auto"/>
          </w:tcPr>
          <w:p w14:paraId="33574399" w14:textId="77777777" w:rsidR="003E3D07" w:rsidRDefault="003E3D07">
            <w:pPr>
              <w:pStyle w:val="TableText"/>
              <w:rPr>
                <w:rFonts w:eastAsia="Symbol"/>
              </w:rPr>
            </w:pPr>
            <w:r>
              <w:t>Anti-Js(b)</w:t>
            </w:r>
          </w:p>
        </w:tc>
        <w:tc>
          <w:tcPr>
            <w:tcW w:w="1710" w:type="dxa"/>
            <w:shd w:val="clear" w:color="auto" w:fill="auto"/>
          </w:tcPr>
          <w:p w14:paraId="35C901A6" w14:textId="77777777" w:rsidR="003E3D07" w:rsidRDefault="003E3D07">
            <w:pPr>
              <w:pStyle w:val="TableText"/>
              <w:rPr>
                <w:rFonts w:eastAsia="Symbol"/>
              </w:rPr>
            </w:pPr>
            <w:r>
              <w:t>Anti-Js(b)</w:t>
            </w:r>
          </w:p>
        </w:tc>
        <w:tc>
          <w:tcPr>
            <w:tcW w:w="878" w:type="dxa"/>
            <w:shd w:val="clear" w:color="auto" w:fill="auto"/>
          </w:tcPr>
          <w:p w14:paraId="7B511890" w14:textId="77777777" w:rsidR="003E3D07" w:rsidRDefault="003E3D07">
            <w:pPr>
              <w:pStyle w:val="TableText"/>
              <w:rPr>
                <w:b/>
                <w:bCs/>
              </w:rPr>
            </w:pPr>
            <w:r>
              <w:rPr>
                <w:bCs/>
              </w:rPr>
              <w:t>Yes</w:t>
            </w:r>
          </w:p>
        </w:tc>
        <w:tc>
          <w:tcPr>
            <w:tcW w:w="878" w:type="dxa"/>
            <w:shd w:val="clear" w:color="auto" w:fill="auto"/>
          </w:tcPr>
          <w:p w14:paraId="712855A7" w14:textId="77777777" w:rsidR="003E3D07" w:rsidRDefault="003E3D07">
            <w:pPr>
              <w:pStyle w:val="TableText"/>
              <w:rPr>
                <w:rFonts w:eastAsia="Symbol"/>
              </w:rPr>
            </w:pPr>
            <w:r>
              <w:t>Optional</w:t>
            </w:r>
          </w:p>
        </w:tc>
        <w:tc>
          <w:tcPr>
            <w:tcW w:w="1253" w:type="dxa"/>
            <w:shd w:val="clear" w:color="auto" w:fill="auto"/>
          </w:tcPr>
          <w:p w14:paraId="336AE5EC" w14:textId="77777777" w:rsidR="003E3D07" w:rsidRDefault="003E3D07">
            <w:pPr>
              <w:pStyle w:val="TableText"/>
              <w:rPr>
                <w:rFonts w:eastAsia="Symbol"/>
              </w:rPr>
            </w:pPr>
            <w:r>
              <w:t>Js(b)</w:t>
            </w:r>
          </w:p>
        </w:tc>
        <w:tc>
          <w:tcPr>
            <w:tcW w:w="1253" w:type="dxa"/>
            <w:shd w:val="clear" w:color="auto" w:fill="auto"/>
          </w:tcPr>
          <w:p w14:paraId="27036B1F" w14:textId="77777777" w:rsidR="003E3D07" w:rsidRDefault="003E3D07">
            <w:pPr>
              <w:pStyle w:val="TableText"/>
              <w:rPr>
                <w:rFonts w:eastAsia="Symbol"/>
              </w:rPr>
            </w:pPr>
            <w:r>
              <w:t>Js(b)</w:t>
            </w:r>
          </w:p>
        </w:tc>
        <w:tc>
          <w:tcPr>
            <w:tcW w:w="1296" w:type="dxa"/>
            <w:shd w:val="clear" w:color="auto" w:fill="auto"/>
          </w:tcPr>
          <w:p w14:paraId="49315CAD" w14:textId="77777777" w:rsidR="003E3D07" w:rsidRDefault="003E3D07">
            <w:pPr>
              <w:pStyle w:val="TableText"/>
              <w:rPr>
                <w:rFonts w:eastAsia="Symbol"/>
              </w:rPr>
            </w:pPr>
            <w:r>
              <w:t>10</w:t>
            </w:r>
          </w:p>
        </w:tc>
        <w:tc>
          <w:tcPr>
            <w:tcW w:w="841" w:type="dxa"/>
            <w:shd w:val="clear" w:color="auto" w:fill="auto"/>
          </w:tcPr>
          <w:p w14:paraId="05BD3F94" w14:textId="77777777" w:rsidR="003E3D07" w:rsidRDefault="003E3D07">
            <w:pPr>
              <w:pStyle w:val="TableText"/>
              <w:rPr>
                <w:rFonts w:eastAsia="Symbol"/>
              </w:rPr>
            </w:pPr>
            <w:r>
              <w:t>AGJs(b)</w:t>
            </w:r>
          </w:p>
        </w:tc>
      </w:tr>
      <w:tr w:rsidR="00824338" w14:paraId="48713D53" w14:textId="77777777" w:rsidTr="00031618">
        <w:tblPrEx>
          <w:tblBorders>
            <w:insideH w:val="single" w:sz="4" w:space="0" w:color="auto"/>
            <w:insideV w:val="single" w:sz="4" w:space="0" w:color="auto"/>
          </w:tblBorders>
        </w:tblPrEx>
        <w:tc>
          <w:tcPr>
            <w:tcW w:w="1975" w:type="dxa"/>
            <w:shd w:val="clear" w:color="auto" w:fill="auto"/>
          </w:tcPr>
          <w:p w14:paraId="5E6C6E41" w14:textId="77777777" w:rsidR="003E3D07" w:rsidRDefault="003E3D07">
            <w:pPr>
              <w:pStyle w:val="TableText"/>
              <w:rPr>
                <w:rFonts w:eastAsia="Symbol"/>
              </w:rPr>
            </w:pPr>
            <w:r>
              <w:t>Anti-Lu(a)</w:t>
            </w:r>
          </w:p>
        </w:tc>
        <w:tc>
          <w:tcPr>
            <w:tcW w:w="1710" w:type="dxa"/>
            <w:shd w:val="clear" w:color="auto" w:fill="auto"/>
          </w:tcPr>
          <w:p w14:paraId="00CE9BEB" w14:textId="77777777" w:rsidR="003E3D07" w:rsidRDefault="003E3D07">
            <w:pPr>
              <w:pStyle w:val="TableText"/>
            </w:pPr>
            <w:r>
              <w:t>Anti-Lu(a)</w:t>
            </w:r>
          </w:p>
        </w:tc>
        <w:tc>
          <w:tcPr>
            <w:tcW w:w="878" w:type="dxa"/>
            <w:shd w:val="clear" w:color="auto" w:fill="auto"/>
          </w:tcPr>
          <w:p w14:paraId="114033DB" w14:textId="77777777" w:rsidR="003E3D07" w:rsidRDefault="003E3D07">
            <w:pPr>
              <w:pStyle w:val="TableText"/>
            </w:pPr>
            <w:r>
              <w:t>No</w:t>
            </w:r>
          </w:p>
        </w:tc>
        <w:tc>
          <w:tcPr>
            <w:tcW w:w="878" w:type="dxa"/>
            <w:shd w:val="clear" w:color="auto" w:fill="auto"/>
          </w:tcPr>
          <w:p w14:paraId="671215D9" w14:textId="77777777" w:rsidR="003E3D07" w:rsidRDefault="003E3D07">
            <w:pPr>
              <w:pStyle w:val="TableText"/>
              <w:rPr>
                <w:rFonts w:eastAsia="Symbol"/>
              </w:rPr>
            </w:pPr>
            <w:r>
              <w:t>Optional</w:t>
            </w:r>
          </w:p>
        </w:tc>
        <w:tc>
          <w:tcPr>
            <w:tcW w:w="1253" w:type="dxa"/>
            <w:shd w:val="clear" w:color="auto" w:fill="auto"/>
          </w:tcPr>
          <w:p w14:paraId="3BDD2180" w14:textId="77777777" w:rsidR="003E3D07" w:rsidRDefault="003E3D07">
            <w:pPr>
              <w:pStyle w:val="TableText"/>
              <w:rPr>
                <w:rFonts w:eastAsia="Symbol"/>
              </w:rPr>
            </w:pPr>
            <w:r>
              <w:t>Lu(a)</w:t>
            </w:r>
          </w:p>
        </w:tc>
        <w:tc>
          <w:tcPr>
            <w:tcW w:w="1253" w:type="dxa"/>
            <w:shd w:val="clear" w:color="auto" w:fill="auto"/>
          </w:tcPr>
          <w:p w14:paraId="2D5B10CE" w14:textId="77777777" w:rsidR="003E3D07" w:rsidRDefault="003E3D07">
            <w:pPr>
              <w:pStyle w:val="TableText"/>
            </w:pPr>
            <w:r>
              <w:t>Lu(a)</w:t>
            </w:r>
          </w:p>
        </w:tc>
        <w:tc>
          <w:tcPr>
            <w:tcW w:w="1296" w:type="dxa"/>
            <w:shd w:val="clear" w:color="auto" w:fill="auto"/>
          </w:tcPr>
          <w:p w14:paraId="19A0787E" w14:textId="77777777" w:rsidR="003E3D07" w:rsidRDefault="003E3D07">
            <w:pPr>
              <w:pStyle w:val="TableText"/>
              <w:rPr>
                <w:rFonts w:eastAsia="Symbol"/>
              </w:rPr>
            </w:pPr>
            <w:r>
              <w:t>92</w:t>
            </w:r>
          </w:p>
        </w:tc>
        <w:tc>
          <w:tcPr>
            <w:tcW w:w="841" w:type="dxa"/>
            <w:shd w:val="clear" w:color="auto" w:fill="auto"/>
          </w:tcPr>
          <w:p w14:paraId="3C3B4274" w14:textId="77777777" w:rsidR="003E3D07" w:rsidRDefault="003E3D07">
            <w:pPr>
              <w:pStyle w:val="TableText"/>
              <w:rPr>
                <w:rFonts w:eastAsia="Symbol"/>
              </w:rPr>
            </w:pPr>
            <w:r>
              <w:t>AGLu(a)</w:t>
            </w:r>
          </w:p>
        </w:tc>
      </w:tr>
      <w:tr w:rsidR="00824338" w14:paraId="309FFED3" w14:textId="77777777" w:rsidTr="00031618">
        <w:tblPrEx>
          <w:tblBorders>
            <w:insideH w:val="single" w:sz="4" w:space="0" w:color="auto"/>
            <w:insideV w:val="single" w:sz="4" w:space="0" w:color="auto"/>
          </w:tblBorders>
        </w:tblPrEx>
        <w:tc>
          <w:tcPr>
            <w:tcW w:w="1975" w:type="dxa"/>
            <w:shd w:val="clear" w:color="auto" w:fill="auto"/>
          </w:tcPr>
          <w:p w14:paraId="3B4A632F" w14:textId="77777777" w:rsidR="003E3D07" w:rsidRDefault="003E3D07">
            <w:pPr>
              <w:pStyle w:val="TableText"/>
              <w:rPr>
                <w:rFonts w:eastAsia="Symbol"/>
              </w:rPr>
            </w:pPr>
            <w:r>
              <w:t>Anti-Lu(b)</w:t>
            </w:r>
          </w:p>
        </w:tc>
        <w:tc>
          <w:tcPr>
            <w:tcW w:w="1710" w:type="dxa"/>
            <w:shd w:val="clear" w:color="auto" w:fill="auto"/>
          </w:tcPr>
          <w:p w14:paraId="2FCBC73C" w14:textId="77777777" w:rsidR="003E3D07" w:rsidRDefault="003E3D07">
            <w:pPr>
              <w:pStyle w:val="TableText"/>
            </w:pPr>
            <w:r>
              <w:t>Anti-Lu(b)</w:t>
            </w:r>
          </w:p>
        </w:tc>
        <w:tc>
          <w:tcPr>
            <w:tcW w:w="878" w:type="dxa"/>
            <w:shd w:val="clear" w:color="auto" w:fill="auto"/>
          </w:tcPr>
          <w:p w14:paraId="37A71560" w14:textId="77777777" w:rsidR="003E3D07" w:rsidRDefault="003E3D07">
            <w:pPr>
              <w:pStyle w:val="TableText"/>
            </w:pPr>
            <w:r>
              <w:t>No</w:t>
            </w:r>
          </w:p>
        </w:tc>
        <w:tc>
          <w:tcPr>
            <w:tcW w:w="878" w:type="dxa"/>
            <w:shd w:val="clear" w:color="auto" w:fill="auto"/>
          </w:tcPr>
          <w:p w14:paraId="1FEBCFC8" w14:textId="77777777" w:rsidR="003E3D07" w:rsidRDefault="003E3D07">
            <w:pPr>
              <w:pStyle w:val="TableText"/>
              <w:rPr>
                <w:rFonts w:eastAsia="Symbol"/>
              </w:rPr>
            </w:pPr>
            <w:r>
              <w:t>Optional</w:t>
            </w:r>
          </w:p>
        </w:tc>
        <w:tc>
          <w:tcPr>
            <w:tcW w:w="1253" w:type="dxa"/>
            <w:shd w:val="clear" w:color="auto" w:fill="auto"/>
          </w:tcPr>
          <w:p w14:paraId="348EDF35" w14:textId="77777777" w:rsidR="003E3D07" w:rsidRDefault="003E3D07">
            <w:pPr>
              <w:pStyle w:val="TableText"/>
              <w:rPr>
                <w:rFonts w:eastAsia="Symbol"/>
              </w:rPr>
            </w:pPr>
            <w:r>
              <w:t>Lu(b)</w:t>
            </w:r>
          </w:p>
        </w:tc>
        <w:tc>
          <w:tcPr>
            <w:tcW w:w="1253" w:type="dxa"/>
            <w:shd w:val="clear" w:color="auto" w:fill="auto"/>
          </w:tcPr>
          <w:p w14:paraId="6815CCE4" w14:textId="77777777" w:rsidR="003E3D07" w:rsidRDefault="003E3D07">
            <w:pPr>
              <w:pStyle w:val="TableText"/>
            </w:pPr>
            <w:r>
              <w:t>Lu(b)</w:t>
            </w:r>
          </w:p>
        </w:tc>
        <w:tc>
          <w:tcPr>
            <w:tcW w:w="1296" w:type="dxa"/>
            <w:shd w:val="clear" w:color="auto" w:fill="auto"/>
          </w:tcPr>
          <w:p w14:paraId="27624276" w14:textId="77777777" w:rsidR="003E3D07" w:rsidRDefault="003E3D07">
            <w:pPr>
              <w:pStyle w:val="TableText"/>
              <w:rPr>
                <w:rFonts w:eastAsia="Symbol"/>
              </w:rPr>
            </w:pPr>
            <w:r>
              <w:t>2</w:t>
            </w:r>
          </w:p>
        </w:tc>
        <w:tc>
          <w:tcPr>
            <w:tcW w:w="841" w:type="dxa"/>
            <w:shd w:val="clear" w:color="auto" w:fill="auto"/>
          </w:tcPr>
          <w:p w14:paraId="7F9C7777" w14:textId="77777777" w:rsidR="003E3D07" w:rsidRDefault="003E3D07">
            <w:pPr>
              <w:pStyle w:val="TableText"/>
              <w:rPr>
                <w:rFonts w:eastAsia="Symbol"/>
              </w:rPr>
            </w:pPr>
            <w:r>
              <w:t>AGLu(b)</w:t>
            </w:r>
          </w:p>
        </w:tc>
      </w:tr>
      <w:tr w:rsidR="00824338" w:rsidRPr="00584AF9" w14:paraId="4A4B6F06" w14:textId="77777777" w:rsidTr="00031618">
        <w:tblPrEx>
          <w:tblBorders>
            <w:insideH w:val="single" w:sz="4" w:space="0" w:color="auto"/>
            <w:insideV w:val="single" w:sz="4" w:space="0" w:color="auto"/>
          </w:tblBorders>
        </w:tblPrEx>
        <w:tc>
          <w:tcPr>
            <w:tcW w:w="1975" w:type="dxa"/>
            <w:shd w:val="clear" w:color="auto" w:fill="auto"/>
          </w:tcPr>
          <w:p w14:paraId="04FFC264" w14:textId="77777777" w:rsidR="003E3D07" w:rsidRPr="00584AF9" w:rsidRDefault="003E3D07" w:rsidP="00584AF9">
            <w:pPr>
              <w:pStyle w:val="TableText"/>
              <w:rPr>
                <w:rFonts w:eastAsia="Symbol"/>
              </w:rPr>
            </w:pPr>
            <w:r w:rsidRPr="00584AF9">
              <w:t>Anti-Lu3</w:t>
            </w:r>
          </w:p>
        </w:tc>
        <w:tc>
          <w:tcPr>
            <w:tcW w:w="1710" w:type="dxa"/>
            <w:shd w:val="clear" w:color="auto" w:fill="auto"/>
          </w:tcPr>
          <w:p w14:paraId="62D132B8" w14:textId="77777777" w:rsidR="003E3D07" w:rsidRPr="006E05B3" w:rsidRDefault="003E3D07" w:rsidP="00584AF9">
            <w:pPr>
              <w:pStyle w:val="TableText"/>
              <w:rPr>
                <w:lang w:val="fr-FR"/>
              </w:rPr>
            </w:pPr>
            <w:r w:rsidRPr="006E05B3">
              <w:rPr>
                <w:lang w:val="fr-FR"/>
              </w:rPr>
              <w:t>Anti-Lu(a)Lu(b)</w:t>
            </w:r>
          </w:p>
        </w:tc>
        <w:tc>
          <w:tcPr>
            <w:tcW w:w="878" w:type="dxa"/>
            <w:shd w:val="clear" w:color="auto" w:fill="auto"/>
          </w:tcPr>
          <w:p w14:paraId="0E93A61F" w14:textId="77777777" w:rsidR="003E3D07" w:rsidRPr="00584AF9" w:rsidRDefault="003E3D07" w:rsidP="00584AF9">
            <w:pPr>
              <w:pStyle w:val="TableText"/>
            </w:pPr>
            <w:r w:rsidRPr="00584AF9">
              <w:t>No</w:t>
            </w:r>
          </w:p>
        </w:tc>
        <w:tc>
          <w:tcPr>
            <w:tcW w:w="878" w:type="dxa"/>
            <w:shd w:val="clear" w:color="auto" w:fill="auto"/>
          </w:tcPr>
          <w:p w14:paraId="5158AE9B" w14:textId="77777777" w:rsidR="003E3D07" w:rsidRPr="00584AF9" w:rsidRDefault="003E3D07" w:rsidP="00584AF9">
            <w:pPr>
              <w:pStyle w:val="TableText"/>
              <w:rPr>
                <w:rFonts w:eastAsia="Symbol"/>
              </w:rPr>
            </w:pPr>
            <w:r w:rsidRPr="00584AF9">
              <w:t>Optional</w:t>
            </w:r>
          </w:p>
        </w:tc>
        <w:tc>
          <w:tcPr>
            <w:tcW w:w="1253" w:type="dxa"/>
            <w:shd w:val="clear" w:color="auto" w:fill="auto"/>
          </w:tcPr>
          <w:p w14:paraId="522F44C1" w14:textId="77777777" w:rsidR="003E3D07" w:rsidRPr="00584AF9" w:rsidRDefault="003E3D07" w:rsidP="00584AF9">
            <w:pPr>
              <w:pStyle w:val="TableText"/>
              <w:rPr>
                <w:rFonts w:eastAsia="Symbol"/>
              </w:rPr>
            </w:pPr>
            <w:r w:rsidRPr="00584AF9">
              <w:t>Lu (a) and Lu(b)</w:t>
            </w:r>
          </w:p>
        </w:tc>
        <w:tc>
          <w:tcPr>
            <w:tcW w:w="1253" w:type="dxa"/>
            <w:shd w:val="clear" w:color="auto" w:fill="auto"/>
          </w:tcPr>
          <w:p w14:paraId="7A6D6EC9" w14:textId="77777777" w:rsidR="003E3D07" w:rsidRPr="00584AF9" w:rsidRDefault="003E3D07" w:rsidP="00584AF9">
            <w:pPr>
              <w:pStyle w:val="TableText"/>
              <w:rPr>
                <w:rFonts w:eastAsia="Symbol"/>
              </w:rPr>
            </w:pPr>
            <w:r w:rsidRPr="00584AF9">
              <w:rPr>
                <w:rFonts w:eastAsia="Symbol"/>
              </w:rPr>
              <w:t>None</w:t>
            </w:r>
          </w:p>
        </w:tc>
        <w:tc>
          <w:tcPr>
            <w:tcW w:w="1296" w:type="dxa"/>
            <w:shd w:val="clear" w:color="auto" w:fill="auto"/>
          </w:tcPr>
          <w:p w14:paraId="53400A95" w14:textId="77777777" w:rsidR="003E3D07" w:rsidRPr="00584AF9" w:rsidRDefault="003E3D07" w:rsidP="00584AF9">
            <w:pPr>
              <w:pStyle w:val="TableText"/>
              <w:rPr>
                <w:rFonts w:eastAsia="Symbol"/>
              </w:rPr>
            </w:pPr>
            <w:r w:rsidRPr="00584AF9">
              <w:t>N/A</w:t>
            </w:r>
          </w:p>
        </w:tc>
        <w:tc>
          <w:tcPr>
            <w:tcW w:w="841" w:type="dxa"/>
            <w:shd w:val="clear" w:color="auto" w:fill="auto"/>
          </w:tcPr>
          <w:p w14:paraId="5AE2CFD1" w14:textId="77777777" w:rsidR="003E3D07" w:rsidRPr="00584AF9" w:rsidRDefault="003E3D07" w:rsidP="00584AF9">
            <w:pPr>
              <w:pStyle w:val="TableText"/>
              <w:rPr>
                <w:rFonts w:eastAsia="Symbol"/>
              </w:rPr>
            </w:pPr>
            <w:r w:rsidRPr="00584AF9">
              <w:t>AGLu(a) AGLu(b)</w:t>
            </w:r>
          </w:p>
        </w:tc>
      </w:tr>
      <w:tr w:rsidR="00824338" w14:paraId="63EC4D8B" w14:textId="77777777" w:rsidTr="00031618">
        <w:tblPrEx>
          <w:tblBorders>
            <w:insideH w:val="single" w:sz="4" w:space="0" w:color="auto"/>
            <w:insideV w:val="single" w:sz="4" w:space="0" w:color="auto"/>
          </w:tblBorders>
        </w:tblPrEx>
        <w:tc>
          <w:tcPr>
            <w:tcW w:w="1975" w:type="dxa"/>
            <w:shd w:val="clear" w:color="auto" w:fill="auto"/>
          </w:tcPr>
          <w:p w14:paraId="4AEF1AD0" w14:textId="77777777" w:rsidR="003E3D07" w:rsidRDefault="003E3D07">
            <w:pPr>
              <w:pStyle w:val="TableText"/>
              <w:rPr>
                <w:rFonts w:eastAsia="Symbol"/>
              </w:rPr>
            </w:pPr>
            <w:r>
              <w:t>Anti-C(w)</w:t>
            </w:r>
          </w:p>
        </w:tc>
        <w:tc>
          <w:tcPr>
            <w:tcW w:w="1710" w:type="dxa"/>
            <w:shd w:val="clear" w:color="auto" w:fill="auto"/>
          </w:tcPr>
          <w:p w14:paraId="51E46B0A" w14:textId="77777777" w:rsidR="003E3D07" w:rsidRDefault="003E3D07">
            <w:pPr>
              <w:pStyle w:val="TableText"/>
            </w:pPr>
            <w:r>
              <w:t>Anti-Cw</w:t>
            </w:r>
          </w:p>
        </w:tc>
        <w:tc>
          <w:tcPr>
            <w:tcW w:w="878" w:type="dxa"/>
            <w:shd w:val="clear" w:color="auto" w:fill="auto"/>
          </w:tcPr>
          <w:p w14:paraId="42EB316E" w14:textId="77777777" w:rsidR="003E3D07" w:rsidRDefault="003E3D07">
            <w:pPr>
              <w:pStyle w:val="TableText"/>
            </w:pPr>
            <w:r>
              <w:rPr>
                <w:bCs/>
              </w:rPr>
              <w:t>Yes</w:t>
            </w:r>
          </w:p>
        </w:tc>
        <w:tc>
          <w:tcPr>
            <w:tcW w:w="878" w:type="dxa"/>
            <w:shd w:val="clear" w:color="auto" w:fill="auto"/>
          </w:tcPr>
          <w:p w14:paraId="53D417C9" w14:textId="77777777" w:rsidR="003E3D07" w:rsidRDefault="003E3D07">
            <w:pPr>
              <w:pStyle w:val="TableText"/>
              <w:rPr>
                <w:rFonts w:eastAsia="Symbol"/>
              </w:rPr>
            </w:pPr>
            <w:r>
              <w:t>Optional</w:t>
            </w:r>
          </w:p>
        </w:tc>
        <w:tc>
          <w:tcPr>
            <w:tcW w:w="1253" w:type="dxa"/>
            <w:shd w:val="clear" w:color="auto" w:fill="auto"/>
          </w:tcPr>
          <w:p w14:paraId="0AA15729" w14:textId="77777777" w:rsidR="003E3D07" w:rsidRDefault="003E3D07">
            <w:pPr>
              <w:pStyle w:val="TableText"/>
              <w:rPr>
                <w:rFonts w:eastAsia="Symbol"/>
              </w:rPr>
            </w:pPr>
            <w:r>
              <w:t>C(w)</w:t>
            </w:r>
          </w:p>
        </w:tc>
        <w:tc>
          <w:tcPr>
            <w:tcW w:w="1253" w:type="dxa"/>
            <w:shd w:val="clear" w:color="auto" w:fill="auto"/>
          </w:tcPr>
          <w:p w14:paraId="6A996AE7" w14:textId="77777777" w:rsidR="003E3D07" w:rsidRDefault="003E3D07">
            <w:pPr>
              <w:pStyle w:val="TableText"/>
            </w:pPr>
            <w:r>
              <w:t>Cw</w:t>
            </w:r>
          </w:p>
        </w:tc>
        <w:tc>
          <w:tcPr>
            <w:tcW w:w="1296" w:type="dxa"/>
            <w:shd w:val="clear" w:color="auto" w:fill="auto"/>
          </w:tcPr>
          <w:p w14:paraId="1AA703CD" w14:textId="77777777" w:rsidR="003E3D07" w:rsidRDefault="003E3D07">
            <w:pPr>
              <w:pStyle w:val="TableText"/>
              <w:rPr>
                <w:rFonts w:eastAsia="Symbol"/>
              </w:rPr>
            </w:pPr>
            <w:r>
              <w:t>99</w:t>
            </w:r>
          </w:p>
        </w:tc>
        <w:tc>
          <w:tcPr>
            <w:tcW w:w="841" w:type="dxa"/>
            <w:shd w:val="clear" w:color="auto" w:fill="auto"/>
          </w:tcPr>
          <w:p w14:paraId="144987D2" w14:textId="77777777" w:rsidR="003E3D07" w:rsidRDefault="003E3D07">
            <w:pPr>
              <w:pStyle w:val="TableText"/>
              <w:rPr>
                <w:rFonts w:eastAsia="Symbol"/>
              </w:rPr>
            </w:pPr>
            <w:r>
              <w:t>AGC(w)</w:t>
            </w:r>
          </w:p>
        </w:tc>
      </w:tr>
      <w:tr w:rsidR="00824338" w14:paraId="08EB2C05" w14:textId="77777777" w:rsidTr="00031618">
        <w:tblPrEx>
          <w:tblBorders>
            <w:insideH w:val="single" w:sz="4" w:space="0" w:color="auto"/>
            <w:insideV w:val="single" w:sz="4" w:space="0" w:color="auto"/>
          </w:tblBorders>
        </w:tblPrEx>
        <w:tc>
          <w:tcPr>
            <w:tcW w:w="1975" w:type="dxa"/>
            <w:shd w:val="clear" w:color="auto" w:fill="auto"/>
          </w:tcPr>
          <w:p w14:paraId="7B67A78E" w14:textId="77777777" w:rsidR="003E3D07" w:rsidRDefault="003E3D07">
            <w:pPr>
              <w:pStyle w:val="TableText"/>
              <w:rPr>
                <w:rFonts w:eastAsia="Symbol"/>
              </w:rPr>
            </w:pPr>
            <w:r>
              <w:t>Anti-Ce</w:t>
            </w:r>
          </w:p>
        </w:tc>
        <w:tc>
          <w:tcPr>
            <w:tcW w:w="1710" w:type="dxa"/>
            <w:shd w:val="clear" w:color="auto" w:fill="auto"/>
          </w:tcPr>
          <w:p w14:paraId="5293FF86" w14:textId="77777777" w:rsidR="003E3D07" w:rsidRDefault="003E3D07">
            <w:pPr>
              <w:pStyle w:val="TableText"/>
              <w:rPr>
                <w:rFonts w:eastAsia="Symbol"/>
              </w:rPr>
            </w:pPr>
            <w:r>
              <w:t>Anti-Ce</w:t>
            </w:r>
          </w:p>
        </w:tc>
        <w:tc>
          <w:tcPr>
            <w:tcW w:w="878" w:type="dxa"/>
            <w:shd w:val="clear" w:color="auto" w:fill="auto"/>
          </w:tcPr>
          <w:p w14:paraId="12BEAB26" w14:textId="77777777" w:rsidR="003E3D07" w:rsidRDefault="003E3D07">
            <w:pPr>
              <w:pStyle w:val="TableText"/>
            </w:pPr>
            <w:r>
              <w:rPr>
                <w:bCs/>
              </w:rPr>
              <w:t>Yes</w:t>
            </w:r>
          </w:p>
        </w:tc>
        <w:tc>
          <w:tcPr>
            <w:tcW w:w="878" w:type="dxa"/>
            <w:shd w:val="clear" w:color="auto" w:fill="auto"/>
          </w:tcPr>
          <w:p w14:paraId="37B880C2" w14:textId="77777777" w:rsidR="003E3D07" w:rsidRDefault="003E3D07">
            <w:pPr>
              <w:pStyle w:val="TableText"/>
              <w:rPr>
                <w:rFonts w:eastAsia="Symbol"/>
              </w:rPr>
            </w:pPr>
            <w:r>
              <w:rPr>
                <w:bCs/>
              </w:rPr>
              <w:t>Yes</w:t>
            </w:r>
          </w:p>
        </w:tc>
        <w:tc>
          <w:tcPr>
            <w:tcW w:w="1253" w:type="dxa"/>
            <w:shd w:val="clear" w:color="auto" w:fill="auto"/>
          </w:tcPr>
          <w:p w14:paraId="3C3075E8" w14:textId="77777777" w:rsidR="003E3D07" w:rsidRDefault="003E3D07">
            <w:pPr>
              <w:pStyle w:val="TableText"/>
              <w:rPr>
                <w:rFonts w:eastAsia="Symbol"/>
              </w:rPr>
            </w:pPr>
            <w:r>
              <w:t>C and e</w:t>
            </w:r>
          </w:p>
        </w:tc>
        <w:tc>
          <w:tcPr>
            <w:tcW w:w="1253" w:type="dxa"/>
            <w:shd w:val="clear" w:color="auto" w:fill="auto"/>
          </w:tcPr>
          <w:p w14:paraId="2A28208C" w14:textId="77777777" w:rsidR="003E3D07" w:rsidRDefault="003E3D07">
            <w:pPr>
              <w:pStyle w:val="TableText"/>
              <w:rPr>
                <w:rFonts w:eastAsia="Symbol"/>
              </w:rPr>
            </w:pPr>
            <w:r>
              <w:t>Ce</w:t>
            </w:r>
          </w:p>
        </w:tc>
        <w:tc>
          <w:tcPr>
            <w:tcW w:w="1296" w:type="dxa"/>
            <w:shd w:val="clear" w:color="auto" w:fill="auto"/>
          </w:tcPr>
          <w:p w14:paraId="6075577A" w14:textId="77777777" w:rsidR="003E3D07" w:rsidRDefault="003E3D07">
            <w:pPr>
              <w:pStyle w:val="TableText"/>
              <w:rPr>
                <w:rFonts w:eastAsia="Symbol"/>
              </w:rPr>
            </w:pPr>
            <w:r>
              <w:t>N/A</w:t>
            </w:r>
          </w:p>
        </w:tc>
        <w:tc>
          <w:tcPr>
            <w:tcW w:w="841" w:type="dxa"/>
            <w:shd w:val="clear" w:color="auto" w:fill="auto"/>
          </w:tcPr>
          <w:p w14:paraId="10A9BB24" w14:textId="77777777" w:rsidR="003E3D07" w:rsidRDefault="003E3D07">
            <w:pPr>
              <w:pStyle w:val="TableText"/>
            </w:pPr>
            <w:r>
              <w:t>AGC</w:t>
            </w:r>
          </w:p>
          <w:p w14:paraId="5A7D030F" w14:textId="77777777" w:rsidR="003E3D07" w:rsidRDefault="003E3D07">
            <w:pPr>
              <w:pStyle w:val="TableText"/>
              <w:rPr>
                <w:rFonts w:eastAsia="Symbol"/>
              </w:rPr>
            </w:pPr>
            <w:r>
              <w:t>AGe</w:t>
            </w:r>
          </w:p>
        </w:tc>
      </w:tr>
      <w:tr w:rsidR="00824338" w14:paraId="765E51DB" w14:textId="77777777" w:rsidTr="00031618">
        <w:tblPrEx>
          <w:tblBorders>
            <w:insideH w:val="single" w:sz="4" w:space="0" w:color="auto"/>
            <w:insideV w:val="single" w:sz="4" w:space="0" w:color="auto"/>
          </w:tblBorders>
        </w:tblPrEx>
        <w:tc>
          <w:tcPr>
            <w:tcW w:w="1975" w:type="dxa"/>
            <w:shd w:val="clear" w:color="auto" w:fill="auto"/>
          </w:tcPr>
          <w:p w14:paraId="41047FED" w14:textId="77777777" w:rsidR="003E3D07" w:rsidRDefault="003E3D07">
            <w:pPr>
              <w:pStyle w:val="TableText"/>
              <w:rPr>
                <w:rFonts w:eastAsia="Symbol"/>
              </w:rPr>
            </w:pPr>
            <w:r>
              <w:t>Anti-C(x)</w:t>
            </w:r>
          </w:p>
        </w:tc>
        <w:tc>
          <w:tcPr>
            <w:tcW w:w="1710" w:type="dxa"/>
            <w:shd w:val="clear" w:color="auto" w:fill="auto"/>
          </w:tcPr>
          <w:p w14:paraId="64AC8535" w14:textId="77777777" w:rsidR="003E3D07" w:rsidRDefault="003E3D07">
            <w:pPr>
              <w:pStyle w:val="TableText"/>
              <w:rPr>
                <w:rFonts w:eastAsia="Symbol"/>
              </w:rPr>
            </w:pPr>
            <w:r>
              <w:t>Anti-Cx</w:t>
            </w:r>
          </w:p>
        </w:tc>
        <w:tc>
          <w:tcPr>
            <w:tcW w:w="878" w:type="dxa"/>
            <w:shd w:val="clear" w:color="auto" w:fill="auto"/>
          </w:tcPr>
          <w:p w14:paraId="497F217D" w14:textId="77777777" w:rsidR="003E3D07" w:rsidRDefault="003E3D07">
            <w:pPr>
              <w:pStyle w:val="TableText"/>
            </w:pPr>
            <w:r>
              <w:rPr>
                <w:bCs/>
              </w:rPr>
              <w:t>Yes</w:t>
            </w:r>
          </w:p>
        </w:tc>
        <w:tc>
          <w:tcPr>
            <w:tcW w:w="878" w:type="dxa"/>
            <w:shd w:val="clear" w:color="auto" w:fill="auto"/>
          </w:tcPr>
          <w:p w14:paraId="2D348D15" w14:textId="77777777" w:rsidR="003E3D07" w:rsidRDefault="003E3D07">
            <w:pPr>
              <w:pStyle w:val="TableText"/>
              <w:rPr>
                <w:rFonts w:eastAsia="Symbol"/>
              </w:rPr>
            </w:pPr>
            <w:r>
              <w:t>Optional</w:t>
            </w:r>
          </w:p>
        </w:tc>
        <w:tc>
          <w:tcPr>
            <w:tcW w:w="1253" w:type="dxa"/>
            <w:shd w:val="clear" w:color="auto" w:fill="auto"/>
          </w:tcPr>
          <w:p w14:paraId="54151BD8" w14:textId="77777777" w:rsidR="003E3D07" w:rsidRDefault="003E3D07">
            <w:pPr>
              <w:pStyle w:val="TableText"/>
              <w:rPr>
                <w:rFonts w:eastAsia="Symbol"/>
              </w:rPr>
            </w:pPr>
            <w:r>
              <w:t>C(x)</w:t>
            </w:r>
          </w:p>
        </w:tc>
        <w:tc>
          <w:tcPr>
            <w:tcW w:w="1253" w:type="dxa"/>
            <w:shd w:val="clear" w:color="auto" w:fill="auto"/>
          </w:tcPr>
          <w:p w14:paraId="48DA16AB" w14:textId="77777777" w:rsidR="003E3D07" w:rsidRDefault="003E3D07">
            <w:pPr>
              <w:pStyle w:val="TableText"/>
              <w:rPr>
                <w:rFonts w:eastAsia="Symbol"/>
              </w:rPr>
            </w:pPr>
            <w:r>
              <w:t>Cx</w:t>
            </w:r>
          </w:p>
        </w:tc>
        <w:tc>
          <w:tcPr>
            <w:tcW w:w="1296" w:type="dxa"/>
            <w:shd w:val="clear" w:color="auto" w:fill="auto"/>
          </w:tcPr>
          <w:p w14:paraId="71A478DB" w14:textId="77777777" w:rsidR="003E3D07" w:rsidRDefault="003E3D07">
            <w:pPr>
              <w:pStyle w:val="TableText"/>
              <w:rPr>
                <w:rFonts w:eastAsia="Symbol"/>
              </w:rPr>
            </w:pPr>
            <w:r>
              <w:t>99</w:t>
            </w:r>
          </w:p>
        </w:tc>
        <w:tc>
          <w:tcPr>
            <w:tcW w:w="841" w:type="dxa"/>
            <w:shd w:val="clear" w:color="auto" w:fill="auto"/>
          </w:tcPr>
          <w:p w14:paraId="4DBD687D" w14:textId="77777777" w:rsidR="003E3D07" w:rsidRDefault="003E3D07">
            <w:pPr>
              <w:pStyle w:val="TableText"/>
              <w:rPr>
                <w:rFonts w:eastAsia="Symbol"/>
              </w:rPr>
            </w:pPr>
            <w:r>
              <w:rPr>
                <w:rFonts w:eastAsia="Symbol"/>
              </w:rPr>
              <w:t>AGC(x)</w:t>
            </w:r>
          </w:p>
        </w:tc>
      </w:tr>
      <w:tr w:rsidR="00824338" w14:paraId="7EEDCE82" w14:textId="77777777" w:rsidTr="00031618">
        <w:tblPrEx>
          <w:tblBorders>
            <w:insideH w:val="single" w:sz="4" w:space="0" w:color="auto"/>
            <w:insideV w:val="single" w:sz="4" w:space="0" w:color="auto"/>
          </w:tblBorders>
        </w:tblPrEx>
        <w:tc>
          <w:tcPr>
            <w:tcW w:w="1975" w:type="dxa"/>
            <w:shd w:val="clear" w:color="auto" w:fill="auto"/>
          </w:tcPr>
          <w:p w14:paraId="1B774595" w14:textId="77777777" w:rsidR="003E3D07" w:rsidRDefault="003E3D07">
            <w:pPr>
              <w:pStyle w:val="TableText"/>
              <w:rPr>
                <w:rFonts w:eastAsia="Symbol"/>
              </w:rPr>
            </w:pPr>
            <w:r>
              <w:t>Anti-E(w)</w:t>
            </w:r>
          </w:p>
        </w:tc>
        <w:tc>
          <w:tcPr>
            <w:tcW w:w="1710" w:type="dxa"/>
            <w:shd w:val="clear" w:color="auto" w:fill="auto"/>
          </w:tcPr>
          <w:p w14:paraId="49B524E5" w14:textId="77777777" w:rsidR="003E3D07" w:rsidRDefault="003E3D07">
            <w:pPr>
              <w:pStyle w:val="TableText"/>
              <w:rPr>
                <w:rFonts w:eastAsia="Symbol"/>
              </w:rPr>
            </w:pPr>
            <w:r>
              <w:t>Anti-E(w)</w:t>
            </w:r>
          </w:p>
        </w:tc>
        <w:tc>
          <w:tcPr>
            <w:tcW w:w="878" w:type="dxa"/>
            <w:shd w:val="clear" w:color="auto" w:fill="auto"/>
          </w:tcPr>
          <w:p w14:paraId="45552EC5" w14:textId="77777777" w:rsidR="003E3D07" w:rsidRDefault="003E3D07">
            <w:pPr>
              <w:pStyle w:val="TableText"/>
            </w:pPr>
            <w:r>
              <w:rPr>
                <w:bCs/>
              </w:rPr>
              <w:t>Yes</w:t>
            </w:r>
          </w:p>
        </w:tc>
        <w:tc>
          <w:tcPr>
            <w:tcW w:w="878" w:type="dxa"/>
            <w:shd w:val="clear" w:color="auto" w:fill="auto"/>
          </w:tcPr>
          <w:p w14:paraId="6FF023A4" w14:textId="77777777" w:rsidR="003E3D07" w:rsidRDefault="003E3D07">
            <w:pPr>
              <w:pStyle w:val="TableText"/>
              <w:rPr>
                <w:rFonts w:eastAsia="Symbol"/>
              </w:rPr>
            </w:pPr>
            <w:r>
              <w:t>Optional</w:t>
            </w:r>
          </w:p>
        </w:tc>
        <w:tc>
          <w:tcPr>
            <w:tcW w:w="1253" w:type="dxa"/>
            <w:shd w:val="clear" w:color="auto" w:fill="auto"/>
          </w:tcPr>
          <w:p w14:paraId="6A942FE1" w14:textId="77777777" w:rsidR="003E3D07" w:rsidRDefault="003E3D07">
            <w:pPr>
              <w:pStyle w:val="TableText"/>
              <w:rPr>
                <w:rFonts w:eastAsia="Symbol"/>
              </w:rPr>
            </w:pPr>
            <w:r>
              <w:t>E(w)</w:t>
            </w:r>
          </w:p>
        </w:tc>
        <w:tc>
          <w:tcPr>
            <w:tcW w:w="1253" w:type="dxa"/>
            <w:shd w:val="clear" w:color="auto" w:fill="auto"/>
          </w:tcPr>
          <w:p w14:paraId="51FDBAC1" w14:textId="77777777" w:rsidR="003E3D07" w:rsidRDefault="003E3D07">
            <w:pPr>
              <w:pStyle w:val="TableText"/>
              <w:rPr>
                <w:rFonts w:eastAsia="Symbol"/>
              </w:rPr>
            </w:pPr>
            <w:r>
              <w:t>E(w)</w:t>
            </w:r>
          </w:p>
        </w:tc>
        <w:tc>
          <w:tcPr>
            <w:tcW w:w="1296" w:type="dxa"/>
            <w:shd w:val="clear" w:color="auto" w:fill="auto"/>
          </w:tcPr>
          <w:p w14:paraId="0DF26D29" w14:textId="77777777" w:rsidR="003E3D07" w:rsidRDefault="003E3D07">
            <w:pPr>
              <w:pStyle w:val="TableText"/>
              <w:rPr>
                <w:rFonts w:eastAsia="Symbol"/>
              </w:rPr>
            </w:pPr>
            <w:r>
              <w:t>99</w:t>
            </w:r>
          </w:p>
        </w:tc>
        <w:tc>
          <w:tcPr>
            <w:tcW w:w="841" w:type="dxa"/>
            <w:shd w:val="clear" w:color="auto" w:fill="auto"/>
          </w:tcPr>
          <w:p w14:paraId="285278B7" w14:textId="77777777" w:rsidR="003E3D07" w:rsidRDefault="003E3D07">
            <w:pPr>
              <w:pStyle w:val="TableText"/>
              <w:rPr>
                <w:rFonts w:eastAsia="Symbol"/>
              </w:rPr>
            </w:pPr>
            <w:r>
              <w:rPr>
                <w:rFonts w:eastAsia="Symbol"/>
              </w:rPr>
              <w:t>AGE(w)</w:t>
            </w:r>
          </w:p>
        </w:tc>
      </w:tr>
      <w:tr w:rsidR="00824338" w14:paraId="2E30B754" w14:textId="77777777" w:rsidTr="00031618">
        <w:tblPrEx>
          <w:tblBorders>
            <w:insideH w:val="single" w:sz="4" w:space="0" w:color="auto"/>
            <w:insideV w:val="single" w:sz="4" w:space="0" w:color="auto"/>
          </w:tblBorders>
        </w:tblPrEx>
        <w:tc>
          <w:tcPr>
            <w:tcW w:w="1975" w:type="dxa"/>
            <w:shd w:val="clear" w:color="auto" w:fill="auto"/>
          </w:tcPr>
          <w:p w14:paraId="04183CC1" w14:textId="77777777" w:rsidR="003E3D07" w:rsidRDefault="003E3D07">
            <w:pPr>
              <w:pStyle w:val="TableText"/>
              <w:rPr>
                <w:rFonts w:eastAsia="Symbol"/>
              </w:rPr>
            </w:pPr>
            <w:r>
              <w:t>Anti-V</w:t>
            </w:r>
          </w:p>
        </w:tc>
        <w:tc>
          <w:tcPr>
            <w:tcW w:w="1710" w:type="dxa"/>
            <w:shd w:val="clear" w:color="auto" w:fill="auto"/>
          </w:tcPr>
          <w:p w14:paraId="30DF5E67" w14:textId="77777777" w:rsidR="003E3D07" w:rsidRDefault="003E3D07">
            <w:pPr>
              <w:pStyle w:val="TableText"/>
            </w:pPr>
            <w:r>
              <w:t>Anti-V</w:t>
            </w:r>
          </w:p>
        </w:tc>
        <w:tc>
          <w:tcPr>
            <w:tcW w:w="878" w:type="dxa"/>
            <w:shd w:val="clear" w:color="auto" w:fill="auto"/>
          </w:tcPr>
          <w:p w14:paraId="0435684B" w14:textId="77777777" w:rsidR="003E3D07" w:rsidRDefault="003E3D07">
            <w:pPr>
              <w:pStyle w:val="TableText"/>
            </w:pPr>
            <w:r>
              <w:rPr>
                <w:bCs/>
              </w:rPr>
              <w:t>Yes</w:t>
            </w:r>
          </w:p>
        </w:tc>
        <w:tc>
          <w:tcPr>
            <w:tcW w:w="878" w:type="dxa"/>
            <w:shd w:val="clear" w:color="auto" w:fill="auto"/>
          </w:tcPr>
          <w:p w14:paraId="0FEEB4AE" w14:textId="77777777" w:rsidR="003E3D07" w:rsidRDefault="003E3D07">
            <w:pPr>
              <w:pStyle w:val="TableText"/>
              <w:rPr>
                <w:rFonts w:eastAsia="Symbol"/>
              </w:rPr>
            </w:pPr>
            <w:r>
              <w:t>Optional</w:t>
            </w:r>
          </w:p>
        </w:tc>
        <w:tc>
          <w:tcPr>
            <w:tcW w:w="1253" w:type="dxa"/>
            <w:shd w:val="clear" w:color="auto" w:fill="auto"/>
          </w:tcPr>
          <w:p w14:paraId="539629DD" w14:textId="77777777" w:rsidR="003E3D07" w:rsidRDefault="003E3D07">
            <w:pPr>
              <w:pStyle w:val="TableText"/>
              <w:rPr>
                <w:rFonts w:eastAsia="Symbol"/>
              </w:rPr>
            </w:pPr>
            <w:r>
              <w:t>V</w:t>
            </w:r>
          </w:p>
        </w:tc>
        <w:tc>
          <w:tcPr>
            <w:tcW w:w="1253" w:type="dxa"/>
            <w:shd w:val="clear" w:color="auto" w:fill="auto"/>
          </w:tcPr>
          <w:p w14:paraId="42D0D508" w14:textId="77777777" w:rsidR="003E3D07" w:rsidRDefault="003E3D07">
            <w:pPr>
              <w:pStyle w:val="TableText"/>
              <w:rPr>
                <w:rFonts w:eastAsia="Symbol"/>
              </w:rPr>
            </w:pPr>
            <w:r>
              <w:t>V</w:t>
            </w:r>
          </w:p>
        </w:tc>
        <w:tc>
          <w:tcPr>
            <w:tcW w:w="1296" w:type="dxa"/>
            <w:shd w:val="clear" w:color="auto" w:fill="auto"/>
          </w:tcPr>
          <w:p w14:paraId="60897443" w14:textId="77777777" w:rsidR="003E3D07" w:rsidRDefault="003E3D07">
            <w:pPr>
              <w:pStyle w:val="TableText"/>
              <w:rPr>
                <w:rFonts w:eastAsia="Symbol"/>
              </w:rPr>
            </w:pPr>
            <w:r>
              <w:t>85</w:t>
            </w:r>
          </w:p>
        </w:tc>
        <w:tc>
          <w:tcPr>
            <w:tcW w:w="841" w:type="dxa"/>
            <w:shd w:val="clear" w:color="auto" w:fill="auto"/>
          </w:tcPr>
          <w:p w14:paraId="143E1ECF" w14:textId="77777777" w:rsidR="003E3D07" w:rsidRDefault="003E3D07">
            <w:pPr>
              <w:pStyle w:val="TableText"/>
              <w:rPr>
                <w:rFonts w:eastAsia="Symbol"/>
              </w:rPr>
            </w:pPr>
            <w:r>
              <w:rPr>
                <w:rFonts w:eastAsia="Symbol"/>
              </w:rPr>
              <w:t>AGV</w:t>
            </w:r>
          </w:p>
        </w:tc>
      </w:tr>
      <w:tr w:rsidR="00824338" w14:paraId="50219277" w14:textId="77777777" w:rsidTr="00031618">
        <w:tblPrEx>
          <w:tblBorders>
            <w:insideH w:val="single" w:sz="4" w:space="0" w:color="auto"/>
            <w:insideV w:val="single" w:sz="4" w:space="0" w:color="auto"/>
          </w:tblBorders>
        </w:tblPrEx>
        <w:tc>
          <w:tcPr>
            <w:tcW w:w="1975" w:type="dxa"/>
            <w:shd w:val="clear" w:color="auto" w:fill="auto"/>
          </w:tcPr>
          <w:p w14:paraId="1DF5D9F9" w14:textId="77777777" w:rsidR="003E3D07" w:rsidRDefault="003E3D07">
            <w:pPr>
              <w:pStyle w:val="TableText"/>
              <w:rPr>
                <w:rFonts w:eastAsia="Symbol"/>
              </w:rPr>
            </w:pPr>
            <w:r>
              <w:t>Anti-Xg(a)</w:t>
            </w:r>
          </w:p>
        </w:tc>
        <w:tc>
          <w:tcPr>
            <w:tcW w:w="1710" w:type="dxa"/>
            <w:shd w:val="clear" w:color="auto" w:fill="auto"/>
          </w:tcPr>
          <w:p w14:paraId="7BB7F1BB" w14:textId="77777777" w:rsidR="003E3D07" w:rsidRDefault="003E3D07">
            <w:pPr>
              <w:pStyle w:val="TableText"/>
            </w:pPr>
            <w:r>
              <w:t>Anti-Xg(a)</w:t>
            </w:r>
          </w:p>
        </w:tc>
        <w:tc>
          <w:tcPr>
            <w:tcW w:w="878" w:type="dxa"/>
            <w:shd w:val="clear" w:color="auto" w:fill="auto"/>
          </w:tcPr>
          <w:p w14:paraId="5AC18FB0" w14:textId="77777777" w:rsidR="003E3D07" w:rsidRDefault="003E3D07">
            <w:pPr>
              <w:pStyle w:val="TableText"/>
            </w:pPr>
            <w:r>
              <w:t>No</w:t>
            </w:r>
          </w:p>
        </w:tc>
        <w:tc>
          <w:tcPr>
            <w:tcW w:w="878" w:type="dxa"/>
            <w:shd w:val="clear" w:color="auto" w:fill="auto"/>
          </w:tcPr>
          <w:p w14:paraId="4EB23D69" w14:textId="77777777" w:rsidR="003E3D07" w:rsidRDefault="003E3D07">
            <w:pPr>
              <w:pStyle w:val="TableText"/>
              <w:rPr>
                <w:rFonts w:eastAsia="Symbol"/>
              </w:rPr>
            </w:pPr>
            <w:r>
              <w:t>Optional</w:t>
            </w:r>
          </w:p>
        </w:tc>
        <w:tc>
          <w:tcPr>
            <w:tcW w:w="1253" w:type="dxa"/>
            <w:shd w:val="clear" w:color="auto" w:fill="auto"/>
          </w:tcPr>
          <w:p w14:paraId="26EAC342" w14:textId="77777777" w:rsidR="003E3D07" w:rsidRDefault="003E3D07">
            <w:pPr>
              <w:pStyle w:val="TableText"/>
              <w:rPr>
                <w:rFonts w:eastAsia="Symbol"/>
              </w:rPr>
            </w:pPr>
            <w:r>
              <w:t>Xg(a)</w:t>
            </w:r>
          </w:p>
        </w:tc>
        <w:tc>
          <w:tcPr>
            <w:tcW w:w="1253" w:type="dxa"/>
            <w:shd w:val="clear" w:color="auto" w:fill="auto"/>
          </w:tcPr>
          <w:p w14:paraId="175173DA" w14:textId="77777777" w:rsidR="003E3D07" w:rsidRDefault="003E3D07">
            <w:pPr>
              <w:pStyle w:val="TableText"/>
            </w:pPr>
            <w:r>
              <w:t>Xg(a)</w:t>
            </w:r>
          </w:p>
        </w:tc>
        <w:tc>
          <w:tcPr>
            <w:tcW w:w="1296" w:type="dxa"/>
            <w:shd w:val="clear" w:color="auto" w:fill="auto"/>
          </w:tcPr>
          <w:p w14:paraId="2AD62081" w14:textId="77777777" w:rsidR="003E3D07" w:rsidRDefault="003E3D07">
            <w:pPr>
              <w:pStyle w:val="TableText"/>
              <w:rPr>
                <w:rFonts w:eastAsia="Symbol"/>
              </w:rPr>
            </w:pPr>
            <w:r>
              <w:t>25</w:t>
            </w:r>
          </w:p>
        </w:tc>
        <w:tc>
          <w:tcPr>
            <w:tcW w:w="841" w:type="dxa"/>
            <w:shd w:val="clear" w:color="auto" w:fill="auto"/>
          </w:tcPr>
          <w:p w14:paraId="73A9B214" w14:textId="77777777" w:rsidR="003E3D07" w:rsidRDefault="003E3D07">
            <w:pPr>
              <w:pStyle w:val="TableText"/>
              <w:rPr>
                <w:rFonts w:eastAsia="Symbol"/>
              </w:rPr>
            </w:pPr>
            <w:r>
              <w:t>AGXg(a)</w:t>
            </w:r>
          </w:p>
        </w:tc>
      </w:tr>
      <w:tr w:rsidR="00824338" w14:paraId="64BF1E51" w14:textId="77777777" w:rsidTr="00031618">
        <w:tblPrEx>
          <w:tblBorders>
            <w:insideH w:val="single" w:sz="4" w:space="0" w:color="auto"/>
            <w:insideV w:val="single" w:sz="4" w:space="0" w:color="auto"/>
          </w:tblBorders>
        </w:tblPrEx>
        <w:tc>
          <w:tcPr>
            <w:tcW w:w="1975" w:type="dxa"/>
            <w:shd w:val="clear" w:color="auto" w:fill="auto"/>
          </w:tcPr>
          <w:p w14:paraId="32FCB9F8" w14:textId="77777777" w:rsidR="003E3D07" w:rsidRDefault="003E3D07">
            <w:pPr>
              <w:pStyle w:val="TableText"/>
              <w:rPr>
                <w:rFonts w:eastAsia="Symbol"/>
              </w:rPr>
            </w:pPr>
            <w:r>
              <w:t>Anti-M(g)</w:t>
            </w:r>
          </w:p>
        </w:tc>
        <w:tc>
          <w:tcPr>
            <w:tcW w:w="1710" w:type="dxa"/>
            <w:shd w:val="clear" w:color="auto" w:fill="auto"/>
          </w:tcPr>
          <w:p w14:paraId="247737A9" w14:textId="77777777" w:rsidR="003E3D07" w:rsidRDefault="003E3D07">
            <w:pPr>
              <w:pStyle w:val="TableText"/>
            </w:pPr>
            <w:r>
              <w:t>Anti-M(g)</w:t>
            </w:r>
          </w:p>
        </w:tc>
        <w:tc>
          <w:tcPr>
            <w:tcW w:w="878" w:type="dxa"/>
            <w:shd w:val="clear" w:color="auto" w:fill="auto"/>
          </w:tcPr>
          <w:p w14:paraId="0C9F1CB3" w14:textId="77777777" w:rsidR="003E3D07" w:rsidRDefault="003E3D07">
            <w:pPr>
              <w:pStyle w:val="TableText"/>
            </w:pPr>
            <w:r>
              <w:t>No</w:t>
            </w:r>
          </w:p>
        </w:tc>
        <w:tc>
          <w:tcPr>
            <w:tcW w:w="878" w:type="dxa"/>
            <w:shd w:val="clear" w:color="auto" w:fill="auto"/>
          </w:tcPr>
          <w:p w14:paraId="4F1CAB62" w14:textId="77777777" w:rsidR="003E3D07" w:rsidRDefault="003E3D07">
            <w:pPr>
              <w:pStyle w:val="TableText"/>
              <w:rPr>
                <w:rFonts w:eastAsia="Symbol"/>
              </w:rPr>
            </w:pPr>
            <w:r>
              <w:t>Optional</w:t>
            </w:r>
          </w:p>
        </w:tc>
        <w:tc>
          <w:tcPr>
            <w:tcW w:w="1253" w:type="dxa"/>
            <w:shd w:val="clear" w:color="auto" w:fill="auto"/>
          </w:tcPr>
          <w:p w14:paraId="19E7BCD3" w14:textId="77777777" w:rsidR="003E3D07" w:rsidRDefault="003E3D07">
            <w:pPr>
              <w:pStyle w:val="TableText"/>
              <w:rPr>
                <w:rFonts w:eastAsia="Symbol"/>
              </w:rPr>
            </w:pPr>
            <w:r>
              <w:t>M(g)</w:t>
            </w:r>
          </w:p>
        </w:tc>
        <w:tc>
          <w:tcPr>
            <w:tcW w:w="1253" w:type="dxa"/>
            <w:shd w:val="clear" w:color="auto" w:fill="auto"/>
          </w:tcPr>
          <w:p w14:paraId="6A43A58B" w14:textId="77777777" w:rsidR="003E3D07" w:rsidRDefault="003E3D07">
            <w:pPr>
              <w:pStyle w:val="TableText"/>
              <w:rPr>
                <w:rFonts w:eastAsia="Symbol"/>
              </w:rPr>
            </w:pPr>
            <w:r>
              <w:t>M(g)</w:t>
            </w:r>
          </w:p>
        </w:tc>
        <w:tc>
          <w:tcPr>
            <w:tcW w:w="1296" w:type="dxa"/>
            <w:shd w:val="clear" w:color="auto" w:fill="auto"/>
          </w:tcPr>
          <w:p w14:paraId="4032BCDB" w14:textId="77777777" w:rsidR="003E3D07" w:rsidRDefault="003E3D07">
            <w:pPr>
              <w:pStyle w:val="TableText"/>
              <w:rPr>
                <w:rFonts w:eastAsia="Symbol"/>
              </w:rPr>
            </w:pPr>
            <w:r>
              <w:rPr>
                <w:rFonts w:eastAsia="Symbol"/>
              </w:rPr>
              <w:t>99</w:t>
            </w:r>
          </w:p>
        </w:tc>
        <w:tc>
          <w:tcPr>
            <w:tcW w:w="841" w:type="dxa"/>
            <w:shd w:val="clear" w:color="auto" w:fill="auto"/>
          </w:tcPr>
          <w:p w14:paraId="758404F5" w14:textId="77777777" w:rsidR="003E3D07" w:rsidRDefault="003E3D07">
            <w:pPr>
              <w:pStyle w:val="TableText"/>
              <w:rPr>
                <w:rFonts w:eastAsia="Symbol"/>
              </w:rPr>
            </w:pPr>
            <w:r>
              <w:rPr>
                <w:rFonts w:eastAsia="Symbol"/>
              </w:rPr>
              <w:t>AGM(g)</w:t>
            </w:r>
          </w:p>
        </w:tc>
      </w:tr>
      <w:tr w:rsidR="00824338" w14:paraId="71D46994" w14:textId="77777777" w:rsidTr="00031618">
        <w:tblPrEx>
          <w:tblBorders>
            <w:insideH w:val="single" w:sz="4" w:space="0" w:color="auto"/>
            <w:insideV w:val="single" w:sz="4" w:space="0" w:color="auto"/>
          </w:tblBorders>
        </w:tblPrEx>
        <w:tc>
          <w:tcPr>
            <w:tcW w:w="1975" w:type="dxa"/>
            <w:shd w:val="clear" w:color="auto" w:fill="auto"/>
          </w:tcPr>
          <w:p w14:paraId="12FAF83F" w14:textId="77777777" w:rsidR="003E3D07" w:rsidRDefault="003E3D07">
            <w:pPr>
              <w:pStyle w:val="TableText"/>
              <w:rPr>
                <w:rFonts w:eastAsia="Symbol"/>
              </w:rPr>
            </w:pPr>
            <w:r>
              <w:t>Anti-Mi(a)</w:t>
            </w:r>
          </w:p>
        </w:tc>
        <w:tc>
          <w:tcPr>
            <w:tcW w:w="1710" w:type="dxa"/>
            <w:shd w:val="clear" w:color="auto" w:fill="auto"/>
          </w:tcPr>
          <w:p w14:paraId="4112552A" w14:textId="77777777" w:rsidR="003E3D07" w:rsidRDefault="003E3D07">
            <w:pPr>
              <w:pStyle w:val="TableText"/>
            </w:pPr>
            <w:r>
              <w:t>Anti-Mi(a)</w:t>
            </w:r>
          </w:p>
        </w:tc>
        <w:tc>
          <w:tcPr>
            <w:tcW w:w="878" w:type="dxa"/>
            <w:shd w:val="clear" w:color="auto" w:fill="auto"/>
          </w:tcPr>
          <w:p w14:paraId="775A02A6" w14:textId="77777777" w:rsidR="003E3D07" w:rsidRDefault="003E3D07">
            <w:pPr>
              <w:pStyle w:val="TableText"/>
            </w:pPr>
            <w:r>
              <w:t>No</w:t>
            </w:r>
          </w:p>
        </w:tc>
        <w:tc>
          <w:tcPr>
            <w:tcW w:w="878" w:type="dxa"/>
            <w:shd w:val="clear" w:color="auto" w:fill="auto"/>
          </w:tcPr>
          <w:p w14:paraId="532484B4" w14:textId="77777777" w:rsidR="003E3D07" w:rsidRDefault="003E3D07">
            <w:pPr>
              <w:pStyle w:val="TableText"/>
              <w:rPr>
                <w:rFonts w:eastAsia="Symbol"/>
              </w:rPr>
            </w:pPr>
            <w:r>
              <w:t>Optional</w:t>
            </w:r>
          </w:p>
        </w:tc>
        <w:tc>
          <w:tcPr>
            <w:tcW w:w="1253" w:type="dxa"/>
            <w:shd w:val="clear" w:color="auto" w:fill="auto"/>
          </w:tcPr>
          <w:p w14:paraId="3B03C488" w14:textId="77777777" w:rsidR="003E3D07" w:rsidRDefault="003E3D07">
            <w:pPr>
              <w:pStyle w:val="TableText"/>
              <w:rPr>
                <w:rFonts w:eastAsia="Symbol"/>
              </w:rPr>
            </w:pPr>
            <w:r>
              <w:t>Mi(a)</w:t>
            </w:r>
          </w:p>
        </w:tc>
        <w:tc>
          <w:tcPr>
            <w:tcW w:w="1253" w:type="dxa"/>
            <w:shd w:val="clear" w:color="auto" w:fill="auto"/>
          </w:tcPr>
          <w:p w14:paraId="1A9778C4" w14:textId="77777777" w:rsidR="003E3D07" w:rsidRDefault="003E3D07">
            <w:pPr>
              <w:pStyle w:val="TableText"/>
              <w:rPr>
                <w:rFonts w:eastAsia="Symbol"/>
              </w:rPr>
            </w:pPr>
            <w:r>
              <w:t>Mi(a)</w:t>
            </w:r>
          </w:p>
        </w:tc>
        <w:tc>
          <w:tcPr>
            <w:tcW w:w="1296" w:type="dxa"/>
            <w:shd w:val="clear" w:color="auto" w:fill="auto"/>
          </w:tcPr>
          <w:p w14:paraId="4000A522" w14:textId="77777777" w:rsidR="003E3D07" w:rsidRDefault="003E3D07">
            <w:pPr>
              <w:pStyle w:val="TableText"/>
              <w:rPr>
                <w:rFonts w:eastAsia="Symbol"/>
              </w:rPr>
            </w:pPr>
            <w:r>
              <w:rPr>
                <w:rFonts w:eastAsia="Symbol"/>
              </w:rPr>
              <w:t>99</w:t>
            </w:r>
          </w:p>
        </w:tc>
        <w:tc>
          <w:tcPr>
            <w:tcW w:w="841" w:type="dxa"/>
            <w:shd w:val="clear" w:color="auto" w:fill="auto"/>
          </w:tcPr>
          <w:p w14:paraId="73CBF073" w14:textId="77777777" w:rsidR="003E3D07" w:rsidRDefault="003E3D07">
            <w:pPr>
              <w:pStyle w:val="TableText"/>
              <w:rPr>
                <w:rFonts w:eastAsia="Symbol"/>
              </w:rPr>
            </w:pPr>
            <w:r>
              <w:rPr>
                <w:rFonts w:eastAsia="Symbol"/>
              </w:rPr>
              <w:t>AGMi(a)</w:t>
            </w:r>
          </w:p>
        </w:tc>
      </w:tr>
      <w:tr w:rsidR="00824338" w14:paraId="4907B9C4" w14:textId="77777777" w:rsidTr="00031618">
        <w:tblPrEx>
          <w:tblBorders>
            <w:insideH w:val="single" w:sz="4" w:space="0" w:color="auto"/>
            <w:insideV w:val="single" w:sz="4" w:space="0" w:color="auto"/>
          </w:tblBorders>
        </w:tblPrEx>
        <w:tc>
          <w:tcPr>
            <w:tcW w:w="1975" w:type="dxa"/>
            <w:shd w:val="clear" w:color="auto" w:fill="auto"/>
          </w:tcPr>
          <w:p w14:paraId="7CE35211" w14:textId="77777777" w:rsidR="003E3D07" w:rsidRDefault="003E3D07">
            <w:pPr>
              <w:pStyle w:val="TableText"/>
              <w:rPr>
                <w:rFonts w:eastAsia="Symbol"/>
              </w:rPr>
            </w:pPr>
            <w:r>
              <w:lastRenderedPageBreak/>
              <w:t>Anti-P</w:t>
            </w:r>
          </w:p>
        </w:tc>
        <w:tc>
          <w:tcPr>
            <w:tcW w:w="1710" w:type="dxa"/>
            <w:shd w:val="clear" w:color="auto" w:fill="auto"/>
          </w:tcPr>
          <w:p w14:paraId="37D04765" w14:textId="77777777" w:rsidR="003E3D07" w:rsidRDefault="003E3D07">
            <w:pPr>
              <w:pStyle w:val="TableText"/>
            </w:pPr>
            <w:r>
              <w:t>Anti-P</w:t>
            </w:r>
          </w:p>
        </w:tc>
        <w:tc>
          <w:tcPr>
            <w:tcW w:w="878" w:type="dxa"/>
            <w:shd w:val="clear" w:color="auto" w:fill="auto"/>
          </w:tcPr>
          <w:p w14:paraId="4C4FB2DA" w14:textId="77777777" w:rsidR="003E3D07" w:rsidRDefault="003E3D07">
            <w:pPr>
              <w:pStyle w:val="TableText"/>
            </w:pPr>
            <w:r>
              <w:t>No</w:t>
            </w:r>
          </w:p>
        </w:tc>
        <w:tc>
          <w:tcPr>
            <w:tcW w:w="878" w:type="dxa"/>
            <w:shd w:val="clear" w:color="auto" w:fill="auto"/>
          </w:tcPr>
          <w:p w14:paraId="288D21C6" w14:textId="77777777" w:rsidR="003E3D07" w:rsidRDefault="003E3D07">
            <w:pPr>
              <w:pStyle w:val="TableText"/>
              <w:rPr>
                <w:rFonts w:eastAsia="Symbol"/>
              </w:rPr>
            </w:pPr>
            <w:r>
              <w:t>Optional</w:t>
            </w:r>
          </w:p>
        </w:tc>
        <w:tc>
          <w:tcPr>
            <w:tcW w:w="1253" w:type="dxa"/>
            <w:shd w:val="clear" w:color="auto" w:fill="auto"/>
          </w:tcPr>
          <w:p w14:paraId="495574D5" w14:textId="77777777" w:rsidR="003E3D07" w:rsidRDefault="003E3D07">
            <w:pPr>
              <w:pStyle w:val="TableText"/>
              <w:rPr>
                <w:rFonts w:eastAsia="Symbol"/>
              </w:rPr>
            </w:pPr>
            <w:r>
              <w:t>P</w:t>
            </w:r>
          </w:p>
        </w:tc>
        <w:tc>
          <w:tcPr>
            <w:tcW w:w="1253" w:type="dxa"/>
            <w:shd w:val="clear" w:color="auto" w:fill="auto"/>
          </w:tcPr>
          <w:p w14:paraId="6E6FE94A" w14:textId="77777777" w:rsidR="003E3D07" w:rsidRDefault="003E3D07">
            <w:pPr>
              <w:pStyle w:val="TableText"/>
              <w:rPr>
                <w:rFonts w:eastAsia="Symbol"/>
              </w:rPr>
            </w:pPr>
            <w:r>
              <w:t>P (not otherwise specified)</w:t>
            </w:r>
          </w:p>
        </w:tc>
        <w:tc>
          <w:tcPr>
            <w:tcW w:w="1296" w:type="dxa"/>
            <w:shd w:val="clear" w:color="auto" w:fill="auto"/>
          </w:tcPr>
          <w:p w14:paraId="5655BAE3" w14:textId="77777777" w:rsidR="003E3D07" w:rsidRDefault="003E3D07">
            <w:pPr>
              <w:pStyle w:val="TableText"/>
              <w:rPr>
                <w:rFonts w:eastAsia="Symbol"/>
              </w:rPr>
            </w:pPr>
            <w:r>
              <w:rPr>
                <w:rFonts w:eastAsia="Symbol"/>
              </w:rPr>
              <w:t>25</w:t>
            </w:r>
          </w:p>
        </w:tc>
        <w:tc>
          <w:tcPr>
            <w:tcW w:w="841" w:type="dxa"/>
            <w:shd w:val="clear" w:color="auto" w:fill="auto"/>
          </w:tcPr>
          <w:p w14:paraId="31EF6BCF" w14:textId="77777777" w:rsidR="003E3D07" w:rsidRDefault="003E3D07">
            <w:pPr>
              <w:pStyle w:val="TableText"/>
              <w:rPr>
                <w:rFonts w:eastAsia="Symbol"/>
              </w:rPr>
            </w:pPr>
            <w:r>
              <w:t>AGP</w:t>
            </w:r>
          </w:p>
        </w:tc>
      </w:tr>
      <w:tr w:rsidR="00824338" w14:paraId="5FB98875" w14:textId="77777777" w:rsidTr="00031618">
        <w:tblPrEx>
          <w:tblBorders>
            <w:insideH w:val="single" w:sz="4" w:space="0" w:color="auto"/>
            <w:insideV w:val="single" w:sz="4" w:space="0" w:color="auto"/>
          </w:tblBorders>
        </w:tblPrEx>
        <w:tc>
          <w:tcPr>
            <w:tcW w:w="1975" w:type="dxa"/>
            <w:shd w:val="clear" w:color="auto" w:fill="auto"/>
          </w:tcPr>
          <w:p w14:paraId="486E7EAD" w14:textId="77777777" w:rsidR="003E3D07" w:rsidRDefault="003E3D07">
            <w:pPr>
              <w:pStyle w:val="TableText"/>
              <w:rPr>
                <w:rFonts w:eastAsia="Symbol"/>
              </w:rPr>
            </w:pPr>
            <w:r>
              <w:t>Anti-A1</w:t>
            </w:r>
          </w:p>
        </w:tc>
        <w:tc>
          <w:tcPr>
            <w:tcW w:w="1710" w:type="dxa"/>
            <w:shd w:val="clear" w:color="auto" w:fill="auto"/>
          </w:tcPr>
          <w:p w14:paraId="51FE90F5" w14:textId="77777777" w:rsidR="003E3D07" w:rsidRDefault="003E3D07">
            <w:pPr>
              <w:pStyle w:val="TableText"/>
            </w:pPr>
            <w:r>
              <w:t>Anti-A-1</w:t>
            </w:r>
          </w:p>
        </w:tc>
        <w:tc>
          <w:tcPr>
            <w:tcW w:w="878" w:type="dxa"/>
            <w:shd w:val="clear" w:color="auto" w:fill="auto"/>
          </w:tcPr>
          <w:p w14:paraId="2E0BE63D" w14:textId="77777777" w:rsidR="003E3D07" w:rsidRDefault="003E3D07">
            <w:pPr>
              <w:pStyle w:val="TableText"/>
            </w:pPr>
            <w:r>
              <w:t>No</w:t>
            </w:r>
          </w:p>
        </w:tc>
        <w:tc>
          <w:tcPr>
            <w:tcW w:w="878" w:type="dxa"/>
            <w:shd w:val="clear" w:color="auto" w:fill="auto"/>
          </w:tcPr>
          <w:p w14:paraId="198C86D5" w14:textId="77777777" w:rsidR="003E3D07" w:rsidRDefault="003E3D07">
            <w:pPr>
              <w:pStyle w:val="TableText"/>
              <w:rPr>
                <w:rFonts w:eastAsia="Symbol"/>
              </w:rPr>
            </w:pPr>
            <w:r>
              <w:t>Optional</w:t>
            </w:r>
          </w:p>
        </w:tc>
        <w:tc>
          <w:tcPr>
            <w:tcW w:w="1253" w:type="dxa"/>
            <w:shd w:val="clear" w:color="auto" w:fill="auto"/>
          </w:tcPr>
          <w:p w14:paraId="3F1D5699" w14:textId="77777777" w:rsidR="003E3D07" w:rsidRDefault="003E3D07">
            <w:pPr>
              <w:pStyle w:val="TableText"/>
              <w:rPr>
                <w:rFonts w:eastAsia="Symbol"/>
              </w:rPr>
            </w:pPr>
            <w:r>
              <w:t>A1</w:t>
            </w:r>
          </w:p>
        </w:tc>
        <w:tc>
          <w:tcPr>
            <w:tcW w:w="1253" w:type="dxa"/>
            <w:shd w:val="clear" w:color="auto" w:fill="auto"/>
          </w:tcPr>
          <w:p w14:paraId="638FEE6B" w14:textId="77777777" w:rsidR="003E3D07" w:rsidRDefault="003E3D07">
            <w:pPr>
              <w:pStyle w:val="TableText"/>
              <w:rPr>
                <w:rFonts w:eastAsia="Symbol"/>
              </w:rPr>
            </w:pPr>
            <w:r>
              <w:t>A-1</w:t>
            </w:r>
          </w:p>
        </w:tc>
        <w:tc>
          <w:tcPr>
            <w:tcW w:w="1296" w:type="dxa"/>
            <w:shd w:val="clear" w:color="auto" w:fill="auto"/>
          </w:tcPr>
          <w:p w14:paraId="23BA599C" w14:textId="77777777" w:rsidR="003E3D07" w:rsidRDefault="003E3D07">
            <w:pPr>
              <w:pStyle w:val="TableText"/>
              <w:rPr>
                <w:rFonts w:eastAsia="Symbol"/>
              </w:rPr>
            </w:pPr>
            <w:r>
              <w:rPr>
                <w:rFonts w:eastAsia="Symbol"/>
              </w:rPr>
              <w:t>10</w:t>
            </w:r>
          </w:p>
        </w:tc>
        <w:tc>
          <w:tcPr>
            <w:tcW w:w="841" w:type="dxa"/>
            <w:shd w:val="clear" w:color="auto" w:fill="auto"/>
          </w:tcPr>
          <w:p w14:paraId="3F0C8E3D" w14:textId="77777777" w:rsidR="003E3D07" w:rsidRDefault="003E3D07">
            <w:pPr>
              <w:pStyle w:val="TableText"/>
              <w:rPr>
                <w:rFonts w:eastAsia="Symbol"/>
              </w:rPr>
            </w:pPr>
            <w:r>
              <w:t>AGA1</w:t>
            </w:r>
          </w:p>
        </w:tc>
      </w:tr>
      <w:tr w:rsidR="00824338" w14:paraId="63C3A7D1" w14:textId="77777777" w:rsidTr="00031618">
        <w:tblPrEx>
          <w:tblBorders>
            <w:insideH w:val="single" w:sz="4" w:space="0" w:color="auto"/>
            <w:insideV w:val="single" w:sz="4" w:space="0" w:color="auto"/>
          </w:tblBorders>
        </w:tblPrEx>
        <w:tc>
          <w:tcPr>
            <w:tcW w:w="1975" w:type="dxa"/>
            <w:shd w:val="clear" w:color="auto" w:fill="auto"/>
          </w:tcPr>
          <w:p w14:paraId="6BB4E996" w14:textId="77777777" w:rsidR="003E3D07" w:rsidRDefault="003E3D07">
            <w:pPr>
              <w:pStyle w:val="TableText"/>
              <w:rPr>
                <w:rFonts w:eastAsia="Symbol"/>
              </w:rPr>
            </w:pPr>
            <w:r>
              <w:t>Anti-H</w:t>
            </w:r>
          </w:p>
        </w:tc>
        <w:tc>
          <w:tcPr>
            <w:tcW w:w="1710" w:type="dxa"/>
            <w:shd w:val="clear" w:color="auto" w:fill="auto"/>
          </w:tcPr>
          <w:p w14:paraId="16720DB7" w14:textId="77777777" w:rsidR="003E3D07" w:rsidRDefault="003E3D07">
            <w:pPr>
              <w:pStyle w:val="TableText"/>
              <w:rPr>
                <w:rFonts w:eastAsia="Symbol"/>
              </w:rPr>
            </w:pPr>
            <w:r>
              <w:t>Anti-H</w:t>
            </w:r>
          </w:p>
        </w:tc>
        <w:tc>
          <w:tcPr>
            <w:tcW w:w="878" w:type="dxa"/>
            <w:shd w:val="clear" w:color="auto" w:fill="auto"/>
          </w:tcPr>
          <w:p w14:paraId="3084E073" w14:textId="77777777" w:rsidR="003E3D07" w:rsidRDefault="003E3D07">
            <w:pPr>
              <w:pStyle w:val="TableText"/>
            </w:pPr>
            <w:r>
              <w:t>No</w:t>
            </w:r>
          </w:p>
        </w:tc>
        <w:tc>
          <w:tcPr>
            <w:tcW w:w="878" w:type="dxa"/>
            <w:shd w:val="clear" w:color="auto" w:fill="auto"/>
          </w:tcPr>
          <w:p w14:paraId="74A373BE" w14:textId="77777777" w:rsidR="003E3D07" w:rsidRDefault="003E3D07">
            <w:pPr>
              <w:pStyle w:val="TableText"/>
              <w:rPr>
                <w:rFonts w:eastAsia="Symbol"/>
              </w:rPr>
            </w:pPr>
            <w:r>
              <w:t>Optional</w:t>
            </w:r>
          </w:p>
        </w:tc>
        <w:tc>
          <w:tcPr>
            <w:tcW w:w="1253" w:type="dxa"/>
            <w:shd w:val="clear" w:color="auto" w:fill="auto"/>
          </w:tcPr>
          <w:p w14:paraId="3D9C234E" w14:textId="77777777" w:rsidR="003E3D07" w:rsidRDefault="003E3D07">
            <w:pPr>
              <w:pStyle w:val="TableText"/>
              <w:rPr>
                <w:rFonts w:eastAsia="Symbol"/>
              </w:rPr>
            </w:pPr>
            <w:r>
              <w:t>H</w:t>
            </w:r>
          </w:p>
        </w:tc>
        <w:tc>
          <w:tcPr>
            <w:tcW w:w="1253" w:type="dxa"/>
            <w:shd w:val="clear" w:color="auto" w:fill="auto"/>
          </w:tcPr>
          <w:p w14:paraId="2A0334BD" w14:textId="77777777" w:rsidR="003E3D07" w:rsidRDefault="003E3D07">
            <w:pPr>
              <w:pStyle w:val="TableText"/>
              <w:rPr>
                <w:rFonts w:eastAsia="Symbol"/>
              </w:rPr>
            </w:pPr>
            <w:r>
              <w:t>H</w:t>
            </w:r>
          </w:p>
        </w:tc>
        <w:tc>
          <w:tcPr>
            <w:tcW w:w="1296" w:type="dxa"/>
            <w:shd w:val="clear" w:color="auto" w:fill="auto"/>
          </w:tcPr>
          <w:p w14:paraId="580B027D" w14:textId="77777777" w:rsidR="003E3D07" w:rsidRDefault="003E3D07">
            <w:pPr>
              <w:pStyle w:val="TableText"/>
              <w:rPr>
                <w:rFonts w:eastAsia="Symbol"/>
              </w:rPr>
            </w:pPr>
            <w:r>
              <w:t>0</w:t>
            </w:r>
          </w:p>
        </w:tc>
        <w:tc>
          <w:tcPr>
            <w:tcW w:w="841" w:type="dxa"/>
            <w:shd w:val="clear" w:color="auto" w:fill="auto"/>
          </w:tcPr>
          <w:p w14:paraId="396B485B" w14:textId="77777777" w:rsidR="003E3D07" w:rsidRDefault="003E3D07">
            <w:pPr>
              <w:pStyle w:val="TableText"/>
              <w:rPr>
                <w:rFonts w:eastAsia="Symbol"/>
              </w:rPr>
            </w:pPr>
            <w:r>
              <w:rPr>
                <w:rFonts w:eastAsia="Symbol"/>
              </w:rPr>
              <w:t>AGH</w:t>
            </w:r>
          </w:p>
        </w:tc>
      </w:tr>
      <w:tr w:rsidR="00824338" w14:paraId="4C6B89D6"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6409F82E" w14:textId="77777777" w:rsidR="003E3D07" w:rsidRDefault="003E3D07">
            <w:pPr>
              <w:pStyle w:val="TableText"/>
              <w:rPr>
                <w:rFonts w:eastAsia="Symbol"/>
              </w:rPr>
            </w:pPr>
            <w:r>
              <w:t>Anti-I</w:t>
            </w:r>
          </w:p>
        </w:tc>
        <w:tc>
          <w:tcPr>
            <w:tcW w:w="1710" w:type="dxa"/>
            <w:shd w:val="clear" w:color="auto" w:fill="auto"/>
          </w:tcPr>
          <w:p w14:paraId="6D82F531" w14:textId="77777777" w:rsidR="003E3D07" w:rsidRDefault="003E3D07">
            <w:pPr>
              <w:pStyle w:val="TableText"/>
              <w:rPr>
                <w:rFonts w:eastAsia="Symbol"/>
              </w:rPr>
            </w:pPr>
            <w:r>
              <w:t>Anti-I</w:t>
            </w:r>
          </w:p>
        </w:tc>
        <w:tc>
          <w:tcPr>
            <w:tcW w:w="878" w:type="dxa"/>
            <w:shd w:val="clear" w:color="auto" w:fill="auto"/>
          </w:tcPr>
          <w:p w14:paraId="54055C00" w14:textId="77777777" w:rsidR="003E3D07" w:rsidRDefault="003E3D07">
            <w:pPr>
              <w:pStyle w:val="TableText"/>
            </w:pPr>
            <w:r>
              <w:t>No</w:t>
            </w:r>
          </w:p>
        </w:tc>
        <w:tc>
          <w:tcPr>
            <w:tcW w:w="878" w:type="dxa"/>
            <w:shd w:val="clear" w:color="auto" w:fill="auto"/>
          </w:tcPr>
          <w:p w14:paraId="6CA747EF" w14:textId="77777777" w:rsidR="003E3D07" w:rsidRDefault="003E3D07">
            <w:pPr>
              <w:pStyle w:val="TableText"/>
              <w:rPr>
                <w:rFonts w:eastAsia="Symbol"/>
              </w:rPr>
            </w:pPr>
            <w:r>
              <w:t>No</w:t>
            </w:r>
          </w:p>
        </w:tc>
        <w:tc>
          <w:tcPr>
            <w:tcW w:w="1253" w:type="dxa"/>
            <w:shd w:val="clear" w:color="auto" w:fill="auto"/>
          </w:tcPr>
          <w:p w14:paraId="687F9727" w14:textId="77777777" w:rsidR="003E3D07" w:rsidRDefault="003E3D07">
            <w:pPr>
              <w:pStyle w:val="TableText"/>
              <w:rPr>
                <w:rFonts w:eastAsia="Symbol"/>
              </w:rPr>
            </w:pPr>
            <w:r>
              <w:t>None</w:t>
            </w:r>
          </w:p>
        </w:tc>
        <w:tc>
          <w:tcPr>
            <w:tcW w:w="1253" w:type="dxa"/>
            <w:shd w:val="clear" w:color="auto" w:fill="auto"/>
          </w:tcPr>
          <w:p w14:paraId="01D6B2C6" w14:textId="77777777" w:rsidR="003E3D07" w:rsidRDefault="003E3D07">
            <w:pPr>
              <w:pStyle w:val="TableText"/>
              <w:rPr>
                <w:rFonts w:eastAsia="Symbol"/>
              </w:rPr>
            </w:pPr>
            <w:r>
              <w:t>None</w:t>
            </w:r>
          </w:p>
        </w:tc>
        <w:tc>
          <w:tcPr>
            <w:tcW w:w="1296" w:type="dxa"/>
            <w:shd w:val="clear" w:color="auto" w:fill="auto"/>
          </w:tcPr>
          <w:p w14:paraId="24951638" w14:textId="77777777" w:rsidR="003E3D07" w:rsidRDefault="003E3D07">
            <w:pPr>
              <w:pStyle w:val="TableText"/>
              <w:rPr>
                <w:rFonts w:eastAsia="Symbol"/>
              </w:rPr>
            </w:pPr>
            <w:r>
              <w:t>0</w:t>
            </w:r>
          </w:p>
        </w:tc>
        <w:tc>
          <w:tcPr>
            <w:tcW w:w="841" w:type="dxa"/>
            <w:vMerge w:val="restart"/>
            <w:shd w:val="clear" w:color="auto" w:fill="auto"/>
          </w:tcPr>
          <w:p w14:paraId="06823658" w14:textId="77777777" w:rsidR="003E3D07" w:rsidRDefault="003E3D07">
            <w:pPr>
              <w:pStyle w:val="TableText"/>
              <w:rPr>
                <w:rFonts w:eastAsia="Symbol"/>
              </w:rPr>
            </w:pPr>
            <w:r>
              <w:rPr>
                <w:rFonts w:eastAsia="Symbol"/>
              </w:rPr>
              <w:t>None</w:t>
            </w:r>
          </w:p>
        </w:tc>
      </w:tr>
      <w:tr w:rsidR="00824338" w14:paraId="0B07AE97"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5493B59A" w14:textId="77777777" w:rsidR="003E3D07" w:rsidRDefault="003E3D07">
            <w:pPr>
              <w:pStyle w:val="TableText"/>
              <w:rPr>
                <w:rFonts w:eastAsia="Symbol"/>
              </w:rPr>
            </w:pPr>
            <w:r>
              <w:t>Anti-i</w:t>
            </w:r>
          </w:p>
        </w:tc>
        <w:tc>
          <w:tcPr>
            <w:tcW w:w="1710" w:type="dxa"/>
            <w:shd w:val="clear" w:color="auto" w:fill="auto"/>
          </w:tcPr>
          <w:p w14:paraId="41AAAD23" w14:textId="77777777" w:rsidR="003E3D07" w:rsidRDefault="003E3D07">
            <w:pPr>
              <w:pStyle w:val="TableText"/>
              <w:rPr>
                <w:rFonts w:eastAsia="Symbol"/>
              </w:rPr>
            </w:pPr>
            <w:r>
              <w:t>Anti-i</w:t>
            </w:r>
          </w:p>
        </w:tc>
        <w:tc>
          <w:tcPr>
            <w:tcW w:w="878" w:type="dxa"/>
            <w:shd w:val="clear" w:color="auto" w:fill="auto"/>
          </w:tcPr>
          <w:p w14:paraId="4BC0E989" w14:textId="77777777" w:rsidR="003E3D07" w:rsidRDefault="003E3D07">
            <w:pPr>
              <w:pStyle w:val="TableText"/>
            </w:pPr>
            <w:r>
              <w:t>No</w:t>
            </w:r>
          </w:p>
        </w:tc>
        <w:tc>
          <w:tcPr>
            <w:tcW w:w="878" w:type="dxa"/>
            <w:shd w:val="clear" w:color="auto" w:fill="auto"/>
          </w:tcPr>
          <w:p w14:paraId="42CC1419" w14:textId="77777777" w:rsidR="003E3D07" w:rsidRDefault="003E3D07">
            <w:pPr>
              <w:pStyle w:val="TableText"/>
              <w:rPr>
                <w:rFonts w:eastAsia="Symbol"/>
              </w:rPr>
            </w:pPr>
            <w:r>
              <w:t>No</w:t>
            </w:r>
          </w:p>
        </w:tc>
        <w:tc>
          <w:tcPr>
            <w:tcW w:w="1253" w:type="dxa"/>
            <w:shd w:val="clear" w:color="auto" w:fill="auto"/>
          </w:tcPr>
          <w:p w14:paraId="2A2BC911" w14:textId="77777777" w:rsidR="003E3D07" w:rsidRDefault="003E3D07">
            <w:pPr>
              <w:pStyle w:val="TableText"/>
              <w:rPr>
                <w:rFonts w:eastAsia="Symbol"/>
              </w:rPr>
            </w:pPr>
            <w:r>
              <w:t>None</w:t>
            </w:r>
          </w:p>
        </w:tc>
        <w:tc>
          <w:tcPr>
            <w:tcW w:w="1253" w:type="dxa"/>
            <w:shd w:val="clear" w:color="auto" w:fill="auto"/>
          </w:tcPr>
          <w:p w14:paraId="6CCD5DAD" w14:textId="77777777" w:rsidR="003E3D07" w:rsidRDefault="003E3D07">
            <w:pPr>
              <w:pStyle w:val="TableText"/>
              <w:rPr>
                <w:rFonts w:eastAsia="Symbol"/>
              </w:rPr>
            </w:pPr>
            <w:r>
              <w:t>None</w:t>
            </w:r>
          </w:p>
        </w:tc>
        <w:tc>
          <w:tcPr>
            <w:tcW w:w="1296" w:type="dxa"/>
            <w:shd w:val="clear" w:color="auto" w:fill="auto"/>
          </w:tcPr>
          <w:p w14:paraId="1D8FA126" w14:textId="77777777" w:rsidR="003E3D07" w:rsidRDefault="003E3D07">
            <w:pPr>
              <w:pStyle w:val="TableText"/>
              <w:rPr>
                <w:rFonts w:eastAsia="Symbol"/>
              </w:rPr>
            </w:pPr>
            <w:r>
              <w:rPr>
                <w:rFonts w:eastAsia="Symbol"/>
              </w:rPr>
              <w:t>99</w:t>
            </w:r>
          </w:p>
        </w:tc>
        <w:tc>
          <w:tcPr>
            <w:tcW w:w="841" w:type="dxa"/>
            <w:vMerge/>
            <w:shd w:val="clear" w:color="auto" w:fill="auto"/>
          </w:tcPr>
          <w:p w14:paraId="2A25E67A" w14:textId="77777777" w:rsidR="003E3D07" w:rsidRDefault="003E3D07">
            <w:pPr>
              <w:pStyle w:val="TableText"/>
              <w:rPr>
                <w:rFonts w:eastAsia="Symbol"/>
              </w:rPr>
            </w:pPr>
          </w:p>
        </w:tc>
      </w:tr>
      <w:tr w:rsidR="00824338" w14:paraId="01F2EAB7"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40C18948" w14:textId="77777777" w:rsidR="003E3D07" w:rsidRDefault="003E3D07">
            <w:pPr>
              <w:pStyle w:val="TableText"/>
            </w:pPr>
            <w:r>
              <w:t>Warm autoantibody</w:t>
            </w:r>
          </w:p>
        </w:tc>
        <w:tc>
          <w:tcPr>
            <w:tcW w:w="1710" w:type="dxa"/>
            <w:shd w:val="clear" w:color="auto" w:fill="auto"/>
          </w:tcPr>
          <w:p w14:paraId="5BBC725C" w14:textId="77777777" w:rsidR="003E3D07" w:rsidRDefault="003E3D07">
            <w:pPr>
              <w:pStyle w:val="TableText"/>
            </w:pPr>
            <w:r>
              <w:t>Warm autoantibody</w:t>
            </w:r>
          </w:p>
        </w:tc>
        <w:tc>
          <w:tcPr>
            <w:tcW w:w="878" w:type="dxa"/>
            <w:shd w:val="clear" w:color="auto" w:fill="auto"/>
          </w:tcPr>
          <w:p w14:paraId="677C2024" w14:textId="77777777" w:rsidR="003E3D07" w:rsidRDefault="003E3D07">
            <w:pPr>
              <w:pStyle w:val="TableText"/>
            </w:pPr>
            <w:r>
              <w:t>Unknown</w:t>
            </w:r>
            <w:r w:rsidR="00F528F3" w:rsidRPr="00191509">
              <w:rPr>
                <w:szCs w:val="18"/>
              </w:rPr>
              <w:t>§</w:t>
            </w:r>
          </w:p>
        </w:tc>
        <w:tc>
          <w:tcPr>
            <w:tcW w:w="878" w:type="dxa"/>
            <w:shd w:val="clear" w:color="auto" w:fill="auto"/>
          </w:tcPr>
          <w:p w14:paraId="1FE9F46D" w14:textId="77777777" w:rsidR="003E3D07" w:rsidRDefault="003E3D07">
            <w:pPr>
              <w:pStyle w:val="TableText"/>
            </w:pPr>
            <w:r>
              <w:t>No</w:t>
            </w:r>
          </w:p>
        </w:tc>
        <w:tc>
          <w:tcPr>
            <w:tcW w:w="1253" w:type="dxa"/>
            <w:shd w:val="clear" w:color="auto" w:fill="auto"/>
          </w:tcPr>
          <w:p w14:paraId="6D52A9ED" w14:textId="77777777" w:rsidR="003E3D07" w:rsidRDefault="003E3D07">
            <w:pPr>
              <w:pStyle w:val="TableText"/>
              <w:rPr>
                <w:rFonts w:eastAsia="Symbol"/>
              </w:rPr>
            </w:pPr>
            <w:r>
              <w:rPr>
                <w:rFonts w:eastAsia="Symbol"/>
              </w:rPr>
              <w:t>None</w:t>
            </w:r>
          </w:p>
        </w:tc>
        <w:tc>
          <w:tcPr>
            <w:tcW w:w="1253" w:type="dxa"/>
            <w:shd w:val="clear" w:color="auto" w:fill="auto"/>
          </w:tcPr>
          <w:p w14:paraId="174DC902" w14:textId="77777777" w:rsidR="003E3D07" w:rsidRDefault="003E3D07">
            <w:pPr>
              <w:pStyle w:val="TableText"/>
              <w:rPr>
                <w:rFonts w:eastAsia="Symbol"/>
              </w:rPr>
            </w:pPr>
            <w:r>
              <w:rPr>
                <w:rFonts w:eastAsia="Symbol"/>
              </w:rPr>
              <w:t>None</w:t>
            </w:r>
          </w:p>
        </w:tc>
        <w:tc>
          <w:tcPr>
            <w:tcW w:w="1296" w:type="dxa"/>
            <w:shd w:val="clear" w:color="auto" w:fill="auto"/>
          </w:tcPr>
          <w:p w14:paraId="1E251863" w14:textId="77777777" w:rsidR="003E3D07" w:rsidRDefault="003E3D07">
            <w:pPr>
              <w:pStyle w:val="TableText"/>
            </w:pPr>
            <w:r>
              <w:rPr>
                <w:rFonts w:eastAsia="Symbol"/>
              </w:rPr>
              <w:t>0</w:t>
            </w:r>
          </w:p>
        </w:tc>
        <w:tc>
          <w:tcPr>
            <w:tcW w:w="841" w:type="dxa"/>
            <w:vMerge/>
            <w:shd w:val="clear" w:color="auto" w:fill="auto"/>
          </w:tcPr>
          <w:p w14:paraId="10254C75" w14:textId="77777777" w:rsidR="003E3D07" w:rsidRDefault="003E3D07">
            <w:pPr>
              <w:pStyle w:val="TableText"/>
              <w:rPr>
                <w:rFonts w:eastAsia="Symbol"/>
              </w:rPr>
            </w:pPr>
          </w:p>
        </w:tc>
      </w:tr>
      <w:tr w:rsidR="00824338" w14:paraId="0912AA9A"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5F232986" w14:textId="77777777" w:rsidR="003E3D07" w:rsidRDefault="003E3D07">
            <w:pPr>
              <w:pStyle w:val="TableText"/>
              <w:rPr>
                <w:rFonts w:eastAsia="Symbol"/>
              </w:rPr>
            </w:pPr>
            <w:r>
              <w:t>Cold autoantibody</w:t>
            </w:r>
          </w:p>
        </w:tc>
        <w:tc>
          <w:tcPr>
            <w:tcW w:w="1710" w:type="dxa"/>
            <w:shd w:val="clear" w:color="auto" w:fill="auto"/>
          </w:tcPr>
          <w:p w14:paraId="62FCD89D" w14:textId="77777777" w:rsidR="003E3D07" w:rsidRDefault="003E3D07">
            <w:pPr>
              <w:pStyle w:val="TableText"/>
            </w:pPr>
            <w:r>
              <w:t>Cold autoantibody</w:t>
            </w:r>
          </w:p>
        </w:tc>
        <w:tc>
          <w:tcPr>
            <w:tcW w:w="878" w:type="dxa"/>
            <w:shd w:val="clear" w:color="auto" w:fill="auto"/>
          </w:tcPr>
          <w:p w14:paraId="190EF533" w14:textId="77777777" w:rsidR="003E3D07" w:rsidRDefault="003E3D07">
            <w:pPr>
              <w:pStyle w:val="TableText"/>
            </w:pPr>
            <w:r>
              <w:t>No</w:t>
            </w:r>
          </w:p>
        </w:tc>
        <w:tc>
          <w:tcPr>
            <w:tcW w:w="878" w:type="dxa"/>
            <w:shd w:val="clear" w:color="auto" w:fill="auto"/>
          </w:tcPr>
          <w:p w14:paraId="6DE16A29" w14:textId="77777777" w:rsidR="003E3D07" w:rsidRDefault="003E3D07">
            <w:pPr>
              <w:pStyle w:val="TableText"/>
              <w:rPr>
                <w:rFonts w:eastAsia="Symbol"/>
              </w:rPr>
            </w:pPr>
            <w:r>
              <w:t>No</w:t>
            </w:r>
          </w:p>
        </w:tc>
        <w:tc>
          <w:tcPr>
            <w:tcW w:w="1253" w:type="dxa"/>
            <w:shd w:val="clear" w:color="auto" w:fill="auto"/>
          </w:tcPr>
          <w:p w14:paraId="7BB28F6B" w14:textId="77777777" w:rsidR="003E3D07" w:rsidRDefault="003E3D07">
            <w:pPr>
              <w:pStyle w:val="TableText"/>
              <w:rPr>
                <w:rFonts w:eastAsia="Symbol"/>
              </w:rPr>
            </w:pPr>
            <w:r>
              <w:rPr>
                <w:rFonts w:eastAsia="Symbol"/>
              </w:rPr>
              <w:t>None</w:t>
            </w:r>
          </w:p>
        </w:tc>
        <w:tc>
          <w:tcPr>
            <w:tcW w:w="1253" w:type="dxa"/>
            <w:shd w:val="clear" w:color="auto" w:fill="auto"/>
          </w:tcPr>
          <w:p w14:paraId="0C34E4B3" w14:textId="77777777" w:rsidR="003E3D07" w:rsidRDefault="003E3D07">
            <w:pPr>
              <w:pStyle w:val="TableText"/>
              <w:rPr>
                <w:rFonts w:eastAsia="Symbol"/>
              </w:rPr>
            </w:pPr>
            <w:r>
              <w:rPr>
                <w:rFonts w:eastAsia="Symbol"/>
              </w:rPr>
              <w:t>None</w:t>
            </w:r>
          </w:p>
        </w:tc>
        <w:tc>
          <w:tcPr>
            <w:tcW w:w="1296" w:type="dxa"/>
            <w:shd w:val="clear" w:color="auto" w:fill="auto"/>
          </w:tcPr>
          <w:p w14:paraId="64365EFF" w14:textId="77777777" w:rsidR="003E3D07" w:rsidRDefault="003E3D07">
            <w:pPr>
              <w:pStyle w:val="TableText"/>
              <w:rPr>
                <w:rFonts w:eastAsia="Symbol"/>
              </w:rPr>
            </w:pPr>
            <w:r>
              <w:t>0</w:t>
            </w:r>
          </w:p>
        </w:tc>
        <w:tc>
          <w:tcPr>
            <w:tcW w:w="841" w:type="dxa"/>
            <w:vMerge/>
            <w:shd w:val="clear" w:color="auto" w:fill="auto"/>
          </w:tcPr>
          <w:p w14:paraId="14E750C7" w14:textId="77777777" w:rsidR="003E3D07" w:rsidRDefault="003E3D07">
            <w:pPr>
              <w:pStyle w:val="TableText"/>
              <w:rPr>
                <w:rFonts w:eastAsia="Symbol"/>
              </w:rPr>
            </w:pPr>
          </w:p>
        </w:tc>
      </w:tr>
      <w:tr w:rsidR="00824338" w14:paraId="0B275F59" w14:textId="77777777" w:rsidTr="00031618">
        <w:tblPrEx>
          <w:tblBorders>
            <w:insideH w:val="single" w:sz="4" w:space="0" w:color="auto"/>
            <w:insideV w:val="single" w:sz="4" w:space="0" w:color="auto"/>
          </w:tblBorders>
        </w:tblPrEx>
        <w:tc>
          <w:tcPr>
            <w:tcW w:w="1975" w:type="dxa"/>
            <w:shd w:val="clear" w:color="auto" w:fill="auto"/>
          </w:tcPr>
          <w:p w14:paraId="2C27944A" w14:textId="77777777" w:rsidR="003E3D07" w:rsidRDefault="003E3D07">
            <w:pPr>
              <w:pStyle w:val="TableText"/>
              <w:rPr>
                <w:rFonts w:eastAsia="Symbol"/>
              </w:rPr>
            </w:pPr>
            <w:r>
              <w:t>Anti-Le(ab)</w:t>
            </w:r>
          </w:p>
        </w:tc>
        <w:tc>
          <w:tcPr>
            <w:tcW w:w="1710" w:type="dxa"/>
            <w:shd w:val="clear" w:color="auto" w:fill="auto"/>
          </w:tcPr>
          <w:p w14:paraId="05709328" w14:textId="77777777" w:rsidR="003E3D07" w:rsidRDefault="003E3D07">
            <w:pPr>
              <w:pStyle w:val="TableText"/>
            </w:pPr>
            <w:r>
              <w:t>Anti-Le(x)</w:t>
            </w:r>
          </w:p>
        </w:tc>
        <w:tc>
          <w:tcPr>
            <w:tcW w:w="878" w:type="dxa"/>
            <w:shd w:val="clear" w:color="auto" w:fill="auto"/>
          </w:tcPr>
          <w:p w14:paraId="4ACA28D1" w14:textId="77777777" w:rsidR="003E3D07" w:rsidRDefault="003E3D07">
            <w:pPr>
              <w:pStyle w:val="TableText"/>
            </w:pPr>
            <w:r>
              <w:t>N</w:t>
            </w:r>
            <w:r w:rsidR="004D0818">
              <w:t>o</w:t>
            </w:r>
          </w:p>
        </w:tc>
        <w:tc>
          <w:tcPr>
            <w:tcW w:w="878" w:type="dxa"/>
            <w:shd w:val="clear" w:color="auto" w:fill="auto"/>
          </w:tcPr>
          <w:p w14:paraId="488CB81C" w14:textId="77777777" w:rsidR="003E3D07" w:rsidRDefault="003E3D07">
            <w:pPr>
              <w:pStyle w:val="TableText"/>
              <w:rPr>
                <w:rFonts w:eastAsia="Symbol"/>
              </w:rPr>
            </w:pPr>
            <w:r>
              <w:t>Optional</w:t>
            </w:r>
          </w:p>
        </w:tc>
        <w:tc>
          <w:tcPr>
            <w:tcW w:w="1253" w:type="dxa"/>
            <w:shd w:val="clear" w:color="auto" w:fill="auto"/>
          </w:tcPr>
          <w:p w14:paraId="597FF05F" w14:textId="77777777" w:rsidR="003E3D07" w:rsidRDefault="003E3D07">
            <w:pPr>
              <w:pStyle w:val="TableText"/>
              <w:rPr>
                <w:rFonts w:eastAsia="Symbol"/>
              </w:rPr>
            </w:pPr>
            <w:r>
              <w:rPr>
                <w:rFonts w:eastAsia="Symbol"/>
              </w:rPr>
              <w:t>Le(a) and Le(b)</w:t>
            </w:r>
          </w:p>
        </w:tc>
        <w:tc>
          <w:tcPr>
            <w:tcW w:w="1253" w:type="dxa"/>
            <w:shd w:val="clear" w:color="auto" w:fill="auto"/>
          </w:tcPr>
          <w:p w14:paraId="1C35636D" w14:textId="77777777" w:rsidR="003E3D07" w:rsidRDefault="003E3D07">
            <w:pPr>
              <w:pStyle w:val="TableText"/>
              <w:rPr>
                <w:rFonts w:eastAsia="Symbol"/>
              </w:rPr>
            </w:pPr>
            <w:r>
              <w:rPr>
                <w:rFonts w:eastAsia="Symbol"/>
              </w:rPr>
              <w:t>None</w:t>
            </w:r>
          </w:p>
        </w:tc>
        <w:tc>
          <w:tcPr>
            <w:tcW w:w="1296" w:type="dxa"/>
            <w:shd w:val="clear" w:color="auto" w:fill="auto"/>
          </w:tcPr>
          <w:p w14:paraId="47340A30" w14:textId="77777777" w:rsidR="003E3D07" w:rsidRDefault="003E3D07">
            <w:pPr>
              <w:pStyle w:val="TableText"/>
              <w:rPr>
                <w:rFonts w:eastAsia="Symbol"/>
              </w:rPr>
            </w:pPr>
            <w:r>
              <w:t>N/A</w:t>
            </w:r>
          </w:p>
        </w:tc>
        <w:tc>
          <w:tcPr>
            <w:tcW w:w="841" w:type="dxa"/>
            <w:shd w:val="clear" w:color="auto" w:fill="auto"/>
          </w:tcPr>
          <w:p w14:paraId="3277B91E" w14:textId="77777777" w:rsidR="003E3D07" w:rsidRDefault="003E3D07">
            <w:pPr>
              <w:pStyle w:val="TableText"/>
            </w:pPr>
            <w:r>
              <w:t>AGLe(a)</w:t>
            </w:r>
          </w:p>
          <w:p w14:paraId="36057A08" w14:textId="77777777" w:rsidR="003E3D07" w:rsidRDefault="003E3D07">
            <w:pPr>
              <w:pStyle w:val="TableText"/>
              <w:rPr>
                <w:rFonts w:eastAsia="Symbol"/>
              </w:rPr>
            </w:pPr>
            <w:r>
              <w:t>AGLe(b)</w:t>
            </w:r>
          </w:p>
        </w:tc>
      </w:tr>
      <w:tr w:rsidR="00824338" w14:paraId="556A385E" w14:textId="77777777" w:rsidTr="00031618">
        <w:tblPrEx>
          <w:tblBorders>
            <w:insideH w:val="single" w:sz="4" w:space="0" w:color="auto"/>
            <w:insideV w:val="single" w:sz="4" w:space="0" w:color="auto"/>
          </w:tblBorders>
        </w:tblPrEx>
        <w:tc>
          <w:tcPr>
            <w:tcW w:w="1975" w:type="dxa"/>
            <w:shd w:val="clear" w:color="auto" w:fill="auto"/>
          </w:tcPr>
          <w:p w14:paraId="00819607" w14:textId="77777777" w:rsidR="003E3D07" w:rsidRDefault="003E3D07">
            <w:pPr>
              <w:pStyle w:val="TableText"/>
              <w:rPr>
                <w:rFonts w:eastAsia="Symbol"/>
              </w:rPr>
            </w:pPr>
            <w:r>
              <w:t>Anti-Di(a)</w:t>
            </w:r>
          </w:p>
        </w:tc>
        <w:tc>
          <w:tcPr>
            <w:tcW w:w="1710" w:type="dxa"/>
            <w:shd w:val="clear" w:color="auto" w:fill="auto"/>
          </w:tcPr>
          <w:p w14:paraId="066542F8" w14:textId="77777777" w:rsidR="003E3D07" w:rsidRDefault="003E3D07">
            <w:pPr>
              <w:pStyle w:val="TableText"/>
              <w:rPr>
                <w:rFonts w:eastAsia="Symbol"/>
              </w:rPr>
            </w:pPr>
            <w:r>
              <w:t>Anti-Di(a)</w:t>
            </w:r>
          </w:p>
        </w:tc>
        <w:tc>
          <w:tcPr>
            <w:tcW w:w="878" w:type="dxa"/>
            <w:shd w:val="clear" w:color="auto" w:fill="auto"/>
          </w:tcPr>
          <w:p w14:paraId="75C6CEF3" w14:textId="77777777" w:rsidR="003E3D07" w:rsidRDefault="003E3D07">
            <w:pPr>
              <w:pStyle w:val="TableText"/>
            </w:pPr>
            <w:r>
              <w:t>No</w:t>
            </w:r>
          </w:p>
        </w:tc>
        <w:tc>
          <w:tcPr>
            <w:tcW w:w="878" w:type="dxa"/>
            <w:shd w:val="clear" w:color="auto" w:fill="auto"/>
          </w:tcPr>
          <w:p w14:paraId="66FE4814" w14:textId="77777777" w:rsidR="003E3D07" w:rsidRDefault="003E3D07">
            <w:pPr>
              <w:pStyle w:val="TableText"/>
              <w:rPr>
                <w:rFonts w:eastAsia="Symbol"/>
              </w:rPr>
            </w:pPr>
            <w:r>
              <w:t>Optional</w:t>
            </w:r>
          </w:p>
        </w:tc>
        <w:tc>
          <w:tcPr>
            <w:tcW w:w="1253" w:type="dxa"/>
            <w:shd w:val="clear" w:color="auto" w:fill="auto"/>
          </w:tcPr>
          <w:p w14:paraId="44201556" w14:textId="77777777" w:rsidR="003E3D07" w:rsidRDefault="003E3D07">
            <w:pPr>
              <w:pStyle w:val="TableText"/>
              <w:rPr>
                <w:rFonts w:eastAsia="Symbol"/>
              </w:rPr>
            </w:pPr>
            <w:r>
              <w:t>Di(a)</w:t>
            </w:r>
          </w:p>
        </w:tc>
        <w:tc>
          <w:tcPr>
            <w:tcW w:w="1253" w:type="dxa"/>
            <w:shd w:val="clear" w:color="auto" w:fill="auto"/>
          </w:tcPr>
          <w:p w14:paraId="1DDF5791" w14:textId="77777777" w:rsidR="003E3D07" w:rsidRDefault="003E3D07">
            <w:pPr>
              <w:pStyle w:val="TableText"/>
              <w:rPr>
                <w:rFonts w:eastAsia="Symbol"/>
              </w:rPr>
            </w:pPr>
            <w:r>
              <w:t>Di(a)</w:t>
            </w:r>
          </w:p>
        </w:tc>
        <w:tc>
          <w:tcPr>
            <w:tcW w:w="1296" w:type="dxa"/>
            <w:shd w:val="clear" w:color="auto" w:fill="auto"/>
          </w:tcPr>
          <w:p w14:paraId="1C2F088E" w14:textId="77777777" w:rsidR="003E3D07" w:rsidRDefault="003E3D07">
            <w:pPr>
              <w:pStyle w:val="TableText"/>
              <w:rPr>
                <w:rFonts w:eastAsia="Symbol"/>
              </w:rPr>
            </w:pPr>
            <w:r>
              <w:t>0</w:t>
            </w:r>
          </w:p>
        </w:tc>
        <w:tc>
          <w:tcPr>
            <w:tcW w:w="841" w:type="dxa"/>
            <w:shd w:val="clear" w:color="auto" w:fill="auto"/>
          </w:tcPr>
          <w:p w14:paraId="5367EFE0" w14:textId="77777777" w:rsidR="003E3D07" w:rsidRDefault="003E3D07">
            <w:pPr>
              <w:pStyle w:val="TableText"/>
              <w:rPr>
                <w:rFonts w:eastAsia="Symbol"/>
              </w:rPr>
            </w:pPr>
            <w:r>
              <w:t>AGDi(a)</w:t>
            </w:r>
          </w:p>
        </w:tc>
      </w:tr>
      <w:tr w:rsidR="00824338" w14:paraId="1F99D031" w14:textId="77777777" w:rsidTr="00031618">
        <w:tblPrEx>
          <w:tblBorders>
            <w:insideH w:val="single" w:sz="4" w:space="0" w:color="auto"/>
            <w:insideV w:val="single" w:sz="4" w:space="0" w:color="auto"/>
          </w:tblBorders>
        </w:tblPrEx>
        <w:tc>
          <w:tcPr>
            <w:tcW w:w="1975" w:type="dxa"/>
            <w:shd w:val="clear" w:color="auto" w:fill="auto"/>
          </w:tcPr>
          <w:p w14:paraId="67015FBD" w14:textId="77777777" w:rsidR="003E3D07" w:rsidRDefault="003E3D07">
            <w:pPr>
              <w:pStyle w:val="TableText"/>
              <w:rPr>
                <w:rFonts w:eastAsia="Symbol"/>
              </w:rPr>
            </w:pPr>
            <w:r>
              <w:t>Anti-Di(b)</w:t>
            </w:r>
          </w:p>
        </w:tc>
        <w:tc>
          <w:tcPr>
            <w:tcW w:w="1710" w:type="dxa"/>
            <w:shd w:val="clear" w:color="auto" w:fill="auto"/>
          </w:tcPr>
          <w:p w14:paraId="3AC2BD96" w14:textId="77777777" w:rsidR="003E3D07" w:rsidRDefault="003E3D07">
            <w:pPr>
              <w:pStyle w:val="TableText"/>
              <w:rPr>
                <w:rFonts w:eastAsia="Symbol"/>
              </w:rPr>
            </w:pPr>
            <w:r>
              <w:t>Anti-Di(b)</w:t>
            </w:r>
          </w:p>
        </w:tc>
        <w:tc>
          <w:tcPr>
            <w:tcW w:w="878" w:type="dxa"/>
            <w:shd w:val="clear" w:color="auto" w:fill="auto"/>
          </w:tcPr>
          <w:p w14:paraId="5BEFFADB" w14:textId="77777777" w:rsidR="003E3D07" w:rsidRDefault="003E3D07">
            <w:pPr>
              <w:pStyle w:val="TableText"/>
            </w:pPr>
            <w:r>
              <w:t>No</w:t>
            </w:r>
          </w:p>
        </w:tc>
        <w:tc>
          <w:tcPr>
            <w:tcW w:w="878" w:type="dxa"/>
            <w:shd w:val="clear" w:color="auto" w:fill="auto"/>
          </w:tcPr>
          <w:p w14:paraId="20779BD2" w14:textId="77777777" w:rsidR="003E3D07" w:rsidRDefault="003E3D07">
            <w:pPr>
              <w:pStyle w:val="TableText"/>
              <w:rPr>
                <w:rFonts w:eastAsia="Symbol"/>
              </w:rPr>
            </w:pPr>
            <w:r>
              <w:t>Optional</w:t>
            </w:r>
          </w:p>
        </w:tc>
        <w:tc>
          <w:tcPr>
            <w:tcW w:w="1253" w:type="dxa"/>
            <w:shd w:val="clear" w:color="auto" w:fill="auto"/>
          </w:tcPr>
          <w:p w14:paraId="27A18F39" w14:textId="77777777" w:rsidR="003E3D07" w:rsidRDefault="003E3D07">
            <w:pPr>
              <w:pStyle w:val="TableText"/>
              <w:rPr>
                <w:rFonts w:eastAsia="Symbol"/>
              </w:rPr>
            </w:pPr>
            <w:r>
              <w:t>Di(b)</w:t>
            </w:r>
          </w:p>
        </w:tc>
        <w:tc>
          <w:tcPr>
            <w:tcW w:w="1253" w:type="dxa"/>
            <w:shd w:val="clear" w:color="auto" w:fill="auto"/>
          </w:tcPr>
          <w:p w14:paraId="7C003F91" w14:textId="77777777" w:rsidR="003E3D07" w:rsidRDefault="003E3D07">
            <w:pPr>
              <w:pStyle w:val="TableText"/>
              <w:rPr>
                <w:rFonts w:eastAsia="Symbol"/>
              </w:rPr>
            </w:pPr>
            <w:r>
              <w:t>Di(b)</w:t>
            </w:r>
          </w:p>
        </w:tc>
        <w:tc>
          <w:tcPr>
            <w:tcW w:w="1296" w:type="dxa"/>
            <w:shd w:val="clear" w:color="auto" w:fill="auto"/>
          </w:tcPr>
          <w:p w14:paraId="309390EB" w14:textId="77777777" w:rsidR="003E3D07" w:rsidRDefault="003E3D07">
            <w:pPr>
              <w:pStyle w:val="TableText"/>
              <w:rPr>
                <w:rFonts w:eastAsia="Symbol"/>
              </w:rPr>
            </w:pPr>
            <w:r>
              <w:rPr>
                <w:rFonts w:eastAsia="Symbol"/>
              </w:rPr>
              <w:t>99</w:t>
            </w:r>
          </w:p>
        </w:tc>
        <w:tc>
          <w:tcPr>
            <w:tcW w:w="841" w:type="dxa"/>
            <w:shd w:val="clear" w:color="auto" w:fill="auto"/>
          </w:tcPr>
          <w:p w14:paraId="282B48EF" w14:textId="77777777" w:rsidR="003E3D07" w:rsidRDefault="003E3D07">
            <w:pPr>
              <w:pStyle w:val="TableText"/>
              <w:rPr>
                <w:rFonts w:eastAsia="Symbol"/>
              </w:rPr>
            </w:pPr>
            <w:r>
              <w:t>AGDi(b)</w:t>
            </w:r>
          </w:p>
        </w:tc>
      </w:tr>
      <w:tr w:rsidR="00824338" w14:paraId="012E08E8" w14:textId="77777777" w:rsidTr="00031618">
        <w:tblPrEx>
          <w:tblBorders>
            <w:insideH w:val="single" w:sz="4" w:space="0" w:color="auto"/>
            <w:insideV w:val="single" w:sz="4" w:space="0" w:color="auto"/>
          </w:tblBorders>
        </w:tblPrEx>
        <w:tc>
          <w:tcPr>
            <w:tcW w:w="1975" w:type="dxa"/>
            <w:shd w:val="clear" w:color="auto" w:fill="auto"/>
          </w:tcPr>
          <w:p w14:paraId="6AD4B9B2" w14:textId="77777777" w:rsidR="003E3D07" w:rsidRDefault="003E3D07">
            <w:pPr>
              <w:pStyle w:val="TableText"/>
              <w:rPr>
                <w:rFonts w:eastAsia="Symbol"/>
              </w:rPr>
            </w:pPr>
            <w:r>
              <w:t>Anti-Do(a)</w:t>
            </w:r>
          </w:p>
        </w:tc>
        <w:tc>
          <w:tcPr>
            <w:tcW w:w="1710" w:type="dxa"/>
            <w:shd w:val="clear" w:color="auto" w:fill="auto"/>
          </w:tcPr>
          <w:p w14:paraId="7DE4CFF4" w14:textId="77777777" w:rsidR="003E3D07" w:rsidRDefault="003E3D07">
            <w:pPr>
              <w:pStyle w:val="TableText"/>
              <w:rPr>
                <w:rFonts w:eastAsia="Symbol"/>
              </w:rPr>
            </w:pPr>
            <w:r>
              <w:t>Anti-Do(a)</w:t>
            </w:r>
          </w:p>
        </w:tc>
        <w:tc>
          <w:tcPr>
            <w:tcW w:w="878" w:type="dxa"/>
            <w:shd w:val="clear" w:color="auto" w:fill="auto"/>
          </w:tcPr>
          <w:p w14:paraId="4E0AD23B" w14:textId="77777777" w:rsidR="003E3D07" w:rsidRDefault="003E3D07">
            <w:pPr>
              <w:pStyle w:val="TableText"/>
            </w:pPr>
            <w:r>
              <w:t>No</w:t>
            </w:r>
          </w:p>
        </w:tc>
        <w:tc>
          <w:tcPr>
            <w:tcW w:w="878" w:type="dxa"/>
            <w:shd w:val="clear" w:color="auto" w:fill="auto"/>
          </w:tcPr>
          <w:p w14:paraId="102FEE63" w14:textId="77777777" w:rsidR="003E3D07" w:rsidRDefault="003E3D07">
            <w:pPr>
              <w:pStyle w:val="TableText"/>
              <w:rPr>
                <w:rFonts w:eastAsia="Symbol"/>
              </w:rPr>
            </w:pPr>
            <w:r>
              <w:t>Optional</w:t>
            </w:r>
          </w:p>
        </w:tc>
        <w:tc>
          <w:tcPr>
            <w:tcW w:w="1253" w:type="dxa"/>
            <w:shd w:val="clear" w:color="auto" w:fill="auto"/>
          </w:tcPr>
          <w:p w14:paraId="19D91459" w14:textId="77777777" w:rsidR="003E3D07" w:rsidRDefault="003E3D07">
            <w:pPr>
              <w:pStyle w:val="TableText"/>
              <w:rPr>
                <w:rFonts w:eastAsia="Symbol"/>
              </w:rPr>
            </w:pPr>
            <w:r>
              <w:t>Do(a)</w:t>
            </w:r>
          </w:p>
        </w:tc>
        <w:tc>
          <w:tcPr>
            <w:tcW w:w="1253" w:type="dxa"/>
            <w:shd w:val="clear" w:color="auto" w:fill="auto"/>
          </w:tcPr>
          <w:p w14:paraId="37EE5FA4" w14:textId="77777777" w:rsidR="003E3D07" w:rsidRDefault="003E3D07">
            <w:pPr>
              <w:pStyle w:val="TableText"/>
              <w:rPr>
                <w:rFonts w:eastAsia="Symbol"/>
              </w:rPr>
            </w:pPr>
            <w:r>
              <w:t>Do(a)</w:t>
            </w:r>
          </w:p>
        </w:tc>
        <w:tc>
          <w:tcPr>
            <w:tcW w:w="1296" w:type="dxa"/>
            <w:shd w:val="clear" w:color="auto" w:fill="auto"/>
          </w:tcPr>
          <w:p w14:paraId="4ED7F117" w14:textId="77777777" w:rsidR="003E3D07" w:rsidRDefault="003E3D07">
            <w:pPr>
              <w:pStyle w:val="TableText"/>
              <w:rPr>
                <w:rFonts w:eastAsia="Symbol"/>
              </w:rPr>
            </w:pPr>
            <w:r>
              <w:t>33</w:t>
            </w:r>
          </w:p>
        </w:tc>
        <w:tc>
          <w:tcPr>
            <w:tcW w:w="841" w:type="dxa"/>
            <w:shd w:val="clear" w:color="auto" w:fill="auto"/>
          </w:tcPr>
          <w:p w14:paraId="4D48E961" w14:textId="77777777" w:rsidR="003E3D07" w:rsidRDefault="003E3D07">
            <w:pPr>
              <w:pStyle w:val="TableText"/>
            </w:pPr>
            <w:r>
              <w:t>AGDo(a)</w:t>
            </w:r>
          </w:p>
        </w:tc>
      </w:tr>
      <w:tr w:rsidR="00824338" w14:paraId="0C18C74E" w14:textId="77777777" w:rsidTr="00031618">
        <w:tblPrEx>
          <w:tblBorders>
            <w:insideH w:val="single" w:sz="4" w:space="0" w:color="auto"/>
            <w:insideV w:val="single" w:sz="4" w:space="0" w:color="auto"/>
          </w:tblBorders>
        </w:tblPrEx>
        <w:tc>
          <w:tcPr>
            <w:tcW w:w="1975" w:type="dxa"/>
            <w:shd w:val="clear" w:color="auto" w:fill="auto"/>
          </w:tcPr>
          <w:p w14:paraId="5E185783" w14:textId="77777777" w:rsidR="003E3D07" w:rsidRDefault="003E3D07">
            <w:pPr>
              <w:pStyle w:val="TableText"/>
              <w:rPr>
                <w:rFonts w:eastAsia="Symbol"/>
              </w:rPr>
            </w:pPr>
            <w:r>
              <w:t>Anti-Do(b)</w:t>
            </w:r>
          </w:p>
        </w:tc>
        <w:tc>
          <w:tcPr>
            <w:tcW w:w="1710" w:type="dxa"/>
            <w:shd w:val="clear" w:color="auto" w:fill="auto"/>
          </w:tcPr>
          <w:p w14:paraId="66E23560" w14:textId="77777777" w:rsidR="003E3D07" w:rsidRDefault="003E3D07">
            <w:pPr>
              <w:pStyle w:val="TableText"/>
              <w:rPr>
                <w:rFonts w:eastAsia="Symbol"/>
              </w:rPr>
            </w:pPr>
            <w:r>
              <w:t>None</w:t>
            </w:r>
          </w:p>
        </w:tc>
        <w:tc>
          <w:tcPr>
            <w:tcW w:w="878" w:type="dxa"/>
            <w:shd w:val="clear" w:color="auto" w:fill="auto"/>
          </w:tcPr>
          <w:p w14:paraId="0F2681B0" w14:textId="77777777" w:rsidR="003E3D07" w:rsidRDefault="003E3D07">
            <w:pPr>
              <w:pStyle w:val="TableText"/>
            </w:pPr>
            <w:r>
              <w:t>No</w:t>
            </w:r>
          </w:p>
        </w:tc>
        <w:tc>
          <w:tcPr>
            <w:tcW w:w="878" w:type="dxa"/>
            <w:shd w:val="clear" w:color="auto" w:fill="auto"/>
          </w:tcPr>
          <w:p w14:paraId="534A004C" w14:textId="77777777" w:rsidR="003E3D07" w:rsidRDefault="003E3D07">
            <w:pPr>
              <w:pStyle w:val="TableText"/>
              <w:rPr>
                <w:rFonts w:eastAsia="Symbol"/>
              </w:rPr>
            </w:pPr>
            <w:r>
              <w:t>Optional</w:t>
            </w:r>
          </w:p>
        </w:tc>
        <w:tc>
          <w:tcPr>
            <w:tcW w:w="1253" w:type="dxa"/>
            <w:shd w:val="clear" w:color="auto" w:fill="auto"/>
          </w:tcPr>
          <w:p w14:paraId="58FA48C3" w14:textId="77777777" w:rsidR="003E3D07" w:rsidRDefault="003E3D07">
            <w:pPr>
              <w:pStyle w:val="TableText"/>
              <w:rPr>
                <w:rFonts w:eastAsia="Symbol"/>
              </w:rPr>
            </w:pPr>
            <w:r>
              <w:t>Do(b)</w:t>
            </w:r>
          </w:p>
        </w:tc>
        <w:tc>
          <w:tcPr>
            <w:tcW w:w="1253" w:type="dxa"/>
            <w:shd w:val="clear" w:color="auto" w:fill="auto"/>
          </w:tcPr>
          <w:p w14:paraId="14C642ED" w14:textId="77777777" w:rsidR="003E3D07" w:rsidRDefault="003E3D07">
            <w:pPr>
              <w:pStyle w:val="TableText"/>
              <w:rPr>
                <w:rFonts w:eastAsia="Symbol"/>
              </w:rPr>
            </w:pPr>
            <w:r>
              <w:t>None</w:t>
            </w:r>
          </w:p>
        </w:tc>
        <w:tc>
          <w:tcPr>
            <w:tcW w:w="1296" w:type="dxa"/>
            <w:shd w:val="clear" w:color="auto" w:fill="auto"/>
          </w:tcPr>
          <w:p w14:paraId="150228A9" w14:textId="77777777" w:rsidR="003E3D07" w:rsidRDefault="003E3D07">
            <w:pPr>
              <w:pStyle w:val="TableText"/>
              <w:rPr>
                <w:rFonts w:eastAsia="Symbol"/>
              </w:rPr>
            </w:pPr>
            <w:r>
              <w:t>17</w:t>
            </w:r>
          </w:p>
        </w:tc>
        <w:tc>
          <w:tcPr>
            <w:tcW w:w="841" w:type="dxa"/>
            <w:shd w:val="clear" w:color="auto" w:fill="auto"/>
          </w:tcPr>
          <w:p w14:paraId="0EDE9578" w14:textId="77777777" w:rsidR="003E3D07" w:rsidRDefault="003E3D07">
            <w:pPr>
              <w:pStyle w:val="TableText"/>
            </w:pPr>
            <w:r>
              <w:t>AGDo(b)</w:t>
            </w:r>
          </w:p>
        </w:tc>
      </w:tr>
      <w:tr w:rsidR="00824338" w14:paraId="6E9829D7" w14:textId="77777777" w:rsidTr="00031618">
        <w:tblPrEx>
          <w:tblBorders>
            <w:insideH w:val="single" w:sz="4" w:space="0" w:color="auto"/>
            <w:insideV w:val="single" w:sz="4" w:space="0" w:color="auto"/>
          </w:tblBorders>
        </w:tblPrEx>
        <w:tc>
          <w:tcPr>
            <w:tcW w:w="1975" w:type="dxa"/>
            <w:shd w:val="clear" w:color="auto" w:fill="auto"/>
          </w:tcPr>
          <w:p w14:paraId="2DA2C358" w14:textId="77777777" w:rsidR="003E3D07" w:rsidRDefault="003E3D07">
            <w:pPr>
              <w:pStyle w:val="TableText"/>
              <w:rPr>
                <w:rFonts w:eastAsia="Symbol"/>
              </w:rPr>
            </w:pPr>
            <w:r>
              <w:t>Anti-Co(a)</w:t>
            </w:r>
          </w:p>
        </w:tc>
        <w:tc>
          <w:tcPr>
            <w:tcW w:w="1710" w:type="dxa"/>
            <w:shd w:val="clear" w:color="auto" w:fill="auto"/>
          </w:tcPr>
          <w:p w14:paraId="582CCFCC" w14:textId="77777777" w:rsidR="003E3D07" w:rsidRDefault="003E3D07">
            <w:pPr>
              <w:pStyle w:val="TableText"/>
              <w:rPr>
                <w:rFonts w:eastAsia="Symbol"/>
              </w:rPr>
            </w:pPr>
            <w:r>
              <w:t>None</w:t>
            </w:r>
          </w:p>
        </w:tc>
        <w:tc>
          <w:tcPr>
            <w:tcW w:w="878" w:type="dxa"/>
            <w:shd w:val="clear" w:color="auto" w:fill="auto"/>
          </w:tcPr>
          <w:p w14:paraId="4A2CB43A" w14:textId="77777777" w:rsidR="003E3D07" w:rsidRDefault="003E3D07">
            <w:pPr>
              <w:pStyle w:val="TableText"/>
            </w:pPr>
            <w:r>
              <w:t>No</w:t>
            </w:r>
          </w:p>
        </w:tc>
        <w:tc>
          <w:tcPr>
            <w:tcW w:w="878" w:type="dxa"/>
            <w:shd w:val="clear" w:color="auto" w:fill="auto"/>
          </w:tcPr>
          <w:p w14:paraId="300AFD39" w14:textId="77777777" w:rsidR="003E3D07" w:rsidRDefault="003E3D07">
            <w:pPr>
              <w:pStyle w:val="TableText"/>
              <w:rPr>
                <w:rFonts w:eastAsia="Symbol"/>
              </w:rPr>
            </w:pPr>
            <w:r>
              <w:t>Optional</w:t>
            </w:r>
          </w:p>
        </w:tc>
        <w:tc>
          <w:tcPr>
            <w:tcW w:w="1253" w:type="dxa"/>
            <w:shd w:val="clear" w:color="auto" w:fill="auto"/>
          </w:tcPr>
          <w:p w14:paraId="30A1399E" w14:textId="77777777" w:rsidR="003E3D07" w:rsidRDefault="003E3D07">
            <w:pPr>
              <w:pStyle w:val="TableText"/>
              <w:rPr>
                <w:rFonts w:eastAsia="Symbol"/>
              </w:rPr>
            </w:pPr>
            <w:r>
              <w:t>Co(a)</w:t>
            </w:r>
          </w:p>
        </w:tc>
        <w:tc>
          <w:tcPr>
            <w:tcW w:w="1253" w:type="dxa"/>
            <w:shd w:val="clear" w:color="auto" w:fill="auto"/>
          </w:tcPr>
          <w:p w14:paraId="342C27EF" w14:textId="77777777" w:rsidR="003E3D07" w:rsidRDefault="003E3D07">
            <w:pPr>
              <w:pStyle w:val="TableText"/>
              <w:rPr>
                <w:rFonts w:eastAsia="Symbol"/>
              </w:rPr>
            </w:pPr>
            <w:r>
              <w:t>None</w:t>
            </w:r>
          </w:p>
        </w:tc>
        <w:tc>
          <w:tcPr>
            <w:tcW w:w="1296" w:type="dxa"/>
            <w:shd w:val="clear" w:color="auto" w:fill="auto"/>
          </w:tcPr>
          <w:p w14:paraId="1D04C4E2" w14:textId="77777777" w:rsidR="003E3D07" w:rsidRDefault="003E3D07">
            <w:pPr>
              <w:pStyle w:val="TableText"/>
              <w:rPr>
                <w:rFonts w:eastAsia="Symbol"/>
              </w:rPr>
            </w:pPr>
            <w:r>
              <w:t>33</w:t>
            </w:r>
          </w:p>
        </w:tc>
        <w:tc>
          <w:tcPr>
            <w:tcW w:w="841" w:type="dxa"/>
            <w:shd w:val="clear" w:color="auto" w:fill="auto"/>
          </w:tcPr>
          <w:p w14:paraId="5B01C966" w14:textId="77777777" w:rsidR="003E3D07" w:rsidRDefault="003E3D07">
            <w:pPr>
              <w:pStyle w:val="TableText"/>
            </w:pPr>
            <w:r>
              <w:t>AGCo(a)</w:t>
            </w:r>
          </w:p>
        </w:tc>
      </w:tr>
      <w:tr w:rsidR="00824338" w14:paraId="5AD011AA" w14:textId="77777777" w:rsidTr="00031618">
        <w:tblPrEx>
          <w:tblBorders>
            <w:insideH w:val="single" w:sz="4" w:space="0" w:color="auto"/>
            <w:insideV w:val="single" w:sz="4" w:space="0" w:color="auto"/>
          </w:tblBorders>
        </w:tblPrEx>
        <w:tc>
          <w:tcPr>
            <w:tcW w:w="1975" w:type="dxa"/>
            <w:shd w:val="clear" w:color="auto" w:fill="auto"/>
          </w:tcPr>
          <w:p w14:paraId="5E8A0A80" w14:textId="77777777" w:rsidR="003E3D07" w:rsidRDefault="003E3D07">
            <w:pPr>
              <w:pStyle w:val="TableText"/>
              <w:rPr>
                <w:rFonts w:eastAsia="Symbol"/>
              </w:rPr>
            </w:pPr>
            <w:r>
              <w:t>Anti-Co(b)</w:t>
            </w:r>
          </w:p>
        </w:tc>
        <w:tc>
          <w:tcPr>
            <w:tcW w:w="1710" w:type="dxa"/>
            <w:shd w:val="clear" w:color="auto" w:fill="auto"/>
          </w:tcPr>
          <w:p w14:paraId="70C1B1D4" w14:textId="77777777" w:rsidR="003E3D07" w:rsidRDefault="003E3D07">
            <w:pPr>
              <w:pStyle w:val="TableText"/>
              <w:rPr>
                <w:rFonts w:eastAsia="Symbol"/>
              </w:rPr>
            </w:pPr>
            <w:r>
              <w:t>None</w:t>
            </w:r>
          </w:p>
        </w:tc>
        <w:tc>
          <w:tcPr>
            <w:tcW w:w="878" w:type="dxa"/>
            <w:shd w:val="clear" w:color="auto" w:fill="auto"/>
          </w:tcPr>
          <w:p w14:paraId="51D01058" w14:textId="77777777" w:rsidR="003E3D07" w:rsidRDefault="003E3D07">
            <w:pPr>
              <w:pStyle w:val="TableText"/>
            </w:pPr>
            <w:r>
              <w:t>No</w:t>
            </w:r>
          </w:p>
        </w:tc>
        <w:tc>
          <w:tcPr>
            <w:tcW w:w="878" w:type="dxa"/>
            <w:shd w:val="clear" w:color="auto" w:fill="auto"/>
          </w:tcPr>
          <w:p w14:paraId="360FE366" w14:textId="77777777" w:rsidR="003E3D07" w:rsidRDefault="003E3D07">
            <w:pPr>
              <w:pStyle w:val="TableText"/>
              <w:rPr>
                <w:rFonts w:eastAsia="Symbol"/>
              </w:rPr>
            </w:pPr>
            <w:r>
              <w:t>Optional</w:t>
            </w:r>
          </w:p>
        </w:tc>
        <w:tc>
          <w:tcPr>
            <w:tcW w:w="1253" w:type="dxa"/>
            <w:shd w:val="clear" w:color="auto" w:fill="auto"/>
          </w:tcPr>
          <w:p w14:paraId="1A939B52" w14:textId="77777777" w:rsidR="003E3D07" w:rsidRDefault="003E3D07">
            <w:pPr>
              <w:pStyle w:val="TableText"/>
              <w:rPr>
                <w:rFonts w:eastAsia="Symbol"/>
              </w:rPr>
            </w:pPr>
            <w:r>
              <w:t>Co(b)</w:t>
            </w:r>
          </w:p>
        </w:tc>
        <w:tc>
          <w:tcPr>
            <w:tcW w:w="1253" w:type="dxa"/>
            <w:shd w:val="clear" w:color="auto" w:fill="auto"/>
          </w:tcPr>
          <w:p w14:paraId="2BBA5568" w14:textId="77777777" w:rsidR="003E3D07" w:rsidRDefault="003E3D07">
            <w:pPr>
              <w:pStyle w:val="TableText"/>
              <w:rPr>
                <w:rFonts w:eastAsia="Symbol"/>
              </w:rPr>
            </w:pPr>
            <w:r>
              <w:t>None</w:t>
            </w:r>
          </w:p>
        </w:tc>
        <w:tc>
          <w:tcPr>
            <w:tcW w:w="1296" w:type="dxa"/>
            <w:shd w:val="clear" w:color="auto" w:fill="auto"/>
          </w:tcPr>
          <w:p w14:paraId="266B4E99" w14:textId="77777777" w:rsidR="003E3D07" w:rsidRDefault="003E3D07">
            <w:pPr>
              <w:pStyle w:val="TableText"/>
              <w:rPr>
                <w:rFonts w:eastAsia="Symbol"/>
              </w:rPr>
            </w:pPr>
            <w:r>
              <w:t>17</w:t>
            </w:r>
          </w:p>
        </w:tc>
        <w:tc>
          <w:tcPr>
            <w:tcW w:w="841" w:type="dxa"/>
            <w:shd w:val="clear" w:color="auto" w:fill="auto"/>
          </w:tcPr>
          <w:p w14:paraId="7DB318EC" w14:textId="77777777" w:rsidR="003E3D07" w:rsidRDefault="003E3D07">
            <w:pPr>
              <w:pStyle w:val="TableText"/>
            </w:pPr>
            <w:r>
              <w:t>AGCo(b)</w:t>
            </w:r>
          </w:p>
        </w:tc>
      </w:tr>
      <w:tr w:rsidR="00824338" w14:paraId="13052F8B" w14:textId="77777777" w:rsidTr="00031618">
        <w:tblPrEx>
          <w:tblBorders>
            <w:insideH w:val="single" w:sz="4" w:space="0" w:color="auto"/>
            <w:insideV w:val="single" w:sz="4" w:space="0" w:color="auto"/>
          </w:tblBorders>
        </w:tblPrEx>
        <w:tc>
          <w:tcPr>
            <w:tcW w:w="1975" w:type="dxa"/>
            <w:shd w:val="clear" w:color="auto" w:fill="auto"/>
          </w:tcPr>
          <w:p w14:paraId="7B429161" w14:textId="77777777" w:rsidR="003E3D07" w:rsidRDefault="003E3D07">
            <w:pPr>
              <w:pStyle w:val="TableText"/>
              <w:rPr>
                <w:rFonts w:eastAsia="Symbol"/>
              </w:rPr>
            </w:pPr>
            <w:r>
              <w:t>Anti-LW(a)</w:t>
            </w:r>
          </w:p>
        </w:tc>
        <w:tc>
          <w:tcPr>
            <w:tcW w:w="1710" w:type="dxa"/>
            <w:shd w:val="clear" w:color="auto" w:fill="auto"/>
          </w:tcPr>
          <w:p w14:paraId="43D02249" w14:textId="77777777" w:rsidR="003E3D07" w:rsidRDefault="003E3D07">
            <w:pPr>
              <w:pStyle w:val="TableText"/>
            </w:pPr>
            <w:r>
              <w:t>None</w:t>
            </w:r>
          </w:p>
        </w:tc>
        <w:tc>
          <w:tcPr>
            <w:tcW w:w="878" w:type="dxa"/>
            <w:shd w:val="clear" w:color="auto" w:fill="auto"/>
          </w:tcPr>
          <w:p w14:paraId="22C021AA" w14:textId="77777777" w:rsidR="003E3D07" w:rsidRDefault="003E3D07">
            <w:pPr>
              <w:pStyle w:val="TableText"/>
            </w:pPr>
            <w:r>
              <w:t>No</w:t>
            </w:r>
          </w:p>
        </w:tc>
        <w:tc>
          <w:tcPr>
            <w:tcW w:w="878" w:type="dxa"/>
            <w:shd w:val="clear" w:color="auto" w:fill="auto"/>
          </w:tcPr>
          <w:p w14:paraId="3FD833C0" w14:textId="77777777" w:rsidR="003E3D07" w:rsidRDefault="003E3D07">
            <w:pPr>
              <w:pStyle w:val="TableText"/>
              <w:rPr>
                <w:rFonts w:eastAsia="Symbol"/>
              </w:rPr>
            </w:pPr>
            <w:r>
              <w:t>Optional</w:t>
            </w:r>
          </w:p>
        </w:tc>
        <w:tc>
          <w:tcPr>
            <w:tcW w:w="1253" w:type="dxa"/>
            <w:shd w:val="clear" w:color="auto" w:fill="auto"/>
          </w:tcPr>
          <w:p w14:paraId="6446210B" w14:textId="77777777" w:rsidR="003E3D07" w:rsidRDefault="003E3D07">
            <w:pPr>
              <w:pStyle w:val="TableText"/>
              <w:rPr>
                <w:rFonts w:eastAsia="Symbol"/>
              </w:rPr>
            </w:pPr>
            <w:r>
              <w:t>LW(a)</w:t>
            </w:r>
          </w:p>
        </w:tc>
        <w:tc>
          <w:tcPr>
            <w:tcW w:w="1253" w:type="dxa"/>
            <w:shd w:val="clear" w:color="auto" w:fill="auto"/>
          </w:tcPr>
          <w:p w14:paraId="716E8A18" w14:textId="77777777" w:rsidR="003E3D07" w:rsidRDefault="003E3D07">
            <w:pPr>
              <w:pStyle w:val="TableText"/>
              <w:rPr>
                <w:rFonts w:eastAsia="Symbol"/>
              </w:rPr>
            </w:pPr>
            <w:r>
              <w:t>None</w:t>
            </w:r>
          </w:p>
        </w:tc>
        <w:tc>
          <w:tcPr>
            <w:tcW w:w="1296" w:type="dxa"/>
            <w:shd w:val="clear" w:color="auto" w:fill="auto"/>
          </w:tcPr>
          <w:p w14:paraId="38B4B886" w14:textId="77777777" w:rsidR="003E3D07" w:rsidRDefault="003E3D07">
            <w:pPr>
              <w:pStyle w:val="TableText"/>
              <w:rPr>
                <w:rFonts w:eastAsia="Symbol"/>
              </w:rPr>
            </w:pPr>
            <w:r>
              <w:t>0</w:t>
            </w:r>
          </w:p>
        </w:tc>
        <w:tc>
          <w:tcPr>
            <w:tcW w:w="841" w:type="dxa"/>
            <w:shd w:val="clear" w:color="auto" w:fill="auto"/>
          </w:tcPr>
          <w:p w14:paraId="0817C5A0" w14:textId="77777777" w:rsidR="003E3D07" w:rsidRDefault="003E3D07">
            <w:pPr>
              <w:pStyle w:val="TableText"/>
            </w:pPr>
            <w:r>
              <w:t>AG LW(a)</w:t>
            </w:r>
          </w:p>
        </w:tc>
      </w:tr>
      <w:tr w:rsidR="00824338" w14:paraId="5B63CA50" w14:textId="77777777" w:rsidTr="00031618">
        <w:tblPrEx>
          <w:tblBorders>
            <w:insideH w:val="single" w:sz="4" w:space="0" w:color="auto"/>
            <w:insideV w:val="single" w:sz="4" w:space="0" w:color="auto"/>
          </w:tblBorders>
        </w:tblPrEx>
        <w:tc>
          <w:tcPr>
            <w:tcW w:w="1975" w:type="dxa"/>
            <w:shd w:val="clear" w:color="auto" w:fill="auto"/>
          </w:tcPr>
          <w:p w14:paraId="48FDA59D" w14:textId="77777777" w:rsidR="003E3D07" w:rsidRDefault="003E3D07">
            <w:pPr>
              <w:pStyle w:val="TableText"/>
              <w:rPr>
                <w:rFonts w:eastAsia="Symbol"/>
              </w:rPr>
            </w:pPr>
            <w:r>
              <w:t>Anti-LW(b)</w:t>
            </w:r>
          </w:p>
        </w:tc>
        <w:tc>
          <w:tcPr>
            <w:tcW w:w="1710" w:type="dxa"/>
            <w:shd w:val="clear" w:color="auto" w:fill="auto"/>
          </w:tcPr>
          <w:p w14:paraId="45C741C4" w14:textId="77777777" w:rsidR="003E3D07" w:rsidRDefault="003E3D07">
            <w:pPr>
              <w:pStyle w:val="TableText"/>
            </w:pPr>
            <w:r>
              <w:t>None</w:t>
            </w:r>
          </w:p>
        </w:tc>
        <w:tc>
          <w:tcPr>
            <w:tcW w:w="878" w:type="dxa"/>
            <w:shd w:val="clear" w:color="auto" w:fill="auto"/>
          </w:tcPr>
          <w:p w14:paraId="0832CBDB" w14:textId="77777777" w:rsidR="003E3D07" w:rsidRDefault="003E3D07">
            <w:pPr>
              <w:pStyle w:val="TableText"/>
            </w:pPr>
            <w:r>
              <w:t>No</w:t>
            </w:r>
          </w:p>
        </w:tc>
        <w:tc>
          <w:tcPr>
            <w:tcW w:w="878" w:type="dxa"/>
            <w:shd w:val="clear" w:color="auto" w:fill="auto"/>
          </w:tcPr>
          <w:p w14:paraId="1FC34742" w14:textId="77777777" w:rsidR="003E3D07" w:rsidRDefault="003E3D07">
            <w:pPr>
              <w:pStyle w:val="TableText"/>
              <w:rPr>
                <w:rFonts w:eastAsia="Symbol"/>
              </w:rPr>
            </w:pPr>
            <w:r>
              <w:t>Optional</w:t>
            </w:r>
          </w:p>
        </w:tc>
        <w:tc>
          <w:tcPr>
            <w:tcW w:w="1253" w:type="dxa"/>
            <w:shd w:val="clear" w:color="auto" w:fill="auto"/>
          </w:tcPr>
          <w:p w14:paraId="21917962" w14:textId="77777777" w:rsidR="003E3D07" w:rsidRDefault="003E3D07">
            <w:pPr>
              <w:pStyle w:val="TableText"/>
              <w:rPr>
                <w:rFonts w:eastAsia="Symbol"/>
              </w:rPr>
            </w:pPr>
            <w:r>
              <w:t>LW(b)</w:t>
            </w:r>
          </w:p>
        </w:tc>
        <w:tc>
          <w:tcPr>
            <w:tcW w:w="1253" w:type="dxa"/>
            <w:shd w:val="clear" w:color="auto" w:fill="auto"/>
          </w:tcPr>
          <w:p w14:paraId="64EA663D" w14:textId="77777777" w:rsidR="003E3D07" w:rsidRDefault="003E3D07">
            <w:pPr>
              <w:pStyle w:val="TableText"/>
              <w:rPr>
                <w:rFonts w:eastAsia="Symbol"/>
              </w:rPr>
            </w:pPr>
            <w:r>
              <w:t>None</w:t>
            </w:r>
          </w:p>
        </w:tc>
        <w:tc>
          <w:tcPr>
            <w:tcW w:w="1296" w:type="dxa"/>
            <w:shd w:val="clear" w:color="auto" w:fill="auto"/>
          </w:tcPr>
          <w:p w14:paraId="0F611080" w14:textId="77777777" w:rsidR="003E3D07" w:rsidRDefault="003E3D07">
            <w:pPr>
              <w:pStyle w:val="TableText"/>
              <w:rPr>
                <w:rFonts w:eastAsia="Symbol"/>
              </w:rPr>
            </w:pPr>
            <w:r>
              <w:t>99</w:t>
            </w:r>
          </w:p>
        </w:tc>
        <w:tc>
          <w:tcPr>
            <w:tcW w:w="841" w:type="dxa"/>
            <w:shd w:val="clear" w:color="auto" w:fill="auto"/>
          </w:tcPr>
          <w:p w14:paraId="19C2A5EA" w14:textId="77777777" w:rsidR="003E3D07" w:rsidRDefault="003E3D07">
            <w:pPr>
              <w:pStyle w:val="TableText"/>
            </w:pPr>
            <w:r>
              <w:t>AG LW(b)</w:t>
            </w:r>
          </w:p>
        </w:tc>
      </w:tr>
      <w:tr w:rsidR="00824338" w14:paraId="7E3475C1" w14:textId="77777777" w:rsidTr="00031618">
        <w:tblPrEx>
          <w:tblBorders>
            <w:insideH w:val="single" w:sz="4" w:space="0" w:color="auto"/>
            <w:insideV w:val="single" w:sz="4" w:space="0" w:color="auto"/>
          </w:tblBorders>
        </w:tblPrEx>
        <w:tc>
          <w:tcPr>
            <w:tcW w:w="1975" w:type="dxa"/>
            <w:shd w:val="clear" w:color="auto" w:fill="auto"/>
          </w:tcPr>
          <w:p w14:paraId="1E5543C5" w14:textId="77777777" w:rsidR="003E3D07" w:rsidRDefault="003E3D07">
            <w:pPr>
              <w:pStyle w:val="TableText"/>
              <w:rPr>
                <w:rFonts w:eastAsia="Symbol"/>
              </w:rPr>
            </w:pPr>
            <w:r>
              <w:t>Anti-Sc1</w:t>
            </w:r>
          </w:p>
        </w:tc>
        <w:tc>
          <w:tcPr>
            <w:tcW w:w="1710" w:type="dxa"/>
            <w:shd w:val="clear" w:color="auto" w:fill="auto"/>
          </w:tcPr>
          <w:p w14:paraId="481594D6" w14:textId="77777777" w:rsidR="003E3D07" w:rsidRDefault="003E3D07">
            <w:pPr>
              <w:pStyle w:val="TableText"/>
              <w:rPr>
                <w:rFonts w:eastAsia="Symbol"/>
              </w:rPr>
            </w:pPr>
            <w:r>
              <w:t>None</w:t>
            </w:r>
          </w:p>
        </w:tc>
        <w:tc>
          <w:tcPr>
            <w:tcW w:w="878" w:type="dxa"/>
            <w:shd w:val="clear" w:color="auto" w:fill="auto"/>
          </w:tcPr>
          <w:p w14:paraId="7EFBBF63" w14:textId="77777777" w:rsidR="003E3D07" w:rsidRDefault="003E3D07">
            <w:pPr>
              <w:pStyle w:val="TableText"/>
            </w:pPr>
            <w:r>
              <w:t>No</w:t>
            </w:r>
          </w:p>
        </w:tc>
        <w:tc>
          <w:tcPr>
            <w:tcW w:w="878" w:type="dxa"/>
            <w:shd w:val="clear" w:color="auto" w:fill="auto"/>
          </w:tcPr>
          <w:p w14:paraId="1AEA3D84" w14:textId="77777777" w:rsidR="003E3D07" w:rsidRDefault="003E3D07">
            <w:pPr>
              <w:pStyle w:val="TableText"/>
              <w:rPr>
                <w:rFonts w:eastAsia="Symbol"/>
              </w:rPr>
            </w:pPr>
            <w:r>
              <w:t>Optional</w:t>
            </w:r>
          </w:p>
        </w:tc>
        <w:tc>
          <w:tcPr>
            <w:tcW w:w="1253" w:type="dxa"/>
            <w:shd w:val="clear" w:color="auto" w:fill="auto"/>
          </w:tcPr>
          <w:p w14:paraId="2746B0DE" w14:textId="77777777" w:rsidR="003E3D07" w:rsidRDefault="003E3D07">
            <w:pPr>
              <w:pStyle w:val="TableText"/>
              <w:rPr>
                <w:rFonts w:eastAsia="Symbol"/>
              </w:rPr>
            </w:pPr>
            <w:r>
              <w:t>Sc1</w:t>
            </w:r>
          </w:p>
        </w:tc>
        <w:tc>
          <w:tcPr>
            <w:tcW w:w="1253" w:type="dxa"/>
            <w:shd w:val="clear" w:color="auto" w:fill="auto"/>
          </w:tcPr>
          <w:p w14:paraId="5DFC0C2A" w14:textId="77777777" w:rsidR="003E3D07" w:rsidRDefault="003E3D07">
            <w:pPr>
              <w:pStyle w:val="TableText"/>
              <w:rPr>
                <w:rFonts w:eastAsia="Symbol"/>
              </w:rPr>
            </w:pPr>
            <w:r>
              <w:t>None</w:t>
            </w:r>
          </w:p>
        </w:tc>
        <w:tc>
          <w:tcPr>
            <w:tcW w:w="1296" w:type="dxa"/>
            <w:shd w:val="clear" w:color="auto" w:fill="auto"/>
          </w:tcPr>
          <w:p w14:paraId="296B8718" w14:textId="77777777" w:rsidR="003E3D07" w:rsidRDefault="003E3D07">
            <w:pPr>
              <w:pStyle w:val="TableText"/>
              <w:rPr>
                <w:rFonts w:eastAsia="Symbol"/>
              </w:rPr>
            </w:pPr>
            <w:r>
              <w:t>0</w:t>
            </w:r>
          </w:p>
        </w:tc>
        <w:tc>
          <w:tcPr>
            <w:tcW w:w="841" w:type="dxa"/>
            <w:shd w:val="clear" w:color="auto" w:fill="auto"/>
          </w:tcPr>
          <w:p w14:paraId="1D2A6369" w14:textId="77777777" w:rsidR="003E3D07" w:rsidRDefault="003E3D07">
            <w:pPr>
              <w:pStyle w:val="TableText"/>
              <w:rPr>
                <w:rFonts w:eastAsia="Symbol"/>
              </w:rPr>
            </w:pPr>
            <w:r>
              <w:t>AGSc1</w:t>
            </w:r>
          </w:p>
        </w:tc>
      </w:tr>
      <w:tr w:rsidR="00824338" w14:paraId="6B6D9A3C" w14:textId="77777777" w:rsidTr="00031618">
        <w:tblPrEx>
          <w:tblBorders>
            <w:insideH w:val="single" w:sz="4" w:space="0" w:color="auto"/>
            <w:insideV w:val="single" w:sz="4" w:space="0" w:color="auto"/>
          </w:tblBorders>
        </w:tblPrEx>
        <w:tc>
          <w:tcPr>
            <w:tcW w:w="1975" w:type="dxa"/>
            <w:shd w:val="clear" w:color="auto" w:fill="auto"/>
          </w:tcPr>
          <w:p w14:paraId="3D96594F" w14:textId="77777777" w:rsidR="003E3D07" w:rsidRDefault="003E3D07">
            <w:pPr>
              <w:pStyle w:val="TableText"/>
              <w:rPr>
                <w:rFonts w:eastAsia="Symbol"/>
              </w:rPr>
            </w:pPr>
            <w:r>
              <w:t>Anti-Sc2</w:t>
            </w:r>
          </w:p>
        </w:tc>
        <w:tc>
          <w:tcPr>
            <w:tcW w:w="1710" w:type="dxa"/>
            <w:shd w:val="clear" w:color="auto" w:fill="auto"/>
          </w:tcPr>
          <w:p w14:paraId="4BED10A1" w14:textId="77777777" w:rsidR="003E3D07" w:rsidRDefault="003E3D07">
            <w:pPr>
              <w:pStyle w:val="TableText"/>
              <w:rPr>
                <w:rFonts w:eastAsia="Symbol"/>
              </w:rPr>
            </w:pPr>
            <w:r>
              <w:t>None</w:t>
            </w:r>
          </w:p>
        </w:tc>
        <w:tc>
          <w:tcPr>
            <w:tcW w:w="878" w:type="dxa"/>
            <w:shd w:val="clear" w:color="auto" w:fill="auto"/>
          </w:tcPr>
          <w:p w14:paraId="60A3BDAA" w14:textId="77777777" w:rsidR="003E3D07" w:rsidRDefault="003E3D07">
            <w:pPr>
              <w:pStyle w:val="TableText"/>
            </w:pPr>
            <w:r>
              <w:t>No</w:t>
            </w:r>
          </w:p>
        </w:tc>
        <w:tc>
          <w:tcPr>
            <w:tcW w:w="878" w:type="dxa"/>
            <w:shd w:val="clear" w:color="auto" w:fill="auto"/>
          </w:tcPr>
          <w:p w14:paraId="04B0000C" w14:textId="77777777" w:rsidR="003E3D07" w:rsidRDefault="003E3D07">
            <w:pPr>
              <w:pStyle w:val="TableText"/>
              <w:rPr>
                <w:rFonts w:eastAsia="Symbol"/>
              </w:rPr>
            </w:pPr>
            <w:r>
              <w:t>Optional</w:t>
            </w:r>
          </w:p>
        </w:tc>
        <w:tc>
          <w:tcPr>
            <w:tcW w:w="1253" w:type="dxa"/>
            <w:shd w:val="clear" w:color="auto" w:fill="auto"/>
          </w:tcPr>
          <w:p w14:paraId="6EFE854D" w14:textId="77777777" w:rsidR="003E3D07" w:rsidRDefault="003E3D07">
            <w:pPr>
              <w:pStyle w:val="TableText"/>
              <w:rPr>
                <w:rFonts w:eastAsia="Symbol"/>
              </w:rPr>
            </w:pPr>
            <w:r>
              <w:t>Sc2</w:t>
            </w:r>
          </w:p>
        </w:tc>
        <w:tc>
          <w:tcPr>
            <w:tcW w:w="1253" w:type="dxa"/>
            <w:shd w:val="clear" w:color="auto" w:fill="auto"/>
          </w:tcPr>
          <w:p w14:paraId="354CDCF9" w14:textId="77777777" w:rsidR="003E3D07" w:rsidRDefault="003E3D07">
            <w:pPr>
              <w:pStyle w:val="TableText"/>
              <w:rPr>
                <w:rFonts w:eastAsia="Symbol"/>
              </w:rPr>
            </w:pPr>
            <w:r>
              <w:t>None</w:t>
            </w:r>
          </w:p>
        </w:tc>
        <w:tc>
          <w:tcPr>
            <w:tcW w:w="1296" w:type="dxa"/>
            <w:shd w:val="clear" w:color="auto" w:fill="auto"/>
          </w:tcPr>
          <w:p w14:paraId="60C61BFD" w14:textId="77777777" w:rsidR="003E3D07" w:rsidRDefault="003E3D07">
            <w:pPr>
              <w:pStyle w:val="TableText"/>
              <w:rPr>
                <w:rFonts w:eastAsia="Symbol"/>
              </w:rPr>
            </w:pPr>
            <w:r>
              <w:t>99</w:t>
            </w:r>
          </w:p>
        </w:tc>
        <w:tc>
          <w:tcPr>
            <w:tcW w:w="841" w:type="dxa"/>
            <w:shd w:val="clear" w:color="auto" w:fill="auto"/>
          </w:tcPr>
          <w:p w14:paraId="2B2CA974" w14:textId="77777777" w:rsidR="003E3D07" w:rsidRDefault="003E3D07">
            <w:pPr>
              <w:pStyle w:val="TableText"/>
              <w:rPr>
                <w:rFonts w:eastAsia="Symbol"/>
              </w:rPr>
            </w:pPr>
            <w:r>
              <w:t>AGSc2</w:t>
            </w:r>
          </w:p>
        </w:tc>
      </w:tr>
      <w:tr w:rsidR="00824338" w14:paraId="28FE1473" w14:textId="77777777" w:rsidTr="00031618">
        <w:tblPrEx>
          <w:tblBorders>
            <w:insideH w:val="single" w:sz="4" w:space="0" w:color="auto"/>
            <w:insideV w:val="single" w:sz="4" w:space="0" w:color="auto"/>
          </w:tblBorders>
        </w:tblPrEx>
        <w:tc>
          <w:tcPr>
            <w:tcW w:w="1975" w:type="dxa"/>
            <w:shd w:val="clear" w:color="auto" w:fill="auto"/>
          </w:tcPr>
          <w:p w14:paraId="66C2DA7E" w14:textId="77777777" w:rsidR="003E3D07" w:rsidRDefault="003E3D07">
            <w:pPr>
              <w:pStyle w:val="TableText"/>
              <w:rPr>
                <w:rFonts w:eastAsia="Symbol"/>
              </w:rPr>
            </w:pPr>
            <w:r>
              <w:t>Anti-Sd(a)</w:t>
            </w:r>
          </w:p>
        </w:tc>
        <w:tc>
          <w:tcPr>
            <w:tcW w:w="1710" w:type="dxa"/>
            <w:shd w:val="clear" w:color="auto" w:fill="auto"/>
          </w:tcPr>
          <w:p w14:paraId="5C4506C9" w14:textId="77777777" w:rsidR="003E3D07" w:rsidRDefault="003E3D07">
            <w:pPr>
              <w:pStyle w:val="TableText"/>
              <w:rPr>
                <w:rFonts w:eastAsia="Symbol"/>
              </w:rPr>
            </w:pPr>
            <w:r>
              <w:t>None</w:t>
            </w:r>
          </w:p>
        </w:tc>
        <w:tc>
          <w:tcPr>
            <w:tcW w:w="878" w:type="dxa"/>
            <w:shd w:val="clear" w:color="auto" w:fill="auto"/>
          </w:tcPr>
          <w:p w14:paraId="5F224640" w14:textId="77777777" w:rsidR="003E3D07" w:rsidRDefault="003E3D07">
            <w:pPr>
              <w:pStyle w:val="TableText"/>
            </w:pPr>
            <w:r>
              <w:t>No</w:t>
            </w:r>
          </w:p>
        </w:tc>
        <w:tc>
          <w:tcPr>
            <w:tcW w:w="878" w:type="dxa"/>
            <w:shd w:val="clear" w:color="auto" w:fill="auto"/>
          </w:tcPr>
          <w:p w14:paraId="40EE0168" w14:textId="77777777" w:rsidR="003E3D07" w:rsidRDefault="003E3D07">
            <w:pPr>
              <w:pStyle w:val="TableText"/>
              <w:rPr>
                <w:rFonts w:eastAsia="Symbol"/>
              </w:rPr>
            </w:pPr>
            <w:r>
              <w:t>Optional</w:t>
            </w:r>
          </w:p>
        </w:tc>
        <w:tc>
          <w:tcPr>
            <w:tcW w:w="1253" w:type="dxa"/>
            <w:shd w:val="clear" w:color="auto" w:fill="auto"/>
          </w:tcPr>
          <w:p w14:paraId="05B8CBCD" w14:textId="77777777" w:rsidR="003E3D07" w:rsidRDefault="003E3D07">
            <w:pPr>
              <w:pStyle w:val="TableText"/>
              <w:rPr>
                <w:rFonts w:eastAsia="Symbol"/>
              </w:rPr>
            </w:pPr>
            <w:r>
              <w:t>Sd(a)</w:t>
            </w:r>
          </w:p>
        </w:tc>
        <w:tc>
          <w:tcPr>
            <w:tcW w:w="1253" w:type="dxa"/>
            <w:shd w:val="clear" w:color="auto" w:fill="auto"/>
          </w:tcPr>
          <w:p w14:paraId="1D6F22DC" w14:textId="77777777" w:rsidR="003E3D07" w:rsidRDefault="003E3D07">
            <w:pPr>
              <w:pStyle w:val="TableText"/>
            </w:pPr>
            <w:r>
              <w:t>None</w:t>
            </w:r>
          </w:p>
        </w:tc>
        <w:tc>
          <w:tcPr>
            <w:tcW w:w="1296" w:type="dxa"/>
            <w:shd w:val="clear" w:color="auto" w:fill="auto"/>
          </w:tcPr>
          <w:p w14:paraId="4B990BEA" w14:textId="77777777" w:rsidR="003E3D07" w:rsidRDefault="003E3D07">
            <w:pPr>
              <w:pStyle w:val="TableText"/>
              <w:rPr>
                <w:rFonts w:eastAsia="Symbol"/>
              </w:rPr>
            </w:pPr>
            <w:r>
              <w:t>1</w:t>
            </w:r>
          </w:p>
        </w:tc>
        <w:tc>
          <w:tcPr>
            <w:tcW w:w="841" w:type="dxa"/>
            <w:shd w:val="clear" w:color="auto" w:fill="auto"/>
          </w:tcPr>
          <w:p w14:paraId="496B007A" w14:textId="77777777" w:rsidR="003E3D07" w:rsidRDefault="003E3D07">
            <w:pPr>
              <w:pStyle w:val="TableText"/>
              <w:rPr>
                <w:rFonts w:eastAsia="Symbol"/>
              </w:rPr>
            </w:pPr>
            <w:r>
              <w:t>AGSd(a)</w:t>
            </w:r>
          </w:p>
        </w:tc>
      </w:tr>
      <w:tr w:rsidR="00824338" w14:paraId="2BE12FB2" w14:textId="77777777" w:rsidTr="00031618">
        <w:tblPrEx>
          <w:tblBorders>
            <w:insideH w:val="single" w:sz="4" w:space="0" w:color="auto"/>
            <w:insideV w:val="single" w:sz="4" w:space="0" w:color="auto"/>
          </w:tblBorders>
        </w:tblPrEx>
        <w:tc>
          <w:tcPr>
            <w:tcW w:w="1975" w:type="dxa"/>
            <w:shd w:val="clear" w:color="auto" w:fill="auto"/>
          </w:tcPr>
          <w:p w14:paraId="3663483C" w14:textId="77777777" w:rsidR="003E3D07" w:rsidRDefault="003E3D07">
            <w:pPr>
              <w:pStyle w:val="TableText"/>
              <w:rPr>
                <w:rFonts w:eastAsia="Symbol"/>
              </w:rPr>
            </w:pPr>
            <w:r>
              <w:t>Anti-Au(a)</w:t>
            </w:r>
          </w:p>
        </w:tc>
        <w:tc>
          <w:tcPr>
            <w:tcW w:w="1710" w:type="dxa"/>
            <w:shd w:val="clear" w:color="auto" w:fill="auto"/>
          </w:tcPr>
          <w:p w14:paraId="19D6F214" w14:textId="77777777" w:rsidR="003E3D07" w:rsidRDefault="003E3D07">
            <w:pPr>
              <w:pStyle w:val="TableText"/>
              <w:rPr>
                <w:rFonts w:eastAsia="Symbol"/>
              </w:rPr>
            </w:pPr>
            <w:r>
              <w:t>Anti-Au(a)</w:t>
            </w:r>
          </w:p>
        </w:tc>
        <w:tc>
          <w:tcPr>
            <w:tcW w:w="878" w:type="dxa"/>
            <w:shd w:val="clear" w:color="auto" w:fill="auto"/>
          </w:tcPr>
          <w:p w14:paraId="6611994B" w14:textId="77777777" w:rsidR="003E3D07" w:rsidRDefault="003E3D07">
            <w:pPr>
              <w:pStyle w:val="TableText"/>
            </w:pPr>
            <w:r>
              <w:t>No</w:t>
            </w:r>
          </w:p>
        </w:tc>
        <w:tc>
          <w:tcPr>
            <w:tcW w:w="878" w:type="dxa"/>
            <w:shd w:val="clear" w:color="auto" w:fill="auto"/>
          </w:tcPr>
          <w:p w14:paraId="4C32BCA5" w14:textId="77777777" w:rsidR="003E3D07" w:rsidRDefault="003E3D07">
            <w:pPr>
              <w:pStyle w:val="TableText"/>
              <w:rPr>
                <w:rFonts w:eastAsia="Symbol"/>
              </w:rPr>
            </w:pPr>
            <w:r>
              <w:t>Optional</w:t>
            </w:r>
          </w:p>
        </w:tc>
        <w:tc>
          <w:tcPr>
            <w:tcW w:w="1253" w:type="dxa"/>
            <w:shd w:val="clear" w:color="auto" w:fill="auto"/>
          </w:tcPr>
          <w:p w14:paraId="517BDD15" w14:textId="77777777" w:rsidR="003E3D07" w:rsidRDefault="003E3D07">
            <w:pPr>
              <w:pStyle w:val="TableText"/>
              <w:rPr>
                <w:rFonts w:eastAsia="Symbol"/>
              </w:rPr>
            </w:pPr>
            <w:r>
              <w:t>Au(a)</w:t>
            </w:r>
          </w:p>
        </w:tc>
        <w:tc>
          <w:tcPr>
            <w:tcW w:w="1253" w:type="dxa"/>
            <w:shd w:val="clear" w:color="auto" w:fill="auto"/>
          </w:tcPr>
          <w:p w14:paraId="17DD51FD" w14:textId="77777777" w:rsidR="003E3D07" w:rsidRDefault="003E3D07">
            <w:pPr>
              <w:pStyle w:val="TableText"/>
              <w:rPr>
                <w:rFonts w:eastAsia="Symbol"/>
              </w:rPr>
            </w:pPr>
            <w:r>
              <w:t>Au(a)</w:t>
            </w:r>
          </w:p>
        </w:tc>
        <w:tc>
          <w:tcPr>
            <w:tcW w:w="1296" w:type="dxa"/>
            <w:shd w:val="clear" w:color="auto" w:fill="auto"/>
          </w:tcPr>
          <w:p w14:paraId="209F04D8" w14:textId="77777777" w:rsidR="003E3D07" w:rsidRDefault="003E3D07">
            <w:pPr>
              <w:pStyle w:val="TableText"/>
              <w:rPr>
                <w:rFonts w:eastAsia="Symbol"/>
              </w:rPr>
            </w:pPr>
            <w:r>
              <w:t>20</w:t>
            </w:r>
          </w:p>
        </w:tc>
        <w:tc>
          <w:tcPr>
            <w:tcW w:w="841" w:type="dxa"/>
            <w:shd w:val="clear" w:color="auto" w:fill="auto"/>
          </w:tcPr>
          <w:p w14:paraId="0F899336" w14:textId="77777777" w:rsidR="003E3D07" w:rsidRDefault="003E3D07">
            <w:pPr>
              <w:pStyle w:val="TableText"/>
            </w:pPr>
            <w:r>
              <w:t>AGAu(a)</w:t>
            </w:r>
          </w:p>
        </w:tc>
      </w:tr>
      <w:tr w:rsidR="00824338" w14:paraId="61753B56" w14:textId="77777777" w:rsidTr="00031618">
        <w:tblPrEx>
          <w:tblBorders>
            <w:insideH w:val="single" w:sz="4" w:space="0" w:color="auto"/>
            <w:insideV w:val="single" w:sz="4" w:space="0" w:color="auto"/>
          </w:tblBorders>
        </w:tblPrEx>
        <w:tc>
          <w:tcPr>
            <w:tcW w:w="1975" w:type="dxa"/>
            <w:shd w:val="clear" w:color="auto" w:fill="auto"/>
          </w:tcPr>
          <w:p w14:paraId="78EF9887" w14:textId="77777777" w:rsidR="003E3D07" w:rsidRDefault="003E3D07">
            <w:pPr>
              <w:pStyle w:val="TableText"/>
            </w:pPr>
            <w:r>
              <w:t>Anti-Au(b)</w:t>
            </w:r>
          </w:p>
        </w:tc>
        <w:tc>
          <w:tcPr>
            <w:tcW w:w="1710" w:type="dxa"/>
            <w:shd w:val="clear" w:color="auto" w:fill="auto"/>
          </w:tcPr>
          <w:p w14:paraId="1ABB5D38" w14:textId="77777777" w:rsidR="003E3D07" w:rsidRDefault="003E3D07">
            <w:pPr>
              <w:pStyle w:val="TableText"/>
              <w:rPr>
                <w:rFonts w:eastAsia="Symbol"/>
              </w:rPr>
            </w:pPr>
            <w:r>
              <w:t>None</w:t>
            </w:r>
          </w:p>
        </w:tc>
        <w:tc>
          <w:tcPr>
            <w:tcW w:w="878" w:type="dxa"/>
            <w:shd w:val="clear" w:color="auto" w:fill="auto"/>
          </w:tcPr>
          <w:p w14:paraId="20F3EFA8" w14:textId="77777777" w:rsidR="003E3D07" w:rsidRDefault="003E3D07">
            <w:pPr>
              <w:pStyle w:val="TableText"/>
            </w:pPr>
            <w:r>
              <w:t>No</w:t>
            </w:r>
          </w:p>
        </w:tc>
        <w:tc>
          <w:tcPr>
            <w:tcW w:w="878" w:type="dxa"/>
            <w:shd w:val="clear" w:color="auto" w:fill="auto"/>
          </w:tcPr>
          <w:p w14:paraId="493DD05B" w14:textId="77777777" w:rsidR="003E3D07" w:rsidRDefault="003E3D07">
            <w:pPr>
              <w:pStyle w:val="TableText"/>
            </w:pPr>
            <w:r>
              <w:t>Optional</w:t>
            </w:r>
          </w:p>
        </w:tc>
        <w:tc>
          <w:tcPr>
            <w:tcW w:w="1253" w:type="dxa"/>
            <w:shd w:val="clear" w:color="auto" w:fill="auto"/>
          </w:tcPr>
          <w:p w14:paraId="636F021B" w14:textId="77777777" w:rsidR="003E3D07" w:rsidRDefault="003E3D07">
            <w:pPr>
              <w:pStyle w:val="TableText"/>
            </w:pPr>
            <w:r>
              <w:t>Au(b)</w:t>
            </w:r>
          </w:p>
        </w:tc>
        <w:tc>
          <w:tcPr>
            <w:tcW w:w="1253" w:type="dxa"/>
            <w:shd w:val="clear" w:color="auto" w:fill="auto"/>
          </w:tcPr>
          <w:p w14:paraId="34B0B7DA" w14:textId="77777777" w:rsidR="003E3D07" w:rsidRDefault="003E3D07">
            <w:pPr>
              <w:pStyle w:val="TableText"/>
            </w:pPr>
            <w:r>
              <w:t>None</w:t>
            </w:r>
          </w:p>
        </w:tc>
        <w:tc>
          <w:tcPr>
            <w:tcW w:w="1296" w:type="dxa"/>
            <w:shd w:val="clear" w:color="auto" w:fill="auto"/>
          </w:tcPr>
          <w:p w14:paraId="7A89EB33" w14:textId="77777777" w:rsidR="003E3D07" w:rsidRDefault="003E3D07">
            <w:pPr>
              <w:pStyle w:val="TableText"/>
              <w:rPr>
                <w:rFonts w:eastAsia="Symbol"/>
              </w:rPr>
            </w:pPr>
            <w:r>
              <w:t>50</w:t>
            </w:r>
          </w:p>
        </w:tc>
        <w:tc>
          <w:tcPr>
            <w:tcW w:w="841" w:type="dxa"/>
            <w:shd w:val="clear" w:color="auto" w:fill="auto"/>
          </w:tcPr>
          <w:p w14:paraId="18110EE6" w14:textId="77777777" w:rsidR="003E3D07" w:rsidRDefault="003E3D07">
            <w:pPr>
              <w:pStyle w:val="TableText"/>
            </w:pPr>
            <w:r>
              <w:t>AGAu(b)</w:t>
            </w:r>
          </w:p>
        </w:tc>
      </w:tr>
      <w:tr w:rsidR="00824338" w14:paraId="05598B58" w14:textId="77777777" w:rsidTr="00031618">
        <w:tblPrEx>
          <w:tblBorders>
            <w:insideH w:val="single" w:sz="4" w:space="0" w:color="auto"/>
            <w:insideV w:val="single" w:sz="4" w:space="0" w:color="auto"/>
          </w:tblBorders>
        </w:tblPrEx>
        <w:tc>
          <w:tcPr>
            <w:tcW w:w="1975" w:type="dxa"/>
            <w:shd w:val="clear" w:color="auto" w:fill="auto"/>
          </w:tcPr>
          <w:p w14:paraId="69722B68" w14:textId="77777777" w:rsidR="003E3D07" w:rsidRDefault="003E3D07">
            <w:pPr>
              <w:pStyle w:val="TableText"/>
              <w:rPr>
                <w:rFonts w:eastAsia="Symbol"/>
              </w:rPr>
            </w:pPr>
            <w:r>
              <w:t>Anti-Ch</w:t>
            </w:r>
          </w:p>
        </w:tc>
        <w:tc>
          <w:tcPr>
            <w:tcW w:w="1710" w:type="dxa"/>
            <w:shd w:val="clear" w:color="auto" w:fill="auto"/>
          </w:tcPr>
          <w:p w14:paraId="5BF81477" w14:textId="77777777" w:rsidR="003E3D07" w:rsidRDefault="003E3D07">
            <w:pPr>
              <w:pStyle w:val="TableText"/>
              <w:rPr>
                <w:rFonts w:eastAsia="Symbol"/>
              </w:rPr>
            </w:pPr>
            <w:r>
              <w:t>None</w:t>
            </w:r>
          </w:p>
        </w:tc>
        <w:tc>
          <w:tcPr>
            <w:tcW w:w="878" w:type="dxa"/>
            <w:shd w:val="clear" w:color="auto" w:fill="auto"/>
          </w:tcPr>
          <w:p w14:paraId="5735F158" w14:textId="77777777" w:rsidR="003E3D07" w:rsidRDefault="003E3D07">
            <w:pPr>
              <w:pStyle w:val="TableText"/>
            </w:pPr>
            <w:r>
              <w:t>No</w:t>
            </w:r>
          </w:p>
        </w:tc>
        <w:tc>
          <w:tcPr>
            <w:tcW w:w="878" w:type="dxa"/>
            <w:shd w:val="clear" w:color="auto" w:fill="auto"/>
          </w:tcPr>
          <w:p w14:paraId="4B78AE2F" w14:textId="77777777" w:rsidR="003E3D07" w:rsidRDefault="003E3D07">
            <w:pPr>
              <w:pStyle w:val="TableText"/>
              <w:rPr>
                <w:rFonts w:eastAsia="Symbol"/>
              </w:rPr>
            </w:pPr>
            <w:r>
              <w:t>Optional</w:t>
            </w:r>
          </w:p>
        </w:tc>
        <w:tc>
          <w:tcPr>
            <w:tcW w:w="1253" w:type="dxa"/>
            <w:shd w:val="clear" w:color="auto" w:fill="auto"/>
          </w:tcPr>
          <w:p w14:paraId="6FBF2C85" w14:textId="77777777" w:rsidR="003E3D07" w:rsidRDefault="003E3D07">
            <w:pPr>
              <w:pStyle w:val="TableText"/>
              <w:rPr>
                <w:rFonts w:eastAsia="Symbol"/>
              </w:rPr>
            </w:pPr>
            <w:r>
              <w:t>Ch</w:t>
            </w:r>
          </w:p>
        </w:tc>
        <w:tc>
          <w:tcPr>
            <w:tcW w:w="1253" w:type="dxa"/>
            <w:shd w:val="clear" w:color="auto" w:fill="auto"/>
          </w:tcPr>
          <w:p w14:paraId="141BD64B" w14:textId="77777777" w:rsidR="003E3D07" w:rsidRDefault="003E3D07">
            <w:pPr>
              <w:pStyle w:val="TableText"/>
            </w:pPr>
            <w:r>
              <w:t>None</w:t>
            </w:r>
          </w:p>
        </w:tc>
        <w:tc>
          <w:tcPr>
            <w:tcW w:w="1296" w:type="dxa"/>
            <w:shd w:val="clear" w:color="auto" w:fill="auto"/>
          </w:tcPr>
          <w:p w14:paraId="0AF8A4FC" w14:textId="77777777" w:rsidR="003E3D07" w:rsidRDefault="003E3D07">
            <w:pPr>
              <w:pStyle w:val="TableText"/>
              <w:rPr>
                <w:rFonts w:eastAsia="Symbol"/>
              </w:rPr>
            </w:pPr>
            <w:r>
              <w:t>2</w:t>
            </w:r>
          </w:p>
        </w:tc>
        <w:tc>
          <w:tcPr>
            <w:tcW w:w="841" w:type="dxa"/>
            <w:shd w:val="clear" w:color="auto" w:fill="auto"/>
          </w:tcPr>
          <w:p w14:paraId="7FDE11B0" w14:textId="77777777" w:rsidR="003E3D07" w:rsidRDefault="003E3D07">
            <w:pPr>
              <w:pStyle w:val="TableText"/>
            </w:pPr>
            <w:r>
              <w:t>AGCh</w:t>
            </w:r>
          </w:p>
        </w:tc>
      </w:tr>
      <w:tr w:rsidR="00824338" w14:paraId="0A08A2EB" w14:textId="77777777" w:rsidTr="00031618">
        <w:tblPrEx>
          <w:tblBorders>
            <w:insideH w:val="single" w:sz="4" w:space="0" w:color="auto"/>
            <w:insideV w:val="single" w:sz="4" w:space="0" w:color="auto"/>
          </w:tblBorders>
        </w:tblPrEx>
        <w:tc>
          <w:tcPr>
            <w:tcW w:w="1975" w:type="dxa"/>
            <w:shd w:val="clear" w:color="auto" w:fill="auto"/>
          </w:tcPr>
          <w:p w14:paraId="574372ED" w14:textId="77777777" w:rsidR="003E3D07" w:rsidRDefault="003E3D07">
            <w:pPr>
              <w:pStyle w:val="TableText"/>
              <w:rPr>
                <w:rFonts w:eastAsia="Symbol"/>
              </w:rPr>
            </w:pPr>
            <w:r>
              <w:t>Anti-Rg</w:t>
            </w:r>
          </w:p>
        </w:tc>
        <w:tc>
          <w:tcPr>
            <w:tcW w:w="1710" w:type="dxa"/>
            <w:shd w:val="clear" w:color="auto" w:fill="auto"/>
          </w:tcPr>
          <w:p w14:paraId="519CE4A2" w14:textId="77777777" w:rsidR="003E3D07" w:rsidRDefault="003E3D07">
            <w:pPr>
              <w:pStyle w:val="TableText"/>
              <w:rPr>
                <w:rFonts w:eastAsia="Symbol"/>
              </w:rPr>
            </w:pPr>
            <w:r>
              <w:t>None</w:t>
            </w:r>
          </w:p>
        </w:tc>
        <w:tc>
          <w:tcPr>
            <w:tcW w:w="878" w:type="dxa"/>
            <w:shd w:val="clear" w:color="auto" w:fill="auto"/>
          </w:tcPr>
          <w:p w14:paraId="0AFC0255" w14:textId="77777777" w:rsidR="003E3D07" w:rsidRDefault="003E3D07">
            <w:pPr>
              <w:pStyle w:val="TableText"/>
            </w:pPr>
            <w:r>
              <w:t>No</w:t>
            </w:r>
          </w:p>
        </w:tc>
        <w:tc>
          <w:tcPr>
            <w:tcW w:w="878" w:type="dxa"/>
            <w:shd w:val="clear" w:color="auto" w:fill="auto"/>
          </w:tcPr>
          <w:p w14:paraId="00F22471" w14:textId="77777777" w:rsidR="003E3D07" w:rsidRDefault="003E3D07">
            <w:pPr>
              <w:pStyle w:val="TableText"/>
              <w:rPr>
                <w:rFonts w:eastAsia="Symbol"/>
              </w:rPr>
            </w:pPr>
            <w:r>
              <w:t>Optional</w:t>
            </w:r>
          </w:p>
        </w:tc>
        <w:tc>
          <w:tcPr>
            <w:tcW w:w="1253" w:type="dxa"/>
            <w:shd w:val="clear" w:color="auto" w:fill="auto"/>
          </w:tcPr>
          <w:p w14:paraId="646CA0F2" w14:textId="77777777" w:rsidR="003E3D07" w:rsidRDefault="003E3D07">
            <w:pPr>
              <w:pStyle w:val="TableText"/>
              <w:rPr>
                <w:rFonts w:eastAsia="Symbol"/>
              </w:rPr>
            </w:pPr>
            <w:r>
              <w:t>Rg</w:t>
            </w:r>
          </w:p>
        </w:tc>
        <w:tc>
          <w:tcPr>
            <w:tcW w:w="1253" w:type="dxa"/>
            <w:shd w:val="clear" w:color="auto" w:fill="auto"/>
          </w:tcPr>
          <w:p w14:paraId="36674FF6" w14:textId="77777777" w:rsidR="003E3D07" w:rsidRDefault="003E3D07">
            <w:pPr>
              <w:pStyle w:val="TableText"/>
            </w:pPr>
            <w:r>
              <w:t>None</w:t>
            </w:r>
          </w:p>
        </w:tc>
        <w:tc>
          <w:tcPr>
            <w:tcW w:w="1296" w:type="dxa"/>
            <w:shd w:val="clear" w:color="auto" w:fill="auto"/>
          </w:tcPr>
          <w:p w14:paraId="347372D3" w14:textId="77777777" w:rsidR="003E3D07" w:rsidRDefault="003E3D07">
            <w:pPr>
              <w:pStyle w:val="TableText"/>
              <w:rPr>
                <w:rFonts w:eastAsia="Symbol"/>
              </w:rPr>
            </w:pPr>
            <w:r>
              <w:t>3</w:t>
            </w:r>
          </w:p>
        </w:tc>
        <w:tc>
          <w:tcPr>
            <w:tcW w:w="841" w:type="dxa"/>
            <w:shd w:val="clear" w:color="auto" w:fill="auto"/>
          </w:tcPr>
          <w:p w14:paraId="4C08D60E" w14:textId="77777777" w:rsidR="003E3D07" w:rsidRDefault="003E3D07">
            <w:pPr>
              <w:pStyle w:val="TableText"/>
            </w:pPr>
            <w:r>
              <w:t>AGRg</w:t>
            </w:r>
          </w:p>
        </w:tc>
      </w:tr>
      <w:tr w:rsidR="00824338" w14:paraId="1CCA1380" w14:textId="77777777" w:rsidTr="00031618">
        <w:tblPrEx>
          <w:tblBorders>
            <w:insideH w:val="single" w:sz="4" w:space="0" w:color="auto"/>
            <w:insideV w:val="single" w:sz="4" w:space="0" w:color="auto"/>
          </w:tblBorders>
        </w:tblPrEx>
        <w:tc>
          <w:tcPr>
            <w:tcW w:w="1975" w:type="dxa"/>
            <w:shd w:val="clear" w:color="auto" w:fill="auto"/>
          </w:tcPr>
          <w:p w14:paraId="085EBDF5" w14:textId="77777777" w:rsidR="003E3D07" w:rsidRDefault="003E3D07">
            <w:pPr>
              <w:pStyle w:val="TableText"/>
              <w:rPr>
                <w:rFonts w:eastAsia="Symbol"/>
              </w:rPr>
            </w:pPr>
            <w:r>
              <w:t>Anti-Cs(a)</w:t>
            </w:r>
          </w:p>
        </w:tc>
        <w:tc>
          <w:tcPr>
            <w:tcW w:w="1710" w:type="dxa"/>
            <w:shd w:val="clear" w:color="auto" w:fill="auto"/>
          </w:tcPr>
          <w:p w14:paraId="35AA1667" w14:textId="77777777" w:rsidR="003E3D07" w:rsidRDefault="003E3D07">
            <w:pPr>
              <w:pStyle w:val="TableText"/>
              <w:rPr>
                <w:rFonts w:eastAsia="Symbol"/>
              </w:rPr>
            </w:pPr>
            <w:r>
              <w:t>None</w:t>
            </w:r>
          </w:p>
        </w:tc>
        <w:tc>
          <w:tcPr>
            <w:tcW w:w="878" w:type="dxa"/>
            <w:shd w:val="clear" w:color="auto" w:fill="auto"/>
          </w:tcPr>
          <w:p w14:paraId="592A424F" w14:textId="77777777" w:rsidR="003E3D07" w:rsidRDefault="003E3D07">
            <w:pPr>
              <w:pStyle w:val="TableText"/>
            </w:pPr>
            <w:r>
              <w:t>No</w:t>
            </w:r>
          </w:p>
        </w:tc>
        <w:tc>
          <w:tcPr>
            <w:tcW w:w="878" w:type="dxa"/>
            <w:shd w:val="clear" w:color="auto" w:fill="auto"/>
          </w:tcPr>
          <w:p w14:paraId="453EC92F" w14:textId="77777777" w:rsidR="003E3D07" w:rsidRDefault="003E3D07">
            <w:pPr>
              <w:pStyle w:val="TableText"/>
              <w:rPr>
                <w:rFonts w:eastAsia="Symbol"/>
              </w:rPr>
            </w:pPr>
            <w:r>
              <w:t>Optional</w:t>
            </w:r>
          </w:p>
        </w:tc>
        <w:tc>
          <w:tcPr>
            <w:tcW w:w="1253" w:type="dxa"/>
            <w:shd w:val="clear" w:color="auto" w:fill="auto"/>
          </w:tcPr>
          <w:p w14:paraId="14B8ECEA" w14:textId="77777777" w:rsidR="003E3D07" w:rsidRDefault="003E3D07">
            <w:pPr>
              <w:pStyle w:val="TableText"/>
              <w:rPr>
                <w:rFonts w:eastAsia="Symbol"/>
              </w:rPr>
            </w:pPr>
            <w:r>
              <w:t>Cs(a)</w:t>
            </w:r>
          </w:p>
        </w:tc>
        <w:tc>
          <w:tcPr>
            <w:tcW w:w="1253" w:type="dxa"/>
            <w:shd w:val="clear" w:color="auto" w:fill="auto"/>
          </w:tcPr>
          <w:p w14:paraId="15658282" w14:textId="77777777" w:rsidR="003E3D07" w:rsidRDefault="003E3D07">
            <w:pPr>
              <w:pStyle w:val="TableText"/>
            </w:pPr>
            <w:r>
              <w:t>None</w:t>
            </w:r>
          </w:p>
        </w:tc>
        <w:tc>
          <w:tcPr>
            <w:tcW w:w="1296" w:type="dxa"/>
            <w:shd w:val="clear" w:color="auto" w:fill="auto"/>
          </w:tcPr>
          <w:p w14:paraId="724C8339" w14:textId="77777777" w:rsidR="003E3D07" w:rsidRDefault="003E3D07">
            <w:pPr>
              <w:pStyle w:val="TableText"/>
              <w:rPr>
                <w:rFonts w:eastAsia="Symbol"/>
              </w:rPr>
            </w:pPr>
            <w:r>
              <w:t>4</w:t>
            </w:r>
          </w:p>
        </w:tc>
        <w:tc>
          <w:tcPr>
            <w:tcW w:w="841" w:type="dxa"/>
            <w:shd w:val="clear" w:color="auto" w:fill="auto"/>
          </w:tcPr>
          <w:p w14:paraId="7C532547" w14:textId="77777777" w:rsidR="003E3D07" w:rsidRDefault="003E3D07">
            <w:pPr>
              <w:pStyle w:val="TableText"/>
            </w:pPr>
            <w:r>
              <w:t>AGCs(a)</w:t>
            </w:r>
          </w:p>
        </w:tc>
      </w:tr>
      <w:tr w:rsidR="00824338" w14:paraId="74F9F96B" w14:textId="77777777" w:rsidTr="00031618">
        <w:tblPrEx>
          <w:tblBorders>
            <w:insideH w:val="single" w:sz="4" w:space="0" w:color="auto"/>
            <w:insideV w:val="single" w:sz="4" w:space="0" w:color="auto"/>
          </w:tblBorders>
        </w:tblPrEx>
        <w:tc>
          <w:tcPr>
            <w:tcW w:w="1975" w:type="dxa"/>
            <w:shd w:val="clear" w:color="auto" w:fill="auto"/>
          </w:tcPr>
          <w:p w14:paraId="0F5ACEF9" w14:textId="77777777" w:rsidR="003E3D07" w:rsidRDefault="003E3D07">
            <w:pPr>
              <w:pStyle w:val="TableText"/>
              <w:rPr>
                <w:rFonts w:eastAsia="Symbol"/>
              </w:rPr>
            </w:pPr>
            <w:r>
              <w:t>Anti-Yk(a)</w:t>
            </w:r>
          </w:p>
        </w:tc>
        <w:tc>
          <w:tcPr>
            <w:tcW w:w="1710" w:type="dxa"/>
            <w:shd w:val="clear" w:color="auto" w:fill="auto"/>
          </w:tcPr>
          <w:p w14:paraId="29C2E626" w14:textId="77777777" w:rsidR="003E3D07" w:rsidRDefault="003E3D07">
            <w:pPr>
              <w:pStyle w:val="TableText"/>
              <w:rPr>
                <w:rFonts w:eastAsia="Symbol"/>
              </w:rPr>
            </w:pPr>
            <w:r>
              <w:t>None</w:t>
            </w:r>
          </w:p>
        </w:tc>
        <w:tc>
          <w:tcPr>
            <w:tcW w:w="878" w:type="dxa"/>
            <w:shd w:val="clear" w:color="auto" w:fill="auto"/>
          </w:tcPr>
          <w:p w14:paraId="3504026B" w14:textId="77777777" w:rsidR="003E3D07" w:rsidRDefault="003E3D07">
            <w:pPr>
              <w:pStyle w:val="TableText"/>
            </w:pPr>
            <w:r>
              <w:t>No</w:t>
            </w:r>
          </w:p>
        </w:tc>
        <w:tc>
          <w:tcPr>
            <w:tcW w:w="878" w:type="dxa"/>
            <w:shd w:val="clear" w:color="auto" w:fill="auto"/>
          </w:tcPr>
          <w:p w14:paraId="75DD88B4" w14:textId="77777777" w:rsidR="003E3D07" w:rsidRDefault="003E3D07">
            <w:pPr>
              <w:pStyle w:val="TableText"/>
              <w:rPr>
                <w:rFonts w:eastAsia="Symbol"/>
              </w:rPr>
            </w:pPr>
            <w:r>
              <w:t>Optional</w:t>
            </w:r>
          </w:p>
        </w:tc>
        <w:tc>
          <w:tcPr>
            <w:tcW w:w="1253" w:type="dxa"/>
            <w:shd w:val="clear" w:color="auto" w:fill="auto"/>
          </w:tcPr>
          <w:p w14:paraId="4ED24652" w14:textId="77777777" w:rsidR="003E3D07" w:rsidRDefault="003E3D07">
            <w:pPr>
              <w:pStyle w:val="TableText"/>
              <w:rPr>
                <w:rFonts w:eastAsia="Symbol"/>
              </w:rPr>
            </w:pPr>
            <w:r>
              <w:t>Yk(a)</w:t>
            </w:r>
          </w:p>
        </w:tc>
        <w:tc>
          <w:tcPr>
            <w:tcW w:w="1253" w:type="dxa"/>
            <w:shd w:val="clear" w:color="auto" w:fill="auto"/>
          </w:tcPr>
          <w:p w14:paraId="73E0850A" w14:textId="77777777" w:rsidR="003E3D07" w:rsidRDefault="003E3D07">
            <w:pPr>
              <w:pStyle w:val="TableText"/>
            </w:pPr>
            <w:r>
              <w:t>None</w:t>
            </w:r>
          </w:p>
        </w:tc>
        <w:tc>
          <w:tcPr>
            <w:tcW w:w="1296" w:type="dxa"/>
            <w:shd w:val="clear" w:color="auto" w:fill="auto"/>
          </w:tcPr>
          <w:p w14:paraId="075CB4E4" w14:textId="77777777" w:rsidR="003E3D07" w:rsidRDefault="003E3D07">
            <w:pPr>
              <w:pStyle w:val="TableText"/>
              <w:rPr>
                <w:rFonts w:eastAsia="Symbol"/>
              </w:rPr>
            </w:pPr>
            <w:r>
              <w:t>4</w:t>
            </w:r>
          </w:p>
        </w:tc>
        <w:tc>
          <w:tcPr>
            <w:tcW w:w="841" w:type="dxa"/>
            <w:shd w:val="clear" w:color="auto" w:fill="auto"/>
          </w:tcPr>
          <w:p w14:paraId="0A9443CE" w14:textId="77777777" w:rsidR="003E3D07" w:rsidRDefault="003E3D07">
            <w:pPr>
              <w:pStyle w:val="TableText"/>
            </w:pPr>
            <w:r>
              <w:t>AGYk(a)</w:t>
            </w:r>
          </w:p>
        </w:tc>
      </w:tr>
      <w:tr w:rsidR="00824338" w14:paraId="705DD3BE" w14:textId="77777777" w:rsidTr="00031618">
        <w:tblPrEx>
          <w:tblBorders>
            <w:insideH w:val="single" w:sz="4" w:space="0" w:color="auto"/>
            <w:insideV w:val="single" w:sz="4" w:space="0" w:color="auto"/>
          </w:tblBorders>
        </w:tblPrEx>
        <w:tc>
          <w:tcPr>
            <w:tcW w:w="1975" w:type="dxa"/>
            <w:shd w:val="clear" w:color="auto" w:fill="auto"/>
          </w:tcPr>
          <w:p w14:paraId="34E277EE" w14:textId="77777777" w:rsidR="003E3D07" w:rsidRDefault="003E3D07">
            <w:pPr>
              <w:pStyle w:val="TableText"/>
              <w:rPr>
                <w:rFonts w:eastAsia="Symbol"/>
              </w:rPr>
            </w:pPr>
            <w:r>
              <w:t>Anti-Kn(a)</w:t>
            </w:r>
          </w:p>
        </w:tc>
        <w:tc>
          <w:tcPr>
            <w:tcW w:w="1710" w:type="dxa"/>
            <w:shd w:val="clear" w:color="auto" w:fill="auto"/>
          </w:tcPr>
          <w:p w14:paraId="6F1FBB40" w14:textId="77777777" w:rsidR="003E3D07" w:rsidRDefault="003E3D07">
            <w:pPr>
              <w:pStyle w:val="TableText"/>
              <w:rPr>
                <w:rFonts w:eastAsia="Symbol"/>
              </w:rPr>
            </w:pPr>
            <w:r>
              <w:t>None</w:t>
            </w:r>
          </w:p>
        </w:tc>
        <w:tc>
          <w:tcPr>
            <w:tcW w:w="878" w:type="dxa"/>
            <w:shd w:val="clear" w:color="auto" w:fill="auto"/>
          </w:tcPr>
          <w:p w14:paraId="2F5F85A1" w14:textId="77777777" w:rsidR="003E3D07" w:rsidRDefault="003E3D07">
            <w:pPr>
              <w:pStyle w:val="TableText"/>
            </w:pPr>
            <w:r>
              <w:t>No</w:t>
            </w:r>
          </w:p>
        </w:tc>
        <w:tc>
          <w:tcPr>
            <w:tcW w:w="878" w:type="dxa"/>
            <w:shd w:val="clear" w:color="auto" w:fill="auto"/>
          </w:tcPr>
          <w:p w14:paraId="7E96433B" w14:textId="77777777" w:rsidR="003E3D07" w:rsidRDefault="003E3D07">
            <w:pPr>
              <w:pStyle w:val="TableText"/>
              <w:rPr>
                <w:rFonts w:eastAsia="Symbol"/>
              </w:rPr>
            </w:pPr>
            <w:r>
              <w:t>Optional</w:t>
            </w:r>
          </w:p>
        </w:tc>
        <w:tc>
          <w:tcPr>
            <w:tcW w:w="1253" w:type="dxa"/>
            <w:shd w:val="clear" w:color="auto" w:fill="auto"/>
          </w:tcPr>
          <w:p w14:paraId="659E3527" w14:textId="77777777" w:rsidR="003E3D07" w:rsidRDefault="003E3D07">
            <w:pPr>
              <w:pStyle w:val="TableText"/>
              <w:rPr>
                <w:rFonts w:eastAsia="Symbol"/>
              </w:rPr>
            </w:pPr>
            <w:r>
              <w:t>Kn(a)</w:t>
            </w:r>
          </w:p>
        </w:tc>
        <w:tc>
          <w:tcPr>
            <w:tcW w:w="1253" w:type="dxa"/>
            <w:shd w:val="clear" w:color="auto" w:fill="auto"/>
          </w:tcPr>
          <w:p w14:paraId="016A09CA" w14:textId="77777777" w:rsidR="003E3D07" w:rsidRDefault="003E3D07">
            <w:pPr>
              <w:pStyle w:val="TableText"/>
            </w:pPr>
            <w:r>
              <w:t>None</w:t>
            </w:r>
          </w:p>
        </w:tc>
        <w:tc>
          <w:tcPr>
            <w:tcW w:w="1296" w:type="dxa"/>
            <w:shd w:val="clear" w:color="auto" w:fill="auto"/>
          </w:tcPr>
          <w:p w14:paraId="5C063E15" w14:textId="77777777" w:rsidR="003E3D07" w:rsidRDefault="003E3D07">
            <w:pPr>
              <w:pStyle w:val="TableText"/>
              <w:rPr>
                <w:rFonts w:eastAsia="Symbol"/>
              </w:rPr>
            </w:pPr>
            <w:r>
              <w:t>1</w:t>
            </w:r>
          </w:p>
        </w:tc>
        <w:tc>
          <w:tcPr>
            <w:tcW w:w="841" w:type="dxa"/>
            <w:shd w:val="clear" w:color="auto" w:fill="auto"/>
          </w:tcPr>
          <w:p w14:paraId="76889234" w14:textId="77777777" w:rsidR="003E3D07" w:rsidRDefault="003E3D07">
            <w:pPr>
              <w:pStyle w:val="TableText"/>
            </w:pPr>
            <w:r>
              <w:t>AGKn(a)</w:t>
            </w:r>
          </w:p>
        </w:tc>
      </w:tr>
      <w:tr w:rsidR="00824338" w14:paraId="7275D38E" w14:textId="77777777" w:rsidTr="00031618">
        <w:tblPrEx>
          <w:tblBorders>
            <w:insideH w:val="single" w:sz="4" w:space="0" w:color="auto"/>
            <w:insideV w:val="single" w:sz="4" w:space="0" w:color="auto"/>
          </w:tblBorders>
        </w:tblPrEx>
        <w:tc>
          <w:tcPr>
            <w:tcW w:w="1975" w:type="dxa"/>
            <w:shd w:val="clear" w:color="auto" w:fill="auto"/>
          </w:tcPr>
          <w:p w14:paraId="5A910DCB" w14:textId="77777777" w:rsidR="003E3D07" w:rsidRDefault="003E3D07">
            <w:pPr>
              <w:pStyle w:val="TableText"/>
              <w:rPr>
                <w:rFonts w:eastAsia="Symbol"/>
              </w:rPr>
            </w:pPr>
            <w:r>
              <w:t>Anti-McC(a)</w:t>
            </w:r>
          </w:p>
        </w:tc>
        <w:tc>
          <w:tcPr>
            <w:tcW w:w="1710" w:type="dxa"/>
            <w:shd w:val="clear" w:color="auto" w:fill="auto"/>
          </w:tcPr>
          <w:p w14:paraId="09CB02A3" w14:textId="77777777" w:rsidR="003E3D07" w:rsidRDefault="003E3D07">
            <w:pPr>
              <w:pStyle w:val="TableText"/>
            </w:pPr>
            <w:r>
              <w:t>None</w:t>
            </w:r>
          </w:p>
        </w:tc>
        <w:tc>
          <w:tcPr>
            <w:tcW w:w="878" w:type="dxa"/>
            <w:shd w:val="clear" w:color="auto" w:fill="auto"/>
          </w:tcPr>
          <w:p w14:paraId="4C30CB2E" w14:textId="77777777" w:rsidR="003E3D07" w:rsidRDefault="003E3D07">
            <w:pPr>
              <w:pStyle w:val="TableText"/>
            </w:pPr>
            <w:r>
              <w:t>No</w:t>
            </w:r>
          </w:p>
        </w:tc>
        <w:tc>
          <w:tcPr>
            <w:tcW w:w="878" w:type="dxa"/>
            <w:shd w:val="clear" w:color="auto" w:fill="auto"/>
          </w:tcPr>
          <w:p w14:paraId="06EF84BF" w14:textId="77777777" w:rsidR="003E3D07" w:rsidRDefault="003E3D07">
            <w:pPr>
              <w:pStyle w:val="TableText"/>
              <w:rPr>
                <w:rFonts w:eastAsia="Symbol"/>
              </w:rPr>
            </w:pPr>
            <w:r>
              <w:t>Optional</w:t>
            </w:r>
          </w:p>
        </w:tc>
        <w:tc>
          <w:tcPr>
            <w:tcW w:w="1253" w:type="dxa"/>
            <w:shd w:val="clear" w:color="auto" w:fill="auto"/>
          </w:tcPr>
          <w:p w14:paraId="2DC44F7B" w14:textId="77777777" w:rsidR="003E3D07" w:rsidRDefault="003E3D07">
            <w:pPr>
              <w:pStyle w:val="TableText"/>
              <w:rPr>
                <w:rFonts w:eastAsia="Symbol"/>
              </w:rPr>
            </w:pPr>
            <w:r>
              <w:t>McC(a)</w:t>
            </w:r>
          </w:p>
        </w:tc>
        <w:tc>
          <w:tcPr>
            <w:tcW w:w="1253" w:type="dxa"/>
            <w:shd w:val="clear" w:color="auto" w:fill="auto"/>
          </w:tcPr>
          <w:p w14:paraId="5F29EF15" w14:textId="77777777" w:rsidR="003E3D07" w:rsidRDefault="003E3D07">
            <w:pPr>
              <w:pStyle w:val="TableText"/>
            </w:pPr>
            <w:r>
              <w:t>None</w:t>
            </w:r>
          </w:p>
        </w:tc>
        <w:tc>
          <w:tcPr>
            <w:tcW w:w="1296" w:type="dxa"/>
            <w:shd w:val="clear" w:color="auto" w:fill="auto"/>
          </w:tcPr>
          <w:p w14:paraId="66C5EAD1" w14:textId="77777777" w:rsidR="003E3D07" w:rsidRDefault="003E3D07">
            <w:pPr>
              <w:pStyle w:val="TableText"/>
              <w:rPr>
                <w:rFonts w:eastAsia="Symbol"/>
              </w:rPr>
            </w:pPr>
            <w:r>
              <w:t>1</w:t>
            </w:r>
          </w:p>
        </w:tc>
        <w:tc>
          <w:tcPr>
            <w:tcW w:w="841" w:type="dxa"/>
            <w:shd w:val="clear" w:color="auto" w:fill="auto"/>
          </w:tcPr>
          <w:p w14:paraId="51CE4D3C" w14:textId="77777777" w:rsidR="003E3D07" w:rsidRDefault="003E3D07">
            <w:pPr>
              <w:pStyle w:val="TableText"/>
            </w:pPr>
            <w:r>
              <w:t>AGMcC(a)</w:t>
            </w:r>
          </w:p>
        </w:tc>
      </w:tr>
      <w:tr w:rsidR="00824338" w14:paraId="0352CFBC" w14:textId="77777777" w:rsidTr="00031618">
        <w:tblPrEx>
          <w:tblBorders>
            <w:insideH w:val="single" w:sz="4" w:space="0" w:color="auto"/>
            <w:insideV w:val="single" w:sz="4" w:space="0" w:color="auto"/>
          </w:tblBorders>
        </w:tblPrEx>
        <w:tc>
          <w:tcPr>
            <w:tcW w:w="1975" w:type="dxa"/>
            <w:shd w:val="clear" w:color="auto" w:fill="auto"/>
          </w:tcPr>
          <w:p w14:paraId="2D41E9D8" w14:textId="77777777" w:rsidR="003E3D07" w:rsidRDefault="003E3D07" w:rsidP="009C5939">
            <w:pPr>
              <w:pStyle w:val="TableText"/>
              <w:rPr>
                <w:rFonts w:eastAsia="Symbol"/>
              </w:rPr>
            </w:pPr>
            <w:r>
              <w:t>Anti-JMH</w:t>
            </w:r>
          </w:p>
        </w:tc>
        <w:tc>
          <w:tcPr>
            <w:tcW w:w="1710" w:type="dxa"/>
            <w:shd w:val="clear" w:color="auto" w:fill="auto"/>
          </w:tcPr>
          <w:p w14:paraId="54B4D5AA" w14:textId="77777777" w:rsidR="003E3D07" w:rsidRDefault="003E3D07" w:rsidP="009C5939">
            <w:pPr>
              <w:pStyle w:val="TableText"/>
            </w:pPr>
            <w:r>
              <w:t>None</w:t>
            </w:r>
          </w:p>
        </w:tc>
        <w:tc>
          <w:tcPr>
            <w:tcW w:w="878" w:type="dxa"/>
            <w:shd w:val="clear" w:color="auto" w:fill="auto"/>
          </w:tcPr>
          <w:p w14:paraId="3875BE90" w14:textId="77777777" w:rsidR="003E3D07" w:rsidRDefault="003E3D07" w:rsidP="009C5939">
            <w:pPr>
              <w:pStyle w:val="TableText"/>
            </w:pPr>
            <w:r>
              <w:t>No</w:t>
            </w:r>
          </w:p>
        </w:tc>
        <w:tc>
          <w:tcPr>
            <w:tcW w:w="878" w:type="dxa"/>
            <w:shd w:val="clear" w:color="auto" w:fill="auto"/>
          </w:tcPr>
          <w:p w14:paraId="181C720E" w14:textId="77777777" w:rsidR="003E3D07" w:rsidRDefault="003E3D07" w:rsidP="009C5939">
            <w:pPr>
              <w:pStyle w:val="TableText"/>
              <w:rPr>
                <w:rFonts w:eastAsia="Symbol"/>
              </w:rPr>
            </w:pPr>
            <w:r>
              <w:t>Optional</w:t>
            </w:r>
          </w:p>
        </w:tc>
        <w:tc>
          <w:tcPr>
            <w:tcW w:w="1253" w:type="dxa"/>
            <w:shd w:val="clear" w:color="auto" w:fill="auto"/>
          </w:tcPr>
          <w:p w14:paraId="16505177" w14:textId="77777777" w:rsidR="003E3D07" w:rsidRDefault="003E3D07" w:rsidP="009C5939">
            <w:pPr>
              <w:pStyle w:val="TableText"/>
              <w:rPr>
                <w:rFonts w:eastAsia="Symbol"/>
              </w:rPr>
            </w:pPr>
            <w:r>
              <w:t>JMH</w:t>
            </w:r>
          </w:p>
        </w:tc>
        <w:tc>
          <w:tcPr>
            <w:tcW w:w="1253" w:type="dxa"/>
            <w:shd w:val="clear" w:color="auto" w:fill="auto"/>
          </w:tcPr>
          <w:p w14:paraId="2251F58F" w14:textId="77777777" w:rsidR="003E3D07" w:rsidRDefault="003E3D07" w:rsidP="009C5939">
            <w:pPr>
              <w:pStyle w:val="TableText"/>
            </w:pPr>
            <w:r>
              <w:t>None</w:t>
            </w:r>
          </w:p>
        </w:tc>
        <w:tc>
          <w:tcPr>
            <w:tcW w:w="1296" w:type="dxa"/>
            <w:shd w:val="clear" w:color="auto" w:fill="auto"/>
          </w:tcPr>
          <w:p w14:paraId="3D4632AF" w14:textId="77777777" w:rsidR="003E3D07" w:rsidRDefault="003E3D07" w:rsidP="009C5939">
            <w:pPr>
              <w:pStyle w:val="TableText"/>
              <w:rPr>
                <w:rFonts w:eastAsia="Symbol"/>
              </w:rPr>
            </w:pPr>
            <w:r>
              <w:t>1</w:t>
            </w:r>
          </w:p>
        </w:tc>
        <w:tc>
          <w:tcPr>
            <w:tcW w:w="841" w:type="dxa"/>
            <w:shd w:val="clear" w:color="auto" w:fill="auto"/>
          </w:tcPr>
          <w:p w14:paraId="49134535" w14:textId="77777777" w:rsidR="003E3D07" w:rsidRDefault="003E3D07" w:rsidP="009C5939">
            <w:pPr>
              <w:pStyle w:val="TableText"/>
            </w:pPr>
            <w:r>
              <w:t>AGJMH</w:t>
            </w:r>
          </w:p>
        </w:tc>
      </w:tr>
      <w:tr w:rsidR="00824338" w14:paraId="5C81B15E" w14:textId="77777777" w:rsidTr="00031618">
        <w:tblPrEx>
          <w:tblBorders>
            <w:insideH w:val="single" w:sz="4" w:space="0" w:color="auto"/>
            <w:insideV w:val="single" w:sz="4" w:space="0" w:color="auto"/>
          </w:tblBorders>
        </w:tblPrEx>
        <w:tc>
          <w:tcPr>
            <w:tcW w:w="1975" w:type="dxa"/>
            <w:shd w:val="clear" w:color="auto" w:fill="auto"/>
          </w:tcPr>
          <w:p w14:paraId="1AF80BBB" w14:textId="77777777" w:rsidR="003E3D07" w:rsidRDefault="003E3D07" w:rsidP="009C5939">
            <w:pPr>
              <w:pStyle w:val="TableText"/>
              <w:rPr>
                <w:rFonts w:eastAsia="Symbol"/>
              </w:rPr>
            </w:pPr>
            <w:r>
              <w:t>Anti-Yt(a)</w:t>
            </w:r>
          </w:p>
        </w:tc>
        <w:tc>
          <w:tcPr>
            <w:tcW w:w="1710" w:type="dxa"/>
            <w:shd w:val="clear" w:color="auto" w:fill="auto"/>
          </w:tcPr>
          <w:p w14:paraId="38E6D3C3" w14:textId="77777777" w:rsidR="003E3D07" w:rsidRDefault="003E3D07" w:rsidP="009C5939">
            <w:pPr>
              <w:pStyle w:val="TableText"/>
              <w:rPr>
                <w:rFonts w:eastAsia="Symbol"/>
              </w:rPr>
            </w:pPr>
            <w:r>
              <w:t>None</w:t>
            </w:r>
          </w:p>
        </w:tc>
        <w:tc>
          <w:tcPr>
            <w:tcW w:w="878" w:type="dxa"/>
            <w:shd w:val="clear" w:color="auto" w:fill="auto"/>
          </w:tcPr>
          <w:p w14:paraId="0A56AD9E" w14:textId="77777777" w:rsidR="003E3D07" w:rsidRDefault="003E3D07" w:rsidP="009C5939">
            <w:pPr>
              <w:pStyle w:val="TableText"/>
            </w:pPr>
            <w:r>
              <w:t>No</w:t>
            </w:r>
          </w:p>
        </w:tc>
        <w:tc>
          <w:tcPr>
            <w:tcW w:w="878" w:type="dxa"/>
            <w:shd w:val="clear" w:color="auto" w:fill="auto"/>
          </w:tcPr>
          <w:p w14:paraId="3A4F4EB4" w14:textId="77777777" w:rsidR="003E3D07" w:rsidRDefault="003E3D07" w:rsidP="009C5939">
            <w:pPr>
              <w:pStyle w:val="TableText"/>
              <w:rPr>
                <w:rFonts w:eastAsia="Symbol"/>
              </w:rPr>
            </w:pPr>
            <w:r>
              <w:t>Optional</w:t>
            </w:r>
          </w:p>
        </w:tc>
        <w:tc>
          <w:tcPr>
            <w:tcW w:w="1253" w:type="dxa"/>
            <w:shd w:val="clear" w:color="auto" w:fill="auto"/>
          </w:tcPr>
          <w:p w14:paraId="0F8B3419" w14:textId="77777777" w:rsidR="003E3D07" w:rsidRDefault="003E3D07" w:rsidP="009C5939">
            <w:pPr>
              <w:pStyle w:val="TableText"/>
              <w:rPr>
                <w:rFonts w:eastAsia="Symbol"/>
              </w:rPr>
            </w:pPr>
            <w:r>
              <w:t>Yt(a)</w:t>
            </w:r>
          </w:p>
        </w:tc>
        <w:tc>
          <w:tcPr>
            <w:tcW w:w="1253" w:type="dxa"/>
            <w:shd w:val="clear" w:color="auto" w:fill="auto"/>
          </w:tcPr>
          <w:p w14:paraId="6A5A5B5A" w14:textId="77777777" w:rsidR="003E3D07" w:rsidRDefault="003E3D07" w:rsidP="009C5939">
            <w:pPr>
              <w:pStyle w:val="TableText"/>
              <w:rPr>
                <w:rFonts w:eastAsia="Symbol"/>
              </w:rPr>
            </w:pPr>
            <w:r>
              <w:t>None</w:t>
            </w:r>
          </w:p>
        </w:tc>
        <w:tc>
          <w:tcPr>
            <w:tcW w:w="1296" w:type="dxa"/>
            <w:shd w:val="clear" w:color="auto" w:fill="auto"/>
          </w:tcPr>
          <w:p w14:paraId="276F7559" w14:textId="77777777" w:rsidR="003E3D07" w:rsidRDefault="003E3D07" w:rsidP="009C5939">
            <w:pPr>
              <w:pStyle w:val="TableText"/>
              <w:rPr>
                <w:rFonts w:eastAsia="Symbol"/>
              </w:rPr>
            </w:pPr>
            <w:r>
              <w:t>1</w:t>
            </w:r>
          </w:p>
        </w:tc>
        <w:tc>
          <w:tcPr>
            <w:tcW w:w="841" w:type="dxa"/>
            <w:shd w:val="clear" w:color="auto" w:fill="auto"/>
          </w:tcPr>
          <w:p w14:paraId="79F58F27" w14:textId="77777777" w:rsidR="003E3D07" w:rsidRDefault="003E3D07" w:rsidP="009C5939">
            <w:pPr>
              <w:pStyle w:val="TableText"/>
              <w:rPr>
                <w:rFonts w:eastAsia="Symbol"/>
              </w:rPr>
            </w:pPr>
            <w:r>
              <w:t>AGYt(a)</w:t>
            </w:r>
          </w:p>
        </w:tc>
      </w:tr>
      <w:tr w:rsidR="00824338" w14:paraId="30CF6168" w14:textId="77777777" w:rsidTr="00031618">
        <w:tblPrEx>
          <w:tblBorders>
            <w:insideH w:val="single" w:sz="4" w:space="0" w:color="auto"/>
            <w:insideV w:val="single" w:sz="4" w:space="0" w:color="auto"/>
          </w:tblBorders>
        </w:tblPrEx>
        <w:tc>
          <w:tcPr>
            <w:tcW w:w="1975" w:type="dxa"/>
            <w:shd w:val="clear" w:color="auto" w:fill="auto"/>
          </w:tcPr>
          <w:p w14:paraId="767E5A0E" w14:textId="77777777" w:rsidR="003E3D07" w:rsidRDefault="003E3D07" w:rsidP="009C5939">
            <w:pPr>
              <w:pStyle w:val="TableText"/>
              <w:rPr>
                <w:rFonts w:eastAsia="Symbol"/>
              </w:rPr>
            </w:pPr>
            <w:r>
              <w:t>Anti-Yt(b)</w:t>
            </w:r>
          </w:p>
        </w:tc>
        <w:tc>
          <w:tcPr>
            <w:tcW w:w="1710" w:type="dxa"/>
            <w:shd w:val="clear" w:color="auto" w:fill="auto"/>
          </w:tcPr>
          <w:p w14:paraId="6851D567" w14:textId="77777777" w:rsidR="003E3D07" w:rsidRDefault="003E3D07" w:rsidP="009C5939">
            <w:pPr>
              <w:pStyle w:val="TableText"/>
              <w:rPr>
                <w:rFonts w:eastAsia="Symbol"/>
              </w:rPr>
            </w:pPr>
            <w:r>
              <w:t>None</w:t>
            </w:r>
          </w:p>
        </w:tc>
        <w:tc>
          <w:tcPr>
            <w:tcW w:w="878" w:type="dxa"/>
            <w:shd w:val="clear" w:color="auto" w:fill="auto"/>
          </w:tcPr>
          <w:p w14:paraId="2674B63F" w14:textId="77777777" w:rsidR="003E3D07" w:rsidRDefault="003E3D07" w:rsidP="009C5939">
            <w:pPr>
              <w:pStyle w:val="TableText"/>
            </w:pPr>
            <w:r>
              <w:t>No</w:t>
            </w:r>
          </w:p>
        </w:tc>
        <w:tc>
          <w:tcPr>
            <w:tcW w:w="878" w:type="dxa"/>
            <w:shd w:val="clear" w:color="auto" w:fill="auto"/>
          </w:tcPr>
          <w:p w14:paraId="668062F4" w14:textId="77777777" w:rsidR="003E3D07" w:rsidRDefault="003E3D07" w:rsidP="009C5939">
            <w:pPr>
              <w:pStyle w:val="TableText"/>
              <w:rPr>
                <w:rFonts w:eastAsia="Symbol"/>
              </w:rPr>
            </w:pPr>
            <w:r>
              <w:t>Optional</w:t>
            </w:r>
          </w:p>
        </w:tc>
        <w:tc>
          <w:tcPr>
            <w:tcW w:w="1253" w:type="dxa"/>
            <w:shd w:val="clear" w:color="auto" w:fill="auto"/>
          </w:tcPr>
          <w:p w14:paraId="66612333" w14:textId="77777777" w:rsidR="003E3D07" w:rsidRDefault="003E3D07" w:rsidP="009C5939">
            <w:pPr>
              <w:pStyle w:val="TableText"/>
              <w:rPr>
                <w:rFonts w:eastAsia="Symbol"/>
              </w:rPr>
            </w:pPr>
            <w:r>
              <w:t>Yt(b)</w:t>
            </w:r>
          </w:p>
        </w:tc>
        <w:tc>
          <w:tcPr>
            <w:tcW w:w="1253" w:type="dxa"/>
            <w:shd w:val="clear" w:color="auto" w:fill="auto"/>
          </w:tcPr>
          <w:p w14:paraId="37903F55" w14:textId="77777777" w:rsidR="003E3D07" w:rsidRDefault="003E3D07" w:rsidP="009C5939">
            <w:pPr>
              <w:pStyle w:val="TableText"/>
              <w:rPr>
                <w:rFonts w:eastAsia="Symbol"/>
              </w:rPr>
            </w:pPr>
            <w:r>
              <w:t>None</w:t>
            </w:r>
          </w:p>
        </w:tc>
        <w:tc>
          <w:tcPr>
            <w:tcW w:w="1296" w:type="dxa"/>
            <w:shd w:val="clear" w:color="auto" w:fill="auto"/>
          </w:tcPr>
          <w:p w14:paraId="33DA779F" w14:textId="77777777" w:rsidR="003E3D07" w:rsidRDefault="003E3D07" w:rsidP="009C5939">
            <w:pPr>
              <w:pStyle w:val="TableText"/>
              <w:rPr>
                <w:rFonts w:eastAsia="Symbol"/>
              </w:rPr>
            </w:pPr>
            <w:r>
              <w:t>92</w:t>
            </w:r>
          </w:p>
        </w:tc>
        <w:tc>
          <w:tcPr>
            <w:tcW w:w="841" w:type="dxa"/>
            <w:shd w:val="clear" w:color="auto" w:fill="auto"/>
          </w:tcPr>
          <w:p w14:paraId="5F2BDD23" w14:textId="77777777" w:rsidR="003E3D07" w:rsidRDefault="003E3D07" w:rsidP="009C5939">
            <w:pPr>
              <w:pStyle w:val="TableText"/>
              <w:rPr>
                <w:rFonts w:eastAsia="Symbol"/>
              </w:rPr>
            </w:pPr>
            <w:r>
              <w:t>AGYt(b)</w:t>
            </w:r>
          </w:p>
        </w:tc>
      </w:tr>
      <w:tr w:rsidR="00824338" w14:paraId="67FC33DF" w14:textId="77777777" w:rsidTr="00031618">
        <w:tblPrEx>
          <w:tblBorders>
            <w:insideH w:val="single" w:sz="4" w:space="0" w:color="auto"/>
            <w:insideV w:val="single" w:sz="4" w:space="0" w:color="auto"/>
          </w:tblBorders>
        </w:tblPrEx>
        <w:tc>
          <w:tcPr>
            <w:tcW w:w="1975" w:type="dxa"/>
            <w:shd w:val="clear" w:color="auto" w:fill="auto"/>
          </w:tcPr>
          <w:p w14:paraId="1ED89685" w14:textId="77777777" w:rsidR="003E3D07" w:rsidRDefault="003E3D07" w:rsidP="009C5939">
            <w:pPr>
              <w:pStyle w:val="TableText"/>
              <w:rPr>
                <w:rFonts w:eastAsia="Symbol"/>
              </w:rPr>
            </w:pPr>
            <w:r>
              <w:t>HTLA (probable)</w:t>
            </w:r>
          </w:p>
        </w:tc>
        <w:tc>
          <w:tcPr>
            <w:tcW w:w="1710" w:type="dxa"/>
            <w:shd w:val="clear" w:color="auto" w:fill="auto"/>
          </w:tcPr>
          <w:p w14:paraId="76132795" w14:textId="77777777" w:rsidR="003E3D07" w:rsidRDefault="003E3D07" w:rsidP="009C5939">
            <w:pPr>
              <w:pStyle w:val="TableText"/>
            </w:pPr>
            <w:r>
              <w:t>None</w:t>
            </w:r>
          </w:p>
        </w:tc>
        <w:tc>
          <w:tcPr>
            <w:tcW w:w="878" w:type="dxa"/>
            <w:shd w:val="clear" w:color="auto" w:fill="auto"/>
          </w:tcPr>
          <w:p w14:paraId="57E272F8" w14:textId="77777777" w:rsidR="003E3D07" w:rsidRDefault="003E3D07" w:rsidP="009C5939">
            <w:pPr>
              <w:pStyle w:val="TableText"/>
            </w:pPr>
            <w:r>
              <w:t>No</w:t>
            </w:r>
          </w:p>
        </w:tc>
        <w:tc>
          <w:tcPr>
            <w:tcW w:w="878" w:type="dxa"/>
            <w:shd w:val="clear" w:color="auto" w:fill="auto"/>
          </w:tcPr>
          <w:p w14:paraId="2561670B" w14:textId="77777777" w:rsidR="003E3D07" w:rsidRDefault="003E3D07" w:rsidP="009C5939">
            <w:pPr>
              <w:pStyle w:val="TableText"/>
              <w:rPr>
                <w:rFonts w:eastAsia="Symbol"/>
              </w:rPr>
            </w:pPr>
            <w:r>
              <w:t>No</w:t>
            </w:r>
          </w:p>
        </w:tc>
        <w:tc>
          <w:tcPr>
            <w:tcW w:w="1253" w:type="dxa"/>
            <w:shd w:val="clear" w:color="auto" w:fill="auto"/>
          </w:tcPr>
          <w:p w14:paraId="24BAC765" w14:textId="77777777" w:rsidR="003E3D07" w:rsidRDefault="003E3D07" w:rsidP="009C5939">
            <w:pPr>
              <w:pStyle w:val="TableText"/>
              <w:rPr>
                <w:rFonts w:eastAsia="Symbol"/>
              </w:rPr>
            </w:pPr>
            <w:r>
              <w:t>None</w:t>
            </w:r>
          </w:p>
        </w:tc>
        <w:tc>
          <w:tcPr>
            <w:tcW w:w="1253" w:type="dxa"/>
            <w:shd w:val="clear" w:color="auto" w:fill="auto"/>
          </w:tcPr>
          <w:p w14:paraId="2C804296" w14:textId="77777777" w:rsidR="003E3D07" w:rsidRDefault="003E3D07" w:rsidP="009C5939">
            <w:pPr>
              <w:pStyle w:val="TableText"/>
              <w:rPr>
                <w:rFonts w:eastAsia="Symbol"/>
              </w:rPr>
            </w:pPr>
            <w:r>
              <w:t>None</w:t>
            </w:r>
          </w:p>
        </w:tc>
        <w:tc>
          <w:tcPr>
            <w:tcW w:w="1296" w:type="dxa"/>
            <w:shd w:val="clear" w:color="auto" w:fill="auto"/>
          </w:tcPr>
          <w:p w14:paraId="4F87469D" w14:textId="77777777" w:rsidR="003E3D07" w:rsidRDefault="003E3D07" w:rsidP="009C5939">
            <w:pPr>
              <w:pStyle w:val="TableText"/>
              <w:rPr>
                <w:rFonts w:eastAsia="Symbol"/>
              </w:rPr>
            </w:pPr>
            <w:r>
              <w:rPr>
                <w:rFonts w:eastAsia="Symbol"/>
              </w:rPr>
              <w:t>0</w:t>
            </w:r>
          </w:p>
        </w:tc>
        <w:tc>
          <w:tcPr>
            <w:tcW w:w="841" w:type="dxa"/>
            <w:vMerge w:val="restart"/>
            <w:shd w:val="clear" w:color="auto" w:fill="auto"/>
          </w:tcPr>
          <w:p w14:paraId="13ACD1E0" w14:textId="77777777" w:rsidR="003E3D07" w:rsidRDefault="003E3D07" w:rsidP="009C5939">
            <w:pPr>
              <w:pStyle w:val="TableText"/>
            </w:pPr>
            <w:r>
              <w:rPr>
                <w:rFonts w:eastAsia="Symbol"/>
              </w:rPr>
              <w:t>None</w:t>
            </w:r>
          </w:p>
        </w:tc>
      </w:tr>
      <w:tr w:rsidR="00824338" w14:paraId="7845CE28" w14:textId="77777777" w:rsidTr="00031618">
        <w:tblPrEx>
          <w:tblBorders>
            <w:insideH w:val="single" w:sz="4" w:space="0" w:color="auto"/>
            <w:insideV w:val="single" w:sz="4" w:space="0" w:color="auto"/>
          </w:tblBorders>
        </w:tblPrEx>
        <w:tc>
          <w:tcPr>
            <w:tcW w:w="1975" w:type="dxa"/>
            <w:shd w:val="clear" w:color="auto" w:fill="auto"/>
          </w:tcPr>
          <w:p w14:paraId="515EE660" w14:textId="77777777" w:rsidR="003E3D07" w:rsidRDefault="003E3D07" w:rsidP="009C5939">
            <w:pPr>
              <w:pStyle w:val="TableText"/>
            </w:pPr>
            <w:r>
              <w:t>Antibody, No Specificity</w:t>
            </w:r>
          </w:p>
          <w:p w14:paraId="40B8CE16" w14:textId="77777777" w:rsidR="003E3D07" w:rsidRDefault="003E3D07" w:rsidP="009C5939">
            <w:pPr>
              <w:pStyle w:val="TableText"/>
              <w:rPr>
                <w:sz w:val="20"/>
              </w:rPr>
            </w:pPr>
            <w:r>
              <w:t>Identified</w:t>
            </w:r>
          </w:p>
        </w:tc>
        <w:tc>
          <w:tcPr>
            <w:tcW w:w="1710" w:type="dxa"/>
            <w:shd w:val="clear" w:color="auto" w:fill="auto"/>
          </w:tcPr>
          <w:p w14:paraId="0CC6FA56" w14:textId="77777777" w:rsidR="003E3D07" w:rsidRDefault="003E3D07" w:rsidP="009C5939">
            <w:pPr>
              <w:pStyle w:val="TableText"/>
              <w:rPr>
                <w:sz w:val="20"/>
              </w:rPr>
            </w:pPr>
            <w:r>
              <w:t>Antibody (not otherwise specified)</w:t>
            </w:r>
          </w:p>
        </w:tc>
        <w:tc>
          <w:tcPr>
            <w:tcW w:w="878" w:type="dxa"/>
            <w:shd w:val="clear" w:color="auto" w:fill="auto"/>
          </w:tcPr>
          <w:p w14:paraId="487E6EA3" w14:textId="77777777" w:rsidR="003E3D07" w:rsidRDefault="003E3D07" w:rsidP="009C5939">
            <w:pPr>
              <w:pStyle w:val="TableText"/>
            </w:pPr>
            <w:r>
              <w:t>Unknown</w:t>
            </w:r>
            <w:r w:rsidR="00191509" w:rsidRPr="00191509">
              <w:rPr>
                <w:szCs w:val="18"/>
              </w:rPr>
              <w:t>§</w:t>
            </w:r>
          </w:p>
        </w:tc>
        <w:tc>
          <w:tcPr>
            <w:tcW w:w="878" w:type="dxa"/>
            <w:shd w:val="clear" w:color="auto" w:fill="auto"/>
          </w:tcPr>
          <w:p w14:paraId="3567424D" w14:textId="77777777" w:rsidR="003E3D07" w:rsidRDefault="003E3D07" w:rsidP="009C5939">
            <w:pPr>
              <w:pStyle w:val="TableText"/>
            </w:pPr>
            <w:r>
              <w:t>No</w:t>
            </w:r>
          </w:p>
        </w:tc>
        <w:tc>
          <w:tcPr>
            <w:tcW w:w="1253" w:type="dxa"/>
            <w:shd w:val="clear" w:color="auto" w:fill="auto"/>
          </w:tcPr>
          <w:p w14:paraId="55674AB4" w14:textId="77777777" w:rsidR="003E3D07" w:rsidRDefault="003E3D07" w:rsidP="009C5939">
            <w:pPr>
              <w:pStyle w:val="TableText"/>
            </w:pPr>
            <w:r>
              <w:t>None</w:t>
            </w:r>
          </w:p>
        </w:tc>
        <w:tc>
          <w:tcPr>
            <w:tcW w:w="1253" w:type="dxa"/>
            <w:shd w:val="clear" w:color="auto" w:fill="auto"/>
          </w:tcPr>
          <w:p w14:paraId="76A9C736" w14:textId="77777777" w:rsidR="003E3D07" w:rsidRDefault="003E3D07" w:rsidP="009C5939">
            <w:pPr>
              <w:pStyle w:val="TableText"/>
            </w:pPr>
            <w:r>
              <w:t>None</w:t>
            </w:r>
          </w:p>
        </w:tc>
        <w:tc>
          <w:tcPr>
            <w:tcW w:w="1296" w:type="dxa"/>
            <w:shd w:val="clear" w:color="auto" w:fill="auto"/>
          </w:tcPr>
          <w:p w14:paraId="6A4C4B11" w14:textId="77777777" w:rsidR="003E3D07" w:rsidRDefault="003E3D07" w:rsidP="009C5939">
            <w:pPr>
              <w:pStyle w:val="TableText"/>
              <w:rPr>
                <w:rFonts w:eastAsia="Symbol"/>
              </w:rPr>
            </w:pPr>
            <w:r>
              <w:rPr>
                <w:rFonts w:eastAsia="Symbol"/>
              </w:rPr>
              <w:t>0</w:t>
            </w:r>
          </w:p>
        </w:tc>
        <w:tc>
          <w:tcPr>
            <w:tcW w:w="841" w:type="dxa"/>
            <w:vMerge/>
            <w:shd w:val="clear" w:color="auto" w:fill="auto"/>
          </w:tcPr>
          <w:p w14:paraId="0BE8AD1C" w14:textId="77777777" w:rsidR="003E3D07" w:rsidRDefault="003E3D07" w:rsidP="009C5939">
            <w:pPr>
              <w:pStyle w:val="TableText"/>
              <w:rPr>
                <w:rFonts w:eastAsia="Symbol"/>
              </w:rPr>
            </w:pPr>
          </w:p>
        </w:tc>
      </w:tr>
      <w:tr w:rsidR="00824338" w14:paraId="3ECAFF10" w14:textId="77777777" w:rsidTr="00031618">
        <w:tblPrEx>
          <w:tblBorders>
            <w:insideH w:val="single" w:sz="4" w:space="0" w:color="auto"/>
            <w:insideV w:val="single" w:sz="4" w:space="0" w:color="auto"/>
          </w:tblBorders>
        </w:tblPrEx>
        <w:tc>
          <w:tcPr>
            <w:tcW w:w="1975" w:type="dxa"/>
            <w:shd w:val="clear" w:color="auto" w:fill="auto"/>
          </w:tcPr>
          <w:p w14:paraId="2902BD35" w14:textId="77777777" w:rsidR="003E3D07" w:rsidRDefault="003E3D07" w:rsidP="009C5939">
            <w:pPr>
              <w:pStyle w:val="TableText"/>
            </w:pPr>
            <w:r>
              <w:t>Antibody to Low-Incidence Antigen</w:t>
            </w:r>
          </w:p>
        </w:tc>
        <w:tc>
          <w:tcPr>
            <w:tcW w:w="1710" w:type="dxa"/>
            <w:shd w:val="clear" w:color="auto" w:fill="auto"/>
          </w:tcPr>
          <w:p w14:paraId="69216AA6" w14:textId="77777777" w:rsidR="003E3D07" w:rsidRDefault="003E3D07" w:rsidP="009C5939">
            <w:pPr>
              <w:pStyle w:val="TableText"/>
            </w:pPr>
            <w:r>
              <w:t>Antibody, private (not otherwise specified)</w:t>
            </w:r>
          </w:p>
        </w:tc>
        <w:tc>
          <w:tcPr>
            <w:tcW w:w="878" w:type="dxa"/>
            <w:shd w:val="clear" w:color="auto" w:fill="auto"/>
          </w:tcPr>
          <w:p w14:paraId="42055E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630E4D7E" w14:textId="77777777" w:rsidR="003E3D07" w:rsidRDefault="003E3D07" w:rsidP="009C5939">
            <w:pPr>
              <w:pStyle w:val="TableText"/>
            </w:pPr>
            <w:r>
              <w:t>No</w:t>
            </w:r>
          </w:p>
        </w:tc>
        <w:tc>
          <w:tcPr>
            <w:tcW w:w="1253" w:type="dxa"/>
            <w:shd w:val="clear" w:color="auto" w:fill="auto"/>
          </w:tcPr>
          <w:p w14:paraId="36BFC685" w14:textId="77777777" w:rsidR="003E3D07" w:rsidRDefault="003E3D07" w:rsidP="009C5939">
            <w:pPr>
              <w:pStyle w:val="TableText"/>
            </w:pPr>
            <w:r>
              <w:t>None</w:t>
            </w:r>
          </w:p>
        </w:tc>
        <w:tc>
          <w:tcPr>
            <w:tcW w:w="1253" w:type="dxa"/>
            <w:shd w:val="clear" w:color="auto" w:fill="auto"/>
          </w:tcPr>
          <w:p w14:paraId="762FBDCC" w14:textId="77777777" w:rsidR="003E3D07" w:rsidRDefault="003E3D07" w:rsidP="009C5939">
            <w:pPr>
              <w:pStyle w:val="TableText"/>
            </w:pPr>
            <w:r>
              <w:t>None</w:t>
            </w:r>
          </w:p>
        </w:tc>
        <w:tc>
          <w:tcPr>
            <w:tcW w:w="1296" w:type="dxa"/>
            <w:shd w:val="clear" w:color="auto" w:fill="auto"/>
          </w:tcPr>
          <w:p w14:paraId="20912104" w14:textId="77777777" w:rsidR="003E3D07" w:rsidRDefault="003E3D07" w:rsidP="009C5939">
            <w:pPr>
              <w:pStyle w:val="TableText"/>
              <w:rPr>
                <w:rFonts w:eastAsia="Symbol"/>
              </w:rPr>
            </w:pPr>
            <w:r>
              <w:rPr>
                <w:rFonts w:eastAsia="Symbol"/>
              </w:rPr>
              <w:t>99</w:t>
            </w:r>
          </w:p>
        </w:tc>
        <w:tc>
          <w:tcPr>
            <w:tcW w:w="841" w:type="dxa"/>
            <w:vMerge/>
            <w:shd w:val="clear" w:color="auto" w:fill="auto"/>
          </w:tcPr>
          <w:p w14:paraId="7AAC4B20" w14:textId="77777777" w:rsidR="003E3D07" w:rsidRDefault="003E3D07" w:rsidP="009C5939">
            <w:pPr>
              <w:pStyle w:val="TableText"/>
              <w:rPr>
                <w:rFonts w:eastAsia="Symbol"/>
              </w:rPr>
            </w:pPr>
          </w:p>
        </w:tc>
      </w:tr>
      <w:tr w:rsidR="00824338" w14:paraId="3F4996E0" w14:textId="77777777" w:rsidTr="00031618">
        <w:tblPrEx>
          <w:tblBorders>
            <w:insideH w:val="single" w:sz="4" w:space="0" w:color="auto"/>
            <w:insideV w:val="single" w:sz="4" w:space="0" w:color="auto"/>
          </w:tblBorders>
        </w:tblPrEx>
        <w:tc>
          <w:tcPr>
            <w:tcW w:w="1975" w:type="dxa"/>
            <w:shd w:val="clear" w:color="auto" w:fill="auto"/>
          </w:tcPr>
          <w:p w14:paraId="0CA7ED25" w14:textId="77777777" w:rsidR="003E3D07" w:rsidRDefault="003E3D07" w:rsidP="009C5939">
            <w:pPr>
              <w:pStyle w:val="TableText"/>
              <w:rPr>
                <w:sz w:val="20"/>
              </w:rPr>
            </w:pPr>
            <w:r>
              <w:lastRenderedPageBreak/>
              <w:t>Antibody to High-Incidence Antigen</w:t>
            </w:r>
          </w:p>
        </w:tc>
        <w:tc>
          <w:tcPr>
            <w:tcW w:w="1710" w:type="dxa"/>
            <w:shd w:val="clear" w:color="auto" w:fill="auto"/>
          </w:tcPr>
          <w:p w14:paraId="2141603D" w14:textId="77777777" w:rsidR="003E3D07" w:rsidRDefault="003E3D07" w:rsidP="009C5939">
            <w:pPr>
              <w:pStyle w:val="TableText"/>
              <w:rPr>
                <w:sz w:val="20"/>
              </w:rPr>
            </w:pPr>
            <w:r>
              <w:t>Antibody, public (not otherwise specified)</w:t>
            </w:r>
          </w:p>
        </w:tc>
        <w:tc>
          <w:tcPr>
            <w:tcW w:w="878" w:type="dxa"/>
            <w:shd w:val="clear" w:color="auto" w:fill="auto"/>
          </w:tcPr>
          <w:p w14:paraId="6415B5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2FE7FD40" w14:textId="77777777" w:rsidR="003E3D07" w:rsidRDefault="003E3D07" w:rsidP="009C5939">
            <w:pPr>
              <w:pStyle w:val="TableText"/>
            </w:pPr>
            <w:r>
              <w:t>No</w:t>
            </w:r>
          </w:p>
        </w:tc>
        <w:tc>
          <w:tcPr>
            <w:tcW w:w="1253" w:type="dxa"/>
            <w:shd w:val="clear" w:color="auto" w:fill="auto"/>
          </w:tcPr>
          <w:p w14:paraId="71EB51B2" w14:textId="77777777" w:rsidR="003E3D07" w:rsidRDefault="003E3D07" w:rsidP="009C5939">
            <w:pPr>
              <w:pStyle w:val="TableText"/>
            </w:pPr>
            <w:r>
              <w:t>None</w:t>
            </w:r>
          </w:p>
        </w:tc>
        <w:tc>
          <w:tcPr>
            <w:tcW w:w="1253" w:type="dxa"/>
            <w:shd w:val="clear" w:color="auto" w:fill="auto"/>
          </w:tcPr>
          <w:p w14:paraId="6BAA0482" w14:textId="77777777" w:rsidR="003E3D07" w:rsidRDefault="003E3D07" w:rsidP="009C5939">
            <w:pPr>
              <w:pStyle w:val="TableText"/>
            </w:pPr>
            <w:r>
              <w:t>None</w:t>
            </w:r>
          </w:p>
        </w:tc>
        <w:tc>
          <w:tcPr>
            <w:tcW w:w="1296" w:type="dxa"/>
            <w:shd w:val="clear" w:color="auto" w:fill="auto"/>
          </w:tcPr>
          <w:p w14:paraId="747BF053" w14:textId="77777777" w:rsidR="003E3D07" w:rsidRDefault="003E3D07" w:rsidP="009C5939">
            <w:pPr>
              <w:pStyle w:val="TableText"/>
              <w:rPr>
                <w:rFonts w:eastAsia="Symbol"/>
              </w:rPr>
            </w:pPr>
            <w:r>
              <w:rPr>
                <w:rFonts w:eastAsia="Symbol"/>
              </w:rPr>
              <w:t>0</w:t>
            </w:r>
          </w:p>
        </w:tc>
        <w:tc>
          <w:tcPr>
            <w:tcW w:w="841" w:type="dxa"/>
            <w:vMerge/>
            <w:shd w:val="clear" w:color="auto" w:fill="auto"/>
          </w:tcPr>
          <w:p w14:paraId="51BF9F28" w14:textId="77777777" w:rsidR="003E3D07" w:rsidRDefault="003E3D07" w:rsidP="009C5939">
            <w:pPr>
              <w:pStyle w:val="TableText"/>
              <w:rPr>
                <w:rFonts w:eastAsia="Symbol"/>
              </w:rPr>
            </w:pPr>
          </w:p>
        </w:tc>
      </w:tr>
      <w:tr w:rsidR="00A447A2" w14:paraId="3D20AD8A" w14:textId="77777777" w:rsidTr="00031618">
        <w:tblPrEx>
          <w:tblBorders>
            <w:insideH w:val="single" w:sz="4" w:space="0" w:color="auto"/>
            <w:insideV w:val="single" w:sz="4" w:space="0" w:color="auto"/>
          </w:tblBorders>
        </w:tblPrEx>
        <w:tc>
          <w:tcPr>
            <w:tcW w:w="1975" w:type="dxa"/>
            <w:shd w:val="clear" w:color="auto" w:fill="auto"/>
          </w:tcPr>
          <w:p w14:paraId="052DE4F2" w14:textId="77777777" w:rsidR="00A447A2" w:rsidRDefault="00A447A2" w:rsidP="009C5939">
            <w:pPr>
              <w:pStyle w:val="TableText"/>
            </w:pPr>
            <w:r>
              <w:t xml:space="preserve">Serologic Crossmatch Test Required </w:t>
            </w:r>
            <w:r w:rsidRPr="00A447A2">
              <w:rPr>
                <w:vanish/>
              </w:rPr>
              <w:t>DR 3145</w:t>
            </w:r>
          </w:p>
        </w:tc>
        <w:tc>
          <w:tcPr>
            <w:tcW w:w="1710" w:type="dxa"/>
            <w:shd w:val="clear" w:color="auto" w:fill="auto"/>
          </w:tcPr>
          <w:p w14:paraId="4CB4DC06" w14:textId="77777777" w:rsidR="00A447A2" w:rsidRDefault="00A447A2" w:rsidP="009C5939">
            <w:pPr>
              <w:pStyle w:val="TableText"/>
            </w:pPr>
            <w:r>
              <w:t>N/A</w:t>
            </w:r>
          </w:p>
        </w:tc>
        <w:tc>
          <w:tcPr>
            <w:tcW w:w="878" w:type="dxa"/>
            <w:shd w:val="clear" w:color="auto" w:fill="auto"/>
          </w:tcPr>
          <w:p w14:paraId="5169B04A" w14:textId="77777777" w:rsidR="00A447A2" w:rsidRDefault="00A447A2" w:rsidP="009C5939">
            <w:pPr>
              <w:pStyle w:val="TableText"/>
            </w:pPr>
            <w:r>
              <w:t>No</w:t>
            </w:r>
          </w:p>
        </w:tc>
        <w:tc>
          <w:tcPr>
            <w:tcW w:w="878" w:type="dxa"/>
            <w:shd w:val="clear" w:color="auto" w:fill="auto"/>
          </w:tcPr>
          <w:p w14:paraId="5E9CE61D" w14:textId="77777777" w:rsidR="00A447A2" w:rsidRDefault="00A447A2" w:rsidP="009C5939">
            <w:pPr>
              <w:pStyle w:val="TableText"/>
            </w:pPr>
            <w:r>
              <w:t>No</w:t>
            </w:r>
          </w:p>
        </w:tc>
        <w:tc>
          <w:tcPr>
            <w:tcW w:w="1253" w:type="dxa"/>
            <w:shd w:val="clear" w:color="auto" w:fill="auto"/>
          </w:tcPr>
          <w:p w14:paraId="4434E191" w14:textId="77777777" w:rsidR="00A447A2" w:rsidRDefault="00A447A2" w:rsidP="009C5939">
            <w:pPr>
              <w:pStyle w:val="TableText"/>
            </w:pPr>
            <w:r>
              <w:t>None</w:t>
            </w:r>
          </w:p>
        </w:tc>
        <w:tc>
          <w:tcPr>
            <w:tcW w:w="1253" w:type="dxa"/>
            <w:shd w:val="clear" w:color="auto" w:fill="auto"/>
          </w:tcPr>
          <w:p w14:paraId="3BBE5B42" w14:textId="77777777" w:rsidR="00A447A2" w:rsidRDefault="00A447A2" w:rsidP="009C5939">
            <w:pPr>
              <w:pStyle w:val="TableText"/>
            </w:pPr>
            <w:r>
              <w:t>None</w:t>
            </w:r>
          </w:p>
        </w:tc>
        <w:tc>
          <w:tcPr>
            <w:tcW w:w="1296" w:type="dxa"/>
            <w:shd w:val="clear" w:color="auto" w:fill="auto"/>
          </w:tcPr>
          <w:p w14:paraId="10BFB5D1" w14:textId="77777777" w:rsidR="00A447A2" w:rsidRDefault="00A447A2" w:rsidP="009C5939">
            <w:pPr>
              <w:pStyle w:val="TableText"/>
              <w:rPr>
                <w:rFonts w:eastAsia="Symbol"/>
              </w:rPr>
            </w:pPr>
            <w:r>
              <w:rPr>
                <w:rFonts w:eastAsia="Symbol"/>
              </w:rPr>
              <w:t>N/A</w:t>
            </w:r>
          </w:p>
        </w:tc>
        <w:tc>
          <w:tcPr>
            <w:tcW w:w="841" w:type="dxa"/>
            <w:shd w:val="clear" w:color="auto" w:fill="auto"/>
          </w:tcPr>
          <w:p w14:paraId="25AEC74D" w14:textId="77777777" w:rsidR="00A447A2" w:rsidRDefault="00A447A2" w:rsidP="009C5939">
            <w:pPr>
              <w:pStyle w:val="TableText"/>
              <w:rPr>
                <w:rFonts w:eastAsia="Symbol"/>
              </w:rPr>
            </w:pPr>
            <w:r>
              <w:rPr>
                <w:rFonts w:eastAsia="Symbol"/>
              </w:rPr>
              <w:t>None</w:t>
            </w:r>
          </w:p>
        </w:tc>
      </w:tr>
    </w:tbl>
    <w:bookmarkEnd w:id="591"/>
    <w:p w14:paraId="29AE556F" w14:textId="77777777" w:rsidR="00460F61" w:rsidRDefault="00460F61" w:rsidP="00460F61">
      <w:pPr>
        <w:pStyle w:val="BodyText"/>
      </w:pPr>
      <w:r>
        <w:t xml:space="preserve">*Specificities written </w:t>
      </w:r>
      <w:r w:rsidR="00C732CF">
        <w:t>as</w:t>
      </w:r>
      <w:r>
        <w:t xml:space="preserve"> superscript</w:t>
      </w:r>
      <w:r w:rsidR="000C01A8">
        <w:t xml:space="preserve"> or subscript</w:t>
      </w:r>
      <w:r>
        <w:t xml:space="preserve"> </w:t>
      </w:r>
      <w:r w:rsidR="00C732CF">
        <w:t xml:space="preserve">letters </w:t>
      </w:r>
      <w:r>
        <w:t xml:space="preserve">in blood bank literature are </w:t>
      </w:r>
      <w:r w:rsidR="00C732CF">
        <w:t>shown as</w:t>
      </w:r>
      <w:r>
        <w:t xml:space="preserve"> letters enclosed in parentheses in VBECS </w:t>
      </w:r>
      <w:r w:rsidR="00C732CF">
        <w:t>(</w:t>
      </w:r>
      <w:r>
        <w:t>the GUI cannot display superscript</w:t>
      </w:r>
      <w:r w:rsidR="000C01A8">
        <w:t xml:space="preserve"> or subscript</w:t>
      </w:r>
      <w:r>
        <w:t xml:space="preserve"> letter</w:t>
      </w:r>
      <w:r w:rsidR="00C732CF">
        <w:t>s)</w:t>
      </w:r>
      <w:r>
        <w:t xml:space="preserve">. Specificities written </w:t>
      </w:r>
      <w:r w:rsidR="00C732CF">
        <w:t>as</w:t>
      </w:r>
      <w:r>
        <w:t xml:space="preserve"> subscript</w:t>
      </w:r>
      <w:r w:rsidR="00C732CF">
        <w:t xml:space="preserve"> characters</w:t>
      </w:r>
      <w:r>
        <w:t xml:space="preserve"> in blood bank literature are</w:t>
      </w:r>
      <w:r w:rsidR="00C732CF">
        <w:t xml:space="preserve"> shown as</w:t>
      </w:r>
      <w:r>
        <w:t xml:space="preserve"> numbers or letters not enclosed in parentheses.</w:t>
      </w:r>
    </w:p>
    <w:p w14:paraId="2010560C" w14:textId="77777777" w:rsidR="00460F61" w:rsidRDefault="001116E3" w:rsidP="00460F61">
      <w:pPr>
        <w:pStyle w:val="BodyText"/>
      </w:pPr>
      <w:r w:rsidRPr="00191509">
        <w:rPr>
          <w:rFonts w:eastAsia="Symbol"/>
        </w:rPr>
        <w:t>†</w:t>
      </w:r>
      <w:r w:rsidR="00460F61">
        <w:t xml:space="preserve">Examples of common </w:t>
      </w:r>
      <w:r w:rsidR="00460F61" w:rsidRPr="00CA6E27">
        <w:rPr>
          <w:bCs/>
        </w:rPr>
        <w:t>VistA</w:t>
      </w:r>
      <w:r w:rsidR="00460F61">
        <w:t xml:space="preserve"> antibody</w:t>
      </w:r>
      <w:r w:rsidR="00EB4BDF">
        <w:t xml:space="preserve"> and </w:t>
      </w:r>
      <w:r w:rsidR="00460F61">
        <w:t xml:space="preserve">antigen terminology. Individual sites may vary. Refer to </w:t>
      </w:r>
      <w:r w:rsidR="00EB4BDF">
        <w:t>division-specific</w:t>
      </w:r>
      <w:r w:rsidR="00460F61">
        <w:t xml:space="preserve"> </w:t>
      </w:r>
      <w:r w:rsidR="00EB4BDF">
        <w:t xml:space="preserve">mapping </w:t>
      </w:r>
      <w:r w:rsidR="00460F61">
        <w:t>documents.</w:t>
      </w:r>
    </w:p>
    <w:p w14:paraId="2DC1D238" w14:textId="77777777" w:rsidR="001116E3" w:rsidRDefault="001116E3" w:rsidP="00460F61">
      <w:pPr>
        <w:pStyle w:val="BodyText"/>
        <w:rPr>
          <w:rFonts w:eastAsia="Symbol"/>
        </w:rPr>
      </w:pPr>
      <w:r>
        <w:rPr>
          <w:rFonts w:eastAsia="Symbol"/>
        </w:rPr>
        <w:t>‡The user will order the tests for each antigen separately; VBECS does not display a duplicate antigen typing for this com</w:t>
      </w:r>
      <w:r w:rsidR="00C15725">
        <w:rPr>
          <w:rFonts w:eastAsia="Symbol"/>
        </w:rPr>
        <w:t>bination antibody specificity.</w:t>
      </w:r>
    </w:p>
    <w:p w14:paraId="7FAA693C" w14:textId="77777777" w:rsidR="004D0818" w:rsidRDefault="00F528F3" w:rsidP="00270245">
      <w:pPr>
        <w:pStyle w:val="BodyText"/>
      </w:pPr>
      <w:r w:rsidRPr="00191509">
        <w:t>§</w:t>
      </w:r>
      <w:r w:rsidR="004D0818" w:rsidRPr="00663162">
        <w:t>When the clinical significance is unknow</w:t>
      </w:r>
      <w:r w:rsidR="004D0818">
        <w:t>n,</w:t>
      </w:r>
      <w:r w:rsidR="004D0818" w:rsidRPr="00663162">
        <w:t xml:space="preserve"> it is displayed as "No" due to the limitations of the system</w:t>
      </w:r>
      <w:r w:rsidR="004D0818">
        <w:t>.</w:t>
      </w:r>
    </w:p>
    <w:p w14:paraId="47941A28" w14:textId="77777777" w:rsidR="002A21AE" w:rsidRDefault="0065062F" w:rsidP="0065062F">
      <w:pPr>
        <w:pStyle w:val="Heading3"/>
      </w:pPr>
      <w:bookmarkStart w:id="592" w:name="table14"/>
      <w:bookmarkStart w:id="593" w:name="_Toc163645001"/>
      <w:bookmarkEnd w:id="592"/>
      <w:r w:rsidRPr="00F628FE">
        <w:t>Antibody and Antigen Table: Database Conversion</w:t>
      </w:r>
      <w:bookmarkEnd w:id="593"/>
      <w:r w:rsidR="002A21AE">
        <w:t xml:space="preserve"> </w:t>
      </w:r>
      <w:r w:rsidR="002A21AE">
        <w:rPr>
          <w:rFonts w:ascii="Geneva" w:hAnsi="Geneva"/>
          <w:vanish/>
        </w:rPr>
        <w:t xml:space="preserve">TT_23.01C </w:t>
      </w:r>
      <w:bookmarkEnd w:id="579"/>
      <w:bookmarkEnd w:id="580"/>
      <w:r w:rsidR="002A21AE">
        <w:fldChar w:fldCharType="begin"/>
      </w:r>
      <w:r w:rsidR="002A21AE">
        <w:instrText xml:space="preserve"> XE </w:instrText>
      </w:r>
      <w:r w:rsidR="00FA7E65">
        <w:instrText>“</w:instrText>
      </w:r>
      <w:r w:rsidR="002A21AE">
        <w:instrText>Tables:Antibody and Antigen Table, Database Conversion</w:instrText>
      </w:r>
      <w:r w:rsidR="00FA7E65">
        <w:instrText>”</w:instrText>
      </w:r>
      <w:r w:rsidR="002A21AE">
        <w:instrText xml:space="preserve"> </w:instrText>
      </w:r>
      <w:r w:rsidR="002A21AE">
        <w:fldChar w:fldCharType="end"/>
      </w:r>
    </w:p>
    <w:p w14:paraId="17BC5803" w14:textId="7501487D" w:rsidR="00D7283A" w:rsidRDefault="00E105E6" w:rsidP="00D7283A">
      <w:pPr>
        <w:pStyle w:val="BodyText"/>
      </w:pPr>
      <w:r>
        <w:t>Users cannot set antigen negative requirements for these antibodies in VBECS</w:t>
      </w:r>
      <w:r w:rsidR="004764F4">
        <w:t xml:space="preserve"> </w:t>
      </w:r>
      <w:r w:rsidR="00DB0CE8">
        <w:t>[</w:t>
      </w:r>
      <w:r w:rsidR="00EE455E">
        <w:t xml:space="preserve">Table </w:t>
      </w:r>
      <w:r w:rsidR="00EE455E">
        <w:rPr>
          <w:noProof/>
        </w:rPr>
        <w:t>15</w:t>
      </w:r>
      <w:r w:rsidR="00DB0CE8">
        <w:t xml:space="preserve"> (See </w:t>
      </w:r>
      <w:r w:rsidR="00DB0CE8" w:rsidRPr="00423A7F">
        <w:rPr>
          <w:i/>
          <w:iCs/>
        </w:rPr>
        <w:t>FAQ Database Conversion Oddballs</w:t>
      </w:r>
      <w:r w:rsidR="004764F4">
        <w:t>)</w:t>
      </w:r>
      <w:r w:rsidR="00DB0CE8">
        <w:t>]</w:t>
      </w:r>
      <w:r>
        <w:t xml:space="preserve">. </w:t>
      </w:r>
      <w:r w:rsidR="00D7283A">
        <w:t xml:space="preserve">Clinical significance of antibody specificity is set using the 14th edition of the AABB Technical Manual. </w:t>
      </w:r>
    </w:p>
    <w:p w14:paraId="2F8918A6" w14:textId="6E251915" w:rsidR="002A21AE" w:rsidRDefault="002A21AE">
      <w:pPr>
        <w:pStyle w:val="Caption"/>
      </w:pPr>
      <w:bookmarkStart w:id="594" w:name="_Ref126730915"/>
      <w:bookmarkStart w:id="595" w:name="_Toc97523632"/>
      <w:bookmarkStart w:id="596" w:name="_Toc9752760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15</w:t>
      </w:r>
      <w:r w:rsidR="004E20BD">
        <w:rPr>
          <w:noProof/>
        </w:rPr>
        <w:fldChar w:fldCharType="end"/>
      </w:r>
      <w:bookmarkEnd w:id="594"/>
      <w:r>
        <w:t xml:space="preserve">: </w:t>
      </w:r>
      <w:r>
        <w:rPr>
          <w:vanish/>
        </w:rPr>
        <w:t xml:space="preserve">TT_23.01C </w:t>
      </w:r>
      <w:r>
        <w:t>Antibody and Antigen Table: Database Conversion</w:t>
      </w:r>
      <w:bookmarkEnd w:id="595"/>
      <w:bookmarkEnd w:id="596"/>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39"/>
        <w:gridCol w:w="2339"/>
        <w:gridCol w:w="2341"/>
        <w:gridCol w:w="2341"/>
      </w:tblGrid>
      <w:tr w:rsidR="0012237C" w14:paraId="5CB25C6A" w14:textId="77777777">
        <w:trPr>
          <w:tblHeader/>
        </w:trPr>
        <w:tc>
          <w:tcPr>
            <w:tcW w:w="3740" w:type="dxa"/>
            <w:gridSpan w:val="2"/>
            <w:tcBorders>
              <w:top w:val="single" w:sz="4" w:space="0" w:color="auto"/>
              <w:left w:val="single" w:sz="4" w:space="0" w:color="auto"/>
              <w:bottom w:val="single" w:sz="4" w:space="0" w:color="auto"/>
              <w:right w:val="single" w:sz="4" w:space="0" w:color="auto"/>
            </w:tcBorders>
            <w:shd w:val="clear" w:color="auto" w:fill="C0C0C0"/>
          </w:tcPr>
          <w:p w14:paraId="39835C91" w14:textId="77777777" w:rsidR="0012237C" w:rsidRPr="00CA6E27" w:rsidRDefault="0012237C" w:rsidP="00084E6B">
            <w:pPr>
              <w:pStyle w:val="TableText"/>
              <w:rPr>
                <w:b/>
              </w:rPr>
            </w:pPr>
            <w:r>
              <w:rPr>
                <w:b/>
              </w:rPr>
              <w:t>Antibody Name</w:t>
            </w:r>
          </w:p>
        </w:tc>
        <w:tc>
          <w:tcPr>
            <w:tcW w:w="3742" w:type="dxa"/>
            <w:gridSpan w:val="2"/>
            <w:tcBorders>
              <w:top w:val="single" w:sz="4" w:space="0" w:color="auto"/>
              <w:left w:val="single" w:sz="4" w:space="0" w:color="auto"/>
              <w:bottom w:val="single" w:sz="4" w:space="0" w:color="auto"/>
              <w:right w:val="single" w:sz="4" w:space="0" w:color="auto"/>
            </w:tcBorders>
            <w:shd w:val="clear" w:color="auto" w:fill="C0C0C0"/>
          </w:tcPr>
          <w:p w14:paraId="7F82EC5B" w14:textId="77777777" w:rsidR="0012237C" w:rsidRPr="00CA6E27" w:rsidRDefault="0012237C" w:rsidP="00084E6B">
            <w:pPr>
              <w:pStyle w:val="TableText"/>
              <w:rPr>
                <w:b/>
              </w:rPr>
            </w:pPr>
            <w:r>
              <w:rPr>
                <w:b/>
              </w:rPr>
              <w:t>Associated Antigen</w:t>
            </w:r>
          </w:p>
        </w:tc>
      </w:tr>
      <w:tr w:rsidR="0012237C" w14:paraId="367042F5" w14:textId="77777777">
        <w:trPr>
          <w:tblHeader/>
        </w:trPr>
        <w:tc>
          <w:tcPr>
            <w:tcW w:w="1870" w:type="dxa"/>
            <w:tcBorders>
              <w:top w:val="single" w:sz="4" w:space="0" w:color="auto"/>
              <w:left w:val="single" w:sz="4" w:space="0" w:color="auto"/>
              <w:bottom w:val="single" w:sz="4" w:space="0" w:color="auto"/>
              <w:right w:val="single" w:sz="4" w:space="0" w:color="auto"/>
            </w:tcBorders>
            <w:shd w:val="clear" w:color="auto" w:fill="C0C0C0"/>
          </w:tcPr>
          <w:p w14:paraId="41902400" w14:textId="77777777" w:rsidR="0012237C" w:rsidRPr="003B5F9B" w:rsidRDefault="0012237C" w:rsidP="00084E6B">
            <w:pPr>
              <w:pStyle w:val="TableText"/>
              <w:rPr>
                <w:b/>
              </w:rPr>
            </w:pPr>
            <w:r>
              <w:rPr>
                <w:b/>
              </w:rPr>
              <w:t>VBECS</w:t>
            </w:r>
            <w:r w:rsidR="00E047E8">
              <w:rPr>
                <w:b/>
              </w:rPr>
              <w:t>*</w:t>
            </w:r>
          </w:p>
        </w:tc>
        <w:tc>
          <w:tcPr>
            <w:tcW w:w="1870" w:type="dxa"/>
            <w:tcBorders>
              <w:top w:val="single" w:sz="4" w:space="0" w:color="auto"/>
              <w:left w:val="single" w:sz="4" w:space="0" w:color="auto"/>
              <w:bottom w:val="single" w:sz="4" w:space="0" w:color="auto"/>
              <w:right w:val="single" w:sz="4" w:space="0" w:color="auto"/>
            </w:tcBorders>
            <w:shd w:val="clear" w:color="auto" w:fill="C0C0C0"/>
          </w:tcPr>
          <w:p w14:paraId="51C1F781" w14:textId="77777777" w:rsidR="0012237C" w:rsidRDefault="0012237C" w:rsidP="00084E6B">
            <w:pPr>
              <w:pStyle w:val="TableText"/>
              <w:rPr>
                <w:b/>
              </w:rPr>
            </w:pPr>
            <w:r w:rsidRPr="00CA6E27">
              <w:rPr>
                <w:b/>
              </w:rPr>
              <w:t>VistA</w:t>
            </w:r>
            <w:r w:rsidR="00E047E8">
              <w:rPr>
                <w:rFonts w:cs="Arial"/>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1940F219" w14:textId="77777777" w:rsidR="0012237C" w:rsidRPr="003B5F9B" w:rsidRDefault="0012237C" w:rsidP="00084E6B">
            <w:pPr>
              <w:pStyle w:val="TableText"/>
              <w:rPr>
                <w:b/>
              </w:rPr>
            </w:pPr>
            <w:r>
              <w:rPr>
                <w:b/>
              </w:rPr>
              <w:t>VBECS</w:t>
            </w:r>
            <w:r w:rsidR="00E047E8">
              <w:rPr>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6B946193" w14:textId="77777777" w:rsidR="0012237C" w:rsidRDefault="0012237C" w:rsidP="00084E6B">
            <w:pPr>
              <w:pStyle w:val="TableText"/>
              <w:rPr>
                <w:b/>
              </w:rPr>
            </w:pPr>
            <w:r w:rsidRPr="00CA6E27">
              <w:rPr>
                <w:b/>
              </w:rPr>
              <w:t>VistA</w:t>
            </w:r>
            <w:r w:rsidR="00E047E8">
              <w:rPr>
                <w:rFonts w:cs="Arial"/>
                <w:b/>
              </w:rPr>
              <w:t>†</w:t>
            </w:r>
          </w:p>
        </w:tc>
      </w:tr>
      <w:tr w:rsidR="0012237C" w14:paraId="7FDE63ED"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BC582E7" w14:textId="77777777" w:rsidR="0012237C" w:rsidRDefault="00E047E8">
            <w:pPr>
              <w:pStyle w:val="TableText"/>
            </w:pPr>
            <w:r>
              <w:t>Anti-P1+P+P(k)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33B9FDA" w14:textId="77777777" w:rsidR="0012237C" w:rsidRDefault="0012237C">
            <w:pPr>
              <w:pStyle w:val="TableText"/>
            </w:pPr>
            <w:r>
              <w:t>Anti-PP1</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0300F" w14:textId="77777777" w:rsidR="0012237C" w:rsidRDefault="0012237C">
            <w:pPr>
              <w:pStyle w:val="TableText"/>
              <w:rPr>
                <w:rFonts w:eastAsia="Symbol"/>
              </w:rPr>
            </w:pPr>
            <w:r>
              <w:t>P1+P+P(k)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7F07C54" w14:textId="77777777" w:rsidR="0012237C" w:rsidRDefault="0012237C">
            <w:pPr>
              <w:pStyle w:val="TableText"/>
              <w:rPr>
                <w:rFonts w:eastAsia="Symbol"/>
              </w:rPr>
            </w:pPr>
            <w:r>
              <w:rPr>
                <w:rFonts w:eastAsia="Symbol"/>
              </w:rPr>
              <w:t>PP1</w:t>
            </w:r>
          </w:p>
        </w:tc>
      </w:tr>
      <w:tr w:rsidR="0012237C" w14:paraId="1048B5C1"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11AC6AE5" w14:textId="77777777" w:rsidR="0012237C" w:rsidRDefault="0012237C">
            <w:pPr>
              <w:pStyle w:val="TableText"/>
            </w:pPr>
            <w:r>
              <w:t>Anti-Pk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1E8D86F8" w14:textId="77777777" w:rsidR="0012237C" w:rsidRDefault="0012237C">
            <w:pPr>
              <w:pStyle w:val="TableText"/>
            </w:pPr>
            <w:r>
              <w:t>Anti-p(k)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67F9F47" w14:textId="77777777" w:rsidR="0012237C" w:rsidRDefault="0012237C">
            <w:pPr>
              <w:pStyle w:val="TableText"/>
              <w:rPr>
                <w:rFonts w:eastAsia="Symbol"/>
              </w:rPr>
            </w:pPr>
            <w:r>
              <w:t>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90E2FB2" w14:textId="77777777" w:rsidR="0012237C" w:rsidRDefault="0012237C">
            <w:pPr>
              <w:pStyle w:val="TableText"/>
              <w:rPr>
                <w:rFonts w:eastAsia="Symbol"/>
              </w:rPr>
            </w:pPr>
            <w:r>
              <w:t>p(k)</w:t>
            </w:r>
          </w:p>
        </w:tc>
      </w:tr>
      <w:tr w:rsidR="0012237C" w14:paraId="76935528"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0716AC7" w14:textId="77777777" w:rsidR="0012237C" w:rsidRDefault="0012237C">
            <w:pPr>
              <w:pStyle w:val="TableText"/>
            </w:pPr>
            <w:r>
              <w:t>Anti -M,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2A1A40F1" w14:textId="77777777" w:rsidR="0012237C" w:rsidRDefault="0012237C">
            <w:pPr>
              <w:pStyle w:val="TableText"/>
            </w:pPr>
            <w:r>
              <w:t>Anti-M,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C3A1F90" w14:textId="77777777" w:rsidR="0012237C" w:rsidRDefault="0012237C">
            <w:pPr>
              <w:pStyle w:val="TableText"/>
              <w:rPr>
                <w:szCs w:val="18"/>
              </w:rPr>
            </w:pPr>
            <w:r>
              <w:rPr>
                <w:rFonts w:eastAsia="Symbol"/>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CD9B220" w14:textId="77777777" w:rsidR="0012237C" w:rsidRDefault="0012237C">
            <w:pPr>
              <w:pStyle w:val="TableText"/>
            </w:pPr>
            <w:r>
              <w:rPr>
                <w:rFonts w:eastAsia="Symbol"/>
              </w:rPr>
              <w:t>None</w:t>
            </w:r>
          </w:p>
        </w:tc>
      </w:tr>
      <w:tr w:rsidR="0012237C" w14:paraId="1442EEA3"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D36D027" w14:textId="77777777" w:rsidR="0012237C" w:rsidRDefault="0012237C">
            <w:pPr>
              <w:pStyle w:val="TableText"/>
            </w:pPr>
            <w:r>
              <w:t>Anti-LW</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ADC1BF2" w14:textId="77777777" w:rsidR="0012237C" w:rsidRDefault="0012237C">
            <w:pPr>
              <w:pStyle w:val="TableText"/>
            </w:pPr>
            <w:r>
              <w:t>Anti-LW</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928DA19"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F43B9FC" w14:textId="77777777" w:rsidR="0012237C" w:rsidRDefault="0012237C">
            <w:pPr>
              <w:pStyle w:val="TableText"/>
            </w:pPr>
            <w:r>
              <w:t>LW</w:t>
            </w:r>
          </w:p>
        </w:tc>
      </w:tr>
      <w:tr w:rsidR="0012237C" w14:paraId="729BF662"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6C9A0E1" w14:textId="77777777" w:rsidR="0012237C" w:rsidRDefault="0012237C">
            <w:pPr>
              <w:pStyle w:val="TableText"/>
              <w:rPr>
                <w:szCs w:val="18"/>
              </w:rPr>
            </w:pPr>
            <w:r>
              <w:t>Anti-Lu</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02DC462" w14:textId="77777777" w:rsidR="0012237C" w:rsidRDefault="0012237C">
            <w:pPr>
              <w:pStyle w:val="TableText"/>
              <w:rPr>
                <w:szCs w:val="18"/>
              </w:rPr>
            </w:pPr>
            <w:r>
              <w:t>Anti-Lu</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6D3CBFA"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64510A3" w14:textId="77777777" w:rsidR="0012237C" w:rsidRDefault="0012237C">
            <w:pPr>
              <w:pStyle w:val="TableText"/>
              <w:rPr>
                <w:szCs w:val="18"/>
              </w:rPr>
            </w:pPr>
            <w:r>
              <w:t>Lu</w:t>
            </w:r>
          </w:p>
        </w:tc>
      </w:tr>
      <w:tr w:rsidR="0012237C" w14:paraId="0ABE422B"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447FE24" w14:textId="77777777" w:rsidR="0012237C" w:rsidRDefault="0012237C">
            <w:pPr>
              <w:pStyle w:val="TableText"/>
              <w:rPr>
                <w:rFonts w:eastAsia="Symbol"/>
                <w:szCs w:val="18"/>
              </w:rPr>
            </w:pPr>
            <w:r>
              <w:rPr>
                <w:szCs w:val="18"/>
              </w:rPr>
              <w:t>Anti-Le,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8EDA4B0" w14:textId="77777777" w:rsidR="0012237C" w:rsidRDefault="0012237C">
            <w:pPr>
              <w:pStyle w:val="TableText"/>
              <w:rPr>
                <w:szCs w:val="18"/>
              </w:rPr>
            </w:pPr>
            <w:r>
              <w:rPr>
                <w:szCs w:val="18"/>
              </w:rPr>
              <w:t>Anti-Le,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0FD3C636"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A67CA07" w14:textId="77777777" w:rsidR="0012237C" w:rsidRDefault="0012237C">
            <w:pPr>
              <w:pStyle w:val="TableText"/>
              <w:rPr>
                <w:szCs w:val="18"/>
              </w:rPr>
            </w:pPr>
            <w:r>
              <w:rPr>
                <w:szCs w:val="18"/>
              </w:rPr>
              <w:t>None</w:t>
            </w:r>
          </w:p>
        </w:tc>
      </w:tr>
      <w:tr w:rsidR="0012237C" w14:paraId="28241E5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3FFD1402" w14:textId="77777777" w:rsidR="0012237C" w:rsidRDefault="0012237C">
            <w:pPr>
              <w:pStyle w:val="TableText"/>
              <w:rPr>
                <w:rFonts w:eastAsia="Symbol"/>
                <w:szCs w:val="18"/>
              </w:rPr>
            </w:pPr>
            <w:r>
              <w:rPr>
                <w:szCs w:val="18"/>
              </w:rPr>
              <w:t>Anti-N,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AF566E4" w14:textId="77777777" w:rsidR="0012237C" w:rsidRDefault="0012237C">
            <w:pPr>
              <w:pStyle w:val="TableText"/>
              <w:rPr>
                <w:szCs w:val="18"/>
              </w:rPr>
            </w:pPr>
            <w:r>
              <w:rPr>
                <w:szCs w:val="18"/>
              </w:rPr>
              <w:t>Anti-N,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37934AF"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BE70128" w14:textId="77777777" w:rsidR="0012237C" w:rsidRDefault="0012237C">
            <w:pPr>
              <w:pStyle w:val="TableText"/>
              <w:rPr>
                <w:szCs w:val="18"/>
              </w:rPr>
            </w:pPr>
            <w:r>
              <w:rPr>
                <w:szCs w:val="18"/>
              </w:rPr>
              <w:t>None</w:t>
            </w:r>
          </w:p>
        </w:tc>
      </w:tr>
      <w:tr w:rsidR="0012237C" w14:paraId="3102E5A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CADD6E4" w14:textId="77777777" w:rsidR="0012237C" w:rsidRDefault="0012237C">
            <w:pPr>
              <w:pStyle w:val="TableText"/>
              <w:rPr>
                <w:rFonts w:eastAsia="Symbol"/>
                <w:szCs w:val="18"/>
              </w:rPr>
            </w:pPr>
            <w:r>
              <w:rPr>
                <w:szCs w:val="18"/>
              </w:rPr>
              <w:t>Anti-I(int)</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4199B09" w14:textId="77777777" w:rsidR="0012237C" w:rsidRDefault="0012237C">
            <w:pPr>
              <w:pStyle w:val="TableText"/>
              <w:rPr>
                <w:rFonts w:eastAsia="Symbol"/>
                <w:szCs w:val="18"/>
              </w:rPr>
            </w:pPr>
            <w:r>
              <w:rPr>
                <w:szCs w:val="18"/>
              </w:rPr>
              <w:t>Anti-I(int)</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55D5034"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7DAD3F9" w14:textId="77777777" w:rsidR="0012237C" w:rsidRDefault="0012237C">
            <w:pPr>
              <w:pStyle w:val="TableText"/>
              <w:rPr>
                <w:rFonts w:eastAsia="Symbol"/>
                <w:szCs w:val="18"/>
              </w:rPr>
            </w:pPr>
            <w:r>
              <w:rPr>
                <w:szCs w:val="18"/>
              </w:rPr>
              <w:t>I(int)</w:t>
            </w:r>
          </w:p>
        </w:tc>
      </w:tr>
      <w:tr w:rsidR="0012237C" w14:paraId="48FA9EEA"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731FF1A" w14:textId="77777777" w:rsidR="0012237C" w:rsidRDefault="0012237C">
            <w:pPr>
              <w:pStyle w:val="TableText"/>
              <w:rPr>
                <w:rFonts w:eastAsia="Symbol"/>
                <w:szCs w:val="18"/>
              </w:rPr>
            </w:pPr>
            <w:r>
              <w:rPr>
                <w:szCs w:val="18"/>
              </w:rPr>
              <w:t>Anti-rhesus (not otherwise specified)</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4147FCF" w14:textId="77777777" w:rsidR="0012237C" w:rsidRDefault="0012237C">
            <w:pPr>
              <w:pStyle w:val="TableText"/>
              <w:rPr>
                <w:rFonts w:eastAsia="Symbol"/>
                <w:szCs w:val="18"/>
              </w:rPr>
            </w:pPr>
            <w:r>
              <w:rPr>
                <w:szCs w:val="18"/>
              </w:rPr>
              <w:t>Anti-rhesus</w:t>
            </w:r>
            <w:r w:rsidR="00B70069">
              <w:rPr>
                <w:szCs w:val="18"/>
              </w:rPr>
              <w:t xml:space="preserve"> </w:t>
            </w:r>
            <w:r>
              <w:rPr>
                <w:szCs w:val="18"/>
              </w:rPr>
              <w:t>(not otherwise specified)</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7E93D"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03B961D" w14:textId="77777777" w:rsidR="0012237C" w:rsidRDefault="0012237C">
            <w:pPr>
              <w:pStyle w:val="TableText"/>
              <w:rPr>
                <w:szCs w:val="18"/>
              </w:rPr>
            </w:pPr>
            <w:r>
              <w:rPr>
                <w:szCs w:val="18"/>
              </w:rPr>
              <w:t>None</w:t>
            </w:r>
          </w:p>
        </w:tc>
      </w:tr>
    </w:tbl>
    <w:p w14:paraId="51AF62AE" w14:textId="77777777" w:rsidR="00DB0629" w:rsidRDefault="00DB0629" w:rsidP="00DB0629">
      <w:pPr>
        <w:pStyle w:val="BodyText"/>
      </w:pPr>
      <w:bookmarkStart w:id="597" w:name="_Toc30328380"/>
      <w:bookmarkStart w:id="598" w:name="_Toc40167869"/>
      <w:bookmarkStart w:id="599" w:name="_Toc91323806"/>
      <w:r>
        <w:t xml:space="preserve">*Specificities written as superscript </w:t>
      </w:r>
      <w:r w:rsidR="00F60E07">
        <w:t>or</w:t>
      </w:r>
      <w:r w:rsidR="00776377">
        <w:t xml:space="preserve"> subscript </w:t>
      </w:r>
      <w:r>
        <w:t xml:space="preserve">letters in blood bank literature are shown as letters enclosed in parentheses in VBECS (the GUI cannot display superscript </w:t>
      </w:r>
      <w:r w:rsidR="00F60E07">
        <w:t>or</w:t>
      </w:r>
      <w:r w:rsidR="00776377">
        <w:t xml:space="preserve"> subscript </w:t>
      </w:r>
      <w:r>
        <w:t>letters). Specificities written as subscript characters in blood bank literature are shown as numbers or letters not enclosed in parentheses.</w:t>
      </w:r>
    </w:p>
    <w:p w14:paraId="506987B9" w14:textId="77777777" w:rsidR="00D7283A" w:rsidRDefault="00E047E8" w:rsidP="00D7283A">
      <w:pPr>
        <w:pStyle w:val="BodyText"/>
      </w:pPr>
      <w:r>
        <w:t>†</w:t>
      </w:r>
      <w:r w:rsidR="00DB0629">
        <w:t xml:space="preserve">Examples of common </w:t>
      </w:r>
      <w:r w:rsidR="00DB0629" w:rsidRPr="00CA6E27">
        <w:rPr>
          <w:bCs/>
        </w:rPr>
        <w:t>VistA</w:t>
      </w:r>
      <w:r w:rsidR="00DB0629">
        <w:t xml:space="preserve"> antibody and antigen terminology. Individual sites may vary. Refer to division-specific mapping documents.</w:t>
      </w:r>
    </w:p>
    <w:p w14:paraId="7B88AE3A" w14:textId="77777777" w:rsidR="002A21AE" w:rsidRDefault="00D7283A" w:rsidP="0054285E">
      <w:pPr>
        <w:pStyle w:val="Heading3"/>
      </w:pPr>
      <w:r>
        <w:br w:type="page"/>
      </w:r>
      <w:bookmarkStart w:id="600" w:name="tables"/>
      <w:bookmarkEnd w:id="600"/>
      <w:r w:rsidR="00966400">
        <w:rPr>
          <w:rFonts w:ascii="Geneva" w:hAnsi="Geneva"/>
          <w:vanish/>
        </w:rPr>
        <w:lastRenderedPageBreak/>
        <w:t xml:space="preserve"> </w:t>
      </w:r>
      <w:r w:rsidR="002A21AE">
        <w:rPr>
          <w:rFonts w:ascii="Geneva" w:hAnsi="Geneva"/>
          <w:vanish/>
        </w:rPr>
        <w:t xml:space="preserve">TT_53.02 </w:t>
      </w:r>
      <w:bookmarkStart w:id="601" w:name="_Toc163645002"/>
      <w:r w:rsidR="002A21AE">
        <w:t>Antibody Screen Test Interpretation</w:t>
      </w:r>
      <w:bookmarkEnd w:id="597"/>
      <w:bookmarkEnd w:id="598"/>
      <w:bookmarkEnd w:id="599"/>
      <w:bookmarkEnd w:id="601"/>
      <w:r w:rsidR="002A21AE">
        <w:fldChar w:fldCharType="begin"/>
      </w:r>
      <w:r w:rsidR="002A21AE">
        <w:instrText xml:space="preserve"> XE </w:instrText>
      </w:r>
      <w:r w:rsidR="00FA7E65">
        <w:instrText>“</w:instrText>
      </w:r>
      <w:r w:rsidR="002A21AE">
        <w:instrText>Tables:Antibody Screen Test Interpretation</w:instrText>
      </w:r>
      <w:r w:rsidR="00FA7E65">
        <w:instrText>”</w:instrText>
      </w:r>
      <w:r w:rsidR="002A21AE">
        <w:instrText xml:space="preserve"> </w:instrText>
      </w:r>
      <w:r w:rsidR="002A21AE">
        <w:fldChar w:fldCharType="end"/>
      </w:r>
      <w:r w:rsidR="002A21AE">
        <w:t xml:space="preserve"> </w:t>
      </w:r>
    </w:p>
    <w:p w14:paraId="4590E819" w14:textId="0EA6D7B4" w:rsidR="002A21AE" w:rsidRDefault="002A21AE" w:rsidP="00FA7E65">
      <w:pPr>
        <w:pStyle w:val="BodyText"/>
      </w:pPr>
      <w:r>
        <w:t xml:space="preserve">For an </w:t>
      </w:r>
      <w:r w:rsidR="008E2E30">
        <w:t>Antibody Screen Test (ABS)</w:t>
      </w:r>
      <w:r w:rsidR="0023261D">
        <w:t xml:space="preserve"> </w:t>
      </w:r>
      <w:r>
        <w:t>to be correctly interpreted, the system must take the row validation (</w:t>
      </w:r>
      <w:r w:rsidR="00EE455E">
        <w:t xml:space="preserve">Table </w:t>
      </w:r>
      <w:r w:rsidR="00EE455E">
        <w:rPr>
          <w:noProof/>
        </w:rPr>
        <w:t>16</w:t>
      </w:r>
      <w:r>
        <w:t>) for each screening cell and test method and determine whether the screening in total is positive</w:t>
      </w:r>
      <w:r w:rsidR="00760B98">
        <w:t xml:space="preserve"> or ne</w:t>
      </w:r>
      <w:r>
        <w:t xml:space="preserve">gative. This table is the input from the Blood Bank Technologist. Interpreting the </w:t>
      </w:r>
      <w:r w:rsidR="008E2E30">
        <w:t>ABS</w:t>
      </w:r>
      <w:r>
        <w:t>: The Blood Bank Technologist does not enter an interpretation for each row/cell of the antibody screen. The technologist enters an interpretation for the combination of screening cells including the autocontrol when tested. The system must correlate the information from the rows in the test, as described in system rules</w:t>
      </w:r>
      <w:r w:rsidR="0047520D">
        <w:t xml:space="preserve"> </w:t>
      </w:r>
      <w:r>
        <w:rPr>
          <w:vanish/>
        </w:rPr>
        <w:t>TT_53.01</w:t>
      </w:r>
      <w:r>
        <w:t xml:space="preserve">, to determine the proper interpretation for the </w:t>
      </w:r>
      <w:r w:rsidR="008E2E30">
        <w:t>ABS</w:t>
      </w:r>
      <w:r>
        <w:t>. Valid interpretations are positive or negative. A technologist may enter an antibody screen comment with the interpretation.</w:t>
      </w:r>
    </w:p>
    <w:p w14:paraId="6324D8D4" w14:textId="77777777" w:rsidR="002A21AE" w:rsidRDefault="002A21AE" w:rsidP="000E3E6B">
      <w:pPr>
        <w:pStyle w:val="BodyText"/>
        <w:ind w:leftChars="120" w:left="288"/>
      </w:pPr>
      <w:r w:rsidRPr="00D1343E">
        <w:rPr>
          <w:rFonts w:ascii="Wingdings 2" w:hAnsi="Wingdings 2" w:cs="Arial"/>
          <w:sz w:val="27"/>
          <w:szCs w:val="27"/>
        </w:rPr>
        <w:t></w:t>
      </w:r>
      <w:r w:rsidRPr="00D1343E">
        <w:rPr>
          <w:rStyle w:val="BodyTextChar"/>
        </w:rPr>
        <w:t xml:space="preserve"> SR 1: Valid interpretation. Update database.</w:t>
      </w:r>
    </w:p>
    <w:p w14:paraId="179F1D6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SR 2: Warning message. No override. Do not update database at this time.</w:t>
      </w:r>
    </w:p>
    <w:p w14:paraId="4E36B5FB" w14:textId="77777777" w:rsidR="00760B98" w:rsidRDefault="00760B98" w:rsidP="000E3E6B">
      <w:pPr>
        <w:pStyle w:val="BodyText"/>
        <w:ind w:leftChars="120" w:left="288"/>
      </w:pPr>
      <w:r w:rsidRPr="00D1343E">
        <w:rPr>
          <w:rFonts w:ascii="Wingdings 2" w:hAnsi="Wingdings 2" w:cs="Arial"/>
          <w:sz w:val="27"/>
          <w:szCs w:val="27"/>
        </w:rPr>
        <w:t></w:t>
      </w:r>
      <w:r w:rsidRPr="00D1343E">
        <w:rPr>
          <w:rStyle w:val="BodyTextChar"/>
        </w:rPr>
        <w:t xml:space="preserve"> </w:t>
      </w:r>
      <w:r>
        <w:t>SR 3: Valid interpretation. Update database. Collect comment and exception.</w:t>
      </w:r>
    </w:p>
    <w:p w14:paraId="23F02A5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EM 1: “Interpretation does not match your results.”</w:t>
      </w:r>
    </w:p>
    <w:p w14:paraId="4F940784" w14:textId="77777777" w:rsidR="00FF176A" w:rsidRDefault="00FF176A" w:rsidP="000E3E6B">
      <w:pPr>
        <w:pStyle w:val="BodyText"/>
        <w:ind w:leftChars="120" w:left="288"/>
      </w:pPr>
      <w:r w:rsidRPr="00D1343E">
        <w:rPr>
          <w:rFonts w:ascii="Wingdings 2" w:hAnsi="Wingdings 2" w:cs="Arial"/>
          <w:sz w:val="27"/>
          <w:szCs w:val="27"/>
        </w:rPr>
        <w:t></w:t>
      </w:r>
      <w:r w:rsidRPr="00D1343E">
        <w:rPr>
          <w:rStyle w:val="BodyTextChar"/>
        </w:rPr>
        <w:t xml:space="preserve"> </w:t>
      </w:r>
      <w:r>
        <w:rPr>
          <w:rStyle w:val="BodyTextChar"/>
        </w:rPr>
        <w:t xml:space="preserve">EM 2: </w:t>
      </w:r>
      <w:r w:rsidR="00AD0B01" w:rsidRPr="00AD0B01">
        <w:rPr>
          <w:rStyle w:val="BodyTextChar"/>
        </w:rPr>
        <w:t>“You are attempting to file an invalid antibody screen. This is not allowed.”</w:t>
      </w:r>
    </w:p>
    <w:p w14:paraId="7CF14597" w14:textId="604E40A0" w:rsidR="002A21AE" w:rsidRDefault="002A21AE">
      <w:pPr>
        <w:pStyle w:val="Caption"/>
      </w:pPr>
      <w:bookmarkStart w:id="602" w:name="_Ref126732000"/>
      <w:bookmarkStart w:id="603" w:name="_Toc97523633"/>
      <w:bookmarkStart w:id="604" w:name="_Toc97527603"/>
      <w:bookmarkStart w:id="605" w:name="_Ref126504351"/>
      <w:bookmarkStart w:id="606" w:name="_Ref126504384"/>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16</w:t>
      </w:r>
      <w:r w:rsidR="004E20BD">
        <w:rPr>
          <w:noProof/>
        </w:rPr>
        <w:fldChar w:fldCharType="end"/>
      </w:r>
      <w:bookmarkEnd w:id="602"/>
      <w:r>
        <w:t xml:space="preserve">: </w:t>
      </w:r>
      <w:r>
        <w:rPr>
          <w:vanish/>
        </w:rPr>
        <w:t xml:space="preserve">TT_53.02 </w:t>
      </w:r>
      <w:r>
        <w:t>Antibody Screen Test Interpretation</w:t>
      </w:r>
      <w:bookmarkEnd w:id="603"/>
      <w:bookmarkEnd w:id="604"/>
      <w:bookmarkEnd w:id="605"/>
      <w:bookmarkEnd w:id="60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938"/>
        <w:gridCol w:w="1209"/>
        <w:gridCol w:w="1572"/>
        <w:gridCol w:w="1088"/>
        <w:gridCol w:w="1028"/>
      </w:tblGrid>
      <w:tr w:rsidR="00FA5AF0" w:rsidRPr="00FC17CF" w14:paraId="74C28124" w14:textId="77777777">
        <w:trPr>
          <w:cantSplit/>
          <w:tblHeader/>
        </w:trPr>
        <w:tc>
          <w:tcPr>
            <w:tcW w:w="9288" w:type="dxa"/>
            <w:gridSpan w:val="6"/>
            <w:tcBorders>
              <w:bottom w:val="nil"/>
            </w:tcBorders>
            <w:shd w:val="clear" w:color="auto" w:fill="C0C0C0"/>
          </w:tcPr>
          <w:p w14:paraId="4F07AE9C" w14:textId="77777777" w:rsidR="00FA5AF0" w:rsidRPr="00FC17CF" w:rsidRDefault="00FA5AF0" w:rsidP="00CD34EB">
            <w:pPr>
              <w:pStyle w:val="TableText"/>
              <w:rPr>
                <w:b/>
              </w:rPr>
            </w:pPr>
            <w:r w:rsidRPr="00FC17CF">
              <w:rPr>
                <w:b/>
              </w:rPr>
              <w:t>Antibody Screen Test Interpretation</w:t>
            </w:r>
          </w:p>
        </w:tc>
      </w:tr>
      <w:tr w:rsidR="00FA5AF0" w:rsidRPr="00FC17CF" w14:paraId="42B3CA15" w14:textId="77777777">
        <w:trPr>
          <w:cantSplit/>
        </w:trPr>
        <w:tc>
          <w:tcPr>
            <w:tcW w:w="1513" w:type="dxa"/>
            <w:vMerge w:val="restart"/>
            <w:shd w:val="clear" w:color="auto" w:fill="C0C0C0"/>
          </w:tcPr>
          <w:p w14:paraId="64E1468D" w14:textId="77777777" w:rsidR="00FA5AF0" w:rsidRPr="00FC17CF" w:rsidRDefault="00FA5AF0" w:rsidP="00CD34EB">
            <w:pPr>
              <w:pStyle w:val="TableText"/>
              <w:rPr>
                <w:b/>
              </w:rPr>
            </w:pPr>
            <w:r>
              <w:rPr>
                <w:b/>
              </w:rPr>
              <w:t>Antibody Screen I</w:t>
            </w:r>
            <w:r w:rsidRPr="00FC17CF">
              <w:rPr>
                <w:b/>
              </w:rPr>
              <w:t xml:space="preserve">nterpretation: includes all cells tested; might be SC 1 and SC 2 only, or SC 1, 2, 3, or SC 1, 2, 3, 4, as indicated by site parameter in </w:t>
            </w:r>
            <w:r w:rsidR="00C73BF5" w:rsidRPr="00C73BF5">
              <w:rPr>
                <w:b/>
              </w:rPr>
              <w:t>Configure Daily QC</w:t>
            </w:r>
            <w:r w:rsidRPr="00FC17CF">
              <w:rPr>
                <w:b/>
              </w:rPr>
              <w:t>. Method of Tube, Gel, or Solid Phase</w:t>
            </w:r>
          </w:p>
        </w:tc>
        <w:tc>
          <w:tcPr>
            <w:tcW w:w="2915" w:type="dxa"/>
            <w:tcBorders>
              <w:bottom w:val="nil"/>
            </w:tcBorders>
            <w:shd w:val="clear" w:color="auto" w:fill="C0C0C0"/>
            <w:vAlign w:val="bottom"/>
          </w:tcPr>
          <w:p w14:paraId="315C6E75" w14:textId="77777777" w:rsidR="00FA5AF0" w:rsidRPr="00FC17CF" w:rsidRDefault="00FA5AF0" w:rsidP="00CD34EB">
            <w:pPr>
              <w:pStyle w:val="TableText"/>
              <w:rPr>
                <w:b/>
              </w:rPr>
            </w:pPr>
            <w:r w:rsidRPr="00FC17CF">
              <w:rPr>
                <w:b/>
              </w:rPr>
              <w:t>SC 1</w:t>
            </w:r>
            <w:r>
              <w:rPr>
                <w:b/>
              </w:rPr>
              <w:t xml:space="preserve">, </w:t>
            </w:r>
            <w:r w:rsidRPr="00FC17CF">
              <w:rPr>
                <w:b/>
              </w:rPr>
              <w:t>SC 2</w:t>
            </w:r>
            <w:r>
              <w:rPr>
                <w:b/>
              </w:rPr>
              <w:t xml:space="preserve">, </w:t>
            </w:r>
            <w:r w:rsidRPr="00FC17CF">
              <w:rPr>
                <w:b/>
              </w:rPr>
              <w:t>SC 3</w:t>
            </w:r>
            <w:r>
              <w:rPr>
                <w:b/>
              </w:rPr>
              <w:t xml:space="preserve">, </w:t>
            </w:r>
            <w:r w:rsidRPr="00FC17CF">
              <w:rPr>
                <w:b/>
              </w:rPr>
              <w:t>SC 4</w:t>
            </w:r>
            <w:r>
              <w:rPr>
                <w:b/>
              </w:rPr>
              <w:t xml:space="preserve">, </w:t>
            </w:r>
            <w:r w:rsidRPr="00FC17CF">
              <w:rPr>
                <w:b/>
              </w:rPr>
              <w:t>Autocontrol Interpretation</w:t>
            </w:r>
          </w:p>
        </w:tc>
        <w:tc>
          <w:tcPr>
            <w:tcW w:w="1200" w:type="dxa"/>
            <w:tcBorders>
              <w:bottom w:val="nil"/>
            </w:tcBorders>
            <w:shd w:val="clear" w:color="auto" w:fill="C0C0C0"/>
            <w:vAlign w:val="bottom"/>
          </w:tcPr>
          <w:p w14:paraId="4206532C" w14:textId="77777777" w:rsidR="00FA5AF0" w:rsidRPr="00FC17CF" w:rsidRDefault="00FA5AF0" w:rsidP="00CD34EB">
            <w:pPr>
              <w:pStyle w:val="TableText"/>
              <w:rPr>
                <w:b/>
              </w:rPr>
            </w:pPr>
            <w:r w:rsidRPr="00FC17CF">
              <w:rPr>
                <w:b/>
              </w:rPr>
              <w:t>Tech Entry</w:t>
            </w:r>
          </w:p>
        </w:tc>
        <w:tc>
          <w:tcPr>
            <w:tcW w:w="1560" w:type="dxa"/>
            <w:tcBorders>
              <w:bottom w:val="nil"/>
            </w:tcBorders>
            <w:shd w:val="clear" w:color="auto" w:fill="C0C0C0"/>
            <w:vAlign w:val="bottom"/>
          </w:tcPr>
          <w:p w14:paraId="07B1A291" w14:textId="77777777" w:rsidR="00FA5AF0" w:rsidRPr="00FC17CF" w:rsidRDefault="00FA5AF0" w:rsidP="00CD34EB">
            <w:pPr>
              <w:pStyle w:val="TableText"/>
              <w:rPr>
                <w:b/>
              </w:rPr>
            </w:pPr>
            <w:r w:rsidRPr="00FC17CF">
              <w:rPr>
                <w:b/>
              </w:rPr>
              <w:t>System Interpretation of Screening Cell Test</w:t>
            </w:r>
          </w:p>
        </w:tc>
        <w:tc>
          <w:tcPr>
            <w:tcW w:w="1080" w:type="dxa"/>
            <w:tcBorders>
              <w:bottom w:val="nil"/>
            </w:tcBorders>
            <w:shd w:val="clear" w:color="auto" w:fill="C0C0C0"/>
            <w:vAlign w:val="bottom"/>
          </w:tcPr>
          <w:p w14:paraId="44B65783" w14:textId="77777777" w:rsidR="00FA5AF0" w:rsidRPr="00FC17CF" w:rsidRDefault="00FA5AF0" w:rsidP="00CD34EB">
            <w:pPr>
              <w:pStyle w:val="TableText"/>
              <w:rPr>
                <w:b/>
              </w:rPr>
            </w:pPr>
            <w:r w:rsidRPr="00FC17CF">
              <w:rPr>
                <w:b/>
              </w:rPr>
              <w:t>System Response</w:t>
            </w:r>
          </w:p>
        </w:tc>
        <w:tc>
          <w:tcPr>
            <w:tcW w:w="1020" w:type="dxa"/>
            <w:tcBorders>
              <w:bottom w:val="nil"/>
            </w:tcBorders>
            <w:shd w:val="clear" w:color="auto" w:fill="C0C0C0"/>
            <w:vAlign w:val="bottom"/>
          </w:tcPr>
          <w:p w14:paraId="22481755" w14:textId="77777777" w:rsidR="00FA5AF0" w:rsidRPr="00FC17CF" w:rsidRDefault="00FA5AF0" w:rsidP="00CD34EB">
            <w:pPr>
              <w:pStyle w:val="TableText"/>
              <w:rPr>
                <w:b/>
              </w:rPr>
            </w:pPr>
            <w:r w:rsidRPr="00FC17CF">
              <w:rPr>
                <w:b/>
              </w:rPr>
              <w:t>Error Message</w:t>
            </w:r>
          </w:p>
        </w:tc>
      </w:tr>
      <w:tr w:rsidR="00FA5AF0" w14:paraId="12E6752E" w14:textId="77777777">
        <w:trPr>
          <w:cantSplit/>
        </w:trPr>
        <w:tc>
          <w:tcPr>
            <w:tcW w:w="1513" w:type="dxa"/>
            <w:vMerge/>
          </w:tcPr>
          <w:p w14:paraId="065C55EF" w14:textId="77777777" w:rsidR="00FA5AF0" w:rsidRDefault="00FA5AF0" w:rsidP="00FA5AF0">
            <w:pPr>
              <w:pStyle w:val="TableText"/>
            </w:pPr>
          </w:p>
        </w:tc>
        <w:tc>
          <w:tcPr>
            <w:tcW w:w="2915" w:type="dxa"/>
            <w:vMerge w:val="restart"/>
            <w:tcBorders>
              <w:top w:val="single" w:sz="4" w:space="0" w:color="auto"/>
            </w:tcBorders>
          </w:tcPr>
          <w:p w14:paraId="1F595E2F" w14:textId="77777777" w:rsidR="00FA5AF0" w:rsidRPr="00565DBF" w:rsidRDefault="00FA5AF0" w:rsidP="00FA5AF0">
            <w:pPr>
              <w:pStyle w:val="TableText"/>
            </w:pPr>
            <w:r w:rsidRPr="00565DBF">
              <w:t>System interpretation if all individual row validations are negative.</w:t>
            </w:r>
          </w:p>
        </w:tc>
        <w:tc>
          <w:tcPr>
            <w:tcW w:w="1200" w:type="dxa"/>
            <w:tcBorders>
              <w:top w:val="single" w:sz="4" w:space="0" w:color="auto"/>
            </w:tcBorders>
          </w:tcPr>
          <w:p w14:paraId="427EF8EE" w14:textId="77777777" w:rsidR="00FA5AF0" w:rsidRPr="00565DBF" w:rsidRDefault="00FA5AF0" w:rsidP="00FA5AF0">
            <w:pPr>
              <w:pStyle w:val="TableText"/>
            </w:pPr>
            <w:r w:rsidRPr="00565DBF">
              <w:t>Negative</w:t>
            </w:r>
          </w:p>
        </w:tc>
        <w:tc>
          <w:tcPr>
            <w:tcW w:w="1560" w:type="dxa"/>
            <w:tcBorders>
              <w:top w:val="single" w:sz="4" w:space="0" w:color="auto"/>
            </w:tcBorders>
            <w:shd w:val="clear" w:color="auto" w:fill="auto"/>
          </w:tcPr>
          <w:p w14:paraId="1C20A3B8" w14:textId="77777777" w:rsidR="00FA5AF0" w:rsidRPr="00565DBF" w:rsidRDefault="00FA5AF0" w:rsidP="00FA5AF0">
            <w:pPr>
              <w:pStyle w:val="TableText"/>
              <w:rPr>
                <w:szCs w:val="20"/>
              </w:rPr>
            </w:pPr>
            <w:r w:rsidRPr="00565DBF">
              <w:rPr>
                <w:szCs w:val="20"/>
              </w:rPr>
              <w:t>Negative (N)</w:t>
            </w:r>
          </w:p>
        </w:tc>
        <w:tc>
          <w:tcPr>
            <w:tcW w:w="1080" w:type="dxa"/>
            <w:tcBorders>
              <w:top w:val="single" w:sz="4" w:space="0" w:color="auto"/>
            </w:tcBorders>
          </w:tcPr>
          <w:p w14:paraId="2B359AD8" w14:textId="77777777" w:rsidR="00FA5AF0" w:rsidRPr="00565DBF" w:rsidRDefault="00FA5AF0" w:rsidP="00FA5AF0">
            <w:pPr>
              <w:pStyle w:val="TableText"/>
            </w:pPr>
            <w:r w:rsidRPr="00565DBF">
              <w:t>SR 1</w:t>
            </w:r>
          </w:p>
        </w:tc>
        <w:tc>
          <w:tcPr>
            <w:tcW w:w="1020" w:type="dxa"/>
            <w:tcBorders>
              <w:top w:val="single" w:sz="4" w:space="0" w:color="auto"/>
            </w:tcBorders>
          </w:tcPr>
          <w:p w14:paraId="42821182" w14:textId="77777777" w:rsidR="00FA5AF0" w:rsidRPr="00565DBF" w:rsidRDefault="00FA5AF0" w:rsidP="00FA5AF0">
            <w:pPr>
              <w:pStyle w:val="TableText"/>
            </w:pPr>
            <w:r w:rsidRPr="00565DBF">
              <w:t>N/A</w:t>
            </w:r>
          </w:p>
        </w:tc>
      </w:tr>
      <w:tr w:rsidR="00FA5AF0" w14:paraId="5BF3E906" w14:textId="77777777">
        <w:trPr>
          <w:cantSplit/>
        </w:trPr>
        <w:tc>
          <w:tcPr>
            <w:tcW w:w="1513" w:type="dxa"/>
            <w:vMerge/>
          </w:tcPr>
          <w:p w14:paraId="2E2A2E18" w14:textId="77777777" w:rsidR="00FA5AF0" w:rsidRDefault="00FA5AF0" w:rsidP="00FA5AF0">
            <w:pPr>
              <w:pStyle w:val="TableText"/>
            </w:pPr>
          </w:p>
        </w:tc>
        <w:tc>
          <w:tcPr>
            <w:tcW w:w="2915" w:type="dxa"/>
            <w:vMerge/>
          </w:tcPr>
          <w:p w14:paraId="23371408" w14:textId="77777777" w:rsidR="00FA5AF0" w:rsidRPr="00565DBF" w:rsidRDefault="00FA5AF0" w:rsidP="00FA5AF0">
            <w:pPr>
              <w:pStyle w:val="TableText"/>
            </w:pPr>
          </w:p>
        </w:tc>
        <w:tc>
          <w:tcPr>
            <w:tcW w:w="1200" w:type="dxa"/>
          </w:tcPr>
          <w:p w14:paraId="13082B0F" w14:textId="77777777" w:rsidR="00FA5AF0" w:rsidRPr="00565DBF" w:rsidRDefault="00760B98" w:rsidP="00FA5AF0">
            <w:pPr>
              <w:pStyle w:val="TableText"/>
            </w:pPr>
            <w:r>
              <w:t>Positive</w:t>
            </w:r>
          </w:p>
        </w:tc>
        <w:tc>
          <w:tcPr>
            <w:tcW w:w="1560" w:type="dxa"/>
            <w:shd w:val="clear" w:color="auto" w:fill="auto"/>
          </w:tcPr>
          <w:p w14:paraId="3B68A21C" w14:textId="77777777" w:rsidR="00FA5AF0" w:rsidRPr="00565DBF" w:rsidRDefault="00FA5AF0" w:rsidP="00FA5AF0">
            <w:pPr>
              <w:pStyle w:val="TableText"/>
              <w:rPr>
                <w:szCs w:val="20"/>
              </w:rPr>
            </w:pPr>
            <w:r w:rsidRPr="00565DBF">
              <w:rPr>
                <w:szCs w:val="20"/>
              </w:rPr>
              <w:t>Negative (N)</w:t>
            </w:r>
          </w:p>
        </w:tc>
        <w:tc>
          <w:tcPr>
            <w:tcW w:w="1080" w:type="dxa"/>
          </w:tcPr>
          <w:p w14:paraId="381FE6D6" w14:textId="77777777" w:rsidR="00FA5AF0" w:rsidRPr="00565DBF" w:rsidRDefault="00FA5AF0" w:rsidP="00FA5AF0">
            <w:pPr>
              <w:pStyle w:val="TableText"/>
            </w:pPr>
            <w:r w:rsidRPr="00565DBF">
              <w:t>SR 2</w:t>
            </w:r>
          </w:p>
        </w:tc>
        <w:tc>
          <w:tcPr>
            <w:tcW w:w="1020" w:type="dxa"/>
          </w:tcPr>
          <w:p w14:paraId="3AE77157" w14:textId="77777777" w:rsidR="00FA5AF0" w:rsidRPr="00565DBF" w:rsidRDefault="00FA5AF0" w:rsidP="00FA5AF0">
            <w:pPr>
              <w:pStyle w:val="TableText"/>
            </w:pPr>
            <w:r w:rsidRPr="00565DBF">
              <w:t>EM 1</w:t>
            </w:r>
          </w:p>
        </w:tc>
      </w:tr>
      <w:tr w:rsidR="00FA5AF0" w14:paraId="20163560" w14:textId="77777777">
        <w:trPr>
          <w:cantSplit/>
        </w:trPr>
        <w:tc>
          <w:tcPr>
            <w:tcW w:w="1513" w:type="dxa"/>
            <w:vMerge/>
          </w:tcPr>
          <w:p w14:paraId="373F83E4" w14:textId="77777777" w:rsidR="00FA5AF0" w:rsidRDefault="00FA5AF0" w:rsidP="00FA5AF0">
            <w:pPr>
              <w:pStyle w:val="TableText"/>
            </w:pPr>
          </w:p>
        </w:tc>
        <w:tc>
          <w:tcPr>
            <w:tcW w:w="2915" w:type="dxa"/>
            <w:tcBorders>
              <w:top w:val="single" w:sz="4" w:space="0" w:color="auto"/>
            </w:tcBorders>
          </w:tcPr>
          <w:p w14:paraId="1AB38D35" w14:textId="77777777" w:rsidR="00FA5AF0" w:rsidRPr="00565DBF" w:rsidRDefault="00FA5AF0" w:rsidP="00FA5AF0">
            <w:pPr>
              <w:pStyle w:val="TableText"/>
            </w:pPr>
            <w:r w:rsidRPr="00565DBF">
              <w:t xml:space="preserve">System interpretation if all individual row validations are negative and indicates that a comment is required. </w:t>
            </w:r>
          </w:p>
        </w:tc>
        <w:tc>
          <w:tcPr>
            <w:tcW w:w="1200" w:type="dxa"/>
            <w:tcBorders>
              <w:top w:val="single" w:sz="4" w:space="0" w:color="auto"/>
            </w:tcBorders>
          </w:tcPr>
          <w:p w14:paraId="753CF9C0" w14:textId="77777777" w:rsidR="00FA5AF0" w:rsidRPr="00565DBF" w:rsidRDefault="00FA5AF0" w:rsidP="00FA5AF0">
            <w:pPr>
              <w:pStyle w:val="TableText"/>
            </w:pPr>
            <w:r w:rsidRPr="00565DBF">
              <w:t>Negative</w:t>
            </w:r>
          </w:p>
        </w:tc>
        <w:tc>
          <w:tcPr>
            <w:tcW w:w="1560" w:type="dxa"/>
            <w:tcBorders>
              <w:top w:val="single" w:sz="4" w:space="0" w:color="auto"/>
            </w:tcBorders>
          </w:tcPr>
          <w:p w14:paraId="3F46303D" w14:textId="77777777" w:rsidR="00FA5AF0" w:rsidRPr="00565DBF" w:rsidRDefault="00FA5AF0" w:rsidP="00FA5AF0">
            <w:pPr>
              <w:pStyle w:val="TableText"/>
              <w:rPr>
                <w:szCs w:val="20"/>
              </w:rPr>
            </w:pPr>
            <w:r w:rsidRPr="00565DBF">
              <w:rPr>
                <w:szCs w:val="16"/>
              </w:rPr>
              <w:t>Negative (N</w:t>
            </w:r>
            <w:r w:rsidRPr="00565DBF">
              <w:rPr>
                <w:szCs w:val="20"/>
              </w:rPr>
              <w:t>)</w:t>
            </w:r>
          </w:p>
        </w:tc>
        <w:tc>
          <w:tcPr>
            <w:tcW w:w="1080" w:type="dxa"/>
            <w:tcBorders>
              <w:top w:val="single" w:sz="4" w:space="0" w:color="auto"/>
            </w:tcBorders>
          </w:tcPr>
          <w:p w14:paraId="02B566CF" w14:textId="77777777" w:rsidR="00FA5AF0" w:rsidRPr="00565DBF" w:rsidRDefault="00FA5AF0" w:rsidP="00FA5AF0">
            <w:pPr>
              <w:pStyle w:val="TableText"/>
            </w:pPr>
            <w:r w:rsidRPr="00565DBF">
              <w:t>SR 3</w:t>
            </w:r>
          </w:p>
        </w:tc>
        <w:tc>
          <w:tcPr>
            <w:tcW w:w="1020" w:type="dxa"/>
            <w:tcBorders>
              <w:top w:val="single" w:sz="4" w:space="0" w:color="auto"/>
            </w:tcBorders>
          </w:tcPr>
          <w:p w14:paraId="0435D417" w14:textId="77777777" w:rsidR="00FA5AF0" w:rsidRPr="00565DBF" w:rsidRDefault="00604046" w:rsidP="00FA5AF0">
            <w:pPr>
              <w:pStyle w:val="TableText"/>
            </w:pPr>
            <w:r>
              <w:t>N/A</w:t>
            </w:r>
          </w:p>
        </w:tc>
      </w:tr>
      <w:tr w:rsidR="00FA5AF0" w14:paraId="2C4831BF" w14:textId="77777777">
        <w:trPr>
          <w:cantSplit/>
        </w:trPr>
        <w:tc>
          <w:tcPr>
            <w:tcW w:w="1513" w:type="dxa"/>
            <w:vMerge/>
          </w:tcPr>
          <w:p w14:paraId="0F0A6522" w14:textId="77777777" w:rsidR="00FA5AF0" w:rsidRDefault="00FA5AF0" w:rsidP="00FA5AF0">
            <w:pPr>
              <w:pStyle w:val="TableText"/>
            </w:pPr>
          </w:p>
        </w:tc>
        <w:tc>
          <w:tcPr>
            <w:tcW w:w="2915" w:type="dxa"/>
            <w:vMerge w:val="restart"/>
            <w:tcBorders>
              <w:top w:val="single" w:sz="4" w:space="0" w:color="auto"/>
            </w:tcBorders>
          </w:tcPr>
          <w:p w14:paraId="1CD67599" w14:textId="77777777" w:rsidR="00FA5AF0" w:rsidRPr="00565DBF" w:rsidRDefault="00FA5AF0" w:rsidP="00FA5AF0">
            <w:pPr>
              <w:pStyle w:val="TableText"/>
            </w:pPr>
            <w:r w:rsidRPr="00565DBF">
              <w:t>System interpretation if one, several, or all rows are positive (P).</w:t>
            </w:r>
          </w:p>
        </w:tc>
        <w:tc>
          <w:tcPr>
            <w:tcW w:w="1200" w:type="dxa"/>
            <w:tcBorders>
              <w:top w:val="single" w:sz="4" w:space="0" w:color="auto"/>
            </w:tcBorders>
          </w:tcPr>
          <w:p w14:paraId="6A6A3F2A" w14:textId="77777777" w:rsidR="00FA5AF0" w:rsidRPr="00565DBF" w:rsidRDefault="00FA5AF0" w:rsidP="00FA5AF0">
            <w:pPr>
              <w:pStyle w:val="TableText"/>
            </w:pPr>
            <w:r w:rsidRPr="00565DBF">
              <w:t>Positive</w:t>
            </w:r>
          </w:p>
        </w:tc>
        <w:tc>
          <w:tcPr>
            <w:tcW w:w="1560" w:type="dxa"/>
            <w:tcBorders>
              <w:top w:val="single" w:sz="4" w:space="0" w:color="auto"/>
            </w:tcBorders>
            <w:shd w:val="clear" w:color="auto" w:fill="auto"/>
          </w:tcPr>
          <w:p w14:paraId="090628E2" w14:textId="77777777" w:rsidR="00FA5AF0" w:rsidRPr="00565DBF" w:rsidRDefault="00FA5AF0" w:rsidP="00FA5AF0">
            <w:pPr>
              <w:pStyle w:val="TableText"/>
              <w:rPr>
                <w:szCs w:val="20"/>
              </w:rPr>
            </w:pPr>
            <w:r w:rsidRPr="00565DBF">
              <w:rPr>
                <w:szCs w:val="20"/>
              </w:rPr>
              <w:t>Positive (P)</w:t>
            </w:r>
          </w:p>
        </w:tc>
        <w:tc>
          <w:tcPr>
            <w:tcW w:w="1080" w:type="dxa"/>
            <w:tcBorders>
              <w:top w:val="single" w:sz="4" w:space="0" w:color="auto"/>
            </w:tcBorders>
          </w:tcPr>
          <w:p w14:paraId="4C5B1036" w14:textId="77777777" w:rsidR="00FA5AF0" w:rsidRPr="00565DBF" w:rsidRDefault="00FA5AF0" w:rsidP="00FA5AF0">
            <w:pPr>
              <w:pStyle w:val="TableText"/>
            </w:pPr>
            <w:r w:rsidRPr="00565DBF">
              <w:t>SR 1</w:t>
            </w:r>
          </w:p>
        </w:tc>
        <w:tc>
          <w:tcPr>
            <w:tcW w:w="1020" w:type="dxa"/>
            <w:tcBorders>
              <w:top w:val="single" w:sz="4" w:space="0" w:color="auto"/>
            </w:tcBorders>
          </w:tcPr>
          <w:p w14:paraId="5C89C49A" w14:textId="77777777" w:rsidR="00FA5AF0" w:rsidRPr="00565DBF" w:rsidRDefault="00FA5AF0" w:rsidP="00FA5AF0">
            <w:pPr>
              <w:pStyle w:val="TableText"/>
            </w:pPr>
            <w:r w:rsidRPr="00565DBF">
              <w:t>N/A</w:t>
            </w:r>
          </w:p>
        </w:tc>
      </w:tr>
      <w:tr w:rsidR="00FA5AF0" w14:paraId="47D2DA84" w14:textId="77777777">
        <w:trPr>
          <w:cantSplit/>
        </w:trPr>
        <w:tc>
          <w:tcPr>
            <w:tcW w:w="1513" w:type="dxa"/>
            <w:vMerge/>
          </w:tcPr>
          <w:p w14:paraId="68A93225" w14:textId="77777777" w:rsidR="00FA5AF0" w:rsidRDefault="00FA5AF0" w:rsidP="00FA5AF0">
            <w:pPr>
              <w:pStyle w:val="TableText"/>
            </w:pPr>
          </w:p>
        </w:tc>
        <w:tc>
          <w:tcPr>
            <w:tcW w:w="2915" w:type="dxa"/>
            <w:vMerge/>
          </w:tcPr>
          <w:p w14:paraId="3DF59367" w14:textId="77777777" w:rsidR="00FA5AF0" w:rsidRPr="00565DBF" w:rsidRDefault="00FA5AF0" w:rsidP="00FA5AF0">
            <w:pPr>
              <w:pStyle w:val="TableText"/>
            </w:pPr>
          </w:p>
        </w:tc>
        <w:tc>
          <w:tcPr>
            <w:tcW w:w="1200" w:type="dxa"/>
          </w:tcPr>
          <w:p w14:paraId="1124A7B8" w14:textId="77777777" w:rsidR="00FA5AF0" w:rsidRPr="00565DBF" w:rsidRDefault="00FA5AF0" w:rsidP="00FA5AF0">
            <w:pPr>
              <w:pStyle w:val="TableText"/>
            </w:pPr>
            <w:r w:rsidRPr="00565DBF">
              <w:t>Negative</w:t>
            </w:r>
          </w:p>
        </w:tc>
        <w:tc>
          <w:tcPr>
            <w:tcW w:w="1560" w:type="dxa"/>
            <w:shd w:val="clear" w:color="auto" w:fill="auto"/>
          </w:tcPr>
          <w:p w14:paraId="4642F464" w14:textId="77777777" w:rsidR="00FA5AF0" w:rsidRPr="00565DBF" w:rsidRDefault="00FA5AF0" w:rsidP="00FA5AF0">
            <w:pPr>
              <w:pStyle w:val="TableText"/>
              <w:rPr>
                <w:szCs w:val="20"/>
              </w:rPr>
            </w:pPr>
            <w:r w:rsidRPr="00565DBF">
              <w:rPr>
                <w:szCs w:val="20"/>
              </w:rPr>
              <w:t>Positive (P)</w:t>
            </w:r>
          </w:p>
        </w:tc>
        <w:tc>
          <w:tcPr>
            <w:tcW w:w="1080" w:type="dxa"/>
          </w:tcPr>
          <w:p w14:paraId="11A68329" w14:textId="77777777" w:rsidR="00FA5AF0" w:rsidRPr="00565DBF" w:rsidRDefault="00FA5AF0" w:rsidP="00FA5AF0">
            <w:pPr>
              <w:pStyle w:val="TableText"/>
            </w:pPr>
            <w:r w:rsidRPr="00565DBF">
              <w:t>SR 2</w:t>
            </w:r>
          </w:p>
        </w:tc>
        <w:tc>
          <w:tcPr>
            <w:tcW w:w="1020" w:type="dxa"/>
          </w:tcPr>
          <w:p w14:paraId="3C0285C6" w14:textId="77777777" w:rsidR="00FA5AF0" w:rsidRPr="00565DBF" w:rsidRDefault="00FA5AF0" w:rsidP="00FA5AF0">
            <w:pPr>
              <w:pStyle w:val="TableText"/>
            </w:pPr>
            <w:r w:rsidRPr="00565DBF">
              <w:t>EM 1</w:t>
            </w:r>
          </w:p>
        </w:tc>
      </w:tr>
      <w:tr w:rsidR="00FA5AF0" w14:paraId="2C243086" w14:textId="77777777">
        <w:trPr>
          <w:cantSplit/>
        </w:trPr>
        <w:tc>
          <w:tcPr>
            <w:tcW w:w="1513" w:type="dxa"/>
            <w:vMerge/>
          </w:tcPr>
          <w:p w14:paraId="7F15CEC5" w14:textId="77777777" w:rsidR="00FA5AF0" w:rsidRDefault="00FA5AF0" w:rsidP="00FA5AF0">
            <w:pPr>
              <w:pStyle w:val="TableText"/>
            </w:pPr>
          </w:p>
        </w:tc>
        <w:tc>
          <w:tcPr>
            <w:tcW w:w="2915" w:type="dxa"/>
          </w:tcPr>
          <w:p w14:paraId="02AA4D16" w14:textId="77777777" w:rsidR="00FA5AF0" w:rsidRPr="00565DBF" w:rsidRDefault="00FA5AF0" w:rsidP="00FA5AF0">
            <w:pPr>
              <w:pStyle w:val="TableText"/>
            </w:pPr>
            <w:r w:rsidRPr="00565DBF">
              <w:t>System interpretation if one, several, or all rows are positive (P) and indicates that a comment is required.</w:t>
            </w:r>
          </w:p>
        </w:tc>
        <w:tc>
          <w:tcPr>
            <w:tcW w:w="1200" w:type="dxa"/>
          </w:tcPr>
          <w:p w14:paraId="5A5BFFA9" w14:textId="77777777" w:rsidR="00FA5AF0" w:rsidRPr="00565DBF" w:rsidRDefault="00FA5AF0" w:rsidP="00FA5AF0">
            <w:pPr>
              <w:pStyle w:val="TableText"/>
              <w:rPr>
                <w:szCs w:val="16"/>
              </w:rPr>
            </w:pPr>
            <w:r w:rsidRPr="00565DBF">
              <w:rPr>
                <w:szCs w:val="16"/>
              </w:rPr>
              <w:t>Positive</w:t>
            </w:r>
          </w:p>
        </w:tc>
        <w:tc>
          <w:tcPr>
            <w:tcW w:w="1560" w:type="dxa"/>
          </w:tcPr>
          <w:p w14:paraId="166BD8DB" w14:textId="77777777" w:rsidR="00FA5AF0" w:rsidRPr="00565DBF" w:rsidRDefault="00FA5AF0" w:rsidP="00FA5AF0">
            <w:pPr>
              <w:pStyle w:val="TableText"/>
              <w:rPr>
                <w:szCs w:val="16"/>
              </w:rPr>
            </w:pPr>
            <w:r w:rsidRPr="00565DBF">
              <w:rPr>
                <w:szCs w:val="16"/>
              </w:rPr>
              <w:t>Positive (P)</w:t>
            </w:r>
          </w:p>
        </w:tc>
        <w:tc>
          <w:tcPr>
            <w:tcW w:w="1080" w:type="dxa"/>
          </w:tcPr>
          <w:p w14:paraId="426B0799" w14:textId="77777777" w:rsidR="00FA5AF0" w:rsidRPr="00565DBF" w:rsidRDefault="00FA5AF0" w:rsidP="00FA5AF0">
            <w:pPr>
              <w:pStyle w:val="TableText"/>
            </w:pPr>
            <w:r w:rsidRPr="00565DBF">
              <w:t>SR 3</w:t>
            </w:r>
          </w:p>
        </w:tc>
        <w:tc>
          <w:tcPr>
            <w:tcW w:w="1020" w:type="dxa"/>
          </w:tcPr>
          <w:p w14:paraId="1F0F61B5" w14:textId="77777777" w:rsidR="00FA5AF0" w:rsidRPr="00565DBF" w:rsidRDefault="00CB127B" w:rsidP="00FA5AF0">
            <w:pPr>
              <w:pStyle w:val="TableText"/>
            </w:pPr>
            <w:r w:rsidRPr="00565DBF">
              <w:t>N/A</w:t>
            </w:r>
          </w:p>
        </w:tc>
      </w:tr>
      <w:tr w:rsidR="00FA5AF0" w14:paraId="09CBF01C" w14:textId="77777777">
        <w:trPr>
          <w:cantSplit/>
        </w:trPr>
        <w:tc>
          <w:tcPr>
            <w:tcW w:w="1513" w:type="dxa"/>
            <w:vMerge/>
          </w:tcPr>
          <w:p w14:paraId="0366615F" w14:textId="77777777" w:rsidR="00FA5AF0" w:rsidRDefault="00FA5AF0" w:rsidP="00FA5AF0">
            <w:pPr>
              <w:pStyle w:val="TableText"/>
            </w:pPr>
          </w:p>
        </w:tc>
        <w:tc>
          <w:tcPr>
            <w:tcW w:w="2915" w:type="dxa"/>
          </w:tcPr>
          <w:p w14:paraId="09B22114" w14:textId="77777777" w:rsidR="00FA5AF0" w:rsidRPr="00565DBF" w:rsidRDefault="00FA5AF0" w:rsidP="00FA5AF0">
            <w:pPr>
              <w:pStyle w:val="TableText"/>
            </w:pPr>
            <w:r w:rsidRPr="00565DBF">
              <w:t>System interpretation if one, several, or all rows are invalid (I).</w:t>
            </w:r>
          </w:p>
        </w:tc>
        <w:tc>
          <w:tcPr>
            <w:tcW w:w="1200" w:type="dxa"/>
          </w:tcPr>
          <w:p w14:paraId="11ABAC26" w14:textId="77777777" w:rsidR="00FA5AF0" w:rsidRPr="00565DBF" w:rsidRDefault="00FA5AF0" w:rsidP="00FA5AF0">
            <w:pPr>
              <w:pStyle w:val="TableText"/>
            </w:pPr>
            <w:r w:rsidRPr="00565DBF">
              <w:t>Positive or Negative</w:t>
            </w:r>
          </w:p>
        </w:tc>
        <w:tc>
          <w:tcPr>
            <w:tcW w:w="1560" w:type="dxa"/>
          </w:tcPr>
          <w:p w14:paraId="01F7E3E8" w14:textId="77777777" w:rsidR="00FA5AF0" w:rsidRPr="00565DBF" w:rsidRDefault="00FA5AF0" w:rsidP="00FA5AF0">
            <w:pPr>
              <w:pStyle w:val="TableText"/>
              <w:rPr>
                <w:szCs w:val="20"/>
              </w:rPr>
            </w:pPr>
            <w:r w:rsidRPr="00565DBF">
              <w:rPr>
                <w:szCs w:val="20"/>
              </w:rPr>
              <w:t>Invalid (I)</w:t>
            </w:r>
          </w:p>
        </w:tc>
        <w:tc>
          <w:tcPr>
            <w:tcW w:w="1080" w:type="dxa"/>
          </w:tcPr>
          <w:p w14:paraId="1DEEF44E" w14:textId="77777777" w:rsidR="00FA5AF0" w:rsidRPr="00565DBF" w:rsidRDefault="00FA5AF0" w:rsidP="00FA5AF0">
            <w:pPr>
              <w:pStyle w:val="TableText"/>
            </w:pPr>
            <w:r w:rsidRPr="00565DBF">
              <w:t>SR 2</w:t>
            </w:r>
          </w:p>
        </w:tc>
        <w:tc>
          <w:tcPr>
            <w:tcW w:w="1020" w:type="dxa"/>
          </w:tcPr>
          <w:p w14:paraId="731F1094" w14:textId="77777777" w:rsidR="00FA5AF0" w:rsidRPr="00565DBF" w:rsidRDefault="00FA5AF0" w:rsidP="00FA5AF0">
            <w:pPr>
              <w:pStyle w:val="TableText"/>
            </w:pPr>
            <w:r w:rsidRPr="00565DBF">
              <w:t>EM2</w:t>
            </w:r>
          </w:p>
        </w:tc>
      </w:tr>
    </w:tbl>
    <w:p w14:paraId="6FC71CD7" w14:textId="0F71FD94" w:rsidR="001200B8" w:rsidRPr="001200B8" w:rsidRDefault="001200B8" w:rsidP="001200B8">
      <w:pPr>
        <w:pStyle w:val="Heading3"/>
      </w:pPr>
      <w:r>
        <w:rPr>
          <w:rFonts w:ascii="Geneva" w:hAnsi="Geneva"/>
          <w:vanish/>
        </w:rPr>
        <w:br w:type="page"/>
        <w:t xml:space="preserve">PT_31.01 </w:t>
      </w:r>
      <w:bookmarkStart w:id="607" w:name="_Toc163645003"/>
      <w:r>
        <w:t>Canned Comment Category Types and Text</w:t>
      </w:r>
      <w:bookmarkEnd w:id="607"/>
    </w:p>
    <w:p w14:paraId="44AA4690" w14:textId="65BEA0FE" w:rsidR="00CE2820" w:rsidRDefault="002A21AE" w:rsidP="001200B8">
      <w:pPr>
        <w:pStyle w:val="BodyText"/>
        <w:keepNext/>
      </w:pPr>
      <w:r>
        <w:t xml:space="preserve">Canned comments are defined comments that can be inserted in a record during execution of a variety of functions. The canned comments available in a function are restricted to the category type associated with that function. </w:t>
      </w:r>
      <w:r w:rsidR="00EE455E">
        <w:t xml:space="preserve">Table </w:t>
      </w:r>
      <w:r w:rsidR="00EE455E">
        <w:rPr>
          <w:noProof/>
        </w:rPr>
        <w:t>17</w:t>
      </w:r>
      <w:r>
        <w:t xml:space="preserve"> lists the category types available when defining canned comments.</w:t>
      </w:r>
    </w:p>
    <w:p w14:paraId="5361CFDD" w14:textId="17DCB71D" w:rsidR="0077267A" w:rsidRDefault="002A21AE">
      <w:pPr>
        <w:pStyle w:val="Caption"/>
      </w:pPr>
      <w:bookmarkStart w:id="608" w:name="_Ref126732112"/>
      <w:bookmarkStart w:id="609" w:name="_Toc97523634"/>
      <w:bookmarkStart w:id="610" w:name="_Toc97527604"/>
      <w:bookmarkStart w:id="611" w:name="_Ref12648449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17</w:t>
      </w:r>
      <w:r w:rsidR="004E20BD">
        <w:rPr>
          <w:noProof/>
        </w:rPr>
        <w:fldChar w:fldCharType="end"/>
      </w:r>
      <w:bookmarkEnd w:id="608"/>
      <w:r>
        <w:t xml:space="preserve">: </w:t>
      </w:r>
      <w:r>
        <w:rPr>
          <w:vanish/>
        </w:rPr>
        <w:t xml:space="preserve">PT_31.01 </w:t>
      </w:r>
      <w:r>
        <w:t xml:space="preserve">Canned Comment Category Types and </w:t>
      </w:r>
      <w:r w:rsidR="004F2549">
        <w:t xml:space="preserve">Message </w:t>
      </w:r>
      <w:r>
        <w:t>Text</w:t>
      </w:r>
      <w:bookmarkEnd w:id="609"/>
      <w:bookmarkEnd w:id="610"/>
      <w:bookmarkEnd w:id="611"/>
      <w:r w:rsidR="0056207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490"/>
      </w:tblGrid>
      <w:tr w:rsidR="00CE2820" w:rsidRPr="00575988" w14:paraId="16569F1C" w14:textId="77777777" w:rsidTr="00CE2820">
        <w:trPr>
          <w:cantSplit/>
          <w:tblHeader/>
        </w:trPr>
        <w:tc>
          <w:tcPr>
            <w:tcW w:w="3168" w:type="dxa"/>
            <w:shd w:val="pct25" w:color="auto" w:fill="auto"/>
          </w:tcPr>
          <w:p w14:paraId="6A702B0C" w14:textId="77777777" w:rsidR="00CE2820" w:rsidRPr="00CE2820" w:rsidRDefault="00562075" w:rsidP="00CA1F44">
            <w:pPr>
              <w:pStyle w:val="Caption"/>
              <w:keepNext w:val="0"/>
              <w:spacing w:before="0" w:after="0"/>
              <w:rPr>
                <w:rFonts w:ascii="Arial" w:hAnsi="Arial" w:cs="Arial"/>
                <w:sz w:val="18"/>
                <w:szCs w:val="18"/>
              </w:rPr>
            </w:pPr>
            <w:r w:rsidRPr="00CE2820">
              <w:rPr>
                <w:rFonts w:ascii="Arial" w:hAnsi="Arial" w:cs="Arial"/>
                <w:sz w:val="18"/>
                <w:szCs w:val="18"/>
              </w:rPr>
              <w:fldChar w:fldCharType="begin"/>
            </w:r>
            <w:r w:rsidRPr="00CE2820">
              <w:rPr>
                <w:rFonts w:ascii="Arial" w:hAnsi="Arial" w:cs="Arial"/>
                <w:sz w:val="18"/>
                <w:szCs w:val="18"/>
              </w:rPr>
              <w:instrText xml:space="preserve"> XE “Tables:Canned Comment Category Types and Text” </w:instrText>
            </w:r>
            <w:r w:rsidRPr="00CE2820">
              <w:rPr>
                <w:rFonts w:ascii="Arial" w:hAnsi="Arial" w:cs="Arial"/>
                <w:sz w:val="18"/>
                <w:szCs w:val="18"/>
              </w:rPr>
              <w:fldChar w:fldCharType="end"/>
            </w:r>
            <w:r w:rsidR="00CE2820" w:rsidRPr="00CE2820">
              <w:rPr>
                <w:rFonts w:ascii="Arial" w:hAnsi="Arial" w:cs="Arial"/>
                <w:sz w:val="18"/>
                <w:szCs w:val="18"/>
              </w:rPr>
              <w:t>Canned Comment Category Type</w:t>
            </w:r>
          </w:p>
        </w:tc>
        <w:tc>
          <w:tcPr>
            <w:tcW w:w="5490" w:type="dxa"/>
            <w:shd w:val="pct25" w:color="auto" w:fill="auto"/>
          </w:tcPr>
          <w:p w14:paraId="6C305C6C" w14:textId="77777777" w:rsidR="00CE2820" w:rsidRPr="00CE2820" w:rsidRDefault="00CE2820" w:rsidP="00CA1F44">
            <w:pPr>
              <w:pStyle w:val="Caption"/>
              <w:keepNext w:val="0"/>
              <w:spacing w:before="0" w:after="0"/>
              <w:ind w:left="162" w:hanging="180"/>
              <w:rPr>
                <w:rFonts w:ascii="Arial" w:hAnsi="Arial" w:cs="Arial"/>
                <w:sz w:val="18"/>
                <w:szCs w:val="18"/>
              </w:rPr>
            </w:pPr>
            <w:r w:rsidRPr="00CE2820">
              <w:rPr>
                <w:rFonts w:ascii="Arial" w:hAnsi="Arial" w:cs="Arial"/>
                <w:sz w:val="18"/>
                <w:szCs w:val="18"/>
              </w:rPr>
              <w:t>Message Text</w:t>
            </w:r>
          </w:p>
        </w:tc>
      </w:tr>
      <w:tr w:rsidR="00CE2820" w:rsidRPr="00575988" w14:paraId="6F0296D3" w14:textId="77777777" w:rsidTr="00CE2820">
        <w:trPr>
          <w:cantSplit/>
        </w:trPr>
        <w:tc>
          <w:tcPr>
            <w:tcW w:w="3168" w:type="dxa"/>
            <w:shd w:val="clear" w:color="auto" w:fill="auto"/>
          </w:tcPr>
          <w:p w14:paraId="1422C30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ABO Incompatible Issue</w:t>
            </w:r>
          </w:p>
        </w:tc>
        <w:tc>
          <w:tcPr>
            <w:tcW w:w="5490" w:type="dxa"/>
            <w:shd w:val="clear" w:color="auto" w:fill="auto"/>
          </w:tcPr>
          <w:p w14:paraId="14A08C7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6E391EB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205C7E3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1762EA1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48BBFD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F1B94CE" w14:textId="77777777" w:rsidTr="00CE2820">
        <w:trPr>
          <w:cantSplit/>
        </w:trPr>
        <w:tc>
          <w:tcPr>
            <w:tcW w:w="3168" w:type="dxa"/>
            <w:shd w:val="clear" w:color="auto" w:fill="auto"/>
          </w:tcPr>
          <w:p w14:paraId="516101F4"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Automated Testing Review</w:t>
            </w:r>
          </w:p>
        </w:tc>
        <w:tc>
          <w:tcPr>
            <w:tcW w:w="5490" w:type="dxa"/>
            <w:shd w:val="clear" w:color="auto" w:fill="auto"/>
          </w:tcPr>
          <w:p w14:paraId="1194DDA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NEG</w:t>
            </w:r>
          </w:p>
          <w:p w14:paraId="1708651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POS</w:t>
            </w:r>
          </w:p>
          <w:p w14:paraId="381A6B1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Post-transfusion reaction</w:t>
            </w:r>
          </w:p>
          <w:p w14:paraId="688AF50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history</w:t>
            </w:r>
          </w:p>
          <w:p w14:paraId="35E6AC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no history</w:t>
            </w:r>
          </w:p>
          <w:p w14:paraId="6D6E522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Results confirmed with tube testing</w:t>
            </w:r>
          </w:p>
          <w:p w14:paraId="3C53A0F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(D) control negative</w:t>
            </w:r>
          </w:p>
          <w:p w14:paraId="6F5370C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4ABD647" w14:textId="77777777" w:rsidTr="00CE2820">
        <w:trPr>
          <w:cantSplit/>
        </w:trPr>
        <w:tc>
          <w:tcPr>
            <w:tcW w:w="3168" w:type="dxa"/>
            <w:shd w:val="clear" w:color="auto" w:fill="auto"/>
          </w:tcPr>
          <w:p w14:paraId="10289A5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Crossmatch</w:t>
            </w:r>
          </w:p>
        </w:tc>
        <w:tc>
          <w:tcPr>
            <w:tcW w:w="5490" w:type="dxa"/>
            <w:shd w:val="clear" w:color="auto" w:fill="auto"/>
          </w:tcPr>
          <w:p w14:paraId="00B6176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F358AF" w:rsidRPr="00575988" w14:paraId="030636DA" w14:textId="77777777" w:rsidTr="00615FC3">
        <w:trPr>
          <w:cantSplit/>
        </w:trPr>
        <w:tc>
          <w:tcPr>
            <w:tcW w:w="3168" w:type="dxa"/>
            <w:shd w:val="clear" w:color="auto" w:fill="auto"/>
          </w:tcPr>
          <w:p w14:paraId="5A2E05D5" w14:textId="77777777" w:rsidR="00F358AF" w:rsidRPr="00575988" w:rsidRDefault="00F358AF" w:rsidP="00615FC3">
            <w:pPr>
              <w:pStyle w:val="Caption"/>
              <w:keepNext w:val="0"/>
              <w:spacing w:before="0" w:after="0"/>
              <w:rPr>
                <w:rFonts w:ascii="Arial" w:hAnsi="Arial" w:cs="Arial"/>
                <w:b w:val="0"/>
                <w:sz w:val="18"/>
                <w:szCs w:val="18"/>
              </w:rPr>
            </w:pPr>
            <w:r w:rsidRPr="00575988">
              <w:rPr>
                <w:rFonts w:ascii="Arial" w:hAnsi="Arial" w:cs="Arial"/>
                <w:b w:val="0"/>
                <w:sz w:val="18"/>
                <w:szCs w:val="18"/>
              </w:rPr>
              <w:t>Implicated Units</w:t>
            </w:r>
          </w:p>
        </w:tc>
        <w:tc>
          <w:tcPr>
            <w:tcW w:w="5490" w:type="dxa"/>
            <w:shd w:val="clear" w:color="auto" w:fill="auto"/>
          </w:tcPr>
          <w:p w14:paraId="32A2B324" w14:textId="77777777" w:rsidR="00F358AF" w:rsidRPr="00575988"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26BF4219" w14:textId="77777777" w:rsidR="00F358AF" w:rsidRPr="00575988"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125780A4" w14:textId="77777777" w:rsidR="00F358AF"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41EED8F6" w14:textId="77777777" w:rsidR="00F358AF" w:rsidRPr="00575988"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3941BE5" w14:textId="77777777" w:rsidTr="00CE2820">
        <w:trPr>
          <w:cantSplit/>
        </w:trPr>
        <w:tc>
          <w:tcPr>
            <w:tcW w:w="3168" w:type="dxa"/>
            <w:shd w:val="clear" w:color="auto" w:fill="auto"/>
          </w:tcPr>
          <w:p w14:paraId="2F484D2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Incoming Shipment</w:t>
            </w:r>
          </w:p>
        </w:tc>
        <w:tc>
          <w:tcPr>
            <w:tcW w:w="5490" w:type="dxa"/>
            <w:shd w:val="clear" w:color="auto" w:fill="auto"/>
          </w:tcPr>
          <w:p w14:paraId="03C534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3F848FB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5B898E7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returned unused</w:t>
            </w:r>
          </w:p>
          <w:p w14:paraId="472BF75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7CBC018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9AFE13D" w14:textId="77777777" w:rsidTr="00CE2820">
        <w:trPr>
          <w:cantSplit/>
        </w:trPr>
        <w:tc>
          <w:tcPr>
            <w:tcW w:w="3168" w:type="dxa"/>
            <w:shd w:val="clear" w:color="auto" w:fill="auto"/>
          </w:tcPr>
          <w:p w14:paraId="73FEF75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Change</w:t>
            </w:r>
          </w:p>
        </w:tc>
        <w:tc>
          <w:tcPr>
            <w:tcW w:w="5490" w:type="dxa"/>
            <w:shd w:val="clear" w:color="auto" w:fill="auto"/>
          </w:tcPr>
          <w:p w14:paraId="17635B3D"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5B9B5CA4" w14:textId="77777777" w:rsidTr="00CE2820">
        <w:trPr>
          <w:cantSplit/>
        </w:trPr>
        <w:tc>
          <w:tcPr>
            <w:tcW w:w="3168" w:type="dxa"/>
            <w:shd w:val="clear" w:color="auto" w:fill="auto"/>
          </w:tcPr>
          <w:p w14:paraId="4B60D63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Discrepancy</w:t>
            </w:r>
          </w:p>
        </w:tc>
        <w:tc>
          <w:tcPr>
            <w:tcW w:w="5490" w:type="dxa"/>
            <w:shd w:val="clear" w:color="auto" w:fill="auto"/>
          </w:tcPr>
          <w:p w14:paraId="5D0631BA"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51AE862F"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2F5E9C35"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4CA56D07" w14:textId="77777777" w:rsidTr="00CE2820">
        <w:trPr>
          <w:cantSplit/>
        </w:trPr>
        <w:tc>
          <w:tcPr>
            <w:tcW w:w="3168" w:type="dxa"/>
            <w:shd w:val="clear" w:color="auto" w:fill="auto"/>
          </w:tcPr>
          <w:p w14:paraId="723DF30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Cancellation</w:t>
            </w:r>
          </w:p>
        </w:tc>
        <w:tc>
          <w:tcPr>
            <w:tcW w:w="5490" w:type="dxa"/>
            <w:shd w:val="clear" w:color="auto" w:fill="auto"/>
          </w:tcPr>
          <w:p w14:paraId="4DA1C3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blood component ordered</w:t>
            </w:r>
          </w:p>
          <w:p w14:paraId="51CEB77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test ordered</w:t>
            </w:r>
          </w:p>
          <w:p w14:paraId="0262380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Max time for active orders exceeded</w:t>
            </w:r>
          </w:p>
          <w:p w14:paraId="0D0C94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36A0331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3AD3FF8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FE28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3E57E2D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E0D0092" w14:textId="77777777" w:rsidTr="00CE2820">
        <w:trPr>
          <w:cantSplit/>
        </w:trPr>
        <w:tc>
          <w:tcPr>
            <w:tcW w:w="3168" w:type="dxa"/>
            <w:shd w:val="clear" w:color="auto" w:fill="auto"/>
          </w:tcPr>
          <w:p w14:paraId="01547E1D"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Processing</w:t>
            </w:r>
          </w:p>
        </w:tc>
        <w:tc>
          <w:tcPr>
            <w:tcW w:w="5490" w:type="dxa"/>
            <w:shd w:val="clear" w:color="auto" w:fill="auto"/>
          </w:tcPr>
          <w:p w14:paraId="2176C6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Verbal order</w:t>
            </w:r>
          </w:p>
          <w:p w14:paraId="64A8E2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43B70B7A" w14:textId="77777777" w:rsidTr="00615FC3">
        <w:trPr>
          <w:cantSplit/>
        </w:trPr>
        <w:tc>
          <w:tcPr>
            <w:tcW w:w="3168" w:type="dxa"/>
            <w:shd w:val="clear" w:color="auto" w:fill="auto"/>
          </w:tcPr>
          <w:p w14:paraId="22251103" w14:textId="77777777" w:rsidR="00D17F64" w:rsidRPr="00575988" w:rsidRDefault="00D17F64" w:rsidP="00615FC3">
            <w:pPr>
              <w:pStyle w:val="Caption"/>
              <w:keepNext w:val="0"/>
              <w:spacing w:before="0" w:after="0"/>
              <w:rPr>
                <w:rFonts w:ascii="Arial" w:hAnsi="Arial" w:cs="Arial"/>
                <w:b w:val="0"/>
                <w:sz w:val="18"/>
                <w:szCs w:val="18"/>
              </w:rPr>
            </w:pPr>
            <w:r>
              <w:rPr>
                <w:rFonts w:ascii="Arial" w:hAnsi="Arial" w:cs="Arial"/>
                <w:b w:val="0"/>
                <w:sz w:val="18"/>
                <w:szCs w:val="18"/>
              </w:rPr>
              <w:t>Outgoing Shipment</w:t>
            </w:r>
          </w:p>
        </w:tc>
        <w:tc>
          <w:tcPr>
            <w:tcW w:w="5490" w:type="dxa"/>
            <w:shd w:val="clear" w:color="auto" w:fill="auto"/>
          </w:tcPr>
          <w:p w14:paraId="73E217C6"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531D865" w14:textId="77777777" w:rsidTr="00CE2820">
        <w:trPr>
          <w:cantSplit/>
        </w:trPr>
        <w:tc>
          <w:tcPr>
            <w:tcW w:w="3168" w:type="dxa"/>
            <w:shd w:val="clear" w:color="auto" w:fill="auto"/>
          </w:tcPr>
          <w:p w14:paraId="13DBAA9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Parameter Setting Change</w:t>
            </w:r>
          </w:p>
        </w:tc>
        <w:tc>
          <w:tcPr>
            <w:tcW w:w="5490" w:type="dxa"/>
            <w:shd w:val="clear" w:color="auto" w:fill="auto"/>
          </w:tcPr>
          <w:p w14:paraId="6D2D57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7F81A24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Resetting due to policy change</w:t>
            </w:r>
          </w:p>
          <w:p w14:paraId="2B3AAD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18E90C2B" w14:textId="77777777" w:rsidTr="00CE2820">
        <w:trPr>
          <w:cantSplit/>
        </w:trPr>
        <w:tc>
          <w:tcPr>
            <w:tcW w:w="3168" w:type="dxa"/>
            <w:shd w:val="clear" w:color="auto" w:fill="auto"/>
          </w:tcPr>
          <w:p w14:paraId="64475C7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Patient Testing</w:t>
            </w:r>
          </w:p>
        </w:tc>
        <w:tc>
          <w:tcPr>
            <w:tcW w:w="5490" w:type="dxa"/>
            <w:shd w:val="clear" w:color="auto" w:fill="auto"/>
          </w:tcPr>
          <w:p w14:paraId="20B3A0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2624ACC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lot numbers in use</w:t>
            </w:r>
          </w:p>
          <w:p w14:paraId="680431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specimen required</w:t>
            </w:r>
          </w:p>
          <w:p w14:paraId="03DF1C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ruined during test process</w:t>
            </w:r>
          </w:p>
          <w:p w14:paraId="214CD1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cancelled</w:t>
            </w:r>
          </w:p>
          <w:p w14:paraId="1B1EF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complete, results inconclusive</w:t>
            </w:r>
          </w:p>
          <w:p w14:paraId="0E1AE04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compromised</w:t>
            </w:r>
          </w:p>
          <w:p w14:paraId="3819A8D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inconclusive</w:t>
            </w:r>
          </w:p>
          <w:p w14:paraId="4B6F967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interrupted</w:t>
            </w:r>
          </w:p>
          <w:p w14:paraId="12EC93A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58ED052D" w14:textId="77777777" w:rsidTr="00615FC3">
        <w:trPr>
          <w:cantSplit/>
        </w:trPr>
        <w:tc>
          <w:tcPr>
            <w:tcW w:w="3168" w:type="dxa"/>
            <w:shd w:val="clear" w:color="auto" w:fill="auto"/>
          </w:tcPr>
          <w:p w14:paraId="4D3B198B"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Post-Transfusion Specimen Checks</w:t>
            </w:r>
          </w:p>
        </w:tc>
        <w:tc>
          <w:tcPr>
            <w:tcW w:w="5490" w:type="dxa"/>
            <w:shd w:val="clear" w:color="auto" w:fill="auto"/>
          </w:tcPr>
          <w:p w14:paraId="6F4FC07C"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619850D4"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2B61B18E"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5DE55493"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41EA69E3"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34E68E88" w14:textId="77777777" w:rsidTr="00615FC3">
        <w:trPr>
          <w:cantSplit/>
        </w:trPr>
        <w:tc>
          <w:tcPr>
            <w:tcW w:w="3168" w:type="dxa"/>
            <w:shd w:val="clear" w:color="auto" w:fill="auto"/>
          </w:tcPr>
          <w:p w14:paraId="26A09281"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Pre-Transfusion Specimen Checks</w:t>
            </w:r>
          </w:p>
        </w:tc>
        <w:tc>
          <w:tcPr>
            <w:tcW w:w="5490" w:type="dxa"/>
            <w:shd w:val="clear" w:color="auto" w:fill="auto"/>
          </w:tcPr>
          <w:p w14:paraId="79212A8A"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0869DB82"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6016C8F1"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6527A0A9"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3C4B6ECD"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F4169D9" w14:textId="77777777" w:rsidTr="00CE2820">
        <w:trPr>
          <w:cantSplit/>
        </w:trPr>
        <w:tc>
          <w:tcPr>
            <w:tcW w:w="3168" w:type="dxa"/>
            <w:shd w:val="clear" w:color="auto" w:fill="auto"/>
          </w:tcPr>
          <w:p w14:paraId="3F847E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Quarantine/Discard</w:t>
            </w:r>
          </w:p>
        </w:tc>
        <w:tc>
          <w:tcPr>
            <w:tcW w:w="5490" w:type="dxa"/>
            <w:shd w:val="clear" w:color="auto" w:fill="auto"/>
          </w:tcPr>
          <w:p w14:paraId="58EF128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66A7108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Disposition for research</w:t>
            </w:r>
          </w:p>
          <w:p w14:paraId="3232B19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5DD3A2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Incinerated</w:t>
            </w:r>
          </w:p>
          <w:p w14:paraId="1B0C299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3CA52D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27E17D4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1090D6A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1F86A84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0BF31B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0880C63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4909510" w14:textId="77777777" w:rsidTr="00CE2820">
        <w:trPr>
          <w:cantSplit/>
        </w:trPr>
        <w:tc>
          <w:tcPr>
            <w:tcW w:w="3168" w:type="dxa"/>
            <w:shd w:val="clear" w:color="auto" w:fill="auto"/>
          </w:tcPr>
          <w:p w14:paraId="1B868E5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Reagent and Supply</w:t>
            </w:r>
          </w:p>
        </w:tc>
        <w:tc>
          <w:tcPr>
            <w:tcW w:w="5490" w:type="dxa"/>
            <w:shd w:val="clear" w:color="auto" w:fill="auto"/>
          </w:tcPr>
          <w:p w14:paraId="140E5CC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060AA7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1C4AA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50D7788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Product shortage</w:t>
            </w:r>
          </w:p>
          <w:p w14:paraId="75374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Spilled</w:t>
            </w:r>
          </w:p>
          <w:p w14:paraId="64D039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234CF9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Updated inventory</w:t>
            </w:r>
          </w:p>
          <w:p w14:paraId="5B130AC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A5BAD6B" w14:textId="77777777" w:rsidTr="00CE2820">
        <w:trPr>
          <w:cantSplit/>
        </w:trPr>
        <w:tc>
          <w:tcPr>
            <w:tcW w:w="3168" w:type="dxa"/>
            <w:shd w:val="clear" w:color="auto" w:fill="auto"/>
          </w:tcPr>
          <w:p w14:paraId="62C6CD0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Reason for Release</w:t>
            </w:r>
          </w:p>
        </w:tc>
        <w:tc>
          <w:tcPr>
            <w:tcW w:w="5490" w:type="dxa"/>
            <w:shd w:val="clear" w:color="auto" w:fill="auto"/>
          </w:tcPr>
          <w:p w14:paraId="7FB4B792" w14:textId="25804C0C" w:rsidR="00CE2820" w:rsidRPr="00575988" w:rsidRDefault="006549B7"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24-hour</w:t>
            </w:r>
            <w:r w:rsidR="00CE2820" w:rsidRPr="00575988">
              <w:rPr>
                <w:rFonts w:ascii="Arial" w:hAnsi="Arial" w:cs="Arial"/>
                <w:b w:val="0"/>
                <w:sz w:val="18"/>
                <w:szCs w:val="18"/>
              </w:rPr>
              <w:t xml:space="preserve"> post-op</w:t>
            </w:r>
          </w:p>
          <w:p w14:paraId="52F34C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5AB9A43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Counts or levels exceed transfusion trigger</w:t>
            </w:r>
          </w:p>
          <w:p w14:paraId="1EDD470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For use by another patient</w:t>
            </w:r>
          </w:p>
          <w:p w14:paraId="29FB36E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257627D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40E245F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43A38BD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expired</w:t>
            </w:r>
          </w:p>
          <w:p w14:paraId="7438B9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3F27E00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expired</w:t>
            </w:r>
          </w:p>
          <w:p w14:paraId="77C98E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049BEFA5" w14:textId="77777777" w:rsidTr="00615FC3">
        <w:trPr>
          <w:cantSplit/>
        </w:trPr>
        <w:tc>
          <w:tcPr>
            <w:tcW w:w="3168" w:type="dxa"/>
            <w:shd w:val="clear" w:color="auto" w:fill="auto"/>
          </w:tcPr>
          <w:p w14:paraId="36799BC8"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Release from Quarantine</w:t>
            </w:r>
          </w:p>
        </w:tc>
        <w:tc>
          <w:tcPr>
            <w:tcW w:w="5490" w:type="dxa"/>
            <w:shd w:val="clear" w:color="auto" w:fill="auto"/>
          </w:tcPr>
          <w:p w14:paraId="725A131B"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8808" w14:textId="77777777" w:rsidTr="00CE2820">
        <w:trPr>
          <w:cantSplit/>
        </w:trPr>
        <w:tc>
          <w:tcPr>
            <w:tcW w:w="3168" w:type="dxa"/>
            <w:shd w:val="clear" w:color="auto" w:fill="auto"/>
          </w:tcPr>
          <w:p w14:paraId="7A189EE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 Inactivation</w:t>
            </w:r>
          </w:p>
        </w:tc>
        <w:tc>
          <w:tcPr>
            <w:tcW w:w="5490" w:type="dxa"/>
            <w:shd w:val="clear" w:color="auto" w:fill="auto"/>
          </w:tcPr>
          <w:p w14:paraId="1D9638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270076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2764AFE9" w14:textId="77777777" w:rsidTr="00CE2820">
        <w:trPr>
          <w:cantSplit/>
        </w:trPr>
        <w:tc>
          <w:tcPr>
            <w:tcW w:w="3168" w:type="dxa"/>
            <w:shd w:val="clear" w:color="auto" w:fill="auto"/>
          </w:tcPr>
          <w:p w14:paraId="0F158E6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Instructions</w:t>
            </w:r>
          </w:p>
        </w:tc>
        <w:tc>
          <w:tcPr>
            <w:tcW w:w="5490" w:type="dxa"/>
            <w:shd w:val="clear" w:color="auto" w:fill="auto"/>
          </w:tcPr>
          <w:p w14:paraId="4903A8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Check the patient’s blood counts before selecting units, use often exceeds original order</w:t>
            </w:r>
          </w:p>
          <w:p w14:paraId="2C70B07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has rouleaux; saline replacement crossmatches are needed</w:t>
            </w:r>
          </w:p>
          <w:p w14:paraId="7A2DE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Split units for transfusion today</w:t>
            </w:r>
          </w:p>
          <w:p w14:paraId="4D112F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Volume reduce platelet pools over 300 mL</w:t>
            </w:r>
          </w:p>
        </w:tc>
      </w:tr>
      <w:tr w:rsidR="00CE2820" w:rsidRPr="00575988" w14:paraId="6BA8A52E" w14:textId="77777777" w:rsidTr="00CE2820">
        <w:trPr>
          <w:cantSplit/>
        </w:trPr>
        <w:tc>
          <w:tcPr>
            <w:tcW w:w="3168" w:type="dxa"/>
            <w:shd w:val="clear" w:color="auto" w:fill="auto"/>
          </w:tcPr>
          <w:p w14:paraId="5CBD339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Extension</w:t>
            </w:r>
          </w:p>
        </w:tc>
        <w:tc>
          <w:tcPr>
            <w:tcW w:w="5490" w:type="dxa"/>
            <w:shd w:val="clear" w:color="auto" w:fill="auto"/>
          </w:tcPr>
          <w:p w14:paraId="61711FA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Pre-op Workup</w:t>
            </w:r>
          </w:p>
          <w:p w14:paraId="4BD8A7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51A2BF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8E064B4" w14:textId="77777777" w:rsidTr="00CE2820">
        <w:trPr>
          <w:cantSplit/>
        </w:trPr>
        <w:tc>
          <w:tcPr>
            <w:tcW w:w="3168" w:type="dxa"/>
            <w:shd w:val="clear" w:color="auto" w:fill="auto"/>
          </w:tcPr>
          <w:p w14:paraId="3FD5D29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General</w:t>
            </w:r>
          </w:p>
        </w:tc>
        <w:tc>
          <w:tcPr>
            <w:tcW w:w="5490" w:type="dxa"/>
            <w:shd w:val="clear" w:color="auto" w:fill="auto"/>
          </w:tcPr>
          <w:p w14:paraId="08FDC97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0B25F0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497FDA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55DA605" w14:textId="77777777" w:rsidTr="00CE2820">
        <w:trPr>
          <w:cantSplit/>
        </w:trPr>
        <w:tc>
          <w:tcPr>
            <w:tcW w:w="3168" w:type="dxa"/>
            <w:shd w:val="clear" w:color="auto" w:fill="auto"/>
          </w:tcPr>
          <w:p w14:paraId="63842E1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Processing</w:t>
            </w:r>
          </w:p>
        </w:tc>
        <w:tc>
          <w:tcPr>
            <w:tcW w:w="5490" w:type="dxa"/>
            <w:shd w:val="clear" w:color="auto" w:fill="auto"/>
          </w:tcPr>
          <w:p w14:paraId="60EA483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16E0F7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4F75EA6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79AE78C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235A05AF" w14:textId="77777777" w:rsidTr="00615FC3">
        <w:trPr>
          <w:cantSplit/>
        </w:trPr>
        <w:tc>
          <w:tcPr>
            <w:tcW w:w="3168" w:type="dxa"/>
            <w:shd w:val="clear" w:color="auto" w:fill="auto"/>
          </w:tcPr>
          <w:p w14:paraId="5178EBCC"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Specimen Required</w:t>
            </w:r>
          </w:p>
        </w:tc>
        <w:tc>
          <w:tcPr>
            <w:tcW w:w="5490" w:type="dxa"/>
            <w:shd w:val="clear" w:color="auto" w:fill="auto"/>
          </w:tcPr>
          <w:p w14:paraId="26FACBA0"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7E627CC8"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19343A0" w14:textId="77777777" w:rsidTr="00CE2820">
        <w:trPr>
          <w:cantSplit/>
        </w:trPr>
        <w:tc>
          <w:tcPr>
            <w:tcW w:w="3168" w:type="dxa"/>
            <w:shd w:val="clear" w:color="auto" w:fill="auto"/>
          </w:tcPr>
          <w:p w14:paraId="64B6DB5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Specimen Unacceptable</w:t>
            </w:r>
          </w:p>
        </w:tc>
        <w:tc>
          <w:tcPr>
            <w:tcW w:w="5490" w:type="dxa"/>
            <w:shd w:val="clear" w:color="auto" w:fill="auto"/>
          </w:tcPr>
          <w:p w14:paraId="560A7E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6BB3A1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654FA0A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or unreadable Phlebotomist ID</w:t>
            </w:r>
          </w:p>
          <w:p w14:paraId="3AD20E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277CEEE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phlebotomist ID</w:t>
            </w:r>
          </w:p>
          <w:p w14:paraId="7EE50E5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QNS (quantity not sufficient)</w:t>
            </w:r>
          </w:p>
          <w:p w14:paraId="34633EC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5E6CFE3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hemolyzed</w:t>
            </w:r>
          </w:p>
          <w:p w14:paraId="166233B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5067C1B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not received</w:t>
            </w:r>
          </w:p>
          <w:p w14:paraId="37802E9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Wrong specimen type collected</w:t>
            </w:r>
          </w:p>
          <w:p w14:paraId="4B88939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400978E9" w14:textId="77777777" w:rsidTr="00615FC3">
        <w:trPr>
          <w:cantSplit/>
        </w:trPr>
        <w:tc>
          <w:tcPr>
            <w:tcW w:w="3168" w:type="dxa"/>
            <w:shd w:val="clear" w:color="auto" w:fill="auto"/>
          </w:tcPr>
          <w:p w14:paraId="2B30992C"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Symptom Details</w:t>
            </w:r>
          </w:p>
        </w:tc>
        <w:tc>
          <w:tcPr>
            <w:tcW w:w="5490" w:type="dxa"/>
            <w:shd w:val="clear" w:color="auto" w:fill="auto"/>
          </w:tcPr>
          <w:p w14:paraId="0270E4E3"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6D0F2419" w14:textId="77777777" w:rsidTr="00615FC3">
        <w:trPr>
          <w:cantSplit/>
        </w:trPr>
        <w:tc>
          <w:tcPr>
            <w:tcW w:w="3168" w:type="dxa"/>
            <w:shd w:val="clear" w:color="auto" w:fill="auto"/>
          </w:tcPr>
          <w:p w14:paraId="46704F13"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Transfusion Blood Bag Not Returned</w:t>
            </w:r>
          </w:p>
        </w:tc>
        <w:tc>
          <w:tcPr>
            <w:tcW w:w="5490" w:type="dxa"/>
            <w:shd w:val="clear" w:color="auto" w:fill="auto"/>
          </w:tcPr>
          <w:p w14:paraId="5D9660DF"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42F621E8" w14:textId="77777777" w:rsidTr="00615FC3">
        <w:trPr>
          <w:cantSplit/>
        </w:trPr>
        <w:tc>
          <w:tcPr>
            <w:tcW w:w="3168" w:type="dxa"/>
            <w:shd w:val="clear" w:color="auto" w:fill="auto"/>
          </w:tcPr>
          <w:p w14:paraId="78E8D228"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Transfusion Clerical Checks Failed</w:t>
            </w:r>
          </w:p>
        </w:tc>
        <w:tc>
          <w:tcPr>
            <w:tcW w:w="5490" w:type="dxa"/>
            <w:shd w:val="clear" w:color="auto" w:fill="auto"/>
          </w:tcPr>
          <w:p w14:paraId="16D34B22"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2B22D17" w14:textId="77777777" w:rsidTr="00CE2820">
        <w:trPr>
          <w:cantSplit/>
        </w:trPr>
        <w:tc>
          <w:tcPr>
            <w:tcW w:w="3168" w:type="dxa"/>
            <w:shd w:val="clear" w:color="auto" w:fill="auto"/>
          </w:tcPr>
          <w:p w14:paraId="1996324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Processing</w:t>
            </w:r>
          </w:p>
        </w:tc>
        <w:tc>
          <w:tcPr>
            <w:tcW w:w="5490" w:type="dxa"/>
            <w:shd w:val="clear" w:color="auto" w:fill="auto"/>
          </w:tcPr>
          <w:p w14:paraId="3214CA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76F6BC80" w14:textId="77777777" w:rsidTr="00CE2820">
        <w:trPr>
          <w:cantSplit/>
        </w:trPr>
        <w:tc>
          <w:tcPr>
            <w:tcW w:w="3168" w:type="dxa"/>
            <w:shd w:val="clear" w:color="auto" w:fill="auto"/>
          </w:tcPr>
          <w:p w14:paraId="6878BE4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Reaction Workup</w:t>
            </w:r>
          </w:p>
        </w:tc>
        <w:tc>
          <w:tcPr>
            <w:tcW w:w="5490" w:type="dxa"/>
            <w:shd w:val="clear" w:color="auto" w:fill="auto"/>
          </w:tcPr>
          <w:p w14:paraId="7B29358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7D9F" w14:textId="77777777" w:rsidTr="00CE2820">
        <w:trPr>
          <w:cantSplit/>
        </w:trPr>
        <w:tc>
          <w:tcPr>
            <w:tcW w:w="3168" w:type="dxa"/>
            <w:shd w:val="clear" w:color="auto" w:fill="auto"/>
          </w:tcPr>
          <w:p w14:paraId="2A77C1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Requirement Inactivation</w:t>
            </w:r>
          </w:p>
        </w:tc>
        <w:tc>
          <w:tcPr>
            <w:tcW w:w="5490" w:type="dxa"/>
            <w:shd w:val="clear" w:color="auto" w:fill="auto"/>
          </w:tcPr>
          <w:p w14:paraId="4F4055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72210D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7920F9A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0116FF99"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6A5848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F358AF" w:rsidRPr="00575988" w14:paraId="4CCD8A32" w14:textId="77777777" w:rsidTr="00615FC3">
        <w:trPr>
          <w:cantSplit/>
        </w:trPr>
        <w:tc>
          <w:tcPr>
            <w:tcW w:w="3168" w:type="dxa"/>
            <w:shd w:val="clear" w:color="auto" w:fill="auto"/>
          </w:tcPr>
          <w:p w14:paraId="37500970" w14:textId="77777777" w:rsidR="00F358AF" w:rsidRPr="00575988" w:rsidRDefault="00F358AF" w:rsidP="00615FC3">
            <w:pPr>
              <w:pStyle w:val="Caption"/>
              <w:keepNext w:val="0"/>
              <w:spacing w:before="0" w:after="0"/>
              <w:rPr>
                <w:rFonts w:ascii="Arial" w:hAnsi="Arial" w:cs="Arial"/>
                <w:b w:val="0"/>
                <w:sz w:val="18"/>
                <w:szCs w:val="18"/>
              </w:rPr>
            </w:pPr>
            <w:r w:rsidRPr="00575988">
              <w:rPr>
                <w:rFonts w:ascii="Arial" w:hAnsi="Arial" w:cs="Arial"/>
                <w:b w:val="0"/>
                <w:sz w:val="18"/>
                <w:szCs w:val="18"/>
              </w:rPr>
              <w:t>Unit Data Invalidation</w:t>
            </w:r>
          </w:p>
        </w:tc>
        <w:tc>
          <w:tcPr>
            <w:tcW w:w="5490" w:type="dxa"/>
            <w:shd w:val="clear" w:color="auto" w:fill="auto"/>
          </w:tcPr>
          <w:p w14:paraId="1486D625" w14:textId="77777777" w:rsidR="00F358AF" w:rsidRPr="00575988"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13D215B9" w14:textId="77777777" w:rsidR="00F358AF"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7D980A3C" w14:textId="77777777" w:rsidR="00F358AF" w:rsidRPr="00575988"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E62DDDD" w14:textId="77777777" w:rsidTr="00CE2820">
        <w:trPr>
          <w:cantSplit/>
        </w:trPr>
        <w:tc>
          <w:tcPr>
            <w:tcW w:w="3168" w:type="dxa"/>
            <w:shd w:val="clear" w:color="auto" w:fill="auto"/>
          </w:tcPr>
          <w:p w14:paraId="0D8618C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Inactivation</w:t>
            </w:r>
          </w:p>
        </w:tc>
        <w:tc>
          <w:tcPr>
            <w:tcW w:w="5490" w:type="dxa"/>
            <w:shd w:val="clear" w:color="auto" w:fill="auto"/>
          </w:tcPr>
          <w:p w14:paraId="6C713F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4FABFC9E"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140712A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40A4F84" w14:textId="77777777" w:rsidTr="00CE2820">
        <w:trPr>
          <w:cantSplit/>
        </w:trPr>
        <w:tc>
          <w:tcPr>
            <w:tcW w:w="3168" w:type="dxa"/>
            <w:shd w:val="clear" w:color="auto" w:fill="auto"/>
          </w:tcPr>
          <w:p w14:paraId="3F18046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Issue</w:t>
            </w:r>
          </w:p>
        </w:tc>
        <w:tc>
          <w:tcPr>
            <w:tcW w:w="5490" w:type="dxa"/>
            <w:shd w:val="clear" w:color="auto" w:fill="auto"/>
          </w:tcPr>
          <w:p w14:paraId="176D6A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5B944DD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6379FAB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5994AD6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37CE121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779951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4FDF38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storage cooler A</w:t>
            </w:r>
          </w:p>
          <w:p w14:paraId="418F501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3200887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59808F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07E77264" w14:textId="77777777" w:rsidTr="00CE2820">
        <w:trPr>
          <w:cantSplit/>
        </w:trPr>
        <w:tc>
          <w:tcPr>
            <w:tcW w:w="3168" w:type="dxa"/>
            <w:shd w:val="clear" w:color="auto" w:fill="auto"/>
          </w:tcPr>
          <w:p w14:paraId="0A99406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Modification</w:t>
            </w:r>
          </w:p>
        </w:tc>
        <w:tc>
          <w:tcPr>
            <w:tcW w:w="5490" w:type="dxa"/>
            <w:shd w:val="clear" w:color="auto" w:fill="auto"/>
          </w:tcPr>
          <w:p w14:paraId="3448E4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B767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3BA6446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749B610F"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F358AF" w:rsidRPr="001465A4" w14:paraId="7F567BA6" w14:textId="77777777" w:rsidTr="00615FC3">
        <w:trPr>
          <w:cantSplit/>
        </w:trPr>
        <w:tc>
          <w:tcPr>
            <w:tcW w:w="3168" w:type="dxa"/>
            <w:shd w:val="clear" w:color="auto" w:fill="auto"/>
          </w:tcPr>
          <w:p w14:paraId="45504FD8" w14:textId="77777777" w:rsidR="00F358AF" w:rsidRPr="00575988" w:rsidRDefault="00F358AF" w:rsidP="00615FC3">
            <w:pPr>
              <w:pStyle w:val="Caption"/>
              <w:keepNext w:val="0"/>
              <w:spacing w:before="0" w:after="0"/>
              <w:rPr>
                <w:rFonts w:ascii="Arial" w:hAnsi="Arial" w:cs="Arial"/>
                <w:b w:val="0"/>
                <w:sz w:val="18"/>
                <w:szCs w:val="18"/>
              </w:rPr>
            </w:pPr>
            <w:r w:rsidRPr="00575988">
              <w:rPr>
                <w:rFonts w:ascii="Arial" w:hAnsi="Arial" w:cs="Arial"/>
                <w:b w:val="0"/>
                <w:sz w:val="18"/>
                <w:szCs w:val="18"/>
              </w:rPr>
              <w:t>Unit Restriction</w:t>
            </w:r>
          </w:p>
        </w:tc>
        <w:tc>
          <w:tcPr>
            <w:tcW w:w="5490" w:type="dxa"/>
            <w:shd w:val="clear" w:color="auto" w:fill="auto"/>
          </w:tcPr>
          <w:p w14:paraId="3513EEE8" w14:textId="77777777" w:rsidR="00F358AF"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58C1012A" w14:textId="77777777" w:rsidR="00F358AF" w:rsidRPr="001465A4" w:rsidRDefault="00F358AF" w:rsidP="00615FC3">
            <w:pPr>
              <w:pStyle w:val="Caption"/>
              <w:keepNext w:val="0"/>
              <w:spacing w:before="0" w:after="0"/>
              <w:ind w:left="162" w:hanging="180"/>
            </w:pPr>
            <w:r w:rsidRPr="00575988">
              <w:rPr>
                <w:rFonts w:ascii="Arial" w:hAnsi="Arial" w:cs="Arial"/>
                <w:b w:val="0"/>
                <w:sz w:val="18"/>
                <w:szCs w:val="18"/>
              </w:rPr>
              <w:t>Other</w:t>
            </w:r>
          </w:p>
        </w:tc>
      </w:tr>
      <w:tr w:rsidR="00CE2820" w:rsidRPr="001465A4" w14:paraId="1C2D7183" w14:textId="77777777" w:rsidTr="00CE2820">
        <w:trPr>
          <w:cantSplit/>
        </w:trPr>
        <w:tc>
          <w:tcPr>
            <w:tcW w:w="3168" w:type="dxa"/>
            <w:shd w:val="clear" w:color="auto" w:fill="auto"/>
          </w:tcPr>
          <w:p w14:paraId="551C163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Unit Return</w:t>
            </w:r>
          </w:p>
        </w:tc>
        <w:tc>
          <w:tcPr>
            <w:tcW w:w="5490" w:type="dxa"/>
            <w:shd w:val="clear" w:color="auto" w:fill="auto"/>
          </w:tcPr>
          <w:p w14:paraId="318CCBB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01700A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425DA2E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1D3EE02B"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102AA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4E62B22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3B59BA4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7C4BA7B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7D6D9E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75B6C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4BF270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2ED1A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3CE680B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71E4AA4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6C65F9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1F2E1A2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46ADFF71"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2F69C148" w14:textId="77777777" w:rsidTr="00CE2820">
        <w:trPr>
          <w:cantSplit/>
        </w:trPr>
        <w:tc>
          <w:tcPr>
            <w:tcW w:w="3168" w:type="dxa"/>
            <w:shd w:val="clear" w:color="auto" w:fill="auto"/>
          </w:tcPr>
          <w:p w14:paraId="3D91E13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Selection</w:t>
            </w:r>
          </w:p>
        </w:tc>
        <w:tc>
          <w:tcPr>
            <w:tcW w:w="5490" w:type="dxa"/>
            <w:shd w:val="clear" w:color="auto" w:fill="auto"/>
          </w:tcPr>
          <w:p w14:paraId="2079DCD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7E19E01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41B7F20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48CDF9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mismatch selection necessary</w:t>
            </w:r>
          </w:p>
          <w:p w14:paraId="20E590A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21EA2A69"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15C6615" w14:textId="77777777" w:rsidTr="00CE2820">
        <w:trPr>
          <w:cantSplit/>
        </w:trPr>
        <w:tc>
          <w:tcPr>
            <w:tcW w:w="3168" w:type="dxa"/>
            <w:shd w:val="clear" w:color="auto" w:fill="auto"/>
          </w:tcPr>
          <w:p w14:paraId="0728B76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Status Removal</w:t>
            </w:r>
          </w:p>
        </w:tc>
        <w:tc>
          <w:tcPr>
            <w:tcW w:w="5490" w:type="dxa"/>
            <w:shd w:val="clear" w:color="auto" w:fill="auto"/>
          </w:tcPr>
          <w:p w14:paraId="4010D8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2EABC56" w14:textId="77777777" w:rsidTr="00CE2820">
        <w:trPr>
          <w:cantSplit/>
        </w:trPr>
        <w:tc>
          <w:tcPr>
            <w:tcW w:w="3168" w:type="dxa"/>
            <w:shd w:val="clear" w:color="auto" w:fill="auto"/>
          </w:tcPr>
          <w:p w14:paraId="30C51EA1"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Testing</w:t>
            </w:r>
          </w:p>
        </w:tc>
        <w:tc>
          <w:tcPr>
            <w:tcW w:w="5490" w:type="dxa"/>
            <w:shd w:val="clear" w:color="auto" w:fill="auto"/>
          </w:tcPr>
          <w:p w14:paraId="1534C8A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250271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69B7FD6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52803D2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test cancelle</w:t>
            </w:r>
            <w:r>
              <w:rPr>
                <w:rFonts w:ascii="Arial" w:hAnsi="Arial" w:cs="Arial"/>
                <w:b w:val="0"/>
                <w:sz w:val="18"/>
                <w:szCs w:val="18"/>
              </w:rPr>
              <w:t>d</w:t>
            </w:r>
          </w:p>
          <w:p w14:paraId="1CB766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bl>
    <w:p w14:paraId="4247FFA4" w14:textId="77777777" w:rsidR="00667BEE" w:rsidRDefault="00667BEE" w:rsidP="00E73261">
      <w:pPr>
        <w:pStyle w:val="Caption"/>
        <w:sectPr w:rsidR="00667BEE" w:rsidSect="004C5759">
          <w:footerReference w:type="default" r:id="rId208"/>
          <w:pgSz w:w="12240" w:h="15840" w:code="1"/>
          <w:pgMar w:top="1440" w:right="1440" w:bottom="1440" w:left="1440" w:header="720" w:footer="720" w:gutter="0"/>
          <w:cols w:space="720"/>
          <w:docGrid w:linePitch="360"/>
        </w:sectPr>
      </w:pPr>
    </w:p>
    <w:p w14:paraId="5F270C98" w14:textId="77777777" w:rsidR="00E73261" w:rsidRDefault="00E73261" w:rsidP="00E73261">
      <w:pPr>
        <w:pStyle w:val="Caption"/>
      </w:pPr>
    </w:p>
    <w:p w14:paraId="781B1123" w14:textId="1F642A49" w:rsidR="00E73261" w:rsidRDefault="00EE455E" w:rsidP="00E73261">
      <w:pPr>
        <w:rPr>
          <w:sz w:val="22"/>
          <w:szCs w:val="22"/>
        </w:rPr>
      </w:pPr>
      <w:r w:rsidRPr="00EE455E">
        <w:rPr>
          <w:sz w:val="22"/>
          <w:szCs w:val="22"/>
        </w:rPr>
        <w:t xml:space="preserve">Table </w:t>
      </w:r>
      <w:r w:rsidRPr="00EE455E">
        <w:rPr>
          <w:noProof/>
          <w:sz w:val="22"/>
          <w:szCs w:val="22"/>
        </w:rPr>
        <w:t>18</w:t>
      </w:r>
      <w:r w:rsidR="00667BEE" w:rsidRPr="00667BEE">
        <w:rPr>
          <w:sz w:val="22"/>
          <w:szCs w:val="22"/>
        </w:rPr>
        <w:t xml:space="preserve"> </w:t>
      </w:r>
      <w:r w:rsidR="00E73261" w:rsidRPr="00667BEE">
        <w:rPr>
          <w:sz w:val="22"/>
          <w:szCs w:val="22"/>
        </w:rPr>
        <w:t>is a</w:t>
      </w:r>
      <w:r w:rsidR="00D323CF" w:rsidRPr="00667BEE">
        <w:rPr>
          <w:sz w:val="22"/>
          <w:szCs w:val="22"/>
        </w:rPr>
        <w:t xml:space="preserve"> partial</w:t>
      </w:r>
      <w:r w:rsidR="00E73261" w:rsidRPr="00667BEE">
        <w:rPr>
          <w:sz w:val="22"/>
          <w:szCs w:val="22"/>
        </w:rPr>
        <w:t xml:space="preserve"> list of where comments appear in the options based on the requirements documents. </w:t>
      </w:r>
    </w:p>
    <w:p w14:paraId="416D5776" w14:textId="77777777" w:rsidR="00D72BC1" w:rsidRPr="00667BEE" w:rsidRDefault="00D72BC1" w:rsidP="00E73261">
      <w:pPr>
        <w:rPr>
          <w:sz w:val="22"/>
          <w:szCs w:val="22"/>
        </w:rPr>
      </w:pPr>
      <w:r>
        <w:rPr>
          <w:sz w:val="22"/>
          <w:szCs w:val="22"/>
        </w:rPr>
        <w:t>The comment list that appears in the “Reason for Change” field in Update Reagent Inventory is a fixed list and is not locally editable.</w:t>
      </w:r>
    </w:p>
    <w:p w14:paraId="1AC12B80" w14:textId="0E258073" w:rsidR="002A21AE" w:rsidRDefault="00E73261" w:rsidP="00E73261">
      <w:pPr>
        <w:pStyle w:val="Caption"/>
      </w:pPr>
      <w:bookmarkStart w:id="612" w:name="_Ref50707000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18</w:t>
      </w:r>
      <w:r w:rsidR="004E20BD">
        <w:rPr>
          <w:noProof/>
        </w:rPr>
        <w:fldChar w:fldCharType="end"/>
      </w:r>
      <w:bookmarkEnd w:id="612"/>
      <w:r>
        <w:t xml:space="preserve">: </w:t>
      </w:r>
      <w:r w:rsidRPr="00C05D94">
        <w:t>Canned Comment Category vs Option</w:t>
      </w:r>
      <w:r w:rsidR="00812371">
        <w:fldChar w:fldCharType="begin"/>
      </w:r>
      <w:r w:rsidR="00812371">
        <w:instrText xml:space="preserve"> XE "Tables:Canned Comment Category vs Option" </w:instrText>
      </w:r>
      <w:r w:rsidR="00812371">
        <w:fldChar w:fldCharType="end"/>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59"/>
      </w:tblGrid>
      <w:tr w:rsidR="00E73261" w:rsidRPr="009F2938" w14:paraId="0107EB4D" w14:textId="77777777" w:rsidTr="00E73261">
        <w:trPr>
          <w:cantSplit/>
          <w:trHeight w:val="20"/>
          <w:tblHeader/>
        </w:trPr>
        <w:tc>
          <w:tcPr>
            <w:tcW w:w="0" w:type="auto"/>
            <w:shd w:val="pct25" w:color="auto" w:fill="auto"/>
            <w:noWrap/>
            <w:vAlign w:val="bottom"/>
            <w:hideMark/>
          </w:tcPr>
          <w:p w14:paraId="7FAE9A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Canned Comment Category</w:t>
            </w:r>
          </w:p>
        </w:tc>
        <w:tc>
          <w:tcPr>
            <w:tcW w:w="0" w:type="auto"/>
            <w:shd w:val="pct25" w:color="auto" w:fill="auto"/>
            <w:vAlign w:val="bottom"/>
          </w:tcPr>
          <w:p w14:paraId="687C3B9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Option Appears In</w:t>
            </w:r>
          </w:p>
        </w:tc>
      </w:tr>
      <w:tr w:rsidR="00E73261" w:rsidRPr="009F2938" w14:paraId="027600B1" w14:textId="77777777" w:rsidTr="00E73261">
        <w:trPr>
          <w:cantSplit/>
          <w:trHeight w:val="20"/>
        </w:trPr>
        <w:tc>
          <w:tcPr>
            <w:tcW w:w="0" w:type="auto"/>
            <w:shd w:val="clear" w:color="auto" w:fill="auto"/>
            <w:noWrap/>
            <w:vAlign w:val="bottom"/>
            <w:hideMark/>
          </w:tcPr>
          <w:p w14:paraId="27DAA6B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 Incompatible Issue</w:t>
            </w:r>
          </w:p>
        </w:tc>
        <w:tc>
          <w:tcPr>
            <w:tcW w:w="0" w:type="auto"/>
            <w:vAlign w:val="bottom"/>
          </w:tcPr>
          <w:p w14:paraId="0A3A87BC" w14:textId="77777777" w:rsidR="00E73261" w:rsidRPr="00ED5636" w:rsidRDefault="00E73261" w:rsidP="00E73261">
            <w:pPr>
              <w:rPr>
                <w:rFonts w:ascii="Arial" w:hAnsi="Arial" w:cs="Arial"/>
                <w:color w:val="000000"/>
                <w:sz w:val="18"/>
                <w:szCs w:val="18"/>
              </w:rPr>
            </w:pPr>
            <w:r w:rsidRPr="00ED5636">
              <w:rPr>
                <w:rFonts w:ascii="Arial" w:hAnsi="Arial" w:cs="Arial"/>
                <w:sz w:val="18"/>
                <w:szCs w:val="18"/>
              </w:rPr>
              <w:t>ABO Incompatible Unit Transfused override during Issue Unit</w:t>
            </w:r>
          </w:p>
        </w:tc>
      </w:tr>
      <w:tr w:rsidR="00CC6656" w:rsidRPr="009F2938" w14:paraId="4FC93BC5" w14:textId="77777777" w:rsidTr="00E73261">
        <w:trPr>
          <w:cantSplit/>
          <w:trHeight w:val="20"/>
        </w:trPr>
        <w:tc>
          <w:tcPr>
            <w:tcW w:w="0" w:type="auto"/>
            <w:shd w:val="clear" w:color="auto" w:fill="auto"/>
            <w:noWrap/>
            <w:vAlign w:val="bottom"/>
          </w:tcPr>
          <w:p w14:paraId="040549C7" w14:textId="77777777" w:rsidR="00CC6656" w:rsidRPr="00ED5636" w:rsidRDefault="00CC6656" w:rsidP="00E73261">
            <w:pPr>
              <w:rPr>
                <w:rFonts w:ascii="Arial" w:hAnsi="Arial" w:cs="Arial"/>
                <w:color w:val="000000"/>
                <w:sz w:val="18"/>
                <w:szCs w:val="18"/>
              </w:rPr>
            </w:pPr>
            <w:r w:rsidRPr="00CC6656">
              <w:rPr>
                <w:rFonts w:ascii="Arial" w:hAnsi="Arial" w:cs="Arial"/>
                <w:color w:val="000000"/>
                <w:sz w:val="18"/>
                <w:szCs w:val="18"/>
              </w:rPr>
              <w:t>Automated Testing Review</w:t>
            </w:r>
          </w:p>
        </w:tc>
        <w:tc>
          <w:tcPr>
            <w:tcW w:w="0" w:type="auto"/>
            <w:vAlign w:val="bottom"/>
          </w:tcPr>
          <w:p w14:paraId="59EC0D5B" w14:textId="77777777" w:rsidR="00CC6656" w:rsidRPr="00ED5636" w:rsidRDefault="00797E11" w:rsidP="00D323CF">
            <w:pPr>
              <w:rPr>
                <w:rFonts w:ascii="Arial" w:hAnsi="Arial" w:cs="Arial"/>
                <w:sz w:val="18"/>
                <w:szCs w:val="18"/>
              </w:rPr>
            </w:pPr>
            <w:r>
              <w:rPr>
                <w:rFonts w:ascii="Arial" w:hAnsi="Arial" w:cs="Arial"/>
                <w:sz w:val="18"/>
                <w:szCs w:val="18"/>
              </w:rPr>
              <w:t>Automated Testing</w:t>
            </w:r>
          </w:p>
        </w:tc>
      </w:tr>
      <w:tr w:rsidR="00E73261" w:rsidRPr="009F2938" w14:paraId="4C0ED45F" w14:textId="77777777" w:rsidTr="00E73261">
        <w:trPr>
          <w:cantSplit/>
          <w:trHeight w:val="20"/>
        </w:trPr>
        <w:tc>
          <w:tcPr>
            <w:tcW w:w="0" w:type="auto"/>
            <w:shd w:val="clear" w:color="auto" w:fill="auto"/>
            <w:noWrap/>
            <w:vAlign w:val="bottom"/>
            <w:hideMark/>
          </w:tcPr>
          <w:p w14:paraId="7606D41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Crossmatch</w:t>
            </w:r>
          </w:p>
        </w:tc>
        <w:tc>
          <w:tcPr>
            <w:tcW w:w="0" w:type="auto"/>
            <w:vAlign w:val="bottom"/>
          </w:tcPr>
          <w:p w14:paraId="7F03B39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“G” (Give with Medical Director Approval) compatibility Override</w:t>
            </w:r>
          </w:p>
        </w:tc>
      </w:tr>
      <w:tr w:rsidR="00E73261" w:rsidRPr="009F2938" w14:paraId="4728529F" w14:textId="77777777" w:rsidTr="00E73261">
        <w:trPr>
          <w:cantSplit/>
          <w:trHeight w:val="20"/>
        </w:trPr>
        <w:tc>
          <w:tcPr>
            <w:tcW w:w="0" w:type="auto"/>
            <w:shd w:val="clear" w:color="auto" w:fill="auto"/>
            <w:noWrap/>
            <w:vAlign w:val="bottom"/>
            <w:hideMark/>
          </w:tcPr>
          <w:p w14:paraId="6FF612D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Incoming Shipment</w:t>
            </w:r>
          </w:p>
        </w:tc>
        <w:tc>
          <w:tcPr>
            <w:tcW w:w="0" w:type="auto"/>
            <w:vAlign w:val="bottom"/>
          </w:tcPr>
          <w:p w14:paraId="4E3E4D4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Expired Unit Received override</w:t>
            </w:r>
          </w:p>
        </w:tc>
      </w:tr>
      <w:tr w:rsidR="00E73261" w:rsidRPr="00836B93" w14:paraId="415EF029" w14:textId="77777777" w:rsidTr="00E73261">
        <w:trPr>
          <w:cantSplit/>
          <w:trHeight w:val="20"/>
        </w:trPr>
        <w:tc>
          <w:tcPr>
            <w:tcW w:w="0" w:type="auto"/>
            <w:shd w:val="clear" w:color="auto" w:fill="auto"/>
            <w:noWrap/>
            <w:vAlign w:val="bottom"/>
            <w:hideMark/>
          </w:tcPr>
          <w:p w14:paraId="70F67AD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Change</w:t>
            </w:r>
          </w:p>
        </w:tc>
        <w:tc>
          <w:tcPr>
            <w:tcW w:w="0" w:type="auto"/>
            <w:vAlign w:val="bottom"/>
          </w:tcPr>
          <w:p w14:paraId="3AD2BB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028353D5" w14:textId="77777777" w:rsidTr="00E73261">
        <w:trPr>
          <w:cantSplit/>
          <w:trHeight w:val="20"/>
        </w:trPr>
        <w:tc>
          <w:tcPr>
            <w:tcW w:w="0" w:type="auto"/>
            <w:shd w:val="clear" w:color="auto" w:fill="auto"/>
            <w:noWrap/>
            <w:vAlign w:val="bottom"/>
            <w:hideMark/>
          </w:tcPr>
          <w:p w14:paraId="72303A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Discrepancy</w:t>
            </w:r>
          </w:p>
        </w:tc>
        <w:tc>
          <w:tcPr>
            <w:tcW w:w="0" w:type="auto"/>
            <w:vAlign w:val="bottom"/>
          </w:tcPr>
          <w:p w14:paraId="3F35802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Override to accept a real blood type when the testing is Inconclusive with a previous blood type on file.</w:t>
            </w:r>
          </w:p>
        </w:tc>
      </w:tr>
      <w:tr w:rsidR="00E73261" w:rsidRPr="00836B93" w14:paraId="3E7BACF0" w14:textId="77777777" w:rsidTr="00E73261">
        <w:trPr>
          <w:cantSplit/>
          <w:trHeight w:val="20"/>
        </w:trPr>
        <w:tc>
          <w:tcPr>
            <w:tcW w:w="0" w:type="auto"/>
            <w:shd w:val="clear" w:color="auto" w:fill="auto"/>
            <w:noWrap/>
            <w:vAlign w:val="bottom"/>
            <w:hideMark/>
          </w:tcPr>
          <w:p w14:paraId="0333D42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Cancellation</w:t>
            </w:r>
          </w:p>
        </w:tc>
        <w:tc>
          <w:tcPr>
            <w:tcW w:w="0" w:type="auto"/>
            <w:vAlign w:val="bottom"/>
          </w:tcPr>
          <w:p w14:paraId="765F3B8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59A57F27" w14:textId="77777777" w:rsidTr="00E73261">
        <w:trPr>
          <w:cantSplit/>
          <w:trHeight w:val="20"/>
        </w:trPr>
        <w:tc>
          <w:tcPr>
            <w:tcW w:w="0" w:type="auto"/>
            <w:shd w:val="clear" w:color="auto" w:fill="auto"/>
            <w:noWrap/>
            <w:vAlign w:val="bottom"/>
            <w:hideMark/>
          </w:tcPr>
          <w:p w14:paraId="29A651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Processing</w:t>
            </w:r>
          </w:p>
        </w:tc>
        <w:tc>
          <w:tcPr>
            <w:tcW w:w="0" w:type="auto"/>
            <w:vAlign w:val="bottom"/>
          </w:tcPr>
          <w:p w14:paraId="6CA38E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47481233" w14:textId="77777777" w:rsidTr="00E73261">
        <w:trPr>
          <w:cantSplit/>
          <w:trHeight w:val="20"/>
        </w:trPr>
        <w:tc>
          <w:tcPr>
            <w:tcW w:w="0" w:type="auto"/>
            <w:shd w:val="clear" w:color="auto" w:fill="auto"/>
            <w:noWrap/>
            <w:vAlign w:val="bottom"/>
            <w:hideMark/>
          </w:tcPr>
          <w:p w14:paraId="3D0BE2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Parameter Setting Change</w:t>
            </w:r>
          </w:p>
        </w:tc>
        <w:tc>
          <w:tcPr>
            <w:tcW w:w="0" w:type="auto"/>
            <w:vAlign w:val="bottom"/>
          </w:tcPr>
          <w:p w14:paraId="0BF168A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the configure division options</w:t>
            </w:r>
          </w:p>
        </w:tc>
      </w:tr>
      <w:tr w:rsidR="00E73261" w:rsidRPr="00836B93" w14:paraId="21679F64" w14:textId="77777777" w:rsidTr="00E73261">
        <w:trPr>
          <w:cantSplit/>
          <w:trHeight w:val="20"/>
        </w:trPr>
        <w:tc>
          <w:tcPr>
            <w:tcW w:w="0" w:type="auto"/>
            <w:shd w:val="clear" w:color="auto" w:fill="auto"/>
            <w:noWrap/>
            <w:vAlign w:val="bottom"/>
            <w:hideMark/>
          </w:tcPr>
          <w:p w14:paraId="32EF185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Patient Testing</w:t>
            </w:r>
          </w:p>
        </w:tc>
        <w:tc>
          <w:tcPr>
            <w:tcW w:w="0" w:type="auto"/>
            <w:vAlign w:val="bottom"/>
          </w:tcPr>
          <w:p w14:paraId="1985144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patient test grid comment boxes including crossmatch test and ABID comment, TRW Serologic test entry. Invalidate patient testing in grid and option. Discrepant Repeat ABO/Rh Typing override.</w:t>
            </w:r>
          </w:p>
        </w:tc>
      </w:tr>
      <w:tr w:rsidR="00E73261" w:rsidRPr="00836B93" w14:paraId="59C56719" w14:textId="77777777" w:rsidTr="00E73261">
        <w:trPr>
          <w:cantSplit/>
          <w:trHeight w:val="20"/>
        </w:trPr>
        <w:tc>
          <w:tcPr>
            <w:tcW w:w="0" w:type="auto"/>
            <w:shd w:val="clear" w:color="auto" w:fill="auto"/>
            <w:noWrap/>
            <w:vAlign w:val="bottom"/>
            <w:hideMark/>
          </w:tcPr>
          <w:p w14:paraId="1F5A90A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Quarantine/Discard</w:t>
            </w:r>
          </w:p>
        </w:tc>
        <w:tc>
          <w:tcPr>
            <w:tcW w:w="0" w:type="auto"/>
            <w:vAlign w:val="bottom"/>
          </w:tcPr>
          <w:p w14:paraId="706B2709" w14:textId="7BAEACF8" w:rsidR="00E73261" w:rsidRPr="00ED5636" w:rsidRDefault="006549B7" w:rsidP="00E73261">
            <w:pPr>
              <w:rPr>
                <w:rFonts w:ascii="Arial" w:hAnsi="Arial" w:cs="Arial"/>
                <w:color w:val="000000"/>
                <w:sz w:val="18"/>
                <w:szCs w:val="18"/>
              </w:rPr>
            </w:pPr>
            <w:r w:rsidRPr="00ED5636">
              <w:rPr>
                <w:rFonts w:ascii="Arial" w:hAnsi="Arial" w:cs="Arial"/>
                <w:color w:val="000000"/>
                <w:sz w:val="18"/>
                <w:szCs w:val="18"/>
              </w:rPr>
              <w:t>Discard, Quarantine</w:t>
            </w:r>
          </w:p>
        </w:tc>
      </w:tr>
      <w:tr w:rsidR="00E73261" w:rsidRPr="00836B93" w14:paraId="23ADF45F" w14:textId="77777777" w:rsidTr="00E73261">
        <w:trPr>
          <w:cantSplit/>
          <w:trHeight w:val="20"/>
        </w:trPr>
        <w:tc>
          <w:tcPr>
            <w:tcW w:w="0" w:type="auto"/>
            <w:shd w:val="clear" w:color="auto" w:fill="auto"/>
            <w:noWrap/>
            <w:vAlign w:val="bottom"/>
            <w:hideMark/>
          </w:tcPr>
          <w:p w14:paraId="05111A6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Reagent and Supply</w:t>
            </w:r>
          </w:p>
        </w:tc>
        <w:tc>
          <w:tcPr>
            <w:tcW w:w="0" w:type="auto"/>
            <w:vAlign w:val="bottom"/>
          </w:tcPr>
          <w:p w14:paraId="7C2E9F9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Enter Reagents, when unacceptable, when unacceptable, QC overrides</w:t>
            </w:r>
          </w:p>
        </w:tc>
      </w:tr>
      <w:tr w:rsidR="00E73261" w:rsidRPr="00836B93" w14:paraId="6982B84F" w14:textId="77777777" w:rsidTr="00E73261">
        <w:trPr>
          <w:cantSplit/>
          <w:trHeight w:val="20"/>
        </w:trPr>
        <w:tc>
          <w:tcPr>
            <w:tcW w:w="0" w:type="auto"/>
            <w:shd w:val="clear" w:color="auto" w:fill="auto"/>
            <w:noWrap/>
            <w:vAlign w:val="bottom"/>
            <w:hideMark/>
          </w:tcPr>
          <w:p w14:paraId="6384AC1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c>
          <w:tcPr>
            <w:tcW w:w="0" w:type="auto"/>
            <w:vAlign w:val="bottom"/>
          </w:tcPr>
          <w:p w14:paraId="73CBB8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r>
      <w:tr w:rsidR="00E73261" w:rsidRPr="00836B93" w14:paraId="2DA353FE" w14:textId="77777777" w:rsidTr="00E73261">
        <w:trPr>
          <w:cantSplit/>
          <w:trHeight w:val="20"/>
        </w:trPr>
        <w:tc>
          <w:tcPr>
            <w:tcW w:w="0" w:type="auto"/>
            <w:shd w:val="clear" w:color="auto" w:fill="auto"/>
            <w:noWrap/>
            <w:vAlign w:val="bottom"/>
            <w:hideMark/>
          </w:tcPr>
          <w:p w14:paraId="56E5A8E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Reason for Release</w:t>
            </w:r>
          </w:p>
        </w:tc>
        <w:tc>
          <w:tcPr>
            <w:tcW w:w="0" w:type="auto"/>
            <w:vAlign w:val="bottom"/>
          </w:tcPr>
          <w:p w14:paraId="438DAF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unit from assignment</w:t>
            </w:r>
          </w:p>
        </w:tc>
      </w:tr>
      <w:tr w:rsidR="00E73261" w:rsidRPr="00836B93" w14:paraId="647D9C6B" w14:textId="77777777" w:rsidTr="00E73261">
        <w:trPr>
          <w:cantSplit/>
          <w:trHeight w:val="20"/>
        </w:trPr>
        <w:tc>
          <w:tcPr>
            <w:tcW w:w="0" w:type="auto"/>
            <w:shd w:val="clear" w:color="auto" w:fill="auto"/>
            <w:noWrap/>
            <w:vAlign w:val="bottom"/>
            <w:hideMark/>
          </w:tcPr>
          <w:p w14:paraId="6DDA0DE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 Inactivation</w:t>
            </w:r>
          </w:p>
        </w:tc>
        <w:tc>
          <w:tcPr>
            <w:tcW w:w="0" w:type="auto"/>
            <w:vAlign w:val="bottom"/>
          </w:tcPr>
          <w:p w14:paraId="6153BC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when inactivating an SI entry.</w:t>
            </w:r>
          </w:p>
        </w:tc>
      </w:tr>
      <w:tr w:rsidR="00E73261" w:rsidRPr="00836B93" w14:paraId="0DA42C15" w14:textId="77777777" w:rsidTr="00E73261">
        <w:trPr>
          <w:cantSplit/>
          <w:trHeight w:val="20"/>
        </w:trPr>
        <w:tc>
          <w:tcPr>
            <w:tcW w:w="0" w:type="auto"/>
            <w:shd w:val="clear" w:color="auto" w:fill="auto"/>
            <w:noWrap/>
            <w:vAlign w:val="bottom"/>
            <w:hideMark/>
          </w:tcPr>
          <w:p w14:paraId="41E6A05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Instructions</w:t>
            </w:r>
          </w:p>
        </w:tc>
        <w:tc>
          <w:tcPr>
            <w:tcW w:w="0" w:type="auto"/>
            <w:vAlign w:val="bottom"/>
          </w:tcPr>
          <w:p w14:paraId="47A12F6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actual message is considered a canned comment.</w:t>
            </w:r>
          </w:p>
        </w:tc>
      </w:tr>
      <w:tr w:rsidR="00E73261" w:rsidRPr="00836B93" w14:paraId="5C2F26A9" w14:textId="77777777" w:rsidTr="00E73261">
        <w:trPr>
          <w:cantSplit/>
          <w:trHeight w:val="20"/>
        </w:trPr>
        <w:tc>
          <w:tcPr>
            <w:tcW w:w="0" w:type="auto"/>
            <w:shd w:val="clear" w:color="auto" w:fill="auto"/>
            <w:noWrap/>
            <w:vAlign w:val="bottom"/>
            <w:hideMark/>
          </w:tcPr>
          <w:p w14:paraId="6E3BD4C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Extension</w:t>
            </w:r>
          </w:p>
        </w:tc>
        <w:tc>
          <w:tcPr>
            <w:tcW w:w="0" w:type="auto"/>
            <w:vAlign w:val="bottom"/>
          </w:tcPr>
          <w:p w14:paraId="085FBF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Maintain specimen</w:t>
            </w:r>
          </w:p>
        </w:tc>
      </w:tr>
      <w:tr w:rsidR="00E73261" w:rsidRPr="00836B93" w14:paraId="7399A7C7" w14:textId="77777777" w:rsidTr="00E73261">
        <w:trPr>
          <w:cantSplit/>
          <w:trHeight w:val="20"/>
        </w:trPr>
        <w:tc>
          <w:tcPr>
            <w:tcW w:w="0" w:type="auto"/>
            <w:shd w:val="clear" w:color="auto" w:fill="auto"/>
            <w:noWrap/>
            <w:vAlign w:val="bottom"/>
            <w:hideMark/>
          </w:tcPr>
          <w:p w14:paraId="17EAFC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General</w:t>
            </w:r>
          </w:p>
        </w:tc>
        <w:tc>
          <w:tcPr>
            <w:tcW w:w="0" w:type="auto"/>
            <w:vAlign w:val="bottom"/>
          </w:tcPr>
          <w:p w14:paraId="2CD49D0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2D965B65" w14:textId="77777777" w:rsidTr="00E73261">
        <w:trPr>
          <w:cantSplit/>
          <w:trHeight w:val="20"/>
        </w:trPr>
        <w:tc>
          <w:tcPr>
            <w:tcW w:w="0" w:type="auto"/>
            <w:shd w:val="clear" w:color="auto" w:fill="auto"/>
            <w:noWrap/>
            <w:vAlign w:val="bottom"/>
            <w:hideMark/>
          </w:tcPr>
          <w:p w14:paraId="68C676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Processing</w:t>
            </w:r>
          </w:p>
        </w:tc>
        <w:tc>
          <w:tcPr>
            <w:tcW w:w="0" w:type="auto"/>
            <w:vAlign w:val="bottom"/>
          </w:tcPr>
          <w:p w14:paraId="20A9CF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6B481C4D" w14:textId="77777777" w:rsidTr="00E73261">
        <w:trPr>
          <w:cantSplit/>
          <w:trHeight w:val="20"/>
        </w:trPr>
        <w:tc>
          <w:tcPr>
            <w:tcW w:w="0" w:type="auto"/>
            <w:shd w:val="clear" w:color="auto" w:fill="auto"/>
            <w:noWrap/>
            <w:vAlign w:val="bottom"/>
            <w:hideMark/>
          </w:tcPr>
          <w:p w14:paraId="7C3CFCB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Unacceptable</w:t>
            </w:r>
          </w:p>
        </w:tc>
        <w:tc>
          <w:tcPr>
            <w:tcW w:w="0" w:type="auto"/>
            <w:vAlign w:val="bottom"/>
          </w:tcPr>
          <w:p w14:paraId="4AB70BA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15B5822E" w14:textId="77777777" w:rsidTr="00E73261">
        <w:trPr>
          <w:cantSplit/>
          <w:trHeight w:val="20"/>
        </w:trPr>
        <w:tc>
          <w:tcPr>
            <w:tcW w:w="0" w:type="auto"/>
            <w:shd w:val="clear" w:color="auto" w:fill="auto"/>
            <w:noWrap/>
            <w:vAlign w:val="bottom"/>
            <w:hideMark/>
          </w:tcPr>
          <w:p w14:paraId="4872AD1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Processing</w:t>
            </w:r>
          </w:p>
        </w:tc>
        <w:tc>
          <w:tcPr>
            <w:tcW w:w="0" w:type="auto"/>
            <w:vAlign w:val="bottom"/>
          </w:tcPr>
          <w:p w14:paraId="7267DD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 transfusion data</w:t>
            </w:r>
          </w:p>
        </w:tc>
      </w:tr>
      <w:tr w:rsidR="00E73261" w:rsidRPr="00836B93" w14:paraId="1E668BA8" w14:textId="77777777" w:rsidTr="00E73261">
        <w:trPr>
          <w:cantSplit/>
          <w:trHeight w:val="20"/>
        </w:trPr>
        <w:tc>
          <w:tcPr>
            <w:tcW w:w="0" w:type="auto"/>
            <w:shd w:val="clear" w:color="auto" w:fill="auto"/>
            <w:noWrap/>
            <w:vAlign w:val="bottom"/>
            <w:hideMark/>
          </w:tcPr>
          <w:p w14:paraId="6F4FDDD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Reaction Workup</w:t>
            </w:r>
          </w:p>
        </w:tc>
        <w:tc>
          <w:tcPr>
            <w:tcW w:w="0" w:type="auto"/>
            <w:vAlign w:val="bottom"/>
          </w:tcPr>
          <w:p w14:paraId="65FFB8E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Finalization Canned Comment</w:t>
            </w:r>
          </w:p>
        </w:tc>
      </w:tr>
      <w:tr w:rsidR="00E73261" w:rsidRPr="00836B93" w14:paraId="3A263141" w14:textId="77777777" w:rsidTr="00E73261">
        <w:trPr>
          <w:cantSplit/>
          <w:trHeight w:val="20"/>
        </w:trPr>
        <w:tc>
          <w:tcPr>
            <w:tcW w:w="0" w:type="auto"/>
            <w:shd w:val="clear" w:color="auto" w:fill="auto"/>
            <w:noWrap/>
            <w:vAlign w:val="bottom"/>
            <w:hideMark/>
          </w:tcPr>
          <w:p w14:paraId="5F0875E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Required</w:t>
            </w:r>
          </w:p>
        </w:tc>
        <w:tc>
          <w:tcPr>
            <w:tcW w:w="0" w:type="auto"/>
            <w:vAlign w:val="bottom"/>
          </w:tcPr>
          <w:p w14:paraId="62A0493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7A0BFD61" w14:textId="77777777" w:rsidTr="00E73261">
        <w:trPr>
          <w:cantSplit/>
          <w:trHeight w:val="20"/>
        </w:trPr>
        <w:tc>
          <w:tcPr>
            <w:tcW w:w="0" w:type="auto"/>
            <w:shd w:val="clear" w:color="auto" w:fill="auto"/>
            <w:noWrap/>
            <w:vAlign w:val="bottom"/>
            <w:hideMark/>
          </w:tcPr>
          <w:p w14:paraId="663C55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Pre-Transfusion Specimen Checks</w:t>
            </w:r>
          </w:p>
        </w:tc>
        <w:tc>
          <w:tcPr>
            <w:tcW w:w="0" w:type="auto"/>
            <w:vAlign w:val="bottom"/>
          </w:tcPr>
          <w:p w14:paraId="33B3212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pre is marked not available</w:t>
            </w:r>
          </w:p>
        </w:tc>
      </w:tr>
      <w:tr w:rsidR="00E73261" w:rsidRPr="00836B93" w14:paraId="2996EABC" w14:textId="77777777" w:rsidTr="00E73261">
        <w:trPr>
          <w:cantSplit/>
          <w:trHeight w:val="20"/>
        </w:trPr>
        <w:tc>
          <w:tcPr>
            <w:tcW w:w="0" w:type="auto"/>
            <w:shd w:val="clear" w:color="auto" w:fill="auto"/>
            <w:noWrap/>
            <w:vAlign w:val="bottom"/>
            <w:hideMark/>
          </w:tcPr>
          <w:p w14:paraId="39046A2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Post-Transfusion Specimen Checks</w:t>
            </w:r>
          </w:p>
        </w:tc>
        <w:tc>
          <w:tcPr>
            <w:tcW w:w="0" w:type="auto"/>
            <w:vAlign w:val="bottom"/>
          </w:tcPr>
          <w:p w14:paraId="7968191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post is marked not available</w:t>
            </w:r>
          </w:p>
        </w:tc>
      </w:tr>
      <w:tr w:rsidR="00E73261" w:rsidRPr="00836B93" w14:paraId="5C88B4C8" w14:textId="77777777" w:rsidTr="00E73261">
        <w:trPr>
          <w:cantSplit/>
          <w:trHeight w:val="20"/>
        </w:trPr>
        <w:tc>
          <w:tcPr>
            <w:tcW w:w="0" w:type="auto"/>
            <w:shd w:val="clear" w:color="auto" w:fill="auto"/>
            <w:noWrap/>
            <w:vAlign w:val="bottom"/>
            <w:hideMark/>
          </w:tcPr>
          <w:p w14:paraId="1DB7F97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Implicated Units</w:t>
            </w:r>
          </w:p>
        </w:tc>
        <w:tc>
          <w:tcPr>
            <w:tcW w:w="0" w:type="auto"/>
          </w:tcPr>
          <w:p w14:paraId="35E991BC"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0333F7C0" w14:textId="77777777" w:rsidTr="00E73261">
        <w:trPr>
          <w:cantSplit/>
          <w:trHeight w:val="20"/>
        </w:trPr>
        <w:tc>
          <w:tcPr>
            <w:tcW w:w="0" w:type="auto"/>
            <w:shd w:val="clear" w:color="auto" w:fill="auto"/>
            <w:noWrap/>
            <w:vAlign w:val="bottom"/>
            <w:hideMark/>
          </w:tcPr>
          <w:p w14:paraId="038C548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Symptom Details</w:t>
            </w:r>
          </w:p>
        </w:tc>
        <w:tc>
          <w:tcPr>
            <w:tcW w:w="0" w:type="auto"/>
          </w:tcPr>
          <w:p w14:paraId="399423F3"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4FB09124" w14:textId="77777777" w:rsidTr="00E73261">
        <w:trPr>
          <w:cantSplit/>
          <w:trHeight w:val="20"/>
        </w:trPr>
        <w:tc>
          <w:tcPr>
            <w:tcW w:w="0" w:type="auto"/>
            <w:shd w:val="clear" w:color="auto" w:fill="auto"/>
            <w:noWrap/>
            <w:vAlign w:val="bottom"/>
            <w:hideMark/>
          </w:tcPr>
          <w:p w14:paraId="7BB4256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Blood Bag Not Returned</w:t>
            </w:r>
          </w:p>
        </w:tc>
        <w:tc>
          <w:tcPr>
            <w:tcW w:w="0" w:type="auto"/>
            <w:vAlign w:val="bottom"/>
          </w:tcPr>
          <w:p w14:paraId="490B405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not returned.</w:t>
            </w:r>
          </w:p>
        </w:tc>
      </w:tr>
      <w:tr w:rsidR="00E73261" w:rsidRPr="00836B93" w14:paraId="4C73C0FA" w14:textId="77777777" w:rsidTr="00E73261">
        <w:trPr>
          <w:cantSplit/>
          <w:trHeight w:val="20"/>
        </w:trPr>
        <w:tc>
          <w:tcPr>
            <w:tcW w:w="0" w:type="auto"/>
            <w:shd w:val="clear" w:color="auto" w:fill="auto"/>
            <w:noWrap/>
            <w:vAlign w:val="bottom"/>
            <w:hideMark/>
          </w:tcPr>
          <w:p w14:paraId="43BCE0C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Clerical Checks Failed</w:t>
            </w:r>
          </w:p>
        </w:tc>
        <w:tc>
          <w:tcPr>
            <w:tcW w:w="0" w:type="auto"/>
            <w:vAlign w:val="bottom"/>
          </w:tcPr>
          <w:p w14:paraId="40071B5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specimen is marked available</w:t>
            </w:r>
          </w:p>
          <w:p w14:paraId="6BAFA5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returned</w:t>
            </w:r>
          </w:p>
        </w:tc>
      </w:tr>
      <w:tr w:rsidR="00E73261" w:rsidRPr="00836B93" w14:paraId="693E9512" w14:textId="77777777" w:rsidTr="00E73261">
        <w:trPr>
          <w:cantSplit/>
          <w:trHeight w:val="20"/>
        </w:trPr>
        <w:tc>
          <w:tcPr>
            <w:tcW w:w="0" w:type="auto"/>
            <w:shd w:val="clear" w:color="auto" w:fill="auto"/>
            <w:noWrap/>
            <w:vAlign w:val="bottom"/>
            <w:hideMark/>
          </w:tcPr>
          <w:p w14:paraId="0FBF1CA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Requirement Inactivation</w:t>
            </w:r>
          </w:p>
        </w:tc>
        <w:tc>
          <w:tcPr>
            <w:tcW w:w="0" w:type="auto"/>
            <w:vAlign w:val="bottom"/>
          </w:tcPr>
          <w:p w14:paraId="31BAE06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 tabs, including antigen negative requirement, Transfusion requirement and antibody identified tabs.</w:t>
            </w:r>
          </w:p>
        </w:tc>
      </w:tr>
      <w:tr w:rsidR="00E73261" w:rsidRPr="00836B93" w14:paraId="3D424E7E" w14:textId="77777777" w:rsidTr="00E73261">
        <w:trPr>
          <w:cantSplit/>
          <w:trHeight w:val="20"/>
        </w:trPr>
        <w:tc>
          <w:tcPr>
            <w:tcW w:w="0" w:type="auto"/>
            <w:shd w:val="clear" w:color="auto" w:fill="auto"/>
            <w:noWrap/>
            <w:vAlign w:val="bottom"/>
            <w:hideMark/>
          </w:tcPr>
          <w:p w14:paraId="20E9B75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Inactivation</w:t>
            </w:r>
          </w:p>
        </w:tc>
        <w:tc>
          <w:tcPr>
            <w:tcW w:w="0" w:type="auto"/>
          </w:tcPr>
          <w:p w14:paraId="412B82B6" w14:textId="77777777" w:rsidR="00E73261" w:rsidRPr="00ED5636" w:rsidRDefault="0055121B" w:rsidP="00E73261">
            <w:pPr>
              <w:rPr>
                <w:rFonts w:ascii="Arial" w:hAnsi="Arial" w:cs="Arial"/>
                <w:sz w:val="18"/>
                <w:szCs w:val="18"/>
              </w:rPr>
            </w:pPr>
            <w:r>
              <w:rPr>
                <w:rFonts w:ascii="Arial" w:hAnsi="Arial" w:cs="Arial"/>
                <w:color w:val="000000"/>
                <w:sz w:val="18"/>
                <w:szCs w:val="18"/>
              </w:rPr>
              <w:t>Edit Unit Information.</w:t>
            </w:r>
          </w:p>
        </w:tc>
      </w:tr>
      <w:tr w:rsidR="00E73261" w:rsidRPr="00836B93" w14:paraId="0713765E" w14:textId="77777777" w:rsidTr="00E73261">
        <w:trPr>
          <w:cantSplit/>
          <w:trHeight w:val="20"/>
        </w:trPr>
        <w:tc>
          <w:tcPr>
            <w:tcW w:w="0" w:type="auto"/>
            <w:shd w:val="clear" w:color="auto" w:fill="auto"/>
            <w:noWrap/>
            <w:vAlign w:val="bottom"/>
            <w:hideMark/>
          </w:tcPr>
          <w:p w14:paraId="33CA117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Data Invalidation</w:t>
            </w:r>
          </w:p>
        </w:tc>
        <w:tc>
          <w:tcPr>
            <w:tcW w:w="0" w:type="auto"/>
          </w:tcPr>
          <w:p w14:paraId="6A0CC5F7"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79470989" w14:textId="77777777" w:rsidTr="00E73261">
        <w:trPr>
          <w:cantSplit/>
          <w:trHeight w:val="20"/>
        </w:trPr>
        <w:tc>
          <w:tcPr>
            <w:tcW w:w="0" w:type="auto"/>
            <w:shd w:val="clear" w:color="auto" w:fill="auto"/>
            <w:noWrap/>
            <w:vAlign w:val="bottom"/>
            <w:hideMark/>
          </w:tcPr>
          <w:p w14:paraId="10B09B4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w:t>
            </w:r>
          </w:p>
        </w:tc>
        <w:tc>
          <w:tcPr>
            <w:tcW w:w="0" w:type="auto"/>
            <w:vAlign w:val="bottom"/>
          </w:tcPr>
          <w:p w14:paraId="62412C2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 Override for TR not satisfied.</w:t>
            </w:r>
          </w:p>
        </w:tc>
      </w:tr>
      <w:tr w:rsidR="00E73261" w:rsidRPr="00836B93" w14:paraId="70DA646F" w14:textId="77777777" w:rsidTr="00E73261">
        <w:trPr>
          <w:cantSplit/>
          <w:trHeight w:val="20"/>
        </w:trPr>
        <w:tc>
          <w:tcPr>
            <w:tcW w:w="0" w:type="auto"/>
            <w:shd w:val="clear" w:color="auto" w:fill="auto"/>
            <w:noWrap/>
            <w:vAlign w:val="bottom"/>
            <w:hideMark/>
          </w:tcPr>
          <w:p w14:paraId="3545D04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Modification</w:t>
            </w:r>
          </w:p>
        </w:tc>
        <w:tc>
          <w:tcPr>
            <w:tcW w:w="0" w:type="auto"/>
            <w:vAlign w:val="bottom"/>
          </w:tcPr>
          <w:p w14:paraId="5253B88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Any modification override</w:t>
            </w:r>
          </w:p>
        </w:tc>
      </w:tr>
      <w:tr w:rsidR="00E73261" w:rsidRPr="00836B93" w14:paraId="73F6CAA5" w14:textId="77777777" w:rsidTr="00E73261">
        <w:trPr>
          <w:cantSplit/>
          <w:trHeight w:val="20"/>
        </w:trPr>
        <w:tc>
          <w:tcPr>
            <w:tcW w:w="0" w:type="auto"/>
            <w:shd w:val="clear" w:color="auto" w:fill="auto"/>
            <w:noWrap/>
            <w:vAlign w:val="bottom"/>
            <w:hideMark/>
          </w:tcPr>
          <w:p w14:paraId="054BF74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Return</w:t>
            </w:r>
          </w:p>
        </w:tc>
        <w:tc>
          <w:tcPr>
            <w:tcW w:w="0" w:type="auto"/>
            <w:vAlign w:val="bottom"/>
          </w:tcPr>
          <w:p w14:paraId="4E5A297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Return unit from Issue when unit is marked unsatisfactory</w:t>
            </w:r>
          </w:p>
        </w:tc>
      </w:tr>
      <w:tr w:rsidR="00E73261" w:rsidRPr="00836B93" w14:paraId="3F1EA84A" w14:textId="77777777" w:rsidTr="00E73261">
        <w:trPr>
          <w:cantSplit/>
          <w:trHeight w:val="20"/>
        </w:trPr>
        <w:tc>
          <w:tcPr>
            <w:tcW w:w="0" w:type="auto"/>
            <w:shd w:val="clear" w:color="auto" w:fill="auto"/>
            <w:noWrap/>
            <w:vAlign w:val="bottom"/>
            <w:hideMark/>
          </w:tcPr>
          <w:p w14:paraId="5DC9102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Restriction</w:t>
            </w:r>
          </w:p>
        </w:tc>
        <w:tc>
          <w:tcPr>
            <w:tcW w:w="0" w:type="auto"/>
            <w:vAlign w:val="bottom"/>
          </w:tcPr>
          <w:p w14:paraId="057D9DE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2E133599" w14:textId="77777777" w:rsidTr="00E73261">
        <w:trPr>
          <w:cantSplit/>
          <w:trHeight w:val="20"/>
        </w:trPr>
        <w:tc>
          <w:tcPr>
            <w:tcW w:w="0" w:type="auto"/>
            <w:shd w:val="clear" w:color="auto" w:fill="auto"/>
            <w:noWrap/>
            <w:vAlign w:val="bottom"/>
            <w:hideMark/>
          </w:tcPr>
          <w:p w14:paraId="162AF9C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Selection</w:t>
            </w:r>
          </w:p>
        </w:tc>
        <w:tc>
          <w:tcPr>
            <w:tcW w:w="0" w:type="auto"/>
            <w:vAlign w:val="bottom"/>
          </w:tcPr>
          <w:p w14:paraId="09BCE11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Select Unit</w:t>
            </w:r>
          </w:p>
        </w:tc>
      </w:tr>
      <w:tr w:rsidR="00E73261" w:rsidRPr="00836B93" w14:paraId="6E21BCF6" w14:textId="77777777" w:rsidTr="00E73261">
        <w:trPr>
          <w:cantSplit/>
          <w:trHeight w:val="20"/>
        </w:trPr>
        <w:tc>
          <w:tcPr>
            <w:tcW w:w="0" w:type="auto"/>
            <w:shd w:val="clear" w:color="auto" w:fill="auto"/>
            <w:noWrap/>
            <w:vAlign w:val="bottom"/>
            <w:hideMark/>
          </w:tcPr>
          <w:p w14:paraId="31FC020E"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Status Removal</w:t>
            </w:r>
          </w:p>
        </w:tc>
        <w:tc>
          <w:tcPr>
            <w:tcW w:w="0" w:type="auto"/>
            <w:vAlign w:val="bottom"/>
          </w:tcPr>
          <w:p w14:paraId="2BE793E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 xml:space="preserve">Remove Final </w:t>
            </w:r>
            <w:r w:rsidR="0055121B">
              <w:rPr>
                <w:rFonts w:ascii="Arial" w:hAnsi="Arial" w:cs="Arial"/>
                <w:color w:val="000000"/>
                <w:sz w:val="18"/>
                <w:szCs w:val="18"/>
              </w:rPr>
              <w:t>Status</w:t>
            </w:r>
            <w:r w:rsidRPr="00ED5636">
              <w:rPr>
                <w:rFonts w:ascii="Arial" w:hAnsi="Arial" w:cs="Arial"/>
                <w:color w:val="000000"/>
                <w:sz w:val="18"/>
                <w:szCs w:val="18"/>
              </w:rPr>
              <w:t>, Inactivate unit</w:t>
            </w:r>
          </w:p>
        </w:tc>
      </w:tr>
      <w:tr w:rsidR="00E73261" w:rsidRPr="009F2938" w14:paraId="54C6378E" w14:textId="77777777" w:rsidTr="00E73261">
        <w:trPr>
          <w:cantSplit/>
          <w:trHeight w:val="20"/>
        </w:trPr>
        <w:tc>
          <w:tcPr>
            <w:tcW w:w="0" w:type="auto"/>
            <w:shd w:val="clear" w:color="auto" w:fill="auto"/>
            <w:noWrap/>
            <w:vAlign w:val="bottom"/>
            <w:hideMark/>
          </w:tcPr>
          <w:p w14:paraId="1F5B247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Testing</w:t>
            </w:r>
          </w:p>
        </w:tc>
        <w:tc>
          <w:tcPr>
            <w:tcW w:w="0" w:type="auto"/>
            <w:vAlign w:val="bottom"/>
          </w:tcPr>
          <w:p w14:paraId="0693209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ABO/RH confirmation and Unit Antigen Typing Testing</w:t>
            </w:r>
          </w:p>
          <w:p w14:paraId="5555B9D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Edit Unit Information (Invalidate test results and unit inactivation)</w:t>
            </w:r>
          </w:p>
        </w:tc>
      </w:tr>
    </w:tbl>
    <w:p w14:paraId="534E1801" w14:textId="15063988" w:rsidR="002A21AE" w:rsidRDefault="00ED5636" w:rsidP="00ED5636">
      <w:pPr>
        <w:pStyle w:val="Heading3"/>
      </w:pPr>
      <w:bookmarkStart w:id="613" w:name="_Toc91323799"/>
      <w:r>
        <w:rPr>
          <w:rFonts w:ascii="Geneva" w:hAnsi="Geneva"/>
        </w:rPr>
        <w:br w:type="page"/>
      </w:r>
      <w:r w:rsidR="002548EA">
        <w:rPr>
          <w:rFonts w:ascii="Geneva" w:hAnsi="Geneva"/>
          <w:vanish/>
        </w:rPr>
        <w:lastRenderedPageBreak/>
        <w:t>PT_1</w:t>
      </w:r>
      <w:r w:rsidR="002A21AE">
        <w:rPr>
          <w:rFonts w:ascii="Geneva" w:hAnsi="Geneva"/>
          <w:vanish/>
        </w:rPr>
        <w:t>.0</w:t>
      </w:r>
      <w:r w:rsidR="002548EA">
        <w:rPr>
          <w:rFonts w:ascii="Geneva" w:hAnsi="Geneva"/>
          <w:vanish/>
        </w:rPr>
        <w:t>6</w:t>
      </w:r>
      <w:r w:rsidR="002A21AE">
        <w:rPr>
          <w:rFonts w:ascii="Geneva" w:hAnsi="Geneva"/>
          <w:vanish/>
        </w:rPr>
        <w:t xml:space="preserve"> </w:t>
      </w:r>
      <w:bookmarkStart w:id="614" w:name="_Toc163645004"/>
      <w:r w:rsidR="002A21AE">
        <w:t>CPRS Orderable Blood Components (Component Classes) Mapped to ICCBBA Component Classes</w:t>
      </w:r>
      <w:bookmarkEnd w:id="613"/>
      <w:bookmarkEnd w:id="614"/>
      <w:r w:rsidR="002A21AE">
        <w:fldChar w:fldCharType="begin"/>
      </w:r>
      <w:r w:rsidR="002A21AE">
        <w:instrText xml:space="preserve"> XE </w:instrText>
      </w:r>
      <w:r w:rsidR="00FA7E65">
        <w:instrText>“</w:instrText>
      </w:r>
      <w:r w:rsidR="002A21AE">
        <w:instrText>Tables:CPRS Orderable Blood Components (Component Classes) Mapped to ICCBBA Component Classes</w:instrText>
      </w:r>
      <w:r w:rsidR="00FA7E65">
        <w:instrText>”</w:instrText>
      </w:r>
      <w:r w:rsidR="002A21AE">
        <w:instrText xml:space="preserve"> </w:instrText>
      </w:r>
      <w:r w:rsidR="002A21AE">
        <w:fldChar w:fldCharType="end"/>
      </w:r>
    </w:p>
    <w:p w14:paraId="75FBBAE6" w14:textId="2BEFCF93" w:rsidR="002A21AE" w:rsidRDefault="00EE455E" w:rsidP="00FA7E65">
      <w:pPr>
        <w:pStyle w:val="BodyText"/>
      </w:pPr>
      <w:r w:rsidRPr="00575E6D">
        <w:t xml:space="preserve">Table </w:t>
      </w:r>
      <w:r>
        <w:rPr>
          <w:noProof/>
        </w:rPr>
        <w:t>19</w:t>
      </w:r>
      <w:r w:rsidR="00E73261">
        <w:t xml:space="preserve"> </w:t>
      </w:r>
      <w:r w:rsidR="002A21AE">
        <w:t>is used to map the CPRS/</w:t>
      </w:r>
      <w:r w:rsidR="00CA6E27" w:rsidRPr="00CA6E27">
        <w:rPr>
          <w:bCs/>
        </w:rPr>
        <w:t>VistA</w:t>
      </w:r>
      <w:r w:rsidR="002A21AE">
        <w:t xml:space="preserve"> orderables available to clinicians to the ICCBBA component classes.</w:t>
      </w:r>
      <w:r w:rsidR="00F04185">
        <w:t xml:space="preserve"> </w:t>
      </w:r>
      <w:r w:rsidR="00203682">
        <w:t>(</w:t>
      </w:r>
      <w:r w:rsidR="00911CAF" w:rsidRPr="00911CAF">
        <w:rPr>
          <w:vanish/>
        </w:rPr>
        <w:t xml:space="preserve">DR 4481 </w:t>
      </w:r>
      <w:r w:rsidR="00911CAF">
        <w:t xml:space="preserve">See </w:t>
      </w:r>
      <w:r w:rsidR="00911CAF" w:rsidRPr="00423A7F">
        <w:rPr>
          <w:i/>
          <w:iCs/>
        </w:rPr>
        <w:t>FAQ VBECS Blood Product Hierarchy</w:t>
      </w:r>
      <w:r w:rsidR="00911CAF">
        <w:t xml:space="preserve"> for additional information.</w:t>
      </w:r>
      <w:r w:rsidR="00203682">
        <w:t>)</w:t>
      </w:r>
    </w:p>
    <w:p w14:paraId="553DEFE8" w14:textId="3D35B0BD" w:rsidR="002A21AE" w:rsidRDefault="002A21AE">
      <w:pPr>
        <w:pStyle w:val="Caption"/>
        <w:rPr>
          <w:rFonts w:ascii="Arial" w:hAnsi="Arial"/>
          <w:sz w:val="16"/>
        </w:rPr>
      </w:pPr>
      <w:bookmarkStart w:id="615" w:name="_Ref507069801"/>
      <w:bookmarkStart w:id="616" w:name="_Ref507152797"/>
      <w:r w:rsidRPr="00575E6D">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19</w:t>
      </w:r>
      <w:r w:rsidR="004E20BD">
        <w:rPr>
          <w:noProof/>
        </w:rPr>
        <w:fldChar w:fldCharType="end"/>
      </w:r>
      <w:bookmarkEnd w:id="615"/>
      <w:r w:rsidRPr="00575E6D">
        <w:t xml:space="preserve">: </w:t>
      </w:r>
      <w:r w:rsidRPr="00575E6D">
        <w:rPr>
          <w:vanish/>
        </w:rPr>
        <w:t>PT_</w:t>
      </w:r>
      <w:r w:rsidR="002548EA" w:rsidRPr="00575E6D">
        <w:rPr>
          <w:vanish/>
        </w:rPr>
        <w:t>1</w:t>
      </w:r>
      <w:r w:rsidRPr="00575E6D">
        <w:rPr>
          <w:vanish/>
        </w:rPr>
        <w:t>.0</w:t>
      </w:r>
      <w:r w:rsidR="002548EA" w:rsidRPr="00575E6D">
        <w:rPr>
          <w:vanish/>
        </w:rPr>
        <w:t>6</w:t>
      </w:r>
      <w:r w:rsidRPr="00575E6D">
        <w:rPr>
          <w:vanish/>
        </w:rPr>
        <w:t xml:space="preserve"> </w:t>
      </w:r>
      <w:r w:rsidRPr="00575E6D">
        <w:t>CPRS Orderable Blood Components (Component Classes) Mapped to ICCBBA Component Classes</w:t>
      </w:r>
      <w:bookmarkEnd w:id="616"/>
    </w:p>
    <w:tbl>
      <w:tblPr>
        <w:tblW w:w="7128" w:type="dxa"/>
        <w:tblInd w:w="604" w:type="dxa"/>
        <w:tblCellMar>
          <w:left w:w="0" w:type="dxa"/>
          <w:right w:w="0" w:type="dxa"/>
        </w:tblCellMar>
        <w:tblLook w:val="04A0" w:firstRow="1" w:lastRow="0" w:firstColumn="1" w:lastColumn="0" w:noHBand="0" w:noVBand="1"/>
      </w:tblPr>
      <w:tblGrid>
        <w:gridCol w:w="2988"/>
        <w:gridCol w:w="4140"/>
      </w:tblGrid>
      <w:tr w:rsidR="002202D4" w14:paraId="059DBA38" w14:textId="77777777" w:rsidTr="002202D4">
        <w:trPr>
          <w:trHeight w:val="255"/>
        </w:trPr>
        <w:tc>
          <w:tcPr>
            <w:tcW w:w="2988"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442975EA"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CPRS Orderable Item</w:t>
            </w:r>
          </w:p>
        </w:tc>
        <w:tc>
          <w:tcPr>
            <w:tcW w:w="4140"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059D7BA9"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Blood Product Component Class</w:t>
            </w:r>
          </w:p>
        </w:tc>
      </w:tr>
      <w:tr w:rsidR="002202D4" w14:paraId="426F2CB7"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FDB63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42F9A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6F8D83FB"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134E29"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A410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EC39DE2"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0D173E"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15E1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4B362CC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C8E71"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1466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1247776"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612B2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0FFD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r>
      <w:tr w:rsidR="002202D4" w14:paraId="2E902E53"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07A9DA"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0C150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r>
      <w:tr w:rsidR="002202D4" w14:paraId="42AF745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4DEC2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68C73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r>
      <w:tr w:rsidR="002202D4" w14:paraId="77A58925"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0F85B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88F82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r>
    </w:tbl>
    <w:p w14:paraId="248B567D" w14:textId="77777777" w:rsidR="002A21AE" w:rsidRDefault="002A21AE">
      <w:pPr>
        <w:pStyle w:val="Heading3"/>
      </w:pPr>
      <w:r w:rsidRPr="00691DFF">
        <w:rPr>
          <w:rFonts w:ascii="Geneva" w:hAnsi="Geneva"/>
          <w:vanish/>
        </w:rPr>
        <w:t xml:space="preserve">TT_77.01 </w:t>
      </w:r>
      <w:bookmarkStart w:id="617" w:name="_Toc163645005"/>
      <w:r w:rsidRPr="00691DFF">
        <w:t>Details in Audit Trail Report</w:t>
      </w:r>
      <w:bookmarkEnd w:id="617"/>
      <w:r w:rsidRPr="00691DFF">
        <w:fldChar w:fldCharType="begin"/>
      </w:r>
      <w:r w:rsidRPr="00691DFF">
        <w:instrText xml:space="preserve"> XE </w:instrText>
      </w:r>
      <w:r w:rsidR="00FA7E65" w:rsidRPr="00691DFF">
        <w:instrText>“</w:instrText>
      </w:r>
      <w:r w:rsidRPr="00691DFF">
        <w:instrText>Tables:Details in Audit Trail Report</w:instrText>
      </w:r>
      <w:r w:rsidR="00FA7E65" w:rsidRPr="00691DFF">
        <w:instrText>”</w:instrText>
      </w:r>
      <w:r w:rsidRPr="00691DFF">
        <w:instrText xml:space="preserve"> </w:instrText>
      </w:r>
      <w:r w:rsidRPr="00691DFF">
        <w:fldChar w:fldCharType="end"/>
      </w:r>
    </w:p>
    <w:p w14:paraId="1081D19B" w14:textId="157F172C" w:rsidR="00264588" w:rsidRPr="00264588" w:rsidRDefault="00264588" w:rsidP="00264588">
      <w:pPr>
        <w:pStyle w:val="BodyText"/>
      </w:pPr>
      <w:r>
        <w:t>Changes include the date and time of the change, ID of the user who made the change, and required comments</w:t>
      </w:r>
      <w:r w:rsidR="00E531AC">
        <w:t xml:space="preserve"> (</w:t>
      </w:r>
      <w:r w:rsidR="00EE455E">
        <w:t xml:space="preserve">Table </w:t>
      </w:r>
      <w:r w:rsidR="00EE455E">
        <w:rPr>
          <w:noProof/>
        </w:rPr>
        <w:t>20</w:t>
      </w:r>
      <w:r w:rsidR="00E531AC">
        <w:t>)</w:t>
      </w:r>
      <w:r>
        <w:t>.</w:t>
      </w:r>
    </w:p>
    <w:p w14:paraId="5F52D2C4" w14:textId="0D112736" w:rsidR="002A21AE" w:rsidRDefault="002A21AE">
      <w:pPr>
        <w:pStyle w:val="Caption"/>
      </w:pPr>
      <w:bookmarkStart w:id="618" w:name="_Ref126732219"/>
      <w:bookmarkStart w:id="619" w:name="_Toc97523637"/>
      <w:bookmarkStart w:id="620" w:name="_Toc97527607"/>
      <w:bookmarkStart w:id="621" w:name="_Ref126504486"/>
      <w:bookmarkStart w:id="622" w:name="_Ref12650461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20</w:t>
      </w:r>
      <w:r w:rsidR="004E20BD">
        <w:rPr>
          <w:noProof/>
        </w:rPr>
        <w:fldChar w:fldCharType="end"/>
      </w:r>
      <w:bookmarkEnd w:id="618"/>
      <w:r>
        <w:t xml:space="preserve">: </w:t>
      </w:r>
      <w:r>
        <w:rPr>
          <w:vanish/>
        </w:rPr>
        <w:t xml:space="preserve">TT_77.01 </w:t>
      </w:r>
      <w:r>
        <w:t>Details in Audit Trail Report</w:t>
      </w:r>
      <w:bookmarkEnd w:id="619"/>
      <w:bookmarkEnd w:id="620"/>
      <w:bookmarkEnd w:id="621"/>
      <w:bookmarkEnd w:id="622"/>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1979"/>
        <w:gridCol w:w="3470"/>
        <w:gridCol w:w="1243"/>
        <w:gridCol w:w="1295"/>
      </w:tblGrid>
      <w:tr w:rsidR="002A21AE" w14:paraId="709F05F7" w14:textId="77777777" w:rsidTr="00DC1872">
        <w:trPr>
          <w:cantSplit/>
          <w:tblHeader/>
        </w:trPr>
        <w:tc>
          <w:tcPr>
            <w:tcW w:w="1525" w:type="dxa"/>
            <w:vMerge w:val="restart"/>
            <w:shd w:val="clear" w:color="auto" w:fill="B3B3B3"/>
            <w:vAlign w:val="bottom"/>
          </w:tcPr>
          <w:p w14:paraId="076C9088" w14:textId="77777777" w:rsidR="002A21AE" w:rsidRDefault="002A21AE" w:rsidP="00CD34EB">
            <w:pPr>
              <w:pStyle w:val="TableText"/>
              <w:rPr>
                <w:b/>
                <w:bCs/>
              </w:rPr>
            </w:pPr>
            <w:r>
              <w:rPr>
                <w:b/>
                <w:bCs/>
              </w:rPr>
              <w:t>Report Section</w:t>
            </w:r>
          </w:p>
        </w:tc>
        <w:tc>
          <w:tcPr>
            <w:tcW w:w="1979" w:type="dxa"/>
            <w:vMerge w:val="restart"/>
            <w:shd w:val="clear" w:color="auto" w:fill="B3B3B3"/>
            <w:vAlign w:val="bottom"/>
          </w:tcPr>
          <w:p w14:paraId="6AF17763" w14:textId="77777777" w:rsidR="002A21AE" w:rsidRDefault="002A21AE">
            <w:pPr>
              <w:pStyle w:val="TableText"/>
              <w:rPr>
                <w:b/>
                <w:bCs/>
              </w:rPr>
            </w:pPr>
            <w:r>
              <w:rPr>
                <w:b/>
                <w:bCs/>
              </w:rPr>
              <w:t>Generating Options</w:t>
            </w:r>
          </w:p>
        </w:tc>
        <w:tc>
          <w:tcPr>
            <w:tcW w:w="3470" w:type="dxa"/>
            <w:vMerge w:val="restart"/>
            <w:shd w:val="clear" w:color="auto" w:fill="B3B3B3"/>
            <w:vAlign w:val="bottom"/>
          </w:tcPr>
          <w:p w14:paraId="4C7E03D4" w14:textId="77777777" w:rsidR="002A21AE" w:rsidRDefault="002A21AE">
            <w:pPr>
              <w:pStyle w:val="TableText"/>
              <w:rPr>
                <w:b/>
                <w:bCs/>
              </w:rPr>
            </w:pPr>
            <w:r>
              <w:rPr>
                <w:b/>
                <w:bCs/>
              </w:rPr>
              <w:t>GUI Fields Monitored</w:t>
            </w:r>
          </w:p>
        </w:tc>
        <w:tc>
          <w:tcPr>
            <w:tcW w:w="2538" w:type="dxa"/>
            <w:gridSpan w:val="2"/>
            <w:tcBorders>
              <w:bottom w:val="single" w:sz="4" w:space="0" w:color="auto"/>
            </w:tcBorders>
            <w:shd w:val="clear" w:color="auto" w:fill="B3B3B3"/>
            <w:vAlign w:val="bottom"/>
          </w:tcPr>
          <w:p w14:paraId="1965C764" w14:textId="77777777" w:rsidR="002A21AE" w:rsidRDefault="002A21AE" w:rsidP="0058499D">
            <w:pPr>
              <w:pStyle w:val="TableText"/>
              <w:jc w:val="center"/>
              <w:rPr>
                <w:rFonts w:eastAsia="Symbol"/>
                <w:b/>
                <w:bCs/>
              </w:rPr>
            </w:pPr>
            <w:r>
              <w:rPr>
                <w:rFonts w:eastAsia="Symbol"/>
                <w:b/>
                <w:bCs/>
              </w:rPr>
              <w:t>Accessible in:</w:t>
            </w:r>
          </w:p>
        </w:tc>
      </w:tr>
      <w:tr w:rsidR="002A21AE" w14:paraId="52686887" w14:textId="77777777" w:rsidTr="00DC1872">
        <w:trPr>
          <w:cantSplit/>
          <w:tblHeader/>
        </w:trPr>
        <w:tc>
          <w:tcPr>
            <w:tcW w:w="1525" w:type="dxa"/>
            <w:vMerge/>
            <w:tcBorders>
              <w:bottom w:val="single" w:sz="4" w:space="0" w:color="auto"/>
            </w:tcBorders>
            <w:shd w:val="clear" w:color="auto" w:fill="B3B3B3"/>
            <w:vAlign w:val="bottom"/>
          </w:tcPr>
          <w:p w14:paraId="1FB4CF3E" w14:textId="77777777" w:rsidR="002A21AE" w:rsidRDefault="002A21AE" w:rsidP="00CD34EB">
            <w:pPr>
              <w:pStyle w:val="TableText"/>
              <w:rPr>
                <w:b/>
                <w:bCs/>
              </w:rPr>
            </w:pPr>
          </w:p>
        </w:tc>
        <w:tc>
          <w:tcPr>
            <w:tcW w:w="1979" w:type="dxa"/>
            <w:vMerge/>
            <w:tcBorders>
              <w:bottom w:val="single" w:sz="4" w:space="0" w:color="auto"/>
            </w:tcBorders>
            <w:shd w:val="clear" w:color="auto" w:fill="B3B3B3"/>
            <w:vAlign w:val="bottom"/>
          </w:tcPr>
          <w:p w14:paraId="767F3066" w14:textId="77777777" w:rsidR="002A21AE" w:rsidRDefault="002A21AE">
            <w:pPr>
              <w:pStyle w:val="TableText"/>
              <w:rPr>
                <w:b/>
                <w:bCs/>
              </w:rPr>
            </w:pPr>
          </w:p>
        </w:tc>
        <w:tc>
          <w:tcPr>
            <w:tcW w:w="3470" w:type="dxa"/>
            <w:vMerge/>
            <w:tcBorders>
              <w:bottom w:val="single" w:sz="4" w:space="0" w:color="auto"/>
            </w:tcBorders>
            <w:shd w:val="clear" w:color="auto" w:fill="B3B3B3"/>
            <w:vAlign w:val="bottom"/>
          </w:tcPr>
          <w:p w14:paraId="08709FB6" w14:textId="77777777" w:rsidR="002A21AE" w:rsidRDefault="002A21AE">
            <w:pPr>
              <w:pStyle w:val="TableText"/>
              <w:rPr>
                <w:b/>
                <w:bCs/>
              </w:rPr>
            </w:pPr>
          </w:p>
        </w:tc>
        <w:tc>
          <w:tcPr>
            <w:tcW w:w="1243" w:type="dxa"/>
            <w:tcBorders>
              <w:bottom w:val="single" w:sz="4" w:space="0" w:color="auto"/>
            </w:tcBorders>
            <w:shd w:val="clear" w:color="auto" w:fill="B3B3B3"/>
            <w:vAlign w:val="bottom"/>
          </w:tcPr>
          <w:p w14:paraId="63ABB6E6" w14:textId="77777777" w:rsidR="002A21AE" w:rsidRDefault="002A21AE">
            <w:pPr>
              <w:pStyle w:val="TableText"/>
              <w:rPr>
                <w:rFonts w:eastAsia="Symbol"/>
                <w:b/>
                <w:bCs/>
              </w:rPr>
            </w:pPr>
            <w:r>
              <w:rPr>
                <w:rFonts w:eastAsia="Symbol"/>
                <w:b/>
                <w:bCs/>
              </w:rPr>
              <w:t>Unit History Report?</w:t>
            </w:r>
          </w:p>
        </w:tc>
        <w:tc>
          <w:tcPr>
            <w:tcW w:w="1295" w:type="dxa"/>
            <w:tcBorders>
              <w:bottom w:val="single" w:sz="4" w:space="0" w:color="auto"/>
            </w:tcBorders>
            <w:shd w:val="clear" w:color="auto" w:fill="B3B3B3"/>
            <w:vAlign w:val="bottom"/>
          </w:tcPr>
          <w:p w14:paraId="4D946EB8" w14:textId="77777777" w:rsidR="002A21AE" w:rsidRDefault="002A21AE">
            <w:pPr>
              <w:pStyle w:val="TableText"/>
              <w:rPr>
                <w:rFonts w:eastAsia="Symbol"/>
                <w:b/>
                <w:bCs/>
              </w:rPr>
            </w:pPr>
            <w:r>
              <w:rPr>
                <w:rFonts w:eastAsia="Symbol"/>
                <w:b/>
                <w:bCs/>
              </w:rPr>
              <w:t>Patient History Report?</w:t>
            </w:r>
          </w:p>
        </w:tc>
      </w:tr>
      <w:tr w:rsidR="002A21AE" w14:paraId="42D14CED" w14:textId="77777777" w:rsidTr="00DC1872">
        <w:trPr>
          <w:cantSplit/>
        </w:trPr>
        <w:tc>
          <w:tcPr>
            <w:tcW w:w="1525" w:type="dxa"/>
            <w:vMerge w:val="restart"/>
          </w:tcPr>
          <w:p w14:paraId="0A7EDB2A" w14:textId="77777777" w:rsidR="002A21AE" w:rsidRDefault="002A21AE" w:rsidP="00CD34EB">
            <w:pPr>
              <w:pStyle w:val="TableText"/>
            </w:pPr>
            <w:r>
              <w:t>Blood Unit Changes</w:t>
            </w:r>
          </w:p>
        </w:tc>
        <w:tc>
          <w:tcPr>
            <w:tcW w:w="1979" w:type="dxa"/>
          </w:tcPr>
          <w:p w14:paraId="3FAA7EC0" w14:textId="77777777" w:rsidR="002A21AE" w:rsidRDefault="002A21AE">
            <w:pPr>
              <w:pStyle w:val="TableText"/>
            </w:pPr>
            <w:r>
              <w:t>Modify Units: Pool Units</w:t>
            </w:r>
            <w:r w:rsidR="0030405B">
              <w:t xml:space="preserve"> (when a previously pooled unit is edited)</w:t>
            </w:r>
          </w:p>
        </w:tc>
        <w:tc>
          <w:tcPr>
            <w:tcW w:w="3470" w:type="dxa"/>
          </w:tcPr>
          <w:p w14:paraId="0ACD50D6" w14:textId="77777777" w:rsidR="00EC2271" w:rsidRDefault="00EC2271" w:rsidP="00EC2271">
            <w:pPr>
              <w:pStyle w:val="TableText"/>
            </w:pPr>
            <w:r>
              <w:t>For each pooled unit edited (unit ID, long name, product code):</w:t>
            </w:r>
          </w:p>
          <w:p w14:paraId="01A2E75B" w14:textId="77777777" w:rsidR="002A21AE" w:rsidRDefault="002A21AE">
            <w:pPr>
              <w:pStyle w:val="TableTextBullet"/>
            </w:pPr>
            <w:r>
              <w:t xml:space="preserve">Added </w:t>
            </w:r>
            <w:r w:rsidR="00BD6C59">
              <w:t xml:space="preserve">or Removed </w:t>
            </w:r>
            <w:r>
              <w:t>Unit IDs and Product Codes</w:t>
            </w:r>
          </w:p>
          <w:p w14:paraId="619237B8" w14:textId="77777777" w:rsidR="002A21AE" w:rsidRDefault="002A21AE">
            <w:pPr>
              <w:pStyle w:val="TableTextBullet"/>
            </w:pPr>
            <w:r>
              <w:t>Comment</w:t>
            </w:r>
          </w:p>
        </w:tc>
        <w:tc>
          <w:tcPr>
            <w:tcW w:w="1243" w:type="dxa"/>
          </w:tcPr>
          <w:p w14:paraId="41706762" w14:textId="77777777" w:rsidR="002A21AE" w:rsidRDefault="002A21AE">
            <w:pPr>
              <w:pStyle w:val="TableText"/>
            </w:pPr>
            <w:r>
              <w:rPr>
                <w:rFonts w:eastAsia="Symbol"/>
              </w:rPr>
              <w:t>Yes</w:t>
            </w:r>
          </w:p>
        </w:tc>
        <w:tc>
          <w:tcPr>
            <w:tcW w:w="1295" w:type="dxa"/>
          </w:tcPr>
          <w:p w14:paraId="103B023B" w14:textId="77777777" w:rsidR="002A21AE" w:rsidRDefault="002A21AE">
            <w:pPr>
              <w:pStyle w:val="TableText"/>
            </w:pPr>
            <w:r>
              <w:t>No</w:t>
            </w:r>
          </w:p>
        </w:tc>
      </w:tr>
      <w:tr w:rsidR="002A21AE" w14:paraId="303E1540" w14:textId="77777777" w:rsidTr="00DC1872">
        <w:trPr>
          <w:cantSplit/>
        </w:trPr>
        <w:tc>
          <w:tcPr>
            <w:tcW w:w="1525" w:type="dxa"/>
            <w:vMerge/>
          </w:tcPr>
          <w:p w14:paraId="7281027A" w14:textId="77777777" w:rsidR="002A21AE" w:rsidRDefault="002A21AE" w:rsidP="00CD34EB">
            <w:pPr>
              <w:pStyle w:val="TableText"/>
            </w:pPr>
          </w:p>
        </w:tc>
        <w:tc>
          <w:tcPr>
            <w:tcW w:w="1979" w:type="dxa"/>
          </w:tcPr>
          <w:p w14:paraId="5A48EF1D" w14:textId="77777777" w:rsidR="002A21AE" w:rsidRDefault="002A21AE">
            <w:pPr>
              <w:pStyle w:val="TableText"/>
            </w:pPr>
            <w:r>
              <w:t>Editing A Unit</w:t>
            </w:r>
          </w:p>
        </w:tc>
        <w:tc>
          <w:tcPr>
            <w:tcW w:w="3470" w:type="dxa"/>
          </w:tcPr>
          <w:p w14:paraId="3B0A21D9" w14:textId="77777777" w:rsidR="00EC2271" w:rsidRDefault="00EC2271" w:rsidP="00EC2271">
            <w:pPr>
              <w:pStyle w:val="TableText"/>
            </w:pPr>
            <w:r>
              <w:t>For each unit edited (unit ID, long name, product code):</w:t>
            </w:r>
          </w:p>
          <w:p w14:paraId="0EC15468" w14:textId="77777777" w:rsidR="002A21AE" w:rsidRDefault="002A21AE">
            <w:pPr>
              <w:pStyle w:val="TableTextBullet"/>
            </w:pPr>
            <w:r>
              <w:t xml:space="preserve">Unit </w:t>
            </w:r>
            <w:r w:rsidR="0083176A">
              <w:t xml:space="preserve">Antigen </w:t>
            </w:r>
            <w:r>
              <w:t>Information</w:t>
            </w:r>
          </w:p>
          <w:p w14:paraId="29CFD3B4" w14:textId="77777777" w:rsidR="0083176A" w:rsidRDefault="0083176A">
            <w:pPr>
              <w:pStyle w:val="TableTextBullet"/>
            </w:pPr>
            <w:r>
              <w:t>Special Testing Information</w:t>
            </w:r>
          </w:p>
          <w:p w14:paraId="24F96387" w14:textId="77777777" w:rsidR="0083176A" w:rsidRDefault="0083176A">
            <w:pPr>
              <w:pStyle w:val="TableTextBullet"/>
            </w:pPr>
            <w:r>
              <w:t>Discarded Plasma Volume</w:t>
            </w:r>
          </w:p>
          <w:p w14:paraId="0E6C024B" w14:textId="77777777" w:rsidR="0083176A" w:rsidRDefault="0083176A">
            <w:pPr>
              <w:pStyle w:val="TableTextBullet"/>
            </w:pPr>
            <w:r>
              <w:t>Unit Volume</w:t>
            </w:r>
          </w:p>
          <w:p w14:paraId="60A0BF53" w14:textId="77777777" w:rsidR="0083176A" w:rsidRDefault="0083176A">
            <w:pPr>
              <w:pStyle w:val="TableTextBullet"/>
            </w:pPr>
            <w:r>
              <w:t>Biohazardous Indicator</w:t>
            </w:r>
          </w:p>
          <w:p w14:paraId="11D8C951" w14:textId="77777777" w:rsidR="002A21AE" w:rsidRDefault="002A21AE">
            <w:pPr>
              <w:pStyle w:val="TableTextBullet"/>
            </w:pPr>
            <w:r>
              <w:t>Unit ABO/Rh Confirmation Test</w:t>
            </w:r>
            <w:r w:rsidR="00A047A4">
              <w:t xml:space="preserve">, </w:t>
            </w:r>
            <w:r w:rsidR="0083176A">
              <w:t>Invalidation Indicator</w:t>
            </w:r>
          </w:p>
          <w:p w14:paraId="44AFED0F" w14:textId="77777777" w:rsidR="002A21AE" w:rsidRDefault="002A21AE">
            <w:pPr>
              <w:pStyle w:val="TableTextBullet"/>
            </w:pPr>
            <w:r>
              <w:t>Unit Antigen Typing Test</w:t>
            </w:r>
            <w:r w:rsidR="00A047A4">
              <w:t xml:space="preserve">, </w:t>
            </w:r>
            <w:r w:rsidR="0083176A">
              <w:t>Invalidation Indicator</w:t>
            </w:r>
          </w:p>
          <w:p w14:paraId="2C2640FA" w14:textId="77777777" w:rsidR="002A21AE" w:rsidRDefault="002A21AE">
            <w:pPr>
              <w:pStyle w:val="TableTextBullet"/>
            </w:pPr>
            <w:r>
              <w:t>Unit Record Inactivation Indicator</w:t>
            </w:r>
          </w:p>
          <w:p w14:paraId="52977935" w14:textId="77777777" w:rsidR="0083176A" w:rsidRDefault="002F766E">
            <w:pPr>
              <w:pStyle w:val="TableTextBullet"/>
            </w:pPr>
            <w:r>
              <w:t>Restricted For</w:t>
            </w:r>
            <w:r w:rsidR="0083176A">
              <w:t xml:space="preserve"> Patient Name and Patient ID</w:t>
            </w:r>
          </w:p>
          <w:p w14:paraId="1811BD8C" w14:textId="77777777" w:rsidR="002A21AE" w:rsidRDefault="002A21AE">
            <w:pPr>
              <w:pStyle w:val="TableTextBullet"/>
            </w:pPr>
            <w:r>
              <w:t>Comment</w:t>
            </w:r>
          </w:p>
        </w:tc>
        <w:tc>
          <w:tcPr>
            <w:tcW w:w="1243" w:type="dxa"/>
          </w:tcPr>
          <w:p w14:paraId="7BA16EC9" w14:textId="77777777" w:rsidR="002A21AE" w:rsidRDefault="002A21AE">
            <w:pPr>
              <w:pStyle w:val="TableText"/>
            </w:pPr>
            <w:r>
              <w:rPr>
                <w:rFonts w:eastAsia="Symbol"/>
              </w:rPr>
              <w:t>Yes</w:t>
            </w:r>
          </w:p>
        </w:tc>
        <w:tc>
          <w:tcPr>
            <w:tcW w:w="1295" w:type="dxa"/>
          </w:tcPr>
          <w:p w14:paraId="7B24076F" w14:textId="77777777" w:rsidR="002A21AE" w:rsidRDefault="002A21AE">
            <w:pPr>
              <w:pStyle w:val="TableText"/>
            </w:pPr>
            <w:r>
              <w:t>No</w:t>
            </w:r>
          </w:p>
        </w:tc>
      </w:tr>
      <w:tr w:rsidR="002A21AE" w14:paraId="06BDD35D" w14:textId="77777777" w:rsidTr="00DC1872">
        <w:trPr>
          <w:cantSplit/>
        </w:trPr>
        <w:tc>
          <w:tcPr>
            <w:tcW w:w="1525" w:type="dxa"/>
          </w:tcPr>
          <w:p w14:paraId="58C20FB1" w14:textId="77777777" w:rsidR="002A21AE" w:rsidRDefault="002A21AE" w:rsidP="00CD34EB">
            <w:pPr>
              <w:pStyle w:val="TableText"/>
            </w:pPr>
            <w:r>
              <w:t>Blood Unit Financial Changes</w:t>
            </w:r>
          </w:p>
        </w:tc>
        <w:tc>
          <w:tcPr>
            <w:tcW w:w="1979" w:type="dxa"/>
          </w:tcPr>
          <w:p w14:paraId="27E0D22B" w14:textId="77777777" w:rsidR="002A21AE" w:rsidRDefault="002A21AE">
            <w:pPr>
              <w:pStyle w:val="TableText"/>
            </w:pPr>
            <w:r>
              <w:t>Edit Financial Data</w:t>
            </w:r>
          </w:p>
        </w:tc>
        <w:tc>
          <w:tcPr>
            <w:tcW w:w="3470" w:type="dxa"/>
          </w:tcPr>
          <w:p w14:paraId="76EB7F6E" w14:textId="77777777" w:rsidR="00F0285D" w:rsidRDefault="00F0285D" w:rsidP="00F0285D">
            <w:pPr>
              <w:pStyle w:val="TableText"/>
            </w:pPr>
            <w:r>
              <w:t>For each unit edited (unit ID, long name, product code):</w:t>
            </w:r>
          </w:p>
          <w:p w14:paraId="43848790" w14:textId="77777777" w:rsidR="002A21AE" w:rsidRDefault="002A21AE">
            <w:pPr>
              <w:pStyle w:val="TableTextBullet"/>
            </w:pPr>
            <w:r>
              <w:t xml:space="preserve">Unit Base Cost </w:t>
            </w:r>
          </w:p>
          <w:p w14:paraId="4E5168AB" w14:textId="77777777" w:rsidR="002A21AE" w:rsidRDefault="002A21AE">
            <w:pPr>
              <w:pStyle w:val="TableTextBullet"/>
            </w:pPr>
            <w:r>
              <w:t>Special Test Cost</w:t>
            </w:r>
          </w:p>
          <w:p w14:paraId="24293B4B" w14:textId="77777777" w:rsidR="002A21AE" w:rsidRDefault="002A21AE">
            <w:pPr>
              <w:pStyle w:val="TableTextBullet"/>
            </w:pPr>
            <w:r>
              <w:t>Return Credit</w:t>
            </w:r>
          </w:p>
        </w:tc>
        <w:tc>
          <w:tcPr>
            <w:tcW w:w="1243" w:type="dxa"/>
          </w:tcPr>
          <w:p w14:paraId="5CD4778C" w14:textId="77777777" w:rsidR="002A21AE" w:rsidRDefault="002A21AE">
            <w:pPr>
              <w:pStyle w:val="TableText"/>
            </w:pPr>
            <w:r>
              <w:rPr>
                <w:rFonts w:eastAsia="Symbol"/>
              </w:rPr>
              <w:t>Yes</w:t>
            </w:r>
          </w:p>
        </w:tc>
        <w:tc>
          <w:tcPr>
            <w:tcW w:w="1295" w:type="dxa"/>
          </w:tcPr>
          <w:p w14:paraId="5DFB24C0" w14:textId="77777777" w:rsidR="002A21AE" w:rsidRDefault="002A21AE">
            <w:pPr>
              <w:pStyle w:val="TableText"/>
            </w:pPr>
            <w:r>
              <w:t>No</w:t>
            </w:r>
          </w:p>
        </w:tc>
      </w:tr>
      <w:tr w:rsidR="002A21AE" w14:paraId="4D3BB8AB" w14:textId="77777777" w:rsidTr="00DC1872">
        <w:trPr>
          <w:cantSplit/>
        </w:trPr>
        <w:tc>
          <w:tcPr>
            <w:tcW w:w="1525" w:type="dxa"/>
            <w:vMerge w:val="restart"/>
          </w:tcPr>
          <w:p w14:paraId="3B6242B2" w14:textId="77777777" w:rsidR="002A21AE" w:rsidRDefault="002A21AE" w:rsidP="00CD34EB">
            <w:pPr>
              <w:pStyle w:val="TableText"/>
            </w:pPr>
            <w:r>
              <w:lastRenderedPageBreak/>
              <w:t>Patient Testing Changes</w:t>
            </w:r>
          </w:p>
        </w:tc>
        <w:tc>
          <w:tcPr>
            <w:tcW w:w="1979" w:type="dxa"/>
          </w:tcPr>
          <w:p w14:paraId="43A56B13" w14:textId="77777777" w:rsidR="002A21AE" w:rsidRDefault="002A21AE">
            <w:pPr>
              <w:pStyle w:val="TableText"/>
            </w:pPr>
            <w:r>
              <w:t>Invalidate Test Results</w:t>
            </w:r>
          </w:p>
        </w:tc>
        <w:tc>
          <w:tcPr>
            <w:tcW w:w="3470" w:type="dxa"/>
          </w:tcPr>
          <w:p w14:paraId="3C098B86" w14:textId="77777777" w:rsidR="004F2A5E" w:rsidRDefault="004F2A5E" w:rsidP="004F2A5E">
            <w:pPr>
              <w:pStyle w:val="TableText"/>
            </w:pPr>
            <w:r>
              <w:t>For each patient (name, ID):</w:t>
            </w:r>
          </w:p>
          <w:p w14:paraId="553A626E" w14:textId="77777777" w:rsidR="002A21AE" w:rsidRDefault="002A21AE" w:rsidP="00691DFF">
            <w:pPr>
              <w:pStyle w:val="TableTextBullet"/>
            </w:pPr>
            <w:r>
              <w:t>Ordered Test Original Results</w:t>
            </w:r>
            <w:r w:rsidR="00A047A4">
              <w:t xml:space="preserve">, </w:t>
            </w:r>
            <w:r w:rsidR="004F2A5E">
              <w:t>Invalidation Indicator</w:t>
            </w:r>
          </w:p>
          <w:p w14:paraId="3BDEEC21" w14:textId="77777777" w:rsidR="002A21AE" w:rsidRDefault="002A21AE">
            <w:pPr>
              <w:pStyle w:val="TableTextBullet"/>
            </w:pPr>
            <w:r>
              <w:t>Comment</w:t>
            </w:r>
          </w:p>
        </w:tc>
        <w:tc>
          <w:tcPr>
            <w:tcW w:w="1243" w:type="dxa"/>
          </w:tcPr>
          <w:p w14:paraId="7215837B" w14:textId="77777777" w:rsidR="002A21AE" w:rsidRDefault="002A21AE">
            <w:pPr>
              <w:pStyle w:val="TableText"/>
            </w:pPr>
            <w:r>
              <w:t>No</w:t>
            </w:r>
          </w:p>
        </w:tc>
        <w:tc>
          <w:tcPr>
            <w:tcW w:w="1295" w:type="dxa"/>
          </w:tcPr>
          <w:p w14:paraId="3E61E930" w14:textId="77777777" w:rsidR="002A21AE" w:rsidRDefault="002A21AE">
            <w:pPr>
              <w:pStyle w:val="TableText"/>
            </w:pPr>
            <w:r>
              <w:rPr>
                <w:rFonts w:eastAsia="Symbol"/>
              </w:rPr>
              <w:t>Yes</w:t>
            </w:r>
          </w:p>
        </w:tc>
      </w:tr>
      <w:tr w:rsidR="002A21AE" w14:paraId="4430E637" w14:textId="77777777" w:rsidTr="00DC1872">
        <w:trPr>
          <w:cantSplit/>
        </w:trPr>
        <w:tc>
          <w:tcPr>
            <w:tcW w:w="1525" w:type="dxa"/>
            <w:vMerge/>
          </w:tcPr>
          <w:p w14:paraId="072856FC" w14:textId="77777777" w:rsidR="002A21AE" w:rsidRDefault="002A21AE" w:rsidP="00CD34EB">
            <w:pPr>
              <w:pStyle w:val="TableText"/>
            </w:pPr>
          </w:p>
        </w:tc>
        <w:tc>
          <w:tcPr>
            <w:tcW w:w="1979" w:type="dxa"/>
          </w:tcPr>
          <w:p w14:paraId="319DB360" w14:textId="77777777" w:rsidR="002A21AE" w:rsidRDefault="002A21AE">
            <w:pPr>
              <w:pStyle w:val="TableText"/>
            </w:pPr>
            <w:r>
              <w:t>Justify ABO/Rh Change</w:t>
            </w:r>
          </w:p>
        </w:tc>
        <w:tc>
          <w:tcPr>
            <w:tcW w:w="3470" w:type="dxa"/>
          </w:tcPr>
          <w:p w14:paraId="09F73BB3" w14:textId="77777777" w:rsidR="00C46FA2" w:rsidRDefault="00C46FA2" w:rsidP="00C46FA2">
            <w:pPr>
              <w:pStyle w:val="TableText"/>
            </w:pPr>
            <w:r>
              <w:t>For each patient (name, ID):</w:t>
            </w:r>
          </w:p>
          <w:p w14:paraId="6CBA02FD" w14:textId="77777777" w:rsidR="002A21AE" w:rsidRDefault="002A21AE">
            <w:pPr>
              <w:pStyle w:val="TableTextBullet"/>
            </w:pPr>
            <w:r>
              <w:t>Patient ABO/Rh</w:t>
            </w:r>
          </w:p>
          <w:p w14:paraId="37119042" w14:textId="77777777" w:rsidR="002A21AE" w:rsidRDefault="002A21AE">
            <w:pPr>
              <w:pStyle w:val="TableTextBullet"/>
            </w:pPr>
            <w:r>
              <w:t>Comment</w:t>
            </w:r>
          </w:p>
        </w:tc>
        <w:tc>
          <w:tcPr>
            <w:tcW w:w="1243" w:type="dxa"/>
          </w:tcPr>
          <w:p w14:paraId="37D800A1" w14:textId="77777777" w:rsidR="002A21AE" w:rsidRDefault="002A21AE">
            <w:pPr>
              <w:pStyle w:val="TableText"/>
            </w:pPr>
            <w:r>
              <w:t>No</w:t>
            </w:r>
          </w:p>
        </w:tc>
        <w:tc>
          <w:tcPr>
            <w:tcW w:w="1295" w:type="dxa"/>
          </w:tcPr>
          <w:p w14:paraId="749CF35B" w14:textId="77777777" w:rsidR="002A21AE" w:rsidRDefault="002A21AE">
            <w:pPr>
              <w:pStyle w:val="TableText"/>
            </w:pPr>
            <w:r>
              <w:rPr>
                <w:rFonts w:eastAsia="Symbol"/>
              </w:rPr>
              <w:t>Yes</w:t>
            </w:r>
          </w:p>
        </w:tc>
      </w:tr>
      <w:tr w:rsidR="002A21AE" w14:paraId="3B3C2363" w14:textId="77777777" w:rsidTr="00DC1872">
        <w:trPr>
          <w:cantSplit/>
        </w:trPr>
        <w:tc>
          <w:tcPr>
            <w:tcW w:w="1525" w:type="dxa"/>
          </w:tcPr>
          <w:p w14:paraId="22FCA513" w14:textId="77777777" w:rsidR="002A21AE" w:rsidRDefault="002A21AE" w:rsidP="00CD34EB">
            <w:pPr>
              <w:pStyle w:val="TableText"/>
            </w:pPr>
            <w:r>
              <w:t>Patient Transfusion Requirements</w:t>
            </w:r>
          </w:p>
        </w:tc>
        <w:tc>
          <w:tcPr>
            <w:tcW w:w="1979" w:type="dxa"/>
          </w:tcPr>
          <w:p w14:paraId="51557C41" w14:textId="77777777" w:rsidR="0030405B" w:rsidRDefault="002A21AE">
            <w:pPr>
              <w:pStyle w:val="TableText"/>
            </w:pPr>
            <w:r>
              <w:t xml:space="preserve">Special Instructions &amp; Transfusion Requirements: </w:t>
            </w:r>
            <w:r w:rsidR="00526D93">
              <w:t>Enter a Transfusion Requirement</w:t>
            </w:r>
          </w:p>
          <w:p w14:paraId="578CA5D9" w14:textId="77777777" w:rsidR="0030405B" w:rsidRDefault="0030405B">
            <w:pPr>
              <w:pStyle w:val="TableText"/>
            </w:pPr>
            <w:r>
              <w:t>Patient Testing: Record Patient Test Results (new TR created from ABID data entry)</w:t>
            </w:r>
          </w:p>
        </w:tc>
        <w:tc>
          <w:tcPr>
            <w:tcW w:w="3470" w:type="dxa"/>
          </w:tcPr>
          <w:p w14:paraId="49C366AC" w14:textId="77777777" w:rsidR="0030405B" w:rsidRDefault="0030405B" w:rsidP="0030405B">
            <w:pPr>
              <w:pStyle w:val="TableText"/>
            </w:pPr>
            <w:r>
              <w:t>For each Transfusion Requirement category or Special Instruction:</w:t>
            </w:r>
          </w:p>
          <w:p w14:paraId="6846C373" w14:textId="77777777" w:rsidR="002A21AE" w:rsidRDefault="0030405B">
            <w:pPr>
              <w:pStyle w:val="TableTextBullet"/>
            </w:pPr>
            <w:r>
              <w:t>Status</w:t>
            </w:r>
            <w:r w:rsidR="002A21AE">
              <w:t xml:space="preserve"> Indicator</w:t>
            </w:r>
          </w:p>
          <w:p w14:paraId="7DC5135A" w14:textId="77777777" w:rsidR="002A21AE" w:rsidRDefault="002A21AE">
            <w:pPr>
              <w:pStyle w:val="TableTextBullet"/>
            </w:pPr>
            <w:r>
              <w:t>Comment</w:t>
            </w:r>
          </w:p>
        </w:tc>
        <w:tc>
          <w:tcPr>
            <w:tcW w:w="1243" w:type="dxa"/>
          </w:tcPr>
          <w:p w14:paraId="0C845836" w14:textId="77777777" w:rsidR="002A21AE" w:rsidRDefault="002A21AE">
            <w:pPr>
              <w:pStyle w:val="TableText"/>
            </w:pPr>
            <w:r>
              <w:t>No</w:t>
            </w:r>
          </w:p>
        </w:tc>
        <w:tc>
          <w:tcPr>
            <w:tcW w:w="1295" w:type="dxa"/>
          </w:tcPr>
          <w:p w14:paraId="4C38D47A" w14:textId="77777777" w:rsidR="002A21AE" w:rsidRDefault="002A21AE">
            <w:pPr>
              <w:pStyle w:val="TableText"/>
            </w:pPr>
            <w:r>
              <w:rPr>
                <w:rFonts w:eastAsia="Symbol"/>
              </w:rPr>
              <w:t>Yes</w:t>
            </w:r>
          </w:p>
        </w:tc>
      </w:tr>
      <w:tr w:rsidR="002A21AE" w14:paraId="31DBE5FE" w14:textId="77777777" w:rsidTr="00DC1872">
        <w:trPr>
          <w:cantSplit/>
        </w:trPr>
        <w:tc>
          <w:tcPr>
            <w:tcW w:w="1525" w:type="dxa"/>
          </w:tcPr>
          <w:p w14:paraId="0D26695B" w14:textId="77777777" w:rsidR="002A21AE" w:rsidRDefault="002A21AE" w:rsidP="00CD34EB">
            <w:pPr>
              <w:pStyle w:val="TableText"/>
            </w:pPr>
            <w:r>
              <w:t>Maintenance: Local Facilities</w:t>
            </w:r>
          </w:p>
        </w:tc>
        <w:tc>
          <w:tcPr>
            <w:tcW w:w="1979" w:type="dxa"/>
          </w:tcPr>
          <w:p w14:paraId="15A47A1D" w14:textId="77777777" w:rsidR="002A21AE" w:rsidRDefault="002A21AE" w:rsidP="0030405B">
            <w:pPr>
              <w:pStyle w:val="TableText"/>
            </w:pPr>
            <w:r>
              <w:t>Local Facilities</w:t>
            </w:r>
          </w:p>
        </w:tc>
        <w:tc>
          <w:tcPr>
            <w:tcW w:w="3470" w:type="dxa"/>
          </w:tcPr>
          <w:p w14:paraId="61ED6AE6" w14:textId="77777777" w:rsidR="0030405B" w:rsidRDefault="0030405B" w:rsidP="0030405B">
            <w:pPr>
              <w:pStyle w:val="TableText"/>
            </w:pPr>
            <w:r>
              <w:t xml:space="preserve">For each </w:t>
            </w:r>
            <w:r w:rsidR="00B059A9">
              <w:t>f</w:t>
            </w:r>
            <w:r>
              <w:t xml:space="preserve">acility </w:t>
            </w:r>
            <w:r w:rsidR="00B059A9">
              <w:t>n</w:t>
            </w:r>
            <w:r>
              <w:t>ame and FDA Registration Number:</w:t>
            </w:r>
          </w:p>
          <w:p w14:paraId="6C2AD484" w14:textId="77777777" w:rsidR="002A21AE" w:rsidRDefault="002A21AE">
            <w:pPr>
              <w:pStyle w:val="TableTextBullet"/>
            </w:pPr>
            <w:r>
              <w:t>Eye-readable prefix</w:t>
            </w:r>
          </w:p>
          <w:p w14:paraId="4227B96C" w14:textId="77777777" w:rsidR="0030405B" w:rsidRDefault="0030405B">
            <w:pPr>
              <w:pStyle w:val="TableTextBullet"/>
            </w:pPr>
            <w:r>
              <w:t>ICCBBA Registration Number</w:t>
            </w:r>
          </w:p>
          <w:p w14:paraId="09014C9D" w14:textId="77777777" w:rsidR="002A21AE" w:rsidRDefault="002A21AE">
            <w:pPr>
              <w:pStyle w:val="TableTextBullet"/>
            </w:pPr>
            <w:r>
              <w:t xml:space="preserve">Alpha </w:t>
            </w:r>
            <w:r w:rsidR="00765991">
              <w:t>C</w:t>
            </w:r>
            <w:r>
              <w:t>haracters</w:t>
            </w:r>
            <w:r w:rsidR="0030405B">
              <w:t xml:space="preserve"> Indicator</w:t>
            </w:r>
          </w:p>
          <w:p w14:paraId="11E4D77D" w14:textId="77777777" w:rsidR="002A21AE" w:rsidRDefault="002A21AE">
            <w:pPr>
              <w:pStyle w:val="TableTextBullet"/>
            </w:pPr>
            <w:r>
              <w:t>Active</w:t>
            </w:r>
            <w:r w:rsidR="0030405B">
              <w:t xml:space="preserve"> Facility</w:t>
            </w:r>
            <w:r>
              <w:t xml:space="preserve"> Indicator</w:t>
            </w:r>
          </w:p>
          <w:p w14:paraId="132B8F95" w14:textId="77777777" w:rsidR="002A21AE" w:rsidRDefault="002A21AE">
            <w:pPr>
              <w:pStyle w:val="TableTextBullet"/>
            </w:pPr>
            <w:r>
              <w:t xml:space="preserve">Collection Facility Indicator </w:t>
            </w:r>
          </w:p>
          <w:p w14:paraId="09301150" w14:textId="77777777" w:rsidR="002A21AE" w:rsidRDefault="002A21AE">
            <w:pPr>
              <w:pStyle w:val="TableTextBullet"/>
            </w:pPr>
            <w:r>
              <w:t xml:space="preserve">Testing Facility Indicator </w:t>
            </w:r>
          </w:p>
          <w:p w14:paraId="1414D6CC" w14:textId="77777777" w:rsidR="002B6A72" w:rsidRDefault="002A21AE">
            <w:pPr>
              <w:pStyle w:val="TableTextBullet"/>
            </w:pPr>
            <w:r>
              <w:t>Address Line</w:t>
            </w:r>
            <w:r w:rsidR="002B6A72">
              <w:t xml:space="preserve"> 1</w:t>
            </w:r>
          </w:p>
          <w:p w14:paraId="7E811471" w14:textId="77777777" w:rsidR="002B6A72" w:rsidRDefault="002B6A72">
            <w:pPr>
              <w:pStyle w:val="TableTextBullet"/>
            </w:pPr>
            <w:r>
              <w:t>Address Line2</w:t>
            </w:r>
          </w:p>
          <w:p w14:paraId="38FA2611" w14:textId="77777777" w:rsidR="002A21AE" w:rsidRDefault="002B6A72">
            <w:pPr>
              <w:pStyle w:val="TableTextBullet"/>
            </w:pPr>
            <w:r>
              <w:t>Address Line 3</w:t>
            </w:r>
          </w:p>
          <w:p w14:paraId="6F932D1E" w14:textId="77777777" w:rsidR="002A21AE" w:rsidRDefault="002A21AE">
            <w:pPr>
              <w:pStyle w:val="TableTextBullet"/>
            </w:pPr>
            <w:r>
              <w:t>City</w:t>
            </w:r>
          </w:p>
          <w:p w14:paraId="7C36DB05" w14:textId="77777777" w:rsidR="002A21AE" w:rsidRDefault="002A21AE">
            <w:pPr>
              <w:pStyle w:val="TableTextBullet"/>
            </w:pPr>
            <w:r>
              <w:t>State</w:t>
            </w:r>
          </w:p>
          <w:p w14:paraId="5F7D4A39" w14:textId="77777777" w:rsidR="002A21AE" w:rsidRDefault="002A21AE">
            <w:pPr>
              <w:pStyle w:val="TableTextBullet"/>
            </w:pPr>
            <w:r>
              <w:t>Zip</w:t>
            </w:r>
          </w:p>
          <w:p w14:paraId="64954CD7" w14:textId="77777777" w:rsidR="0030405B" w:rsidRDefault="0030405B">
            <w:pPr>
              <w:pStyle w:val="TableTextBullet"/>
            </w:pPr>
            <w:r>
              <w:t>Phone</w:t>
            </w:r>
          </w:p>
          <w:p w14:paraId="4EB1AFAB" w14:textId="77777777" w:rsidR="0030405B" w:rsidRDefault="0030405B">
            <w:pPr>
              <w:pStyle w:val="TableTextBullet"/>
            </w:pPr>
            <w:r>
              <w:t>Fax</w:t>
            </w:r>
          </w:p>
        </w:tc>
        <w:tc>
          <w:tcPr>
            <w:tcW w:w="1243" w:type="dxa"/>
          </w:tcPr>
          <w:p w14:paraId="11AD0B9D" w14:textId="77777777" w:rsidR="002A21AE" w:rsidRDefault="002A21AE">
            <w:pPr>
              <w:pStyle w:val="TableText"/>
            </w:pPr>
            <w:r>
              <w:t>No</w:t>
            </w:r>
          </w:p>
        </w:tc>
        <w:tc>
          <w:tcPr>
            <w:tcW w:w="1295" w:type="dxa"/>
          </w:tcPr>
          <w:p w14:paraId="36A34D5E" w14:textId="77777777" w:rsidR="002A21AE" w:rsidRDefault="002A21AE">
            <w:pPr>
              <w:pStyle w:val="TableText"/>
            </w:pPr>
            <w:r>
              <w:t>No</w:t>
            </w:r>
          </w:p>
        </w:tc>
      </w:tr>
      <w:tr w:rsidR="002A21AE" w14:paraId="0E5E8262" w14:textId="77777777" w:rsidTr="00DC1872">
        <w:trPr>
          <w:cantSplit/>
        </w:trPr>
        <w:tc>
          <w:tcPr>
            <w:tcW w:w="1525" w:type="dxa"/>
          </w:tcPr>
          <w:p w14:paraId="5C1308C1" w14:textId="77777777" w:rsidR="002A21AE" w:rsidRDefault="002A21AE" w:rsidP="00CD34EB">
            <w:pPr>
              <w:pStyle w:val="TableText"/>
            </w:pPr>
            <w:r>
              <w:t>Maintenance: Blood Product</w:t>
            </w:r>
          </w:p>
        </w:tc>
        <w:tc>
          <w:tcPr>
            <w:tcW w:w="1979" w:type="dxa"/>
          </w:tcPr>
          <w:p w14:paraId="6143B8E4" w14:textId="77777777" w:rsidR="002A21AE" w:rsidRDefault="002A21AE">
            <w:pPr>
              <w:pStyle w:val="TableText"/>
            </w:pPr>
            <w:r>
              <w:t>Blood Products</w:t>
            </w:r>
          </w:p>
        </w:tc>
        <w:tc>
          <w:tcPr>
            <w:tcW w:w="3470" w:type="dxa"/>
          </w:tcPr>
          <w:p w14:paraId="7E18E86D" w14:textId="77777777" w:rsidR="007F2C58" w:rsidRDefault="007F2C58" w:rsidP="007F2C58">
            <w:pPr>
              <w:pStyle w:val="TableText"/>
            </w:pPr>
            <w:r>
              <w:t xml:space="preserve">For each </w:t>
            </w:r>
            <w:r w:rsidR="00B059A9">
              <w:t>blood p</w:t>
            </w:r>
            <w:r>
              <w:t>roduct (name, code):</w:t>
            </w:r>
          </w:p>
          <w:p w14:paraId="1C99A97E" w14:textId="36C591F2" w:rsidR="007F2C58" w:rsidRDefault="007F2C58" w:rsidP="007F2C58">
            <w:pPr>
              <w:pStyle w:val="TableTextBullet"/>
            </w:pPr>
            <w:r>
              <w:t>HCPCS Code and Text</w:t>
            </w:r>
          </w:p>
          <w:p w14:paraId="547CD398" w14:textId="27F02DF6" w:rsidR="00953DA2" w:rsidRDefault="00953DA2" w:rsidP="007F2C58">
            <w:pPr>
              <w:pStyle w:val="TableTextBullet"/>
            </w:pPr>
            <w:r>
              <w:t>Maximum Storage Time</w:t>
            </w:r>
          </w:p>
          <w:p w14:paraId="4E07FF0B" w14:textId="77777777" w:rsidR="007F2C58" w:rsidRDefault="007F2C58" w:rsidP="007F2C58">
            <w:pPr>
              <w:pStyle w:val="TableText"/>
            </w:pPr>
            <w:r>
              <w:t>For each shipper of this product code (name, ID):</w:t>
            </w:r>
          </w:p>
          <w:p w14:paraId="23D032A6" w14:textId="77777777" w:rsidR="002A21AE" w:rsidRDefault="007F2C58">
            <w:pPr>
              <w:pStyle w:val="TableTextBullet"/>
            </w:pPr>
            <w:r>
              <w:t>Cost</w:t>
            </w:r>
          </w:p>
          <w:p w14:paraId="0533C221" w14:textId="77777777" w:rsidR="002A21AE" w:rsidRDefault="002A21AE">
            <w:pPr>
              <w:pStyle w:val="TableTextBullet"/>
            </w:pPr>
            <w:r>
              <w:t xml:space="preserve">Return Credit </w:t>
            </w:r>
            <w:r w:rsidR="007F2C58">
              <w:t>Percentage</w:t>
            </w:r>
          </w:p>
          <w:p w14:paraId="2DAB2BD4" w14:textId="06EA90EF" w:rsidR="0010595A" w:rsidRDefault="007F2C58" w:rsidP="00953DA2">
            <w:pPr>
              <w:pStyle w:val="TableTextBullet"/>
            </w:pPr>
            <w:r>
              <w:t>Status Indicator</w:t>
            </w:r>
          </w:p>
        </w:tc>
        <w:tc>
          <w:tcPr>
            <w:tcW w:w="1243" w:type="dxa"/>
          </w:tcPr>
          <w:p w14:paraId="1ABD3491" w14:textId="77777777" w:rsidR="002A21AE" w:rsidRDefault="002A21AE">
            <w:pPr>
              <w:pStyle w:val="TableText"/>
            </w:pPr>
            <w:r>
              <w:t>No</w:t>
            </w:r>
          </w:p>
        </w:tc>
        <w:tc>
          <w:tcPr>
            <w:tcW w:w="1295" w:type="dxa"/>
          </w:tcPr>
          <w:p w14:paraId="67965C44" w14:textId="77777777" w:rsidR="002A21AE" w:rsidRDefault="002A21AE">
            <w:pPr>
              <w:pStyle w:val="TableText"/>
            </w:pPr>
            <w:r>
              <w:t>No</w:t>
            </w:r>
          </w:p>
        </w:tc>
      </w:tr>
      <w:tr w:rsidR="002A21AE" w14:paraId="70BC2EEF" w14:textId="77777777" w:rsidTr="00DC1872">
        <w:trPr>
          <w:cantSplit/>
        </w:trPr>
        <w:tc>
          <w:tcPr>
            <w:tcW w:w="1525" w:type="dxa"/>
          </w:tcPr>
          <w:p w14:paraId="5ABCAFBC" w14:textId="77777777" w:rsidR="002A21AE" w:rsidRDefault="002A21AE" w:rsidP="00CD34EB">
            <w:pPr>
              <w:pStyle w:val="TableText"/>
            </w:pPr>
            <w:r>
              <w:lastRenderedPageBreak/>
              <w:t>Maintenance: Division Configuration</w:t>
            </w:r>
          </w:p>
        </w:tc>
        <w:tc>
          <w:tcPr>
            <w:tcW w:w="1979" w:type="dxa"/>
          </w:tcPr>
          <w:p w14:paraId="13AE99BD" w14:textId="77777777" w:rsidR="002A21AE" w:rsidRDefault="00D567C9">
            <w:pPr>
              <w:pStyle w:val="TableText"/>
            </w:pPr>
            <w:r>
              <w:t>Configure Division</w:t>
            </w:r>
          </w:p>
        </w:tc>
        <w:tc>
          <w:tcPr>
            <w:tcW w:w="3470" w:type="dxa"/>
          </w:tcPr>
          <w:p w14:paraId="2C4CA45B" w14:textId="77777777" w:rsidR="005773E9" w:rsidRDefault="005773E9" w:rsidP="005773E9">
            <w:pPr>
              <w:pStyle w:val="TableText"/>
            </w:pPr>
            <w:r>
              <w:t>For each Division (Name and Code):</w:t>
            </w:r>
          </w:p>
          <w:p w14:paraId="1349EF7C" w14:textId="77777777" w:rsidR="005773E9" w:rsidRDefault="005773E9" w:rsidP="00925CAD">
            <w:pPr>
              <w:pStyle w:val="TableText"/>
              <w:numPr>
                <w:ilvl w:val="0"/>
                <w:numId w:val="30"/>
              </w:numPr>
            </w:pPr>
            <w:r>
              <w:t>Full Service, Transfusion Only Indicator</w:t>
            </w:r>
          </w:p>
          <w:p w14:paraId="167512E9" w14:textId="77777777" w:rsidR="005773E9" w:rsidRDefault="005773E9" w:rsidP="00925CAD">
            <w:pPr>
              <w:pStyle w:val="TableText"/>
              <w:numPr>
                <w:ilvl w:val="0"/>
                <w:numId w:val="30"/>
              </w:numPr>
            </w:pPr>
            <w:r>
              <w:t>Facility Name</w:t>
            </w:r>
          </w:p>
          <w:p w14:paraId="2463243A" w14:textId="77777777" w:rsidR="005773E9" w:rsidRDefault="005773E9" w:rsidP="00925CAD">
            <w:pPr>
              <w:pStyle w:val="TableText"/>
              <w:numPr>
                <w:ilvl w:val="0"/>
                <w:numId w:val="30"/>
              </w:numPr>
            </w:pPr>
            <w:r>
              <w:t xml:space="preserve">Active Status </w:t>
            </w:r>
          </w:p>
          <w:p w14:paraId="0A7185A9" w14:textId="77777777" w:rsidR="005773E9" w:rsidRDefault="00691DFF" w:rsidP="00925CAD">
            <w:pPr>
              <w:pStyle w:val="TableText"/>
              <w:numPr>
                <w:ilvl w:val="0"/>
                <w:numId w:val="30"/>
              </w:numPr>
            </w:pPr>
            <w:r>
              <w:t>Full-Face-</w:t>
            </w:r>
            <w:r w:rsidR="005773E9">
              <w:t>Label Printer Status</w:t>
            </w:r>
          </w:p>
          <w:p w14:paraId="40216DE6" w14:textId="77777777" w:rsidR="005773E9" w:rsidRDefault="00691DFF" w:rsidP="00925CAD">
            <w:pPr>
              <w:pStyle w:val="TableText"/>
              <w:numPr>
                <w:ilvl w:val="0"/>
                <w:numId w:val="30"/>
              </w:numPr>
            </w:pPr>
            <w:r>
              <w:t>Full-Face-</w:t>
            </w:r>
            <w:r w:rsidR="005773E9">
              <w:t>Label Printer Port Number</w:t>
            </w:r>
          </w:p>
          <w:p w14:paraId="5D81F1A9" w14:textId="77777777" w:rsidR="005773E9" w:rsidRDefault="00691DFF" w:rsidP="00925CAD">
            <w:pPr>
              <w:pStyle w:val="TableText"/>
              <w:numPr>
                <w:ilvl w:val="0"/>
                <w:numId w:val="30"/>
              </w:numPr>
            </w:pPr>
            <w:r>
              <w:t>Full-Face-</w:t>
            </w:r>
            <w:r w:rsidR="005773E9">
              <w:t>Label Printer IP address</w:t>
            </w:r>
          </w:p>
          <w:p w14:paraId="5D20C9D1" w14:textId="77777777" w:rsidR="005773E9" w:rsidRDefault="00691DFF" w:rsidP="00925CAD">
            <w:pPr>
              <w:pStyle w:val="TableText"/>
              <w:numPr>
                <w:ilvl w:val="0"/>
                <w:numId w:val="30"/>
              </w:numPr>
            </w:pPr>
            <w:r>
              <w:t>Full-Face-</w:t>
            </w:r>
            <w:r w:rsidR="005773E9">
              <w:t xml:space="preserve">Label Printer COM </w:t>
            </w:r>
          </w:p>
          <w:p w14:paraId="4DEB4692" w14:textId="77777777" w:rsidR="005773E9" w:rsidRDefault="005773E9" w:rsidP="00925CAD">
            <w:pPr>
              <w:pStyle w:val="TableText"/>
              <w:numPr>
                <w:ilvl w:val="0"/>
                <w:numId w:val="30"/>
              </w:numPr>
            </w:pPr>
            <w:r>
              <w:t>Report Printer Name</w:t>
            </w:r>
            <w:r w:rsidR="006D54AE">
              <w:t xml:space="preserve"> </w:t>
            </w:r>
            <w:r w:rsidR="00892C58" w:rsidRPr="00892C58">
              <w:rPr>
                <w:vanish/>
              </w:rPr>
              <w:t>DR 2,882</w:t>
            </w:r>
          </w:p>
          <w:p w14:paraId="55FF1B3D" w14:textId="77777777" w:rsidR="005773E9" w:rsidRDefault="005773E9" w:rsidP="00925CAD">
            <w:pPr>
              <w:pStyle w:val="TableText"/>
              <w:numPr>
                <w:ilvl w:val="0"/>
                <w:numId w:val="30"/>
              </w:numPr>
            </w:pPr>
            <w:r>
              <w:t>Accession Area Name</w:t>
            </w:r>
          </w:p>
          <w:p w14:paraId="36C4E8F3" w14:textId="77777777" w:rsidR="005773E9" w:rsidRDefault="005773E9" w:rsidP="00925CAD">
            <w:pPr>
              <w:pStyle w:val="TableText"/>
              <w:numPr>
                <w:ilvl w:val="0"/>
                <w:numId w:val="31"/>
              </w:numPr>
              <w:ind w:left="0" w:firstLine="0"/>
            </w:pPr>
            <w:r>
              <w:t>Lock Inactivity Timeout Setting</w:t>
            </w:r>
          </w:p>
          <w:p w14:paraId="3B297A6F" w14:textId="77777777" w:rsidR="005773E9" w:rsidRDefault="005773E9" w:rsidP="00925CAD">
            <w:pPr>
              <w:pStyle w:val="TableText"/>
              <w:numPr>
                <w:ilvl w:val="0"/>
                <w:numId w:val="31"/>
              </w:numPr>
              <w:ind w:left="0" w:firstLine="0"/>
            </w:pPr>
            <w:r>
              <w:t>Time Zone Setting</w:t>
            </w:r>
          </w:p>
          <w:p w14:paraId="414ACB17" w14:textId="77777777" w:rsidR="005773E9" w:rsidRDefault="005773E9" w:rsidP="00925CAD">
            <w:pPr>
              <w:pStyle w:val="TableText"/>
              <w:numPr>
                <w:ilvl w:val="0"/>
                <w:numId w:val="32"/>
              </w:numPr>
            </w:pPr>
            <w:r>
              <w:t>Daylight savings time Setting</w:t>
            </w:r>
          </w:p>
          <w:p w14:paraId="6D5E183B" w14:textId="77777777" w:rsidR="005773E9" w:rsidRPr="00756ABF" w:rsidRDefault="005773E9" w:rsidP="00925CAD">
            <w:pPr>
              <w:pStyle w:val="TableText"/>
              <w:numPr>
                <w:ilvl w:val="0"/>
                <w:numId w:val="32"/>
              </w:numPr>
              <w:rPr>
                <w:rFonts w:cs="Arial"/>
              </w:rPr>
            </w:pPr>
            <w:r w:rsidRPr="00756ABF">
              <w:rPr>
                <w:rFonts w:cs="Arial"/>
              </w:rPr>
              <w:t>Daylight savings time start date</w:t>
            </w:r>
          </w:p>
          <w:p w14:paraId="4DD47855" w14:textId="77777777" w:rsidR="005773E9" w:rsidRPr="00756ABF" w:rsidRDefault="005773E9" w:rsidP="00925CAD">
            <w:pPr>
              <w:pStyle w:val="TableText"/>
              <w:numPr>
                <w:ilvl w:val="0"/>
                <w:numId w:val="32"/>
              </w:numPr>
              <w:rPr>
                <w:rFonts w:cs="Arial"/>
              </w:rPr>
            </w:pPr>
            <w:r w:rsidRPr="00756ABF">
              <w:rPr>
                <w:rFonts w:cs="Arial"/>
              </w:rPr>
              <w:t>Daylight savings time end date</w:t>
            </w:r>
          </w:p>
          <w:p w14:paraId="6B193A1B" w14:textId="77777777" w:rsidR="005773E9" w:rsidRPr="00756ABF" w:rsidRDefault="005773E9" w:rsidP="005773E9">
            <w:pPr>
              <w:rPr>
                <w:rFonts w:ascii="Arial" w:hAnsi="Arial" w:cs="Arial"/>
                <w:sz w:val="18"/>
                <w:szCs w:val="18"/>
              </w:rPr>
            </w:pPr>
            <w:r w:rsidRPr="00756ABF">
              <w:rPr>
                <w:rFonts w:ascii="Arial" w:hAnsi="Arial" w:cs="Arial"/>
                <w:sz w:val="18"/>
                <w:szCs w:val="18"/>
              </w:rPr>
              <w:t>For each Associated Institution (Division Code)</w:t>
            </w:r>
          </w:p>
          <w:p w14:paraId="41D706DC" w14:textId="77777777" w:rsidR="005773E9" w:rsidRDefault="005773E9" w:rsidP="00925CAD">
            <w:pPr>
              <w:pStyle w:val="TableText"/>
              <w:numPr>
                <w:ilvl w:val="0"/>
                <w:numId w:val="30"/>
              </w:numPr>
            </w:pPr>
            <w:r w:rsidRPr="00892C58">
              <w:t>Status indicator</w:t>
            </w:r>
            <w:r w:rsidR="006D54AE">
              <w:t xml:space="preserve"> </w:t>
            </w:r>
            <w:r w:rsidR="006D54AE" w:rsidRPr="006D54AE">
              <w:rPr>
                <w:vanish/>
              </w:rPr>
              <w:t>DR 2,723</w:t>
            </w:r>
          </w:p>
        </w:tc>
        <w:tc>
          <w:tcPr>
            <w:tcW w:w="1243" w:type="dxa"/>
          </w:tcPr>
          <w:p w14:paraId="712EF2DF" w14:textId="77777777" w:rsidR="002A21AE" w:rsidRDefault="002A21AE">
            <w:pPr>
              <w:pStyle w:val="TableText"/>
            </w:pPr>
            <w:r>
              <w:t>No</w:t>
            </w:r>
          </w:p>
        </w:tc>
        <w:tc>
          <w:tcPr>
            <w:tcW w:w="1295" w:type="dxa"/>
          </w:tcPr>
          <w:p w14:paraId="312843C2" w14:textId="77777777" w:rsidR="002A21AE" w:rsidRDefault="002A21AE">
            <w:pPr>
              <w:pStyle w:val="TableText"/>
            </w:pPr>
            <w:r>
              <w:t>No</w:t>
            </w:r>
          </w:p>
        </w:tc>
      </w:tr>
      <w:tr w:rsidR="007F2C58" w14:paraId="7D28710F" w14:textId="77777777" w:rsidTr="00DC1872">
        <w:trPr>
          <w:cantSplit/>
        </w:trPr>
        <w:tc>
          <w:tcPr>
            <w:tcW w:w="1525" w:type="dxa"/>
          </w:tcPr>
          <w:p w14:paraId="7E616F45" w14:textId="77777777" w:rsidR="007F2C58" w:rsidRDefault="007F2C58" w:rsidP="00CD34EB">
            <w:pPr>
              <w:pStyle w:val="TableText"/>
            </w:pPr>
            <w:r>
              <w:t>Maintenance: Division Configuration</w:t>
            </w:r>
          </w:p>
        </w:tc>
        <w:tc>
          <w:tcPr>
            <w:tcW w:w="1979" w:type="dxa"/>
          </w:tcPr>
          <w:p w14:paraId="7AF6B25C" w14:textId="77777777" w:rsidR="007F2C58" w:rsidRDefault="007F2C58">
            <w:pPr>
              <w:pStyle w:val="TableText"/>
            </w:pPr>
            <w:r>
              <w:t>Configure Division</w:t>
            </w:r>
          </w:p>
        </w:tc>
        <w:tc>
          <w:tcPr>
            <w:tcW w:w="3470" w:type="dxa"/>
          </w:tcPr>
          <w:p w14:paraId="65255CD8" w14:textId="77777777" w:rsidR="007F2C58" w:rsidRDefault="007F2C58" w:rsidP="007F2C58">
            <w:pPr>
              <w:pStyle w:val="TableText"/>
            </w:pPr>
            <w:r>
              <w:t xml:space="preserve">For each </w:t>
            </w:r>
            <w:r w:rsidR="00067C65">
              <w:t>d</w:t>
            </w:r>
            <w:r>
              <w:t>ivision (name, code):</w:t>
            </w:r>
          </w:p>
          <w:p w14:paraId="6567BA2F" w14:textId="77777777" w:rsidR="007F2C58" w:rsidRDefault="007F2C58" w:rsidP="007F2C58">
            <w:pPr>
              <w:pStyle w:val="TableTextBullet"/>
            </w:pPr>
            <w:r>
              <w:t>Electronic Crossmatch Enabled Indicator</w:t>
            </w:r>
          </w:p>
          <w:p w14:paraId="575E969B" w14:textId="77777777" w:rsidR="007F2C58" w:rsidRDefault="007F2C58" w:rsidP="007F2C58">
            <w:pPr>
              <w:pStyle w:val="TableTextBullet"/>
            </w:pPr>
            <w:r>
              <w:t>ICCBBA Registration Number</w:t>
            </w:r>
          </w:p>
          <w:p w14:paraId="62C4A9F9" w14:textId="77777777" w:rsidR="007F2C58" w:rsidRDefault="007F2C58" w:rsidP="007F2C58">
            <w:pPr>
              <w:pStyle w:val="TableTextBullet"/>
            </w:pPr>
            <w:r>
              <w:t>Maximum Specimen Expiration Days</w:t>
            </w:r>
          </w:p>
          <w:p w14:paraId="2DB9A45A" w14:textId="77777777" w:rsidR="007F2C58" w:rsidRDefault="007F2C58" w:rsidP="009C0ACB">
            <w:pPr>
              <w:pStyle w:val="TableTextBullet"/>
            </w:pPr>
            <w:r>
              <w:t>Blood Bank MD</w:t>
            </w:r>
          </w:p>
        </w:tc>
        <w:tc>
          <w:tcPr>
            <w:tcW w:w="1243" w:type="dxa"/>
          </w:tcPr>
          <w:p w14:paraId="45E2E3F1" w14:textId="77777777" w:rsidR="007F2C58" w:rsidRDefault="007F2C58">
            <w:pPr>
              <w:pStyle w:val="TableText"/>
            </w:pPr>
            <w:r>
              <w:t>No</w:t>
            </w:r>
          </w:p>
        </w:tc>
        <w:tc>
          <w:tcPr>
            <w:tcW w:w="1295" w:type="dxa"/>
          </w:tcPr>
          <w:p w14:paraId="2C4F66D3" w14:textId="77777777" w:rsidR="007F2C58" w:rsidRDefault="007F2C58">
            <w:pPr>
              <w:pStyle w:val="TableText"/>
            </w:pPr>
            <w:r>
              <w:t>No</w:t>
            </w:r>
          </w:p>
        </w:tc>
      </w:tr>
      <w:tr w:rsidR="00C64288" w14:paraId="3140E7BC" w14:textId="77777777" w:rsidTr="00DC1872">
        <w:trPr>
          <w:cantSplit/>
        </w:trPr>
        <w:tc>
          <w:tcPr>
            <w:tcW w:w="1525" w:type="dxa"/>
          </w:tcPr>
          <w:p w14:paraId="1386466F" w14:textId="77777777" w:rsidR="00C64288" w:rsidRDefault="00C64288" w:rsidP="00CD34EB">
            <w:pPr>
              <w:pStyle w:val="TableText"/>
            </w:pPr>
            <w:r>
              <w:t>Maintenance: Division Configuration</w:t>
            </w:r>
          </w:p>
        </w:tc>
        <w:tc>
          <w:tcPr>
            <w:tcW w:w="1979" w:type="dxa"/>
          </w:tcPr>
          <w:p w14:paraId="2148DF13" w14:textId="77777777" w:rsidR="00C64288" w:rsidRDefault="00C64288" w:rsidP="000B284D">
            <w:pPr>
              <w:pStyle w:val="TableText"/>
            </w:pPr>
            <w:r>
              <w:t>Edit Invoice Text</w:t>
            </w:r>
          </w:p>
        </w:tc>
        <w:tc>
          <w:tcPr>
            <w:tcW w:w="3470" w:type="dxa"/>
          </w:tcPr>
          <w:p w14:paraId="03A2B213" w14:textId="77777777" w:rsidR="00C64288" w:rsidRDefault="00C64288" w:rsidP="000B284D">
            <w:pPr>
              <w:pStyle w:val="TableText"/>
            </w:pPr>
            <w:r>
              <w:t xml:space="preserve">For each </w:t>
            </w:r>
            <w:r w:rsidR="002713C2">
              <w:t>d</w:t>
            </w:r>
            <w:r>
              <w:t>ivision (name, code):</w:t>
            </w:r>
          </w:p>
          <w:p w14:paraId="13963209" w14:textId="77777777" w:rsidR="00C64288" w:rsidRDefault="00C64288" w:rsidP="000B284D">
            <w:pPr>
              <w:pStyle w:val="TableTextBullet"/>
            </w:pPr>
            <w:r>
              <w:t>Invoice Text</w:t>
            </w:r>
          </w:p>
        </w:tc>
        <w:tc>
          <w:tcPr>
            <w:tcW w:w="1243" w:type="dxa"/>
          </w:tcPr>
          <w:p w14:paraId="040A406A" w14:textId="77777777" w:rsidR="00C64288" w:rsidRDefault="00C64288" w:rsidP="000B284D">
            <w:pPr>
              <w:pStyle w:val="TableText"/>
            </w:pPr>
            <w:r>
              <w:t>No</w:t>
            </w:r>
          </w:p>
        </w:tc>
        <w:tc>
          <w:tcPr>
            <w:tcW w:w="1295" w:type="dxa"/>
          </w:tcPr>
          <w:p w14:paraId="1855DE61" w14:textId="77777777" w:rsidR="00C64288" w:rsidRDefault="00C64288" w:rsidP="000B284D">
            <w:pPr>
              <w:pStyle w:val="TableText"/>
            </w:pPr>
            <w:r>
              <w:t>No</w:t>
            </w:r>
          </w:p>
        </w:tc>
      </w:tr>
      <w:tr w:rsidR="009C0ACB" w14:paraId="08B3BD57" w14:textId="77777777" w:rsidTr="00DC1872">
        <w:trPr>
          <w:cantSplit/>
        </w:trPr>
        <w:tc>
          <w:tcPr>
            <w:tcW w:w="1525" w:type="dxa"/>
          </w:tcPr>
          <w:p w14:paraId="2206EF7D" w14:textId="77777777" w:rsidR="009C0ACB" w:rsidRDefault="009C0ACB" w:rsidP="005C03DD">
            <w:pPr>
              <w:pStyle w:val="TableText"/>
            </w:pPr>
            <w:r>
              <w:t>Maintenance: Division Configuration</w:t>
            </w:r>
          </w:p>
        </w:tc>
        <w:tc>
          <w:tcPr>
            <w:tcW w:w="1979" w:type="dxa"/>
          </w:tcPr>
          <w:p w14:paraId="7F1E603A" w14:textId="77777777" w:rsidR="009C0ACB" w:rsidRDefault="009C0ACB" w:rsidP="005C03DD">
            <w:pPr>
              <w:pStyle w:val="TableText"/>
            </w:pPr>
            <w:r>
              <w:t>Configure Testing</w:t>
            </w:r>
          </w:p>
        </w:tc>
        <w:tc>
          <w:tcPr>
            <w:tcW w:w="3470" w:type="dxa"/>
          </w:tcPr>
          <w:p w14:paraId="4B5E9EC2" w14:textId="77777777" w:rsidR="009C0ACB" w:rsidRDefault="009C0ACB" w:rsidP="005C03DD">
            <w:pPr>
              <w:pStyle w:val="TableText"/>
            </w:pPr>
            <w:r>
              <w:t>For each division (name, code):</w:t>
            </w:r>
          </w:p>
          <w:p w14:paraId="07FD64E7" w14:textId="77777777" w:rsidR="009C0ACB" w:rsidRDefault="009C0ACB" w:rsidP="005C03DD">
            <w:pPr>
              <w:pStyle w:val="TableTextBullet"/>
            </w:pPr>
            <w:r>
              <w:t>Antibody Screen Indicator</w:t>
            </w:r>
          </w:p>
          <w:p w14:paraId="1F149F07" w14:textId="77777777" w:rsidR="006F4516" w:rsidRDefault="006F4516" w:rsidP="005C03DD">
            <w:pPr>
              <w:pStyle w:val="TableTextBullet"/>
            </w:pPr>
            <w:r>
              <w:t>ABS and XM Testing Phases</w:t>
            </w:r>
          </w:p>
        </w:tc>
        <w:tc>
          <w:tcPr>
            <w:tcW w:w="1243" w:type="dxa"/>
          </w:tcPr>
          <w:p w14:paraId="7525905A" w14:textId="77777777" w:rsidR="009C0ACB" w:rsidRDefault="009C0ACB" w:rsidP="005C03DD">
            <w:pPr>
              <w:pStyle w:val="TableText"/>
            </w:pPr>
            <w:r>
              <w:t>No</w:t>
            </w:r>
          </w:p>
        </w:tc>
        <w:tc>
          <w:tcPr>
            <w:tcW w:w="1295" w:type="dxa"/>
          </w:tcPr>
          <w:p w14:paraId="3D1FD178" w14:textId="77777777" w:rsidR="009C0ACB" w:rsidRDefault="009C0ACB" w:rsidP="005C03DD">
            <w:pPr>
              <w:pStyle w:val="TableText"/>
            </w:pPr>
            <w:r>
              <w:t>No</w:t>
            </w:r>
          </w:p>
        </w:tc>
      </w:tr>
      <w:tr w:rsidR="00EE6F41" w14:paraId="1EA64A43" w14:textId="77777777" w:rsidTr="00DC1872">
        <w:trPr>
          <w:cantSplit/>
        </w:trPr>
        <w:tc>
          <w:tcPr>
            <w:tcW w:w="1525" w:type="dxa"/>
          </w:tcPr>
          <w:p w14:paraId="727376CA" w14:textId="77777777" w:rsidR="00EE6F41" w:rsidRDefault="00EE6F41" w:rsidP="00CD34EB">
            <w:pPr>
              <w:pStyle w:val="TableText"/>
            </w:pPr>
            <w:r>
              <w:t>Maintenance: Division Configuration</w:t>
            </w:r>
          </w:p>
        </w:tc>
        <w:tc>
          <w:tcPr>
            <w:tcW w:w="1979" w:type="dxa"/>
          </w:tcPr>
          <w:p w14:paraId="52A10876" w14:textId="77777777" w:rsidR="00EE6F41" w:rsidRDefault="009C0ACB" w:rsidP="00EE6F41">
            <w:pPr>
              <w:pStyle w:val="TableText"/>
            </w:pPr>
            <w:r>
              <w:t>Order Alerts</w:t>
            </w:r>
          </w:p>
        </w:tc>
        <w:tc>
          <w:tcPr>
            <w:tcW w:w="3470" w:type="dxa"/>
          </w:tcPr>
          <w:p w14:paraId="06CE720F" w14:textId="77777777" w:rsidR="00EE6F41" w:rsidRDefault="00EE6F41" w:rsidP="00EE6F41">
            <w:pPr>
              <w:pStyle w:val="TableText"/>
            </w:pPr>
            <w:r>
              <w:t xml:space="preserve">For each </w:t>
            </w:r>
            <w:r w:rsidR="002713C2">
              <w:t>d</w:t>
            </w:r>
            <w:r>
              <w:t>ivision (name, code):</w:t>
            </w:r>
          </w:p>
          <w:p w14:paraId="38FA5F19" w14:textId="77777777" w:rsidR="00EE6F41" w:rsidRDefault="009C0ACB" w:rsidP="00EE6F41">
            <w:pPr>
              <w:pStyle w:val="TableTextBullet"/>
            </w:pPr>
            <w:r>
              <w:t>Login Message</w:t>
            </w:r>
          </w:p>
        </w:tc>
        <w:tc>
          <w:tcPr>
            <w:tcW w:w="1243" w:type="dxa"/>
          </w:tcPr>
          <w:p w14:paraId="781F1E04" w14:textId="77777777" w:rsidR="00EE6F41" w:rsidRDefault="00EE6F41" w:rsidP="00EE6F41">
            <w:pPr>
              <w:pStyle w:val="TableText"/>
            </w:pPr>
            <w:r>
              <w:t>No</w:t>
            </w:r>
          </w:p>
        </w:tc>
        <w:tc>
          <w:tcPr>
            <w:tcW w:w="1295" w:type="dxa"/>
          </w:tcPr>
          <w:p w14:paraId="5CCF7AC9" w14:textId="77777777" w:rsidR="00EE6F41" w:rsidRDefault="00EE6F41" w:rsidP="00EE6F41">
            <w:pPr>
              <w:pStyle w:val="TableText"/>
            </w:pPr>
            <w:r>
              <w:t>No</w:t>
            </w:r>
          </w:p>
        </w:tc>
      </w:tr>
      <w:tr w:rsidR="002A21AE" w14:paraId="33C48D4F" w14:textId="77777777" w:rsidTr="00DC1872">
        <w:trPr>
          <w:cantSplit/>
        </w:trPr>
        <w:tc>
          <w:tcPr>
            <w:tcW w:w="1525" w:type="dxa"/>
          </w:tcPr>
          <w:p w14:paraId="6C7BACA0" w14:textId="77777777" w:rsidR="002A21AE" w:rsidRDefault="002A21AE" w:rsidP="00CD34EB">
            <w:pPr>
              <w:pStyle w:val="TableText"/>
            </w:pPr>
            <w:r>
              <w:t>Maintenance: Modifications Configuration</w:t>
            </w:r>
          </w:p>
        </w:tc>
        <w:tc>
          <w:tcPr>
            <w:tcW w:w="1979" w:type="dxa"/>
          </w:tcPr>
          <w:p w14:paraId="5F9A707B" w14:textId="77777777" w:rsidR="002A21AE" w:rsidRDefault="00046402">
            <w:pPr>
              <w:pStyle w:val="TableText"/>
            </w:pPr>
            <w:r>
              <w:t>Product Modifications</w:t>
            </w:r>
          </w:p>
        </w:tc>
        <w:tc>
          <w:tcPr>
            <w:tcW w:w="3470" w:type="dxa"/>
          </w:tcPr>
          <w:p w14:paraId="42DA105A" w14:textId="77777777" w:rsidR="00563120" w:rsidRDefault="00563120" w:rsidP="00563120">
            <w:pPr>
              <w:pStyle w:val="TableText"/>
            </w:pPr>
            <w:r>
              <w:t>For each modification type:</w:t>
            </w:r>
          </w:p>
          <w:p w14:paraId="42B2153A" w14:textId="77777777" w:rsidR="002A21AE" w:rsidRDefault="002A21AE">
            <w:pPr>
              <w:pStyle w:val="TableTextBullet"/>
            </w:pPr>
            <w:r>
              <w:t>Enabled</w:t>
            </w:r>
            <w:r w:rsidR="00A047A4">
              <w:t xml:space="preserve"> or </w:t>
            </w:r>
            <w:r>
              <w:t>Disabled Indicator</w:t>
            </w:r>
          </w:p>
          <w:p w14:paraId="44E52551" w14:textId="77777777" w:rsidR="002A21AE" w:rsidRDefault="00563120">
            <w:pPr>
              <w:pStyle w:val="TableTextBullet"/>
            </w:pPr>
            <w:r>
              <w:t>Cost</w:t>
            </w:r>
          </w:p>
        </w:tc>
        <w:tc>
          <w:tcPr>
            <w:tcW w:w="1243" w:type="dxa"/>
          </w:tcPr>
          <w:p w14:paraId="25D566B3" w14:textId="77777777" w:rsidR="002A21AE" w:rsidRDefault="002A21AE">
            <w:pPr>
              <w:pStyle w:val="TableText"/>
            </w:pPr>
            <w:r>
              <w:t>No</w:t>
            </w:r>
          </w:p>
        </w:tc>
        <w:tc>
          <w:tcPr>
            <w:tcW w:w="1295" w:type="dxa"/>
          </w:tcPr>
          <w:p w14:paraId="06D1A571" w14:textId="77777777" w:rsidR="002A21AE" w:rsidRDefault="002A21AE">
            <w:pPr>
              <w:pStyle w:val="TableText"/>
            </w:pPr>
            <w:r>
              <w:t>No</w:t>
            </w:r>
          </w:p>
        </w:tc>
      </w:tr>
      <w:tr w:rsidR="002A21AE" w14:paraId="4F01DFDD" w14:textId="77777777" w:rsidTr="00DC1872">
        <w:trPr>
          <w:cantSplit/>
        </w:trPr>
        <w:tc>
          <w:tcPr>
            <w:tcW w:w="1525" w:type="dxa"/>
            <w:tcBorders>
              <w:bottom w:val="single" w:sz="4" w:space="0" w:color="auto"/>
            </w:tcBorders>
          </w:tcPr>
          <w:p w14:paraId="166DDE74" w14:textId="77777777" w:rsidR="002A21AE" w:rsidRDefault="002A21AE" w:rsidP="00CD34EB">
            <w:pPr>
              <w:pStyle w:val="TableText"/>
            </w:pPr>
            <w:r>
              <w:t>Maintenance: User Role Changes</w:t>
            </w:r>
          </w:p>
        </w:tc>
        <w:tc>
          <w:tcPr>
            <w:tcW w:w="1979" w:type="dxa"/>
            <w:tcBorders>
              <w:bottom w:val="single" w:sz="4" w:space="0" w:color="auto"/>
            </w:tcBorders>
          </w:tcPr>
          <w:p w14:paraId="0FFBB7F3" w14:textId="77777777" w:rsidR="002A21AE" w:rsidRDefault="002A21AE">
            <w:pPr>
              <w:pStyle w:val="TableText"/>
            </w:pPr>
            <w:r>
              <w:t>Update User Roles</w:t>
            </w:r>
          </w:p>
        </w:tc>
        <w:tc>
          <w:tcPr>
            <w:tcW w:w="3470" w:type="dxa"/>
            <w:tcBorders>
              <w:bottom w:val="single" w:sz="4" w:space="0" w:color="auto"/>
            </w:tcBorders>
          </w:tcPr>
          <w:p w14:paraId="46CC9468" w14:textId="77777777" w:rsidR="00563120" w:rsidRDefault="00563120" w:rsidP="00563120">
            <w:pPr>
              <w:pStyle w:val="TableText"/>
            </w:pPr>
            <w:r>
              <w:t>For each user:</w:t>
            </w:r>
          </w:p>
          <w:p w14:paraId="31663D4A" w14:textId="77777777" w:rsidR="002A21AE" w:rsidRDefault="002A21AE">
            <w:pPr>
              <w:pStyle w:val="TableTextBullet"/>
            </w:pPr>
            <w:r>
              <w:t xml:space="preserve">User Role Security Setting </w:t>
            </w:r>
          </w:p>
        </w:tc>
        <w:tc>
          <w:tcPr>
            <w:tcW w:w="1243" w:type="dxa"/>
            <w:tcBorders>
              <w:bottom w:val="single" w:sz="4" w:space="0" w:color="auto"/>
            </w:tcBorders>
          </w:tcPr>
          <w:p w14:paraId="3A49FBC0" w14:textId="77777777" w:rsidR="002A21AE" w:rsidRDefault="002A21AE">
            <w:pPr>
              <w:pStyle w:val="TableText"/>
            </w:pPr>
            <w:r>
              <w:t>No</w:t>
            </w:r>
          </w:p>
        </w:tc>
        <w:tc>
          <w:tcPr>
            <w:tcW w:w="1295" w:type="dxa"/>
            <w:tcBorders>
              <w:bottom w:val="single" w:sz="4" w:space="0" w:color="auto"/>
            </w:tcBorders>
          </w:tcPr>
          <w:p w14:paraId="434BD39C" w14:textId="77777777" w:rsidR="002A21AE" w:rsidRDefault="002A21AE">
            <w:pPr>
              <w:pStyle w:val="TableText"/>
            </w:pPr>
            <w:r>
              <w:t>No</w:t>
            </w:r>
          </w:p>
        </w:tc>
      </w:tr>
      <w:tr w:rsidR="00C644E6" w14:paraId="199DC208" w14:textId="77777777" w:rsidTr="00DC1872">
        <w:trPr>
          <w:cantSplit/>
        </w:trPr>
        <w:tc>
          <w:tcPr>
            <w:tcW w:w="1525" w:type="dxa"/>
          </w:tcPr>
          <w:p w14:paraId="15F5F31C" w14:textId="77777777" w:rsidR="00C644E6" w:rsidRDefault="00C644E6" w:rsidP="00CD34EB">
            <w:pPr>
              <w:pStyle w:val="TableText"/>
            </w:pPr>
            <w:r>
              <w:t>Maintenance: User Role Changes</w:t>
            </w:r>
          </w:p>
        </w:tc>
        <w:tc>
          <w:tcPr>
            <w:tcW w:w="1979" w:type="dxa"/>
          </w:tcPr>
          <w:p w14:paraId="177C3A23" w14:textId="77777777" w:rsidR="00C644E6" w:rsidRDefault="00F453CE" w:rsidP="000B284D">
            <w:pPr>
              <w:pStyle w:val="TableText"/>
            </w:pPr>
            <w:r>
              <w:t>Configure</w:t>
            </w:r>
            <w:r w:rsidR="00C644E6">
              <w:t xml:space="preserve"> Users</w:t>
            </w:r>
            <w:r w:rsidR="00DE4FF7" w:rsidRPr="00DE4FF7">
              <w:rPr>
                <w:vanish/>
                <w:szCs w:val="18"/>
              </w:rPr>
              <w:t xml:space="preserve"> MUC_03</w:t>
            </w:r>
          </w:p>
        </w:tc>
        <w:tc>
          <w:tcPr>
            <w:tcW w:w="3470" w:type="dxa"/>
          </w:tcPr>
          <w:p w14:paraId="13CF16B3" w14:textId="77777777" w:rsidR="00C644E6" w:rsidRDefault="00C644E6" w:rsidP="00C644E6">
            <w:pPr>
              <w:pStyle w:val="TableText"/>
            </w:pPr>
            <w:r>
              <w:t>For each NT user (name, ID):</w:t>
            </w:r>
          </w:p>
          <w:p w14:paraId="0AA69D88" w14:textId="77777777" w:rsidR="00C644E6" w:rsidRDefault="00C644E6" w:rsidP="000B284D">
            <w:pPr>
              <w:pStyle w:val="TableTextBullet"/>
            </w:pPr>
            <w:r>
              <w:t>VistA DUZ</w:t>
            </w:r>
          </w:p>
          <w:p w14:paraId="34F62F57" w14:textId="77777777" w:rsidR="00C644E6" w:rsidRDefault="00C644E6" w:rsidP="000B284D">
            <w:pPr>
              <w:pStyle w:val="TableTextBullet"/>
            </w:pPr>
            <w:r>
              <w:t>VistA User Name</w:t>
            </w:r>
          </w:p>
          <w:p w14:paraId="6382FAA3" w14:textId="77777777" w:rsidR="00C644E6" w:rsidRDefault="00C644E6" w:rsidP="000B284D">
            <w:pPr>
              <w:pStyle w:val="TableTextBullet"/>
            </w:pPr>
            <w:r>
              <w:t>Email Address</w:t>
            </w:r>
          </w:p>
          <w:p w14:paraId="32D63DD8" w14:textId="77777777" w:rsidR="00C644E6" w:rsidRDefault="00C644E6" w:rsidP="000B284D">
            <w:pPr>
              <w:pStyle w:val="TableTextBullet"/>
            </w:pPr>
            <w:r>
              <w:t>User Initials</w:t>
            </w:r>
          </w:p>
          <w:p w14:paraId="600F6042" w14:textId="77777777" w:rsidR="00C644E6" w:rsidRDefault="00C644E6" w:rsidP="000B284D">
            <w:pPr>
              <w:pStyle w:val="TableTextBullet"/>
            </w:pPr>
            <w:r>
              <w:t>Active VBECS User Indicator</w:t>
            </w:r>
          </w:p>
          <w:p w14:paraId="48ECA72E" w14:textId="77777777" w:rsidR="00C644E6" w:rsidRDefault="00342C0E" w:rsidP="000B284D">
            <w:pPr>
              <w:pStyle w:val="TableTextBullet"/>
            </w:pPr>
            <w:r>
              <w:t>Active Division Indicator</w:t>
            </w:r>
          </w:p>
        </w:tc>
        <w:tc>
          <w:tcPr>
            <w:tcW w:w="1243" w:type="dxa"/>
          </w:tcPr>
          <w:p w14:paraId="39D67C6F" w14:textId="77777777" w:rsidR="00C644E6" w:rsidRDefault="00C644E6" w:rsidP="000B284D">
            <w:pPr>
              <w:pStyle w:val="TableText"/>
            </w:pPr>
            <w:r>
              <w:t>No</w:t>
            </w:r>
          </w:p>
        </w:tc>
        <w:tc>
          <w:tcPr>
            <w:tcW w:w="1295" w:type="dxa"/>
          </w:tcPr>
          <w:p w14:paraId="7470774D" w14:textId="77777777" w:rsidR="00C644E6" w:rsidRDefault="00C644E6" w:rsidP="000B284D">
            <w:pPr>
              <w:pStyle w:val="TableText"/>
            </w:pPr>
            <w:r>
              <w:t>No</w:t>
            </w:r>
          </w:p>
        </w:tc>
      </w:tr>
      <w:tr w:rsidR="002A21AE" w14:paraId="7418B723" w14:textId="77777777" w:rsidTr="00DC1872">
        <w:trPr>
          <w:cantSplit/>
        </w:trPr>
        <w:tc>
          <w:tcPr>
            <w:tcW w:w="1525" w:type="dxa"/>
          </w:tcPr>
          <w:p w14:paraId="54296686" w14:textId="77777777" w:rsidR="002A21AE" w:rsidRDefault="002A21AE" w:rsidP="00CD34EB">
            <w:pPr>
              <w:pStyle w:val="TableText"/>
            </w:pPr>
            <w:r>
              <w:t>Maintenance: Antibody Configuration</w:t>
            </w:r>
          </w:p>
        </w:tc>
        <w:tc>
          <w:tcPr>
            <w:tcW w:w="1979" w:type="dxa"/>
          </w:tcPr>
          <w:p w14:paraId="534F16AB" w14:textId="77777777" w:rsidR="002A21AE" w:rsidRDefault="002A21AE">
            <w:pPr>
              <w:pStyle w:val="TableText"/>
            </w:pPr>
            <w:r>
              <w:t>Antibodies</w:t>
            </w:r>
          </w:p>
        </w:tc>
        <w:tc>
          <w:tcPr>
            <w:tcW w:w="3470" w:type="dxa"/>
          </w:tcPr>
          <w:p w14:paraId="1C257EDB" w14:textId="77777777" w:rsidR="00A71D77" w:rsidRDefault="00A71D77" w:rsidP="00A71D77">
            <w:pPr>
              <w:pStyle w:val="TableText"/>
            </w:pPr>
            <w:r>
              <w:t>For each antibody specificity:</w:t>
            </w:r>
          </w:p>
          <w:p w14:paraId="65805E24" w14:textId="77777777" w:rsidR="002A21AE" w:rsidRDefault="002A21AE">
            <w:pPr>
              <w:pStyle w:val="TableTextBullet"/>
            </w:pPr>
            <w:r>
              <w:t>Compatibility Percentage</w:t>
            </w:r>
          </w:p>
          <w:p w14:paraId="08A868F8" w14:textId="77777777" w:rsidR="002A21AE" w:rsidRDefault="00A71D77">
            <w:pPr>
              <w:pStyle w:val="TableTextBullet"/>
            </w:pPr>
            <w:r>
              <w:t>Higher Level Override Required Indicator</w:t>
            </w:r>
          </w:p>
        </w:tc>
        <w:tc>
          <w:tcPr>
            <w:tcW w:w="1243" w:type="dxa"/>
          </w:tcPr>
          <w:p w14:paraId="3FCF960F" w14:textId="77777777" w:rsidR="002A21AE" w:rsidRDefault="002A21AE">
            <w:pPr>
              <w:pStyle w:val="TableText"/>
            </w:pPr>
            <w:r>
              <w:t>No</w:t>
            </w:r>
          </w:p>
        </w:tc>
        <w:tc>
          <w:tcPr>
            <w:tcW w:w="1295" w:type="dxa"/>
          </w:tcPr>
          <w:p w14:paraId="19BC9E7C" w14:textId="77777777" w:rsidR="002A21AE" w:rsidRDefault="002A21AE">
            <w:pPr>
              <w:pStyle w:val="TableText"/>
            </w:pPr>
            <w:r>
              <w:t>No</w:t>
            </w:r>
          </w:p>
        </w:tc>
      </w:tr>
      <w:tr w:rsidR="002A21AE" w14:paraId="21EE63DB" w14:textId="77777777" w:rsidTr="00DC1872">
        <w:trPr>
          <w:cantSplit/>
        </w:trPr>
        <w:tc>
          <w:tcPr>
            <w:tcW w:w="1525" w:type="dxa"/>
          </w:tcPr>
          <w:p w14:paraId="7336AD7A" w14:textId="77777777" w:rsidR="002A21AE" w:rsidRDefault="002A21AE" w:rsidP="00CD34EB">
            <w:pPr>
              <w:pStyle w:val="TableText"/>
            </w:pPr>
            <w:r>
              <w:lastRenderedPageBreak/>
              <w:t>Maintenance: Workload Configuration</w:t>
            </w:r>
          </w:p>
        </w:tc>
        <w:tc>
          <w:tcPr>
            <w:tcW w:w="1979" w:type="dxa"/>
          </w:tcPr>
          <w:p w14:paraId="13AA1397" w14:textId="77777777" w:rsidR="002A21AE" w:rsidRDefault="002A21AE">
            <w:pPr>
              <w:pStyle w:val="TableText"/>
            </w:pPr>
            <w:r>
              <w:t>Workload Codes</w:t>
            </w:r>
          </w:p>
        </w:tc>
        <w:tc>
          <w:tcPr>
            <w:tcW w:w="3470" w:type="dxa"/>
          </w:tcPr>
          <w:p w14:paraId="7EBE3B7A" w14:textId="77777777" w:rsidR="00B320F4" w:rsidRDefault="00B320F4" w:rsidP="00B320F4">
            <w:pPr>
              <w:pStyle w:val="TableText"/>
            </w:pPr>
            <w:r>
              <w:t>For each workload process and for each LMIP procedure and LMIP/NLT code:</w:t>
            </w:r>
          </w:p>
          <w:p w14:paraId="62FCBD4A" w14:textId="77777777" w:rsidR="00B320F4" w:rsidRDefault="00B320F4" w:rsidP="00B320F4">
            <w:pPr>
              <w:pStyle w:val="TableTextBullet"/>
            </w:pPr>
            <w:r>
              <w:t>Start Date</w:t>
            </w:r>
          </w:p>
          <w:p w14:paraId="14F6B765" w14:textId="77777777" w:rsidR="00B320F4" w:rsidRDefault="00B320F4" w:rsidP="00B320F4">
            <w:pPr>
              <w:pStyle w:val="TableTextBullet"/>
            </w:pPr>
            <w:r>
              <w:t>Stop Date</w:t>
            </w:r>
          </w:p>
          <w:p w14:paraId="57E66CAA" w14:textId="77777777" w:rsidR="0098047D" w:rsidRDefault="00B320F4" w:rsidP="00B320F4">
            <w:pPr>
              <w:pStyle w:val="TableTextBullet"/>
            </w:pPr>
            <w:r>
              <w:t>Status Indicator</w:t>
            </w:r>
          </w:p>
        </w:tc>
        <w:tc>
          <w:tcPr>
            <w:tcW w:w="1243" w:type="dxa"/>
          </w:tcPr>
          <w:p w14:paraId="3DE3A0D5" w14:textId="77777777" w:rsidR="002A21AE" w:rsidRDefault="002A21AE">
            <w:pPr>
              <w:pStyle w:val="TableText"/>
            </w:pPr>
            <w:r>
              <w:t>No</w:t>
            </w:r>
          </w:p>
        </w:tc>
        <w:tc>
          <w:tcPr>
            <w:tcW w:w="1295" w:type="dxa"/>
          </w:tcPr>
          <w:p w14:paraId="609DD482" w14:textId="77777777" w:rsidR="002A21AE" w:rsidRDefault="002A21AE">
            <w:pPr>
              <w:pStyle w:val="TableText"/>
            </w:pPr>
            <w:r>
              <w:t>No</w:t>
            </w:r>
          </w:p>
        </w:tc>
      </w:tr>
      <w:tr w:rsidR="002A21AE" w14:paraId="07409DFB" w14:textId="77777777" w:rsidTr="00DC1872">
        <w:trPr>
          <w:cantSplit/>
        </w:trPr>
        <w:tc>
          <w:tcPr>
            <w:tcW w:w="1525" w:type="dxa"/>
          </w:tcPr>
          <w:p w14:paraId="5179A039" w14:textId="77777777" w:rsidR="002A21AE" w:rsidRDefault="002A21AE" w:rsidP="00CD34EB">
            <w:pPr>
              <w:pStyle w:val="TableText"/>
            </w:pPr>
            <w:r>
              <w:t>Maintenance: MSBOS Configuration</w:t>
            </w:r>
          </w:p>
        </w:tc>
        <w:tc>
          <w:tcPr>
            <w:tcW w:w="1979" w:type="dxa"/>
          </w:tcPr>
          <w:p w14:paraId="4204987A" w14:textId="77777777" w:rsidR="002A21AE" w:rsidRDefault="002A21AE">
            <w:pPr>
              <w:pStyle w:val="TableText"/>
            </w:pPr>
            <w:r>
              <w:t>MSBOS</w:t>
            </w:r>
          </w:p>
        </w:tc>
        <w:tc>
          <w:tcPr>
            <w:tcW w:w="3470" w:type="dxa"/>
          </w:tcPr>
          <w:p w14:paraId="455A5E21" w14:textId="77777777" w:rsidR="002A21AE" w:rsidRDefault="00F06D63" w:rsidP="00F06D63">
            <w:pPr>
              <w:pStyle w:val="TableText"/>
            </w:pPr>
            <w:r>
              <w:t xml:space="preserve">For each </w:t>
            </w:r>
            <w:r w:rsidR="00B63E26">
              <w:t>s</w:t>
            </w:r>
            <w:r w:rsidR="002A21AE">
              <w:t xml:space="preserve">urgery </w:t>
            </w:r>
            <w:r w:rsidR="00B63E26">
              <w:t>n</w:t>
            </w:r>
            <w:r>
              <w:t xml:space="preserve">ame: </w:t>
            </w:r>
          </w:p>
          <w:p w14:paraId="36DA01B7" w14:textId="77777777" w:rsidR="002A21AE" w:rsidRDefault="00F06D63">
            <w:pPr>
              <w:pStyle w:val="TableTextBullet"/>
            </w:pPr>
            <w:r>
              <w:t xml:space="preserve">Surgery Status </w:t>
            </w:r>
            <w:r w:rsidR="002A21AE">
              <w:t>Indicator</w:t>
            </w:r>
          </w:p>
          <w:p w14:paraId="64808845" w14:textId="77777777" w:rsidR="00F06D63" w:rsidRDefault="00F06D63" w:rsidP="00F06D63">
            <w:pPr>
              <w:pStyle w:val="TableText"/>
            </w:pPr>
            <w:r>
              <w:t xml:space="preserve">For each </w:t>
            </w:r>
            <w:r w:rsidR="002A21AE">
              <w:t xml:space="preserve">MSBOS </w:t>
            </w:r>
            <w:r w:rsidR="00B63E26">
              <w:t>r</w:t>
            </w:r>
            <w:r w:rsidR="002A21AE">
              <w:t>ecommendation</w:t>
            </w:r>
            <w:r>
              <w:t>:</w:t>
            </w:r>
          </w:p>
          <w:p w14:paraId="31F8A126" w14:textId="77777777" w:rsidR="002A21AE" w:rsidRDefault="002A21AE" w:rsidP="00F06D63">
            <w:pPr>
              <w:pStyle w:val="TableTextBullet"/>
            </w:pPr>
            <w:r>
              <w:t xml:space="preserve">TAS </w:t>
            </w:r>
            <w:r w:rsidR="00F06D63">
              <w:t>Indicator</w:t>
            </w:r>
          </w:p>
          <w:p w14:paraId="2A4AFFBB" w14:textId="77777777" w:rsidR="00F06D63" w:rsidRDefault="00F06D63" w:rsidP="00F06D63">
            <w:pPr>
              <w:pStyle w:val="TableTextBullet"/>
            </w:pPr>
            <w:r>
              <w:t>No Blood Required Indicator</w:t>
            </w:r>
          </w:p>
          <w:p w14:paraId="1A416301" w14:textId="77777777" w:rsidR="00F06D63" w:rsidRDefault="00F06D63" w:rsidP="00F06D63">
            <w:pPr>
              <w:pStyle w:val="TableText"/>
            </w:pPr>
            <w:r>
              <w:t>For each selected component class:</w:t>
            </w:r>
          </w:p>
          <w:p w14:paraId="597FEE6F" w14:textId="77777777" w:rsidR="00F06D63" w:rsidRDefault="00F06D63" w:rsidP="00F06D63">
            <w:pPr>
              <w:pStyle w:val="TableTextBullet"/>
            </w:pPr>
            <w:r>
              <w:t>Number of Units</w:t>
            </w:r>
          </w:p>
          <w:p w14:paraId="1BEB06B2" w14:textId="77777777" w:rsidR="00F06D63" w:rsidRDefault="00F06D63" w:rsidP="00F06D63">
            <w:pPr>
              <w:pStyle w:val="TableTextBullet"/>
            </w:pPr>
            <w:r>
              <w:t>Recommendation Status Indicator</w:t>
            </w:r>
          </w:p>
        </w:tc>
        <w:tc>
          <w:tcPr>
            <w:tcW w:w="1243" w:type="dxa"/>
          </w:tcPr>
          <w:p w14:paraId="226CA37F" w14:textId="77777777" w:rsidR="002A21AE" w:rsidRDefault="002A21AE">
            <w:pPr>
              <w:pStyle w:val="TableText"/>
            </w:pPr>
            <w:r>
              <w:t>No</w:t>
            </w:r>
          </w:p>
        </w:tc>
        <w:tc>
          <w:tcPr>
            <w:tcW w:w="1295" w:type="dxa"/>
          </w:tcPr>
          <w:p w14:paraId="3CC907E5" w14:textId="77777777" w:rsidR="002A21AE" w:rsidRDefault="002A21AE">
            <w:pPr>
              <w:pStyle w:val="TableText"/>
            </w:pPr>
            <w:r>
              <w:t>No</w:t>
            </w:r>
          </w:p>
        </w:tc>
      </w:tr>
      <w:tr w:rsidR="002A21AE" w14:paraId="1B100FF4" w14:textId="77777777" w:rsidTr="00DC1872">
        <w:trPr>
          <w:cantSplit/>
        </w:trPr>
        <w:tc>
          <w:tcPr>
            <w:tcW w:w="1525" w:type="dxa"/>
          </w:tcPr>
          <w:p w14:paraId="54F96C17" w14:textId="77777777" w:rsidR="002A21AE" w:rsidRDefault="002A21AE" w:rsidP="00CD34EB">
            <w:pPr>
              <w:pStyle w:val="TableText"/>
            </w:pPr>
            <w:r>
              <w:t>Maintenance: Transfusion Effectiveness Changes</w:t>
            </w:r>
          </w:p>
        </w:tc>
        <w:tc>
          <w:tcPr>
            <w:tcW w:w="1979" w:type="dxa"/>
          </w:tcPr>
          <w:p w14:paraId="7FB49A40" w14:textId="77777777" w:rsidR="002A21AE" w:rsidRDefault="002A21AE">
            <w:pPr>
              <w:pStyle w:val="TableText"/>
            </w:pPr>
            <w:r>
              <w:t>Transfusion Effectiveness</w:t>
            </w:r>
          </w:p>
        </w:tc>
        <w:tc>
          <w:tcPr>
            <w:tcW w:w="3470" w:type="dxa"/>
          </w:tcPr>
          <w:p w14:paraId="4E8E78AB" w14:textId="77777777" w:rsidR="004E501B" w:rsidRDefault="008945EE" w:rsidP="004E501B">
            <w:pPr>
              <w:pStyle w:val="TableText"/>
            </w:pPr>
            <w:r>
              <w:t>For each Laboratory t</w:t>
            </w:r>
            <w:r w:rsidR="004E501B">
              <w:t xml:space="preserve">est </w:t>
            </w:r>
            <w:r>
              <w:t>n</w:t>
            </w:r>
            <w:r w:rsidR="004E501B">
              <w:t xml:space="preserve">ame, for each VistA Laboratory </w:t>
            </w:r>
            <w:r>
              <w:t>t</w:t>
            </w:r>
            <w:r w:rsidR="004E501B">
              <w:t xml:space="preserve">est Internal Entry Number (IEN), and for each </w:t>
            </w:r>
            <w:r>
              <w:t>s</w:t>
            </w:r>
            <w:r w:rsidR="004E501B">
              <w:t xml:space="preserve">pecimen </w:t>
            </w:r>
            <w:r>
              <w:t>t</w:t>
            </w:r>
            <w:r w:rsidR="004E501B">
              <w:t xml:space="preserve">ype: </w:t>
            </w:r>
          </w:p>
          <w:p w14:paraId="4AB815DB" w14:textId="77777777" w:rsidR="002A21AE" w:rsidRDefault="004E501B">
            <w:pPr>
              <w:pStyle w:val="TableTextBullet"/>
            </w:pPr>
            <w:r>
              <w:t>Status Indicator</w:t>
            </w:r>
          </w:p>
        </w:tc>
        <w:tc>
          <w:tcPr>
            <w:tcW w:w="1243" w:type="dxa"/>
          </w:tcPr>
          <w:p w14:paraId="132B5551" w14:textId="77777777" w:rsidR="002A21AE" w:rsidRDefault="002A21AE">
            <w:pPr>
              <w:pStyle w:val="TableText"/>
            </w:pPr>
            <w:r>
              <w:t>No</w:t>
            </w:r>
          </w:p>
        </w:tc>
        <w:tc>
          <w:tcPr>
            <w:tcW w:w="1295" w:type="dxa"/>
          </w:tcPr>
          <w:p w14:paraId="0074C757" w14:textId="77777777" w:rsidR="002A21AE" w:rsidRDefault="002A21AE">
            <w:pPr>
              <w:pStyle w:val="TableText"/>
            </w:pPr>
            <w:r>
              <w:t>No</w:t>
            </w:r>
          </w:p>
        </w:tc>
      </w:tr>
      <w:tr w:rsidR="002A21AE" w14:paraId="38E86C78" w14:textId="77777777" w:rsidTr="00DC1872">
        <w:trPr>
          <w:cantSplit/>
        </w:trPr>
        <w:tc>
          <w:tcPr>
            <w:tcW w:w="1525" w:type="dxa"/>
          </w:tcPr>
          <w:p w14:paraId="5240B1B9" w14:textId="77777777" w:rsidR="002A21AE" w:rsidRDefault="002A21AE" w:rsidP="00CD34EB">
            <w:pPr>
              <w:pStyle w:val="TableText"/>
            </w:pPr>
            <w:r>
              <w:t>Maintenance: Transfusion Complications Changes</w:t>
            </w:r>
          </w:p>
        </w:tc>
        <w:tc>
          <w:tcPr>
            <w:tcW w:w="1979" w:type="dxa"/>
          </w:tcPr>
          <w:p w14:paraId="16EEE063" w14:textId="77777777" w:rsidR="002A21AE" w:rsidRDefault="002A21AE">
            <w:pPr>
              <w:pStyle w:val="TableText"/>
            </w:pPr>
            <w:r>
              <w:t>Transfusion Complications</w:t>
            </w:r>
          </w:p>
        </w:tc>
        <w:tc>
          <w:tcPr>
            <w:tcW w:w="3470" w:type="dxa"/>
          </w:tcPr>
          <w:p w14:paraId="6522ED69" w14:textId="77777777" w:rsidR="004E501B" w:rsidRDefault="004E501B" w:rsidP="004E501B">
            <w:pPr>
              <w:pStyle w:val="TableText"/>
            </w:pPr>
            <w:r>
              <w:t xml:space="preserve">For each Laboratory </w:t>
            </w:r>
            <w:r w:rsidR="008945EE">
              <w:t>te</w:t>
            </w:r>
            <w:r>
              <w:t xml:space="preserve">st </w:t>
            </w:r>
            <w:r w:rsidR="008945EE">
              <w:t>n</w:t>
            </w:r>
            <w:r>
              <w:t xml:space="preserve">ame, for each VistA Laboratory </w:t>
            </w:r>
            <w:r w:rsidR="008945EE">
              <w:t>t</w:t>
            </w:r>
            <w:r>
              <w:t xml:space="preserve">est IEN, and for each </w:t>
            </w:r>
            <w:r w:rsidR="008945EE">
              <w:t>s</w:t>
            </w:r>
            <w:r>
              <w:t xml:space="preserve">pecimen </w:t>
            </w:r>
            <w:r w:rsidR="008945EE">
              <w:t>t</w:t>
            </w:r>
            <w:r>
              <w:t xml:space="preserve">ype: </w:t>
            </w:r>
          </w:p>
          <w:p w14:paraId="07FABEDF" w14:textId="77777777" w:rsidR="004E501B" w:rsidRDefault="004E501B" w:rsidP="004E501B">
            <w:pPr>
              <w:pStyle w:val="TableTextBullet"/>
            </w:pPr>
            <w:r>
              <w:t>Threshold Result</w:t>
            </w:r>
          </w:p>
          <w:p w14:paraId="39792FCD" w14:textId="77777777" w:rsidR="004E501B" w:rsidRDefault="004E501B" w:rsidP="004E501B">
            <w:pPr>
              <w:pStyle w:val="TableTextBullet"/>
            </w:pPr>
            <w:r>
              <w:t>Threshold Setting Status</w:t>
            </w:r>
          </w:p>
          <w:p w14:paraId="792BAD8D" w14:textId="77777777" w:rsidR="002A21AE" w:rsidRDefault="004E501B" w:rsidP="004E501B">
            <w:pPr>
              <w:pStyle w:val="TableTextBullet"/>
            </w:pPr>
            <w:r>
              <w:t>Status indicator</w:t>
            </w:r>
            <w:r w:rsidDel="003933CD">
              <w:t xml:space="preserve"> </w:t>
            </w:r>
          </w:p>
        </w:tc>
        <w:tc>
          <w:tcPr>
            <w:tcW w:w="1243" w:type="dxa"/>
          </w:tcPr>
          <w:p w14:paraId="1BADF183" w14:textId="77777777" w:rsidR="002A21AE" w:rsidRDefault="002A21AE">
            <w:pPr>
              <w:pStyle w:val="TableText"/>
            </w:pPr>
            <w:r>
              <w:t>No</w:t>
            </w:r>
          </w:p>
        </w:tc>
        <w:tc>
          <w:tcPr>
            <w:tcW w:w="1295" w:type="dxa"/>
          </w:tcPr>
          <w:p w14:paraId="7B16E8A8" w14:textId="77777777" w:rsidR="002A21AE" w:rsidRDefault="002A21AE">
            <w:pPr>
              <w:pStyle w:val="TableText"/>
            </w:pPr>
            <w:r>
              <w:t>No</w:t>
            </w:r>
          </w:p>
        </w:tc>
      </w:tr>
      <w:tr w:rsidR="002A21AE" w14:paraId="2CA76DEE" w14:textId="77777777" w:rsidTr="00DC1872">
        <w:trPr>
          <w:cantSplit/>
        </w:trPr>
        <w:tc>
          <w:tcPr>
            <w:tcW w:w="1525" w:type="dxa"/>
          </w:tcPr>
          <w:p w14:paraId="4795FFC0" w14:textId="77777777" w:rsidR="002A21AE" w:rsidRDefault="002A21AE" w:rsidP="00CD34EB">
            <w:pPr>
              <w:pStyle w:val="TableText"/>
            </w:pPr>
            <w:r>
              <w:t>Maintenance: Component Class</w:t>
            </w:r>
          </w:p>
        </w:tc>
        <w:tc>
          <w:tcPr>
            <w:tcW w:w="1979" w:type="dxa"/>
          </w:tcPr>
          <w:p w14:paraId="60813F84" w14:textId="77777777" w:rsidR="002A21AE" w:rsidRDefault="002A21AE">
            <w:pPr>
              <w:pStyle w:val="TableText"/>
            </w:pPr>
            <w:r>
              <w:t xml:space="preserve">Component Classes </w:t>
            </w:r>
          </w:p>
        </w:tc>
        <w:tc>
          <w:tcPr>
            <w:tcW w:w="3470" w:type="dxa"/>
          </w:tcPr>
          <w:p w14:paraId="596E91D4" w14:textId="77777777" w:rsidR="002A21AE" w:rsidRDefault="002A21AE">
            <w:pPr>
              <w:pStyle w:val="TableText"/>
            </w:pPr>
            <w:r>
              <w:t>For each component class configured:</w:t>
            </w:r>
          </w:p>
          <w:p w14:paraId="01DD5AEB" w14:textId="77777777" w:rsidR="002A21AE" w:rsidRDefault="0072124A">
            <w:pPr>
              <w:pStyle w:val="TableTextBullet"/>
            </w:pPr>
            <w:r>
              <w:t>Current ABO/Rh Specimen Results Required Indicator</w:t>
            </w:r>
          </w:p>
          <w:p w14:paraId="23F5A83D" w14:textId="77777777" w:rsidR="0072124A" w:rsidRDefault="0072124A">
            <w:pPr>
              <w:pStyle w:val="TableTextBullet"/>
            </w:pPr>
            <w:r>
              <w:t>M</w:t>
            </w:r>
            <w:r w:rsidR="002A21AE">
              <w:t xml:space="preserve">aximum </w:t>
            </w:r>
            <w:r>
              <w:t>T</w:t>
            </w:r>
            <w:r w:rsidR="002A21AE">
              <w:t xml:space="preserve">ransfusion </w:t>
            </w:r>
            <w:r>
              <w:t>T</w:t>
            </w:r>
            <w:r w:rsidR="002A21AE">
              <w:t>ime</w:t>
            </w:r>
          </w:p>
          <w:p w14:paraId="2243EEDA" w14:textId="77777777" w:rsidR="0072124A" w:rsidRDefault="002B6A72">
            <w:pPr>
              <w:pStyle w:val="TableTextBullet"/>
            </w:pPr>
            <w:r>
              <w:t>For each Laboratory Test Name, for each VistA Laboratory Test Internal Entry Number (IEN), and for each Specimen Type:</w:t>
            </w:r>
            <w:r w:rsidR="00B63E26">
              <w:t xml:space="preserve"> </w:t>
            </w:r>
            <w:r w:rsidR="0072124A">
              <w:t>Lab Test Status</w:t>
            </w:r>
          </w:p>
          <w:p w14:paraId="232EDEA3" w14:textId="77777777" w:rsidR="0072124A" w:rsidRDefault="0072124A">
            <w:pPr>
              <w:pStyle w:val="TableTextBullet"/>
            </w:pPr>
            <w:r>
              <w:t>Threshold Result</w:t>
            </w:r>
          </w:p>
        </w:tc>
        <w:tc>
          <w:tcPr>
            <w:tcW w:w="1243" w:type="dxa"/>
          </w:tcPr>
          <w:p w14:paraId="581FEAF4" w14:textId="77777777" w:rsidR="002A21AE" w:rsidRDefault="002A21AE">
            <w:pPr>
              <w:pStyle w:val="TableText"/>
            </w:pPr>
            <w:r>
              <w:t>No</w:t>
            </w:r>
          </w:p>
        </w:tc>
        <w:tc>
          <w:tcPr>
            <w:tcW w:w="1295" w:type="dxa"/>
          </w:tcPr>
          <w:p w14:paraId="5B858761" w14:textId="77777777" w:rsidR="002A21AE" w:rsidRDefault="002A21AE">
            <w:pPr>
              <w:pStyle w:val="TableText"/>
            </w:pPr>
            <w:r>
              <w:t>No</w:t>
            </w:r>
          </w:p>
        </w:tc>
      </w:tr>
      <w:tr w:rsidR="002A21AE" w14:paraId="4474E54C" w14:textId="77777777" w:rsidTr="00DC1872">
        <w:trPr>
          <w:cantSplit/>
        </w:trPr>
        <w:tc>
          <w:tcPr>
            <w:tcW w:w="1525" w:type="dxa"/>
          </w:tcPr>
          <w:p w14:paraId="2E310733" w14:textId="77777777" w:rsidR="002A21AE" w:rsidRDefault="002A21AE" w:rsidP="00CD34EB">
            <w:pPr>
              <w:pStyle w:val="TableText"/>
            </w:pPr>
            <w:r>
              <w:t>Maintenance: Daily QC Configuration</w:t>
            </w:r>
          </w:p>
        </w:tc>
        <w:tc>
          <w:tcPr>
            <w:tcW w:w="1979" w:type="dxa"/>
          </w:tcPr>
          <w:p w14:paraId="29EDEACC" w14:textId="77777777" w:rsidR="002A21AE" w:rsidRDefault="002A21AE">
            <w:pPr>
              <w:pStyle w:val="TableText"/>
            </w:pPr>
            <w:r>
              <w:t>Configure Daily QC</w:t>
            </w:r>
          </w:p>
        </w:tc>
        <w:tc>
          <w:tcPr>
            <w:tcW w:w="3470" w:type="dxa"/>
          </w:tcPr>
          <w:p w14:paraId="27556196" w14:textId="77777777" w:rsidR="002B6A72" w:rsidRPr="00BF10B2" w:rsidRDefault="002838D6" w:rsidP="002B6A72">
            <w:pPr>
              <w:pStyle w:val="TableText"/>
            </w:pPr>
            <w:r w:rsidRPr="00BF10B2">
              <w:t>For each d</w:t>
            </w:r>
            <w:r w:rsidR="002B6A72" w:rsidRPr="00BF10B2">
              <w:t xml:space="preserve">aily QC </w:t>
            </w:r>
            <w:r w:rsidR="00B63E26" w:rsidRPr="00BF10B2">
              <w:t>s</w:t>
            </w:r>
            <w:r w:rsidR="002B6A72" w:rsidRPr="00BF10B2">
              <w:t xml:space="preserve">etup </w:t>
            </w:r>
            <w:r w:rsidR="00B63E26" w:rsidRPr="00BF10B2">
              <w:t>c</w:t>
            </w:r>
            <w:r w:rsidR="002B6A72" w:rsidRPr="00BF10B2">
              <w:t>hanged:</w:t>
            </w:r>
          </w:p>
          <w:p w14:paraId="118D8A4B" w14:textId="77777777" w:rsidR="002A21AE" w:rsidRPr="00BF10B2" w:rsidRDefault="002A21AE">
            <w:pPr>
              <w:pStyle w:val="TableTextBullet"/>
            </w:pPr>
            <w:r w:rsidRPr="00BF10B2">
              <w:t>Commercial or Non-Commercial QC Indicator</w:t>
            </w:r>
          </w:p>
          <w:p w14:paraId="7DFF07B4" w14:textId="77777777" w:rsidR="002A21AE" w:rsidRPr="00BF10B2" w:rsidRDefault="002A21AE">
            <w:pPr>
              <w:pStyle w:val="TableTextBullet"/>
            </w:pPr>
            <w:r w:rsidRPr="00BF10B2">
              <w:t>Rack Nam</w:t>
            </w:r>
            <w:r w:rsidR="00155120" w:rsidRPr="00BF10B2">
              <w:t>e</w:t>
            </w:r>
            <w:r w:rsidRPr="00BF10B2">
              <w:t xml:space="preserve"> Indicator</w:t>
            </w:r>
            <w:r w:rsidR="00155120" w:rsidRPr="00BF10B2">
              <w:t xml:space="preserve"> (</w:t>
            </w:r>
            <w:r w:rsidRPr="00BF10B2">
              <w:t>A through Z or 1 through 26</w:t>
            </w:r>
            <w:r w:rsidR="00155120" w:rsidRPr="00BF10B2">
              <w:t>)</w:t>
            </w:r>
          </w:p>
          <w:p w14:paraId="3BD787E4" w14:textId="77777777" w:rsidR="00155120" w:rsidRPr="00BF10B2" w:rsidRDefault="00155120">
            <w:pPr>
              <w:pStyle w:val="TableTextBullet"/>
            </w:pPr>
            <w:r w:rsidRPr="00BF10B2">
              <w:t>Number of Racks to Test</w:t>
            </w:r>
          </w:p>
          <w:p w14:paraId="56850746" w14:textId="77777777" w:rsidR="00155120" w:rsidRPr="00BF10B2" w:rsidRDefault="00155120">
            <w:pPr>
              <w:pStyle w:val="TableTextBullet"/>
            </w:pPr>
            <w:r w:rsidRPr="00BF10B2">
              <w:t>Daily Alert Time</w:t>
            </w:r>
          </w:p>
          <w:p w14:paraId="4874F347" w14:textId="77777777" w:rsidR="00155120" w:rsidRPr="00BF10B2" w:rsidRDefault="00155120">
            <w:pPr>
              <w:pStyle w:val="TableTextBullet"/>
            </w:pPr>
            <w:r w:rsidRPr="00BF10B2">
              <w:t>Primary Enhancement Media</w:t>
            </w:r>
          </w:p>
          <w:p w14:paraId="49A5C562" w14:textId="77777777" w:rsidR="00155120" w:rsidRPr="00BF10B2" w:rsidRDefault="00155120">
            <w:pPr>
              <w:pStyle w:val="TableTextBullet"/>
            </w:pPr>
            <w:r w:rsidRPr="00BF10B2">
              <w:t>Secondary Enhancement Media</w:t>
            </w:r>
          </w:p>
          <w:p w14:paraId="77920B3A" w14:textId="77777777" w:rsidR="00155120" w:rsidRPr="00BF10B2" w:rsidRDefault="00155120">
            <w:pPr>
              <w:pStyle w:val="TableTextBullet"/>
            </w:pPr>
            <w:r w:rsidRPr="00BF10B2">
              <w:t>Comment</w:t>
            </w:r>
          </w:p>
          <w:p w14:paraId="38C5ACFA" w14:textId="77777777" w:rsidR="00155120" w:rsidRPr="00BF10B2" w:rsidRDefault="00155120" w:rsidP="00155120">
            <w:pPr>
              <w:pStyle w:val="TableText"/>
            </w:pPr>
            <w:r w:rsidRPr="00BF10B2">
              <w:t xml:space="preserve">For each </w:t>
            </w:r>
            <w:r w:rsidR="00B63E26" w:rsidRPr="00BF10B2">
              <w:t>reagent t</w:t>
            </w:r>
            <w:r w:rsidRPr="00BF10B2">
              <w:t xml:space="preserve">ype and </w:t>
            </w:r>
            <w:r w:rsidR="00B63E26" w:rsidRPr="00BF10B2">
              <w:t>t</w:t>
            </w:r>
            <w:r w:rsidRPr="00BF10B2">
              <w:t xml:space="preserve">est </w:t>
            </w:r>
            <w:r w:rsidR="00B63E26" w:rsidRPr="00BF10B2">
              <w:t>w</w:t>
            </w:r>
            <w:r w:rsidRPr="00BF10B2">
              <w:t>ith combination:</w:t>
            </w:r>
          </w:p>
          <w:p w14:paraId="1289C4DF" w14:textId="77777777" w:rsidR="002A21AE" w:rsidRPr="00BF10B2" w:rsidRDefault="00155120">
            <w:pPr>
              <w:pStyle w:val="TableTextBullet"/>
            </w:pPr>
            <w:r w:rsidRPr="00BF10B2">
              <w:t>Sta</w:t>
            </w:r>
            <w:r w:rsidR="00B63E26" w:rsidRPr="00BF10B2">
              <w:t>t</w:t>
            </w:r>
            <w:r w:rsidRPr="00BF10B2">
              <w:t>us Indicator</w:t>
            </w:r>
          </w:p>
          <w:p w14:paraId="4A524E84" w14:textId="77777777" w:rsidR="00155120" w:rsidRDefault="00155120">
            <w:pPr>
              <w:pStyle w:val="TableTextBullet"/>
            </w:pPr>
            <w:r w:rsidRPr="00BF10B2">
              <w:t>Minimum Reaction Entry</w:t>
            </w:r>
          </w:p>
        </w:tc>
        <w:tc>
          <w:tcPr>
            <w:tcW w:w="1243" w:type="dxa"/>
          </w:tcPr>
          <w:p w14:paraId="529AFDEF" w14:textId="77777777" w:rsidR="002A21AE" w:rsidRDefault="002A21AE">
            <w:pPr>
              <w:pStyle w:val="TableText"/>
            </w:pPr>
            <w:r>
              <w:t>No</w:t>
            </w:r>
          </w:p>
        </w:tc>
        <w:tc>
          <w:tcPr>
            <w:tcW w:w="1295" w:type="dxa"/>
          </w:tcPr>
          <w:p w14:paraId="1F0CADD1" w14:textId="77777777" w:rsidR="002A21AE" w:rsidRDefault="002A21AE">
            <w:pPr>
              <w:pStyle w:val="TableText"/>
            </w:pPr>
            <w:r>
              <w:t>No</w:t>
            </w:r>
          </w:p>
        </w:tc>
      </w:tr>
      <w:tr w:rsidR="002A21AE" w14:paraId="344A59C8" w14:textId="77777777" w:rsidTr="00DC1872">
        <w:trPr>
          <w:cantSplit/>
        </w:trPr>
        <w:tc>
          <w:tcPr>
            <w:tcW w:w="1525" w:type="dxa"/>
          </w:tcPr>
          <w:p w14:paraId="538D5B31" w14:textId="77777777" w:rsidR="002A21AE" w:rsidRDefault="002A21AE" w:rsidP="00CD34EB">
            <w:pPr>
              <w:pStyle w:val="TableText"/>
            </w:pPr>
            <w:r>
              <w:t>Maintenance: Minimum Reagent Inventory Levels</w:t>
            </w:r>
          </w:p>
        </w:tc>
        <w:tc>
          <w:tcPr>
            <w:tcW w:w="1979" w:type="dxa"/>
          </w:tcPr>
          <w:p w14:paraId="70F044AF" w14:textId="77777777" w:rsidR="002A21AE" w:rsidRDefault="002A21AE">
            <w:pPr>
              <w:pStyle w:val="TableText"/>
            </w:pPr>
            <w:r>
              <w:t>Maintain Minimum Levels</w:t>
            </w:r>
          </w:p>
        </w:tc>
        <w:tc>
          <w:tcPr>
            <w:tcW w:w="3470" w:type="dxa"/>
          </w:tcPr>
          <w:p w14:paraId="4C87DE44" w14:textId="77777777" w:rsidR="002A21AE" w:rsidRDefault="00BE1AC3">
            <w:pPr>
              <w:pStyle w:val="TableText"/>
            </w:pPr>
            <w:r>
              <w:t>For each reagent type:</w:t>
            </w:r>
          </w:p>
          <w:p w14:paraId="1366B7BD" w14:textId="77777777" w:rsidR="00BE1AC3" w:rsidRDefault="00BE1AC3" w:rsidP="00BE1AC3">
            <w:pPr>
              <w:pStyle w:val="TableTextBullet"/>
            </w:pPr>
            <w:r>
              <w:t>Minimum Inventory Level</w:t>
            </w:r>
          </w:p>
        </w:tc>
        <w:tc>
          <w:tcPr>
            <w:tcW w:w="1243" w:type="dxa"/>
          </w:tcPr>
          <w:p w14:paraId="66A389C0" w14:textId="77777777" w:rsidR="002A21AE" w:rsidRDefault="002A21AE">
            <w:pPr>
              <w:pStyle w:val="TableText"/>
            </w:pPr>
            <w:r>
              <w:t>No</w:t>
            </w:r>
          </w:p>
        </w:tc>
        <w:tc>
          <w:tcPr>
            <w:tcW w:w="1295" w:type="dxa"/>
          </w:tcPr>
          <w:p w14:paraId="2AE87E84" w14:textId="77777777" w:rsidR="002A21AE" w:rsidRDefault="002A21AE">
            <w:pPr>
              <w:pStyle w:val="TableText"/>
            </w:pPr>
            <w:r>
              <w:t>No</w:t>
            </w:r>
          </w:p>
        </w:tc>
      </w:tr>
      <w:tr w:rsidR="002A21AE" w14:paraId="6E459EBF" w14:textId="77777777" w:rsidTr="00DC1872">
        <w:trPr>
          <w:cantSplit/>
        </w:trPr>
        <w:tc>
          <w:tcPr>
            <w:tcW w:w="1525" w:type="dxa"/>
          </w:tcPr>
          <w:p w14:paraId="2363209B" w14:textId="77777777" w:rsidR="002A21AE" w:rsidRDefault="002A21AE" w:rsidP="00CD34EB">
            <w:pPr>
              <w:pStyle w:val="TableText"/>
            </w:pPr>
            <w:r>
              <w:lastRenderedPageBreak/>
              <w:t>Maintenance: User Alert Configuration</w:t>
            </w:r>
          </w:p>
        </w:tc>
        <w:tc>
          <w:tcPr>
            <w:tcW w:w="1979" w:type="dxa"/>
          </w:tcPr>
          <w:p w14:paraId="2CE690B5" w14:textId="77777777" w:rsidR="002A21AE" w:rsidRDefault="006068DE">
            <w:pPr>
              <w:pStyle w:val="TableText"/>
            </w:pPr>
            <w:r>
              <w:t>Order Alerts</w:t>
            </w:r>
          </w:p>
        </w:tc>
        <w:tc>
          <w:tcPr>
            <w:tcW w:w="3470" w:type="dxa"/>
          </w:tcPr>
          <w:p w14:paraId="244A44A6" w14:textId="77777777" w:rsidR="00BE1AC3" w:rsidRDefault="00BE1AC3" w:rsidP="00BE1AC3">
            <w:pPr>
              <w:pStyle w:val="TableText"/>
            </w:pPr>
            <w:r>
              <w:t xml:space="preserve">For each </w:t>
            </w:r>
            <w:r w:rsidR="00B63E26">
              <w:t>d</w:t>
            </w:r>
            <w:r>
              <w:t>ivision (name, code):</w:t>
            </w:r>
          </w:p>
          <w:p w14:paraId="5038666D" w14:textId="77777777" w:rsidR="00AC7D2D" w:rsidRDefault="00AC7D2D" w:rsidP="00AC7D2D">
            <w:pPr>
              <w:pStyle w:val="TableTextBullet"/>
            </w:pPr>
            <w:r>
              <w:t>Printer Alerts On</w:t>
            </w:r>
          </w:p>
          <w:p w14:paraId="1EBE4070" w14:textId="77777777" w:rsidR="00AC7D2D" w:rsidRDefault="00AC7D2D" w:rsidP="00AC7D2D">
            <w:pPr>
              <w:pStyle w:val="TableTextBullet"/>
            </w:pPr>
            <w:r>
              <w:t>Printer Name</w:t>
            </w:r>
          </w:p>
          <w:p w14:paraId="03BABE31" w14:textId="77777777" w:rsidR="00AC7D2D" w:rsidRDefault="00AC7D2D" w:rsidP="00AC7D2D">
            <w:pPr>
              <w:pStyle w:val="TableTextBullet"/>
            </w:pPr>
            <w:r>
              <w:t xml:space="preserve">(Printer) Order Alert Type </w:t>
            </w:r>
          </w:p>
          <w:p w14:paraId="2E1F0570" w14:textId="77777777" w:rsidR="00AC7D2D" w:rsidRDefault="00AC7D2D" w:rsidP="00AC7D2D">
            <w:pPr>
              <w:pStyle w:val="TableTextBullet"/>
            </w:pPr>
            <w:r>
              <w:t>(Printer) Orders Needed In</w:t>
            </w:r>
          </w:p>
          <w:p w14:paraId="772076E5" w14:textId="77777777" w:rsidR="00AC7D2D" w:rsidRDefault="00AC7D2D" w:rsidP="00AC7D2D">
            <w:pPr>
              <w:pStyle w:val="TableTextBullet"/>
            </w:pPr>
            <w:r>
              <w:t>Icon Alerts On</w:t>
            </w:r>
          </w:p>
          <w:p w14:paraId="337E2DE5" w14:textId="77777777" w:rsidR="00AC7D2D" w:rsidRDefault="00AC7D2D" w:rsidP="00AC7D2D">
            <w:pPr>
              <w:pStyle w:val="TableTextBullet"/>
            </w:pPr>
            <w:r>
              <w:t>Refresh Rate</w:t>
            </w:r>
          </w:p>
          <w:p w14:paraId="0AB38A07" w14:textId="77777777" w:rsidR="00AC7D2D" w:rsidRDefault="00AC7D2D" w:rsidP="00AC7D2D">
            <w:pPr>
              <w:pStyle w:val="TableTextBullet"/>
            </w:pPr>
            <w:r>
              <w:t xml:space="preserve">(Icon) Order Alert Type </w:t>
            </w:r>
          </w:p>
          <w:p w14:paraId="24C2EE3C" w14:textId="77777777" w:rsidR="002A21AE" w:rsidRDefault="00AC7D2D" w:rsidP="00AC7D2D">
            <w:pPr>
              <w:pStyle w:val="TableTextBullet"/>
            </w:pPr>
            <w:r>
              <w:t>(Icon) Orders Needed In</w:t>
            </w:r>
          </w:p>
        </w:tc>
        <w:tc>
          <w:tcPr>
            <w:tcW w:w="1243" w:type="dxa"/>
          </w:tcPr>
          <w:p w14:paraId="653A3668" w14:textId="77777777" w:rsidR="002A21AE" w:rsidRDefault="002A21AE">
            <w:pPr>
              <w:pStyle w:val="TableText"/>
            </w:pPr>
            <w:r>
              <w:t>No</w:t>
            </w:r>
          </w:p>
        </w:tc>
        <w:tc>
          <w:tcPr>
            <w:tcW w:w="1295" w:type="dxa"/>
          </w:tcPr>
          <w:p w14:paraId="05461FFB" w14:textId="77777777" w:rsidR="002A21AE" w:rsidRDefault="002A21AE">
            <w:pPr>
              <w:pStyle w:val="TableText"/>
            </w:pPr>
            <w:r>
              <w:t>No</w:t>
            </w:r>
          </w:p>
        </w:tc>
      </w:tr>
      <w:tr w:rsidR="002A21AE" w14:paraId="722604EC" w14:textId="77777777" w:rsidTr="00DC1872">
        <w:trPr>
          <w:cantSplit/>
        </w:trPr>
        <w:tc>
          <w:tcPr>
            <w:tcW w:w="1525" w:type="dxa"/>
          </w:tcPr>
          <w:p w14:paraId="7FE7F8EC" w14:textId="77777777" w:rsidR="002A21AE" w:rsidRDefault="002A21AE" w:rsidP="00CD34EB">
            <w:pPr>
              <w:pStyle w:val="TableText"/>
            </w:pPr>
            <w:r>
              <w:t>Maintenance: Interface Control</w:t>
            </w:r>
          </w:p>
        </w:tc>
        <w:tc>
          <w:tcPr>
            <w:tcW w:w="1979" w:type="dxa"/>
          </w:tcPr>
          <w:p w14:paraId="0145798A" w14:textId="77777777" w:rsidR="002A21AE" w:rsidRDefault="00706DB3">
            <w:pPr>
              <w:pStyle w:val="TableText"/>
            </w:pPr>
            <w:r>
              <w:t>Configure Interfaces</w:t>
            </w:r>
            <w:r w:rsidRPr="00706DB3">
              <w:rPr>
                <w:vanish/>
                <w:szCs w:val="18"/>
              </w:rPr>
              <w:t xml:space="preserve"> MUC_01</w:t>
            </w:r>
          </w:p>
        </w:tc>
        <w:tc>
          <w:tcPr>
            <w:tcW w:w="3470" w:type="dxa"/>
          </w:tcPr>
          <w:p w14:paraId="615443BA" w14:textId="77777777" w:rsidR="002A21AE" w:rsidRDefault="00BE1AC3">
            <w:pPr>
              <w:pStyle w:val="TableTextBullet"/>
            </w:pPr>
            <w:r>
              <w:t xml:space="preserve">VistA </w:t>
            </w:r>
            <w:r w:rsidR="00A615EC">
              <w:t>IP Address or Server Name</w:t>
            </w:r>
          </w:p>
          <w:p w14:paraId="78B710EF" w14:textId="77777777" w:rsidR="002A21AE" w:rsidRDefault="00BE1AC3">
            <w:pPr>
              <w:pStyle w:val="TableTextBullet"/>
            </w:pPr>
            <w:r>
              <w:t xml:space="preserve">VistA </w:t>
            </w:r>
            <w:r w:rsidR="002A21AE">
              <w:t>Port Number</w:t>
            </w:r>
          </w:p>
          <w:p w14:paraId="22118861" w14:textId="77777777" w:rsidR="005773E9" w:rsidRDefault="00A615EC">
            <w:pPr>
              <w:pStyle w:val="TableTextBullet"/>
            </w:pPr>
            <w:r>
              <w:t>VBECS VistALink Service IP Address or Server Name</w:t>
            </w:r>
          </w:p>
          <w:p w14:paraId="15A9A5EA" w14:textId="77777777" w:rsidR="00A615EC" w:rsidRDefault="00A615EC">
            <w:pPr>
              <w:pStyle w:val="TableTextBullet"/>
            </w:pPr>
            <w:r>
              <w:t>VBECS VistALink Service Port Number</w:t>
            </w:r>
          </w:p>
          <w:p w14:paraId="284ED016" w14:textId="77777777" w:rsidR="00A615EC" w:rsidRDefault="00A615EC">
            <w:pPr>
              <w:pStyle w:val="TableTextBullet"/>
            </w:pPr>
            <w:r>
              <w:t>Broker IP Address or Server Name</w:t>
            </w:r>
          </w:p>
          <w:p w14:paraId="729199CE" w14:textId="77777777" w:rsidR="00A615EC" w:rsidRDefault="00A615EC">
            <w:pPr>
              <w:pStyle w:val="TableTextBullet"/>
            </w:pPr>
            <w:r>
              <w:t>Broker Port Number</w:t>
            </w:r>
          </w:p>
        </w:tc>
        <w:tc>
          <w:tcPr>
            <w:tcW w:w="1243" w:type="dxa"/>
          </w:tcPr>
          <w:p w14:paraId="56C66E6B" w14:textId="77777777" w:rsidR="002A21AE" w:rsidRDefault="002A21AE">
            <w:pPr>
              <w:pStyle w:val="TableText"/>
            </w:pPr>
            <w:r>
              <w:t>No</w:t>
            </w:r>
          </w:p>
        </w:tc>
        <w:tc>
          <w:tcPr>
            <w:tcW w:w="1295" w:type="dxa"/>
          </w:tcPr>
          <w:p w14:paraId="1586DF02" w14:textId="77777777" w:rsidR="002A21AE" w:rsidRDefault="002A21AE">
            <w:pPr>
              <w:pStyle w:val="TableText"/>
            </w:pPr>
            <w:r>
              <w:t>No</w:t>
            </w:r>
          </w:p>
        </w:tc>
      </w:tr>
      <w:tr w:rsidR="002A21AE" w14:paraId="0B53FE79" w14:textId="77777777" w:rsidTr="00DC1872">
        <w:trPr>
          <w:cantSplit/>
        </w:trPr>
        <w:tc>
          <w:tcPr>
            <w:tcW w:w="1525" w:type="dxa"/>
          </w:tcPr>
          <w:p w14:paraId="3797D097" w14:textId="77777777" w:rsidR="002A21AE" w:rsidRDefault="002A21AE" w:rsidP="00CD34EB">
            <w:pPr>
              <w:pStyle w:val="TableText"/>
            </w:pPr>
            <w:r>
              <w:t>Maintenance: Interface Control</w:t>
            </w:r>
          </w:p>
        </w:tc>
        <w:tc>
          <w:tcPr>
            <w:tcW w:w="1979" w:type="dxa"/>
          </w:tcPr>
          <w:p w14:paraId="5629F843" w14:textId="77777777" w:rsidR="002A21AE" w:rsidRDefault="00DE4FF7">
            <w:pPr>
              <w:pStyle w:val="TableText"/>
            </w:pPr>
            <w:r w:rsidRPr="00DE4FF7">
              <w:rPr>
                <w:szCs w:val="18"/>
              </w:rPr>
              <w:t>Configure Interfaces</w:t>
            </w:r>
            <w:r>
              <w:rPr>
                <w:vanish/>
                <w:szCs w:val="18"/>
              </w:rPr>
              <w:t xml:space="preserve"> </w:t>
            </w:r>
            <w:r w:rsidR="002A21AE" w:rsidRPr="00DE4FF7">
              <w:rPr>
                <w:vanish/>
                <w:szCs w:val="18"/>
              </w:rPr>
              <w:t>Define Interface Control Parameters</w:t>
            </w:r>
            <w:r w:rsidRPr="00DE4FF7">
              <w:rPr>
                <w:vanish/>
                <w:szCs w:val="18"/>
              </w:rPr>
              <w:t xml:space="preserve"> MUC_0</w:t>
            </w:r>
            <w:r w:rsidR="00EC2E09">
              <w:rPr>
                <w:vanish/>
                <w:szCs w:val="18"/>
              </w:rPr>
              <w:t>1</w:t>
            </w:r>
          </w:p>
        </w:tc>
        <w:tc>
          <w:tcPr>
            <w:tcW w:w="3470" w:type="dxa"/>
          </w:tcPr>
          <w:p w14:paraId="23260027" w14:textId="77777777" w:rsidR="00BE1AC3" w:rsidRPr="00BE1AC3" w:rsidRDefault="00BE1AC3" w:rsidP="00BE1AC3">
            <w:pPr>
              <w:pStyle w:val="TableText"/>
            </w:pPr>
            <w:r>
              <w:t>For each interface defined:</w:t>
            </w:r>
          </w:p>
          <w:p w14:paraId="03E09B88" w14:textId="77777777" w:rsidR="005773E9" w:rsidRDefault="00BE1AC3" w:rsidP="00A615EC">
            <w:pPr>
              <w:pStyle w:val="TableTextBullet"/>
            </w:pPr>
            <w:r>
              <w:rPr>
                <w:bCs/>
              </w:rPr>
              <w:t>Interface</w:t>
            </w:r>
            <w:r>
              <w:t xml:space="preserve"> </w:t>
            </w:r>
            <w:r w:rsidR="002A21AE">
              <w:t>IP Address</w:t>
            </w:r>
            <w:r w:rsidR="00A615EC">
              <w:t xml:space="preserve"> or Server Name</w:t>
            </w:r>
          </w:p>
          <w:p w14:paraId="5ABB6F32" w14:textId="77777777" w:rsidR="002A21AE" w:rsidRDefault="00BE1AC3">
            <w:pPr>
              <w:pStyle w:val="TableTextBullet"/>
            </w:pPr>
            <w:r>
              <w:rPr>
                <w:bCs/>
              </w:rPr>
              <w:t>Interface</w:t>
            </w:r>
            <w:r>
              <w:t xml:space="preserve"> </w:t>
            </w:r>
            <w:r w:rsidR="002A21AE">
              <w:t>Port Number</w:t>
            </w:r>
          </w:p>
          <w:p w14:paraId="63A5B33E" w14:textId="77777777" w:rsidR="00BE1AC3" w:rsidRDefault="00BE1AC3">
            <w:pPr>
              <w:pStyle w:val="TableTextBullet"/>
            </w:pPr>
            <w:r>
              <w:t>Interface Facility ID</w:t>
            </w:r>
          </w:p>
          <w:p w14:paraId="66DA48CF" w14:textId="77777777" w:rsidR="00BE1AC3" w:rsidRDefault="0009266F" w:rsidP="00A615EC">
            <w:pPr>
              <w:pStyle w:val="TableTextBullet"/>
            </w:pPr>
            <w:r>
              <w:t>Interface Status</w:t>
            </w:r>
          </w:p>
          <w:p w14:paraId="5F280DA1" w14:textId="77777777" w:rsidR="0009266F" w:rsidRDefault="0009266F" w:rsidP="0009266F">
            <w:pPr>
              <w:pStyle w:val="TableTextBullet"/>
              <w:numPr>
                <w:ilvl w:val="0"/>
                <w:numId w:val="0"/>
              </w:numPr>
              <w:ind w:left="288" w:hanging="288"/>
            </w:pPr>
          </w:p>
          <w:p w14:paraId="1E9FD0ED" w14:textId="77777777" w:rsidR="0013678B" w:rsidRDefault="0013678B" w:rsidP="0013678B">
            <w:pPr>
              <w:pStyle w:val="TableTextBullet"/>
              <w:numPr>
                <w:ilvl w:val="0"/>
                <w:numId w:val="0"/>
              </w:numPr>
              <w:ind w:left="288" w:hanging="288"/>
            </w:pPr>
            <w:r>
              <w:t>Common Interface settings</w:t>
            </w:r>
          </w:p>
          <w:p w14:paraId="741EDC1A" w14:textId="77777777" w:rsidR="00BE1AC3" w:rsidRDefault="0009266F" w:rsidP="00B85891">
            <w:pPr>
              <w:pStyle w:val="TableTextBullet"/>
            </w:pPr>
            <w:r>
              <w:t>VBECS IP Address or Server Name</w:t>
            </w:r>
          </w:p>
          <w:p w14:paraId="5EEEC0A3" w14:textId="77777777" w:rsidR="0009266F" w:rsidRDefault="0009266F" w:rsidP="00B85891">
            <w:pPr>
              <w:pStyle w:val="TableTextBullet"/>
            </w:pPr>
            <w:r>
              <w:t>VBECS Port Number</w:t>
            </w:r>
          </w:p>
          <w:p w14:paraId="08611C56" w14:textId="77777777" w:rsidR="002A21AE" w:rsidRDefault="002A21AE">
            <w:pPr>
              <w:pStyle w:val="TableTextBullet"/>
            </w:pPr>
            <w:r>
              <w:t>Ack Timeout</w:t>
            </w:r>
          </w:p>
          <w:p w14:paraId="1088D108" w14:textId="77777777" w:rsidR="002A21AE" w:rsidRDefault="002A21AE">
            <w:pPr>
              <w:pStyle w:val="TableTextBullet"/>
            </w:pPr>
            <w:r>
              <w:t xml:space="preserve">Retransmit Attempts </w:t>
            </w:r>
          </w:p>
          <w:p w14:paraId="6BC7E5D0" w14:textId="77777777" w:rsidR="00ED67B4" w:rsidRDefault="002A21AE" w:rsidP="0009266F">
            <w:pPr>
              <w:pStyle w:val="TableTextBullet"/>
            </w:pPr>
            <w:r>
              <w:t>Interface Administrator Email</w:t>
            </w:r>
          </w:p>
        </w:tc>
        <w:tc>
          <w:tcPr>
            <w:tcW w:w="1243" w:type="dxa"/>
          </w:tcPr>
          <w:p w14:paraId="6EC84875" w14:textId="77777777" w:rsidR="002A21AE" w:rsidRDefault="002A21AE">
            <w:pPr>
              <w:pStyle w:val="TableText"/>
            </w:pPr>
            <w:r>
              <w:t>No</w:t>
            </w:r>
          </w:p>
        </w:tc>
        <w:tc>
          <w:tcPr>
            <w:tcW w:w="1295" w:type="dxa"/>
          </w:tcPr>
          <w:p w14:paraId="14909FED" w14:textId="77777777" w:rsidR="002A21AE" w:rsidRDefault="002A21AE">
            <w:pPr>
              <w:pStyle w:val="TableText"/>
            </w:pPr>
            <w:r>
              <w:t>No</w:t>
            </w:r>
          </w:p>
        </w:tc>
      </w:tr>
    </w:tbl>
    <w:p w14:paraId="3056245A" w14:textId="77777777" w:rsidR="002A21AE" w:rsidRDefault="002A21AE">
      <w:pPr>
        <w:pStyle w:val="Heading3"/>
        <w:sectPr w:rsidR="002A21AE" w:rsidSect="00667BEE">
          <w:pgSz w:w="12240" w:h="15840" w:code="1"/>
          <w:pgMar w:top="1440" w:right="1440" w:bottom="1440" w:left="1440" w:header="720" w:footer="720" w:gutter="0"/>
          <w:cols w:space="720"/>
          <w:docGrid w:linePitch="360"/>
        </w:sectPr>
      </w:pPr>
    </w:p>
    <w:p w14:paraId="73BD539A" w14:textId="77777777" w:rsidR="002A21AE" w:rsidRDefault="002A21AE">
      <w:pPr>
        <w:pStyle w:val="Heading3"/>
      </w:pPr>
      <w:r>
        <w:rPr>
          <w:rFonts w:ascii="Geneva" w:hAnsi="Geneva"/>
          <w:vanish/>
        </w:rPr>
        <w:lastRenderedPageBreak/>
        <w:t xml:space="preserve">TT_82.01 </w:t>
      </w:r>
      <w:bookmarkStart w:id="623" w:name="_Toc163645006"/>
      <w:r>
        <w:t>Details in Exception Report</w:t>
      </w:r>
      <w:bookmarkEnd w:id="623"/>
      <w:r>
        <w:fldChar w:fldCharType="begin"/>
      </w:r>
      <w:r>
        <w:instrText xml:space="preserve"> XE </w:instrText>
      </w:r>
      <w:r w:rsidR="00FA7E65">
        <w:instrText>“</w:instrText>
      </w:r>
      <w:r>
        <w:instrText>Tables:Details in Exception Report</w:instrText>
      </w:r>
      <w:r w:rsidR="00FA7E65">
        <w:instrText>”</w:instrText>
      </w:r>
      <w:r>
        <w:instrText xml:space="preserve"> </w:instrText>
      </w:r>
      <w:r>
        <w:fldChar w:fldCharType="end"/>
      </w:r>
    </w:p>
    <w:p w14:paraId="413D4304" w14:textId="28E0BC58" w:rsidR="002A21AE" w:rsidRDefault="00EE455E" w:rsidP="00FA7E65">
      <w:pPr>
        <w:pStyle w:val="BodyText"/>
      </w:pPr>
      <w:r>
        <w:t xml:space="preserve">Table </w:t>
      </w:r>
      <w:r>
        <w:rPr>
          <w:noProof/>
        </w:rPr>
        <w:t>21</w:t>
      </w:r>
      <w:r w:rsidR="002A21AE">
        <w:t xml:space="preserve"> </w:t>
      </w:r>
      <w:r w:rsidR="008D0E7B">
        <w:t>lists exception types and the reports in which they appear.</w:t>
      </w:r>
    </w:p>
    <w:p w14:paraId="6640C4E5" w14:textId="6BF17834" w:rsidR="002A21AE" w:rsidRDefault="002A21AE">
      <w:pPr>
        <w:pStyle w:val="Caption"/>
      </w:pPr>
      <w:bookmarkStart w:id="624" w:name="_Ref126732272"/>
      <w:bookmarkStart w:id="625" w:name="_Toc97523638"/>
      <w:bookmarkStart w:id="626" w:name="_Toc97527608"/>
      <w:bookmarkStart w:id="627" w:name="_Ref126504543"/>
      <w:bookmarkStart w:id="628" w:name="_Ref12650462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21</w:t>
      </w:r>
      <w:r w:rsidR="004E20BD">
        <w:rPr>
          <w:noProof/>
        </w:rPr>
        <w:fldChar w:fldCharType="end"/>
      </w:r>
      <w:bookmarkEnd w:id="624"/>
      <w:r>
        <w:t xml:space="preserve">: </w:t>
      </w:r>
      <w:r>
        <w:rPr>
          <w:vanish/>
        </w:rPr>
        <w:t xml:space="preserve">TT_82.01 </w:t>
      </w:r>
      <w:r>
        <w:t>Details in Exception Report</w:t>
      </w:r>
      <w:bookmarkEnd w:id="625"/>
      <w:bookmarkEnd w:id="626"/>
      <w:bookmarkEnd w:id="627"/>
      <w:bookmarkEnd w:id="628"/>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710"/>
        <w:gridCol w:w="2520"/>
        <w:gridCol w:w="1417"/>
        <w:gridCol w:w="1530"/>
      </w:tblGrid>
      <w:tr w:rsidR="00C045C1" w14:paraId="491D7F2D" w14:textId="77777777" w:rsidTr="006F58C9">
        <w:trPr>
          <w:cantSplit/>
          <w:tblHeader/>
        </w:trPr>
        <w:tc>
          <w:tcPr>
            <w:tcW w:w="3235" w:type="dxa"/>
            <w:vMerge w:val="restart"/>
            <w:shd w:val="clear" w:color="auto" w:fill="B3B3B3"/>
            <w:vAlign w:val="bottom"/>
          </w:tcPr>
          <w:p w14:paraId="5DCE7A3A" w14:textId="77777777" w:rsidR="00C045C1" w:rsidRDefault="00C045C1" w:rsidP="00C045C1">
            <w:pPr>
              <w:pStyle w:val="TableText"/>
              <w:rPr>
                <w:rFonts w:ascii="Symbol" w:eastAsia="Symbol" w:hAnsi="Symbol"/>
                <w:b/>
              </w:rPr>
            </w:pPr>
            <w:r>
              <w:rPr>
                <w:b/>
              </w:rPr>
              <w:t>Exception Type</w:t>
            </w:r>
          </w:p>
        </w:tc>
        <w:tc>
          <w:tcPr>
            <w:tcW w:w="1710" w:type="dxa"/>
            <w:vMerge w:val="restart"/>
            <w:shd w:val="clear" w:color="auto" w:fill="B3B3B3"/>
            <w:vAlign w:val="bottom"/>
          </w:tcPr>
          <w:p w14:paraId="5533F8A2" w14:textId="77777777" w:rsidR="00C045C1" w:rsidRPr="0095633D" w:rsidRDefault="00C045C1" w:rsidP="00C045C1">
            <w:pPr>
              <w:pStyle w:val="TableText"/>
              <w:rPr>
                <w:rFonts w:eastAsia="Symbol" w:cs="Arial"/>
                <w:b/>
              </w:rPr>
            </w:pPr>
            <w:r>
              <w:rPr>
                <w:rFonts w:eastAsia="Symbol" w:cs="Arial"/>
                <w:b/>
              </w:rPr>
              <w:t>Available to Role</w:t>
            </w:r>
          </w:p>
        </w:tc>
        <w:tc>
          <w:tcPr>
            <w:tcW w:w="2520" w:type="dxa"/>
            <w:vMerge w:val="restart"/>
            <w:shd w:val="clear" w:color="auto" w:fill="B3B3B3"/>
            <w:vAlign w:val="bottom"/>
          </w:tcPr>
          <w:p w14:paraId="45D63877" w14:textId="77777777" w:rsidR="00C045C1" w:rsidRPr="00A7231C" w:rsidRDefault="00C045C1" w:rsidP="00C045C1">
            <w:pPr>
              <w:pStyle w:val="TableText"/>
              <w:rPr>
                <w:rFonts w:eastAsia="Symbol" w:cs="Arial"/>
                <w:b/>
              </w:rPr>
            </w:pPr>
            <w:r>
              <w:rPr>
                <w:rFonts w:eastAsia="Symbol" w:cs="Arial"/>
                <w:b/>
              </w:rPr>
              <w:t>Available in Option</w:t>
            </w:r>
          </w:p>
        </w:tc>
        <w:tc>
          <w:tcPr>
            <w:tcW w:w="2947" w:type="dxa"/>
            <w:gridSpan w:val="2"/>
            <w:shd w:val="clear" w:color="auto" w:fill="B3B3B3"/>
          </w:tcPr>
          <w:p w14:paraId="4641105C" w14:textId="77777777" w:rsidR="00C045C1" w:rsidRDefault="00C045C1" w:rsidP="0058499D">
            <w:pPr>
              <w:pStyle w:val="TableText"/>
              <w:jc w:val="center"/>
              <w:rPr>
                <w:rFonts w:eastAsia="Symbol"/>
                <w:b/>
                <w:bCs/>
              </w:rPr>
            </w:pPr>
            <w:r>
              <w:rPr>
                <w:rFonts w:eastAsia="Symbol"/>
                <w:b/>
                <w:bCs/>
              </w:rPr>
              <w:t>Accessible in:</w:t>
            </w:r>
          </w:p>
        </w:tc>
      </w:tr>
      <w:tr w:rsidR="00C045C1" w14:paraId="7511D216" w14:textId="77777777" w:rsidTr="006F58C9">
        <w:trPr>
          <w:cantSplit/>
          <w:tblHeader/>
        </w:trPr>
        <w:tc>
          <w:tcPr>
            <w:tcW w:w="3235" w:type="dxa"/>
            <w:vMerge/>
            <w:shd w:val="clear" w:color="auto" w:fill="C0C0C0"/>
          </w:tcPr>
          <w:p w14:paraId="0BA4AE74" w14:textId="77777777" w:rsidR="00C045C1" w:rsidRDefault="00C045C1" w:rsidP="00C045C1">
            <w:pPr>
              <w:pStyle w:val="TableText"/>
              <w:rPr>
                <w:b/>
              </w:rPr>
            </w:pPr>
          </w:p>
        </w:tc>
        <w:tc>
          <w:tcPr>
            <w:tcW w:w="1710" w:type="dxa"/>
            <w:vMerge/>
            <w:shd w:val="clear" w:color="auto" w:fill="C0C0C0"/>
          </w:tcPr>
          <w:p w14:paraId="47C54818" w14:textId="77777777" w:rsidR="00C045C1" w:rsidRDefault="00C045C1" w:rsidP="00C045C1">
            <w:pPr>
              <w:pStyle w:val="TableText"/>
              <w:rPr>
                <w:b/>
              </w:rPr>
            </w:pPr>
          </w:p>
        </w:tc>
        <w:tc>
          <w:tcPr>
            <w:tcW w:w="2520" w:type="dxa"/>
            <w:vMerge/>
            <w:shd w:val="clear" w:color="auto" w:fill="C0C0C0"/>
          </w:tcPr>
          <w:p w14:paraId="766BA425" w14:textId="77777777" w:rsidR="00C045C1" w:rsidRDefault="00C045C1" w:rsidP="00C045C1">
            <w:pPr>
              <w:pStyle w:val="TableText"/>
              <w:rPr>
                <w:b/>
              </w:rPr>
            </w:pPr>
          </w:p>
        </w:tc>
        <w:tc>
          <w:tcPr>
            <w:tcW w:w="1417" w:type="dxa"/>
            <w:shd w:val="clear" w:color="auto" w:fill="B3B3B3"/>
          </w:tcPr>
          <w:p w14:paraId="1A852112" w14:textId="77777777" w:rsidR="00C045C1" w:rsidRDefault="00C045C1" w:rsidP="00C045C1">
            <w:pPr>
              <w:pStyle w:val="TableText"/>
              <w:rPr>
                <w:rFonts w:eastAsia="Symbol"/>
                <w:b/>
                <w:bCs/>
              </w:rPr>
            </w:pPr>
            <w:r>
              <w:rPr>
                <w:rFonts w:eastAsia="Symbol"/>
                <w:b/>
                <w:bCs/>
              </w:rPr>
              <w:t>Unit History Report?</w:t>
            </w:r>
          </w:p>
        </w:tc>
        <w:tc>
          <w:tcPr>
            <w:tcW w:w="1530" w:type="dxa"/>
            <w:shd w:val="clear" w:color="auto" w:fill="B3B3B3"/>
          </w:tcPr>
          <w:p w14:paraId="00526C4F" w14:textId="77777777" w:rsidR="00C045C1" w:rsidRDefault="00C045C1" w:rsidP="00C045C1">
            <w:pPr>
              <w:pStyle w:val="TableText"/>
              <w:rPr>
                <w:rFonts w:eastAsia="Symbol"/>
                <w:b/>
                <w:bCs/>
              </w:rPr>
            </w:pPr>
            <w:r>
              <w:rPr>
                <w:rFonts w:eastAsia="Symbol"/>
                <w:b/>
                <w:bCs/>
              </w:rPr>
              <w:t>Patient History Report?</w:t>
            </w:r>
          </w:p>
        </w:tc>
      </w:tr>
      <w:tr w:rsidR="00C045C1" w14:paraId="4E1AA96A" w14:textId="77777777" w:rsidTr="006F58C9">
        <w:trPr>
          <w:cantSplit/>
        </w:trPr>
        <w:tc>
          <w:tcPr>
            <w:tcW w:w="3235" w:type="dxa"/>
          </w:tcPr>
          <w:p w14:paraId="47B58975" w14:textId="77777777" w:rsidR="00C045C1" w:rsidRDefault="00C045C1" w:rsidP="00C045C1">
            <w:pPr>
              <w:pStyle w:val="TableText"/>
            </w:pPr>
            <w:r>
              <w:t>ABO discrepant unit issue</w:t>
            </w:r>
          </w:p>
        </w:tc>
        <w:tc>
          <w:tcPr>
            <w:tcW w:w="1710" w:type="dxa"/>
          </w:tcPr>
          <w:p w14:paraId="1A673249" w14:textId="77777777" w:rsidR="00C045C1" w:rsidRDefault="00C045C1" w:rsidP="00C045C1">
            <w:pPr>
              <w:pStyle w:val="TableText"/>
            </w:pPr>
            <w:r>
              <w:t>All</w:t>
            </w:r>
          </w:p>
        </w:tc>
        <w:tc>
          <w:tcPr>
            <w:tcW w:w="2520" w:type="dxa"/>
          </w:tcPr>
          <w:p w14:paraId="0400D9C3" w14:textId="77777777" w:rsidR="00C045C1" w:rsidRDefault="00C045C1" w:rsidP="00C045C1">
            <w:pPr>
              <w:pStyle w:val="TableText"/>
            </w:pPr>
            <w:r>
              <w:t>Issue Unit</w:t>
            </w:r>
          </w:p>
        </w:tc>
        <w:tc>
          <w:tcPr>
            <w:tcW w:w="1417" w:type="dxa"/>
          </w:tcPr>
          <w:p w14:paraId="2FAECD01" w14:textId="77777777" w:rsidR="00C045C1" w:rsidRDefault="00C045C1" w:rsidP="00C045C1">
            <w:pPr>
              <w:pStyle w:val="TableText"/>
            </w:pPr>
            <w:r>
              <w:t>No</w:t>
            </w:r>
          </w:p>
        </w:tc>
        <w:tc>
          <w:tcPr>
            <w:tcW w:w="1530" w:type="dxa"/>
          </w:tcPr>
          <w:p w14:paraId="5FFB7DEC" w14:textId="77777777" w:rsidR="00C045C1" w:rsidRDefault="00C045C1" w:rsidP="00C045C1">
            <w:pPr>
              <w:pStyle w:val="TableText"/>
            </w:pPr>
            <w:r>
              <w:rPr>
                <w:rFonts w:eastAsia="Symbol"/>
              </w:rPr>
              <w:t>Yes</w:t>
            </w:r>
          </w:p>
        </w:tc>
      </w:tr>
      <w:tr w:rsidR="00C045C1" w14:paraId="40048133" w14:textId="77777777" w:rsidTr="006F58C9">
        <w:trPr>
          <w:cantSplit/>
        </w:trPr>
        <w:tc>
          <w:tcPr>
            <w:tcW w:w="3235" w:type="dxa"/>
          </w:tcPr>
          <w:p w14:paraId="4A9416B1" w14:textId="24F067C9" w:rsidR="00C045C1" w:rsidRDefault="00C045C1" w:rsidP="00C045C1">
            <w:pPr>
              <w:pStyle w:val="TableText"/>
            </w:pPr>
            <w:r>
              <w:t xml:space="preserve">ABO </w:t>
            </w:r>
            <w:r w:rsidR="00271FB6">
              <w:t>incompatible unit transfused</w:t>
            </w:r>
          </w:p>
        </w:tc>
        <w:tc>
          <w:tcPr>
            <w:tcW w:w="1710" w:type="dxa"/>
          </w:tcPr>
          <w:p w14:paraId="2E375812" w14:textId="77777777" w:rsidR="00C045C1" w:rsidRPr="0095633D" w:rsidRDefault="00C045C1" w:rsidP="00C045C1">
            <w:pPr>
              <w:pStyle w:val="TableText"/>
            </w:pPr>
            <w:r>
              <w:rPr>
                <w:u w:val="single"/>
              </w:rPr>
              <w:t>&gt;</w:t>
            </w:r>
            <w:r>
              <w:t xml:space="preserve"> Traditional Supervisor</w:t>
            </w:r>
          </w:p>
        </w:tc>
        <w:tc>
          <w:tcPr>
            <w:tcW w:w="2520" w:type="dxa"/>
          </w:tcPr>
          <w:p w14:paraId="1C3A873A" w14:textId="77777777" w:rsidR="00C045C1" w:rsidRDefault="00C045C1" w:rsidP="00C045C1">
            <w:pPr>
              <w:pStyle w:val="TableText"/>
            </w:pPr>
            <w:r>
              <w:t>Document ABO Incompatible Transfusion</w:t>
            </w:r>
          </w:p>
        </w:tc>
        <w:tc>
          <w:tcPr>
            <w:tcW w:w="1417" w:type="dxa"/>
          </w:tcPr>
          <w:p w14:paraId="0C628A00" w14:textId="35CA3D45" w:rsidR="00C045C1" w:rsidRDefault="00271FB6" w:rsidP="00C045C1">
            <w:pPr>
              <w:pStyle w:val="TableText"/>
            </w:pPr>
            <w:r>
              <w:t>Yes</w:t>
            </w:r>
          </w:p>
        </w:tc>
        <w:tc>
          <w:tcPr>
            <w:tcW w:w="1530" w:type="dxa"/>
          </w:tcPr>
          <w:p w14:paraId="3B54D1E1" w14:textId="77777777" w:rsidR="00C045C1" w:rsidRDefault="00C045C1" w:rsidP="00C045C1">
            <w:pPr>
              <w:pStyle w:val="TableText"/>
            </w:pPr>
            <w:r>
              <w:rPr>
                <w:rFonts w:eastAsia="Symbol"/>
              </w:rPr>
              <w:t>Yes</w:t>
            </w:r>
          </w:p>
        </w:tc>
      </w:tr>
      <w:tr w:rsidR="00C045C1" w14:paraId="0DF3236B" w14:textId="77777777" w:rsidTr="006F58C9">
        <w:trPr>
          <w:cantSplit/>
        </w:trPr>
        <w:tc>
          <w:tcPr>
            <w:tcW w:w="3235" w:type="dxa"/>
          </w:tcPr>
          <w:p w14:paraId="3E82DFDB" w14:textId="77777777" w:rsidR="00C045C1" w:rsidRDefault="00C045C1" w:rsidP="00C045C1">
            <w:pPr>
              <w:pStyle w:val="TableText"/>
              <w:rPr>
                <w:rFonts w:eastAsia="Symbol"/>
              </w:rPr>
            </w:pPr>
            <w:r>
              <w:t>Antigen positive unit selected</w:t>
            </w:r>
          </w:p>
        </w:tc>
        <w:tc>
          <w:tcPr>
            <w:tcW w:w="1710" w:type="dxa"/>
          </w:tcPr>
          <w:p w14:paraId="3DD2AA6D" w14:textId="77777777" w:rsidR="00C045C1" w:rsidRDefault="00C045C1" w:rsidP="00C045C1">
            <w:pPr>
              <w:pStyle w:val="TableText"/>
              <w:rPr>
                <w:rFonts w:eastAsia="Symbol"/>
              </w:rPr>
            </w:pPr>
            <w:r>
              <w:rPr>
                <w:u w:val="single"/>
              </w:rPr>
              <w:t>&gt;</w:t>
            </w:r>
            <w:r>
              <w:t xml:space="preserve"> Lead Tech</w:t>
            </w:r>
          </w:p>
        </w:tc>
        <w:tc>
          <w:tcPr>
            <w:tcW w:w="2520" w:type="dxa"/>
          </w:tcPr>
          <w:p w14:paraId="55E0F794" w14:textId="77777777" w:rsidR="00C045C1" w:rsidRDefault="00C045C1" w:rsidP="00C045C1">
            <w:pPr>
              <w:pStyle w:val="TableText"/>
              <w:rPr>
                <w:rFonts w:eastAsia="Symbol"/>
              </w:rPr>
            </w:pPr>
            <w:r>
              <w:rPr>
                <w:rFonts w:eastAsia="Symbol"/>
              </w:rPr>
              <w:t>Select Unit</w:t>
            </w:r>
          </w:p>
        </w:tc>
        <w:tc>
          <w:tcPr>
            <w:tcW w:w="1417" w:type="dxa"/>
          </w:tcPr>
          <w:p w14:paraId="3286DCC1" w14:textId="77777777" w:rsidR="00C045C1" w:rsidRDefault="00C045C1" w:rsidP="00C045C1">
            <w:pPr>
              <w:pStyle w:val="TableText"/>
              <w:rPr>
                <w:rFonts w:eastAsia="Symbol"/>
              </w:rPr>
            </w:pPr>
            <w:r>
              <w:t>No</w:t>
            </w:r>
          </w:p>
        </w:tc>
        <w:tc>
          <w:tcPr>
            <w:tcW w:w="1530" w:type="dxa"/>
          </w:tcPr>
          <w:p w14:paraId="7ACFB8D8" w14:textId="77777777" w:rsidR="00C045C1" w:rsidRDefault="00C045C1" w:rsidP="00C045C1">
            <w:pPr>
              <w:pStyle w:val="TableText"/>
              <w:rPr>
                <w:rFonts w:eastAsia="Symbol"/>
              </w:rPr>
            </w:pPr>
            <w:r>
              <w:t>Yes</w:t>
            </w:r>
          </w:p>
        </w:tc>
      </w:tr>
      <w:tr w:rsidR="006D698E" w14:paraId="562C8B31" w14:textId="77777777" w:rsidTr="006F58C9">
        <w:trPr>
          <w:cantSplit/>
        </w:trPr>
        <w:tc>
          <w:tcPr>
            <w:tcW w:w="3235" w:type="dxa"/>
          </w:tcPr>
          <w:p w14:paraId="6FDACC31" w14:textId="77777777" w:rsidR="006D698E" w:rsidRDefault="006D698E" w:rsidP="00F06C4A">
            <w:pPr>
              <w:pStyle w:val="TableText"/>
            </w:pPr>
            <w:r>
              <w:t>Antigen positive/untested units issued</w:t>
            </w:r>
          </w:p>
        </w:tc>
        <w:tc>
          <w:tcPr>
            <w:tcW w:w="1710" w:type="dxa"/>
          </w:tcPr>
          <w:p w14:paraId="37D85848" w14:textId="77777777" w:rsidR="006D698E" w:rsidRDefault="006D698E" w:rsidP="00F06C4A">
            <w:pPr>
              <w:pStyle w:val="TableText"/>
            </w:pPr>
            <w:r>
              <w:rPr>
                <w:u w:val="single"/>
              </w:rPr>
              <w:t>&gt;</w:t>
            </w:r>
            <w:r>
              <w:t xml:space="preserve"> Lead Tech</w:t>
            </w:r>
          </w:p>
        </w:tc>
        <w:tc>
          <w:tcPr>
            <w:tcW w:w="2520" w:type="dxa"/>
          </w:tcPr>
          <w:p w14:paraId="01BF8BF7" w14:textId="77777777" w:rsidR="006D698E" w:rsidRDefault="006D698E" w:rsidP="00F06C4A">
            <w:pPr>
              <w:pStyle w:val="TableText"/>
            </w:pPr>
            <w:r>
              <w:t>Issue Blood</w:t>
            </w:r>
          </w:p>
        </w:tc>
        <w:tc>
          <w:tcPr>
            <w:tcW w:w="1417" w:type="dxa"/>
          </w:tcPr>
          <w:p w14:paraId="2C6932FC" w14:textId="77777777" w:rsidR="006D698E" w:rsidRDefault="006D698E" w:rsidP="00F06C4A">
            <w:pPr>
              <w:pStyle w:val="TableText"/>
            </w:pPr>
            <w:r>
              <w:t>No</w:t>
            </w:r>
          </w:p>
        </w:tc>
        <w:tc>
          <w:tcPr>
            <w:tcW w:w="1530" w:type="dxa"/>
          </w:tcPr>
          <w:p w14:paraId="5AD5C67D" w14:textId="77777777" w:rsidR="006D698E" w:rsidRDefault="006D698E" w:rsidP="00F06C4A">
            <w:pPr>
              <w:pStyle w:val="TableText"/>
            </w:pPr>
            <w:r>
              <w:rPr>
                <w:rFonts w:eastAsia="Symbol"/>
              </w:rPr>
              <w:t>Yes</w:t>
            </w:r>
          </w:p>
        </w:tc>
      </w:tr>
      <w:tr w:rsidR="00C045C1" w14:paraId="1D52BD2A" w14:textId="77777777" w:rsidTr="006F58C9">
        <w:trPr>
          <w:cantSplit/>
        </w:trPr>
        <w:tc>
          <w:tcPr>
            <w:tcW w:w="3235" w:type="dxa"/>
          </w:tcPr>
          <w:p w14:paraId="43A2778B" w14:textId="77777777" w:rsidR="00C045C1" w:rsidRDefault="00C045C1" w:rsidP="00C045C1">
            <w:pPr>
              <w:pStyle w:val="TableText"/>
            </w:pPr>
            <w:r>
              <w:t>Antigen testing phase change</w:t>
            </w:r>
          </w:p>
        </w:tc>
        <w:tc>
          <w:tcPr>
            <w:tcW w:w="1710" w:type="dxa"/>
          </w:tcPr>
          <w:p w14:paraId="4AD0E7C3" w14:textId="77777777" w:rsidR="00C045C1" w:rsidRDefault="00C045C1" w:rsidP="00C045C1">
            <w:pPr>
              <w:pStyle w:val="TableText"/>
            </w:pPr>
            <w:r>
              <w:t>All</w:t>
            </w:r>
          </w:p>
        </w:tc>
        <w:tc>
          <w:tcPr>
            <w:tcW w:w="2520" w:type="dxa"/>
          </w:tcPr>
          <w:p w14:paraId="4B57FCA1" w14:textId="77777777" w:rsidR="00C045C1" w:rsidRDefault="00C045C1" w:rsidP="00C045C1">
            <w:pPr>
              <w:pStyle w:val="TableText"/>
            </w:pPr>
            <w:r>
              <w:t xml:space="preserve">Unit or Patient Antigen typing </w:t>
            </w:r>
          </w:p>
        </w:tc>
        <w:tc>
          <w:tcPr>
            <w:tcW w:w="1417" w:type="dxa"/>
          </w:tcPr>
          <w:p w14:paraId="09838FB2" w14:textId="77777777" w:rsidR="00C045C1" w:rsidRDefault="00C045C1" w:rsidP="00C045C1">
            <w:pPr>
              <w:pStyle w:val="TableText"/>
              <w:rPr>
                <w:rFonts w:eastAsia="Symbol"/>
              </w:rPr>
            </w:pPr>
            <w:r>
              <w:rPr>
                <w:rFonts w:eastAsia="Symbol"/>
              </w:rPr>
              <w:t>Yes (Antigen Typing)</w:t>
            </w:r>
          </w:p>
        </w:tc>
        <w:tc>
          <w:tcPr>
            <w:tcW w:w="1530" w:type="dxa"/>
          </w:tcPr>
          <w:p w14:paraId="172C6606" w14:textId="77777777" w:rsidR="00C045C1" w:rsidRDefault="00C045C1" w:rsidP="00C045C1">
            <w:pPr>
              <w:pStyle w:val="TableText"/>
              <w:rPr>
                <w:rFonts w:eastAsia="Symbol"/>
              </w:rPr>
            </w:pPr>
            <w:r>
              <w:rPr>
                <w:rFonts w:eastAsia="Symbol"/>
              </w:rPr>
              <w:t>Yes (Patient Testing: Record a Patient Antigen Typing)</w:t>
            </w:r>
          </w:p>
        </w:tc>
      </w:tr>
      <w:tr w:rsidR="00C045C1" w14:paraId="53B36E45" w14:textId="77777777" w:rsidTr="006F58C9">
        <w:trPr>
          <w:cantSplit/>
        </w:trPr>
        <w:tc>
          <w:tcPr>
            <w:tcW w:w="3235" w:type="dxa"/>
          </w:tcPr>
          <w:p w14:paraId="2607A31F" w14:textId="77777777" w:rsidR="00C045C1" w:rsidRDefault="00C045C1" w:rsidP="00C045C1">
            <w:pPr>
              <w:pStyle w:val="TableText"/>
            </w:pPr>
            <w:r>
              <w:t>Biohazardous unit issued</w:t>
            </w:r>
          </w:p>
        </w:tc>
        <w:tc>
          <w:tcPr>
            <w:tcW w:w="1710" w:type="dxa"/>
          </w:tcPr>
          <w:p w14:paraId="0E099510" w14:textId="77777777" w:rsidR="00C045C1" w:rsidRDefault="00C045C1" w:rsidP="00C045C1">
            <w:pPr>
              <w:pStyle w:val="TableText"/>
            </w:pPr>
            <w:r>
              <w:t>All</w:t>
            </w:r>
          </w:p>
        </w:tc>
        <w:tc>
          <w:tcPr>
            <w:tcW w:w="2520" w:type="dxa"/>
          </w:tcPr>
          <w:p w14:paraId="20A82E27" w14:textId="77777777" w:rsidR="00C045C1" w:rsidRDefault="00C045C1" w:rsidP="00C045C1">
            <w:pPr>
              <w:pStyle w:val="TableText"/>
            </w:pPr>
            <w:r>
              <w:t>Issue Blood</w:t>
            </w:r>
          </w:p>
        </w:tc>
        <w:tc>
          <w:tcPr>
            <w:tcW w:w="1417" w:type="dxa"/>
          </w:tcPr>
          <w:p w14:paraId="6EFF4F81" w14:textId="77777777" w:rsidR="00C045C1" w:rsidRDefault="00C045C1" w:rsidP="00C045C1">
            <w:pPr>
              <w:pStyle w:val="TableText"/>
            </w:pPr>
            <w:r>
              <w:t>No</w:t>
            </w:r>
          </w:p>
        </w:tc>
        <w:tc>
          <w:tcPr>
            <w:tcW w:w="1530" w:type="dxa"/>
          </w:tcPr>
          <w:p w14:paraId="5399F0B0" w14:textId="77777777" w:rsidR="00C045C1" w:rsidRDefault="00C045C1" w:rsidP="00C045C1">
            <w:pPr>
              <w:pStyle w:val="TableText"/>
            </w:pPr>
            <w:r>
              <w:rPr>
                <w:rFonts w:eastAsia="Symbol"/>
              </w:rPr>
              <w:t>Yes</w:t>
            </w:r>
          </w:p>
        </w:tc>
      </w:tr>
      <w:tr w:rsidR="00C045C1" w14:paraId="7F8CF5E3" w14:textId="77777777" w:rsidTr="006F58C9">
        <w:trPr>
          <w:cantSplit/>
        </w:trPr>
        <w:tc>
          <w:tcPr>
            <w:tcW w:w="3235" w:type="dxa"/>
          </w:tcPr>
          <w:p w14:paraId="259A4135" w14:textId="77777777" w:rsidR="00C045C1" w:rsidRDefault="00C045C1" w:rsidP="00C045C1">
            <w:pPr>
              <w:pStyle w:val="TableText"/>
              <w:rPr>
                <w:rFonts w:eastAsia="Symbol"/>
              </w:rPr>
            </w:pPr>
            <w:r>
              <w:t>Biohazardous unit modified</w:t>
            </w:r>
          </w:p>
        </w:tc>
        <w:tc>
          <w:tcPr>
            <w:tcW w:w="1710" w:type="dxa"/>
          </w:tcPr>
          <w:p w14:paraId="29C45690" w14:textId="77777777" w:rsidR="00C045C1" w:rsidRDefault="00C045C1" w:rsidP="00C045C1">
            <w:pPr>
              <w:pStyle w:val="TableText"/>
              <w:rPr>
                <w:rFonts w:eastAsia="Symbol"/>
              </w:rPr>
            </w:pPr>
            <w:r>
              <w:t>All</w:t>
            </w:r>
          </w:p>
        </w:tc>
        <w:tc>
          <w:tcPr>
            <w:tcW w:w="2520" w:type="dxa"/>
          </w:tcPr>
          <w:p w14:paraId="6C3990A7" w14:textId="77777777" w:rsidR="00C045C1" w:rsidRDefault="00C045C1" w:rsidP="00C045C1">
            <w:pPr>
              <w:pStyle w:val="TableText"/>
              <w:rPr>
                <w:rFonts w:eastAsia="Symbol"/>
              </w:rPr>
            </w:pPr>
            <w:r>
              <w:rPr>
                <w:rFonts w:eastAsia="Symbol"/>
              </w:rPr>
              <w:t>Modification</w:t>
            </w:r>
          </w:p>
        </w:tc>
        <w:tc>
          <w:tcPr>
            <w:tcW w:w="1417" w:type="dxa"/>
          </w:tcPr>
          <w:p w14:paraId="776F354D" w14:textId="77777777" w:rsidR="00C045C1" w:rsidRDefault="00C045C1" w:rsidP="00C045C1">
            <w:pPr>
              <w:pStyle w:val="TableText"/>
              <w:rPr>
                <w:rFonts w:eastAsia="Symbol"/>
              </w:rPr>
            </w:pPr>
            <w:r>
              <w:t>Yes</w:t>
            </w:r>
          </w:p>
        </w:tc>
        <w:tc>
          <w:tcPr>
            <w:tcW w:w="1530" w:type="dxa"/>
          </w:tcPr>
          <w:p w14:paraId="005CB4B3" w14:textId="77777777" w:rsidR="00C045C1" w:rsidRDefault="00C045C1" w:rsidP="00C045C1">
            <w:pPr>
              <w:pStyle w:val="TableText"/>
              <w:rPr>
                <w:rFonts w:eastAsia="Symbol"/>
              </w:rPr>
            </w:pPr>
            <w:r>
              <w:t>No</w:t>
            </w:r>
          </w:p>
        </w:tc>
      </w:tr>
      <w:tr w:rsidR="00C045C1" w14:paraId="4D175D2B" w14:textId="77777777" w:rsidTr="006F58C9">
        <w:trPr>
          <w:cantSplit/>
        </w:trPr>
        <w:tc>
          <w:tcPr>
            <w:tcW w:w="3235" w:type="dxa"/>
          </w:tcPr>
          <w:p w14:paraId="5DC214E1" w14:textId="77777777" w:rsidR="00C045C1" w:rsidRDefault="00C045C1" w:rsidP="00C045C1">
            <w:pPr>
              <w:pStyle w:val="TableText"/>
              <w:rPr>
                <w:rFonts w:eastAsia="Symbol"/>
              </w:rPr>
            </w:pPr>
            <w:r>
              <w:t>Biohazardous unit selected</w:t>
            </w:r>
          </w:p>
        </w:tc>
        <w:tc>
          <w:tcPr>
            <w:tcW w:w="1710" w:type="dxa"/>
          </w:tcPr>
          <w:p w14:paraId="79A7D6EC" w14:textId="77777777" w:rsidR="00C045C1" w:rsidRDefault="00C045C1" w:rsidP="00C045C1">
            <w:pPr>
              <w:pStyle w:val="TableText"/>
              <w:rPr>
                <w:rFonts w:eastAsia="Symbol"/>
              </w:rPr>
            </w:pPr>
            <w:r>
              <w:t>All</w:t>
            </w:r>
          </w:p>
        </w:tc>
        <w:tc>
          <w:tcPr>
            <w:tcW w:w="2520" w:type="dxa"/>
          </w:tcPr>
          <w:p w14:paraId="36ED1E1C" w14:textId="77777777" w:rsidR="00C045C1" w:rsidRDefault="00C045C1" w:rsidP="00C045C1">
            <w:pPr>
              <w:pStyle w:val="TableText"/>
              <w:rPr>
                <w:rFonts w:eastAsia="Symbol"/>
              </w:rPr>
            </w:pPr>
            <w:r>
              <w:rPr>
                <w:rFonts w:eastAsia="Symbol"/>
              </w:rPr>
              <w:t>Select Unit</w:t>
            </w:r>
          </w:p>
        </w:tc>
        <w:tc>
          <w:tcPr>
            <w:tcW w:w="1417" w:type="dxa"/>
          </w:tcPr>
          <w:p w14:paraId="41A8F41C" w14:textId="77777777" w:rsidR="00C045C1" w:rsidRDefault="00C045C1" w:rsidP="00C045C1">
            <w:pPr>
              <w:pStyle w:val="TableText"/>
              <w:rPr>
                <w:rFonts w:eastAsia="Symbol"/>
              </w:rPr>
            </w:pPr>
            <w:r>
              <w:t>No</w:t>
            </w:r>
          </w:p>
        </w:tc>
        <w:tc>
          <w:tcPr>
            <w:tcW w:w="1530" w:type="dxa"/>
          </w:tcPr>
          <w:p w14:paraId="09A9AB25" w14:textId="77777777" w:rsidR="00C045C1" w:rsidRDefault="00C045C1" w:rsidP="00C045C1">
            <w:pPr>
              <w:pStyle w:val="TableText"/>
              <w:rPr>
                <w:rFonts w:eastAsia="Symbol"/>
              </w:rPr>
            </w:pPr>
            <w:r>
              <w:rPr>
                <w:rFonts w:eastAsia="Symbol"/>
              </w:rPr>
              <w:t>Yes</w:t>
            </w:r>
          </w:p>
        </w:tc>
      </w:tr>
      <w:tr w:rsidR="00C045C1" w14:paraId="4C3E7695" w14:textId="77777777" w:rsidTr="006F58C9">
        <w:trPr>
          <w:cantSplit/>
        </w:trPr>
        <w:tc>
          <w:tcPr>
            <w:tcW w:w="3235" w:type="dxa"/>
          </w:tcPr>
          <w:p w14:paraId="145E1357" w14:textId="77777777" w:rsidR="00C045C1" w:rsidRDefault="00C045C1" w:rsidP="00C045C1">
            <w:pPr>
              <w:pStyle w:val="TableText"/>
            </w:pPr>
            <w:r>
              <w:t>Caution Tag or Blood Transfusion Record Form printed for antigen positive or untested unit</w:t>
            </w:r>
          </w:p>
        </w:tc>
        <w:tc>
          <w:tcPr>
            <w:tcW w:w="1710" w:type="dxa"/>
          </w:tcPr>
          <w:p w14:paraId="7818A67A" w14:textId="77777777" w:rsidR="00C045C1" w:rsidRDefault="00C045C1" w:rsidP="00C045C1">
            <w:pPr>
              <w:pStyle w:val="TableText"/>
            </w:pPr>
            <w:r>
              <w:rPr>
                <w:u w:val="single"/>
              </w:rPr>
              <w:t>&gt;</w:t>
            </w:r>
            <w:r>
              <w:t xml:space="preserve"> Lead Tech</w:t>
            </w:r>
          </w:p>
        </w:tc>
        <w:tc>
          <w:tcPr>
            <w:tcW w:w="2520" w:type="dxa"/>
          </w:tcPr>
          <w:p w14:paraId="64B78729" w14:textId="77777777" w:rsidR="00C045C1" w:rsidRDefault="00C045C1" w:rsidP="00C045C1">
            <w:pPr>
              <w:pStyle w:val="TableText"/>
            </w:pPr>
          </w:p>
        </w:tc>
        <w:tc>
          <w:tcPr>
            <w:tcW w:w="1417" w:type="dxa"/>
          </w:tcPr>
          <w:p w14:paraId="6FC91F03" w14:textId="77777777" w:rsidR="00C045C1" w:rsidRDefault="00C045C1" w:rsidP="00C045C1">
            <w:pPr>
              <w:pStyle w:val="TableText"/>
              <w:rPr>
                <w:rFonts w:eastAsia="Symbol"/>
              </w:rPr>
            </w:pPr>
            <w:r>
              <w:t>No</w:t>
            </w:r>
          </w:p>
        </w:tc>
        <w:tc>
          <w:tcPr>
            <w:tcW w:w="1530" w:type="dxa"/>
          </w:tcPr>
          <w:p w14:paraId="11B79E3E" w14:textId="77777777" w:rsidR="00C045C1" w:rsidRDefault="00C045C1" w:rsidP="00C045C1">
            <w:pPr>
              <w:pStyle w:val="TableText"/>
              <w:rPr>
                <w:rFonts w:eastAsia="Symbol"/>
              </w:rPr>
            </w:pPr>
            <w:r>
              <w:rPr>
                <w:rFonts w:eastAsia="Symbol"/>
              </w:rPr>
              <w:t>Yes</w:t>
            </w:r>
          </w:p>
        </w:tc>
      </w:tr>
      <w:tr w:rsidR="00C045C1" w14:paraId="7F44F28C" w14:textId="77777777" w:rsidTr="006F58C9">
        <w:trPr>
          <w:cantSplit/>
        </w:trPr>
        <w:tc>
          <w:tcPr>
            <w:tcW w:w="3235" w:type="dxa"/>
          </w:tcPr>
          <w:p w14:paraId="1358059A" w14:textId="77777777" w:rsidR="00C045C1" w:rsidRDefault="00C045C1" w:rsidP="00C045C1">
            <w:pPr>
              <w:pStyle w:val="TableText"/>
            </w:pPr>
            <w:r>
              <w:t>Caution Tag or Blood Transfusion Record Form printed on expired specimen</w:t>
            </w:r>
          </w:p>
        </w:tc>
        <w:tc>
          <w:tcPr>
            <w:tcW w:w="1710" w:type="dxa"/>
          </w:tcPr>
          <w:p w14:paraId="32DBA5C2" w14:textId="77777777" w:rsidR="00C045C1" w:rsidRDefault="00C045C1" w:rsidP="00C045C1">
            <w:pPr>
              <w:pStyle w:val="TableText"/>
            </w:pPr>
            <w:r>
              <w:rPr>
                <w:u w:val="single"/>
              </w:rPr>
              <w:t>&gt;</w:t>
            </w:r>
            <w:r>
              <w:t xml:space="preserve"> Enhanced Tech</w:t>
            </w:r>
          </w:p>
        </w:tc>
        <w:tc>
          <w:tcPr>
            <w:tcW w:w="2520" w:type="dxa"/>
          </w:tcPr>
          <w:p w14:paraId="2F72E1E3" w14:textId="77777777" w:rsidR="00C045C1" w:rsidRDefault="00C045C1" w:rsidP="00C045C1">
            <w:pPr>
              <w:pStyle w:val="TableText"/>
            </w:pPr>
          </w:p>
        </w:tc>
        <w:tc>
          <w:tcPr>
            <w:tcW w:w="1417" w:type="dxa"/>
          </w:tcPr>
          <w:p w14:paraId="65509635" w14:textId="77777777" w:rsidR="00C045C1" w:rsidRDefault="00C045C1" w:rsidP="00C045C1">
            <w:pPr>
              <w:pStyle w:val="TableText"/>
              <w:rPr>
                <w:rFonts w:eastAsia="Symbol"/>
              </w:rPr>
            </w:pPr>
            <w:r>
              <w:t>No</w:t>
            </w:r>
          </w:p>
        </w:tc>
        <w:tc>
          <w:tcPr>
            <w:tcW w:w="1530" w:type="dxa"/>
          </w:tcPr>
          <w:p w14:paraId="5F9F59CD" w14:textId="77777777" w:rsidR="00C045C1" w:rsidRDefault="00C045C1" w:rsidP="00C045C1">
            <w:pPr>
              <w:pStyle w:val="TableText"/>
              <w:rPr>
                <w:rFonts w:eastAsia="Symbol"/>
              </w:rPr>
            </w:pPr>
            <w:r>
              <w:rPr>
                <w:rFonts w:eastAsia="Symbol"/>
              </w:rPr>
              <w:t>Yes</w:t>
            </w:r>
          </w:p>
        </w:tc>
      </w:tr>
      <w:tr w:rsidR="00C045C1" w14:paraId="203A1619" w14:textId="77777777" w:rsidTr="006F58C9">
        <w:trPr>
          <w:cantSplit/>
        </w:trPr>
        <w:tc>
          <w:tcPr>
            <w:tcW w:w="3235" w:type="dxa"/>
          </w:tcPr>
          <w:p w14:paraId="1319E657" w14:textId="77777777" w:rsidR="00C045C1" w:rsidRDefault="00C045C1" w:rsidP="00C045C1">
            <w:pPr>
              <w:pStyle w:val="TableText"/>
            </w:pPr>
            <w:r>
              <w:t>Caution Tag or Blood Transfusion Record Form printed on expired unit</w:t>
            </w:r>
          </w:p>
        </w:tc>
        <w:tc>
          <w:tcPr>
            <w:tcW w:w="1710" w:type="dxa"/>
          </w:tcPr>
          <w:p w14:paraId="63A64649" w14:textId="77777777" w:rsidR="00C045C1" w:rsidRDefault="00C045C1" w:rsidP="00C045C1">
            <w:pPr>
              <w:pStyle w:val="TableText"/>
            </w:pPr>
            <w:r>
              <w:rPr>
                <w:u w:val="single"/>
              </w:rPr>
              <w:t>&gt;</w:t>
            </w:r>
            <w:r>
              <w:t xml:space="preserve"> Enhanced Tech</w:t>
            </w:r>
          </w:p>
        </w:tc>
        <w:tc>
          <w:tcPr>
            <w:tcW w:w="2520" w:type="dxa"/>
          </w:tcPr>
          <w:p w14:paraId="7CE33E93" w14:textId="77777777" w:rsidR="00C045C1" w:rsidRDefault="00C045C1" w:rsidP="00C045C1">
            <w:pPr>
              <w:pStyle w:val="TableText"/>
            </w:pPr>
          </w:p>
        </w:tc>
        <w:tc>
          <w:tcPr>
            <w:tcW w:w="1417" w:type="dxa"/>
          </w:tcPr>
          <w:p w14:paraId="34E4885C" w14:textId="77777777" w:rsidR="00C045C1" w:rsidRDefault="00C045C1" w:rsidP="00C045C1">
            <w:pPr>
              <w:pStyle w:val="TableText"/>
              <w:rPr>
                <w:rFonts w:eastAsia="Symbol"/>
              </w:rPr>
            </w:pPr>
            <w:r>
              <w:t>No</w:t>
            </w:r>
          </w:p>
        </w:tc>
        <w:tc>
          <w:tcPr>
            <w:tcW w:w="1530" w:type="dxa"/>
          </w:tcPr>
          <w:p w14:paraId="3E500E1C" w14:textId="77777777" w:rsidR="00C045C1" w:rsidRDefault="00C045C1" w:rsidP="00C045C1">
            <w:pPr>
              <w:pStyle w:val="TableText"/>
              <w:rPr>
                <w:rFonts w:eastAsia="Symbol"/>
              </w:rPr>
            </w:pPr>
            <w:r>
              <w:rPr>
                <w:rFonts w:eastAsia="Symbol"/>
              </w:rPr>
              <w:t>Yes</w:t>
            </w:r>
          </w:p>
        </w:tc>
      </w:tr>
      <w:tr w:rsidR="00C045C1" w14:paraId="3372F2CC" w14:textId="77777777" w:rsidTr="006F58C9">
        <w:trPr>
          <w:cantSplit/>
        </w:trPr>
        <w:tc>
          <w:tcPr>
            <w:tcW w:w="3235" w:type="dxa"/>
          </w:tcPr>
          <w:p w14:paraId="6F6E9352" w14:textId="77777777" w:rsidR="00C045C1" w:rsidRDefault="00C045C1" w:rsidP="00C045C1">
            <w:pPr>
              <w:pStyle w:val="TableText"/>
            </w:pPr>
            <w:r>
              <w:t>Caution Tag or Blood Transfusion Record Form printed with unsatisfied Transfusion Requirement</w:t>
            </w:r>
          </w:p>
        </w:tc>
        <w:tc>
          <w:tcPr>
            <w:tcW w:w="1710" w:type="dxa"/>
          </w:tcPr>
          <w:p w14:paraId="0016B39E" w14:textId="77777777" w:rsidR="00C045C1" w:rsidRDefault="00C045C1" w:rsidP="00C045C1">
            <w:pPr>
              <w:pStyle w:val="TableText"/>
            </w:pPr>
            <w:r>
              <w:rPr>
                <w:u w:val="single"/>
              </w:rPr>
              <w:t>&gt;</w:t>
            </w:r>
            <w:r>
              <w:t xml:space="preserve"> Lead Tech</w:t>
            </w:r>
          </w:p>
        </w:tc>
        <w:tc>
          <w:tcPr>
            <w:tcW w:w="2520" w:type="dxa"/>
          </w:tcPr>
          <w:p w14:paraId="01F56D93" w14:textId="77777777" w:rsidR="00C045C1" w:rsidRDefault="00C045C1" w:rsidP="00C045C1">
            <w:pPr>
              <w:pStyle w:val="TableText"/>
            </w:pPr>
          </w:p>
        </w:tc>
        <w:tc>
          <w:tcPr>
            <w:tcW w:w="1417" w:type="dxa"/>
          </w:tcPr>
          <w:p w14:paraId="3F794438" w14:textId="77777777" w:rsidR="00C045C1" w:rsidRDefault="00C045C1" w:rsidP="00C045C1">
            <w:pPr>
              <w:pStyle w:val="TableText"/>
              <w:rPr>
                <w:rFonts w:eastAsia="Symbol"/>
              </w:rPr>
            </w:pPr>
            <w:r>
              <w:t>No</w:t>
            </w:r>
          </w:p>
        </w:tc>
        <w:tc>
          <w:tcPr>
            <w:tcW w:w="1530" w:type="dxa"/>
          </w:tcPr>
          <w:p w14:paraId="2A3AF919" w14:textId="77777777" w:rsidR="00C045C1" w:rsidRDefault="00C045C1" w:rsidP="00C045C1">
            <w:pPr>
              <w:pStyle w:val="TableText"/>
              <w:rPr>
                <w:rFonts w:eastAsia="Symbol"/>
              </w:rPr>
            </w:pPr>
            <w:r>
              <w:rPr>
                <w:rFonts w:eastAsia="Symbol"/>
              </w:rPr>
              <w:t>Yes</w:t>
            </w:r>
          </w:p>
        </w:tc>
      </w:tr>
      <w:tr w:rsidR="00C045C1" w14:paraId="6DA36C60" w14:textId="77777777" w:rsidTr="006F58C9">
        <w:trPr>
          <w:cantSplit/>
        </w:trPr>
        <w:tc>
          <w:tcPr>
            <w:tcW w:w="3235" w:type="dxa"/>
          </w:tcPr>
          <w:p w14:paraId="5BD95739" w14:textId="77777777" w:rsidR="00C045C1" w:rsidRDefault="00C045C1" w:rsidP="00C045C1">
            <w:pPr>
              <w:pStyle w:val="TableText"/>
              <w:rPr>
                <w:rFonts w:eastAsia="Symbol"/>
              </w:rPr>
            </w:pPr>
            <w:r>
              <w:t>Crossmatch incompatible: Give only with MD approval</w:t>
            </w:r>
          </w:p>
        </w:tc>
        <w:tc>
          <w:tcPr>
            <w:tcW w:w="1710" w:type="dxa"/>
          </w:tcPr>
          <w:p w14:paraId="3BF3FAC0" w14:textId="77777777" w:rsidR="00C045C1" w:rsidRDefault="00C045C1" w:rsidP="00C045C1">
            <w:pPr>
              <w:pStyle w:val="TableText"/>
              <w:rPr>
                <w:rFonts w:eastAsia="Symbol"/>
              </w:rPr>
            </w:pPr>
            <w:r>
              <w:t>All</w:t>
            </w:r>
          </w:p>
        </w:tc>
        <w:tc>
          <w:tcPr>
            <w:tcW w:w="2520" w:type="dxa"/>
          </w:tcPr>
          <w:p w14:paraId="19E777D0" w14:textId="77777777" w:rsidR="00C045C1" w:rsidRDefault="00C045C1" w:rsidP="00C045C1">
            <w:pPr>
              <w:pStyle w:val="TableText"/>
              <w:rPr>
                <w:rFonts w:eastAsia="Symbol"/>
              </w:rPr>
            </w:pPr>
          </w:p>
        </w:tc>
        <w:tc>
          <w:tcPr>
            <w:tcW w:w="1417" w:type="dxa"/>
          </w:tcPr>
          <w:p w14:paraId="5FEC14CB" w14:textId="77777777" w:rsidR="00C045C1" w:rsidRDefault="00C045C1" w:rsidP="00C045C1">
            <w:pPr>
              <w:pStyle w:val="TableText"/>
              <w:rPr>
                <w:rFonts w:eastAsia="Symbol"/>
              </w:rPr>
            </w:pPr>
            <w:r>
              <w:t>No</w:t>
            </w:r>
          </w:p>
        </w:tc>
        <w:tc>
          <w:tcPr>
            <w:tcW w:w="1530" w:type="dxa"/>
          </w:tcPr>
          <w:p w14:paraId="7EE68C5B" w14:textId="77777777" w:rsidR="00C045C1" w:rsidRDefault="00C045C1" w:rsidP="00C045C1">
            <w:pPr>
              <w:pStyle w:val="TableText"/>
              <w:rPr>
                <w:rFonts w:eastAsia="Symbol"/>
              </w:rPr>
            </w:pPr>
            <w:r>
              <w:rPr>
                <w:rFonts w:eastAsia="Symbol"/>
              </w:rPr>
              <w:t>Yes</w:t>
            </w:r>
          </w:p>
        </w:tc>
      </w:tr>
      <w:tr w:rsidR="00C045C1" w14:paraId="609CB903" w14:textId="77777777" w:rsidTr="006F58C9">
        <w:trPr>
          <w:cantSplit/>
        </w:trPr>
        <w:tc>
          <w:tcPr>
            <w:tcW w:w="3235" w:type="dxa"/>
          </w:tcPr>
          <w:p w14:paraId="31819FAE" w14:textId="77777777" w:rsidR="00C045C1" w:rsidRDefault="00C045C1" w:rsidP="00C045C1">
            <w:pPr>
              <w:pStyle w:val="TableText"/>
            </w:pPr>
            <w:r>
              <w:t>Deletion of partially completed QC</w:t>
            </w:r>
          </w:p>
        </w:tc>
        <w:tc>
          <w:tcPr>
            <w:tcW w:w="1710" w:type="dxa"/>
          </w:tcPr>
          <w:p w14:paraId="54D792FA" w14:textId="77777777" w:rsidR="00C045C1" w:rsidRDefault="00C045C1" w:rsidP="00C045C1">
            <w:pPr>
              <w:pStyle w:val="TableText"/>
            </w:pPr>
            <w:r>
              <w:t>All</w:t>
            </w:r>
          </w:p>
        </w:tc>
        <w:tc>
          <w:tcPr>
            <w:tcW w:w="2520" w:type="dxa"/>
          </w:tcPr>
          <w:p w14:paraId="6D2E6692" w14:textId="77777777" w:rsidR="00C045C1" w:rsidRDefault="00C045C1" w:rsidP="00C045C1">
            <w:pPr>
              <w:pStyle w:val="TableText"/>
            </w:pPr>
            <w:r>
              <w:t>Enter Daily QC</w:t>
            </w:r>
          </w:p>
        </w:tc>
        <w:tc>
          <w:tcPr>
            <w:tcW w:w="1417" w:type="dxa"/>
          </w:tcPr>
          <w:p w14:paraId="2821E281" w14:textId="77777777" w:rsidR="00C045C1" w:rsidRDefault="00C045C1" w:rsidP="00C045C1">
            <w:pPr>
              <w:pStyle w:val="TableText"/>
            </w:pPr>
            <w:r>
              <w:t>No</w:t>
            </w:r>
          </w:p>
        </w:tc>
        <w:tc>
          <w:tcPr>
            <w:tcW w:w="1530" w:type="dxa"/>
          </w:tcPr>
          <w:p w14:paraId="36FB4542" w14:textId="77777777" w:rsidR="00C045C1" w:rsidRDefault="00C045C1" w:rsidP="00C045C1">
            <w:pPr>
              <w:pStyle w:val="TableText"/>
            </w:pPr>
            <w:r>
              <w:t>No</w:t>
            </w:r>
          </w:p>
        </w:tc>
      </w:tr>
      <w:tr w:rsidR="00C045C1" w14:paraId="0E0AA802" w14:textId="77777777" w:rsidTr="006F58C9">
        <w:trPr>
          <w:cantSplit/>
        </w:trPr>
        <w:tc>
          <w:tcPr>
            <w:tcW w:w="3235" w:type="dxa"/>
          </w:tcPr>
          <w:p w14:paraId="77727F3A" w14:textId="77777777" w:rsidR="00C045C1" w:rsidRDefault="00C045C1" w:rsidP="00C045C1">
            <w:pPr>
              <w:pStyle w:val="TableText"/>
              <w:rPr>
                <w:rFonts w:eastAsia="Symbol"/>
              </w:rPr>
            </w:pPr>
            <w:r>
              <w:t>Discrepant ABO/Rh override</w:t>
            </w:r>
          </w:p>
        </w:tc>
        <w:tc>
          <w:tcPr>
            <w:tcW w:w="1710" w:type="dxa"/>
          </w:tcPr>
          <w:p w14:paraId="7E87DDC9" w14:textId="77777777" w:rsidR="00C045C1" w:rsidRDefault="00C045C1" w:rsidP="00C045C1">
            <w:pPr>
              <w:pStyle w:val="TableText"/>
              <w:rPr>
                <w:rFonts w:eastAsia="Symbol"/>
              </w:rPr>
            </w:pPr>
            <w:r>
              <w:rPr>
                <w:u w:val="single"/>
              </w:rPr>
              <w:t>&gt;</w:t>
            </w:r>
            <w:r>
              <w:t xml:space="preserve"> Enhanced Tech</w:t>
            </w:r>
          </w:p>
        </w:tc>
        <w:tc>
          <w:tcPr>
            <w:tcW w:w="2520" w:type="dxa"/>
          </w:tcPr>
          <w:p w14:paraId="3D5462D4" w14:textId="77777777" w:rsidR="00C045C1" w:rsidRDefault="00C045C1" w:rsidP="00C045C1">
            <w:pPr>
              <w:pStyle w:val="TableText"/>
              <w:rPr>
                <w:rFonts w:eastAsia="Symbol"/>
              </w:rPr>
            </w:pPr>
            <w:r>
              <w:rPr>
                <w:rFonts w:eastAsia="Symbol"/>
              </w:rPr>
              <w:t>Patient Testing</w:t>
            </w:r>
          </w:p>
        </w:tc>
        <w:tc>
          <w:tcPr>
            <w:tcW w:w="1417" w:type="dxa"/>
          </w:tcPr>
          <w:p w14:paraId="69602DC3" w14:textId="77777777" w:rsidR="00C045C1" w:rsidRDefault="00C045C1" w:rsidP="00C045C1">
            <w:pPr>
              <w:pStyle w:val="TableText"/>
              <w:rPr>
                <w:rFonts w:eastAsia="Symbol"/>
              </w:rPr>
            </w:pPr>
            <w:r>
              <w:t>No</w:t>
            </w:r>
          </w:p>
        </w:tc>
        <w:tc>
          <w:tcPr>
            <w:tcW w:w="1530" w:type="dxa"/>
          </w:tcPr>
          <w:p w14:paraId="29C88E5F" w14:textId="77777777" w:rsidR="00C045C1" w:rsidRDefault="00C045C1" w:rsidP="00C045C1">
            <w:pPr>
              <w:pStyle w:val="TableText"/>
              <w:rPr>
                <w:rFonts w:eastAsia="Symbol"/>
              </w:rPr>
            </w:pPr>
            <w:r>
              <w:rPr>
                <w:rFonts w:eastAsia="Symbol"/>
              </w:rPr>
              <w:t>Yes</w:t>
            </w:r>
          </w:p>
        </w:tc>
      </w:tr>
      <w:tr w:rsidR="00C045C1" w14:paraId="16F853F3" w14:textId="77777777" w:rsidTr="006F58C9">
        <w:trPr>
          <w:cantSplit/>
        </w:trPr>
        <w:tc>
          <w:tcPr>
            <w:tcW w:w="3235" w:type="dxa"/>
          </w:tcPr>
          <w:p w14:paraId="49DC11DE" w14:textId="77777777" w:rsidR="00C045C1" w:rsidRDefault="00C045C1" w:rsidP="00C045C1">
            <w:pPr>
              <w:pStyle w:val="TableText"/>
              <w:rPr>
                <w:rFonts w:eastAsia="Symbol"/>
              </w:rPr>
            </w:pPr>
            <w:r>
              <w:t>Discrepant patient antigen typing</w:t>
            </w:r>
          </w:p>
        </w:tc>
        <w:tc>
          <w:tcPr>
            <w:tcW w:w="1710" w:type="dxa"/>
          </w:tcPr>
          <w:p w14:paraId="1AA653E2" w14:textId="77777777" w:rsidR="00C045C1" w:rsidRDefault="00C045C1" w:rsidP="00C045C1">
            <w:pPr>
              <w:pStyle w:val="TableText"/>
              <w:rPr>
                <w:rFonts w:eastAsia="Symbol"/>
              </w:rPr>
            </w:pPr>
            <w:r>
              <w:t>All</w:t>
            </w:r>
          </w:p>
        </w:tc>
        <w:tc>
          <w:tcPr>
            <w:tcW w:w="2520" w:type="dxa"/>
          </w:tcPr>
          <w:p w14:paraId="79ECBD98" w14:textId="77777777" w:rsidR="00C045C1" w:rsidRDefault="00C045C1" w:rsidP="00C045C1">
            <w:pPr>
              <w:pStyle w:val="TableText"/>
              <w:rPr>
                <w:rFonts w:eastAsia="Symbol"/>
              </w:rPr>
            </w:pPr>
            <w:r>
              <w:rPr>
                <w:rFonts w:eastAsia="Symbol"/>
              </w:rPr>
              <w:t>Patient Testing</w:t>
            </w:r>
          </w:p>
        </w:tc>
        <w:tc>
          <w:tcPr>
            <w:tcW w:w="1417" w:type="dxa"/>
          </w:tcPr>
          <w:p w14:paraId="0A326EC7" w14:textId="77777777" w:rsidR="00C045C1" w:rsidRDefault="00C045C1" w:rsidP="00C045C1">
            <w:pPr>
              <w:pStyle w:val="TableText"/>
              <w:rPr>
                <w:rFonts w:eastAsia="Symbol"/>
              </w:rPr>
            </w:pPr>
            <w:r>
              <w:t>No</w:t>
            </w:r>
          </w:p>
        </w:tc>
        <w:tc>
          <w:tcPr>
            <w:tcW w:w="1530" w:type="dxa"/>
          </w:tcPr>
          <w:p w14:paraId="4BD073D3" w14:textId="77777777" w:rsidR="00C045C1" w:rsidRDefault="00C045C1" w:rsidP="00C045C1">
            <w:pPr>
              <w:pStyle w:val="TableText"/>
              <w:rPr>
                <w:rFonts w:eastAsia="Symbol"/>
              </w:rPr>
            </w:pPr>
            <w:r>
              <w:rPr>
                <w:rFonts w:eastAsia="Symbol"/>
              </w:rPr>
              <w:t>Yes</w:t>
            </w:r>
          </w:p>
        </w:tc>
      </w:tr>
      <w:tr w:rsidR="008A701E" w14:paraId="433E85B8" w14:textId="77777777" w:rsidTr="006F58C9">
        <w:trPr>
          <w:cantSplit/>
        </w:trPr>
        <w:tc>
          <w:tcPr>
            <w:tcW w:w="3235" w:type="dxa"/>
          </w:tcPr>
          <w:p w14:paraId="4FB95324" w14:textId="77777777" w:rsidR="008A701E" w:rsidRDefault="008A701E" w:rsidP="00C045C1">
            <w:pPr>
              <w:pStyle w:val="TableText"/>
            </w:pPr>
            <w:r>
              <w:t>Electronic Transfusion Record Update</w:t>
            </w:r>
          </w:p>
        </w:tc>
        <w:tc>
          <w:tcPr>
            <w:tcW w:w="1710" w:type="dxa"/>
          </w:tcPr>
          <w:p w14:paraId="13B758F5" w14:textId="77777777" w:rsidR="008A701E" w:rsidRDefault="008A701E" w:rsidP="00C045C1">
            <w:pPr>
              <w:pStyle w:val="TableText"/>
            </w:pPr>
            <w:r>
              <w:t>BCE COTS system</w:t>
            </w:r>
          </w:p>
        </w:tc>
        <w:tc>
          <w:tcPr>
            <w:tcW w:w="2520" w:type="dxa"/>
          </w:tcPr>
          <w:p w14:paraId="7BDC706A" w14:textId="77777777" w:rsidR="008A701E" w:rsidRDefault="008A701E" w:rsidP="00C045C1">
            <w:pPr>
              <w:pStyle w:val="TableText"/>
            </w:pPr>
            <w:r>
              <w:t>Post –Transfusion Information</w:t>
            </w:r>
          </w:p>
        </w:tc>
        <w:tc>
          <w:tcPr>
            <w:tcW w:w="1417" w:type="dxa"/>
          </w:tcPr>
          <w:p w14:paraId="52D1824D" w14:textId="77777777" w:rsidR="008A701E" w:rsidRDefault="008A701E" w:rsidP="00C045C1">
            <w:pPr>
              <w:pStyle w:val="TableText"/>
            </w:pPr>
            <w:r>
              <w:t>No</w:t>
            </w:r>
          </w:p>
        </w:tc>
        <w:tc>
          <w:tcPr>
            <w:tcW w:w="1530" w:type="dxa"/>
          </w:tcPr>
          <w:p w14:paraId="4A809E1C" w14:textId="77777777" w:rsidR="008A701E" w:rsidRDefault="008A701E" w:rsidP="00C045C1">
            <w:pPr>
              <w:pStyle w:val="TableText"/>
              <w:rPr>
                <w:rFonts w:eastAsia="Symbol"/>
              </w:rPr>
            </w:pPr>
            <w:r>
              <w:rPr>
                <w:rFonts w:eastAsia="Symbol"/>
              </w:rPr>
              <w:t>No</w:t>
            </w:r>
          </w:p>
        </w:tc>
      </w:tr>
      <w:tr w:rsidR="00C045C1" w14:paraId="0B74C2FB" w14:textId="77777777" w:rsidTr="006F58C9">
        <w:trPr>
          <w:cantSplit/>
        </w:trPr>
        <w:tc>
          <w:tcPr>
            <w:tcW w:w="3235" w:type="dxa"/>
          </w:tcPr>
          <w:p w14:paraId="509CACC0" w14:textId="77777777" w:rsidR="00C045C1" w:rsidRDefault="00C045C1" w:rsidP="00C045C1">
            <w:pPr>
              <w:pStyle w:val="TableText"/>
            </w:pPr>
            <w:r>
              <w:t>Emergency issue request (no specimen)</w:t>
            </w:r>
          </w:p>
        </w:tc>
        <w:tc>
          <w:tcPr>
            <w:tcW w:w="1710" w:type="dxa"/>
          </w:tcPr>
          <w:p w14:paraId="259C117A" w14:textId="77777777" w:rsidR="00C045C1" w:rsidRDefault="00C045C1" w:rsidP="00C045C1">
            <w:pPr>
              <w:pStyle w:val="TableText"/>
            </w:pPr>
            <w:r>
              <w:t>All</w:t>
            </w:r>
          </w:p>
        </w:tc>
        <w:tc>
          <w:tcPr>
            <w:tcW w:w="2520" w:type="dxa"/>
          </w:tcPr>
          <w:p w14:paraId="6F5732FC" w14:textId="77777777" w:rsidR="00C045C1" w:rsidRDefault="00C045C1" w:rsidP="00C045C1">
            <w:pPr>
              <w:pStyle w:val="TableText"/>
            </w:pPr>
            <w:r>
              <w:t>Accept Order</w:t>
            </w:r>
          </w:p>
        </w:tc>
        <w:tc>
          <w:tcPr>
            <w:tcW w:w="1417" w:type="dxa"/>
          </w:tcPr>
          <w:p w14:paraId="7F4BDA30" w14:textId="77777777" w:rsidR="00C045C1" w:rsidRDefault="00C045C1" w:rsidP="00C045C1">
            <w:pPr>
              <w:pStyle w:val="TableText"/>
              <w:rPr>
                <w:rFonts w:eastAsia="Symbol"/>
              </w:rPr>
            </w:pPr>
            <w:r>
              <w:t>No</w:t>
            </w:r>
          </w:p>
        </w:tc>
        <w:tc>
          <w:tcPr>
            <w:tcW w:w="1530" w:type="dxa"/>
          </w:tcPr>
          <w:p w14:paraId="1BFE7254" w14:textId="77777777" w:rsidR="00C045C1" w:rsidRDefault="00C045C1" w:rsidP="00C045C1">
            <w:pPr>
              <w:pStyle w:val="TableText"/>
              <w:rPr>
                <w:rFonts w:eastAsia="Symbol"/>
              </w:rPr>
            </w:pPr>
            <w:r>
              <w:rPr>
                <w:rFonts w:eastAsia="Symbol"/>
              </w:rPr>
              <w:t>Yes</w:t>
            </w:r>
          </w:p>
        </w:tc>
      </w:tr>
      <w:tr w:rsidR="00C045C1" w14:paraId="2FA31B18" w14:textId="77777777" w:rsidTr="006F58C9">
        <w:trPr>
          <w:cantSplit/>
        </w:trPr>
        <w:tc>
          <w:tcPr>
            <w:tcW w:w="3235" w:type="dxa"/>
          </w:tcPr>
          <w:p w14:paraId="1968CF15" w14:textId="77777777" w:rsidR="00C045C1" w:rsidRDefault="00C045C1" w:rsidP="00C045C1">
            <w:pPr>
              <w:pStyle w:val="TableText"/>
            </w:pPr>
            <w:r>
              <w:t>Emergency issue, require testing incomplete</w:t>
            </w:r>
          </w:p>
        </w:tc>
        <w:tc>
          <w:tcPr>
            <w:tcW w:w="1710" w:type="dxa"/>
          </w:tcPr>
          <w:p w14:paraId="64DD1F6F" w14:textId="77777777" w:rsidR="00C045C1" w:rsidRDefault="00C045C1" w:rsidP="00C045C1">
            <w:pPr>
              <w:pStyle w:val="TableText"/>
            </w:pPr>
            <w:r>
              <w:t>All</w:t>
            </w:r>
          </w:p>
        </w:tc>
        <w:tc>
          <w:tcPr>
            <w:tcW w:w="2520" w:type="dxa"/>
          </w:tcPr>
          <w:p w14:paraId="120BD81E" w14:textId="77777777" w:rsidR="00C045C1" w:rsidRDefault="00C045C1" w:rsidP="00C045C1">
            <w:pPr>
              <w:pStyle w:val="TableText"/>
            </w:pPr>
            <w:r>
              <w:t>Patient Testing</w:t>
            </w:r>
          </w:p>
        </w:tc>
        <w:tc>
          <w:tcPr>
            <w:tcW w:w="1417" w:type="dxa"/>
          </w:tcPr>
          <w:p w14:paraId="6B6EB4DD" w14:textId="77777777" w:rsidR="00C045C1" w:rsidRDefault="00C045C1" w:rsidP="00C045C1">
            <w:pPr>
              <w:pStyle w:val="TableText"/>
            </w:pPr>
            <w:r>
              <w:t>No</w:t>
            </w:r>
          </w:p>
        </w:tc>
        <w:tc>
          <w:tcPr>
            <w:tcW w:w="1530" w:type="dxa"/>
          </w:tcPr>
          <w:p w14:paraId="111D6472" w14:textId="77777777" w:rsidR="00C045C1" w:rsidRDefault="00C045C1" w:rsidP="00C045C1">
            <w:pPr>
              <w:pStyle w:val="TableText"/>
            </w:pPr>
            <w:r>
              <w:rPr>
                <w:rFonts w:eastAsia="Symbol"/>
              </w:rPr>
              <w:t>Yes</w:t>
            </w:r>
          </w:p>
        </w:tc>
      </w:tr>
      <w:tr w:rsidR="00C045C1" w14:paraId="02BC16F5" w14:textId="77777777" w:rsidTr="006F58C9">
        <w:trPr>
          <w:cantSplit/>
        </w:trPr>
        <w:tc>
          <w:tcPr>
            <w:tcW w:w="3235" w:type="dxa"/>
          </w:tcPr>
          <w:p w14:paraId="1F532B9B" w14:textId="77777777" w:rsidR="00C045C1" w:rsidRDefault="00C045C1" w:rsidP="00C045C1">
            <w:pPr>
              <w:pStyle w:val="TableText"/>
              <w:rPr>
                <w:rFonts w:eastAsia="Symbol"/>
              </w:rPr>
            </w:pPr>
            <w:r>
              <w:t>Expired antisera used</w:t>
            </w:r>
          </w:p>
        </w:tc>
        <w:tc>
          <w:tcPr>
            <w:tcW w:w="1710" w:type="dxa"/>
          </w:tcPr>
          <w:p w14:paraId="54BCA283" w14:textId="77777777" w:rsidR="00C045C1" w:rsidRDefault="00C045C1" w:rsidP="00C045C1">
            <w:pPr>
              <w:pStyle w:val="TableText"/>
              <w:rPr>
                <w:rFonts w:eastAsia="Symbol"/>
              </w:rPr>
            </w:pPr>
            <w:r>
              <w:t>All</w:t>
            </w:r>
          </w:p>
        </w:tc>
        <w:tc>
          <w:tcPr>
            <w:tcW w:w="2520" w:type="dxa"/>
          </w:tcPr>
          <w:p w14:paraId="63B3672F" w14:textId="77777777" w:rsidR="00C045C1" w:rsidRDefault="00C045C1" w:rsidP="00C045C1">
            <w:pPr>
              <w:pStyle w:val="TableText"/>
              <w:rPr>
                <w:rFonts w:eastAsia="Symbol"/>
              </w:rPr>
            </w:pPr>
            <w:r>
              <w:rPr>
                <w:rFonts w:eastAsia="Symbol"/>
              </w:rPr>
              <w:t>Enter Rack QC, Patient and Unit Antigen typing</w:t>
            </w:r>
          </w:p>
        </w:tc>
        <w:tc>
          <w:tcPr>
            <w:tcW w:w="1417" w:type="dxa"/>
          </w:tcPr>
          <w:p w14:paraId="748A6FFB" w14:textId="77777777" w:rsidR="00C045C1" w:rsidRDefault="00C045C1" w:rsidP="00C045C1">
            <w:pPr>
              <w:pStyle w:val="TableText"/>
              <w:rPr>
                <w:rFonts w:eastAsia="Symbol"/>
              </w:rPr>
            </w:pPr>
            <w:r>
              <w:rPr>
                <w:rFonts w:eastAsia="Symbol"/>
              </w:rPr>
              <w:t>Yes (Antigen Typing)</w:t>
            </w:r>
          </w:p>
        </w:tc>
        <w:tc>
          <w:tcPr>
            <w:tcW w:w="1530" w:type="dxa"/>
          </w:tcPr>
          <w:p w14:paraId="7DF6DE53" w14:textId="77777777" w:rsidR="00C045C1" w:rsidRDefault="00C045C1" w:rsidP="00C045C1">
            <w:pPr>
              <w:pStyle w:val="TableText"/>
              <w:rPr>
                <w:rFonts w:eastAsia="Symbol"/>
              </w:rPr>
            </w:pPr>
            <w:r>
              <w:rPr>
                <w:rFonts w:eastAsia="Symbol"/>
              </w:rPr>
              <w:t>Yes (Patient Testing: Record a Patient Antigen Typing)</w:t>
            </w:r>
          </w:p>
        </w:tc>
      </w:tr>
      <w:tr w:rsidR="00C045C1" w14:paraId="7F6EA7C9" w14:textId="77777777" w:rsidTr="006F58C9">
        <w:trPr>
          <w:cantSplit/>
        </w:trPr>
        <w:tc>
          <w:tcPr>
            <w:tcW w:w="3235" w:type="dxa"/>
          </w:tcPr>
          <w:p w14:paraId="04C971C6" w14:textId="77777777" w:rsidR="00C045C1" w:rsidRDefault="00C045C1" w:rsidP="00C045C1">
            <w:pPr>
              <w:pStyle w:val="TableText"/>
              <w:rPr>
                <w:rFonts w:eastAsia="Symbol"/>
              </w:rPr>
            </w:pPr>
            <w:r>
              <w:t>Expired reagent QC’d</w:t>
            </w:r>
          </w:p>
        </w:tc>
        <w:tc>
          <w:tcPr>
            <w:tcW w:w="1710" w:type="dxa"/>
          </w:tcPr>
          <w:p w14:paraId="3F1E7852" w14:textId="77777777" w:rsidR="00C045C1" w:rsidRDefault="00C045C1" w:rsidP="00C045C1">
            <w:pPr>
              <w:pStyle w:val="TableText"/>
              <w:rPr>
                <w:rFonts w:eastAsia="Symbol"/>
              </w:rPr>
            </w:pPr>
            <w:r>
              <w:t>All</w:t>
            </w:r>
          </w:p>
        </w:tc>
        <w:tc>
          <w:tcPr>
            <w:tcW w:w="2520" w:type="dxa"/>
          </w:tcPr>
          <w:p w14:paraId="0EFAC5E3" w14:textId="77777777" w:rsidR="00C045C1" w:rsidRDefault="00C045C1" w:rsidP="00C045C1">
            <w:pPr>
              <w:pStyle w:val="TableText"/>
              <w:rPr>
                <w:rFonts w:eastAsia="Symbol"/>
              </w:rPr>
            </w:pPr>
            <w:r>
              <w:rPr>
                <w:rFonts w:eastAsia="Symbol"/>
              </w:rPr>
              <w:t>Enter Daily QC</w:t>
            </w:r>
          </w:p>
        </w:tc>
        <w:tc>
          <w:tcPr>
            <w:tcW w:w="1417" w:type="dxa"/>
          </w:tcPr>
          <w:p w14:paraId="4586536E" w14:textId="77777777" w:rsidR="00C045C1" w:rsidRDefault="00C045C1" w:rsidP="00C045C1">
            <w:pPr>
              <w:pStyle w:val="TableText"/>
              <w:rPr>
                <w:rFonts w:eastAsia="Symbol"/>
              </w:rPr>
            </w:pPr>
            <w:r>
              <w:t>No</w:t>
            </w:r>
          </w:p>
        </w:tc>
        <w:tc>
          <w:tcPr>
            <w:tcW w:w="1530" w:type="dxa"/>
          </w:tcPr>
          <w:p w14:paraId="4D3B851E" w14:textId="77777777" w:rsidR="00C045C1" w:rsidRDefault="00C045C1" w:rsidP="00C045C1">
            <w:pPr>
              <w:pStyle w:val="TableText"/>
              <w:rPr>
                <w:rFonts w:eastAsia="Symbol"/>
              </w:rPr>
            </w:pPr>
            <w:r>
              <w:t>No</w:t>
            </w:r>
          </w:p>
        </w:tc>
      </w:tr>
      <w:tr w:rsidR="00C045C1" w14:paraId="52A0A7B0" w14:textId="77777777" w:rsidTr="006F58C9">
        <w:trPr>
          <w:cantSplit/>
        </w:trPr>
        <w:tc>
          <w:tcPr>
            <w:tcW w:w="3235" w:type="dxa"/>
          </w:tcPr>
          <w:p w14:paraId="5327CCB2" w14:textId="77777777" w:rsidR="00C045C1" w:rsidRDefault="00C045C1" w:rsidP="00C045C1">
            <w:pPr>
              <w:pStyle w:val="TableText"/>
            </w:pPr>
            <w:r>
              <w:t>Expired supply used in modification</w:t>
            </w:r>
          </w:p>
        </w:tc>
        <w:tc>
          <w:tcPr>
            <w:tcW w:w="1710" w:type="dxa"/>
          </w:tcPr>
          <w:p w14:paraId="38E49A1D" w14:textId="77777777" w:rsidR="00C045C1" w:rsidRDefault="00C045C1" w:rsidP="00C045C1">
            <w:pPr>
              <w:pStyle w:val="TableText"/>
            </w:pPr>
            <w:r>
              <w:t>All</w:t>
            </w:r>
          </w:p>
        </w:tc>
        <w:tc>
          <w:tcPr>
            <w:tcW w:w="2520" w:type="dxa"/>
          </w:tcPr>
          <w:p w14:paraId="34F90F05" w14:textId="77777777" w:rsidR="00C045C1" w:rsidRDefault="00C045C1" w:rsidP="00C045C1">
            <w:pPr>
              <w:pStyle w:val="TableText"/>
            </w:pPr>
            <w:r>
              <w:t>Modify Units</w:t>
            </w:r>
          </w:p>
        </w:tc>
        <w:tc>
          <w:tcPr>
            <w:tcW w:w="1417" w:type="dxa"/>
          </w:tcPr>
          <w:p w14:paraId="51C20D67" w14:textId="77777777" w:rsidR="00C045C1" w:rsidRDefault="00C045C1" w:rsidP="00C045C1">
            <w:pPr>
              <w:pStyle w:val="TableText"/>
            </w:pPr>
            <w:r>
              <w:t>No</w:t>
            </w:r>
          </w:p>
        </w:tc>
        <w:tc>
          <w:tcPr>
            <w:tcW w:w="1530" w:type="dxa"/>
          </w:tcPr>
          <w:p w14:paraId="1C89196A" w14:textId="77777777" w:rsidR="00C045C1" w:rsidRDefault="00C045C1" w:rsidP="00C045C1">
            <w:pPr>
              <w:pStyle w:val="TableText"/>
              <w:rPr>
                <w:rFonts w:eastAsia="Symbol"/>
              </w:rPr>
            </w:pPr>
            <w:r>
              <w:t>No</w:t>
            </w:r>
          </w:p>
        </w:tc>
      </w:tr>
      <w:tr w:rsidR="00C045C1" w14:paraId="4917C443" w14:textId="77777777" w:rsidTr="006F58C9">
        <w:trPr>
          <w:cantSplit/>
        </w:trPr>
        <w:tc>
          <w:tcPr>
            <w:tcW w:w="3235" w:type="dxa"/>
          </w:tcPr>
          <w:p w14:paraId="784DDCE8" w14:textId="77777777" w:rsidR="00C045C1" w:rsidRDefault="00C045C1" w:rsidP="00C045C1">
            <w:pPr>
              <w:pStyle w:val="TableText"/>
            </w:pPr>
            <w:r>
              <w:t xml:space="preserve">Expired task processed </w:t>
            </w:r>
          </w:p>
        </w:tc>
        <w:tc>
          <w:tcPr>
            <w:tcW w:w="1710" w:type="dxa"/>
          </w:tcPr>
          <w:p w14:paraId="5E20A58B" w14:textId="77777777" w:rsidR="00C045C1" w:rsidRDefault="000075A9" w:rsidP="00C045C1">
            <w:pPr>
              <w:pStyle w:val="TableText"/>
            </w:pPr>
            <w:r>
              <w:t>All</w:t>
            </w:r>
          </w:p>
        </w:tc>
        <w:tc>
          <w:tcPr>
            <w:tcW w:w="2520" w:type="dxa"/>
          </w:tcPr>
          <w:p w14:paraId="257BA9AD" w14:textId="77777777" w:rsidR="00C045C1" w:rsidRDefault="000075A9" w:rsidP="00C045C1">
            <w:pPr>
              <w:pStyle w:val="TableText"/>
            </w:pPr>
            <w:r>
              <w:t>Pending Task List</w:t>
            </w:r>
          </w:p>
        </w:tc>
        <w:tc>
          <w:tcPr>
            <w:tcW w:w="1417" w:type="dxa"/>
          </w:tcPr>
          <w:p w14:paraId="14292612" w14:textId="77777777" w:rsidR="00C045C1" w:rsidRDefault="00C045C1" w:rsidP="00C045C1">
            <w:pPr>
              <w:pStyle w:val="TableText"/>
            </w:pPr>
            <w:r>
              <w:t>No</w:t>
            </w:r>
          </w:p>
        </w:tc>
        <w:tc>
          <w:tcPr>
            <w:tcW w:w="1530" w:type="dxa"/>
          </w:tcPr>
          <w:p w14:paraId="09A63A50" w14:textId="77777777" w:rsidR="00C045C1" w:rsidRDefault="00C045C1" w:rsidP="00C045C1">
            <w:pPr>
              <w:pStyle w:val="TableText"/>
            </w:pPr>
            <w:r>
              <w:rPr>
                <w:rFonts w:eastAsia="Symbol"/>
              </w:rPr>
              <w:t>Yes</w:t>
            </w:r>
          </w:p>
        </w:tc>
      </w:tr>
      <w:tr w:rsidR="00C045C1" w14:paraId="35CA2B18" w14:textId="77777777" w:rsidTr="006F58C9">
        <w:trPr>
          <w:cantSplit/>
        </w:trPr>
        <w:tc>
          <w:tcPr>
            <w:tcW w:w="3235" w:type="dxa"/>
          </w:tcPr>
          <w:p w14:paraId="2FD116D5" w14:textId="77777777" w:rsidR="00C045C1" w:rsidRDefault="00C045C1" w:rsidP="00C045C1">
            <w:pPr>
              <w:pStyle w:val="TableText"/>
              <w:rPr>
                <w:rFonts w:eastAsia="Symbol"/>
              </w:rPr>
            </w:pPr>
            <w:r>
              <w:t>Expired unit modified</w:t>
            </w:r>
          </w:p>
        </w:tc>
        <w:tc>
          <w:tcPr>
            <w:tcW w:w="1710" w:type="dxa"/>
          </w:tcPr>
          <w:p w14:paraId="0365B0B7" w14:textId="77777777" w:rsidR="00C045C1" w:rsidRDefault="00C045C1" w:rsidP="00C045C1">
            <w:pPr>
              <w:pStyle w:val="TableText"/>
              <w:rPr>
                <w:rFonts w:eastAsia="Symbol"/>
              </w:rPr>
            </w:pPr>
            <w:r>
              <w:rPr>
                <w:u w:val="single"/>
              </w:rPr>
              <w:t>&gt;</w:t>
            </w:r>
            <w:r>
              <w:t xml:space="preserve"> Enhanced Tech</w:t>
            </w:r>
          </w:p>
        </w:tc>
        <w:tc>
          <w:tcPr>
            <w:tcW w:w="2520" w:type="dxa"/>
          </w:tcPr>
          <w:p w14:paraId="6F390CF5" w14:textId="77777777" w:rsidR="00C045C1" w:rsidRDefault="00C045C1" w:rsidP="00C045C1">
            <w:pPr>
              <w:pStyle w:val="TableText"/>
              <w:rPr>
                <w:rFonts w:eastAsia="Symbol"/>
              </w:rPr>
            </w:pPr>
            <w:r>
              <w:rPr>
                <w:rFonts w:eastAsia="Symbol"/>
              </w:rPr>
              <w:t>Modify Units</w:t>
            </w:r>
          </w:p>
        </w:tc>
        <w:tc>
          <w:tcPr>
            <w:tcW w:w="1417" w:type="dxa"/>
          </w:tcPr>
          <w:p w14:paraId="7AB300D8" w14:textId="77777777" w:rsidR="00C045C1" w:rsidRDefault="00C045C1" w:rsidP="00C045C1">
            <w:pPr>
              <w:pStyle w:val="TableText"/>
              <w:rPr>
                <w:rFonts w:eastAsia="Symbol"/>
              </w:rPr>
            </w:pPr>
            <w:r>
              <w:t>Yes</w:t>
            </w:r>
          </w:p>
        </w:tc>
        <w:tc>
          <w:tcPr>
            <w:tcW w:w="1530" w:type="dxa"/>
          </w:tcPr>
          <w:p w14:paraId="403469C3" w14:textId="77777777" w:rsidR="00C045C1" w:rsidRDefault="00C045C1" w:rsidP="00C045C1">
            <w:pPr>
              <w:pStyle w:val="TableText"/>
              <w:rPr>
                <w:rFonts w:eastAsia="Symbol"/>
              </w:rPr>
            </w:pPr>
            <w:r>
              <w:t>No</w:t>
            </w:r>
          </w:p>
        </w:tc>
      </w:tr>
      <w:tr w:rsidR="00C045C1" w14:paraId="0997BE4B" w14:textId="77777777" w:rsidTr="006F58C9">
        <w:trPr>
          <w:cantSplit/>
        </w:trPr>
        <w:tc>
          <w:tcPr>
            <w:tcW w:w="3235" w:type="dxa"/>
          </w:tcPr>
          <w:p w14:paraId="27E3F59C" w14:textId="77777777" w:rsidR="00C045C1" w:rsidRDefault="00C045C1" w:rsidP="00C045C1">
            <w:pPr>
              <w:pStyle w:val="TableText"/>
            </w:pPr>
            <w:r>
              <w:t>Expired unit received</w:t>
            </w:r>
          </w:p>
        </w:tc>
        <w:tc>
          <w:tcPr>
            <w:tcW w:w="1710" w:type="dxa"/>
          </w:tcPr>
          <w:p w14:paraId="6F523CDB" w14:textId="77777777" w:rsidR="00C045C1" w:rsidRDefault="00C045C1" w:rsidP="00C045C1">
            <w:pPr>
              <w:pStyle w:val="TableText"/>
            </w:pPr>
            <w:r>
              <w:t>All</w:t>
            </w:r>
          </w:p>
        </w:tc>
        <w:tc>
          <w:tcPr>
            <w:tcW w:w="2520" w:type="dxa"/>
          </w:tcPr>
          <w:p w14:paraId="40F59FEF" w14:textId="77777777" w:rsidR="00C045C1" w:rsidRDefault="00C045C1" w:rsidP="00C045C1">
            <w:pPr>
              <w:pStyle w:val="TableText"/>
            </w:pPr>
            <w:r>
              <w:t>Incoming Shipment</w:t>
            </w:r>
          </w:p>
        </w:tc>
        <w:tc>
          <w:tcPr>
            <w:tcW w:w="1417" w:type="dxa"/>
          </w:tcPr>
          <w:p w14:paraId="2A056FC3" w14:textId="77777777" w:rsidR="00C045C1" w:rsidRDefault="00C045C1" w:rsidP="00C045C1">
            <w:pPr>
              <w:pStyle w:val="TableText"/>
            </w:pPr>
            <w:r>
              <w:t>Yes</w:t>
            </w:r>
          </w:p>
        </w:tc>
        <w:tc>
          <w:tcPr>
            <w:tcW w:w="1530" w:type="dxa"/>
          </w:tcPr>
          <w:p w14:paraId="2D9D60CF" w14:textId="77777777" w:rsidR="00C045C1" w:rsidRDefault="00C045C1" w:rsidP="00C045C1">
            <w:pPr>
              <w:pStyle w:val="TableText"/>
            </w:pPr>
            <w:r>
              <w:t>No</w:t>
            </w:r>
          </w:p>
        </w:tc>
      </w:tr>
      <w:tr w:rsidR="00C045C1" w14:paraId="503F4EAD" w14:textId="77777777" w:rsidTr="006F58C9">
        <w:trPr>
          <w:cantSplit/>
        </w:trPr>
        <w:tc>
          <w:tcPr>
            <w:tcW w:w="3235" w:type="dxa"/>
          </w:tcPr>
          <w:p w14:paraId="1D6BF59A" w14:textId="77777777" w:rsidR="00C045C1" w:rsidRDefault="00C045C1" w:rsidP="00C045C1">
            <w:pPr>
              <w:pStyle w:val="TableText"/>
              <w:rPr>
                <w:rFonts w:eastAsia="Symbol"/>
              </w:rPr>
            </w:pPr>
            <w:r>
              <w:t>Expired unit released from quarantine</w:t>
            </w:r>
          </w:p>
        </w:tc>
        <w:tc>
          <w:tcPr>
            <w:tcW w:w="1710" w:type="dxa"/>
          </w:tcPr>
          <w:p w14:paraId="51B9CAD1" w14:textId="77777777" w:rsidR="00C045C1" w:rsidRDefault="00C045C1" w:rsidP="00C045C1">
            <w:pPr>
              <w:pStyle w:val="TableText"/>
              <w:rPr>
                <w:rFonts w:eastAsia="Symbol"/>
              </w:rPr>
            </w:pPr>
            <w:r>
              <w:rPr>
                <w:u w:val="single"/>
              </w:rPr>
              <w:t>&gt;</w:t>
            </w:r>
            <w:r>
              <w:t xml:space="preserve"> Enhanced Tech</w:t>
            </w:r>
          </w:p>
        </w:tc>
        <w:tc>
          <w:tcPr>
            <w:tcW w:w="2520" w:type="dxa"/>
          </w:tcPr>
          <w:p w14:paraId="5FA6A4C4" w14:textId="77777777" w:rsidR="00C045C1" w:rsidRDefault="00C045C1" w:rsidP="00C045C1">
            <w:pPr>
              <w:pStyle w:val="TableText"/>
              <w:rPr>
                <w:rFonts w:eastAsia="Symbol"/>
              </w:rPr>
            </w:pPr>
            <w:r>
              <w:rPr>
                <w:rFonts w:eastAsia="Symbol"/>
              </w:rPr>
              <w:t>Release from Quarantine</w:t>
            </w:r>
          </w:p>
        </w:tc>
        <w:tc>
          <w:tcPr>
            <w:tcW w:w="1417" w:type="dxa"/>
          </w:tcPr>
          <w:p w14:paraId="170BE22D" w14:textId="77777777" w:rsidR="00C045C1" w:rsidRDefault="00C045C1" w:rsidP="00C045C1">
            <w:pPr>
              <w:pStyle w:val="TableText"/>
              <w:rPr>
                <w:rFonts w:eastAsia="Symbol"/>
              </w:rPr>
            </w:pPr>
            <w:r>
              <w:t>Yes</w:t>
            </w:r>
          </w:p>
        </w:tc>
        <w:tc>
          <w:tcPr>
            <w:tcW w:w="1530" w:type="dxa"/>
          </w:tcPr>
          <w:p w14:paraId="3DF08C33" w14:textId="77777777" w:rsidR="00C045C1" w:rsidRDefault="00C045C1" w:rsidP="00C045C1">
            <w:pPr>
              <w:pStyle w:val="TableText"/>
              <w:rPr>
                <w:rFonts w:eastAsia="Symbol"/>
              </w:rPr>
            </w:pPr>
            <w:r>
              <w:t>No</w:t>
            </w:r>
          </w:p>
        </w:tc>
      </w:tr>
      <w:tr w:rsidR="00C045C1" w14:paraId="55A02354" w14:textId="77777777" w:rsidTr="006F58C9">
        <w:trPr>
          <w:cantSplit/>
        </w:trPr>
        <w:tc>
          <w:tcPr>
            <w:tcW w:w="3235" w:type="dxa"/>
          </w:tcPr>
          <w:p w14:paraId="27BA2DFF" w14:textId="77777777" w:rsidR="00C045C1" w:rsidRDefault="00C045C1" w:rsidP="00C045C1">
            <w:pPr>
              <w:pStyle w:val="TableText"/>
            </w:pPr>
            <w:r>
              <w:t>Expired unit selected</w:t>
            </w:r>
          </w:p>
        </w:tc>
        <w:tc>
          <w:tcPr>
            <w:tcW w:w="1710" w:type="dxa"/>
          </w:tcPr>
          <w:p w14:paraId="2C835FBD" w14:textId="77777777" w:rsidR="00C045C1" w:rsidRDefault="00C045C1" w:rsidP="00C045C1">
            <w:pPr>
              <w:pStyle w:val="TableText"/>
            </w:pPr>
            <w:r>
              <w:rPr>
                <w:u w:val="single"/>
              </w:rPr>
              <w:t>&gt;</w:t>
            </w:r>
            <w:r>
              <w:t xml:space="preserve"> Enhanced Tech</w:t>
            </w:r>
          </w:p>
        </w:tc>
        <w:tc>
          <w:tcPr>
            <w:tcW w:w="2520" w:type="dxa"/>
          </w:tcPr>
          <w:p w14:paraId="46FC8FCE" w14:textId="77777777" w:rsidR="00C045C1" w:rsidRDefault="00C045C1" w:rsidP="00C045C1">
            <w:pPr>
              <w:pStyle w:val="TableText"/>
            </w:pPr>
            <w:r>
              <w:t>Select Unit</w:t>
            </w:r>
          </w:p>
        </w:tc>
        <w:tc>
          <w:tcPr>
            <w:tcW w:w="1417" w:type="dxa"/>
          </w:tcPr>
          <w:p w14:paraId="6225A9E0" w14:textId="77777777" w:rsidR="00C045C1" w:rsidRDefault="00C045C1" w:rsidP="00C045C1">
            <w:pPr>
              <w:pStyle w:val="TableText"/>
            </w:pPr>
            <w:r>
              <w:t>No</w:t>
            </w:r>
          </w:p>
        </w:tc>
        <w:tc>
          <w:tcPr>
            <w:tcW w:w="1530" w:type="dxa"/>
          </w:tcPr>
          <w:p w14:paraId="59F2E09F" w14:textId="77777777" w:rsidR="00C045C1" w:rsidRDefault="00C045C1" w:rsidP="00C045C1">
            <w:pPr>
              <w:pStyle w:val="TableText"/>
              <w:rPr>
                <w:rFonts w:eastAsia="Symbol"/>
              </w:rPr>
            </w:pPr>
            <w:r>
              <w:rPr>
                <w:rFonts w:eastAsia="Symbol"/>
              </w:rPr>
              <w:t>Yes</w:t>
            </w:r>
          </w:p>
        </w:tc>
      </w:tr>
      <w:tr w:rsidR="00C045C1" w14:paraId="4D517948" w14:textId="77777777" w:rsidTr="006F58C9">
        <w:trPr>
          <w:cantSplit/>
        </w:trPr>
        <w:tc>
          <w:tcPr>
            <w:tcW w:w="3235" w:type="dxa"/>
          </w:tcPr>
          <w:p w14:paraId="7B78391C" w14:textId="77777777" w:rsidR="00C045C1" w:rsidRDefault="00C045C1" w:rsidP="00C045C1">
            <w:pPr>
              <w:pStyle w:val="TableText"/>
            </w:pPr>
            <w:r>
              <w:t>Final unit status or modification removed</w:t>
            </w:r>
          </w:p>
        </w:tc>
        <w:tc>
          <w:tcPr>
            <w:tcW w:w="1710" w:type="dxa"/>
          </w:tcPr>
          <w:p w14:paraId="4E33E114" w14:textId="77777777" w:rsidR="00C045C1" w:rsidRDefault="00C045C1" w:rsidP="00C045C1">
            <w:pPr>
              <w:pStyle w:val="TableText"/>
            </w:pPr>
            <w:r>
              <w:rPr>
                <w:u w:val="single"/>
              </w:rPr>
              <w:t>&gt;</w:t>
            </w:r>
            <w:r>
              <w:t xml:space="preserve"> Traditional Supervisor</w:t>
            </w:r>
          </w:p>
        </w:tc>
        <w:tc>
          <w:tcPr>
            <w:tcW w:w="2520" w:type="dxa"/>
          </w:tcPr>
          <w:p w14:paraId="374EAA7C" w14:textId="77777777" w:rsidR="00C045C1" w:rsidRDefault="00C045C1" w:rsidP="00C045C1">
            <w:pPr>
              <w:pStyle w:val="TableText"/>
            </w:pPr>
            <w:r>
              <w:t>Remove Final Status</w:t>
            </w:r>
          </w:p>
        </w:tc>
        <w:tc>
          <w:tcPr>
            <w:tcW w:w="1417" w:type="dxa"/>
          </w:tcPr>
          <w:p w14:paraId="5FEF384D" w14:textId="77777777" w:rsidR="00C045C1" w:rsidRDefault="00C045C1" w:rsidP="00C045C1">
            <w:pPr>
              <w:pStyle w:val="TableText"/>
            </w:pPr>
            <w:r>
              <w:t>Yes</w:t>
            </w:r>
          </w:p>
        </w:tc>
        <w:tc>
          <w:tcPr>
            <w:tcW w:w="1530" w:type="dxa"/>
          </w:tcPr>
          <w:p w14:paraId="774FD955" w14:textId="77777777" w:rsidR="00C045C1" w:rsidRDefault="00C045C1" w:rsidP="00C045C1">
            <w:pPr>
              <w:pStyle w:val="TableText"/>
              <w:rPr>
                <w:rFonts w:eastAsia="Symbol"/>
              </w:rPr>
            </w:pPr>
            <w:r>
              <w:rPr>
                <w:rFonts w:eastAsia="Symbol"/>
              </w:rPr>
              <w:t>No</w:t>
            </w:r>
          </w:p>
        </w:tc>
      </w:tr>
      <w:tr w:rsidR="00C045C1" w14:paraId="7C8FE92B" w14:textId="77777777" w:rsidTr="006F58C9">
        <w:trPr>
          <w:cantSplit/>
        </w:trPr>
        <w:tc>
          <w:tcPr>
            <w:tcW w:w="3235" w:type="dxa"/>
          </w:tcPr>
          <w:p w14:paraId="49A68C1B" w14:textId="77777777" w:rsidR="00C045C1" w:rsidRPr="002C66CF" w:rsidRDefault="00C045C1" w:rsidP="00C045C1">
            <w:pPr>
              <w:pStyle w:val="TableText"/>
            </w:pPr>
            <w:r w:rsidRPr="002C66CF">
              <w:t xml:space="preserve">Inconclusive </w:t>
            </w:r>
            <w:r>
              <w:t>c</w:t>
            </w:r>
            <w:r w:rsidRPr="002C66CF">
              <w:t>rossmatch</w:t>
            </w:r>
          </w:p>
        </w:tc>
        <w:tc>
          <w:tcPr>
            <w:tcW w:w="1710" w:type="dxa"/>
          </w:tcPr>
          <w:p w14:paraId="1559D68E" w14:textId="77777777" w:rsidR="00C045C1" w:rsidRPr="002C66CF" w:rsidRDefault="00C045C1" w:rsidP="00C045C1">
            <w:pPr>
              <w:pStyle w:val="TableText"/>
            </w:pPr>
            <w:r>
              <w:t>All</w:t>
            </w:r>
          </w:p>
        </w:tc>
        <w:tc>
          <w:tcPr>
            <w:tcW w:w="2520" w:type="dxa"/>
          </w:tcPr>
          <w:p w14:paraId="3288CAE5" w14:textId="77777777" w:rsidR="00C045C1" w:rsidRPr="002C66CF" w:rsidRDefault="00C045C1" w:rsidP="00C045C1">
            <w:pPr>
              <w:pStyle w:val="TableText"/>
            </w:pPr>
            <w:r>
              <w:t>Patient Testing, serologic crossmatch grid</w:t>
            </w:r>
          </w:p>
        </w:tc>
        <w:tc>
          <w:tcPr>
            <w:tcW w:w="1417" w:type="dxa"/>
          </w:tcPr>
          <w:p w14:paraId="44DC8DB4" w14:textId="77777777" w:rsidR="00C045C1" w:rsidRDefault="00C045C1" w:rsidP="00C045C1">
            <w:pPr>
              <w:pStyle w:val="TableText"/>
            </w:pPr>
            <w:r>
              <w:t>No</w:t>
            </w:r>
          </w:p>
        </w:tc>
        <w:tc>
          <w:tcPr>
            <w:tcW w:w="1530" w:type="dxa"/>
          </w:tcPr>
          <w:p w14:paraId="5C351C6A" w14:textId="77777777" w:rsidR="00C045C1" w:rsidRDefault="00C045C1" w:rsidP="00C045C1">
            <w:pPr>
              <w:pStyle w:val="TableText"/>
            </w:pPr>
            <w:r>
              <w:rPr>
                <w:rFonts w:eastAsia="Symbol"/>
              </w:rPr>
              <w:t>Yes</w:t>
            </w:r>
          </w:p>
        </w:tc>
      </w:tr>
      <w:tr w:rsidR="00C045C1" w14:paraId="356B2228" w14:textId="77777777" w:rsidTr="006F58C9">
        <w:trPr>
          <w:cantSplit/>
        </w:trPr>
        <w:tc>
          <w:tcPr>
            <w:tcW w:w="3235" w:type="dxa"/>
          </w:tcPr>
          <w:p w14:paraId="37F10E95" w14:textId="77777777" w:rsidR="00C045C1" w:rsidRDefault="00C045C1" w:rsidP="00C045C1">
            <w:pPr>
              <w:pStyle w:val="TableText"/>
            </w:pPr>
            <w:r>
              <w:lastRenderedPageBreak/>
              <w:t>Issued expired unit</w:t>
            </w:r>
          </w:p>
        </w:tc>
        <w:tc>
          <w:tcPr>
            <w:tcW w:w="1710" w:type="dxa"/>
          </w:tcPr>
          <w:p w14:paraId="35C93CA0" w14:textId="77777777" w:rsidR="00C045C1" w:rsidRDefault="00C045C1" w:rsidP="00C045C1">
            <w:pPr>
              <w:pStyle w:val="TableText"/>
            </w:pPr>
            <w:r>
              <w:rPr>
                <w:u w:val="single"/>
              </w:rPr>
              <w:t>&gt;</w:t>
            </w:r>
            <w:r>
              <w:t xml:space="preserve"> Enhanced Tech</w:t>
            </w:r>
          </w:p>
        </w:tc>
        <w:tc>
          <w:tcPr>
            <w:tcW w:w="2520" w:type="dxa"/>
          </w:tcPr>
          <w:p w14:paraId="04279F72" w14:textId="77777777" w:rsidR="00C045C1" w:rsidRDefault="00C045C1" w:rsidP="00C045C1">
            <w:pPr>
              <w:pStyle w:val="TableText"/>
            </w:pPr>
            <w:r>
              <w:t>Issue Blood</w:t>
            </w:r>
          </w:p>
        </w:tc>
        <w:tc>
          <w:tcPr>
            <w:tcW w:w="1417" w:type="dxa"/>
          </w:tcPr>
          <w:p w14:paraId="7F1C794E" w14:textId="77777777" w:rsidR="00C045C1" w:rsidRDefault="00C045C1" w:rsidP="00C045C1">
            <w:pPr>
              <w:pStyle w:val="TableText"/>
            </w:pPr>
            <w:r>
              <w:t>No</w:t>
            </w:r>
          </w:p>
        </w:tc>
        <w:tc>
          <w:tcPr>
            <w:tcW w:w="1530" w:type="dxa"/>
          </w:tcPr>
          <w:p w14:paraId="02669B94" w14:textId="77777777" w:rsidR="00C045C1" w:rsidRDefault="00C045C1" w:rsidP="00C045C1">
            <w:pPr>
              <w:pStyle w:val="TableText"/>
            </w:pPr>
            <w:r>
              <w:rPr>
                <w:rFonts w:eastAsia="Symbol"/>
              </w:rPr>
              <w:t>Yes</w:t>
            </w:r>
          </w:p>
        </w:tc>
      </w:tr>
      <w:tr w:rsidR="00C045C1" w14:paraId="0258478C" w14:textId="77777777" w:rsidTr="006F58C9">
        <w:trPr>
          <w:cantSplit/>
        </w:trPr>
        <w:tc>
          <w:tcPr>
            <w:tcW w:w="3235" w:type="dxa"/>
          </w:tcPr>
          <w:p w14:paraId="6A0A2482" w14:textId="77777777" w:rsidR="00C045C1" w:rsidRDefault="00C045C1" w:rsidP="00C045C1">
            <w:pPr>
              <w:pStyle w:val="TableText"/>
            </w:pPr>
            <w:r>
              <w:t>Less restrictive unit issued</w:t>
            </w:r>
          </w:p>
        </w:tc>
        <w:tc>
          <w:tcPr>
            <w:tcW w:w="1710" w:type="dxa"/>
          </w:tcPr>
          <w:p w14:paraId="2227871D" w14:textId="77777777" w:rsidR="00C045C1" w:rsidRDefault="00C045C1" w:rsidP="00C045C1">
            <w:pPr>
              <w:pStyle w:val="TableText"/>
            </w:pPr>
            <w:r>
              <w:t>All</w:t>
            </w:r>
          </w:p>
        </w:tc>
        <w:tc>
          <w:tcPr>
            <w:tcW w:w="2520" w:type="dxa"/>
          </w:tcPr>
          <w:p w14:paraId="61772EFC" w14:textId="77777777" w:rsidR="00C045C1" w:rsidRDefault="00C045C1" w:rsidP="00C045C1">
            <w:pPr>
              <w:pStyle w:val="TableText"/>
            </w:pPr>
            <w:r>
              <w:t>Issue Blood</w:t>
            </w:r>
          </w:p>
        </w:tc>
        <w:tc>
          <w:tcPr>
            <w:tcW w:w="1417" w:type="dxa"/>
          </w:tcPr>
          <w:p w14:paraId="34527661" w14:textId="77777777" w:rsidR="00C045C1" w:rsidRDefault="00C045C1" w:rsidP="00C045C1">
            <w:pPr>
              <w:pStyle w:val="TableText"/>
            </w:pPr>
            <w:r>
              <w:t>No</w:t>
            </w:r>
          </w:p>
        </w:tc>
        <w:tc>
          <w:tcPr>
            <w:tcW w:w="1530" w:type="dxa"/>
          </w:tcPr>
          <w:p w14:paraId="5A94323D" w14:textId="77777777" w:rsidR="00C045C1" w:rsidRDefault="00C045C1" w:rsidP="00C045C1">
            <w:pPr>
              <w:pStyle w:val="TableText"/>
            </w:pPr>
            <w:r>
              <w:rPr>
                <w:rFonts w:eastAsia="Symbol"/>
              </w:rPr>
              <w:t>Yes</w:t>
            </w:r>
          </w:p>
        </w:tc>
      </w:tr>
      <w:tr w:rsidR="00C045C1" w14:paraId="2C931FAC" w14:textId="77777777" w:rsidTr="006F58C9">
        <w:trPr>
          <w:cantSplit/>
        </w:trPr>
        <w:tc>
          <w:tcPr>
            <w:tcW w:w="3235" w:type="dxa"/>
          </w:tcPr>
          <w:p w14:paraId="0FBD833B" w14:textId="77777777" w:rsidR="00C045C1" w:rsidRDefault="00C045C1" w:rsidP="00C045C1">
            <w:pPr>
              <w:pStyle w:val="TableText"/>
            </w:pPr>
            <w:r>
              <w:t>Less restrictive unit selected</w:t>
            </w:r>
          </w:p>
        </w:tc>
        <w:tc>
          <w:tcPr>
            <w:tcW w:w="1710" w:type="dxa"/>
          </w:tcPr>
          <w:p w14:paraId="746018D8" w14:textId="77777777" w:rsidR="00C045C1" w:rsidRDefault="00C045C1" w:rsidP="00C045C1">
            <w:pPr>
              <w:pStyle w:val="TableText"/>
            </w:pPr>
            <w:r>
              <w:t>All</w:t>
            </w:r>
          </w:p>
        </w:tc>
        <w:tc>
          <w:tcPr>
            <w:tcW w:w="2520" w:type="dxa"/>
          </w:tcPr>
          <w:p w14:paraId="25A5FFF8" w14:textId="77777777" w:rsidR="00C045C1" w:rsidRDefault="00C045C1" w:rsidP="00C045C1">
            <w:pPr>
              <w:pStyle w:val="TableText"/>
            </w:pPr>
            <w:r>
              <w:t>Select Unit</w:t>
            </w:r>
          </w:p>
        </w:tc>
        <w:tc>
          <w:tcPr>
            <w:tcW w:w="1417" w:type="dxa"/>
          </w:tcPr>
          <w:p w14:paraId="6C599D57" w14:textId="77777777" w:rsidR="00C045C1" w:rsidRDefault="00C045C1" w:rsidP="00C045C1">
            <w:pPr>
              <w:pStyle w:val="TableText"/>
            </w:pPr>
            <w:r>
              <w:t>No</w:t>
            </w:r>
          </w:p>
        </w:tc>
        <w:tc>
          <w:tcPr>
            <w:tcW w:w="1530" w:type="dxa"/>
          </w:tcPr>
          <w:p w14:paraId="44F6010D" w14:textId="77777777" w:rsidR="00C045C1" w:rsidRDefault="00C045C1" w:rsidP="00C045C1">
            <w:pPr>
              <w:pStyle w:val="TableText"/>
            </w:pPr>
            <w:r>
              <w:rPr>
                <w:rFonts w:eastAsia="Symbol"/>
              </w:rPr>
              <w:t>Yes</w:t>
            </w:r>
          </w:p>
        </w:tc>
      </w:tr>
      <w:tr w:rsidR="00C045C1" w14:paraId="7916E2CA" w14:textId="77777777" w:rsidTr="006F58C9">
        <w:trPr>
          <w:cantSplit/>
        </w:trPr>
        <w:tc>
          <w:tcPr>
            <w:tcW w:w="3235" w:type="dxa"/>
          </w:tcPr>
          <w:p w14:paraId="2332DC0F" w14:textId="77777777" w:rsidR="00C045C1" w:rsidRDefault="00C045C1" w:rsidP="00C045C1">
            <w:pPr>
              <w:pStyle w:val="TableText"/>
              <w:rPr>
                <w:rFonts w:eastAsia="Symbol"/>
              </w:rPr>
            </w:pPr>
            <w:r>
              <w:t>Non-standard test procedure</w:t>
            </w:r>
          </w:p>
        </w:tc>
        <w:tc>
          <w:tcPr>
            <w:tcW w:w="1710" w:type="dxa"/>
          </w:tcPr>
          <w:p w14:paraId="7130E55E" w14:textId="77777777" w:rsidR="00C045C1" w:rsidRDefault="00C045C1" w:rsidP="00C045C1">
            <w:pPr>
              <w:pStyle w:val="TableText"/>
              <w:rPr>
                <w:rFonts w:eastAsia="Symbol"/>
              </w:rPr>
            </w:pPr>
            <w:r>
              <w:rPr>
                <w:rFonts w:eastAsia="Symbol"/>
              </w:rPr>
              <w:t>All</w:t>
            </w:r>
          </w:p>
        </w:tc>
        <w:tc>
          <w:tcPr>
            <w:tcW w:w="2520" w:type="dxa"/>
          </w:tcPr>
          <w:p w14:paraId="7BDC30A5" w14:textId="77777777" w:rsidR="00C045C1" w:rsidRDefault="00C045C1" w:rsidP="00C045C1">
            <w:pPr>
              <w:pStyle w:val="TableText"/>
              <w:rPr>
                <w:rFonts w:eastAsia="Symbol"/>
              </w:rPr>
            </w:pPr>
            <w:r>
              <w:rPr>
                <w:rFonts w:eastAsia="Symbol"/>
              </w:rPr>
              <w:t>Patient Testing, Antibody screen, serologic crossmatch</w:t>
            </w:r>
          </w:p>
        </w:tc>
        <w:tc>
          <w:tcPr>
            <w:tcW w:w="1417" w:type="dxa"/>
          </w:tcPr>
          <w:p w14:paraId="4943208D" w14:textId="77777777" w:rsidR="00C045C1" w:rsidRDefault="00C045C1" w:rsidP="00C045C1">
            <w:pPr>
              <w:pStyle w:val="TableText"/>
              <w:rPr>
                <w:rFonts w:eastAsia="Symbol"/>
              </w:rPr>
            </w:pPr>
            <w:r>
              <w:t>No</w:t>
            </w:r>
          </w:p>
        </w:tc>
        <w:tc>
          <w:tcPr>
            <w:tcW w:w="1530" w:type="dxa"/>
          </w:tcPr>
          <w:p w14:paraId="2F44AFBE" w14:textId="77777777" w:rsidR="00C045C1" w:rsidRDefault="00C045C1" w:rsidP="00C045C1">
            <w:pPr>
              <w:pStyle w:val="TableText"/>
              <w:rPr>
                <w:rFonts w:eastAsia="Symbol"/>
              </w:rPr>
            </w:pPr>
            <w:r>
              <w:rPr>
                <w:rFonts w:eastAsia="Symbol"/>
              </w:rPr>
              <w:t>Yes</w:t>
            </w:r>
          </w:p>
        </w:tc>
      </w:tr>
      <w:tr w:rsidR="00C045C1" w14:paraId="6384D5F5" w14:textId="77777777" w:rsidTr="006F58C9">
        <w:trPr>
          <w:cantSplit/>
        </w:trPr>
        <w:tc>
          <w:tcPr>
            <w:tcW w:w="3235" w:type="dxa"/>
          </w:tcPr>
          <w:p w14:paraId="7E074642" w14:textId="77777777" w:rsidR="00C045C1" w:rsidRDefault="00C045C1" w:rsidP="00C045C1">
            <w:pPr>
              <w:pStyle w:val="TableText"/>
              <w:rPr>
                <w:rFonts w:eastAsia="Symbol"/>
              </w:rPr>
            </w:pPr>
            <w:r>
              <w:t>(Patient) ABO/Rh discrepancy</w:t>
            </w:r>
          </w:p>
        </w:tc>
        <w:tc>
          <w:tcPr>
            <w:tcW w:w="1710" w:type="dxa"/>
          </w:tcPr>
          <w:p w14:paraId="781F3AF3" w14:textId="77777777" w:rsidR="00C045C1" w:rsidRDefault="00C045C1" w:rsidP="00C045C1">
            <w:pPr>
              <w:pStyle w:val="TableText"/>
              <w:rPr>
                <w:rFonts w:eastAsia="Symbol"/>
              </w:rPr>
            </w:pPr>
            <w:r>
              <w:rPr>
                <w:rFonts w:eastAsia="Symbol"/>
              </w:rPr>
              <w:t>All</w:t>
            </w:r>
          </w:p>
        </w:tc>
        <w:tc>
          <w:tcPr>
            <w:tcW w:w="2520" w:type="dxa"/>
          </w:tcPr>
          <w:p w14:paraId="6125688C" w14:textId="77777777" w:rsidR="00C045C1" w:rsidRDefault="00C045C1" w:rsidP="00C045C1">
            <w:pPr>
              <w:pStyle w:val="TableText"/>
              <w:rPr>
                <w:rFonts w:eastAsia="Symbol"/>
              </w:rPr>
            </w:pPr>
            <w:r>
              <w:rPr>
                <w:rFonts w:eastAsia="Symbol"/>
              </w:rPr>
              <w:t>Patient testing, ABO/Rh test</w:t>
            </w:r>
          </w:p>
        </w:tc>
        <w:tc>
          <w:tcPr>
            <w:tcW w:w="1417" w:type="dxa"/>
          </w:tcPr>
          <w:p w14:paraId="7328AED4" w14:textId="77777777" w:rsidR="00C045C1" w:rsidRDefault="00C045C1" w:rsidP="00C045C1">
            <w:pPr>
              <w:pStyle w:val="TableText"/>
              <w:rPr>
                <w:rFonts w:eastAsia="Symbol"/>
              </w:rPr>
            </w:pPr>
            <w:r>
              <w:t>No</w:t>
            </w:r>
          </w:p>
        </w:tc>
        <w:tc>
          <w:tcPr>
            <w:tcW w:w="1530" w:type="dxa"/>
          </w:tcPr>
          <w:p w14:paraId="7AC7F166" w14:textId="77777777" w:rsidR="00C045C1" w:rsidRDefault="00C045C1" w:rsidP="00C045C1">
            <w:pPr>
              <w:pStyle w:val="TableText"/>
              <w:rPr>
                <w:rFonts w:eastAsia="Symbol"/>
              </w:rPr>
            </w:pPr>
            <w:r>
              <w:rPr>
                <w:rFonts w:eastAsia="Symbol"/>
              </w:rPr>
              <w:t>Yes</w:t>
            </w:r>
          </w:p>
        </w:tc>
      </w:tr>
      <w:tr w:rsidR="00C045C1" w14:paraId="0B1DE147" w14:textId="77777777" w:rsidTr="006F58C9">
        <w:trPr>
          <w:cantSplit/>
        </w:trPr>
        <w:tc>
          <w:tcPr>
            <w:tcW w:w="3235" w:type="dxa"/>
          </w:tcPr>
          <w:p w14:paraId="7A10F43D" w14:textId="77777777" w:rsidR="00C045C1" w:rsidRDefault="00C045C1" w:rsidP="00C045C1">
            <w:pPr>
              <w:pStyle w:val="TableText"/>
              <w:rPr>
                <w:rFonts w:eastAsia="Symbol"/>
              </w:rPr>
            </w:pPr>
            <w:r>
              <w:t>Previously recorded results inactivated</w:t>
            </w:r>
          </w:p>
        </w:tc>
        <w:tc>
          <w:tcPr>
            <w:tcW w:w="1710" w:type="dxa"/>
          </w:tcPr>
          <w:p w14:paraId="7776B900"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20A4241F" w14:textId="77777777" w:rsidR="00C045C1" w:rsidRDefault="00C045C1" w:rsidP="00C045C1">
            <w:pPr>
              <w:pStyle w:val="TableText"/>
              <w:rPr>
                <w:rFonts w:eastAsia="Symbol"/>
              </w:rPr>
            </w:pPr>
            <w:r>
              <w:rPr>
                <w:rFonts w:eastAsia="Symbol"/>
              </w:rPr>
              <w:t>All testing grids where the red x is used to clear a grid.</w:t>
            </w:r>
          </w:p>
        </w:tc>
        <w:tc>
          <w:tcPr>
            <w:tcW w:w="1417" w:type="dxa"/>
          </w:tcPr>
          <w:p w14:paraId="540A7B1F" w14:textId="77777777" w:rsidR="00C045C1" w:rsidRDefault="00C045C1" w:rsidP="00C045C1">
            <w:pPr>
              <w:pStyle w:val="TableText"/>
              <w:rPr>
                <w:rFonts w:eastAsia="Symbol"/>
              </w:rPr>
            </w:pPr>
            <w:r>
              <w:t>No</w:t>
            </w:r>
          </w:p>
        </w:tc>
        <w:tc>
          <w:tcPr>
            <w:tcW w:w="1530" w:type="dxa"/>
          </w:tcPr>
          <w:p w14:paraId="31224781" w14:textId="77777777" w:rsidR="00C045C1" w:rsidRDefault="00C045C1" w:rsidP="00C045C1">
            <w:pPr>
              <w:pStyle w:val="TableText"/>
              <w:rPr>
                <w:rFonts w:eastAsia="Symbol"/>
              </w:rPr>
            </w:pPr>
            <w:r>
              <w:rPr>
                <w:rFonts w:eastAsia="Symbol"/>
              </w:rPr>
              <w:t>Yes</w:t>
            </w:r>
          </w:p>
        </w:tc>
      </w:tr>
      <w:tr w:rsidR="00C045C1" w14:paraId="0AB9F879" w14:textId="77777777" w:rsidTr="006F58C9">
        <w:trPr>
          <w:cantSplit/>
        </w:trPr>
        <w:tc>
          <w:tcPr>
            <w:tcW w:w="3235" w:type="dxa"/>
          </w:tcPr>
          <w:p w14:paraId="14582A3A" w14:textId="77777777" w:rsidR="00C045C1" w:rsidRDefault="00C045C1" w:rsidP="00C045C1">
            <w:pPr>
              <w:pStyle w:val="TableText"/>
            </w:pPr>
            <w:r>
              <w:t>Previously recorded results invalidated</w:t>
            </w:r>
          </w:p>
        </w:tc>
        <w:tc>
          <w:tcPr>
            <w:tcW w:w="1710" w:type="dxa"/>
          </w:tcPr>
          <w:p w14:paraId="1558A6D9"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05059A05" w14:textId="77777777" w:rsidR="00C045C1" w:rsidRDefault="00C045C1" w:rsidP="00C045C1">
            <w:pPr>
              <w:pStyle w:val="TableText"/>
            </w:pPr>
            <w:r>
              <w:rPr>
                <w:rFonts w:eastAsia="Symbol"/>
              </w:rPr>
              <w:t>Invalidate Patient Testing</w:t>
            </w:r>
          </w:p>
        </w:tc>
        <w:tc>
          <w:tcPr>
            <w:tcW w:w="1417" w:type="dxa"/>
          </w:tcPr>
          <w:p w14:paraId="42F2545C" w14:textId="77777777" w:rsidR="00C045C1" w:rsidRDefault="00C045C1" w:rsidP="00C045C1">
            <w:pPr>
              <w:pStyle w:val="TableText"/>
              <w:rPr>
                <w:rFonts w:eastAsia="Symbol"/>
              </w:rPr>
            </w:pPr>
            <w:r>
              <w:rPr>
                <w:rFonts w:eastAsia="Symbol"/>
              </w:rPr>
              <w:t xml:space="preserve">Yes </w:t>
            </w:r>
          </w:p>
        </w:tc>
        <w:tc>
          <w:tcPr>
            <w:tcW w:w="1530" w:type="dxa"/>
          </w:tcPr>
          <w:p w14:paraId="659B1D25" w14:textId="77777777" w:rsidR="00C045C1" w:rsidRDefault="00C045C1" w:rsidP="00C045C1">
            <w:pPr>
              <w:pStyle w:val="TableText"/>
              <w:rPr>
                <w:rFonts w:eastAsia="Symbol"/>
              </w:rPr>
            </w:pPr>
            <w:r>
              <w:t>No</w:t>
            </w:r>
          </w:p>
        </w:tc>
      </w:tr>
      <w:tr w:rsidR="00C045C1" w14:paraId="5803E248" w14:textId="77777777" w:rsidTr="006F58C9">
        <w:trPr>
          <w:cantSplit/>
        </w:trPr>
        <w:tc>
          <w:tcPr>
            <w:tcW w:w="3235" w:type="dxa"/>
          </w:tcPr>
          <w:p w14:paraId="1B7E003E" w14:textId="2A9D6333" w:rsidR="00C045C1" w:rsidRDefault="00C045C1" w:rsidP="00C045C1">
            <w:pPr>
              <w:pStyle w:val="TableText"/>
              <w:rPr>
                <w:rFonts w:eastAsia="Symbol"/>
              </w:rPr>
            </w:pPr>
            <w:r>
              <w:t xml:space="preserve">QC decrease reagent reactivity </w:t>
            </w:r>
            <w:r w:rsidR="008D4668">
              <w:rPr>
                <w:rStyle w:val="Char"/>
                <w:sz w:val="18"/>
                <w:szCs w:val="18"/>
              </w:rPr>
              <w:t>&gt;=</w:t>
            </w:r>
            <w:r w:rsidRPr="004D0684">
              <w:rPr>
                <w:rStyle w:val="Char"/>
                <w:sz w:val="18"/>
                <w:szCs w:val="18"/>
              </w:rPr>
              <w:t>2</w:t>
            </w:r>
          </w:p>
        </w:tc>
        <w:tc>
          <w:tcPr>
            <w:tcW w:w="1710" w:type="dxa"/>
          </w:tcPr>
          <w:p w14:paraId="4BDC0C89" w14:textId="77777777" w:rsidR="00C045C1" w:rsidRDefault="00C045C1" w:rsidP="00C045C1">
            <w:pPr>
              <w:pStyle w:val="TableText"/>
              <w:rPr>
                <w:rFonts w:eastAsia="Symbol"/>
              </w:rPr>
            </w:pPr>
            <w:r>
              <w:rPr>
                <w:rFonts w:eastAsia="Symbol"/>
              </w:rPr>
              <w:t>All</w:t>
            </w:r>
          </w:p>
        </w:tc>
        <w:tc>
          <w:tcPr>
            <w:tcW w:w="2520" w:type="dxa"/>
          </w:tcPr>
          <w:p w14:paraId="53D9BE95" w14:textId="77777777" w:rsidR="00C045C1" w:rsidRDefault="00C045C1" w:rsidP="00C045C1">
            <w:pPr>
              <w:pStyle w:val="TableText"/>
              <w:rPr>
                <w:rFonts w:eastAsia="Symbol"/>
              </w:rPr>
            </w:pPr>
            <w:r>
              <w:rPr>
                <w:rFonts w:eastAsia="Symbol"/>
              </w:rPr>
              <w:t>All testing where Rack is selected</w:t>
            </w:r>
          </w:p>
        </w:tc>
        <w:tc>
          <w:tcPr>
            <w:tcW w:w="1417" w:type="dxa"/>
          </w:tcPr>
          <w:p w14:paraId="637139A9" w14:textId="77777777" w:rsidR="00C045C1" w:rsidRDefault="00C045C1" w:rsidP="00C045C1">
            <w:pPr>
              <w:pStyle w:val="TableText"/>
              <w:rPr>
                <w:rFonts w:eastAsia="Symbol"/>
              </w:rPr>
            </w:pPr>
            <w:r>
              <w:t>No</w:t>
            </w:r>
          </w:p>
        </w:tc>
        <w:tc>
          <w:tcPr>
            <w:tcW w:w="1530" w:type="dxa"/>
          </w:tcPr>
          <w:p w14:paraId="09BDF8F1" w14:textId="77777777" w:rsidR="00C045C1" w:rsidRDefault="00C045C1" w:rsidP="00C045C1">
            <w:pPr>
              <w:pStyle w:val="TableText"/>
              <w:rPr>
                <w:rFonts w:eastAsia="Symbol"/>
              </w:rPr>
            </w:pPr>
            <w:r>
              <w:t>No</w:t>
            </w:r>
          </w:p>
        </w:tc>
      </w:tr>
      <w:tr w:rsidR="00C045C1" w14:paraId="50E1EC07" w14:textId="77777777" w:rsidTr="006F58C9">
        <w:trPr>
          <w:cantSplit/>
        </w:trPr>
        <w:tc>
          <w:tcPr>
            <w:tcW w:w="3235" w:type="dxa"/>
          </w:tcPr>
          <w:p w14:paraId="280CCEDB" w14:textId="77777777" w:rsidR="00C045C1" w:rsidRDefault="00C045C1" w:rsidP="00C045C1">
            <w:pPr>
              <w:pStyle w:val="TableText"/>
              <w:rPr>
                <w:rFonts w:eastAsia="Symbol"/>
              </w:rPr>
            </w:pPr>
            <w:r>
              <w:t>QC not performed on rack used for testing</w:t>
            </w:r>
          </w:p>
        </w:tc>
        <w:tc>
          <w:tcPr>
            <w:tcW w:w="1710" w:type="dxa"/>
          </w:tcPr>
          <w:p w14:paraId="0E687437" w14:textId="77777777" w:rsidR="00C045C1" w:rsidRDefault="00C045C1" w:rsidP="00C045C1">
            <w:pPr>
              <w:pStyle w:val="TableText"/>
              <w:rPr>
                <w:rFonts w:eastAsia="Symbol"/>
              </w:rPr>
            </w:pPr>
            <w:r>
              <w:rPr>
                <w:rFonts w:eastAsia="Symbol"/>
              </w:rPr>
              <w:t>All</w:t>
            </w:r>
          </w:p>
        </w:tc>
        <w:tc>
          <w:tcPr>
            <w:tcW w:w="2520" w:type="dxa"/>
          </w:tcPr>
          <w:p w14:paraId="583F0E7D" w14:textId="77777777" w:rsidR="00C045C1" w:rsidRDefault="00C045C1" w:rsidP="00C045C1">
            <w:pPr>
              <w:pStyle w:val="TableText"/>
              <w:rPr>
                <w:rFonts w:eastAsia="Symbol"/>
              </w:rPr>
            </w:pPr>
            <w:r>
              <w:rPr>
                <w:rFonts w:eastAsia="Symbol"/>
              </w:rPr>
              <w:t>All testing where Rack is selected</w:t>
            </w:r>
          </w:p>
        </w:tc>
        <w:tc>
          <w:tcPr>
            <w:tcW w:w="1417" w:type="dxa"/>
          </w:tcPr>
          <w:p w14:paraId="061BA735" w14:textId="77777777" w:rsidR="00C045C1" w:rsidRDefault="00C045C1" w:rsidP="00C045C1">
            <w:pPr>
              <w:pStyle w:val="TableText"/>
              <w:rPr>
                <w:rFonts w:eastAsia="Symbol"/>
              </w:rPr>
            </w:pPr>
            <w:r>
              <w:t>No</w:t>
            </w:r>
          </w:p>
        </w:tc>
        <w:tc>
          <w:tcPr>
            <w:tcW w:w="1530" w:type="dxa"/>
          </w:tcPr>
          <w:p w14:paraId="6DEA4EE7" w14:textId="77777777" w:rsidR="00C045C1" w:rsidRDefault="00C045C1" w:rsidP="00C045C1">
            <w:pPr>
              <w:pStyle w:val="TableText"/>
              <w:rPr>
                <w:rFonts w:eastAsia="Symbol"/>
              </w:rPr>
            </w:pPr>
            <w:r>
              <w:rPr>
                <w:rFonts w:eastAsia="Symbol"/>
              </w:rPr>
              <w:t>Yes</w:t>
            </w:r>
          </w:p>
        </w:tc>
      </w:tr>
      <w:tr w:rsidR="00C045C1" w14:paraId="0BFD4180" w14:textId="77777777" w:rsidTr="006F58C9">
        <w:trPr>
          <w:cantSplit/>
        </w:trPr>
        <w:tc>
          <w:tcPr>
            <w:tcW w:w="3235" w:type="dxa"/>
          </w:tcPr>
          <w:p w14:paraId="0628A8FB" w14:textId="77777777" w:rsidR="00C045C1" w:rsidRDefault="00C045C1" w:rsidP="00C045C1">
            <w:pPr>
              <w:pStyle w:val="TableText"/>
              <w:rPr>
                <w:rFonts w:eastAsia="Symbol"/>
              </w:rPr>
            </w:pPr>
            <w:r>
              <w:t>Reflex test ordered on expired specimen</w:t>
            </w:r>
          </w:p>
        </w:tc>
        <w:tc>
          <w:tcPr>
            <w:tcW w:w="1710" w:type="dxa"/>
          </w:tcPr>
          <w:p w14:paraId="60E74FE4" w14:textId="77777777" w:rsidR="00C045C1" w:rsidRDefault="00C045C1" w:rsidP="00C045C1">
            <w:pPr>
              <w:pStyle w:val="TableText"/>
              <w:rPr>
                <w:rFonts w:eastAsia="Symbol"/>
              </w:rPr>
            </w:pPr>
            <w:r>
              <w:rPr>
                <w:rFonts w:eastAsia="Symbol"/>
              </w:rPr>
              <w:t>All</w:t>
            </w:r>
          </w:p>
        </w:tc>
        <w:tc>
          <w:tcPr>
            <w:tcW w:w="2520" w:type="dxa"/>
          </w:tcPr>
          <w:p w14:paraId="24F0CC33" w14:textId="77777777" w:rsidR="00C045C1" w:rsidRDefault="00C045C1" w:rsidP="00C045C1">
            <w:pPr>
              <w:pStyle w:val="TableText"/>
              <w:rPr>
                <w:rFonts w:eastAsia="Symbol"/>
              </w:rPr>
            </w:pPr>
            <w:r>
              <w:rPr>
                <w:rFonts w:eastAsia="Symbol"/>
              </w:rPr>
              <w:t>Order Reflex Test</w:t>
            </w:r>
          </w:p>
        </w:tc>
        <w:tc>
          <w:tcPr>
            <w:tcW w:w="1417" w:type="dxa"/>
          </w:tcPr>
          <w:p w14:paraId="44D6895C" w14:textId="77777777" w:rsidR="00C045C1" w:rsidRDefault="00C045C1" w:rsidP="00C045C1">
            <w:pPr>
              <w:pStyle w:val="TableText"/>
              <w:rPr>
                <w:rFonts w:eastAsia="Symbol"/>
              </w:rPr>
            </w:pPr>
            <w:r>
              <w:t>No</w:t>
            </w:r>
          </w:p>
        </w:tc>
        <w:tc>
          <w:tcPr>
            <w:tcW w:w="1530" w:type="dxa"/>
          </w:tcPr>
          <w:p w14:paraId="7560572D" w14:textId="77777777" w:rsidR="00C045C1" w:rsidRDefault="00C045C1" w:rsidP="00C045C1">
            <w:pPr>
              <w:pStyle w:val="TableText"/>
              <w:rPr>
                <w:rFonts w:eastAsia="Symbol"/>
              </w:rPr>
            </w:pPr>
            <w:r>
              <w:rPr>
                <w:rFonts w:eastAsia="Symbol"/>
              </w:rPr>
              <w:t>Yes</w:t>
            </w:r>
          </w:p>
        </w:tc>
      </w:tr>
      <w:tr w:rsidR="00C045C1" w14:paraId="4E5BEB3F" w14:textId="77777777" w:rsidTr="006F58C9">
        <w:trPr>
          <w:cantSplit/>
        </w:trPr>
        <w:tc>
          <w:tcPr>
            <w:tcW w:w="3235" w:type="dxa"/>
          </w:tcPr>
          <w:p w14:paraId="0DC69190" w14:textId="77777777" w:rsidR="00C045C1" w:rsidRDefault="00C045C1" w:rsidP="00C045C1">
            <w:pPr>
              <w:pStyle w:val="TableText"/>
            </w:pPr>
            <w:r>
              <w:t>Released patient restriction</w:t>
            </w:r>
          </w:p>
        </w:tc>
        <w:tc>
          <w:tcPr>
            <w:tcW w:w="1710" w:type="dxa"/>
          </w:tcPr>
          <w:p w14:paraId="15CAEE6C" w14:textId="77777777" w:rsidR="00C045C1" w:rsidRDefault="00C045C1" w:rsidP="00C045C1">
            <w:pPr>
              <w:pStyle w:val="TableText"/>
            </w:pPr>
            <w:r>
              <w:rPr>
                <w:u w:val="single"/>
              </w:rPr>
              <w:t>&gt;</w:t>
            </w:r>
            <w:r>
              <w:t xml:space="preserve"> Enhanced Tech</w:t>
            </w:r>
          </w:p>
        </w:tc>
        <w:tc>
          <w:tcPr>
            <w:tcW w:w="2520" w:type="dxa"/>
          </w:tcPr>
          <w:p w14:paraId="2529660D" w14:textId="77777777" w:rsidR="00C045C1" w:rsidRDefault="00C045C1" w:rsidP="00C045C1">
            <w:pPr>
              <w:pStyle w:val="TableText"/>
            </w:pPr>
            <w:r>
              <w:t>Free Directed Donor</w:t>
            </w:r>
          </w:p>
        </w:tc>
        <w:tc>
          <w:tcPr>
            <w:tcW w:w="1417" w:type="dxa"/>
          </w:tcPr>
          <w:p w14:paraId="403CB8C5" w14:textId="77777777" w:rsidR="00C045C1" w:rsidRDefault="00C045C1" w:rsidP="00C045C1">
            <w:pPr>
              <w:pStyle w:val="TableText"/>
            </w:pPr>
            <w:r>
              <w:t>No</w:t>
            </w:r>
          </w:p>
        </w:tc>
        <w:tc>
          <w:tcPr>
            <w:tcW w:w="1530" w:type="dxa"/>
          </w:tcPr>
          <w:p w14:paraId="7489324F" w14:textId="77777777" w:rsidR="00C045C1" w:rsidRDefault="00C045C1" w:rsidP="00C045C1">
            <w:pPr>
              <w:pStyle w:val="TableText"/>
            </w:pPr>
            <w:r>
              <w:rPr>
                <w:rFonts w:eastAsia="Symbol"/>
              </w:rPr>
              <w:t>Yes</w:t>
            </w:r>
          </w:p>
        </w:tc>
      </w:tr>
      <w:tr w:rsidR="00C045C1" w14:paraId="2C36B1BE" w14:textId="77777777" w:rsidTr="006F58C9">
        <w:trPr>
          <w:cantSplit/>
        </w:trPr>
        <w:tc>
          <w:tcPr>
            <w:tcW w:w="3235" w:type="dxa"/>
          </w:tcPr>
          <w:p w14:paraId="375CB51E" w14:textId="77777777" w:rsidR="00C045C1" w:rsidRDefault="00C045C1" w:rsidP="00C045C1">
            <w:pPr>
              <w:pStyle w:val="TableText"/>
              <w:rPr>
                <w:rFonts w:eastAsia="Symbol"/>
              </w:rPr>
            </w:pPr>
            <w:r>
              <w:t>Retrospective update prior to last record update</w:t>
            </w:r>
          </w:p>
        </w:tc>
        <w:tc>
          <w:tcPr>
            <w:tcW w:w="1710" w:type="dxa"/>
          </w:tcPr>
          <w:p w14:paraId="7A9D0295" w14:textId="77777777" w:rsidR="00C045C1" w:rsidRDefault="00C045C1" w:rsidP="00C045C1">
            <w:pPr>
              <w:pStyle w:val="TableText"/>
              <w:rPr>
                <w:rFonts w:eastAsia="Symbol"/>
              </w:rPr>
            </w:pPr>
            <w:r>
              <w:rPr>
                <w:u w:val="single"/>
              </w:rPr>
              <w:t>&gt;</w:t>
            </w:r>
            <w:r>
              <w:t xml:space="preserve"> Lead Tech</w:t>
            </w:r>
          </w:p>
        </w:tc>
        <w:tc>
          <w:tcPr>
            <w:tcW w:w="2520" w:type="dxa"/>
          </w:tcPr>
          <w:p w14:paraId="7479014A" w14:textId="77777777" w:rsidR="00C045C1" w:rsidRDefault="00C045C1" w:rsidP="00C045C1">
            <w:pPr>
              <w:pStyle w:val="TableText"/>
              <w:rPr>
                <w:rFonts w:eastAsia="Symbol"/>
              </w:rPr>
            </w:pPr>
            <w:r>
              <w:rPr>
                <w:rFonts w:eastAsia="Symbol"/>
              </w:rPr>
              <w:t>Discard/Quarantine</w:t>
            </w:r>
          </w:p>
        </w:tc>
        <w:tc>
          <w:tcPr>
            <w:tcW w:w="1417" w:type="dxa"/>
          </w:tcPr>
          <w:p w14:paraId="61337B20" w14:textId="77777777" w:rsidR="00C045C1" w:rsidRDefault="00C045C1" w:rsidP="00C045C1">
            <w:pPr>
              <w:pStyle w:val="TableText"/>
              <w:rPr>
                <w:rFonts w:eastAsia="Symbol"/>
              </w:rPr>
            </w:pPr>
            <w:r>
              <w:rPr>
                <w:rFonts w:eastAsia="Symbol"/>
              </w:rPr>
              <w:t>Yes</w:t>
            </w:r>
          </w:p>
        </w:tc>
        <w:tc>
          <w:tcPr>
            <w:tcW w:w="1530" w:type="dxa"/>
          </w:tcPr>
          <w:p w14:paraId="0F077596" w14:textId="77777777" w:rsidR="00C045C1" w:rsidRDefault="00C045C1" w:rsidP="00C045C1">
            <w:pPr>
              <w:pStyle w:val="TableText"/>
              <w:rPr>
                <w:rFonts w:eastAsia="Symbol"/>
              </w:rPr>
            </w:pPr>
            <w:r>
              <w:t>No</w:t>
            </w:r>
          </w:p>
        </w:tc>
      </w:tr>
      <w:tr w:rsidR="00C045C1" w14:paraId="3C2B642E" w14:textId="77777777" w:rsidTr="006F58C9">
        <w:trPr>
          <w:cantSplit/>
        </w:trPr>
        <w:tc>
          <w:tcPr>
            <w:tcW w:w="3235" w:type="dxa"/>
          </w:tcPr>
          <w:p w14:paraId="494D8CFB" w14:textId="77777777" w:rsidR="00C045C1" w:rsidRDefault="00C045C1" w:rsidP="00C045C1">
            <w:pPr>
              <w:pStyle w:val="TableText"/>
            </w:pPr>
            <w:r>
              <w:t xml:space="preserve">Rh positive units selected </w:t>
            </w:r>
          </w:p>
        </w:tc>
        <w:tc>
          <w:tcPr>
            <w:tcW w:w="1710" w:type="dxa"/>
          </w:tcPr>
          <w:p w14:paraId="3F26538C" w14:textId="77777777" w:rsidR="00C045C1" w:rsidRDefault="00C045C1" w:rsidP="00C045C1">
            <w:pPr>
              <w:pStyle w:val="TableText"/>
            </w:pPr>
            <w:r>
              <w:rPr>
                <w:rFonts w:eastAsia="Symbol"/>
              </w:rPr>
              <w:t>All</w:t>
            </w:r>
          </w:p>
        </w:tc>
        <w:tc>
          <w:tcPr>
            <w:tcW w:w="2520" w:type="dxa"/>
          </w:tcPr>
          <w:p w14:paraId="3C5FFDF2" w14:textId="77777777" w:rsidR="00C045C1" w:rsidRDefault="00C045C1" w:rsidP="00C045C1">
            <w:pPr>
              <w:pStyle w:val="TableText"/>
            </w:pPr>
            <w:r>
              <w:t>Select Units</w:t>
            </w:r>
          </w:p>
        </w:tc>
        <w:tc>
          <w:tcPr>
            <w:tcW w:w="1417" w:type="dxa"/>
          </w:tcPr>
          <w:p w14:paraId="499E0FD2" w14:textId="77777777" w:rsidR="00C045C1" w:rsidRDefault="00C045C1" w:rsidP="00C045C1">
            <w:pPr>
              <w:pStyle w:val="TableText"/>
            </w:pPr>
            <w:r>
              <w:t>No</w:t>
            </w:r>
          </w:p>
        </w:tc>
        <w:tc>
          <w:tcPr>
            <w:tcW w:w="1530" w:type="dxa"/>
          </w:tcPr>
          <w:p w14:paraId="4FD1BC23" w14:textId="77777777" w:rsidR="00C045C1" w:rsidRDefault="00C045C1" w:rsidP="00C045C1">
            <w:pPr>
              <w:pStyle w:val="TableText"/>
            </w:pPr>
            <w:r>
              <w:rPr>
                <w:rFonts w:eastAsia="Symbol"/>
              </w:rPr>
              <w:t>Yes</w:t>
            </w:r>
          </w:p>
        </w:tc>
      </w:tr>
      <w:tr w:rsidR="00C045C1" w14:paraId="4C217957" w14:textId="77777777" w:rsidTr="006F58C9">
        <w:trPr>
          <w:cantSplit/>
        </w:trPr>
        <w:tc>
          <w:tcPr>
            <w:tcW w:w="3235" w:type="dxa"/>
          </w:tcPr>
          <w:p w14:paraId="67AF0DE7" w14:textId="77777777" w:rsidR="00C045C1" w:rsidRDefault="00C045C1" w:rsidP="00C045C1">
            <w:pPr>
              <w:pStyle w:val="TableText"/>
              <w:rPr>
                <w:rFonts w:eastAsia="Symbol"/>
              </w:rPr>
            </w:pPr>
            <w:r>
              <w:t>Specimen expiration date extended</w:t>
            </w:r>
          </w:p>
        </w:tc>
        <w:tc>
          <w:tcPr>
            <w:tcW w:w="1710" w:type="dxa"/>
          </w:tcPr>
          <w:p w14:paraId="41B544EA" w14:textId="77777777" w:rsidR="00C045C1" w:rsidRDefault="00C045C1" w:rsidP="00C045C1">
            <w:pPr>
              <w:pStyle w:val="TableText"/>
              <w:rPr>
                <w:rFonts w:eastAsia="Symbol"/>
              </w:rPr>
            </w:pPr>
            <w:r>
              <w:rPr>
                <w:rFonts w:eastAsia="Symbol"/>
              </w:rPr>
              <w:t>All</w:t>
            </w:r>
          </w:p>
        </w:tc>
        <w:tc>
          <w:tcPr>
            <w:tcW w:w="2520" w:type="dxa"/>
          </w:tcPr>
          <w:p w14:paraId="6221915C" w14:textId="77777777" w:rsidR="00C045C1" w:rsidRDefault="00C045C1" w:rsidP="00C045C1">
            <w:pPr>
              <w:pStyle w:val="TableText"/>
              <w:rPr>
                <w:rFonts w:eastAsia="Symbol"/>
              </w:rPr>
            </w:pPr>
            <w:r>
              <w:rPr>
                <w:rFonts w:eastAsia="Symbol"/>
              </w:rPr>
              <w:t>Maintain Specimen</w:t>
            </w:r>
          </w:p>
        </w:tc>
        <w:tc>
          <w:tcPr>
            <w:tcW w:w="1417" w:type="dxa"/>
          </w:tcPr>
          <w:p w14:paraId="3CD253C8" w14:textId="77777777" w:rsidR="00C045C1" w:rsidRDefault="00C045C1" w:rsidP="00C045C1">
            <w:pPr>
              <w:pStyle w:val="TableText"/>
              <w:rPr>
                <w:rFonts w:eastAsia="Symbol"/>
              </w:rPr>
            </w:pPr>
            <w:r>
              <w:t>No</w:t>
            </w:r>
          </w:p>
        </w:tc>
        <w:tc>
          <w:tcPr>
            <w:tcW w:w="1530" w:type="dxa"/>
          </w:tcPr>
          <w:p w14:paraId="6BE505EE" w14:textId="77777777" w:rsidR="00C045C1" w:rsidRDefault="00C045C1" w:rsidP="00C045C1">
            <w:pPr>
              <w:pStyle w:val="TableText"/>
              <w:rPr>
                <w:rFonts w:eastAsia="Symbol"/>
              </w:rPr>
            </w:pPr>
            <w:r>
              <w:rPr>
                <w:rFonts w:eastAsia="Symbol"/>
              </w:rPr>
              <w:t>Yes</w:t>
            </w:r>
          </w:p>
        </w:tc>
      </w:tr>
      <w:tr w:rsidR="00C045C1" w14:paraId="1F60F710" w14:textId="77777777" w:rsidTr="006F58C9">
        <w:trPr>
          <w:cantSplit/>
        </w:trPr>
        <w:tc>
          <w:tcPr>
            <w:tcW w:w="3235" w:type="dxa"/>
          </w:tcPr>
          <w:p w14:paraId="3B38DE70" w14:textId="77777777" w:rsidR="00C045C1" w:rsidRDefault="00C045C1" w:rsidP="00C045C1">
            <w:pPr>
              <w:pStyle w:val="TableText"/>
              <w:rPr>
                <w:rFonts w:eastAsia="Symbol"/>
              </w:rPr>
            </w:pPr>
            <w:r>
              <w:t>Target product label failed checks</w:t>
            </w:r>
          </w:p>
        </w:tc>
        <w:tc>
          <w:tcPr>
            <w:tcW w:w="1710" w:type="dxa"/>
          </w:tcPr>
          <w:p w14:paraId="0FBA54BE" w14:textId="77777777" w:rsidR="00C045C1" w:rsidRDefault="00C045C1" w:rsidP="00C045C1">
            <w:pPr>
              <w:pStyle w:val="TableText"/>
              <w:rPr>
                <w:rFonts w:eastAsia="Symbol"/>
              </w:rPr>
            </w:pPr>
            <w:r>
              <w:rPr>
                <w:rFonts w:eastAsia="Symbol"/>
              </w:rPr>
              <w:t>All</w:t>
            </w:r>
          </w:p>
        </w:tc>
        <w:tc>
          <w:tcPr>
            <w:tcW w:w="2520" w:type="dxa"/>
          </w:tcPr>
          <w:p w14:paraId="7A51BFA2" w14:textId="77777777" w:rsidR="00C045C1" w:rsidRDefault="00C045C1" w:rsidP="00C045C1">
            <w:pPr>
              <w:pStyle w:val="TableText"/>
              <w:rPr>
                <w:rFonts w:eastAsia="Symbol"/>
              </w:rPr>
            </w:pPr>
            <w:r>
              <w:rPr>
                <w:rFonts w:eastAsia="Symbol"/>
              </w:rPr>
              <w:t>All modification processes</w:t>
            </w:r>
          </w:p>
        </w:tc>
        <w:tc>
          <w:tcPr>
            <w:tcW w:w="1417" w:type="dxa"/>
          </w:tcPr>
          <w:p w14:paraId="2D31960D" w14:textId="77777777" w:rsidR="00C045C1" w:rsidRDefault="00C045C1" w:rsidP="00C045C1">
            <w:pPr>
              <w:pStyle w:val="TableText"/>
              <w:rPr>
                <w:rFonts w:eastAsia="Symbol"/>
              </w:rPr>
            </w:pPr>
            <w:r>
              <w:t>Yes</w:t>
            </w:r>
          </w:p>
        </w:tc>
        <w:tc>
          <w:tcPr>
            <w:tcW w:w="1530" w:type="dxa"/>
          </w:tcPr>
          <w:p w14:paraId="62562F49" w14:textId="77777777" w:rsidR="00C045C1" w:rsidRDefault="00C045C1" w:rsidP="00C045C1">
            <w:pPr>
              <w:pStyle w:val="TableText"/>
              <w:rPr>
                <w:rFonts w:eastAsia="Symbol"/>
              </w:rPr>
            </w:pPr>
            <w:r>
              <w:t>No</w:t>
            </w:r>
          </w:p>
        </w:tc>
      </w:tr>
      <w:tr w:rsidR="00C045C1" w14:paraId="29BCDB36" w14:textId="77777777" w:rsidTr="006F58C9">
        <w:trPr>
          <w:cantSplit/>
        </w:trPr>
        <w:tc>
          <w:tcPr>
            <w:tcW w:w="3235" w:type="dxa"/>
          </w:tcPr>
          <w:p w14:paraId="65F2D7BC" w14:textId="77777777" w:rsidR="00C045C1" w:rsidRDefault="00C045C1" w:rsidP="00C045C1">
            <w:pPr>
              <w:pStyle w:val="TableText"/>
              <w:rPr>
                <w:rFonts w:eastAsia="Symbol"/>
              </w:rPr>
            </w:pPr>
            <w:r>
              <w:t>Target product outdate extended</w:t>
            </w:r>
          </w:p>
        </w:tc>
        <w:tc>
          <w:tcPr>
            <w:tcW w:w="1710" w:type="dxa"/>
          </w:tcPr>
          <w:p w14:paraId="304B269B" w14:textId="77777777" w:rsidR="00C045C1" w:rsidRDefault="00C045C1" w:rsidP="00C045C1">
            <w:pPr>
              <w:pStyle w:val="TableText"/>
              <w:rPr>
                <w:rFonts w:eastAsia="Symbol"/>
              </w:rPr>
            </w:pPr>
            <w:r>
              <w:rPr>
                <w:u w:val="single"/>
              </w:rPr>
              <w:t>&gt;</w:t>
            </w:r>
            <w:r>
              <w:t xml:space="preserve"> Enhanced Tech</w:t>
            </w:r>
          </w:p>
        </w:tc>
        <w:tc>
          <w:tcPr>
            <w:tcW w:w="2520" w:type="dxa"/>
          </w:tcPr>
          <w:p w14:paraId="4E14E3F2" w14:textId="77777777" w:rsidR="00C045C1" w:rsidRDefault="00C045C1" w:rsidP="00C045C1">
            <w:pPr>
              <w:pStyle w:val="TableText"/>
              <w:rPr>
                <w:rFonts w:eastAsia="Symbol"/>
              </w:rPr>
            </w:pPr>
            <w:r>
              <w:rPr>
                <w:rFonts w:eastAsia="Symbol"/>
              </w:rPr>
              <w:t>All modification processes</w:t>
            </w:r>
          </w:p>
        </w:tc>
        <w:tc>
          <w:tcPr>
            <w:tcW w:w="1417" w:type="dxa"/>
          </w:tcPr>
          <w:p w14:paraId="12799A60" w14:textId="77777777" w:rsidR="00C045C1" w:rsidRDefault="00C045C1" w:rsidP="00C045C1">
            <w:pPr>
              <w:pStyle w:val="TableText"/>
              <w:rPr>
                <w:rFonts w:eastAsia="Symbol"/>
              </w:rPr>
            </w:pPr>
            <w:r>
              <w:t>Yes</w:t>
            </w:r>
          </w:p>
        </w:tc>
        <w:tc>
          <w:tcPr>
            <w:tcW w:w="1530" w:type="dxa"/>
          </w:tcPr>
          <w:p w14:paraId="5E241816" w14:textId="77777777" w:rsidR="00C045C1" w:rsidRDefault="00C045C1" w:rsidP="00C045C1">
            <w:pPr>
              <w:pStyle w:val="TableText"/>
              <w:rPr>
                <w:rFonts w:eastAsia="Symbol"/>
              </w:rPr>
            </w:pPr>
            <w:r>
              <w:t>No</w:t>
            </w:r>
          </w:p>
        </w:tc>
      </w:tr>
      <w:tr w:rsidR="00C045C1" w14:paraId="5B547CA4" w14:textId="77777777" w:rsidTr="006F58C9">
        <w:trPr>
          <w:cantSplit/>
        </w:trPr>
        <w:tc>
          <w:tcPr>
            <w:tcW w:w="3235" w:type="dxa"/>
          </w:tcPr>
          <w:p w14:paraId="4D326A94" w14:textId="77777777" w:rsidR="00C045C1" w:rsidRDefault="00C045C1" w:rsidP="00C045C1">
            <w:pPr>
              <w:pStyle w:val="TableText"/>
            </w:pPr>
            <w:r>
              <w:t>Transfusion Reaction Workup</w:t>
            </w:r>
          </w:p>
        </w:tc>
        <w:tc>
          <w:tcPr>
            <w:tcW w:w="1710" w:type="dxa"/>
          </w:tcPr>
          <w:p w14:paraId="222F7FF1" w14:textId="77777777" w:rsidR="00C045C1" w:rsidRDefault="00C045C1" w:rsidP="00C045C1">
            <w:pPr>
              <w:pStyle w:val="TableText"/>
            </w:pPr>
            <w:r>
              <w:rPr>
                <w:rFonts w:eastAsia="Symbol"/>
              </w:rPr>
              <w:t>All</w:t>
            </w:r>
          </w:p>
        </w:tc>
        <w:tc>
          <w:tcPr>
            <w:tcW w:w="2520" w:type="dxa"/>
          </w:tcPr>
          <w:p w14:paraId="134C01AB" w14:textId="77777777" w:rsidR="00C045C1" w:rsidRDefault="00C045C1" w:rsidP="00C045C1">
            <w:pPr>
              <w:pStyle w:val="TableText"/>
            </w:pPr>
            <w:r>
              <w:t>Transfusion Reaction Workup</w:t>
            </w:r>
          </w:p>
        </w:tc>
        <w:tc>
          <w:tcPr>
            <w:tcW w:w="1417" w:type="dxa"/>
          </w:tcPr>
          <w:p w14:paraId="65E8AAAD" w14:textId="77777777" w:rsidR="00C045C1" w:rsidRDefault="00C045C1" w:rsidP="00C045C1">
            <w:pPr>
              <w:pStyle w:val="TableText"/>
              <w:rPr>
                <w:rFonts w:eastAsia="Symbol"/>
              </w:rPr>
            </w:pPr>
            <w:r>
              <w:t>No</w:t>
            </w:r>
          </w:p>
        </w:tc>
        <w:tc>
          <w:tcPr>
            <w:tcW w:w="1530" w:type="dxa"/>
          </w:tcPr>
          <w:p w14:paraId="29E89979" w14:textId="77777777" w:rsidR="00C045C1" w:rsidRDefault="00C045C1" w:rsidP="00C045C1">
            <w:pPr>
              <w:pStyle w:val="TableText"/>
              <w:rPr>
                <w:rFonts w:eastAsia="Symbol"/>
              </w:rPr>
            </w:pPr>
            <w:r>
              <w:rPr>
                <w:rFonts w:eastAsia="Symbol"/>
              </w:rPr>
              <w:t>Yes</w:t>
            </w:r>
          </w:p>
        </w:tc>
      </w:tr>
      <w:tr w:rsidR="00C045C1" w14:paraId="41E9029E" w14:textId="77777777" w:rsidTr="006F58C9">
        <w:trPr>
          <w:cantSplit/>
        </w:trPr>
        <w:tc>
          <w:tcPr>
            <w:tcW w:w="3235" w:type="dxa"/>
          </w:tcPr>
          <w:p w14:paraId="533E7692" w14:textId="77777777" w:rsidR="00C045C1" w:rsidRDefault="00C045C1" w:rsidP="00C045C1">
            <w:pPr>
              <w:pStyle w:val="TableText"/>
              <w:rPr>
                <w:rFonts w:eastAsia="Symbol"/>
              </w:rPr>
            </w:pPr>
            <w:r>
              <w:t>Transfusion Requirement incompatible unit selected</w:t>
            </w:r>
          </w:p>
        </w:tc>
        <w:tc>
          <w:tcPr>
            <w:tcW w:w="1710" w:type="dxa"/>
          </w:tcPr>
          <w:p w14:paraId="1E579476" w14:textId="77777777" w:rsidR="00C045C1" w:rsidRDefault="00C045C1" w:rsidP="00C045C1">
            <w:pPr>
              <w:pStyle w:val="TableText"/>
              <w:rPr>
                <w:rFonts w:eastAsia="Symbol"/>
              </w:rPr>
            </w:pPr>
            <w:r>
              <w:rPr>
                <w:u w:val="single"/>
              </w:rPr>
              <w:t>&gt;</w:t>
            </w:r>
            <w:r>
              <w:t xml:space="preserve"> Lead Tech</w:t>
            </w:r>
          </w:p>
        </w:tc>
        <w:tc>
          <w:tcPr>
            <w:tcW w:w="2520" w:type="dxa"/>
          </w:tcPr>
          <w:p w14:paraId="20E7290B" w14:textId="77777777" w:rsidR="00C045C1" w:rsidRDefault="00C045C1" w:rsidP="00C045C1">
            <w:pPr>
              <w:pStyle w:val="TableText"/>
              <w:rPr>
                <w:rFonts w:eastAsia="Symbol"/>
              </w:rPr>
            </w:pPr>
            <w:r>
              <w:rPr>
                <w:rFonts w:eastAsia="Symbol"/>
              </w:rPr>
              <w:t>Select Unit</w:t>
            </w:r>
          </w:p>
        </w:tc>
        <w:tc>
          <w:tcPr>
            <w:tcW w:w="1417" w:type="dxa"/>
          </w:tcPr>
          <w:p w14:paraId="5F1E4AFC" w14:textId="77777777" w:rsidR="00C045C1" w:rsidRDefault="00C045C1" w:rsidP="00C045C1">
            <w:pPr>
              <w:pStyle w:val="TableText"/>
              <w:rPr>
                <w:rFonts w:eastAsia="Symbol"/>
              </w:rPr>
            </w:pPr>
            <w:r>
              <w:t>No</w:t>
            </w:r>
          </w:p>
        </w:tc>
        <w:tc>
          <w:tcPr>
            <w:tcW w:w="1530" w:type="dxa"/>
          </w:tcPr>
          <w:p w14:paraId="282F8409" w14:textId="77777777" w:rsidR="00C045C1" w:rsidRDefault="00C045C1" w:rsidP="00C045C1">
            <w:pPr>
              <w:pStyle w:val="TableText"/>
              <w:rPr>
                <w:rFonts w:eastAsia="Symbol"/>
              </w:rPr>
            </w:pPr>
            <w:r>
              <w:rPr>
                <w:rFonts w:eastAsia="Symbol"/>
              </w:rPr>
              <w:t>Yes</w:t>
            </w:r>
          </w:p>
        </w:tc>
      </w:tr>
      <w:tr w:rsidR="00C045C1" w14:paraId="08710EC3" w14:textId="77777777" w:rsidTr="006F58C9">
        <w:trPr>
          <w:cantSplit/>
        </w:trPr>
        <w:tc>
          <w:tcPr>
            <w:tcW w:w="3235" w:type="dxa"/>
          </w:tcPr>
          <w:p w14:paraId="23164DD4" w14:textId="77777777" w:rsidR="00C045C1" w:rsidRDefault="00C045C1" w:rsidP="00C045C1">
            <w:pPr>
              <w:pStyle w:val="TableText"/>
              <w:rPr>
                <w:rFonts w:eastAsia="Symbol"/>
              </w:rPr>
            </w:pPr>
            <w:r>
              <w:t>Unacceptable/expired specimen used</w:t>
            </w:r>
          </w:p>
        </w:tc>
        <w:tc>
          <w:tcPr>
            <w:tcW w:w="1710" w:type="dxa"/>
          </w:tcPr>
          <w:p w14:paraId="29B47D1B" w14:textId="77777777" w:rsidR="00C045C1" w:rsidRDefault="00C045C1" w:rsidP="00C045C1">
            <w:pPr>
              <w:pStyle w:val="TableText"/>
              <w:rPr>
                <w:rFonts w:eastAsia="Symbol"/>
              </w:rPr>
            </w:pPr>
            <w:r>
              <w:rPr>
                <w:rFonts w:eastAsia="Symbol"/>
              </w:rPr>
              <w:t>All</w:t>
            </w:r>
          </w:p>
        </w:tc>
        <w:tc>
          <w:tcPr>
            <w:tcW w:w="2520" w:type="dxa"/>
          </w:tcPr>
          <w:p w14:paraId="0C304C67" w14:textId="77777777" w:rsidR="00C045C1" w:rsidRDefault="00C045C1" w:rsidP="00C045C1">
            <w:pPr>
              <w:pStyle w:val="TableText"/>
              <w:rPr>
                <w:rFonts w:eastAsia="Symbol"/>
              </w:rPr>
            </w:pPr>
            <w:r>
              <w:rPr>
                <w:rFonts w:eastAsia="Symbol"/>
              </w:rPr>
              <w:t>Patient Testing</w:t>
            </w:r>
          </w:p>
        </w:tc>
        <w:tc>
          <w:tcPr>
            <w:tcW w:w="1417" w:type="dxa"/>
          </w:tcPr>
          <w:p w14:paraId="33EFCBDB" w14:textId="77777777" w:rsidR="00C045C1" w:rsidRDefault="00C045C1" w:rsidP="00C045C1">
            <w:pPr>
              <w:pStyle w:val="TableText"/>
              <w:rPr>
                <w:rFonts w:eastAsia="Symbol"/>
              </w:rPr>
            </w:pPr>
            <w:r>
              <w:t>No</w:t>
            </w:r>
          </w:p>
        </w:tc>
        <w:tc>
          <w:tcPr>
            <w:tcW w:w="1530" w:type="dxa"/>
          </w:tcPr>
          <w:p w14:paraId="116C727E" w14:textId="77777777" w:rsidR="00C045C1" w:rsidRDefault="00C045C1" w:rsidP="00C045C1">
            <w:pPr>
              <w:pStyle w:val="TableText"/>
              <w:rPr>
                <w:rFonts w:eastAsia="Symbol"/>
              </w:rPr>
            </w:pPr>
            <w:r>
              <w:rPr>
                <w:rFonts w:eastAsia="Symbol"/>
              </w:rPr>
              <w:t>Yes</w:t>
            </w:r>
          </w:p>
        </w:tc>
      </w:tr>
      <w:tr w:rsidR="00C045C1" w14:paraId="70475577" w14:textId="77777777" w:rsidTr="006F58C9">
        <w:trPr>
          <w:cantSplit/>
        </w:trPr>
        <w:tc>
          <w:tcPr>
            <w:tcW w:w="3235" w:type="dxa"/>
          </w:tcPr>
          <w:p w14:paraId="74501126" w14:textId="77777777" w:rsidR="00C045C1" w:rsidRDefault="00C045C1" w:rsidP="00C045C1">
            <w:pPr>
              <w:pStyle w:val="TableText"/>
              <w:rPr>
                <w:rFonts w:eastAsia="Symbol"/>
              </w:rPr>
            </w:pPr>
            <w:r>
              <w:t>Unit ABO/Rh confirmation inconclusive, unit quarantined</w:t>
            </w:r>
          </w:p>
        </w:tc>
        <w:tc>
          <w:tcPr>
            <w:tcW w:w="1710" w:type="dxa"/>
          </w:tcPr>
          <w:p w14:paraId="3EAED57E" w14:textId="77777777" w:rsidR="00C045C1" w:rsidRDefault="00C045C1" w:rsidP="00C045C1">
            <w:pPr>
              <w:pStyle w:val="TableText"/>
              <w:rPr>
                <w:rFonts w:eastAsia="Symbol"/>
              </w:rPr>
            </w:pPr>
            <w:r>
              <w:rPr>
                <w:rFonts w:eastAsia="Symbol"/>
              </w:rPr>
              <w:t>All</w:t>
            </w:r>
          </w:p>
        </w:tc>
        <w:tc>
          <w:tcPr>
            <w:tcW w:w="2520" w:type="dxa"/>
          </w:tcPr>
          <w:p w14:paraId="544111D2" w14:textId="77777777" w:rsidR="00C045C1" w:rsidRDefault="00C045C1" w:rsidP="00C045C1">
            <w:pPr>
              <w:pStyle w:val="TableText"/>
              <w:rPr>
                <w:rFonts w:eastAsia="Symbol"/>
              </w:rPr>
            </w:pPr>
            <w:r>
              <w:rPr>
                <w:rFonts w:eastAsia="Symbol"/>
              </w:rPr>
              <w:t>ABO/Rh Confirmation</w:t>
            </w:r>
          </w:p>
        </w:tc>
        <w:tc>
          <w:tcPr>
            <w:tcW w:w="1417" w:type="dxa"/>
          </w:tcPr>
          <w:p w14:paraId="5F559754" w14:textId="77777777" w:rsidR="00C045C1" w:rsidRDefault="00C045C1" w:rsidP="00C045C1">
            <w:pPr>
              <w:pStyle w:val="TableText"/>
              <w:rPr>
                <w:rFonts w:eastAsia="Symbol"/>
              </w:rPr>
            </w:pPr>
            <w:r>
              <w:t>Yes</w:t>
            </w:r>
          </w:p>
        </w:tc>
        <w:tc>
          <w:tcPr>
            <w:tcW w:w="1530" w:type="dxa"/>
          </w:tcPr>
          <w:p w14:paraId="719B5CE3" w14:textId="77777777" w:rsidR="00C045C1" w:rsidRDefault="00C045C1" w:rsidP="00C045C1">
            <w:pPr>
              <w:pStyle w:val="TableText"/>
              <w:rPr>
                <w:rFonts w:eastAsia="Symbol"/>
              </w:rPr>
            </w:pPr>
            <w:r>
              <w:t>No</w:t>
            </w:r>
          </w:p>
        </w:tc>
      </w:tr>
      <w:tr w:rsidR="00C045C1" w14:paraId="7EAFA872" w14:textId="77777777" w:rsidTr="006F58C9">
        <w:trPr>
          <w:cantSplit/>
        </w:trPr>
        <w:tc>
          <w:tcPr>
            <w:tcW w:w="3235" w:type="dxa"/>
          </w:tcPr>
          <w:p w14:paraId="7BA6B0BC" w14:textId="77777777" w:rsidR="00C045C1" w:rsidRDefault="00C045C1" w:rsidP="00C045C1">
            <w:pPr>
              <w:pStyle w:val="TableText"/>
              <w:rPr>
                <w:rFonts w:eastAsia="Symbol"/>
              </w:rPr>
            </w:pPr>
            <w:r>
              <w:t>Unit ABO/Rh log-in vs. confirmation do not match, unit quarantined</w:t>
            </w:r>
          </w:p>
        </w:tc>
        <w:tc>
          <w:tcPr>
            <w:tcW w:w="1710" w:type="dxa"/>
          </w:tcPr>
          <w:p w14:paraId="44D71BE6" w14:textId="77777777" w:rsidR="00C045C1" w:rsidRDefault="00C045C1" w:rsidP="00C045C1">
            <w:pPr>
              <w:pStyle w:val="TableText"/>
              <w:rPr>
                <w:rFonts w:eastAsia="Symbol"/>
              </w:rPr>
            </w:pPr>
            <w:r>
              <w:rPr>
                <w:rFonts w:eastAsia="Symbol"/>
              </w:rPr>
              <w:t>All</w:t>
            </w:r>
          </w:p>
        </w:tc>
        <w:tc>
          <w:tcPr>
            <w:tcW w:w="2520" w:type="dxa"/>
          </w:tcPr>
          <w:p w14:paraId="0B562D49" w14:textId="77777777" w:rsidR="00C045C1" w:rsidRDefault="00C045C1" w:rsidP="00C045C1">
            <w:pPr>
              <w:pStyle w:val="TableText"/>
              <w:rPr>
                <w:rFonts w:eastAsia="Symbol"/>
              </w:rPr>
            </w:pPr>
            <w:r>
              <w:rPr>
                <w:rFonts w:eastAsia="Symbol"/>
              </w:rPr>
              <w:t>ABO/Rh Confirmation</w:t>
            </w:r>
          </w:p>
        </w:tc>
        <w:tc>
          <w:tcPr>
            <w:tcW w:w="1417" w:type="dxa"/>
          </w:tcPr>
          <w:p w14:paraId="0413FE20" w14:textId="77777777" w:rsidR="00C045C1" w:rsidRDefault="00C045C1" w:rsidP="00C045C1">
            <w:pPr>
              <w:pStyle w:val="TableText"/>
              <w:rPr>
                <w:rFonts w:eastAsia="Symbol"/>
              </w:rPr>
            </w:pPr>
            <w:r>
              <w:t>Yes</w:t>
            </w:r>
          </w:p>
        </w:tc>
        <w:tc>
          <w:tcPr>
            <w:tcW w:w="1530" w:type="dxa"/>
          </w:tcPr>
          <w:p w14:paraId="0E08B25F" w14:textId="77777777" w:rsidR="00C045C1" w:rsidRDefault="00C045C1" w:rsidP="00C045C1">
            <w:pPr>
              <w:pStyle w:val="TableText"/>
              <w:rPr>
                <w:rFonts w:eastAsia="Symbol"/>
              </w:rPr>
            </w:pPr>
            <w:r>
              <w:t>No</w:t>
            </w:r>
          </w:p>
        </w:tc>
      </w:tr>
      <w:tr w:rsidR="00C045C1" w14:paraId="25CD5722" w14:textId="77777777" w:rsidTr="006F58C9">
        <w:trPr>
          <w:cantSplit/>
        </w:trPr>
        <w:tc>
          <w:tcPr>
            <w:tcW w:w="3235" w:type="dxa"/>
          </w:tcPr>
          <w:p w14:paraId="33DE17A0" w14:textId="77777777" w:rsidR="00C045C1" w:rsidRDefault="00C045C1" w:rsidP="00C045C1">
            <w:pPr>
              <w:pStyle w:val="TableText"/>
              <w:rPr>
                <w:rFonts w:eastAsia="Symbol"/>
              </w:rPr>
            </w:pPr>
            <w:r>
              <w:t>Unit discarded</w:t>
            </w:r>
          </w:p>
        </w:tc>
        <w:tc>
          <w:tcPr>
            <w:tcW w:w="1710" w:type="dxa"/>
          </w:tcPr>
          <w:p w14:paraId="6A3D127D" w14:textId="77777777" w:rsidR="00C045C1" w:rsidRDefault="00C045C1" w:rsidP="00C045C1">
            <w:pPr>
              <w:pStyle w:val="TableText"/>
              <w:rPr>
                <w:rFonts w:eastAsia="Symbol"/>
              </w:rPr>
            </w:pPr>
            <w:r>
              <w:rPr>
                <w:rFonts w:eastAsia="Symbol"/>
              </w:rPr>
              <w:t>All</w:t>
            </w:r>
          </w:p>
        </w:tc>
        <w:tc>
          <w:tcPr>
            <w:tcW w:w="2520" w:type="dxa"/>
          </w:tcPr>
          <w:p w14:paraId="43FB3C8C" w14:textId="77777777" w:rsidR="00C045C1" w:rsidRDefault="00C045C1" w:rsidP="00C045C1">
            <w:pPr>
              <w:pStyle w:val="TableText"/>
              <w:rPr>
                <w:rFonts w:eastAsia="Symbol"/>
              </w:rPr>
            </w:pPr>
            <w:r>
              <w:rPr>
                <w:rFonts w:eastAsia="Symbol"/>
              </w:rPr>
              <w:t>Discard</w:t>
            </w:r>
          </w:p>
        </w:tc>
        <w:tc>
          <w:tcPr>
            <w:tcW w:w="1417" w:type="dxa"/>
          </w:tcPr>
          <w:p w14:paraId="184E995C" w14:textId="77777777" w:rsidR="00C045C1" w:rsidRDefault="00C045C1" w:rsidP="00C045C1">
            <w:pPr>
              <w:pStyle w:val="TableText"/>
              <w:rPr>
                <w:rFonts w:eastAsia="Symbol"/>
              </w:rPr>
            </w:pPr>
            <w:r>
              <w:t>Yes</w:t>
            </w:r>
          </w:p>
        </w:tc>
        <w:tc>
          <w:tcPr>
            <w:tcW w:w="1530" w:type="dxa"/>
          </w:tcPr>
          <w:p w14:paraId="1A5E1160" w14:textId="77777777" w:rsidR="00C045C1" w:rsidRDefault="00C045C1" w:rsidP="00C045C1">
            <w:pPr>
              <w:pStyle w:val="TableText"/>
              <w:rPr>
                <w:rFonts w:eastAsia="Symbol"/>
              </w:rPr>
            </w:pPr>
            <w:r>
              <w:t>No</w:t>
            </w:r>
          </w:p>
        </w:tc>
      </w:tr>
      <w:tr w:rsidR="00C045C1" w14:paraId="46BFE4F6" w14:textId="77777777" w:rsidTr="006F58C9">
        <w:trPr>
          <w:cantSplit/>
        </w:trPr>
        <w:tc>
          <w:tcPr>
            <w:tcW w:w="3235" w:type="dxa"/>
          </w:tcPr>
          <w:p w14:paraId="51948339" w14:textId="39768F1C" w:rsidR="00C045C1" w:rsidRDefault="00C045C1" w:rsidP="00C045C1">
            <w:pPr>
              <w:pStyle w:val="TableText"/>
            </w:pPr>
            <w:r>
              <w:t>Unit issued, testing problem</w:t>
            </w:r>
          </w:p>
        </w:tc>
        <w:tc>
          <w:tcPr>
            <w:tcW w:w="1710" w:type="dxa"/>
          </w:tcPr>
          <w:p w14:paraId="497B13AC" w14:textId="77777777" w:rsidR="00C045C1" w:rsidRDefault="00C045C1" w:rsidP="00C045C1">
            <w:pPr>
              <w:pStyle w:val="TableText"/>
            </w:pPr>
            <w:r>
              <w:rPr>
                <w:rFonts w:eastAsia="Symbol"/>
              </w:rPr>
              <w:t>All</w:t>
            </w:r>
          </w:p>
        </w:tc>
        <w:tc>
          <w:tcPr>
            <w:tcW w:w="2520" w:type="dxa"/>
          </w:tcPr>
          <w:p w14:paraId="11AE91E4" w14:textId="77777777" w:rsidR="00C045C1" w:rsidRDefault="00C045C1" w:rsidP="00C045C1">
            <w:pPr>
              <w:pStyle w:val="TableText"/>
            </w:pPr>
            <w:r>
              <w:t>Patient testing, unit antigen typing</w:t>
            </w:r>
          </w:p>
        </w:tc>
        <w:tc>
          <w:tcPr>
            <w:tcW w:w="1417" w:type="dxa"/>
          </w:tcPr>
          <w:p w14:paraId="711F9A96" w14:textId="77777777" w:rsidR="00C045C1" w:rsidRDefault="00C045C1" w:rsidP="00C045C1">
            <w:pPr>
              <w:pStyle w:val="TableText"/>
              <w:rPr>
                <w:rFonts w:eastAsia="Symbol"/>
              </w:rPr>
            </w:pPr>
            <w:r>
              <w:t>No</w:t>
            </w:r>
          </w:p>
        </w:tc>
        <w:tc>
          <w:tcPr>
            <w:tcW w:w="1530" w:type="dxa"/>
          </w:tcPr>
          <w:p w14:paraId="647A66A0" w14:textId="77777777" w:rsidR="00C045C1" w:rsidRDefault="00C045C1" w:rsidP="00C045C1">
            <w:pPr>
              <w:pStyle w:val="TableText"/>
              <w:rPr>
                <w:rFonts w:eastAsia="Symbol"/>
              </w:rPr>
            </w:pPr>
            <w:r>
              <w:rPr>
                <w:rFonts w:eastAsia="Symbol"/>
              </w:rPr>
              <w:t>Yes</w:t>
            </w:r>
          </w:p>
        </w:tc>
      </w:tr>
      <w:tr w:rsidR="00C045C1" w14:paraId="70BCAF6A" w14:textId="77777777" w:rsidTr="006F58C9">
        <w:trPr>
          <w:cantSplit/>
        </w:trPr>
        <w:tc>
          <w:tcPr>
            <w:tcW w:w="3235" w:type="dxa"/>
          </w:tcPr>
          <w:p w14:paraId="4ABF8D3B" w14:textId="77777777" w:rsidR="00C045C1" w:rsidRDefault="00C045C1" w:rsidP="00C045C1">
            <w:pPr>
              <w:pStyle w:val="TableText"/>
            </w:pPr>
            <w:r>
              <w:t>Unit issued on expired specimen</w:t>
            </w:r>
          </w:p>
        </w:tc>
        <w:tc>
          <w:tcPr>
            <w:tcW w:w="1710" w:type="dxa"/>
          </w:tcPr>
          <w:p w14:paraId="3199DE6F" w14:textId="77777777" w:rsidR="00C045C1" w:rsidRDefault="00C045C1" w:rsidP="00C045C1">
            <w:pPr>
              <w:pStyle w:val="TableText"/>
            </w:pPr>
            <w:r>
              <w:rPr>
                <w:u w:val="single"/>
              </w:rPr>
              <w:t>&gt;</w:t>
            </w:r>
            <w:r>
              <w:t xml:space="preserve"> Enhanced Tech</w:t>
            </w:r>
          </w:p>
        </w:tc>
        <w:tc>
          <w:tcPr>
            <w:tcW w:w="2520" w:type="dxa"/>
          </w:tcPr>
          <w:p w14:paraId="76F72588" w14:textId="77777777" w:rsidR="00C045C1" w:rsidRDefault="00C045C1" w:rsidP="00C045C1">
            <w:pPr>
              <w:pStyle w:val="TableText"/>
            </w:pPr>
            <w:r>
              <w:t>Issue Unit</w:t>
            </w:r>
          </w:p>
        </w:tc>
        <w:tc>
          <w:tcPr>
            <w:tcW w:w="1417" w:type="dxa"/>
          </w:tcPr>
          <w:p w14:paraId="0267D11D" w14:textId="77777777" w:rsidR="00C045C1" w:rsidRDefault="00C045C1" w:rsidP="00C045C1">
            <w:pPr>
              <w:pStyle w:val="TableText"/>
            </w:pPr>
            <w:r>
              <w:t>No</w:t>
            </w:r>
          </w:p>
        </w:tc>
        <w:tc>
          <w:tcPr>
            <w:tcW w:w="1530" w:type="dxa"/>
          </w:tcPr>
          <w:p w14:paraId="63CDFF01" w14:textId="77777777" w:rsidR="00C045C1" w:rsidRDefault="00C045C1" w:rsidP="00C045C1">
            <w:pPr>
              <w:pStyle w:val="TableText"/>
            </w:pPr>
            <w:r>
              <w:rPr>
                <w:rFonts w:eastAsia="Symbol"/>
              </w:rPr>
              <w:t>Yes</w:t>
            </w:r>
          </w:p>
        </w:tc>
      </w:tr>
      <w:tr w:rsidR="00C045C1" w14:paraId="5DB5CDC7" w14:textId="77777777" w:rsidTr="006F58C9">
        <w:trPr>
          <w:cantSplit/>
        </w:trPr>
        <w:tc>
          <w:tcPr>
            <w:tcW w:w="3235" w:type="dxa"/>
          </w:tcPr>
          <w:p w14:paraId="11A2757D" w14:textId="77777777" w:rsidR="00C045C1" w:rsidRDefault="00C045C1" w:rsidP="00C045C1">
            <w:pPr>
              <w:pStyle w:val="TableText"/>
            </w:pPr>
            <w:r>
              <w:t>Unit issued with unsatisfied Transfusion Requirement</w:t>
            </w:r>
          </w:p>
        </w:tc>
        <w:tc>
          <w:tcPr>
            <w:tcW w:w="1710" w:type="dxa"/>
          </w:tcPr>
          <w:p w14:paraId="2081F92E" w14:textId="77777777" w:rsidR="00C045C1" w:rsidRDefault="00C045C1" w:rsidP="00C045C1">
            <w:pPr>
              <w:pStyle w:val="TableText"/>
            </w:pPr>
            <w:r>
              <w:rPr>
                <w:u w:val="single"/>
              </w:rPr>
              <w:t>&gt;</w:t>
            </w:r>
            <w:r>
              <w:t xml:space="preserve"> Lead Tech</w:t>
            </w:r>
          </w:p>
        </w:tc>
        <w:tc>
          <w:tcPr>
            <w:tcW w:w="2520" w:type="dxa"/>
          </w:tcPr>
          <w:p w14:paraId="3541191A" w14:textId="77777777" w:rsidR="00C045C1" w:rsidRDefault="00C045C1" w:rsidP="00C045C1">
            <w:pPr>
              <w:pStyle w:val="TableText"/>
            </w:pPr>
            <w:r>
              <w:t>Issue Unit</w:t>
            </w:r>
          </w:p>
        </w:tc>
        <w:tc>
          <w:tcPr>
            <w:tcW w:w="1417" w:type="dxa"/>
          </w:tcPr>
          <w:p w14:paraId="1D6CC78D" w14:textId="77777777" w:rsidR="00C045C1" w:rsidRDefault="00C045C1" w:rsidP="00C045C1">
            <w:pPr>
              <w:pStyle w:val="TableText"/>
            </w:pPr>
            <w:r>
              <w:t>No</w:t>
            </w:r>
          </w:p>
        </w:tc>
        <w:tc>
          <w:tcPr>
            <w:tcW w:w="1530" w:type="dxa"/>
          </w:tcPr>
          <w:p w14:paraId="71301C2D" w14:textId="77777777" w:rsidR="00C045C1" w:rsidRDefault="00C045C1" w:rsidP="00C045C1">
            <w:pPr>
              <w:pStyle w:val="TableText"/>
            </w:pPr>
            <w:r>
              <w:rPr>
                <w:rFonts w:eastAsia="Symbol"/>
              </w:rPr>
              <w:t>Yes</w:t>
            </w:r>
          </w:p>
        </w:tc>
      </w:tr>
      <w:tr w:rsidR="00C045C1" w14:paraId="01B0879D" w14:textId="77777777" w:rsidTr="006F58C9">
        <w:trPr>
          <w:cantSplit/>
        </w:trPr>
        <w:tc>
          <w:tcPr>
            <w:tcW w:w="3235" w:type="dxa"/>
          </w:tcPr>
          <w:p w14:paraId="22A426A2" w14:textId="77777777" w:rsidR="00C045C1" w:rsidRDefault="00C045C1" w:rsidP="00C045C1">
            <w:pPr>
              <w:pStyle w:val="TableText"/>
              <w:rPr>
                <w:rFonts w:eastAsia="Symbol"/>
              </w:rPr>
            </w:pPr>
            <w:r>
              <w:t>Unit quarantined</w:t>
            </w:r>
          </w:p>
        </w:tc>
        <w:tc>
          <w:tcPr>
            <w:tcW w:w="1710" w:type="dxa"/>
          </w:tcPr>
          <w:p w14:paraId="0E6AD871" w14:textId="77777777" w:rsidR="00C045C1" w:rsidRDefault="00C045C1" w:rsidP="00C045C1">
            <w:pPr>
              <w:pStyle w:val="TableText"/>
              <w:rPr>
                <w:rFonts w:eastAsia="Symbol"/>
              </w:rPr>
            </w:pPr>
            <w:r>
              <w:rPr>
                <w:rFonts w:eastAsia="Symbol"/>
              </w:rPr>
              <w:t>All</w:t>
            </w:r>
          </w:p>
        </w:tc>
        <w:tc>
          <w:tcPr>
            <w:tcW w:w="2520" w:type="dxa"/>
          </w:tcPr>
          <w:p w14:paraId="33FE1462" w14:textId="77777777" w:rsidR="00C045C1" w:rsidRDefault="00C045C1" w:rsidP="00C045C1">
            <w:pPr>
              <w:pStyle w:val="TableText"/>
              <w:rPr>
                <w:rFonts w:eastAsia="Symbol"/>
              </w:rPr>
            </w:pPr>
            <w:r>
              <w:rPr>
                <w:rFonts w:eastAsia="Symbol"/>
              </w:rPr>
              <w:t>Quarantine</w:t>
            </w:r>
          </w:p>
        </w:tc>
        <w:tc>
          <w:tcPr>
            <w:tcW w:w="1417" w:type="dxa"/>
          </w:tcPr>
          <w:p w14:paraId="3560C952" w14:textId="77777777" w:rsidR="00C045C1" w:rsidRDefault="00C045C1" w:rsidP="00C045C1">
            <w:pPr>
              <w:pStyle w:val="TableText"/>
              <w:rPr>
                <w:rFonts w:eastAsia="Symbol"/>
              </w:rPr>
            </w:pPr>
            <w:r>
              <w:t>Yes</w:t>
            </w:r>
          </w:p>
        </w:tc>
        <w:tc>
          <w:tcPr>
            <w:tcW w:w="1530" w:type="dxa"/>
          </w:tcPr>
          <w:p w14:paraId="5D1820D6" w14:textId="77777777" w:rsidR="00C045C1" w:rsidRDefault="00C045C1" w:rsidP="00C045C1">
            <w:pPr>
              <w:pStyle w:val="TableText"/>
              <w:rPr>
                <w:rFonts w:eastAsia="Symbol"/>
              </w:rPr>
            </w:pPr>
            <w:r>
              <w:t>No</w:t>
            </w:r>
          </w:p>
        </w:tc>
      </w:tr>
      <w:tr w:rsidR="00C045C1" w14:paraId="04677011" w14:textId="77777777" w:rsidTr="006F58C9">
        <w:trPr>
          <w:cantSplit/>
        </w:trPr>
        <w:tc>
          <w:tcPr>
            <w:tcW w:w="3235" w:type="dxa"/>
          </w:tcPr>
          <w:p w14:paraId="6C4F4BA7" w14:textId="77777777" w:rsidR="00C045C1" w:rsidRDefault="00C045C1" w:rsidP="00C045C1">
            <w:pPr>
              <w:pStyle w:val="TableText"/>
              <w:rPr>
                <w:rFonts w:eastAsia="Symbol"/>
              </w:rPr>
            </w:pPr>
            <w:r>
              <w:t>Unit released from quarantine</w:t>
            </w:r>
          </w:p>
        </w:tc>
        <w:tc>
          <w:tcPr>
            <w:tcW w:w="1710" w:type="dxa"/>
          </w:tcPr>
          <w:p w14:paraId="391639A9" w14:textId="77777777" w:rsidR="00C045C1" w:rsidRDefault="00C045C1" w:rsidP="00C045C1">
            <w:pPr>
              <w:pStyle w:val="TableText"/>
              <w:rPr>
                <w:rFonts w:eastAsia="Symbol"/>
              </w:rPr>
            </w:pPr>
            <w:r>
              <w:rPr>
                <w:u w:val="single"/>
              </w:rPr>
              <w:t>&gt;</w:t>
            </w:r>
            <w:r>
              <w:t xml:space="preserve"> Enhanced Tech</w:t>
            </w:r>
          </w:p>
        </w:tc>
        <w:tc>
          <w:tcPr>
            <w:tcW w:w="2520" w:type="dxa"/>
          </w:tcPr>
          <w:p w14:paraId="24AED9D8" w14:textId="77777777" w:rsidR="00C045C1" w:rsidRDefault="00C045C1" w:rsidP="00C045C1">
            <w:pPr>
              <w:pStyle w:val="TableText"/>
              <w:rPr>
                <w:rFonts w:eastAsia="Symbol"/>
              </w:rPr>
            </w:pPr>
            <w:r>
              <w:rPr>
                <w:rFonts w:eastAsia="Symbol"/>
              </w:rPr>
              <w:t>Release Unit from Quarantine</w:t>
            </w:r>
          </w:p>
        </w:tc>
        <w:tc>
          <w:tcPr>
            <w:tcW w:w="1417" w:type="dxa"/>
          </w:tcPr>
          <w:p w14:paraId="62E7F7F4" w14:textId="77777777" w:rsidR="00C045C1" w:rsidRDefault="00C045C1" w:rsidP="00C045C1">
            <w:pPr>
              <w:pStyle w:val="TableText"/>
              <w:rPr>
                <w:rFonts w:eastAsia="Symbol"/>
              </w:rPr>
            </w:pPr>
            <w:r>
              <w:t>Yes</w:t>
            </w:r>
          </w:p>
        </w:tc>
        <w:tc>
          <w:tcPr>
            <w:tcW w:w="1530" w:type="dxa"/>
          </w:tcPr>
          <w:p w14:paraId="7820263A" w14:textId="77777777" w:rsidR="00C045C1" w:rsidRDefault="00C045C1" w:rsidP="00C045C1">
            <w:pPr>
              <w:pStyle w:val="TableText"/>
              <w:rPr>
                <w:rFonts w:eastAsia="Symbol"/>
              </w:rPr>
            </w:pPr>
            <w:r>
              <w:t>No</w:t>
            </w:r>
          </w:p>
        </w:tc>
      </w:tr>
      <w:tr w:rsidR="00C045C1" w14:paraId="7F40F6B9" w14:textId="77777777" w:rsidTr="006F58C9">
        <w:trPr>
          <w:cantSplit/>
        </w:trPr>
        <w:tc>
          <w:tcPr>
            <w:tcW w:w="3235" w:type="dxa"/>
            <w:vMerge w:val="restart"/>
          </w:tcPr>
          <w:p w14:paraId="0F42EC5C" w14:textId="77777777" w:rsidR="00C045C1" w:rsidRDefault="00C045C1" w:rsidP="006F58C9">
            <w:pPr>
              <w:pStyle w:val="TableText"/>
              <w:keepNext/>
            </w:pPr>
            <w:r>
              <w:t>Unit unsatisfactory upon return from issue</w:t>
            </w:r>
          </w:p>
        </w:tc>
        <w:tc>
          <w:tcPr>
            <w:tcW w:w="1710" w:type="dxa"/>
            <w:vMerge w:val="restart"/>
          </w:tcPr>
          <w:p w14:paraId="15723108" w14:textId="77777777" w:rsidR="00C045C1" w:rsidRDefault="00C045C1" w:rsidP="006F58C9">
            <w:pPr>
              <w:pStyle w:val="TableText"/>
              <w:keepNext/>
            </w:pPr>
            <w:r>
              <w:rPr>
                <w:rFonts w:eastAsia="Symbol"/>
              </w:rPr>
              <w:t>All</w:t>
            </w:r>
          </w:p>
        </w:tc>
        <w:tc>
          <w:tcPr>
            <w:tcW w:w="2520" w:type="dxa"/>
            <w:vMerge w:val="restart"/>
          </w:tcPr>
          <w:p w14:paraId="58CFCECE" w14:textId="77777777" w:rsidR="00C045C1" w:rsidRDefault="00C045C1" w:rsidP="006F58C9">
            <w:pPr>
              <w:pStyle w:val="TableText"/>
              <w:keepNext/>
            </w:pPr>
            <w:r>
              <w:t>Return Issued Units to Blood Bank</w:t>
            </w:r>
          </w:p>
        </w:tc>
        <w:tc>
          <w:tcPr>
            <w:tcW w:w="1417" w:type="dxa"/>
          </w:tcPr>
          <w:p w14:paraId="373D98F1" w14:textId="77777777" w:rsidR="00C045C1" w:rsidRDefault="00C045C1" w:rsidP="006F58C9">
            <w:pPr>
              <w:pStyle w:val="TableText"/>
              <w:keepNext/>
            </w:pPr>
            <w:r>
              <w:rPr>
                <w:rFonts w:eastAsia="Symbol"/>
              </w:rPr>
              <w:t>Yes</w:t>
            </w:r>
            <w:r w:rsidR="00E31FC6">
              <w:rPr>
                <w:rFonts w:eastAsia="Symbol"/>
              </w:rPr>
              <w:t xml:space="preserve"> </w:t>
            </w:r>
            <w:r>
              <w:rPr>
                <w:rFonts w:eastAsia="Symbol"/>
                <w:vanish/>
                <w:szCs w:val="18"/>
              </w:rPr>
              <w:t xml:space="preserve"> BR_59.08 </w:t>
            </w:r>
            <w:r w:rsidRPr="00C4235F">
              <w:rPr>
                <w:rFonts w:eastAsia="Symbol"/>
                <w:szCs w:val="18"/>
              </w:rPr>
              <w:t>(quarantined)</w:t>
            </w:r>
          </w:p>
        </w:tc>
        <w:tc>
          <w:tcPr>
            <w:tcW w:w="1530" w:type="dxa"/>
          </w:tcPr>
          <w:p w14:paraId="512122CD" w14:textId="77777777" w:rsidR="00C045C1" w:rsidRDefault="00C045C1" w:rsidP="006F58C9">
            <w:pPr>
              <w:pStyle w:val="TableText"/>
              <w:keepNext/>
            </w:pPr>
            <w:r>
              <w:t>No</w:t>
            </w:r>
          </w:p>
        </w:tc>
      </w:tr>
      <w:tr w:rsidR="00C045C1" w14:paraId="2B3302FE" w14:textId="77777777" w:rsidTr="006F58C9">
        <w:trPr>
          <w:cantSplit/>
        </w:trPr>
        <w:tc>
          <w:tcPr>
            <w:tcW w:w="3235" w:type="dxa"/>
            <w:vMerge/>
          </w:tcPr>
          <w:p w14:paraId="7A4618C1" w14:textId="77777777" w:rsidR="00C045C1" w:rsidRDefault="00C045C1" w:rsidP="00C045C1">
            <w:pPr>
              <w:pStyle w:val="TableText"/>
            </w:pPr>
          </w:p>
        </w:tc>
        <w:tc>
          <w:tcPr>
            <w:tcW w:w="1710" w:type="dxa"/>
            <w:vMerge/>
          </w:tcPr>
          <w:p w14:paraId="6E30A690" w14:textId="77777777" w:rsidR="00C045C1" w:rsidRDefault="00C045C1" w:rsidP="00C045C1">
            <w:pPr>
              <w:pStyle w:val="TableText"/>
            </w:pPr>
          </w:p>
        </w:tc>
        <w:tc>
          <w:tcPr>
            <w:tcW w:w="2520" w:type="dxa"/>
            <w:vMerge/>
          </w:tcPr>
          <w:p w14:paraId="5B72C54B" w14:textId="77777777" w:rsidR="00C045C1" w:rsidRDefault="00C045C1" w:rsidP="00C045C1">
            <w:pPr>
              <w:pStyle w:val="TableText"/>
            </w:pPr>
          </w:p>
        </w:tc>
        <w:tc>
          <w:tcPr>
            <w:tcW w:w="1417" w:type="dxa"/>
          </w:tcPr>
          <w:p w14:paraId="5D07A623" w14:textId="77777777" w:rsidR="00C045C1" w:rsidRDefault="00C045C1" w:rsidP="00C045C1">
            <w:pPr>
              <w:pStyle w:val="TableText"/>
              <w:rPr>
                <w:rFonts w:eastAsia="Symbol"/>
              </w:rPr>
            </w:pPr>
            <w:r>
              <w:rPr>
                <w:rFonts w:eastAsia="Symbol"/>
              </w:rPr>
              <w:t>Yes</w:t>
            </w:r>
            <w:r w:rsidR="00E31FC6">
              <w:rPr>
                <w:rFonts w:eastAsia="Symbol"/>
              </w:rPr>
              <w:t xml:space="preserve"> </w:t>
            </w:r>
            <w:r>
              <w:rPr>
                <w:rFonts w:eastAsia="Symbol"/>
                <w:vanish/>
                <w:szCs w:val="18"/>
              </w:rPr>
              <w:t xml:space="preserve"> BR_59.09 </w:t>
            </w:r>
            <w:r w:rsidRPr="00C4235F">
              <w:rPr>
                <w:rFonts w:eastAsia="Symbol"/>
                <w:szCs w:val="18"/>
              </w:rPr>
              <w:t>(quarantined with patient assignment)</w:t>
            </w:r>
          </w:p>
        </w:tc>
        <w:tc>
          <w:tcPr>
            <w:tcW w:w="1530" w:type="dxa"/>
          </w:tcPr>
          <w:p w14:paraId="097D6908" w14:textId="77777777" w:rsidR="00C045C1" w:rsidRDefault="00C045C1" w:rsidP="00C045C1">
            <w:pPr>
              <w:pStyle w:val="TableText"/>
            </w:pPr>
            <w:r>
              <w:rPr>
                <w:rFonts w:eastAsia="Symbol"/>
              </w:rPr>
              <w:t>Yes</w:t>
            </w:r>
          </w:p>
        </w:tc>
      </w:tr>
      <w:tr w:rsidR="001A049C" w14:paraId="05E4B385" w14:textId="77777777" w:rsidTr="006F58C9">
        <w:trPr>
          <w:cantSplit/>
        </w:trPr>
        <w:tc>
          <w:tcPr>
            <w:tcW w:w="3235" w:type="dxa"/>
            <w:vAlign w:val="bottom"/>
          </w:tcPr>
          <w:p w14:paraId="5F068EC2" w14:textId="77777777" w:rsidR="001A049C" w:rsidRDefault="001A049C" w:rsidP="009C25B8">
            <w:pPr>
              <w:pStyle w:val="TableText"/>
            </w:pPr>
            <w:r w:rsidRPr="001C1687">
              <w:rPr>
                <w:rFonts w:cs="Arial"/>
              </w:rPr>
              <w:t>Unit out of controlled storage found acceptable</w:t>
            </w:r>
          </w:p>
        </w:tc>
        <w:tc>
          <w:tcPr>
            <w:tcW w:w="1710" w:type="dxa"/>
            <w:vAlign w:val="bottom"/>
          </w:tcPr>
          <w:p w14:paraId="199F8311" w14:textId="77777777" w:rsidR="001A049C" w:rsidRDefault="001A049C" w:rsidP="009C25B8">
            <w:pPr>
              <w:pStyle w:val="TableText"/>
            </w:pPr>
            <w:r>
              <w:t>All</w:t>
            </w:r>
          </w:p>
        </w:tc>
        <w:tc>
          <w:tcPr>
            <w:tcW w:w="2520" w:type="dxa"/>
          </w:tcPr>
          <w:p w14:paraId="1773EDCF" w14:textId="77777777" w:rsidR="001A049C" w:rsidRDefault="001A049C" w:rsidP="009C25B8">
            <w:pPr>
              <w:pStyle w:val="TableText"/>
            </w:pPr>
            <w:r>
              <w:t>Return Issued Units to Blood Bank</w:t>
            </w:r>
          </w:p>
        </w:tc>
        <w:tc>
          <w:tcPr>
            <w:tcW w:w="1417" w:type="dxa"/>
            <w:vAlign w:val="bottom"/>
          </w:tcPr>
          <w:p w14:paraId="5576CE61" w14:textId="77777777" w:rsidR="001A049C" w:rsidRDefault="001A049C" w:rsidP="009C25B8">
            <w:pPr>
              <w:pStyle w:val="TableText"/>
              <w:rPr>
                <w:rFonts w:eastAsia="Arial Unicode MS"/>
              </w:rPr>
            </w:pPr>
            <w:r>
              <w:rPr>
                <w:rFonts w:eastAsia="Arial Unicode MS"/>
              </w:rPr>
              <w:t>Yes</w:t>
            </w:r>
          </w:p>
        </w:tc>
        <w:tc>
          <w:tcPr>
            <w:tcW w:w="1530" w:type="dxa"/>
            <w:vAlign w:val="bottom"/>
          </w:tcPr>
          <w:p w14:paraId="49D83136" w14:textId="77777777" w:rsidR="001A049C" w:rsidRPr="00FD55BB" w:rsidRDefault="001A049C" w:rsidP="009C25B8">
            <w:pPr>
              <w:pStyle w:val="TableText"/>
            </w:pPr>
            <w:r>
              <w:t>No</w:t>
            </w:r>
          </w:p>
        </w:tc>
      </w:tr>
    </w:tbl>
    <w:p w14:paraId="31C7B30F" w14:textId="50AC0708" w:rsidR="002A21AE" w:rsidRDefault="002A21AE">
      <w:pPr>
        <w:pStyle w:val="Heading3"/>
      </w:pPr>
      <w:r>
        <w:br w:type="page"/>
      </w:r>
      <w:bookmarkStart w:id="629" w:name="_Toc163645007"/>
      <w:r w:rsidR="000563F7">
        <w:lastRenderedPageBreak/>
        <w:t>Product Modification Targets</w:t>
      </w:r>
      <w:bookmarkEnd w:id="629"/>
    </w:p>
    <w:p w14:paraId="552D13B3" w14:textId="5FF9FBA0" w:rsidR="002A21AE" w:rsidRDefault="00423A7F" w:rsidP="00FA7E65">
      <w:pPr>
        <w:pStyle w:val="BodyText"/>
        <w:rPr>
          <w:color w:val="800080"/>
        </w:rPr>
      </w:pPr>
      <w:r>
        <w:t xml:space="preserve">If a product modification does not find a target product, see </w:t>
      </w:r>
      <w:r>
        <w:rPr>
          <w:i/>
          <w:iCs/>
        </w:rPr>
        <w:t xml:space="preserve">FAQ </w:t>
      </w:r>
      <w:r w:rsidR="00C51CD6">
        <w:rPr>
          <w:i/>
          <w:iCs/>
        </w:rPr>
        <w:t xml:space="preserve">Modification </w:t>
      </w:r>
      <w:r>
        <w:rPr>
          <w:i/>
          <w:iCs/>
        </w:rPr>
        <w:t>Target Not Available</w:t>
      </w:r>
      <w:r w:rsidR="002A21AE">
        <w:t>.</w:t>
      </w:r>
    </w:p>
    <w:p w14:paraId="3D599E48" w14:textId="77777777" w:rsidR="002A21AE" w:rsidRDefault="002A21AE">
      <w:pPr>
        <w:pStyle w:val="Heading4"/>
      </w:pPr>
      <w:r>
        <w:t>Calculation of the Expiration Date</w:t>
      </w:r>
    </w:p>
    <w:p w14:paraId="321A0B58" w14:textId="77777777" w:rsidR="002A21AE" w:rsidRDefault="002A21AE" w:rsidP="00FA7E65">
      <w:pPr>
        <w:pStyle w:val="BodyText"/>
      </w:pPr>
      <w:r>
        <w:t xml:space="preserve">VBECS calculates the expiration date of the new unit based on system rules specific to the blood product and modification types, and on whether the system is open or closed. The user may accept or edit this expiration date. </w:t>
      </w:r>
    </w:p>
    <w:p w14:paraId="4678DF39" w14:textId="77777777" w:rsidR="002A21AE" w:rsidRPr="00D327A3" w:rsidRDefault="002A21AE" w:rsidP="00D327A3">
      <w:pPr>
        <w:pStyle w:val="Heading3"/>
      </w:pPr>
      <w:bookmarkStart w:id="630" w:name="_Toc91323817"/>
      <w:bookmarkStart w:id="631" w:name="_Toc40061745"/>
      <w:bookmarkStart w:id="632" w:name="_Toc91323752"/>
      <w:bookmarkEnd w:id="581"/>
      <w:r w:rsidRPr="00D327A3">
        <w:rPr>
          <w:rFonts w:ascii="Arial Bold" w:hAnsi="Arial Bold"/>
          <w:vanish/>
        </w:rPr>
        <w:lastRenderedPageBreak/>
        <w:t xml:space="preserve">TT_92.01 </w:t>
      </w:r>
      <w:bookmarkStart w:id="633" w:name="_Toc163645008"/>
      <w:r w:rsidRPr="00D327A3">
        <w:t>Order Status Flowchart</w:t>
      </w:r>
      <w:bookmarkEnd w:id="630"/>
      <w:bookmarkEnd w:id="633"/>
      <w:r w:rsidRPr="00D327A3">
        <w:fldChar w:fldCharType="begin"/>
      </w:r>
      <w:r w:rsidRPr="00D327A3">
        <w:instrText xml:space="preserve"> XE </w:instrText>
      </w:r>
      <w:r w:rsidR="00FA7E65" w:rsidRPr="00D327A3">
        <w:instrText>“</w:instrText>
      </w:r>
      <w:r w:rsidRPr="00D327A3">
        <w:instrText>Figures:Order Status Flowchart</w:instrText>
      </w:r>
      <w:r w:rsidR="00FA7E65" w:rsidRPr="00D327A3">
        <w:instrText>”</w:instrText>
      </w:r>
      <w:r w:rsidRPr="00D327A3">
        <w:instrText xml:space="preserve"> </w:instrText>
      </w:r>
      <w:r w:rsidRPr="00D327A3">
        <w:fldChar w:fldCharType="end"/>
      </w:r>
    </w:p>
    <w:p w14:paraId="26186201" w14:textId="29C8F738" w:rsidR="002A21AE" w:rsidRDefault="002A21AE">
      <w:pPr>
        <w:pStyle w:val="Caption"/>
      </w:pPr>
      <w:bookmarkStart w:id="634" w:name="_Ref126728889"/>
      <w:bookmarkStart w:id="635" w:name="_Toc97523642"/>
      <w:bookmarkStart w:id="636" w:name="_Toc97527612"/>
      <w:bookmarkStart w:id="637" w:name="_Ref126729528"/>
      <w:bookmarkStart w:id="638" w:name="_Ref126729659"/>
      <w:bookmarkStart w:id="639" w:name="_Ref126729757"/>
      <w:bookmarkStart w:id="640" w:name="_Ref126729901"/>
      <w:bookmarkStart w:id="641" w:name="_Ref127061358"/>
      <w:bookmarkStart w:id="642" w:name="_Ref12706136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118</w:t>
      </w:r>
      <w:r w:rsidR="004E20BD">
        <w:rPr>
          <w:noProof/>
        </w:rPr>
        <w:fldChar w:fldCharType="end"/>
      </w:r>
      <w:bookmarkEnd w:id="634"/>
      <w:r>
        <w:t xml:space="preserve">: </w:t>
      </w:r>
      <w:r>
        <w:rPr>
          <w:vanish/>
        </w:rPr>
        <w:t xml:space="preserve">TT_92.01 </w:t>
      </w:r>
      <w:r w:rsidRPr="005B6A9C">
        <w:rPr>
          <w:rStyle w:val="Heading3Char"/>
          <w:rFonts w:ascii="Times New Roman" w:hAnsi="Times New Roman" w:cs="Times New Roman"/>
          <w:b/>
          <w:sz w:val="22"/>
        </w:rPr>
        <w:t>Order</w:t>
      </w:r>
      <w:r>
        <w:t xml:space="preserve"> Status Flowchart</w:t>
      </w:r>
      <w:bookmarkEnd w:id="635"/>
      <w:bookmarkEnd w:id="636"/>
      <w:bookmarkEnd w:id="637"/>
      <w:bookmarkEnd w:id="638"/>
      <w:bookmarkEnd w:id="639"/>
      <w:bookmarkEnd w:id="640"/>
      <w:bookmarkEnd w:id="641"/>
      <w:bookmarkEnd w:id="642"/>
    </w:p>
    <w:p w14:paraId="1074811B" w14:textId="3CD8C553" w:rsidR="009C72EC" w:rsidRDefault="00627964" w:rsidP="004D2640">
      <w:pPr>
        <w:pStyle w:val="BodyText"/>
        <w:jc w:val="center"/>
      </w:pPr>
      <w:r>
        <w:object w:dxaOrig="9770" w:dyaOrig="16915" w14:anchorId="7272D2D2">
          <v:shape id="_x0000_i1030" type="#_x0000_t75" alt="Order Status Flowchart" style="width:368.25pt;height:555pt" o:ole="">
            <v:imagedata r:id="rId209" o:title=""/>
          </v:shape>
          <o:OLEObject Type="Embed" ProgID="Visio.Drawing.11" ShapeID="_x0000_i1030" DrawAspect="Content" ObjectID="_1777278635" r:id="rId210"/>
        </w:object>
      </w:r>
    </w:p>
    <w:p w14:paraId="608999E3" w14:textId="67F74A53" w:rsidR="002A21AE" w:rsidRDefault="002A21AE" w:rsidP="009C72EC">
      <w:pPr>
        <w:pStyle w:val="Heading3"/>
      </w:pPr>
      <w:r>
        <w:rPr>
          <w:rFonts w:ascii="Geneva" w:hAnsi="Geneva"/>
          <w:vanish/>
        </w:rPr>
        <w:lastRenderedPageBreak/>
        <w:t xml:space="preserve">TT_3.05 </w:t>
      </w:r>
      <w:bookmarkStart w:id="643" w:name="_Toc163645009"/>
      <w:r>
        <w:t>Rules for</w:t>
      </w:r>
      <w:bookmarkEnd w:id="631"/>
      <w:r>
        <w:t xml:space="preserve"> Electronic and Serologic</w:t>
      </w:r>
      <w:bookmarkEnd w:id="632"/>
      <w:r>
        <w:t xml:space="preserve"> Crossmatch</w:t>
      </w:r>
      <w:bookmarkEnd w:id="643"/>
      <w:r>
        <w:fldChar w:fldCharType="begin"/>
      </w:r>
      <w:r>
        <w:instrText xml:space="preserve"> XE </w:instrText>
      </w:r>
      <w:r w:rsidR="00FA7E65">
        <w:instrText>“</w:instrText>
      </w:r>
      <w:r>
        <w:instrText>Tables:Rules for Electronic and Serologic Crossmatch</w:instrText>
      </w:r>
      <w:r w:rsidR="00FA7E65">
        <w:instrText>”</w:instrText>
      </w:r>
      <w:r>
        <w:instrText xml:space="preserve"> </w:instrText>
      </w:r>
      <w:r>
        <w:fldChar w:fldCharType="end"/>
      </w:r>
    </w:p>
    <w:p w14:paraId="19E17255" w14:textId="77777777" w:rsidR="007A1C09" w:rsidRDefault="007A1C09" w:rsidP="00FA7E65">
      <w:pPr>
        <w:pStyle w:val="BodyText"/>
      </w:pPr>
      <w:r>
        <w:t xml:space="preserve">Component Classes with greater than (&gt;) 2 mL RBC contamination require crossmatch evaluation, serologic or electronic (when enabled).  For component classes in the component class “OTHER”, a reflex crossmatch test has been ordered per the technologist’s evaluation of the </w:t>
      </w:r>
      <w:r w:rsidR="00F22231">
        <w:t>unit itself. E</w:t>
      </w:r>
      <w:r>
        <w:t xml:space="preserve">ach collection is different and the tech must evaluate the red blood cell content of the unit at the time of selection. </w:t>
      </w:r>
    </w:p>
    <w:p w14:paraId="78EBEAB0" w14:textId="7DCCFF60" w:rsidR="00F22231" w:rsidRDefault="001A53C8" w:rsidP="00FA7E65">
      <w:pPr>
        <w:pStyle w:val="BodyText"/>
      </w:pPr>
      <w:r>
        <w:t>When electronic crossmatch is enabled at a division and units that require crossmatch (Component Classes “WHOLE BLOOD”, “RED BLOOD CELLS”, or a reflex crossmatch test has been ordered) are selected, VBECS performs a comprehensive set of data validation, which does not include inactivated patient or units tests. This patient and unit data validation is to ensure that the combination of patient and blood unit testing allows the unit to be eligible for electronic crossmatch. To assist the user, when the combination does not allow for electronic crossmatch</w:t>
      </w:r>
      <w:r w:rsidR="00F22231">
        <w:t>, a warning message is displayed with a short explanation as to why the electronic crossmatch will not be applied.</w:t>
      </w:r>
    </w:p>
    <w:p w14:paraId="0D974A8A" w14:textId="4CDFFC89" w:rsidR="002A21AE" w:rsidRDefault="00EE455E" w:rsidP="00FA7E65">
      <w:pPr>
        <w:pStyle w:val="BodyText"/>
      </w:pPr>
      <w:r>
        <w:t xml:space="preserve">Table </w:t>
      </w:r>
      <w:r>
        <w:rPr>
          <w:noProof/>
        </w:rPr>
        <w:t>22</w:t>
      </w:r>
      <w:r w:rsidR="00440DF9">
        <w:t xml:space="preserve"> </w:t>
      </w:r>
      <w:r w:rsidR="002A21AE">
        <w:t xml:space="preserve">provides the mapping for the actual parameters verified and associated error messages. All parameters must comply in order for the unit to be eligible for electronic crossmatch: there are no exceptions or overrides. The parameters are checked in the order listed and once a parameter fails, VBECS displays the appropriate error message, no further checking occurs, and the selected unit must have serologic crossmatch performed. </w:t>
      </w:r>
      <w:r w:rsidR="00203682">
        <w:t>(</w:t>
      </w:r>
      <w:r w:rsidR="00CA745C">
        <w:t xml:space="preserve">See </w:t>
      </w:r>
      <w:r w:rsidR="00CA745C" w:rsidRPr="00C51CD6">
        <w:rPr>
          <w:i/>
          <w:iCs/>
        </w:rPr>
        <w:t>FAQ VBECS Computer Crossmatch Decision Tree</w:t>
      </w:r>
      <w:r w:rsidR="00CA745C">
        <w:t xml:space="preserve"> for additional information.</w:t>
      </w:r>
      <w:r w:rsidR="00203682">
        <w:t>)</w:t>
      </w:r>
    </w:p>
    <w:p w14:paraId="0013597E" w14:textId="77777777" w:rsidR="00D96746" w:rsidRDefault="00057948" w:rsidP="00D96746">
      <w:pPr>
        <w:pStyle w:val="Caution"/>
      </w:pPr>
      <w:r>
        <w:rPr>
          <w:noProof/>
        </w:rPr>
        <w:drawing>
          <wp:inline distT="0" distB="0" distL="0" distR="0" wp14:anchorId="3A0EAF9C" wp14:editId="1B987EBC">
            <wp:extent cx="267970" cy="221615"/>
            <wp:effectExtent l="0" t="0" r="0" b="6985"/>
            <wp:docPr id="268" name="Picture 268" descr="Caution bo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Caution box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5B60F7">
        <w:t xml:space="preserve"> </w:t>
      </w:r>
      <w:r w:rsidR="00D96746">
        <w:t xml:space="preserve">To use </w:t>
      </w:r>
      <w:r w:rsidR="007743E5">
        <w:t xml:space="preserve">the </w:t>
      </w:r>
      <w:r w:rsidR="00D96746">
        <w:t>electronic crossmatch</w:t>
      </w:r>
      <w:r w:rsidR="007743E5">
        <w:t xml:space="preserve"> function</w:t>
      </w:r>
      <w:r w:rsidR="00D96746">
        <w:t>, sites must perform a</w:t>
      </w:r>
      <w:r w:rsidR="00413CBC">
        <w:t>dditional</w:t>
      </w:r>
      <w:r w:rsidR="00D96746">
        <w:t xml:space="preserve"> validation of </w:t>
      </w:r>
      <w:r w:rsidR="00413CBC">
        <w:t>electronic crossmatch to meet regulatory requirements</w:t>
      </w:r>
      <w:r w:rsidR="00D96746">
        <w:t>.</w:t>
      </w:r>
      <w:r w:rsidR="00214959">
        <w:t xml:space="preserve"> See </w:t>
      </w:r>
      <w:r w:rsidR="00214959" w:rsidRPr="001A6C60">
        <w:t>Guidelines for Implementing the Electronic Crossmatch</w:t>
      </w:r>
      <w:r w:rsidR="00214959" w:rsidRPr="0026301E">
        <w:t xml:space="preserve"> (Bethesda, MD: American Association of Blood Banks, 200</w:t>
      </w:r>
      <w:r w:rsidR="00214959">
        <w:t>3</w:t>
      </w:r>
      <w:r w:rsidR="00214959" w:rsidRPr="0026301E">
        <w:t>).</w:t>
      </w:r>
    </w:p>
    <w:p w14:paraId="015CE396" w14:textId="2A90310A" w:rsidR="002A21AE" w:rsidRDefault="002A21AE">
      <w:pPr>
        <w:pStyle w:val="Caption"/>
      </w:pPr>
      <w:bookmarkStart w:id="644" w:name="_Ref126732439"/>
      <w:bookmarkStart w:id="645" w:name="_Ref317682164"/>
      <w:bookmarkStart w:id="646" w:name="_Toc97523643"/>
      <w:bookmarkStart w:id="647" w:name="_Toc97527613"/>
      <w:bookmarkStart w:id="648" w:name="_Ref126486028"/>
      <w:bookmarkStart w:id="649" w:name="_Ref126486167"/>
      <w:bookmarkStart w:id="650" w:name="_Ref126486265"/>
      <w:bookmarkStart w:id="651" w:name="_Ref126504234"/>
      <w:bookmarkStart w:id="652" w:name="_Ref126504434"/>
      <w:bookmarkStart w:id="653" w:name="_Ref31776259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22</w:t>
      </w:r>
      <w:r w:rsidR="004E20BD">
        <w:rPr>
          <w:noProof/>
        </w:rPr>
        <w:fldChar w:fldCharType="end"/>
      </w:r>
      <w:bookmarkEnd w:id="644"/>
      <w:bookmarkEnd w:id="645"/>
      <w:r>
        <w:t xml:space="preserve">: </w:t>
      </w:r>
      <w:r>
        <w:rPr>
          <w:vanish/>
        </w:rPr>
        <w:t xml:space="preserve">TT_3.05 </w:t>
      </w:r>
      <w:r>
        <w:t>Rules for Electronic and Serologic Crossmatch</w:t>
      </w:r>
      <w:bookmarkEnd w:id="646"/>
      <w:bookmarkEnd w:id="647"/>
      <w:bookmarkEnd w:id="648"/>
      <w:bookmarkEnd w:id="649"/>
      <w:bookmarkEnd w:id="650"/>
      <w:bookmarkEnd w:id="651"/>
      <w:bookmarkEnd w:id="652"/>
      <w:bookmarkEnd w:id="65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3600"/>
      </w:tblGrid>
      <w:tr w:rsidR="002A21AE" w14:paraId="6343C1C0" w14:textId="77777777">
        <w:trPr>
          <w:tblHeader/>
        </w:trPr>
        <w:tc>
          <w:tcPr>
            <w:tcW w:w="5760" w:type="dxa"/>
            <w:shd w:val="clear" w:color="auto" w:fill="B3B3B3"/>
          </w:tcPr>
          <w:p w14:paraId="6393966E" w14:textId="77777777" w:rsidR="002A21AE" w:rsidRDefault="002A21AE">
            <w:pPr>
              <w:pStyle w:val="TableText"/>
              <w:rPr>
                <w:b/>
              </w:rPr>
            </w:pPr>
            <w:r>
              <w:rPr>
                <w:b/>
              </w:rPr>
              <w:t>Parameter Checked</w:t>
            </w:r>
          </w:p>
        </w:tc>
        <w:tc>
          <w:tcPr>
            <w:tcW w:w="3600" w:type="dxa"/>
            <w:shd w:val="clear" w:color="auto" w:fill="B3B3B3"/>
          </w:tcPr>
          <w:p w14:paraId="2FFEF683" w14:textId="77777777" w:rsidR="002A21AE" w:rsidRDefault="002A21AE">
            <w:pPr>
              <w:pStyle w:val="TableText"/>
              <w:rPr>
                <w:b/>
              </w:rPr>
            </w:pPr>
            <w:r>
              <w:rPr>
                <w:b/>
              </w:rPr>
              <w:t>Error Message When Parameter Fails</w:t>
            </w:r>
          </w:p>
        </w:tc>
      </w:tr>
      <w:tr w:rsidR="002A21AE" w14:paraId="13D56AAD" w14:textId="77777777">
        <w:tc>
          <w:tcPr>
            <w:tcW w:w="5760" w:type="dxa"/>
          </w:tcPr>
          <w:p w14:paraId="396CCB80" w14:textId="77777777" w:rsidR="002A21AE" w:rsidRDefault="002A21AE">
            <w:pPr>
              <w:pStyle w:val="TableText"/>
            </w:pPr>
            <w:r>
              <w:t xml:space="preserve">Current specimen ABO/Rh and Antibody Screen testing must be complete. </w:t>
            </w:r>
          </w:p>
        </w:tc>
        <w:tc>
          <w:tcPr>
            <w:tcW w:w="3600" w:type="dxa"/>
          </w:tcPr>
          <w:p w14:paraId="1DC7C4CB" w14:textId="77777777" w:rsidR="002A21AE" w:rsidRDefault="002A21AE">
            <w:pPr>
              <w:pStyle w:val="TableText"/>
            </w:pPr>
            <w:r>
              <w:t>Patient not eligible for eXM. Current specimen not fully tested.</w:t>
            </w:r>
          </w:p>
        </w:tc>
      </w:tr>
      <w:tr w:rsidR="002A21AE" w14:paraId="2EA57355" w14:textId="77777777">
        <w:tc>
          <w:tcPr>
            <w:tcW w:w="5760" w:type="dxa"/>
          </w:tcPr>
          <w:p w14:paraId="7D6A3AE5" w14:textId="77777777" w:rsidR="002A21AE" w:rsidRDefault="002A21AE">
            <w:pPr>
              <w:pStyle w:val="TableText"/>
            </w:pPr>
            <w:r>
              <w:t>Current specimen Antibody Screen interpretation must be negative.</w:t>
            </w:r>
            <w:r w:rsidR="009A061C">
              <w:t xml:space="preserve"> VBECS checks only the last Antibody Screen entered.</w:t>
            </w:r>
          </w:p>
        </w:tc>
        <w:tc>
          <w:tcPr>
            <w:tcW w:w="3600" w:type="dxa"/>
          </w:tcPr>
          <w:p w14:paraId="6F627167" w14:textId="77777777" w:rsidR="002A21AE" w:rsidRDefault="002A21AE">
            <w:pPr>
              <w:pStyle w:val="TableText"/>
            </w:pPr>
            <w:r>
              <w:t>Patient not eligible for eXM due to positive Antibody Screen.</w:t>
            </w:r>
          </w:p>
        </w:tc>
      </w:tr>
      <w:tr w:rsidR="002A21AE" w14:paraId="09217375" w14:textId="77777777">
        <w:tc>
          <w:tcPr>
            <w:tcW w:w="5760" w:type="dxa"/>
          </w:tcPr>
          <w:p w14:paraId="1C46418C" w14:textId="77777777" w:rsidR="002A21AE" w:rsidRDefault="002A21AE">
            <w:pPr>
              <w:pStyle w:val="TableText"/>
            </w:pPr>
            <w:r>
              <w:t xml:space="preserve">Patient must have no history of previously identified antibodies, regardless of clinical significance based on system rules </w:t>
            </w:r>
            <w:r>
              <w:rPr>
                <w:vanish/>
                <w:szCs w:val="18"/>
              </w:rPr>
              <w:t>TT_23.01</w:t>
            </w:r>
            <w:r>
              <w:t>or division (or from conversion) of the antibody ID.</w:t>
            </w:r>
          </w:p>
        </w:tc>
        <w:tc>
          <w:tcPr>
            <w:tcW w:w="3600" w:type="dxa"/>
          </w:tcPr>
          <w:p w14:paraId="4E4D5E24" w14:textId="77777777" w:rsidR="002A21AE" w:rsidRDefault="002A21AE">
            <w:pPr>
              <w:pStyle w:val="TableText"/>
            </w:pPr>
            <w:r>
              <w:t>Patient not eligible for eXM due to previous antibody history.</w:t>
            </w:r>
          </w:p>
        </w:tc>
      </w:tr>
      <w:tr w:rsidR="002A21AE" w14:paraId="4C319387" w14:textId="77777777">
        <w:tc>
          <w:tcPr>
            <w:tcW w:w="5760" w:type="dxa"/>
          </w:tcPr>
          <w:p w14:paraId="635703F4" w14:textId="77777777" w:rsidR="002A21AE" w:rsidRDefault="002A21AE">
            <w:pPr>
              <w:pStyle w:val="TableText"/>
            </w:pPr>
            <w:r>
              <w:t>Patient cannot have a persistent antigen negative requirement regardless of the division of the requirement entry.</w:t>
            </w:r>
          </w:p>
        </w:tc>
        <w:tc>
          <w:tcPr>
            <w:tcW w:w="3600" w:type="dxa"/>
          </w:tcPr>
          <w:p w14:paraId="1C3F872D" w14:textId="77777777" w:rsidR="002A21AE" w:rsidRDefault="002A21AE">
            <w:pPr>
              <w:pStyle w:val="TableText"/>
            </w:pPr>
            <w:r>
              <w:t>Patient not eligible for eXM due to transfusion antigen negative requirement.</w:t>
            </w:r>
          </w:p>
        </w:tc>
      </w:tr>
      <w:tr w:rsidR="002A21AE" w:rsidRPr="005A7636" w14:paraId="29E57129" w14:textId="77777777">
        <w:tc>
          <w:tcPr>
            <w:tcW w:w="5760" w:type="dxa"/>
          </w:tcPr>
          <w:p w14:paraId="24F57524" w14:textId="77777777" w:rsidR="002A21AE" w:rsidRPr="005A7636" w:rsidRDefault="00B05CCE" w:rsidP="005A7636">
            <w:pPr>
              <w:pStyle w:val="TableText"/>
            </w:pPr>
            <w:r w:rsidRPr="00B05CCE">
              <w:t>The patient current ABO/Rh must match the historical record when there is a historical record, and there must be no previous justifications. An ABO/Rh marked as “entered in error” is not considered part of the patient’s record.</w:t>
            </w:r>
          </w:p>
        </w:tc>
        <w:tc>
          <w:tcPr>
            <w:tcW w:w="3600" w:type="dxa"/>
          </w:tcPr>
          <w:p w14:paraId="779BAA69" w14:textId="77777777" w:rsidR="002A21AE" w:rsidRPr="005A7636" w:rsidRDefault="002A21AE" w:rsidP="005A7636">
            <w:pPr>
              <w:pStyle w:val="TableText"/>
            </w:pPr>
            <w:r w:rsidRPr="005A7636">
              <w:t>Patient not eligible for eXM due to ABO/Rh discrepancy from previous record.</w:t>
            </w:r>
          </w:p>
        </w:tc>
      </w:tr>
      <w:tr w:rsidR="002A21AE" w14:paraId="6B88818A" w14:textId="77777777">
        <w:tc>
          <w:tcPr>
            <w:tcW w:w="5760" w:type="dxa"/>
          </w:tcPr>
          <w:p w14:paraId="623304D7" w14:textId="77777777" w:rsidR="002A21AE" w:rsidRDefault="002A21AE">
            <w:pPr>
              <w:pStyle w:val="TableText"/>
            </w:pPr>
            <w:r>
              <w:t>The patient cannot have a documented ins</w:t>
            </w:r>
            <w:r w:rsidR="004F09C6">
              <w:t>tance of current or previous</w:t>
            </w:r>
            <w:r>
              <w:t xml:space="preserve"> Inconclusive ABO/Rh typing.</w:t>
            </w:r>
          </w:p>
        </w:tc>
        <w:tc>
          <w:tcPr>
            <w:tcW w:w="3600" w:type="dxa"/>
          </w:tcPr>
          <w:p w14:paraId="5A4D88DE" w14:textId="77777777" w:rsidR="002A21AE" w:rsidRDefault="002A21AE">
            <w:pPr>
              <w:pStyle w:val="TableText"/>
            </w:pPr>
            <w:r>
              <w:t>Patient not eligible for eXM due to ABO/Rh typing difficulty.</w:t>
            </w:r>
          </w:p>
        </w:tc>
      </w:tr>
      <w:tr w:rsidR="002A21AE" w14:paraId="7443D6BB" w14:textId="77777777">
        <w:tc>
          <w:tcPr>
            <w:tcW w:w="5760" w:type="dxa"/>
          </w:tcPr>
          <w:p w14:paraId="6EDE839D" w14:textId="77777777" w:rsidR="00810934" w:rsidRPr="00810934" w:rsidRDefault="002A21AE">
            <w:pPr>
              <w:pStyle w:val="TableText"/>
              <w:rPr>
                <w:szCs w:val="18"/>
              </w:rPr>
            </w:pPr>
            <w:r>
              <w:t xml:space="preserve">There must be at least two valid instances of ABO/Rh typing performed in the same division for the patient. One instance must be a valid ABO/Rh on the current specimen and not “unknown” or “inconclusive”; the other may be from a previous typing episode or a repeat ABO/Rh performed on the current specimen. The patient ABO/Rh interpretations must match in all instances. </w:t>
            </w:r>
            <w:r w:rsidR="00810934">
              <w:rPr>
                <w:szCs w:val="18"/>
              </w:rPr>
              <w:t>The user m</w:t>
            </w:r>
            <w:r w:rsidR="00810934" w:rsidRPr="00810934">
              <w:rPr>
                <w:szCs w:val="18"/>
              </w:rPr>
              <w:t xml:space="preserve">ust enter valid forward and reverse typing </w:t>
            </w:r>
            <w:r w:rsidR="00810934">
              <w:rPr>
                <w:szCs w:val="18"/>
              </w:rPr>
              <w:t>for</w:t>
            </w:r>
            <w:r w:rsidR="00810934" w:rsidRPr="00810934">
              <w:rPr>
                <w:szCs w:val="18"/>
              </w:rPr>
              <w:t xml:space="preserve"> the system </w:t>
            </w:r>
            <w:r w:rsidR="00810934">
              <w:rPr>
                <w:szCs w:val="18"/>
              </w:rPr>
              <w:t>to</w:t>
            </w:r>
            <w:r w:rsidR="00810934" w:rsidRPr="00810934">
              <w:rPr>
                <w:szCs w:val="18"/>
              </w:rPr>
              <w:t xml:space="preserve"> use as the second test performed in the division.</w:t>
            </w:r>
          </w:p>
        </w:tc>
        <w:tc>
          <w:tcPr>
            <w:tcW w:w="3600" w:type="dxa"/>
          </w:tcPr>
          <w:p w14:paraId="696C213B" w14:textId="77777777" w:rsidR="002A21AE" w:rsidRDefault="00810934">
            <w:pPr>
              <w:pStyle w:val="TableText"/>
            </w:pPr>
            <w:r>
              <w:t>Patient not eligible for eXM:</w:t>
            </w:r>
            <w:r w:rsidR="002A21AE">
              <w:t xml:space="preserve"> he must have two instances of ABO/Rh typing at the division for eXM, including the current specimen.</w:t>
            </w:r>
          </w:p>
        </w:tc>
      </w:tr>
      <w:tr w:rsidR="002A21AE" w14:paraId="5C574033" w14:textId="77777777">
        <w:tc>
          <w:tcPr>
            <w:tcW w:w="5760" w:type="dxa"/>
          </w:tcPr>
          <w:p w14:paraId="6991BF43" w14:textId="77777777" w:rsidR="002A21AE" w:rsidRDefault="002A21AE">
            <w:pPr>
              <w:pStyle w:val="TableText"/>
            </w:pPr>
            <w:r>
              <w:t>Selected unit must be ABO compatible based on system rules</w:t>
            </w:r>
            <w:r>
              <w:rPr>
                <w:vanish/>
                <w:szCs w:val="18"/>
              </w:rPr>
              <w:t>TT_3.01 or TT_3.02</w:t>
            </w:r>
            <w:r>
              <w:t>.</w:t>
            </w:r>
          </w:p>
        </w:tc>
        <w:tc>
          <w:tcPr>
            <w:tcW w:w="3600" w:type="dxa"/>
          </w:tcPr>
          <w:p w14:paraId="17636CF2" w14:textId="77777777" w:rsidR="002A21AE" w:rsidRDefault="002A21AE">
            <w:pPr>
              <w:pStyle w:val="TableText"/>
            </w:pPr>
            <w:r>
              <w:t>Unit not eligible for eXM. Unit is ABO incompatible with the patient.</w:t>
            </w:r>
          </w:p>
        </w:tc>
      </w:tr>
    </w:tbl>
    <w:p w14:paraId="1A46DEE3" w14:textId="77777777" w:rsidR="002A21AE" w:rsidRDefault="002A21AE">
      <w:pPr>
        <w:pStyle w:val="Heading3"/>
        <w:rPr>
          <w:noProof/>
        </w:rPr>
      </w:pPr>
      <w:r>
        <w:rPr>
          <w:rFonts w:ascii="Geneva" w:hAnsi="Geneva"/>
          <w:vanish/>
        </w:rPr>
        <w:lastRenderedPageBreak/>
        <w:t xml:space="preserve">TT_27.01 </w:t>
      </w:r>
      <w:bookmarkStart w:id="654" w:name="_Toc163645010"/>
      <w:r>
        <w:t>Unit Status Flowchart</w:t>
      </w:r>
      <w:bookmarkEnd w:id="654"/>
      <w:r>
        <w:fldChar w:fldCharType="begin"/>
      </w:r>
      <w:r>
        <w:instrText xml:space="preserve"> XE </w:instrText>
      </w:r>
      <w:r w:rsidR="00FA7E65">
        <w:instrText>“</w:instrText>
      </w:r>
      <w:r>
        <w:instrText>Figures:Unit Status Flowchart</w:instrText>
      </w:r>
      <w:r w:rsidR="00FA7E65">
        <w:instrText>”</w:instrText>
      </w:r>
      <w:r>
        <w:instrText xml:space="preserve"> </w:instrText>
      </w:r>
      <w:r>
        <w:fldChar w:fldCharType="end"/>
      </w:r>
    </w:p>
    <w:p w14:paraId="2BE175B2" w14:textId="77777777" w:rsidR="002A21AE" w:rsidRDefault="002A21AE">
      <w:pPr>
        <w:pStyle w:val="Heading4"/>
      </w:pPr>
      <w:r>
        <w:t>Types of Unit Statuses</w:t>
      </w:r>
    </w:p>
    <w:p w14:paraId="036CEF3B" w14:textId="77777777" w:rsidR="002A21AE" w:rsidRDefault="002A21AE">
      <w:pPr>
        <w:pStyle w:val="ListBullet"/>
      </w:pPr>
      <w:r>
        <w:t>Temporary: awaiting ABO/Rh confirmation (lime green on the flowchart)</w:t>
      </w:r>
    </w:p>
    <w:p w14:paraId="05225B71" w14:textId="77777777" w:rsidR="002A21AE" w:rsidRDefault="002A21AE">
      <w:pPr>
        <w:pStyle w:val="ListBullet"/>
      </w:pPr>
      <w:r>
        <w:t>Adjustable: may move in and out of the status as part of normal processing</w:t>
      </w:r>
    </w:p>
    <w:p w14:paraId="121AA996" w14:textId="77777777" w:rsidR="002A21AE" w:rsidRDefault="002A21AE">
      <w:pPr>
        <w:pStyle w:val="ListBullet"/>
      </w:pPr>
      <w:r>
        <w:t>Issued: pending an update to transfusion or return (bright green in the flowchart)</w:t>
      </w:r>
    </w:p>
    <w:p w14:paraId="23E8A76D" w14:textId="77777777" w:rsidR="002A21AE" w:rsidRDefault="002A21AE">
      <w:pPr>
        <w:pStyle w:val="ListBullet"/>
      </w:pPr>
      <w:r>
        <w:t>Final: the unit is no longer available for most processes in the division; the unit record remains active (pink and stop signs in the flowchart)</w:t>
      </w:r>
    </w:p>
    <w:p w14:paraId="2F6BC276" w14:textId="77777777" w:rsidR="002A21AE" w:rsidRDefault="002A21AE">
      <w:pPr>
        <w:pStyle w:val="Heading4"/>
      </w:pPr>
      <w:r>
        <w:t>Indicators Associated with Units</w:t>
      </w:r>
    </w:p>
    <w:p w14:paraId="540FF5BE" w14:textId="77777777" w:rsidR="002A21AE" w:rsidRDefault="002A21AE">
      <w:pPr>
        <w:pStyle w:val="ListBullet"/>
      </w:pPr>
      <w:r>
        <w:t>Quarantined: attaches to the unit record and status when the unit is quarantined. Removed by releasing the unit from quarantined.</w:t>
      </w:r>
    </w:p>
    <w:p w14:paraId="035361CE" w14:textId="77777777" w:rsidR="002A21AE" w:rsidRDefault="002A21AE">
      <w:pPr>
        <w:pStyle w:val="ListBullet"/>
      </w:pPr>
      <w:r>
        <w:t>Presumed: attaches to the unit record only when the unit is in an issued unit status for more than 48 hours. Remains on the unit record if no transfusion information is entered through Post-Transfusion Information and Document ABO Incompatible Transfusion.</w:t>
      </w:r>
    </w:p>
    <w:p w14:paraId="30DBBEE7" w14:textId="38B151CA" w:rsidR="002A21AE" w:rsidRDefault="002A21AE">
      <w:pPr>
        <w:pStyle w:val="Caption"/>
      </w:pPr>
      <w:bookmarkStart w:id="655" w:name="_Toc97523644"/>
      <w:r>
        <w:br w:type="page"/>
      </w:r>
      <w:bookmarkStart w:id="656" w:name="_Ref126467968"/>
      <w:bookmarkStart w:id="657" w:name="_Toc9752761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119</w:t>
      </w:r>
      <w:r w:rsidR="004E20BD">
        <w:rPr>
          <w:noProof/>
        </w:rPr>
        <w:fldChar w:fldCharType="end"/>
      </w:r>
      <w:bookmarkEnd w:id="656"/>
      <w:r>
        <w:t xml:space="preserve">: </w:t>
      </w:r>
      <w:r>
        <w:rPr>
          <w:vanish/>
        </w:rPr>
        <w:t xml:space="preserve">TT_27.01C </w:t>
      </w:r>
      <w:r>
        <w:t>Unit Status Flowchart</w:t>
      </w:r>
      <w:bookmarkEnd w:id="655"/>
      <w:bookmarkEnd w:id="657"/>
    </w:p>
    <w:p w14:paraId="79377E0E" w14:textId="504B04AF" w:rsidR="002A21AE" w:rsidRDefault="00627964" w:rsidP="002C179C">
      <w:pPr>
        <w:pStyle w:val="BodyText"/>
      </w:pPr>
      <w:r w:rsidRPr="00A53F2E">
        <w:rPr>
          <w:rFonts w:ascii="Arial" w:hAnsi="Arial"/>
          <w:sz w:val="20"/>
        </w:rPr>
        <w:object w:dxaOrig="3475" w:dyaOrig="4320" w14:anchorId="55B6EB3A">
          <v:shape id="_x0000_i1031" type="#_x0000_t75" alt="Unit Status Flowchart" style="width:476.25pt;height:489.75pt;mso-position-vertical:absolute" o:ole="" fillcolor="window">
            <v:imagedata r:id="rId211" o:title="" croptop="6031f"/>
          </v:shape>
          <o:OLEObject Type="Embed" ProgID="Visio.Drawing.11" ShapeID="_x0000_i1031" DrawAspect="Content" ObjectID="_1777278636" r:id="rId212"/>
        </w:object>
      </w:r>
    </w:p>
    <w:p w14:paraId="60EBE3A2" w14:textId="77777777" w:rsidR="002A21AE" w:rsidRDefault="002A21AE">
      <w:pPr>
        <w:pStyle w:val="Heading3"/>
      </w:pPr>
      <w:r>
        <w:br w:type="page"/>
      </w:r>
      <w:bookmarkStart w:id="658" w:name="_Toc91323790"/>
      <w:r w:rsidR="00966400">
        <w:rPr>
          <w:rFonts w:ascii="Geneva" w:hAnsi="Geneva"/>
          <w:vanish/>
        </w:rPr>
        <w:lastRenderedPageBreak/>
        <w:t xml:space="preserve"> </w:t>
      </w:r>
      <w:r>
        <w:rPr>
          <w:rFonts w:ascii="Geneva" w:hAnsi="Geneva"/>
          <w:vanish/>
        </w:rPr>
        <w:t>PT_32.01</w:t>
      </w:r>
      <w:r>
        <w:rPr>
          <w:rFonts w:ascii="Geneva" w:hAnsi="Geneva"/>
          <w:vanish/>
          <w:sz w:val="16"/>
        </w:rPr>
        <w:t xml:space="preserve"> </w:t>
      </w:r>
      <w:bookmarkStart w:id="659" w:name="_Toc163645011"/>
      <w:r>
        <w:t>VBECS Maximum Surgical Blood Order Schedule</w:t>
      </w:r>
      <w:bookmarkEnd w:id="659"/>
      <w:r>
        <w:fldChar w:fldCharType="begin"/>
      </w:r>
      <w:r>
        <w:instrText xml:space="preserve"> XE </w:instrText>
      </w:r>
      <w:r w:rsidR="00FA7E65">
        <w:instrText>“</w:instrText>
      </w:r>
      <w:r>
        <w:instrText>Tables:VBECS Maximum Surgical Blood Order Schedule (MSBOS)</w:instrText>
      </w:r>
      <w:r w:rsidR="00FA7E65">
        <w:instrText>”</w:instrText>
      </w:r>
      <w:r>
        <w:instrText xml:space="preserve"> </w:instrText>
      </w:r>
      <w:r>
        <w:fldChar w:fldCharType="end"/>
      </w:r>
    </w:p>
    <w:p w14:paraId="5488A421" w14:textId="375EB89F" w:rsidR="002A21AE" w:rsidRDefault="002A21AE">
      <w:pPr>
        <w:pStyle w:val="Caption"/>
      </w:pPr>
      <w:bookmarkStart w:id="660" w:name="_Ref126732493"/>
      <w:bookmarkStart w:id="661" w:name="_Toc97523646"/>
      <w:bookmarkStart w:id="662" w:name="_Toc97527616"/>
      <w:bookmarkStart w:id="663" w:name="_Ref126484549"/>
      <w:bookmarkStart w:id="664" w:name="_Ref12650427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23</w:t>
      </w:r>
      <w:r w:rsidR="004E20BD">
        <w:rPr>
          <w:noProof/>
        </w:rPr>
        <w:fldChar w:fldCharType="end"/>
      </w:r>
      <w:bookmarkEnd w:id="660"/>
      <w:r>
        <w:t xml:space="preserve">: </w:t>
      </w:r>
      <w:r>
        <w:rPr>
          <w:vanish/>
        </w:rPr>
        <w:t>PT_32.01</w:t>
      </w:r>
      <w:r>
        <w:rPr>
          <w:vanish/>
          <w:sz w:val="16"/>
        </w:rPr>
        <w:t xml:space="preserve"> </w:t>
      </w:r>
      <w:r>
        <w:t>VBECS Maximum Surgical Blood Order Schedule (MSBOS)</w:t>
      </w:r>
      <w:bookmarkEnd w:id="658"/>
      <w:bookmarkEnd w:id="661"/>
      <w:bookmarkEnd w:id="662"/>
      <w:bookmarkEnd w:id="663"/>
      <w:bookmarkEnd w:id="66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CF62EC" w14:paraId="30C8FDB3" w14:textId="77777777">
        <w:trPr>
          <w:tblHeader/>
        </w:trPr>
        <w:tc>
          <w:tcPr>
            <w:tcW w:w="9360" w:type="dxa"/>
            <w:gridSpan w:val="2"/>
            <w:shd w:val="clear" w:color="auto" w:fill="B3B3B3"/>
            <w:vAlign w:val="bottom"/>
          </w:tcPr>
          <w:p w14:paraId="190D5D82" w14:textId="77777777" w:rsidR="00CF62EC" w:rsidRDefault="00CF62EC" w:rsidP="00CF62EC">
            <w:pPr>
              <w:pStyle w:val="TableText"/>
            </w:pPr>
            <w:r w:rsidRPr="00887834">
              <w:rPr>
                <w:b/>
              </w:rPr>
              <w:t>VBECS Maximum Surgical Blood Order Schedule (MSBOS)</w:t>
            </w:r>
          </w:p>
        </w:tc>
      </w:tr>
      <w:tr w:rsidR="00CF62EC" w14:paraId="6CD3C256" w14:textId="77777777">
        <w:tc>
          <w:tcPr>
            <w:tcW w:w="4680" w:type="dxa"/>
            <w:vAlign w:val="bottom"/>
          </w:tcPr>
          <w:p w14:paraId="29B97BB8" w14:textId="77777777" w:rsidR="00CF62EC" w:rsidRDefault="00CF62EC" w:rsidP="00CF62EC">
            <w:pPr>
              <w:pStyle w:val="TableText"/>
            </w:pPr>
            <w:r>
              <w:t>Abdominal-Perineal resection</w:t>
            </w:r>
          </w:p>
        </w:tc>
        <w:tc>
          <w:tcPr>
            <w:tcW w:w="4680" w:type="dxa"/>
            <w:vAlign w:val="bottom"/>
          </w:tcPr>
          <w:p w14:paraId="4BCC0474" w14:textId="77777777" w:rsidR="00CF62EC" w:rsidRDefault="00CF62EC" w:rsidP="00CF62EC">
            <w:pPr>
              <w:pStyle w:val="TableText"/>
            </w:pPr>
            <w:r>
              <w:t>Keratectomy</w:t>
            </w:r>
          </w:p>
        </w:tc>
      </w:tr>
      <w:tr w:rsidR="00CF62EC" w14:paraId="4FB8650D" w14:textId="77777777">
        <w:tc>
          <w:tcPr>
            <w:tcW w:w="4680" w:type="dxa"/>
            <w:vAlign w:val="bottom"/>
          </w:tcPr>
          <w:p w14:paraId="12D3422C" w14:textId="77777777" w:rsidR="00CF62EC" w:rsidRDefault="00CF62EC" w:rsidP="00CF62EC">
            <w:pPr>
              <w:pStyle w:val="TableText"/>
            </w:pPr>
            <w:r>
              <w:t>Adrenalectomy</w:t>
            </w:r>
          </w:p>
        </w:tc>
        <w:tc>
          <w:tcPr>
            <w:tcW w:w="4680" w:type="dxa"/>
            <w:vAlign w:val="bottom"/>
          </w:tcPr>
          <w:p w14:paraId="4D9E5F3C" w14:textId="77777777" w:rsidR="00CF62EC" w:rsidRDefault="00CF62EC" w:rsidP="00CF62EC">
            <w:pPr>
              <w:pStyle w:val="TableText"/>
            </w:pPr>
            <w:r>
              <w:t>Hernia repair</w:t>
            </w:r>
          </w:p>
        </w:tc>
      </w:tr>
      <w:tr w:rsidR="00CF62EC" w14:paraId="0E5EE4F9" w14:textId="77777777">
        <w:tc>
          <w:tcPr>
            <w:tcW w:w="4680" w:type="dxa"/>
            <w:vAlign w:val="bottom"/>
          </w:tcPr>
          <w:p w14:paraId="70097EE8" w14:textId="77777777" w:rsidR="00CF62EC" w:rsidRDefault="00CF62EC" w:rsidP="00CF62EC">
            <w:pPr>
              <w:pStyle w:val="TableText"/>
            </w:pPr>
            <w:r>
              <w:t>Amputation (A/K, B/K)</w:t>
            </w:r>
          </w:p>
        </w:tc>
        <w:tc>
          <w:tcPr>
            <w:tcW w:w="4680" w:type="dxa"/>
            <w:vAlign w:val="bottom"/>
          </w:tcPr>
          <w:p w14:paraId="37568CA8" w14:textId="77777777" w:rsidR="00CF62EC" w:rsidRDefault="00CF62EC" w:rsidP="00CF62EC">
            <w:pPr>
              <w:pStyle w:val="TableText"/>
            </w:pPr>
            <w:r>
              <w:t>Hip Replacement, total</w:t>
            </w:r>
          </w:p>
        </w:tc>
      </w:tr>
      <w:tr w:rsidR="00CF62EC" w14:paraId="0D6BA7A3" w14:textId="77777777">
        <w:tc>
          <w:tcPr>
            <w:tcW w:w="4680" w:type="dxa"/>
            <w:vAlign w:val="bottom"/>
          </w:tcPr>
          <w:p w14:paraId="6982D30F" w14:textId="77777777" w:rsidR="00CF62EC" w:rsidRDefault="00CF62EC" w:rsidP="00CF62EC">
            <w:pPr>
              <w:pStyle w:val="TableText"/>
            </w:pPr>
            <w:r>
              <w:t>Aneurysm, aortic</w:t>
            </w:r>
          </w:p>
        </w:tc>
        <w:tc>
          <w:tcPr>
            <w:tcW w:w="4680" w:type="dxa"/>
            <w:vAlign w:val="bottom"/>
          </w:tcPr>
          <w:p w14:paraId="5AE7E5E7" w14:textId="77777777" w:rsidR="00CF62EC" w:rsidRDefault="00CF62EC" w:rsidP="00CF62EC">
            <w:pPr>
              <w:pStyle w:val="TableText"/>
            </w:pPr>
            <w:r>
              <w:t>Hip Replacement, revision</w:t>
            </w:r>
          </w:p>
        </w:tc>
      </w:tr>
      <w:tr w:rsidR="00CF62EC" w14:paraId="338C6480" w14:textId="77777777">
        <w:tc>
          <w:tcPr>
            <w:tcW w:w="4680" w:type="dxa"/>
            <w:vAlign w:val="bottom"/>
          </w:tcPr>
          <w:p w14:paraId="760ACE16" w14:textId="77777777" w:rsidR="00CF62EC" w:rsidRDefault="00CF62EC" w:rsidP="00CF62EC">
            <w:pPr>
              <w:pStyle w:val="TableText"/>
            </w:pPr>
            <w:r>
              <w:t>Aneurysm, abdominal</w:t>
            </w:r>
          </w:p>
        </w:tc>
        <w:tc>
          <w:tcPr>
            <w:tcW w:w="4680" w:type="dxa"/>
            <w:vAlign w:val="bottom"/>
          </w:tcPr>
          <w:p w14:paraId="179112D6" w14:textId="77777777" w:rsidR="00CF62EC" w:rsidRDefault="00CF62EC" w:rsidP="00CF62EC">
            <w:pPr>
              <w:pStyle w:val="TableText"/>
            </w:pPr>
            <w:r>
              <w:t>Knee Replacement, total</w:t>
            </w:r>
          </w:p>
        </w:tc>
      </w:tr>
      <w:tr w:rsidR="00CF62EC" w14:paraId="099F8148" w14:textId="77777777">
        <w:tc>
          <w:tcPr>
            <w:tcW w:w="4680" w:type="dxa"/>
            <w:vAlign w:val="bottom"/>
          </w:tcPr>
          <w:p w14:paraId="2BF8444A" w14:textId="77777777" w:rsidR="00CF62EC" w:rsidRDefault="00CF62EC" w:rsidP="00CF62EC">
            <w:pPr>
              <w:pStyle w:val="TableText"/>
            </w:pPr>
            <w:r>
              <w:t>Aneurysm, thoracic</w:t>
            </w:r>
          </w:p>
        </w:tc>
        <w:tc>
          <w:tcPr>
            <w:tcW w:w="4680" w:type="dxa"/>
            <w:vAlign w:val="bottom"/>
          </w:tcPr>
          <w:p w14:paraId="6E6090CA" w14:textId="77777777" w:rsidR="00CF62EC" w:rsidRDefault="00CF62EC" w:rsidP="00CF62EC">
            <w:pPr>
              <w:pStyle w:val="TableText"/>
            </w:pPr>
            <w:r>
              <w:t>Laminectomy, cervical, thoracic, or lumbar</w:t>
            </w:r>
          </w:p>
        </w:tc>
      </w:tr>
      <w:tr w:rsidR="00CF62EC" w14:paraId="08017095" w14:textId="77777777">
        <w:tc>
          <w:tcPr>
            <w:tcW w:w="4680" w:type="dxa"/>
            <w:vAlign w:val="bottom"/>
          </w:tcPr>
          <w:p w14:paraId="472F7036" w14:textId="77777777" w:rsidR="00CF62EC" w:rsidRDefault="00CF62EC" w:rsidP="00CF62EC">
            <w:pPr>
              <w:pStyle w:val="TableText"/>
            </w:pPr>
            <w:r>
              <w:t>Aneurysm, cranial</w:t>
            </w:r>
          </w:p>
        </w:tc>
        <w:tc>
          <w:tcPr>
            <w:tcW w:w="4680" w:type="dxa"/>
            <w:vAlign w:val="bottom"/>
          </w:tcPr>
          <w:p w14:paraId="01F0A548" w14:textId="77777777" w:rsidR="00CF62EC" w:rsidRDefault="00CF62EC" w:rsidP="00CF62EC">
            <w:pPr>
              <w:pStyle w:val="TableText"/>
            </w:pPr>
            <w:r>
              <w:t>Laminectomy, disk repair</w:t>
            </w:r>
          </w:p>
        </w:tc>
      </w:tr>
      <w:tr w:rsidR="00CF62EC" w14:paraId="3D5B3652" w14:textId="77777777">
        <w:tc>
          <w:tcPr>
            <w:tcW w:w="4680" w:type="dxa"/>
            <w:vAlign w:val="bottom"/>
          </w:tcPr>
          <w:p w14:paraId="3A48CB2A" w14:textId="77777777" w:rsidR="00CF62EC" w:rsidRDefault="00CF62EC" w:rsidP="00CF62EC">
            <w:pPr>
              <w:pStyle w:val="TableText"/>
            </w:pPr>
            <w:r>
              <w:t>Aorto-Femoral Bypass</w:t>
            </w:r>
          </w:p>
        </w:tc>
        <w:tc>
          <w:tcPr>
            <w:tcW w:w="4680" w:type="dxa"/>
            <w:vAlign w:val="bottom"/>
          </w:tcPr>
          <w:p w14:paraId="15A6DC39" w14:textId="77777777" w:rsidR="00CF62EC" w:rsidRDefault="00CF62EC" w:rsidP="00CF62EC">
            <w:pPr>
              <w:pStyle w:val="TableText"/>
            </w:pPr>
            <w:r>
              <w:t>Laparotomy, exploratory</w:t>
            </w:r>
          </w:p>
        </w:tc>
      </w:tr>
      <w:tr w:rsidR="00CF62EC" w14:paraId="50F18771" w14:textId="77777777">
        <w:tc>
          <w:tcPr>
            <w:tcW w:w="4680" w:type="dxa"/>
            <w:vAlign w:val="bottom"/>
          </w:tcPr>
          <w:p w14:paraId="6F3FC9CB" w14:textId="77777777" w:rsidR="00CF62EC" w:rsidRDefault="00CF62EC" w:rsidP="00CF62EC">
            <w:pPr>
              <w:pStyle w:val="TableText"/>
            </w:pPr>
            <w:r>
              <w:t>Appendectomy</w:t>
            </w:r>
          </w:p>
        </w:tc>
        <w:tc>
          <w:tcPr>
            <w:tcW w:w="4680" w:type="dxa"/>
            <w:vAlign w:val="bottom"/>
          </w:tcPr>
          <w:p w14:paraId="7D2D610F" w14:textId="77777777" w:rsidR="00CF62EC" w:rsidRDefault="00CF62EC" w:rsidP="00CF62EC">
            <w:pPr>
              <w:pStyle w:val="TableText"/>
            </w:pPr>
            <w:r>
              <w:t>Laryngectomy</w:t>
            </w:r>
          </w:p>
        </w:tc>
      </w:tr>
      <w:tr w:rsidR="00CF62EC" w14:paraId="6F1FA9F3" w14:textId="77777777">
        <w:tc>
          <w:tcPr>
            <w:tcW w:w="4680" w:type="dxa"/>
            <w:vAlign w:val="bottom"/>
          </w:tcPr>
          <w:p w14:paraId="5CE5D1CA" w14:textId="77777777" w:rsidR="00CF62EC" w:rsidRDefault="00CF62EC" w:rsidP="00CF62EC">
            <w:pPr>
              <w:pStyle w:val="TableText"/>
            </w:pPr>
            <w:r>
              <w:t>Coronary Bypass Graft (CABG)</w:t>
            </w:r>
          </w:p>
        </w:tc>
        <w:tc>
          <w:tcPr>
            <w:tcW w:w="4680" w:type="dxa"/>
            <w:vAlign w:val="bottom"/>
          </w:tcPr>
          <w:p w14:paraId="77AE271E" w14:textId="77777777" w:rsidR="00CF62EC" w:rsidRDefault="00CF62EC" w:rsidP="00CF62EC">
            <w:pPr>
              <w:pStyle w:val="TableText"/>
            </w:pPr>
            <w:r>
              <w:t>Lobectomy, pulmonary</w:t>
            </w:r>
          </w:p>
        </w:tc>
      </w:tr>
      <w:tr w:rsidR="00CF62EC" w14:paraId="11CE8778" w14:textId="77777777">
        <w:tc>
          <w:tcPr>
            <w:tcW w:w="4680" w:type="dxa"/>
            <w:vAlign w:val="bottom"/>
          </w:tcPr>
          <w:p w14:paraId="2CC7B974" w14:textId="77777777" w:rsidR="00CF62EC" w:rsidRDefault="00CF62EC" w:rsidP="00CF62EC">
            <w:pPr>
              <w:pStyle w:val="TableText"/>
            </w:pPr>
            <w:r>
              <w:t>Coronary Bypass Graft (CABG), redo</w:t>
            </w:r>
          </w:p>
        </w:tc>
        <w:tc>
          <w:tcPr>
            <w:tcW w:w="4680" w:type="dxa"/>
            <w:vAlign w:val="bottom"/>
          </w:tcPr>
          <w:p w14:paraId="05225975" w14:textId="77777777" w:rsidR="00CF62EC" w:rsidRDefault="00CF62EC" w:rsidP="00CF62EC">
            <w:pPr>
              <w:pStyle w:val="TableText"/>
            </w:pPr>
            <w:r>
              <w:t>Mandibulectomy</w:t>
            </w:r>
          </w:p>
        </w:tc>
      </w:tr>
      <w:tr w:rsidR="00CF62EC" w14:paraId="307F5EC1" w14:textId="77777777">
        <w:tc>
          <w:tcPr>
            <w:tcW w:w="4680" w:type="dxa"/>
            <w:vAlign w:val="bottom"/>
          </w:tcPr>
          <w:p w14:paraId="3B2FAF48" w14:textId="77777777" w:rsidR="00CF62EC" w:rsidRDefault="00CF62EC" w:rsidP="00CF62EC">
            <w:pPr>
              <w:pStyle w:val="TableText"/>
            </w:pPr>
            <w:r>
              <w:t>Carotid Endarterectomy</w:t>
            </w:r>
          </w:p>
        </w:tc>
        <w:tc>
          <w:tcPr>
            <w:tcW w:w="4680" w:type="dxa"/>
            <w:vAlign w:val="bottom"/>
          </w:tcPr>
          <w:p w14:paraId="2F6428D6" w14:textId="77777777" w:rsidR="00CF62EC" w:rsidRDefault="00CF62EC" w:rsidP="00CF62EC">
            <w:pPr>
              <w:pStyle w:val="TableText"/>
            </w:pPr>
            <w:r>
              <w:t>Mastectomy, radical</w:t>
            </w:r>
          </w:p>
        </w:tc>
      </w:tr>
      <w:tr w:rsidR="00CF62EC" w14:paraId="05E6CD25" w14:textId="77777777">
        <w:tc>
          <w:tcPr>
            <w:tcW w:w="4680" w:type="dxa"/>
            <w:vAlign w:val="bottom"/>
          </w:tcPr>
          <w:p w14:paraId="2162D0C1" w14:textId="77777777" w:rsidR="00CF62EC" w:rsidRDefault="00CF62EC" w:rsidP="00CF62EC">
            <w:pPr>
              <w:pStyle w:val="TableText"/>
            </w:pPr>
            <w:r>
              <w:t>Cervical Discectomy</w:t>
            </w:r>
          </w:p>
        </w:tc>
        <w:tc>
          <w:tcPr>
            <w:tcW w:w="4680" w:type="dxa"/>
            <w:vAlign w:val="bottom"/>
          </w:tcPr>
          <w:p w14:paraId="66EF5041" w14:textId="77777777" w:rsidR="00CF62EC" w:rsidRDefault="00CF62EC" w:rsidP="00CF62EC">
            <w:pPr>
              <w:pStyle w:val="TableText"/>
            </w:pPr>
            <w:r>
              <w:t>Maxillectomy</w:t>
            </w:r>
          </w:p>
        </w:tc>
      </w:tr>
      <w:tr w:rsidR="00CF62EC" w14:paraId="160EB6DD" w14:textId="77777777">
        <w:tc>
          <w:tcPr>
            <w:tcW w:w="4680" w:type="dxa"/>
            <w:vAlign w:val="bottom"/>
          </w:tcPr>
          <w:p w14:paraId="0258BDC4" w14:textId="77777777" w:rsidR="00CF62EC" w:rsidRDefault="00CF62EC" w:rsidP="00CF62EC">
            <w:pPr>
              <w:pStyle w:val="TableText"/>
            </w:pPr>
            <w:r>
              <w:t>Cervical Fusion</w:t>
            </w:r>
          </w:p>
        </w:tc>
        <w:tc>
          <w:tcPr>
            <w:tcW w:w="4680" w:type="dxa"/>
            <w:vAlign w:val="bottom"/>
          </w:tcPr>
          <w:p w14:paraId="2174B9F5" w14:textId="77777777" w:rsidR="00CF62EC" w:rsidRDefault="00CF62EC" w:rsidP="00CF62EC">
            <w:pPr>
              <w:pStyle w:val="TableText"/>
            </w:pPr>
            <w:r>
              <w:t>Nephrectomy</w:t>
            </w:r>
          </w:p>
        </w:tc>
      </w:tr>
      <w:tr w:rsidR="00CF62EC" w14:paraId="2AE22CB3" w14:textId="77777777">
        <w:tc>
          <w:tcPr>
            <w:tcW w:w="4680" w:type="dxa"/>
            <w:vAlign w:val="bottom"/>
          </w:tcPr>
          <w:p w14:paraId="4D89F202" w14:textId="77777777" w:rsidR="00CF62EC" w:rsidRDefault="00CF62EC" w:rsidP="00CF62EC">
            <w:pPr>
              <w:pStyle w:val="TableText"/>
            </w:pPr>
            <w:r>
              <w:t>Cholecystectomy</w:t>
            </w:r>
          </w:p>
        </w:tc>
        <w:tc>
          <w:tcPr>
            <w:tcW w:w="4680" w:type="dxa"/>
            <w:vAlign w:val="bottom"/>
          </w:tcPr>
          <w:p w14:paraId="401619A2" w14:textId="77777777" w:rsidR="00CF62EC" w:rsidRDefault="00CF62EC" w:rsidP="00CF62EC">
            <w:pPr>
              <w:pStyle w:val="TableText"/>
            </w:pPr>
            <w:r>
              <w:t>Pancreatectomy</w:t>
            </w:r>
          </w:p>
        </w:tc>
      </w:tr>
      <w:tr w:rsidR="00CF62EC" w14:paraId="67A7F7B9" w14:textId="77777777">
        <w:tc>
          <w:tcPr>
            <w:tcW w:w="4680" w:type="dxa"/>
            <w:vAlign w:val="bottom"/>
          </w:tcPr>
          <w:p w14:paraId="41D9A87E" w14:textId="5E7D47A8" w:rsidR="00CF62EC" w:rsidRDefault="009521F7" w:rsidP="00CF62EC">
            <w:pPr>
              <w:pStyle w:val="TableText"/>
            </w:pPr>
            <w:r>
              <w:t>Colostomy</w:t>
            </w:r>
          </w:p>
        </w:tc>
        <w:tc>
          <w:tcPr>
            <w:tcW w:w="4680" w:type="dxa"/>
            <w:vAlign w:val="bottom"/>
          </w:tcPr>
          <w:p w14:paraId="5621BEF7" w14:textId="77777777" w:rsidR="00CF62EC" w:rsidRDefault="00CF62EC" w:rsidP="00CF62EC">
            <w:pPr>
              <w:pStyle w:val="TableText"/>
            </w:pPr>
            <w:r>
              <w:t>Parathyroidectomy</w:t>
            </w:r>
          </w:p>
        </w:tc>
      </w:tr>
      <w:tr w:rsidR="00CF62EC" w14:paraId="66C503FE" w14:textId="77777777">
        <w:tc>
          <w:tcPr>
            <w:tcW w:w="4680" w:type="dxa"/>
            <w:vAlign w:val="bottom"/>
          </w:tcPr>
          <w:p w14:paraId="31D766EC" w14:textId="77777777" w:rsidR="00CF62EC" w:rsidRDefault="00CF62EC" w:rsidP="00CF62EC">
            <w:pPr>
              <w:pStyle w:val="TableText"/>
            </w:pPr>
            <w:r>
              <w:t>Colectomy</w:t>
            </w:r>
          </w:p>
        </w:tc>
        <w:tc>
          <w:tcPr>
            <w:tcW w:w="4680" w:type="dxa"/>
            <w:vAlign w:val="bottom"/>
          </w:tcPr>
          <w:p w14:paraId="2F944919" w14:textId="77777777" w:rsidR="00CF62EC" w:rsidRDefault="00CF62EC" w:rsidP="00CF62EC">
            <w:pPr>
              <w:pStyle w:val="TableText"/>
            </w:pPr>
            <w:r>
              <w:t>Portocaval Shunt</w:t>
            </w:r>
          </w:p>
        </w:tc>
      </w:tr>
      <w:tr w:rsidR="00CF62EC" w14:paraId="1BC6CB0E" w14:textId="77777777">
        <w:tc>
          <w:tcPr>
            <w:tcW w:w="4680" w:type="dxa"/>
            <w:vAlign w:val="bottom"/>
          </w:tcPr>
          <w:p w14:paraId="2F372528" w14:textId="77777777" w:rsidR="00CF62EC" w:rsidRDefault="00CF62EC" w:rsidP="00CF62EC">
            <w:pPr>
              <w:pStyle w:val="TableText"/>
            </w:pPr>
            <w:r>
              <w:t>Colon Resection</w:t>
            </w:r>
          </w:p>
        </w:tc>
        <w:tc>
          <w:tcPr>
            <w:tcW w:w="4680" w:type="dxa"/>
            <w:vAlign w:val="bottom"/>
          </w:tcPr>
          <w:p w14:paraId="71992900" w14:textId="77777777" w:rsidR="00CF62EC" w:rsidRDefault="00CF62EC" w:rsidP="00CF62EC">
            <w:pPr>
              <w:pStyle w:val="TableText"/>
            </w:pPr>
            <w:r>
              <w:t>Prostatectomy</w:t>
            </w:r>
          </w:p>
        </w:tc>
      </w:tr>
      <w:tr w:rsidR="00CF62EC" w14:paraId="7B7FD2A1" w14:textId="77777777">
        <w:tc>
          <w:tcPr>
            <w:tcW w:w="4680" w:type="dxa"/>
            <w:vAlign w:val="bottom"/>
          </w:tcPr>
          <w:p w14:paraId="34689AD9" w14:textId="77777777" w:rsidR="00CF62EC" w:rsidRDefault="00CF62EC" w:rsidP="00CF62EC">
            <w:pPr>
              <w:pStyle w:val="TableText"/>
            </w:pPr>
            <w:r>
              <w:t>Craniotomy</w:t>
            </w:r>
          </w:p>
        </w:tc>
        <w:tc>
          <w:tcPr>
            <w:tcW w:w="4680" w:type="dxa"/>
            <w:vAlign w:val="bottom"/>
          </w:tcPr>
          <w:p w14:paraId="2C094A9A" w14:textId="77777777" w:rsidR="00CF62EC" w:rsidRDefault="00CF62EC" w:rsidP="00CF62EC">
            <w:pPr>
              <w:pStyle w:val="TableText"/>
            </w:pPr>
            <w:r>
              <w:t>Prostatectomy, total</w:t>
            </w:r>
          </w:p>
        </w:tc>
      </w:tr>
      <w:tr w:rsidR="00CF62EC" w14:paraId="46003A4E" w14:textId="77777777">
        <w:tc>
          <w:tcPr>
            <w:tcW w:w="4680" w:type="dxa"/>
            <w:vAlign w:val="bottom"/>
          </w:tcPr>
          <w:p w14:paraId="71C05EC6" w14:textId="77777777" w:rsidR="00CF62EC" w:rsidRDefault="00CF62EC" w:rsidP="00CF62EC">
            <w:pPr>
              <w:pStyle w:val="TableText"/>
            </w:pPr>
            <w:r>
              <w:t>Cystectomy</w:t>
            </w:r>
          </w:p>
        </w:tc>
        <w:tc>
          <w:tcPr>
            <w:tcW w:w="4680" w:type="dxa"/>
            <w:vAlign w:val="bottom"/>
          </w:tcPr>
          <w:p w14:paraId="7C00CE88" w14:textId="77777777" w:rsidR="00CF62EC" w:rsidRDefault="00CF62EC" w:rsidP="00CF62EC">
            <w:pPr>
              <w:pStyle w:val="TableText"/>
            </w:pPr>
            <w:r>
              <w:t>Radical Neck Dissection</w:t>
            </w:r>
          </w:p>
        </w:tc>
      </w:tr>
      <w:tr w:rsidR="00CF62EC" w14:paraId="6A35E2D6" w14:textId="77777777">
        <w:tc>
          <w:tcPr>
            <w:tcW w:w="4680" w:type="dxa"/>
            <w:vAlign w:val="bottom"/>
          </w:tcPr>
          <w:p w14:paraId="11C9A8C4" w14:textId="77777777" w:rsidR="00CF62EC" w:rsidRDefault="00CF62EC" w:rsidP="00CF62EC">
            <w:pPr>
              <w:pStyle w:val="TableText"/>
            </w:pPr>
            <w:r>
              <w:t>Cystolithotomy</w:t>
            </w:r>
          </w:p>
        </w:tc>
        <w:tc>
          <w:tcPr>
            <w:tcW w:w="4680" w:type="dxa"/>
            <w:vAlign w:val="bottom"/>
          </w:tcPr>
          <w:p w14:paraId="005C264C" w14:textId="77777777" w:rsidR="00CF62EC" w:rsidRDefault="00CF62EC" w:rsidP="00CF62EC">
            <w:pPr>
              <w:pStyle w:val="TableText"/>
            </w:pPr>
            <w:r>
              <w:t>Renal Transplant</w:t>
            </w:r>
          </w:p>
        </w:tc>
      </w:tr>
      <w:tr w:rsidR="00CF62EC" w14:paraId="7C8C661D" w14:textId="77777777">
        <w:tc>
          <w:tcPr>
            <w:tcW w:w="4680" w:type="dxa"/>
            <w:vAlign w:val="bottom"/>
          </w:tcPr>
          <w:p w14:paraId="304C128C" w14:textId="77777777" w:rsidR="00CF62EC" w:rsidRDefault="00CF62EC" w:rsidP="00CF62EC">
            <w:pPr>
              <w:pStyle w:val="TableText"/>
            </w:pPr>
            <w:r>
              <w:t>Cystoscopy</w:t>
            </w:r>
          </w:p>
        </w:tc>
        <w:tc>
          <w:tcPr>
            <w:tcW w:w="4680" w:type="dxa"/>
            <w:vAlign w:val="bottom"/>
          </w:tcPr>
          <w:p w14:paraId="71704ED0" w14:textId="77777777" w:rsidR="00CF62EC" w:rsidRDefault="00CF62EC" w:rsidP="00CF62EC">
            <w:pPr>
              <w:pStyle w:val="TableText"/>
            </w:pPr>
            <w:r>
              <w:t>Skin Flap</w:t>
            </w:r>
          </w:p>
        </w:tc>
      </w:tr>
      <w:tr w:rsidR="00CF62EC" w14:paraId="4A68FD42" w14:textId="77777777">
        <w:tc>
          <w:tcPr>
            <w:tcW w:w="4680" w:type="dxa"/>
            <w:vAlign w:val="bottom"/>
          </w:tcPr>
          <w:p w14:paraId="31365DBF" w14:textId="77777777" w:rsidR="00CF62EC" w:rsidRDefault="00CF62EC" w:rsidP="00CF62EC">
            <w:pPr>
              <w:pStyle w:val="TableText"/>
            </w:pPr>
            <w:r>
              <w:t>Embolectomy</w:t>
            </w:r>
          </w:p>
        </w:tc>
        <w:tc>
          <w:tcPr>
            <w:tcW w:w="4680" w:type="dxa"/>
            <w:vAlign w:val="bottom"/>
          </w:tcPr>
          <w:p w14:paraId="0DB741EE" w14:textId="77777777" w:rsidR="00CF62EC" w:rsidRDefault="00CF62EC" w:rsidP="00CF62EC">
            <w:pPr>
              <w:pStyle w:val="TableText"/>
            </w:pPr>
            <w:r>
              <w:t>Skin Graft</w:t>
            </w:r>
          </w:p>
        </w:tc>
      </w:tr>
      <w:tr w:rsidR="00CF62EC" w14:paraId="48535893" w14:textId="77777777">
        <w:tc>
          <w:tcPr>
            <w:tcW w:w="4680" w:type="dxa"/>
            <w:vAlign w:val="bottom"/>
          </w:tcPr>
          <w:p w14:paraId="38C8B6DA" w14:textId="16E8DDD0" w:rsidR="00CF62EC" w:rsidRDefault="00307930" w:rsidP="00CF62EC">
            <w:pPr>
              <w:pStyle w:val="TableText"/>
            </w:pPr>
            <w:r>
              <w:t>Esophageal</w:t>
            </w:r>
            <w:r w:rsidR="00CF62EC">
              <w:t xml:space="preserve"> Resection</w:t>
            </w:r>
          </w:p>
        </w:tc>
        <w:tc>
          <w:tcPr>
            <w:tcW w:w="4680" w:type="dxa"/>
            <w:vAlign w:val="bottom"/>
          </w:tcPr>
          <w:p w14:paraId="071B95ED" w14:textId="77777777" w:rsidR="00CF62EC" w:rsidRDefault="00CF62EC" w:rsidP="00CF62EC">
            <w:pPr>
              <w:pStyle w:val="TableText"/>
            </w:pPr>
            <w:r>
              <w:t>Splenectomy</w:t>
            </w:r>
          </w:p>
        </w:tc>
      </w:tr>
      <w:tr w:rsidR="00CF62EC" w14:paraId="4229CE79" w14:textId="77777777">
        <w:tc>
          <w:tcPr>
            <w:tcW w:w="4680" w:type="dxa"/>
            <w:vAlign w:val="bottom"/>
          </w:tcPr>
          <w:p w14:paraId="4079D113" w14:textId="04004B12" w:rsidR="00CF62EC" w:rsidRDefault="00CF62EC" w:rsidP="00CF62EC">
            <w:pPr>
              <w:pStyle w:val="TableText"/>
            </w:pPr>
            <w:r>
              <w:t>Esoph</w:t>
            </w:r>
            <w:r w:rsidR="002C6ED0">
              <w:t>a</w:t>
            </w:r>
            <w:r>
              <w:t>gectomy</w:t>
            </w:r>
          </w:p>
        </w:tc>
        <w:tc>
          <w:tcPr>
            <w:tcW w:w="4680" w:type="dxa"/>
            <w:vAlign w:val="bottom"/>
          </w:tcPr>
          <w:p w14:paraId="1C569F4B" w14:textId="77777777" w:rsidR="00CF62EC" w:rsidRDefault="00CF62EC" w:rsidP="00CF62EC">
            <w:pPr>
              <w:pStyle w:val="TableText"/>
            </w:pPr>
            <w:r>
              <w:t>Thyroidectomy</w:t>
            </w:r>
          </w:p>
        </w:tc>
      </w:tr>
      <w:tr w:rsidR="00CF62EC" w14:paraId="1C4D1E9B" w14:textId="77777777">
        <w:tc>
          <w:tcPr>
            <w:tcW w:w="4680" w:type="dxa"/>
            <w:vAlign w:val="bottom"/>
          </w:tcPr>
          <w:p w14:paraId="58E2C3B5" w14:textId="0732F1A5" w:rsidR="00CF62EC" w:rsidRDefault="00CF62EC" w:rsidP="00CF62EC">
            <w:pPr>
              <w:pStyle w:val="TableText"/>
            </w:pPr>
            <w:r>
              <w:t>Femoral-Pop</w:t>
            </w:r>
            <w:r w:rsidR="009521F7">
              <w:t>l</w:t>
            </w:r>
            <w:r>
              <w:t>iteal Bypass</w:t>
            </w:r>
          </w:p>
        </w:tc>
        <w:tc>
          <w:tcPr>
            <w:tcW w:w="4680" w:type="dxa"/>
            <w:vAlign w:val="bottom"/>
          </w:tcPr>
          <w:p w14:paraId="0E7AE919" w14:textId="77777777" w:rsidR="00CF62EC" w:rsidRDefault="00CF62EC" w:rsidP="00CF62EC">
            <w:pPr>
              <w:pStyle w:val="TableText"/>
            </w:pPr>
            <w:r>
              <w:t>Tracheostomy</w:t>
            </w:r>
          </w:p>
        </w:tc>
      </w:tr>
      <w:tr w:rsidR="00CF62EC" w14:paraId="72F8DC73" w14:textId="77777777">
        <w:tc>
          <w:tcPr>
            <w:tcW w:w="4680" w:type="dxa"/>
            <w:vAlign w:val="bottom"/>
          </w:tcPr>
          <w:p w14:paraId="559BCE77" w14:textId="77777777" w:rsidR="00CF62EC" w:rsidRDefault="00CF62EC" w:rsidP="00CF62EC">
            <w:pPr>
              <w:pStyle w:val="TableText"/>
            </w:pPr>
            <w:r>
              <w:t>Fracture, open reduction</w:t>
            </w:r>
          </w:p>
        </w:tc>
        <w:tc>
          <w:tcPr>
            <w:tcW w:w="4680" w:type="dxa"/>
            <w:vAlign w:val="bottom"/>
          </w:tcPr>
          <w:p w14:paraId="554C80DF" w14:textId="77777777" w:rsidR="00CF62EC" w:rsidRDefault="00CF62EC" w:rsidP="00CF62EC">
            <w:pPr>
              <w:pStyle w:val="TableText"/>
            </w:pPr>
            <w:r>
              <w:t>Transurethral Resection (TURP)</w:t>
            </w:r>
          </w:p>
        </w:tc>
      </w:tr>
      <w:tr w:rsidR="00CF62EC" w14:paraId="756AF399" w14:textId="77777777">
        <w:tc>
          <w:tcPr>
            <w:tcW w:w="4680" w:type="dxa"/>
            <w:vAlign w:val="bottom"/>
          </w:tcPr>
          <w:p w14:paraId="502E2821" w14:textId="77777777" w:rsidR="00CF62EC" w:rsidRDefault="00CF62EC" w:rsidP="00CF62EC">
            <w:pPr>
              <w:pStyle w:val="TableText"/>
            </w:pPr>
            <w:r>
              <w:t xml:space="preserve">Fusion, cervical or lumber </w:t>
            </w:r>
          </w:p>
        </w:tc>
        <w:tc>
          <w:tcPr>
            <w:tcW w:w="4680" w:type="dxa"/>
            <w:vAlign w:val="bottom"/>
          </w:tcPr>
          <w:p w14:paraId="15C659AD" w14:textId="77777777" w:rsidR="00CF62EC" w:rsidRDefault="00CF62EC" w:rsidP="00CF62EC">
            <w:pPr>
              <w:pStyle w:val="TableText"/>
            </w:pPr>
            <w:r>
              <w:t>Vagotomy</w:t>
            </w:r>
          </w:p>
        </w:tc>
      </w:tr>
      <w:tr w:rsidR="00CF62EC" w14:paraId="7C7D896D" w14:textId="77777777">
        <w:tc>
          <w:tcPr>
            <w:tcW w:w="4680" w:type="dxa"/>
            <w:vAlign w:val="bottom"/>
          </w:tcPr>
          <w:p w14:paraId="231025CD" w14:textId="77777777" w:rsidR="00CF62EC" w:rsidRDefault="00CF62EC" w:rsidP="00CF62EC">
            <w:pPr>
              <w:pStyle w:val="TableText"/>
            </w:pPr>
            <w:r>
              <w:t>Gastrectomy</w:t>
            </w:r>
          </w:p>
        </w:tc>
        <w:tc>
          <w:tcPr>
            <w:tcW w:w="4680" w:type="dxa"/>
            <w:vAlign w:val="bottom"/>
          </w:tcPr>
          <w:p w14:paraId="3D86EEA2" w14:textId="77777777" w:rsidR="00CF62EC" w:rsidRDefault="00CF62EC" w:rsidP="00CF62EC">
            <w:pPr>
              <w:pStyle w:val="TableText"/>
            </w:pPr>
            <w:r>
              <w:t>Valve replacement, aortic or mitral</w:t>
            </w:r>
          </w:p>
        </w:tc>
      </w:tr>
      <w:tr w:rsidR="00CF62EC" w14:paraId="1A7DE11E" w14:textId="77777777">
        <w:tc>
          <w:tcPr>
            <w:tcW w:w="4680" w:type="dxa"/>
            <w:vAlign w:val="bottom"/>
          </w:tcPr>
          <w:p w14:paraId="770E0CDC" w14:textId="77777777" w:rsidR="00CF62EC" w:rsidRDefault="00CF62EC" w:rsidP="00CF62EC">
            <w:pPr>
              <w:pStyle w:val="TableText"/>
            </w:pPr>
            <w:r>
              <w:t>Gastric Bypass</w:t>
            </w:r>
          </w:p>
        </w:tc>
        <w:tc>
          <w:tcPr>
            <w:tcW w:w="4680" w:type="dxa"/>
            <w:vAlign w:val="bottom"/>
          </w:tcPr>
          <w:p w14:paraId="71105445" w14:textId="77777777" w:rsidR="00CF62EC" w:rsidRDefault="00CF62EC" w:rsidP="00CF62EC">
            <w:pPr>
              <w:pStyle w:val="TableText"/>
            </w:pPr>
            <w:r>
              <w:t>Other*</w:t>
            </w:r>
          </w:p>
        </w:tc>
      </w:tr>
      <w:tr w:rsidR="00CF62EC" w14:paraId="135645A8" w14:textId="77777777">
        <w:tc>
          <w:tcPr>
            <w:tcW w:w="4680" w:type="dxa"/>
            <w:vAlign w:val="bottom"/>
          </w:tcPr>
          <w:p w14:paraId="6A31EDB9" w14:textId="77777777" w:rsidR="00CF62EC" w:rsidRDefault="00CF62EC" w:rsidP="00CF62EC">
            <w:pPr>
              <w:pStyle w:val="TableText"/>
            </w:pPr>
            <w:r>
              <w:t>Glossectomy</w:t>
            </w:r>
          </w:p>
        </w:tc>
        <w:tc>
          <w:tcPr>
            <w:tcW w:w="4680" w:type="dxa"/>
            <w:vAlign w:val="bottom"/>
          </w:tcPr>
          <w:p w14:paraId="1879CA65" w14:textId="77777777" w:rsidR="00CF62EC" w:rsidRDefault="00CF62EC" w:rsidP="00CF62EC">
            <w:pPr>
              <w:pStyle w:val="TableText"/>
            </w:pPr>
          </w:p>
        </w:tc>
      </w:tr>
      <w:tr w:rsidR="00CF62EC" w14:paraId="33D75104" w14:textId="77777777">
        <w:tc>
          <w:tcPr>
            <w:tcW w:w="4680" w:type="dxa"/>
            <w:vAlign w:val="bottom"/>
          </w:tcPr>
          <w:p w14:paraId="6FBB0403" w14:textId="77777777" w:rsidR="00CF62EC" w:rsidRDefault="00CF62EC" w:rsidP="00CF62EC">
            <w:pPr>
              <w:pStyle w:val="TableText"/>
            </w:pPr>
            <w:r>
              <w:t>Hematoma Evacuation, sub- or epidural</w:t>
            </w:r>
          </w:p>
        </w:tc>
        <w:tc>
          <w:tcPr>
            <w:tcW w:w="4680" w:type="dxa"/>
            <w:vAlign w:val="bottom"/>
          </w:tcPr>
          <w:p w14:paraId="7495D9F4" w14:textId="77777777" w:rsidR="00CF62EC" w:rsidRDefault="00CF62EC" w:rsidP="00CF62EC">
            <w:pPr>
              <w:pStyle w:val="TableText"/>
            </w:pPr>
          </w:p>
        </w:tc>
      </w:tr>
    </w:tbl>
    <w:p w14:paraId="664BC52B" w14:textId="77777777" w:rsidR="002A21AE" w:rsidRDefault="002A21AE" w:rsidP="00FA7E65">
      <w:pPr>
        <w:pStyle w:val="BodyText"/>
      </w:pPr>
      <w:r>
        <w:t>*Other surgeries entered in the Surgery Name field during order entry. (</w:t>
      </w:r>
      <w:r w:rsidR="00D5657D">
        <w:t>Local facilities may add</w:t>
      </w:r>
      <w:r w:rsidR="00EB26CD">
        <w:t xml:space="preserve"> surgeries</w:t>
      </w:r>
      <w:r w:rsidR="00D5657D">
        <w:t xml:space="preserve"> to this list</w:t>
      </w:r>
      <w:r>
        <w:t xml:space="preserve">.) Entries made during order entry will not have MSBOS component order recommendations. VBECS does not display “Other” in MSBOS. </w:t>
      </w:r>
    </w:p>
    <w:p w14:paraId="03D7DDBD" w14:textId="77777777" w:rsidR="008A701E" w:rsidRDefault="002A21AE" w:rsidP="008A701E">
      <w:pPr>
        <w:pStyle w:val="Heading3"/>
      </w:pPr>
      <w:r>
        <w:br w:type="page"/>
      </w:r>
      <w:bookmarkStart w:id="665" w:name="_Toc223489218"/>
      <w:r w:rsidR="00966400">
        <w:rPr>
          <w:rFonts w:ascii="Geneva" w:hAnsi="Geneva"/>
          <w:vanish/>
        </w:rPr>
        <w:lastRenderedPageBreak/>
        <w:t xml:space="preserve"> </w:t>
      </w:r>
      <w:r w:rsidR="008A701E">
        <w:rPr>
          <w:rFonts w:ascii="Geneva" w:hAnsi="Geneva"/>
          <w:vanish/>
        </w:rPr>
        <w:t>TT_109.01</w:t>
      </w:r>
      <w:r w:rsidR="008A701E">
        <w:rPr>
          <w:rFonts w:ascii="Geneva" w:hAnsi="Geneva"/>
          <w:vanish/>
          <w:sz w:val="16"/>
        </w:rPr>
        <w:t xml:space="preserve"> </w:t>
      </w:r>
      <w:bookmarkStart w:id="666" w:name="_Toc163645012"/>
      <w:r w:rsidR="008A701E">
        <w:t>BCE COTS Message Updates</w:t>
      </w:r>
      <w:bookmarkEnd w:id="665"/>
      <w:bookmarkEnd w:id="666"/>
      <w:r w:rsidR="008A701E">
        <w:fldChar w:fldCharType="begin"/>
      </w:r>
      <w:r w:rsidR="008A701E">
        <w:instrText xml:space="preserve"> XE “Tables:BCE COTS Message Updates” </w:instrText>
      </w:r>
      <w:r w:rsidR="008A701E">
        <w:fldChar w:fldCharType="end"/>
      </w:r>
    </w:p>
    <w:p w14:paraId="0B624A58" w14:textId="7CDB9D14" w:rsidR="008A701E" w:rsidRDefault="008A701E" w:rsidP="008A701E">
      <w:pPr>
        <w:pStyle w:val="Caption"/>
      </w:pPr>
      <w:bookmarkStart w:id="667" w:name="_Ref22340692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24</w:t>
      </w:r>
      <w:r w:rsidR="004E20BD">
        <w:rPr>
          <w:noProof/>
        </w:rPr>
        <w:fldChar w:fldCharType="end"/>
      </w:r>
      <w:bookmarkEnd w:id="667"/>
      <w:r>
        <w:t xml:space="preserve">: </w:t>
      </w:r>
      <w:r>
        <w:rPr>
          <w:vanish/>
        </w:rPr>
        <w:t>TT_109.01</w:t>
      </w:r>
      <w:r>
        <w:rPr>
          <w:vanish/>
          <w:sz w:val="16"/>
        </w:rPr>
        <w:t xml:space="preserve"> </w:t>
      </w:r>
      <w:r>
        <w:t>BCE COTS Message Updates</w:t>
      </w:r>
    </w:p>
    <w:p w14:paraId="54CACBAA" w14:textId="74EFFBEE" w:rsidR="008A701E" w:rsidRPr="00A31869" w:rsidRDefault="008A701E" w:rsidP="008A701E">
      <w:pPr>
        <w:pStyle w:val="TableTextBullet"/>
        <w:numPr>
          <w:ilvl w:val="0"/>
          <w:numId w:val="0"/>
        </w:numPr>
        <w:ind w:left="90"/>
        <w:rPr>
          <w:rFonts w:ascii="Times New Roman" w:hAnsi="Times New Roman"/>
          <w:b/>
          <w:sz w:val="22"/>
          <w:szCs w:val="22"/>
        </w:rPr>
      </w:pPr>
      <w:r w:rsidRPr="00A31869">
        <w:rPr>
          <w:rFonts w:ascii="Times New Roman" w:hAnsi="Times New Roman"/>
          <w:sz w:val="22"/>
          <w:szCs w:val="22"/>
        </w:rPr>
        <w:t>This table identifies the specific subsequent processing of an assigned unit for one patient unit association that may or may not result in a change to the unit status or other quality and how that may or may not trigger a status change that requires update to the BCE COTS product.</w:t>
      </w:r>
      <w:r w:rsidRPr="00A31869">
        <w:rPr>
          <w:rFonts w:ascii="Times New Roman" w:hAnsi="Times New Roman"/>
          <w:b/>
          <w:sz w:val="22"/>
          <w:szCs w:val="22"/>
        </w:rPr>
        <w:t xml:space="preserve"> </w:t>
      </w:r>
    </w:p>
    <w:p w14:paraId="02F40D5B" w14:textId="77777777" w:rsidR="008A701E" w:rsidRDefault="008A701E" w:rsidP="008A701E">
      <w:pPr>
        <w:pStyle w:val="TableTextBullet"/>
        <w:numPr>
          <w:ilvl w:val="0"/>
          <w:numId w:val="0"/>
        </w:numPr>
        <w:ind w:left="90"/>
        <w:rPr>
          <w:rFonts w:cs="Arial"/>
          <w:b/>
          <w:sz w:val="20"/>
        </w:rPr>
      </w:pPr>
    </w:p>
    <w:p w14:paraId="67B1124E" w14:textId="77777777" w:rsidR="008A701E" w:rsidRDefault="008A701E" w:rsidP="008A701E">
      <w:pPr>
        <w:pStyle w:val="TableTextBullet"/>
        <w:numPr>
          <w:ilvl w:val="0"/>
          <w:numId w:val="0"/>
        </w:numPr>
        <w:ind w:left="90"/>
        <w:rPr>
          <w:rFonts w:cs="Arial"/>
          <w:b/>
          <w:sz w:val="20"/>
        </w:rPr>
      </w:pPr>
      <w:r>
        <w:rPr>
          <w:rFonts w:cs="Arial"/>
          <w:b/>
          <w:sz w:val="20"/>
        </w:rPr>
        <w:t>U</w:t>
      </w:r>
      <w:r w:rsidRPr="00315EA0">
        <w:rPr>
          <w:rFonts w:cs="Arial"/>
          <w:b/>
          <w:sz w:val="20"/>
        </w:rPr>
        <w:t>nit status code</w:t>
      </w:r>
      <w:r>
        <w:rPr>
          <w:rFonts w:cs="Arial"/>
          <w:b/>
          <w:sz w:val="20"/>
        </w:rPr>
        <w:t xml:space="preserve"> legend</w:t>
      </w:r>
      <w:r w:rsidRPr="00315EA0">
        <w:rPr>
          <w:rFonts w:cs="Arial"/>
          <w:b/>
          <w:sz w:val="20"/>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97"/>
        <w:gridCol w:w="2296"/>
        <w:gridCol w:w="2296"/>
      </w:tblGrid>
      <w:tr w:rsidR="008A701E" w:rsidRPr="00186BAB" w14:paraId="2719CCA0" w14:textId="77777777">
        <w:trPr>
          <w:trHeight w:val="255"/>
        </w:trPr>
        <w:tc>
          <w:tcPr>
            <w:tcW w:w="2297" w:type="dxa"/>
            <w:shd w:val="pct20" w:color="auto" w:fill="auto"/>
            <w:vAlign w:val="center"/>
          </w:tcPr>
          <w:p w14:paraId="0F1827A9"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A</w:t>
            </w:r>
          </w:p>
        </w:tc>
        <w:tc>
          <w:tcPr>
            <w:tcW w:w="2297" w:type="dxa"/>
            <w:vAlign w:val="center"/>
          </w:tcPr>
          <w:p w14:paraId="2CB64966" w14:textId="77777777" w:rsidR="008A701E" w:rsidRPr="00186BAB" w:rsidRDefault="008A701E" w:rsidP="008A701E">
            <w:pPr>
              <w:rPr>
                <w:rFonts w:ascii="Arial" w:hAnsi="Arial" w:cs="Arial"/>
                <w:sz w:val="20"/>
                <w:szCs w:val="20"/>
              </w:rPr>
            </w:pPr>
            <w:r w:rsidRPr="00186BAB">
              <w:rPr>
                <w:rFonts w:ascii="Arial" w:hAnsi="Arial" w:cs="Arial"/>
                <w:sz w:val="20"/>
                <w:szCs w:val="20"/>
              </w:rPr>
              <w:t>Available</w:t>
            </w:r>
          </w:p>
        </w:tc>
        <w:tc>
          <w:tcPr>
            <w:tcW w:w="2296" w:type="dxa"/>
            <w:shd w:val="pct20" w:color="auto" w:fill="auto"/>
            <w:vAlign w:val="center"/>
          </w:tcPr>
          <w:p w14:paraId="682AA113"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S</w:t>
            </w:r>
          </w:p>
        </w:tc>
        <w:tc>
          <w:tcPr>
            <w:tcW w:w="2296" w:type="dxa"/>
            <w:vAlign w:val="center"/>
          </w:tcPr>
          <w:p w14:paraId="467239A2" w14:textId="77777777" w:rsidR="008A701E" w:rsidRPr="00186BAB" w:rsidRDefault="008A701E" w:rsidP="008A701E">
            <w:pPr>
              <w:rPr>
                <w:rFonts w:ascii="Arial" w:hAnsi="Arial" w:cs="Arial"/>
                <w:sz w:val="20"/>
                <w:szCs w:val="20"/>
              </w:rPr>
            </w:pPr>
            <w:r w:rsidRPr="00186BAB">
              <w:rPr>
                <w:rFonts w:ascii="Arial" w:hAnsi="Arial" w:cs="Arial"/>
                <w:sz w:val="20"/>
                <w:szCs w:val="20"/>
              </w:rPr>
              <w:t>Assigned</w:t>
            </w:r>
          </w:p>
        </w:tc>
      </w:tr>
      <w:tr w:rsidR="008A701E" w:rsidRPr="00186BAB" w14:paraId="002D2631" w14:textId="77777777">
        <w:trPr>
          <w:trHeight w:val="255"/>
        </w:trPr>
        <w:tc>
          <w:tcPr>
            <w:tcW w:w="2297" w:type="dxa"/>
            <w:shd w:val="pct20" w:color="auto" w:fill="auto"/>
            <w:vAlign w:val="center"/>
          </w:tcPr>
          <w:p w14:paraId="23CBE8A0"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C</w:t>
            </w:r>
          </w:p>
        </w:tc>
        <w:tc>
          <w:tcPr>
            <w:tcW w:w="2297" w:type="dxa"/>
            <w:vAlign w:val="center"/>
          </w:tcPr>
          <w:p w14:paraId="60A7F513" w14:textId="77777777" w:rsidR="008A701E" w:rsidRPr="00186BAB" w:rsidRDefault="008A701E" w:rsidP="008A701E">
            <w:pPr>
              <w:rPr>
                <w:rFonts w:ascii="Arial" w:hAnsi="Arial" w:cs="Arial"/>
                <w:sz w:val="20"/>
                <w:szCs w:val="20"/>
              </w:rPr>
            </w:pPr>
            <w:r w:rsidRPr="00186BAB">
              <w:rPr>
                <w:rFonts w:ascii="Arial" w:hAnsi="Arial" w:cs="Arial"/>
                <w:sz w:val="20"/>
                <w:szCs w:val="20"/>
              </w:rPr>
              <w:t>Crossmatched</w:t>
            </w:r>
          </w:p>
        </w:tc>
        <w:tc>
          <w:tcPr>
            <w:tcW w:w="2296" w:type="dxa"/>
            <w:shd w:val="pct20" w:color="auto" w:fill="auto"/>
            <w:vAlign w:val="center"/>
          </w:tcPr>
          <w:p w14:paraId="2671C7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T</w:t>
            </w:r>
          </w:p>
        </w:tc>
        <w:tc>
          <w:tcPr>
            <w:tcW w:w="2296" w:type="dxa"/>
            <w:vAlign w:val="center"/>
          </w:tcPr>
          <w:p w14:paraId="76002F8D" w14:textId="77777777" w:rsidR="008A701E" w:rsidRPr="00186BAB" w:rsidRDefault="008A701E" w:rsidP="008A701E">
            <w:pPr>
              <w:rPr>
                <w:rFonts w:ascii="Arial" w:hAnsi="Arial" w:cs="Arial"/>
                <w:sz w:val="20"/>
                <w:szCs w:val="20"/>
              </w:rPr>
            </w:pPr>
            <w:r w:rsidRPr="00186BAB">
              <w:rPr>
                <w:rFonts w:ascii="Arial" w:hAnsi="Arial" w:cs="Arial"/>
                <w:sz w:val="20"/>
                <w:szCs w:val="20"/>
              </w:rPr>
              <w:t>Transfused</w:t>
            </w:r>
          </w:p>
        </w:tc>
      </w:tr>
      <w:tr w:rsidR="008A701E" w:rsidRPr="00186BAB" w14:paraId="08562439" w14:textId="77777777">
        <w:trPr>
          <w:trHeight w:val="255"/>
        </w:trPr>
        <w:tc>
          <w:tcPr>
            <w:tcW w:w="2297" w:type="dxa"/>
            <w:shd w:val="pct20" w:color="auto" w:fill="auto"/>
            <w:vAlign w:val="center"/>
          </w:tcPr>
          <w:p w14:paraId="5F1EE3E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w:t>
            </w:r>
          </w:p>
        </w:tc>
        <w:tc>
          <w:tcPr>
            <w:tcW w:w="2297" w:type="dxa"/>
            <w:vAlign w:val="center"/>
          </w:tcPr>
          <w:p w14:paraId="3F1A781A" w14:textId="77777777" w:rsidR="008A701E" w:rsidRPr="00186BAB" w:rsidRDefault="008A701E" w:rsidP="008A701E">
            <w:pPr>
              <w:rPr>
                <w:rFonts w:ascii="Arial" w:hAnsi="Arial" w:cs="Arial"/>
                <w:sz w:val="20"/>
                <w:szCs w:val="20"/>
              </w:rPr>
            </w:pPr>
            <w:r w:rsidRPr="00186BAB">
              <w:rPr>
                <w:rFonts w:ascii="Arial" w:hAnsi="Arial" w:cs="Arial"/>
                <w:sz w:val="20"/>
                <w:szCs w:val="20"/>
              </w:rPr>
              <w:t>Discarded</w:t>
            </w:r>
          </w:p>
        </w:tc>
        <w:tc>
          <w:tcPr>
            <w:tcW w:w="2296" w:type="dxa"/>
            <w:shd w:val="pct20" w:color="auto" w:fill="auto"/>
            <w:vAlign w:val="center"/>
          </w:tcPr>
          <w:p w14:paraId="757E5B7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X</w:t>
            </w:r>
          </w:p>
        </w:tc>
        <w:tc>
          <w:tcPr>
            <w:tcW w:w="2296" w:type="dxa"/>
            <w:vAlign w:val="center"/>
          </w:tcPr>
          <w:p w14:paraId="0B8855F4" w14:textId="77777777" w:rsidR="008A701E" w:rsidRPr="00186BAB" w:rsidRDefault="008A701E" w:rsidP="008A701E">
            <w:pPr>
              <w:rPr>
                <w:rFonts w:ascii="Arial" w:hAnsi="Arial" w:cs="Arial"/>
                <w:sz w:val="20"/>
                <w:szCs w:val="20"/>
              </w:rPr>
            </w:pPr>
            <w:r w:rsidRPr="00186BAB">
              <w:rPr>
                <w:rFonts w:ascii="Arial" w:hAnsi="Arial" w:cs="Arial"/>
                <w:sz w:val="20"/>
                <w:szCs w:val="20"/>
              </w:rPr>
              <w:t>Transferred</w:t>
            </w:r>
          </w:p>
        </w:tc>
      </w:tr>
      <w:tr w:rsidR="008A701E" w:rsidRPr="00186BAB" w14:paraId="3A3DA0CB" w14:textId="77777777">
        <w:trPr>
          <w:trHeight w:val="255"/>
        </w:trPr>
        <w:tc>
          <w:tcPr>
            <w:tcW w:w="2297" w:type="dxa"/>
            <w:shd w:val="pct20" w:color="auto" w:fill="auto"/>
            <w:vAlign w:val="center"/>
          </w:tcPr>
          <w:p w14:paraId="6BB8431F"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I</w:t>
            </w:r>
          </w:p>
        </w:tc>
        <w:tc>
          <w:tcPr>
            <w:tcW w:w="2297" w:type="dxa"/>
            <w:vAlign w:val="center"/>
          </w:tcPr>
          <w:p w14:paraId="16F3E0BE" w14:textId="77777777" w:rsidR="008A701E" w:rsidRPr="00186BAB" w:rsidRDefault="008A701E" w:rsidP="008A701E">
            <w:pPr>
              <w:rPr>
                <w:rFonts w:ascii="Arial" w:hAnsi="Arial" w:cs="Arial"/>
                <w:sz w:val="20"/>
                <w:szCs w:val="20"/>
              </w:rPr>
            </w:pPr>
            <w:r w:rsidRPr="00186BAB">
              <w:rPr>
                <w:rFonts w:ascii="Arial" w:hAnsi="Arial" w:cs="Arial"/>
                <w:sz w:val="20"/>
                <w:szCs w:val="20"/>
              </w:rPr>
              <w:t>Issued</w:t>
            </w:r>
          </w:p>
        </w:tc>
        <w:tc>
          <w:tcPr>
            <w:tcW w:w="2296" w:type="dxa"/>
            <w:shd w:val="pct20" w:color="auto" w:fill="auto"/>
            <w:vAlign w:val="center"/>
          </w:tcPr>
          <w:p w14:paraId="2501A2D4"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DS</w:t>
            </w:r>
          </w:p>
        </w:tc>
        <w:tc>
          <w:tcPr>
            <w:tcW w:w="2296" w:type="dxa"/>
            <w:vAlign w:val="center"/>
          </w:tcPr>
          <w:p w14:paraId="4AD075A2" w14:textId="77777777" w:rsidR="008A701E" w:rsidRPr="00186BAB" w:rsidRDefault="008A701E" w:rsidP="008A701E">
            <w:pPr>
              <w:rPr>
                <w:rFonts w:ascii="Arial" w:hAnsi="Arial" w:cs="Arial"/>
                <w:sz w:val="20"/>
                <w:szCs w:val="20"/>
              </w:rPr>
            </w:pPr>
            <w:r w:rsidRPr="00186BAB">
              <w:rPr>
                <w:rFonts w:ascii="Arial" w:hAnsi="Arial" w:cs="Arial"/>
                <w:sz w:val="20"/>
                <w:szCs w:val="20"/>
              </w:rPr>
              <w:t>Dispense Unit (Issued)</w:t>
            </w:r>
          </w:p>
        </w:tc>
      </w:tr>
      <w:tr w:rsidR="008A701E" w:rsidRPr="00186BAB" w14:paraId="7DAB7EFD" w14:textId="77777777">
        <w:trPr>
          <w:trHeight w:val="255"/>
        </w:trPr>
        <w:tc>
          <w:tcPr>
            <w:tcW w:w="2297" w:type="dxa"/>
            <w:shd w:val="pct20" w:color="auto" w:fill="auto"/>
            <w:vAlign w:val="center"/>
          </w:tcPr>
          <w:p w14:paraId="694E56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L</w:t>
            </w:r>
          </w:p>
        </w:tc>
        <w:tc>
          <w:tcPr>
            <w:tcW w:w="2297" w:type="dxa"/>
            <w:vAlign w:val="center"/>
          </w:tcPr>
          <w:p w14:paraId="7D5A3728" w14:textId="77777777" w:rsidR="008A701E" w:rsidRPr="00186BAB" w:rsidRDefault="008A701E" w:rsidP="008A701E">
            <w:pPr>
              <w:rPr>
                <w:rFonts w:ascii="Arial" w:hAnsi="Arial" w:cs="Arial"/>
                <w:sz w:val="20"/>
                <w:szCs w:val="20"/>
              </w:rPr>
            </w:pPr>
            <w:r w:rsidRPr="00186BAB">
              <w:rPr>
                <w:rFonts w:ascii="Arial" w:hAnsi="Arial" w:cs="Arial"/>
                <w:sz w:val="20"/>
                <w:szCs w:val="20"/>
              </w:rPr>
              <w:t>Limited</w:t>
            </w:r>
          </w:p>
        </w:tc>
        <w:tc>
          <w:tcPr>
            <w:tcW w:w="2296" w:type="dxa"/>
            <w:shd w:val="pct20" w:color="auto" w:fill="auto"/>
            <w:vAlign w:val="center"/>
          </w:tcPr>
          <w:p w14:paraId="0902E9A1"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RE</w:t>
            </w:r>
          </w:p>
        </w:tc>
        <w:tc>
          <w:tcPr>
            <w:tcW w:w="2296" w:type="dxa"/>
            <w:vAlign w:val="center"/>
          </w:tcPr>
          <w:p w14:paraId="4FC96EC6" w14:textId="77777777" w:rsidR="008A701E" w:rsidRPr="00186BAB" w:rsidRDefault="008A701E" w:rsidP="008A701E">
            <w:pPr>
              <w:rPr>
                <w:rFonts w:ascii="Arial" w:hAnsi="Arial" w:cs="Arial"/>
                <w:sz w:val="20"/>
                <w:szCs w:val="20"/>
              </w:rPr>
            </w:pPr>
            <w:r w:rsidRPr="00186BAB">
              <w:rPr>
                <w:rFonts w:ascii="Arial" w:hAnsi="Arial" w:cs="Arial"/>
                <w:sz w:val="20"/>
                <w:szCs w:val="20"/>
              </w:rPr>
              <w:t>Release Unit</w:t>
            </w:r>
          </w:p>
        </w:tc>
      </w:tr>
      <w:tr w:rsidR="008A701E" w:rsidRPr="00186BAB" w14:paraId="7561C38F" w14:textId="77777777">
        <w:trPr>
          <w:trHeight w:val="255"/>
        </w:trPr>
        <w:tc>
          <w:tcPr>
            <w:tcW w:w="2297" w:type="dxa"/>
            <w:shd w:val="pct20" w:color="auto" w:fill="auto"/>
            <w:vAlign w:val="center"/>
          </w:tcPr>
          <w:p w14:paraId="3733A0AE"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M</w:t>
            </w:r>
          </w:p>
        </w:tc>
        <w:tc>
          <w:tcPr>
            <w:tcW w:w="2297" w:type="dxa"/>
            <w:vAlign w:val="center"/>
          </w:tcPr>
          <w:p w14:paraId="52A7F4EC" w14:textId="77777777" w:rsidR="008A701E" w:rsidRPr="00186BAB" w:rsidRDefault="008A701E" w:rsidP="008A701E">
            <w:pPr>
              <w:rPr>
                <w:rFonts w:ascii="Arial" w:hAnsi="Arial" w:cs="Arial"/>
                <w:sz w:val="20"/>
                <w:szCs w:val="20"/>
              </w:rPr>
            </w:pPr>
            <w:r w:rsidRPr="00186BAB">
              <w:rPr>
                <w:rFonts w:ascii="Arial" w:hAnsi="Arial" w:cs="Arial"/>
                <w:sz w:val="20"/>
                <w:szCs w:val="20"/>
              </w:rPr>
              <w:t>Modified</w:t>
            </w:r>
          </w:p>
        </w:tc>
        <w:tc>
          <w:tcPr>
            <w:tcW w:w="2296" w:type="dxa"/>
            <w:shd w:val="pct20" w:color="auto" w:fill="auto"/>
            <w:vAlign w:val="center"/>
          </w:tcPr>
          <w:p w14:paraId="106BE70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RS</w:t>
            </w:r>
          </w:p>
        </w:tc>
        <w:tc>
          <w:tcPr>
            <w:tcW w:w="2296" w:type="dxa"/>
            <w:vAlign w:val="center"/>
          </w:tcPr>
          <w:p w14:paraId="168B344A" w14:textId="77777777" w:rsidR="008A701E" w:rsidRPr="00186BAB" w:rsidRDefault="008A701E" w:rsidP="008A701E">
            <w:pPr>
              <w:rPr>
                <w:rFonts w:ascii="Arial" w:hAnsi="Arial" w:cs="Arial"/>
                <w:sz w:val="20"/>
                <w:szCs w:val="20"/>
              </w:rPr>
            </w:pPr>
            <w:r w:rsidRPr="00186BAB">
              <w:rPr>
                <w:rFonts w:ascii="Arial" w:hAnsi="Arial" w:cs="Arial"/>
                <w:sz w:val="20"/>
                <w:szCs w:val="20"/>
              </w:rPr>
              <w:t>Reserve Unit</w:t>
            </w:r>
          </w:p>
        </w:tc>
      </w:tr>
    </w:tbl>
    <w:p w14:paraId="42984C7F" w14:textId="77777777" w:rsidR="008A701E" w:rsidRPr="00186BAB" w:rsidRDefault="008A701E" w:rsidP="008A701E">
      <w:r w:rsidRPr="00C1371B">
        <w:t xml:space="preserve"> </w:t>
      </w:r>
    </w:p>
    <w:tbl>
      <w:tblPr>
        <w:tblW w:w="9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540"/>
        <w:gridCol w:w="1867"/>
        <w:gridCol w:w="3060"/>
        <w:gridCol w:w="1530"/>
        <w:gridCol w:w="2071"/>
      </w:tblGrid>
      <w:tr w:rsidR="008A701E" w:rsidRPr="006A2781" w14:paraId="1C810CA7" w14:textId="77777777" w:rsidTr="00A732E0">
        <w:trPr>
          <w:cantSplit/>
          <w:tblHeader/>
        </w:trPr>
        <w:tc>
          <w:tcPr>
            <w:tcW w:w="9518" w:type="dxa"/>
            <w:gridSpan w:val="6"/>
            <w:shd w:val="clear" w:color="auto" w:fill="C0C0C0"/>
            <w:vAlign w:val="bottom"/>
          </w:tcPr>
          <w:p w14:paraId="67BB6E3D" w14:textId="77777777" w:rsidR="008A701E" w:rsidRPr="006A2781" w:rsidRDefault="008A701E" w:rsidP="008A701E">
            <w:pPr>
              <w:jc w:val="center"/>
              <w:rPr>
                <w:rFonts w:ascii="Arial" w:hAnsi="Arial" w:cs="Arial"/>
                <w:b/>
                <w:bCs/>
                <w:sz w:val="18"/>
                <w:szCs w:val="18"/>
              </w:rPr>
            </w:pPr>
            <w:r w:rsidRPr="006A2781">
              <w:rPr>
                <w:rFonts w:ascii="Arial" w:hAnsi="Arial" w:cs="Arial"/>
                <w:b/>
                <w:sz w:val="18"/>
                <w:szCs w:val="18"/>
              </w:rPr>
              <w:t>BCE COTS Message Updates</w:t>
            </w:r>
          </w:p>
        </w:tc>
      </w:tr>
      <w:tr w:rsidR="008A701E" w:rsidRPr="006A2781" w14:paraId="72F56D1B" w14:textId="77777777" w:rsidTr="00A732E0">
        <w:trPr>
          <w:cantSplit/>
          <w:trHeight w:val="1134"/>
          <w:tblHeader/>
        </w:trPr>
        <w:tc>
          <w:tcPr>
            <w:tcW w:w="450" w:type="dxa"/>
            <w:shd w:val="clear" w:color="auto" w:fill="C0C0C0"/>
            <w:textDirection w:val="btLr"/>
            <w:vAlign w:val="bottom"/>
          </w:tcPr>
          <w:p w14:paraId="1DCF2B20"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Row #</w:t>
            </w:r>
          </w:p>
        </w:tc>
        <w:tc>
          <w:tcPr>
            <w:tcW w:w="540" w:type="dxa"/>
            <w:shd w:val="clear" w:color="auto" w:fill="C0C0C0"/>
            <w:textDirection w:val="btLr"/>
            <w:vAlign w:val="bottom"/>
          </w:tcPr>
          <w:p w14:paraId="2FB636E7"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Initial Unit Status</w:t>
            </w:r>
          </w:p>
        </w:tc>
        <w:tc>
          <w:tcPr>
            <w:tcW w:w="1867" w:type="dxa"/>
            <w:shd w:val="clear" w:color="auto" w:fill="C0C0C0"/>
            <w:vAlign w:val="bottom"/>
          </w:tcPr>
          <w:p w14:paraId="7C65124F" w14:textId="77777777" w:rsidR="008A701E" w:rsidRPr="006A2781" w:rsidRDefault="008A701E" w:rsidP="008A701E">
            <w:pPr>
              <w:rPr>
                <w:rFonts w:ascii="Arial" w:hAnsi="Arial" w:cs="Arial"/>
                <w:b/>
                <w:bCs/>
                <w:sz w:val="18"/>
                <w:szCs w:val="18"/>
              </w:rPr>
            </w:pPr>
            <w:r w:rsidRPr="006A2781">
              <w:rPr>
                <w:rFonts w:ascii="Arial" w:hAnsi="Arial" w:cs="Arial"/>
                <w:b/>
                <w:bCs/>
                <w:sz w:val="18"/>
                <w:szCs w:val="18"/>
              </w:rPr>
              <w:t>Processin</w:t>
            </w:r>
            <w:r>
              <w:rPr>
                <w:rFonts w:ascii="Arial" w:hAnsi="Arial" w:cs="Arial"/>
                <w:b/>
                <w:bCs/>
                <w:sz w:val="18"/>
                <w:szCs w:val="18"/>
              </w:rPr>
              <w:t>g Option</w:t>
            </w:r>
          </w:p>
        </w:tc>
        <w:tc>
          <w:tcPr>
            <w:tcW w:w="3060" w:type="dxa"/>
            <w:shd w:val="clear" w:color="auto" w:fill="C0C0C0"/>
            <w:vAlign w:val="bottom"/>
          </w:tcPr>
          <w:p w14:paraId="4C7C4B19" w14:textId="77777777" w:rsidR="008A701E" w:rsidRPr="006A2781" w:rsidRDefault="008A701E" w:rsidP="008A701E">
            <w:pPr>
              <w:rPr>
                <w:rFonts w:ascii="Arial" w:hAnsi="Arial" w:cs="Arial"/>
                <w:b/>
                <w:bCs/>
                <w:sz w:val="18"/>
                <w:szCs w:val="18"/>
              </w:rPr>
            </w:pPr>
            <w:r>
              <w:rPr>
                <w:rFonts w:ascii="Arial" w:hAnsi="Arial" w:cs="Arial"/>
                <w:b/>
                <w:bCs/>
                <w:sz w:val="18"/>
                <w:szCs w:val="18"/>
              </w:rPr>
              <w:t>Additional Information About t</w:t>
            </w:r>
            <w:r w:rsidRPr="006A2781">
              <w:rPr>
                <w:rFonts w:ascii="Arial" w:hAnsi="Arial" w:cs="Arial"/>
                <w:b/>
                <w:bCs/>
                <w:sz w:val="18"/>
                <w:szCs w:val="18"/>
              </w:rPr>
              <w:t xml:space="preserve">he Processing </w:t>
            </w:r>
            <w:r>
              <w:rPr>
                <w:rFonts w:ascii="Arial" w:hAnsi="Arial" w:cs="Arial"/>
                <w:b/>
                <w:bCs/>
                <w:sz w:val="18"/>
                <w:szCs w:val="18"/>
              </w:rPr>
              <w:t>Option</w:t>
            </w:r>
          </w:p>
        </w:tc>
        <w:tc>
          <w:tcPr>
            <w:tcW w:w="1530" w:type="dxa"/>
            <w:shd w:val="clear" w:color="auto" w:fill="C0C0C0"/>
            <w:vAlign w:val="bottom"/>
          </w:tcPr>
          <w:p w14:paraId="5759D539" w14:textId="77777777" w:rsidR="008A701E" w:rsidRPr="006A2781" w:rsidRDefault="008A701E" w:rsidP="008A701E">
            <w:pPr>
              <w:jc w:val="center"/>
              <w:rPr>
                <w:rFonts w:ascii="Arial" w:hAnsi="Arial" w:cs="Arial"/>
                <w:b/>
                <w:bCs/>
                <w:sz w:val="18"/>
                <w:szCs w:val="18"/>
              </w:rPr>
            </w:pPr>
            <w:r>
              <w:rPr>
                <w:rFonts w:ascii="Arial" w:hAnsi="Arial" w:cs="Arial"/>
                <w:b/>
                <w:bCs/>
                <w:sz w:val="18"/>
                <w:szCs w:val="18"/>
              </w:rPr>
              <w:t>Unit Status Exiting</w:t>
            </w:r>
            <w:r>
              <w:rPr>
                <w:rFonts w:ascii="Arial" w:hAnsi="Arial" w:cs="Arial"/>
                <w:b/>
                <w:bCs/>
                <w:sz w:val="18"/>
                <w:szCs w:val="18"/>
              </w:rPr>
              <w:br/>
              <w:t>t</w:t>
            </w:r>
            <w:r w:rsidRPr="006A2781">
              <w:rPr>
                <w:rFonts w:ascii="Arial" w:hAnsi="Arial" w:cs="Arial"/>
                <w:b/>
                <w:bCs/>
                <w:sz w:val="18"/>
                <w:szCs w:val="18"/>
              </w:rPr>
              <w:t xml:space="preserve">he </w:t>
            </w:r>
            <w:r>
              <w:rPr>
                <w:rFonts w:ascii="Arial" w:hAnsi="Arial" w:cs="Arial"/>
                <w:b/>
                <w:bCs/>
                <w:sz w:val="18"/>
                <w:szCs w:val="18"/>
              </w:rPr>
              <w:t>Option</w:t>
            </w:r>
          </w:p>
        </w:tc>
        <w:tc>
          <w:tcPr>
            <w:tcW w:w="2070" w:type="dxa"/>
            <w:shd w:val="clear" w:color="auto" w:fill="C0C0C0"/>
            <w:noWrap/>
            <w:vAlign w:val="bottom"/>
          </w:tcPr>
          <w:p w14:paraId="2C55CF10" w14:textId="77777777" w:rsidR="008A701E" w:rsidRPr="006A2781" w:rsidRDefault="008A701E" w:rsidP="008A701E">
            <w:pPr>
              <w:rPr>
                <w:rFonts w:ascii="Arial" w:hAnsi="Arial" w:cs="Arial"/>
                <w:b/>
                <w:sz w:val="18"/>
                <w:szCs w:val="18"/>
              </w:rPr>
            </w:pPr>
            <w:r>
              <w:rPr>
                <w:rFonts w:ascii="Arial" w:hAnsi="Arial" w:cs="Arial"/>
                <w:b/>
                <w:bCs/>
                <w:sz w:val="18"/>
                <w:szCs w:val="18"/>
              </w:rPr>
              <w:t>Unit Status Reported to BCE COTS</w:t>
            </w:r>
          </w:p>
        </w:tc>
      </w:tr>
      <w:tr w:rsidR="008A701E" w:rsidRPr="006A2781" w14:paraId="666C21DE" w14:textId="77777777" w:rsidTr="00A732E0">
        <w:trPr>
          <w:cantSplit/>
          <w:trHeight w:val="255"/>
        </w:trPr>
        <w:tc>
          <w:tcPr>
            <w:tcW w:w="450" w:type="dxa"/>
            <w:vAlign w:val="bottom"/>
          </w:tcPr>
          <w:p w14:paraId="4C678BE9" w14:textId="77777777" w:rsidR="008A701E" w:rsidRPr="006A2781" w:rsidRDefault="008A701E" w:rsidP="008A701E">
            <w:pPr>
              <w:jc w:val="center"/>
              <w:rPr>
                <w:rFonts w:ascii="Arial" w:hAnsi="Arial" w:cs="Arial"/>
                <w:sz w:val="18"/>
                <w:szCs w:val="18"/>
              </w:rPr>
            </w:pPr>
            <w:r>
              <w:rPr>
                <w:rFonts w:ascii="Arial" w:hAnsi="Arial" w:cs="Arial"/>
                <w:sz w:val="18"/>
                <w:szCs w:val="18"/>
              </w:rPr>
              <w:t>1</w:t>
            </w:r>
          </w:p>
        </w:tc>
        <w:tc>
          <w:tcPr>
            <w:tcW w:w="540" w:type="dxa"/>
            <w:vAlign w:val="bottom"/>
          </w:tcPr>
          <w:p w14:paraId="3B6F411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867" w:type="dxa"/>
            <w:shd w:val="clear" w:color="auto" w:fill="auto"/>
            <w:noWrap/>
            <w:vAlign w:val="bottom"/>
          </w:tcPr>
          <w:p w14:paraId="3620C1DC" w14:textId="77777777" w:rsidR="008A701E" w:rsidRPr="006A2781" w:rsidRDefault="008A701E" w:rsidP="008A701E">
            <w:pPr>
              <w:rPr>
                <w:rFonts w:ascii="Arial" w:hAnsi="Arial" w:cs="Arial"/>
                <w:sz w:val="18"/>
                <w:szCs w:val="18"/>
              </w:rPr>
            </w:pPr>
            <w:r>
              <w:rPr>
                <w:rFonts w:ascii="Arial" w:hAnsi="Arial" w:cs="Arial"/>
                <w:sz w:val="18"/>
                <w:szCs w:val="18"/>
              </w:rPr>
              <w:t>Select Unit for Patient</w:t>
            </w:r>
          </w:p>
        </w:tc>
        <w:tc>
          <w:tcPr>
            <w:tcW w:w="3060" w:type="dxa"/>
            <w:shd w:val="clear" w:color="auto" w:fill="auto"/>
            <w:noWrap/>
            <w:vAlign w:val="bottom"/>
          </w:tcPr>
          <w:p w14:paraId="21B9D8B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71BC668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63B65F1F"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E6E86C1" w14:textId="77777777" w:rsidTr="00A732E0">
        <w:trPr>
          <w:cantSplit/>
          <w:trHeight w:val="255"/>
        </w:trPr>
        <w:tc>
          <w:tcPr>
            <w:tcW w:w="450" w:type="dxa"/>
            <w:vAlign w:val="bottom"/>
          </w:tcPr>
          <w:p w14:paraId="5D5C3A48" w14:textId="77777777" w:rsidR="008A701E" w:rsidRPr="006A2781" w:rsidRDefault="008A701E" w:rsidP="008A701E">
            <w:pPr>
              <w:jc w:val="center"/>
              <w:rPr>
                <w:rFonts w:ascii="Arial" w:hAnsi="Arial" w:cs="Arial"/>
                <w:sz w:val="18"/>
                <w:szCs w:val="18"/>
              </w:rPr>
            </w:pPr>
            <w:r>
              <w:rPr>
                <w:rFonts w:ascii="Arial" w:hAnsi="Arial" w:cs="Arial"/>
                <w:sz w:val="18"/>
                <w:szCs w:val="18"/>
              </w:rPr>
              <w:t>2</w:t>
            </w:r>
          </w:p>
        </w:tc>
        <w:tc>
          <w:tcPr>
            <w:tcW w:w="540" w:type="dxa"/>
            <w:vAlign w:val="bottom"/>
          </w:tcPr>
          <w:p w14:paraId="3634C6E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867" w:type="dxa"/>
            <w:shd w:val="clear" w:color="auto" w:fill="auto"/>
            <w:noWrap/>
          </w:tcPr>
          <w:p w14:paraId="21C06C15"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6DFF3060" w14:textId="77777777" w:rsidR="008A701E" w:rsidRPr="006A2781" w:rsidRDefault="008A701E" w:rsidP="008A701E">
            <w:pPr>
              <w:rPr>
                <w:rFonts w:ascii="Arial" w:hAnsi="Arial" w:cs="Arial"/>
                <w:sz w:val="18"/>
                <w:szCs w:val="18"/>
              </w:rPr>
            </w:pPr>
            <w:r w:rsidRPr="006A2781">
              <w:rPr>
                <w:rFonts w:ascii="Arial" w:hAnsi="Arial" w:cs="Arial"/>
                <w:sz w:val="18"/>
                <w:szCs w:val="18"/>
              </w:rPr>
              <w:t>Emergency issue flow</w:t>
            </w:r>
          </w:p>
        </w:tc>
        <w:tc>
          <w:tcPr>
            <w:tcW w:w="1530" w:type="dxa"/>
            <w:shd w:val="clear" w:color="auto" w:fill="auto"/>
            <w:noWrap/>
            <w:vAlign w:val="bottom"/>
          </w:tcPr>
          <w:p w14:paraId="71EFCF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7F49E6D"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291F9AAB" w14:textId="77777777" w:rsidTr="00A732E0">
        <w:trPr>
          <w:cantSplit/>
          <w:trHeight w:val="255"/>
        </w:trPr>
        <w:tc>
          <w:tcPr>
            <w:tcW w:w="450" w:type="dxa"/>
            <w:vAlign w:val="bottom"/>
          </w:tcPr>
          <w:p w14:paraId="113454B6" w14:textId="77777777" w:rsidR="008A701E" w:rsidRDefault="008A701E" w:rsidP="008A701E">
            <w:pPr>
              <w:jc w:val="center"/>
              <w:rPr>
                <w:rFonts w:ascii="Arial" w:hAnsi="Arial" w:cs="Arial"/>
                <w:sz w:val="18"/>
                <w:szCs w:val="18"/>
              </w:rPr>
            </w:pPr>
            <w:r>
              <w:rPr>
                <w:rFonts w:ascii="Arial" w:hAnsi="Arial" w:cs="Arial"/>
                <w:sz w:val="18"/>
                <w:szCs w:val="18"/>
              </w:rPr>
              <w:t>3</w:t>
            </w:r>
          </w:p>
        </w:tc>
        <w:tc>
          <w:tcPr>
            <w:tcW w:w="540" w:type="dxa"/>
            <w:vAlign w:val="bottom"/>
          </w:tcPr>
          <w:p w14:paraId="1FA27F3E"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1867" w:type="dxa"/>
            <w:shd w:val="clear" w:color="auto" w:fill="auto"/>
            <w:noWrap/>
          </w:tcPr>
          <w:p w14:paraId="37F83F0C"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49977AD0" w14:textId="77777777" w:rsidR="008A701E" w:rsidRPr="006A2781" w:rsidRDefault="008A701E" w:rsidP="008A701E">
            <w:pPr>
              <w:rPr>
                <w:rFonts w:ascii="Arial" w:hAnsi="Arial" w:cs="Arial"/>
                <w:sz w:val="18"/>
                <w:szCs w:val="18"/>
              </w:rPr>
            </w:pPr>
            <w:r w:rsidRPr="006A2781">
              <w:rPr>
                <w:rFonts w:ascii="Arial" w:hAnsi="Arial" w:cs="Arial"/>
                <w:sz w:val="18"/>
                <w:szCs w:val="18"/>
              </w:rPr>
              <w:t>Electronic Crossmatch processed</w:t>
            </w:r>
          </w:p>
        </w:tc>
        <w:tc>
          <w:tcPr>
            <w:tcW w:w="1530" w:type="dxa"/>
            <w:shd w:val="clear" w:color="auto" w:fill="auto"/>
            <w:noWrap/>
            <w:vAlign w:val="bottom"/>
          </w:tcPr>
          <w:p w14:paraId="534F54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255781E9"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7CB3893" w14:textId="77777777" w:rsidTr="00A732E0">
        <w:trPr>
          <w:cantSplit/>
          <w:trHeight w:val="255"/>
        </w:trPr>
        <w:tc>
          <w:tcPr>
            <w:tcW w:w="450" w:type="dxa"/>
            <w:vAlign w:val="bottom"/>
          </w:tcPr>
          <w:p w14:paraId="3C7D4F7D" w14:textId="77777777" w:rsidR="008A701E" w:rsidRPr="006A2781" w:rsidRDefault="008A701E" w:rsidP="008A701E">
            <w:pPr>
              <w:jc w:val="center"/>
              <w:rPr>
                <w:rFonts w:ascii="Arial" w:hAnsi="Arial" w:cs="Arial"/>
                <w:sz w:val="18"/>
                <w:szCs w:val="18"/>
              </w:rPr>
            </w:pPr>
            <w:r>
              <w:rPr>
                <w:rFonts w:ascii="Arial" w:hAnsi="Arial" w:cs="Arial"/>
                <w:sz w:val="18"/>
                <w:szCs w:val="18"/>
              </w:rPr>
              <w:t>4</w:t>
            </w:r>
          </w:p>
        </w:tc>
        <w:tc>
          <w:tcPr>
            <w:tcW w:w="540" w:type="dxa"/>
            <w:vAlign w:val="bottom"/>
          </w:tcPr>
          <w:p w14:paraId="2E5F3F2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707C093"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1F737A5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2C29BC5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582A3F4C"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24C7BC65" w14:textId="77777777" w:rsidTr="00A732E0">
        <w:trPr>
          <w:cantSplit/>
          <w:trHeight w:val="255"/>
        </w:trPr>
        <w:tc>
          <w:tcPr>
            <w:tcW w:w="450" w:type="dxa"/>
            <w:vAlign w:val="bottom"/>
          </w:tcPr>
          <w:p w14:paraId="7A4643CE" w14:textId="77777777" w:rsidR="008A701E" w:rsidRPr="006A2781" w:rsidRDefault="008A701E" w:rsidP="008A701E">
            <w:pPr>
              <w:jc w:val="center"/>
              <w:rPr>
                <w:rFonts w:ascii="Arial" w:hAnsi="Arial" w:cs="Arial"/>
                <w:sz w:val="18"/>
                <w:szCs w:val="18"/>
              </w:rPr>
            </w:pPr>
            <w:r>
              <w:rPr>
                <w:rFonts w:ascii="Arial" w:hAnsi="Arial" w:cs="Arial"/>
                <w:sz w:val="18"/>
                <w:szCs w:val="18"/>
              </w:rPr>
              <w:t>5</w:t>
            </w:r>
          </w:p>
        </w:tc>
        <w:tc>
          <w:tcPr>
            <w:tcW w:w="540" w:type="dxa"/>
            <w:vAlign w:val="bottom"/>
          </w:tcPr>
          <w:p w14:paraId="74A41EF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57449736"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7D69D658"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6050E5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1A720F75"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29C6E63C" w14:textId="77777777" w:rsidTr="00A732E0">
        <w:trPr>
          <w:cantSplit/>
          <w:trHeight w:val="255"/>
        </w:trPr>
        <w:tc>
          <w:tcPr>
            <w:tcW w:w="450" w:type="dxa"/>
            <w:vAlign w:val="bottom"/>
          </w:tcPr>
          <w:p w14:paraId="1D932DB5" w14:textId="77777777" w:rsidR="008A701E" w:rsidRPr="006A2781" w:rsidRDefault="008A701E" w:rsidP="008A701E">
            <w:pPr>
              <w:jc w:val="center"/>
              <w:rPr>
                <w:rFonts w:ascii="Arial" w:hAnsi="Arial" w:cs="Arial"/>
                <w:sz w:val="18"/>
                <w:szCs w:val="18"/>
              </w:rPr>
            </w:pPr>
            <w:r>
              <w:rPr>
                <w:rFonts w:ascii="Arial" w:hAnsi="Arial" w:cs="Arial"/>
                <w:sz w:val="18"/>
                <w:szCs w:val="18"/>
              </w:rPr>
              <w:t>6</w:t>
            </w:r>
          </w:p>
        </w:tc>
        <w:tc>
          <w:tcPr>
            <w:tcW w:w="540" w:type="dxa"/>
            <w:vAlign w:val="bottom"/>
          </w:tcPr>
          <w:p w14:paraId="324D49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A04D2CC"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0617BDAB"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7D40F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7D686A67"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5C18244A" w14:textId="77777777" w:rsidTr="00A732E0">
        <w:trPr>
          <w:cantSplit/>
          <w:trHeight w:val="255"/>
        </w:trPr>
        <w:tc>
          <w:tcPr>
            <w:tcW w:w="450" w:type="dxa"/>
            <w:vAlign w:val="bottom"/>
          </w:tcPr>
          <w:p w14:paraId="4E7B462A" w14:textId="77777777" w:rsidR="008A701E" w:rsidRPr="006A2781" w:rsidRDefault="008A701E" w:rsidP="008A701E">
            <w:pPr>
              <w:jc w:val="center"/>
              <w:rPr>
                <w:rFonts w:ascii="Arial" w:hAnsi="Arial" w:cs="Arial"/>
                <w:sz w:val="18"/>
                <w:szCs w:val="18"/>
              </w:rPr>
            </w:pPr>
            <w:r>
              <w:rPr>
                <w:rFonts w:ascii="Arial" w:hAnsi="Arial" w:cs="Arial"/>
                <w:sz w:val="18"/>
                <w:szCs w:val="18"/>
              </w:rPr>
              <w:t>7</w:t>
            </w:r>
          </w:p>
        </w:tc>
        <w:tc>
          <w:tcPr>
            <w:tcW w:w="540" w:type="dxa"/>
            <w:vAlign w:val="bottom"/>
          </w:tcPr>
          <w:p w14:paraId="6A3FA6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6D7F6C7"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4622FA9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46F586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5440FC33"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6B6109C8" w14:textId="77777777" w:rsidTr="00A732E0">
        <w:trPr>
          <w:cantSplit/>
          <w:trHeight w:val="255"/>
        </w:trPr>
        <w:tc>
          <w:tcPr>
            <w:tcW w:w="450" w:type="dxa"/>
            <w:vAlign w:val="bottom"/>
          </w:tcPr>
          <w:p w14:paraId="25351D13" w14:textId="77777777" w:rsidR="008A701E" w:rsidRPr="006A2781" w:rsidRDefault="008A701E" w:rsidP="008A701E">
            <w:pPr>
              <w:jc w:val="center"/>
              <w:rPr>
                <w:rFonts w:ascii="Arial" w:hAnsi="Arial" w:cs="Arial"/>
                <w:sz w:val="18"/>
                <w:szCs w:val="18"/>
              </w:rPr>
            </w:pPr>
            <w:r>
              <w:rPr>
                <w:rFonts w:ascii="Arial" w:hAnsi="Arial" w:cs="Arial"/>
                <w:sz w:val="18"/>
                <w:szCs w:val="18"/>
              </w:rPr>
              <w:t>8</w:t>
            </w:r>
          </w:p>
        </w:tc>
        <w:tc>
          <w:tcPr>
            <w:tcW w:w="540" w:type="dxa"/>
            <w:vAlign w:val="bottom"/>
          </w:tcPr>
          <w:p w14:paraId="01A934D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867" w:type="dxa"/>
            <w:shd w:val="clear" w:color="auto" w:fill="auto"/>
            <w:noWrap/>
            <w:vAlign w:val="bottom"/>
          </w:tcPr>
          <w:p w14:paraId="535D4598"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C43AD1D"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0B550F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931ED14"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2D8F88A" w14:textId="77777777" w:rsidTr="00A732E0">
        <w:trPr>
          <w:cantSplit/>
          <w:trHeight w:val="255"/>
        </w:trPr>
        <w:tc>
          <w:tcPr>
            <w:tcW w:w="450" w:type="dxa"/>
            <w:vAlign w:val="bottom"/>
          </w:tcPr>
          <w:p w14:paraId="04C11E9E" w14:textId="77777777" w:rsidR="008A701E" w:rsidRPr="006A2781" w:rsidRDefault="008A701E" w:rsidP="008A701E">
            <w:pPr>
              <w:jc w:val="center"/>
              <w:rPr>
                <w:rFonts w:ascii="Arial" w:hAnsi="Arial" w:cs="Arial"/>
                <w:sz w:val="18"/>
                <w:szCs w:val="18"/>
              </w:rPr>
            </w:pPr>
            <w:r>
              <w:rPr>
                <w:rFonts w:ascii="Arial" w:hAnsi="Arial" w:cs="Arial"/>
                <w:sz w:val="18"/>
                <w:szCs w:val="18"/>
              </w:rPr>
              <w:t>9</w:t>
            </w:r>
          </w:p>
        </w:tc>
        <w:tc>
          <w:tcPr>
            <w:tcW w:w="540" w:type="dxa"/>
            <w:vAlign w:val="bottom"/>
          </w:tcPr>
          <w:p w14:paraId="7FC048A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867" w:type="dxa"/>
            <w:shd w:val="clear" w:color="auto" w:fill="auto"/>
            <w:noWrap/>
            <w:vAlign w:val="bottom"/>
          </w:tcPr>
          <w:p w14:paraId="0EB0CDF2"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2FD98047"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461AE29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073503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0670528" w14:textId="77777777" w:rsidTr="00A732E0">
        <w:trPr>
          <w:cantSplit/>
          <w:trHeight w:val="255"/>
        </w:trPr>
        <w:tc>
          <w:tcPr>
            <w:tcW w:w="450" w:type="dxa"/>
            <w:vAlign w:val="bottom"/>
          </w:tcPr>
          <w:p w14:paraId="48C3A691" w14:textId="77777777" w:rsidR="008A701E" w:rsidRPr="006A2781" w:rsidRDefault="008A701E" w:rsidP="008A701E">
            <w:pPr>
              <w:jc w:val="center"/>
              <w:rPr>
                <w:rFonts w:ascii="Arial" w:hAnsi="Arial" w:cs="Arial"/>
                <w:sz w:val="18"/>
                <w:szCs w:val="18"/>
              </w:rPr>
            </w:pPr>
            <w:r>
              <w:rPr>
                <w:rFonts w:ascii="Arial" w:hAnsi="Arial" w:cs="Arial"/>
                <w:sz w:val="18"/>
                <w:szCs w:val="18"/>
              </w:rPr>
              <w:t>10</w:t>
            </w:r>
          </w:p>
        </w:tc>
        <w:tc>
          <w:tcPr>
            <w:tcW w:w="540" w:type="dxa"/>
            <w:vAlign w:val="bottom"/>
          </w:tcPr>
          <w:p w14:paraId="14D9D9C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48362C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F70754F" w14:textId="77777777" w:rsidR="008A701E" w:rsidRPr="006A2781" w:rsidRDefault="008A701E" w:rsidP="008A701E">
            <w:pPr>
              <w:rPr>
                <w:rFonts w:ascii="Arial" w:hAnsi="Arial" w:cs="Arial"/>
                <w:sz w:val="18"/>
                <w:szCs w:val="18"/>
              </w:rPr>
            </w:pPr>
            <w:r w:rsidRPr="006A2781">
              <w:rPr>
                <w:rFonts w:ascii="Arial" w:hAnsi="Arial" w:cs="Arial"/>
                <w:sz w:val="18"/>
                <w:szCs w:val="18"/>
              </w:rPr>
              <w:t>Remove Modification</w:t>
            </w:r>
          </w:p>
        </w:tc>
        <w:tc>
          <w:tcPr>
            <w:tcW w:w="1530" w:type="dxa"/>
            <w:shd w:val="clear" w:color="auto" w:fill="auto"/>
            <w:noWrap/>
            <w:vAlign w:val="bottom"/>
          </w:tcPr>
          <w:p w14:paraId="58512074"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3B56EA4B" w14:textId="77777777" w:rsidR="008A701E" w:rsidRPr="006A2781" w:rsidRDefault="008A701E" w:rsidP="008A701E">
            <w:pPr>
              <w:rPr>
                <w:rFonts w:ascii="Arial" w:hAnsi="Arial" w:cs="Arial"/>
                <w:sz w:val="18"/>
                <w:szCs w:val="18"/>
              </w:rPr>
            </w:pPr>
            <w:r>
              <w:rPr>
                <w:rFonts w:ascii="Arial" w:hAnsi="Arial" w:cs="Arial"/>
                <w:sz w:val="18"/>
                <w:szCs w:val="18"/>
              </w:rPr>
              <w:t>No message resent</w:t>
            </w:r>
          </w:p>
        </w:tc>
      </w:tr>
      <w:tr w:rsidR="008A701E" w:rsidRPr="006A2781" w14:paraId="041FC28F" w14:textId="77777777" w:rsidTr="00A732E0">
        <w:trPr>
          <w:cantSplit/>
          <w:trHeight w:val="255"/>
        </w:trPr>
        <w:tc>
          <w:tcPr>
            <w:tcW w:w="450" w:type="dxa"/>
            <w:vAlign w:val="bottom"/>
          </w:tcPr>
          <w:p w14:paraId="5B3D9510" w14:textId="77777777" w:rsidR="008A701E" w:rsidRPr="006A2781" w:rsidRDefault="008A701E" w:rsidP="008A701E">
            <w:pPr>
              <w:jc w:val="center"/>
              <w:rPr>
                <w:rFonts w:ascii="Arial" w:hAnsi="Arial" w:cs="Arial"/>
                <w:sz w:val="18"/>
                <w:szCs w:val="18"/>
              </w:rPr>
            </w:pPr>
            <w:r>
              <w:rPr>
                <w:rFonts w:ascii="Arial" w:hAnsi="Arial" w:cs="Arial"/>
                <w:sz w:val="18"/>
                <w:szCs w:val="18"/>
              </w:rPr>
              <w:t>11</w:t>
            </w:r>
          </w:p>
        </w:tc>
        <w:tc>
          <w:tcPr>
            <w:tcW w:w="540" w:type="dxa"/>
            <w:vAlign w:val="bottom"/>
          </w:tcPr>
          <w:p w14:paraId="648C763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867" w:type="dxa"/>
            <w:shd w:val="clear" w:color="auto" w:fill="auto"/>
            <w:noWrap/>
            <w:vAlign w:val="bottom"/>
          </w:tcPr>
          <w:p w14:paraId="7BA09317"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5A37DB81"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2BECD1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3727922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6091A20" w14:textId="77777777" w:rsidTr="00A732E0">
        <w:trPr>
          <w:cantSplit/>
          <w:trHeight w:val="255"/>
        </w:trPr>
        <w:tc>
          <w:tcPr>
            <w:tcW w:w="450" w:type="dxa"/>
            <w:vAlign w:val="bottom"/>
          </w:tcPr>
          <w:p w14:paraId="5177A53D" w14:textId="77777777" w:rsidR="008A701E" w:rsidRPr="006A2781" w:rsidRDefault="008A701E" w:rsidP="008A701E">
            <w:pPr>
              <w:jc w:val="center"/>
              <w:rPr>
                <w:rFonts w:ascii="Arial" w:hAnsi="Arial" w:cs="Arial"/>
                <w:sz w:val="18"/>
                <w:szCs w:val="18"/>
              </w:rPr>
            </w:pPr>
            <w:r>
              <w:rPr>
                <w:rFonts w:ascii="Arial" w:hAnsi="Arial" w:cs="Arial"/>
                <w:sz w:val="18"/>
                <w:szCs w:val="18"/>
              </w:rPr>
              <w:t>12</w:t>
            </w:r>
          </w:p>
        </w:tc>
        <w:tc>
          <w:tcPr>
            <w:tcW w:w="540" w:type="dxa"/>
            <w:vAlign w:val="bottom"/>
          </w:tcPr>
          <w:p w14:paraId="760B055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867" w:type="dxa"/>
            <w:shd w:val="clear" w:color="auto" w:fill="auto"/>
            <w:noWrap/>
            <w:vAlign w:val="bottom"/>
          </w:tcPr>
          <w:p w14:paraId="1FD83E2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45D4774B"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02F143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7CA521A8"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51861D6F" w14:textId="77777777" w:rsidTr="00A732E0">
        <w:trPr>
          <w:cantSplit/>
          <w:trHeight w:val="255"/>
        </w:trPr>
        <w:tc>
          <w:tcPr>
            <w:tcW w:w="450" w:type="dxa"/>
            <w:vAlign w:val="bottom"/>
          </w:tcPr>
          <w:p w14:paraId="063C245B" w14:textId="77777777" w:rsidR="008A701E" w:rsidRPr="006A2781" w:rsidRDefault="008A701E" w:rsidP="008A701E">
            <w:pPr>
              <w:jc w:val="center"/>
              <w:rPr>
                <w:rFonts w:ascii="Arial" w:hAnsi="Arial" w:cs="Arial"/>
                <w:sz w:val="18"/>
                <w:szCs w:val="18"/>
              </w:rPr>
            </w:pPr>
            <w:r>
              <w:rPr>
                <w:rFonts w:ascii="Arial" w:hAnsi="Arial" w:cs="Arial"/>
                <w:sz w:val="18"/>
                <w:szCs w:val="18"/>
              </w:rPr>
              <w:t>13</w:t>
            </w:r>
          </w:p>
        </w:tc>
        <w:tc>
          <w:tcPr>
            <w:tcW w:w="540" w:type="dxa"/>
            <w:vAlign w:val="bottom"/>
          </w:tcPr>
          <w:p w14:paraId="4C4B6B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T</w:t>
            </w:r>
          </w:p>
        </w:tc>
        <w:tc>
          <w:tcPr>
            <w:tcW w:w="1867" w:type="dxa"/>
            <w:shd w:val="clear" w:color="auto" w:fill="auto"/>
            <w:noWrap/>
            <w:vAlign w:val="bottom"/>
          </w:tcPr>
          <w:p w14:paraId="046DF981"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0A098BCE"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2B450B5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12D00615"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2D78031D" w14:textId="77777777" w:rsidTr="00A732E0">
        <w:trPr>
          <w:cantSplit/>
          <w:trHeight w:val="255"/>
        </w:trPr>
        <w:tc>
          <w:tcPr>
            <w:tcW w:w="450" w:type="dxa"/>
            <w:vAlign w:val="bottom"/>
          </w:tcPr>
          <w:p w14:paraId="212401F2" w14:textId="77777777" w:rsidR="008A701E" w:rsidRPr="006A2781" w:rsidRDefault="008A701E" w:rsidP="008A701E">
            <w:pPr>
              <w:jc w:val="center"/>
              <w:rPr>
                <w:rFonts w:ascii="Arial" w:hAnsi="Arial" w:cs="Arial"/>
                <w:sz w:val="18"/>
                <w:szCs w:val="18"/>
              </w:rPr>
            </w:pPr>
            <w:r>
              <w:rPr>
                <w:rFonts w:ascii="Arial" w:hAnsi="Arial" w:cs="Arial"/>
                <w:sz w:val="18"/>
                <w:szCs w:val="18"/>
              </w:rPr>
              <w:t>14</w:t>
            </w:r>
          </w:p>
        </w:tc>
        <w:tc>
          <w:tcPr>
            <w:tcW w:w="540" w:type="dxa"/>
            <w:shd w:val="clear" w:color="auto" w:fill="auto"/>
            <w:vAlign w:val="bottom"/>
          </w:tcPr>
          <w:p w14:paraId="7D6B537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vAlign w:val="bottom"/>
          </w:tcPr>
          <w:p w14:paraId="196ED38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BB6ACDA"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3A11FED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F6B2BB1"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0A04B306" w14:textId="77777777" w:rsidTr="00A732E0">
        <w:trPr>
          <w:cantSplit/>
          <w:trHeight w:val="255"/>
        </w:trPr>
        <w:tc>
          <w:tcPr>
            <w:tcW w:w="450" w:type="dxa"/>
            <w:vAlign w:val="bottom"/>
          </w:tcPr>
          <w:p w14:paraId="701C32E5" w14:textId="77777777" w:rsidR="008A701E" w:rsidRPr="006A2781" w:rsidRDefault="008A701E" w:rsidP="008A701E">
            <w:pPr>
              <w:jc w:val="center"/>
              <w:rPr>
                <w:rFonts w:ascii="Arial" w:hAnsi="Arial" w:cs="Arial"/>
                <w:sz w:val="18"/>
                <w:szCs w:val="18"/>
              </w:rPr>
            </w:pPr>
            <w:r>
              <w:rPr>
                <w:rFonts w:ascii="Arial" w:hAnsi="Arial" w:cs="Arial"/>
                <w:sz w:val="18"/>
                <w:szCs w:val="18"/>
              </w:rPr>
              <w:t>15</w:t>
            </w:r>
          </w:p>
        </w:tc>
        <w:tc>
          <w:tcPr>
            <w:tcW w:w="540" w:type="dxa"/>
            <w:shd w:val="clear" w:color="auto" w:fill="auto"/>
            <w:vAlign w:val="bottom"/>
          </w:tcPr>
          <w:p w14:paraId="04D9605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vAlign w:val="bottom"/>
          </w:tcPr>
          <w:p w14:paraId="2251F234"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CC56D63"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7D02472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B709B5A"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1E8D762D" w14:textId="77777777" w:rsidTr="00A732E0">
        <w:trPr>
          <w:cantSplit/>
          <w:trHeight w:val="128"/>
        </w:trPr>
        <w:tc>
          <w:tcPr>
            <w:tcW w:w="450" w:type="dxa"/>
            <w:vAlign w:val="bottom"/>
          </w:tcPr>
          <w:p w14:paraId="7154B329" w14:textId="77777777" w:rsidR="008A701E" w:rsidRPr="006A2781" w:rsidRDefault="008A701E" w:rsidP="008A701E">
            <w:pPr>
              <w:jc w:val="center"/>
              <w:rPr>
                <w:rFonts w:ascii="Arial" w:hAnsi="Arial" w:cs="Arial"/>
                <w:sz w:val="18"/>
                <w:szCs w:val="18"/>
              </w:rPr>
            </w:pPr>
            <w:r>
              <w:rPr>
                <w:rFonts w:ascii="Arial" w:hAnsi="Arial" w:cs="Arial"/>
                <w:sz w:val="18"/>
                <w:szCs w:val="18"/>
              </w:rPr>
              <w:t>16</w:t>
            </w:r>
          </w:p>
        </w:tc>
        <w:tc>
          <w:tcPr>
            <w:tcW w:w="540" w:type="dxa"/>
            <w:shd w:val="clear" w:color="auto" w:fill="auto"/>
            <w:vAlign w:val="bottom"/>
          </w:tcPr>
          <w:p w14:paraId="596A1EC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72AE3D9"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2373E0D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2F8545E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6D6EEA2"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C416A30" w14:textId="77777777" w:rsidTr="00A732E0">
        <w:trPr>
          <w:cantSplit/>
          <w:trHeight w:val="127"/>
        </w:trPr>
        <w:tc>
          <w:tcPr>
            <w:tcW w:w="450" w:type="dxa"/>
            <w:vAlign w:val="bottom"/>
          </w:tcPr>
          <w:p w14:paraId="33FB4E1A" w14:textId="77777777" w:rsidR="008A701E" w:rsidRPr="006A2781" w:rsidRDefault="008A701E" w:rsidP="008A701E">
            <w:pPr>
              <w:jc w:val="center"/>
              <w:rPr>
                <w:rFonts w:ascii="Arial" w:hAnsi="Arial" w:cs="Arial"/>
                <w:sz w:val="18"/>
                <w:szCs w:val="18"/>
              </w:rPr>
            </w:pPr>
            <w:r>
              <w:rPr>
                <w:rFonts w:ascii="Arial" w:hAnsi="Arial" w:cs="Arial"/>
                <w:sz w:val="18"/>
                <w:szCs w:val="18"/>
              </w:rPr>
              <w:t>17</w:t>
            </w:r>
          </w:p>
        </w:tc>
        <w:tc>
          <w:tcPr>
            <w:tcW w:w="540" w:type="dxa"/>
            <w:shd w:val="clear" w:color="auto" w:fill="auto"/>
            <w:vAlign w:val="bottom"/>
          </w:tcPr>
          <w:p w14:paraId="4AF0064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52E7D0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13806E1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410B058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E0AC5E"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76756BD1" w14:textId="77777777" w:rsidTr="00A732E0">
        <w:trPr>
          <w:cantSplit/>
          <w:trHeight w:val="255"/>
        </w:trPr>
        <w:tc>
          <w:tcPr>
            <w:tcW w:w="450" w:type="dxa"/>
            <w:vAlign w:val="bottom"/>
          </w:tcPr>
          <w:p w14:paraId="24939DB0" w14:textId="77777777" w:rsidR="008A701E" w:rsidRPr="006A2781" w:rsidRDefault="008A701E" w:rsidP="008A701E">
            <w:pPr>
              <w:jc w:val="center"/>
              <w:rPr>
                <w:rFonts w:ascii="Arial" w:hAnsi="Arial" w:cs="Arial"/>
                <w:sz w:val="18"/>
                <w:szCs w:val="18"/>
              </w:rPr>
            </w:pPr>
            <w:r>
              <w:rPr>
                <w:rFonts w:ascii="Arial" w:hAnsi="Arial" w:cs="Arial"/>
                <w:sz w:val="18"/>
                <w:szCs w:val="18"/>
              </w:rPr>
              <w:t>18</w:t>
            </w:r>
          </w:p>
        </w:tc>
        <w:tc>
          <w:tcPr>
            <w:tcW w:w="540" w:type="dxa"/>
            <w:shd w:val="clear" w:color="auto" w:fill="auto"/>
            <w:vAlign w:val="bottom"/>
          </w:tcPr>
          <w:p w14:paraId="4E1532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vAlign w:val="bottom"/>
          </w:tcPr>
          <w:p w14:paraId="1E373A6B"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7C8E62D"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13314E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1FB4CEF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RE-original(s), may be multiple messages.</w:t>
            </w:r>
          </w:p>
        </w:tc>
      </w:tr>
      <w:tr w:rsidR="008A701E" w:rsidRPr="006A2781" w14:paraId="674FFE40" w14:textId="77777777" w:rsidTr="00A732E0">
        <w:trPr>
          <w:cantSplit/>
          <w:trHeight w:val="255"/>
        </w:trPr>
        <w:tc>
          <w:tcPr>
            <w:tcW w:w="450" w:type="dxa"/>
            <w:vAlign w:val="bottom"/>
          </w:tcPr>
          <w:p w14:paraId="11B62734" w14:textId="77777777" w:rsidR="008A701E" w:rsidRPr="006A2781" w:rsidRDefault="008A701E" w:rsidP="008A701E">
            <w:pPr>
              <w:jc w:val="center"/>
              <w:rPr>
                <w:rFonts w:ascii="Arial" w:hAnsi="Arial" w:cs="Arial"/>
                <w:sz w:val="18"/>
                <w:szCs w:val="18"/>
              </w:rPr>
            </w:pPr>
            <w:r>
              <w:rPr>
                <w:rFonts w:ascii="Arial" w:hAnsi="Arial" w:cs="Arial"/>
                <w:sz w:val="18"/>
                <w:szCs w:val="18"/>
              </w:rPr>
              <w:lastRenderedPageBreak/>
              <w:t>19</w:t>
            </w:r>
          </w:p>
        </w:tc>
        <w:tc>
          <w:tcPr>
            <w:tcW w:w="540" w:type="dxa"/>
            <w:shd w:val="clear" w:color="auto" w:fill="auto"/>
            <w:vAlign w:val="bottom"/>
          </w:tcPr>
          <w:p w14:paraId="140AB1E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vAlign w:val="bottom"/>
          </w:tcPr>
          <w:p w14:paraId="7957FE13"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FBB1537"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729B1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65902E60"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376D5DCA" w14:textId="77777777" w:rsidTr="00A732E0">
        <w:trPr>
          <w:cantSplit/>
          <w:trHeight w:val="128"/>
        </w:trPr>
        <w:tc>
          <w:tcPr>
            <w:tcW w:w="450" w:type="dxa"/>
            <w:vAlign w:val="bottom"/>
          </w:tcPr>
          <w:p w14:paraId="02D9D43D" w14:textId="77777777" w:rsidR="008A701E" w:rsidRPr="006A2781" w:rsidRDefault="008A701E" w:rsidP="008A701E">
            <w:pPr>
              <w:jc w:val="center"/>
              <w:rPr>
                <w:rFonts w:ascii="Arial" w:hAnsi="Arial" w:cs="Arial"/>
                <w:sz w:val="18"/>
                <w:szCs w:val="18"/>
              </w:rPr>
            </w:pPr>
            <w:r>
              <w:rPr>
                <w:rFonts w:ascii="Arial" w:hAnsi="Arial" w:cs="Arial"/>
                <w:sz w:val="18"/>
                <w:szCs w:val="18"/>
              </w:rPr>
              <w:t>20</w:t>
            </w:r>
          </w:p>
        </w:tc>
        <w:tc>
          <w:tcPr>
            <w:tcW w:w="540" w:type="dxa"/>
            <w:shd w:val="clear" w:color="auto" w:fill="auto"/>
            <w:vAlign w:val="bottom"/>
          </w:tcPr>
          <w:p w14:paraId="79AFECB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noWrap/>
            <w:vAlign w:val="bottom"/>
          </w:tcPr>
          <w:p w14:paraId="6D193066"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62BD0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38F9A44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C1F4A2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3AF902B" w14:textId="77777777" w:rsidTr="00A732E0">
        <w:trPr>
          <w:cantSplit/>
          <w:trHeight w:val="127"/>
        </w:trPr>
        <w:tc>
          <w:tcPr>
            <w:tcW w:w="450" w:type="dxa"/>
            <w:vAlign w:val="bottom"/>
          </w:tcPr>
          <w:p w14:paraId="79B3E61F" w14:textId="77777777" w:rsidR="008A701E" w:rsidRPr="006A2781" w:rsidRDefault="008A701E" w:rsidP="008A701E">
            <w:pPr>
              <w:jc w:val="center"/>
              <w:rPr>
                <w:rFonts w:ascii="Arial" w:hAnsi="Arial" w:cs="Arial"/>
                <w:sz w:val="18"/>
                <w:szCs w:val="18"/>
              </w:rPr>
            </w:pPr>
            <w:r>
              <w:rPr>
                <w:rFonts w:ascii="Arial" w:hAnsi="Arial" w:cs="Arial"/>
                <w:sz w:val="18"/>
                <w:szCs w:val="18"/>
              </w:rPr>
              <w:t>21</w:t>
            </w:r>
          </w:p>
        </w:tc>
        <w:tc>
          <w:tcPr>
            <w:tcW w:w="540" w:type="dxa"/>
            <w:shd w:val="clear" w:color="auto" w:fill="auto"/>
            <w:vAlign w:val="bottom"/>
          </w:tcPr>
          <w:p w14:paraId="059028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noWrap/>
            <w:vAlign w:val="bottom"/>
          </w:tcPr>
          <w:p w14:paraId="065B61D8"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C546C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7D3919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29B1CE1"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006790A" w14:textId="77777777" w:rsidTr="00A732E0">
        <w:trPr>
          <w:cantSplit/>
          <w:trHeight w:val="255"/>
        </w:trPr>
        <w:tc>
          <w:tcPr>
            <w:tcW w:w="450" w:type="dxa"/>
            <w:vAlign w:val="bottom"/>
          </w:tcPr>
          <w:p w14:paraId="613AB6CF" w14:textId="77777777" w:rsidR="008A701E" w:rsidRPr="006A2781" w:rsidRDefault="008A701E" w:rsidP="008A701E">
            <w:pPr>
              <w:jc w:val="center"/>
              <w:rPr>
                <w:rFonts w:ascii="Arial" w:hAnsi="Arial" w:cs="Arial"/>
                <w:sz w:val="18"/>
                <w:szCs w:val="18"/>
              </w:rPr>
            </w:pPr>
            <w:r>
              <w:rPr>
                <w:rFonts w:ascii="Arial" w:hAnsi="Arial" w:cs="Arial"/>
                <w:sz w:val="18"/>
                <w:szCs w:val="18"/>
              </w:rPr>
              <w:t>22</w:t>
            </w:r>
          </w:p>
        </w:tc>
        <w:tc>
          <w:tcPr>
            <w:tcW w:w="540" w:type="dxa"/>
            <w:shd w:val="clear" w:color="auto" w:fill="auto"/>
            <w:vAlign w:val="bottom"/>
          </w:tcPr>
          <w:p w14:paraId="248400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70DB49C"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3D6CEE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2CCC5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44CCCDF8"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31854CF6" w14:textId="77777777" w:rsidTr="00A732E0">
        <w:trPr>
          <w:cantSplit/>
          <w:trHeight w:val="255"/>
        </w:trPr>
        <w:tc>
          <w:tcPr>
            <w:tcW w:w="450" w:type="dxa"/>
            <w:vAlign w:val="bottom"/>
          </w:tcPr>
          <w:p w14:paraId="135E3539" w14:textId="77777777" w:rsidR="008A701E" w:rsidRPr="006A2781" w:rsidRDefault="008A701E" w:rsidP="008A701E">
            <w:pPr>
              <w:jc w:val="center"/>
              <w:rPr>
                <w:rFonts w:ascii="Arial" w:hAnsi="Arial" w:cs="Arial"/>
                <w:sz w:val="18"/>
                <w:szCs w:val="18"/>
              </w:rPr>
            </w:pPr>
            <w:r>
              <w:rPr>
                <w:rFonts w:ascii="Arial" w:hAnsi="Arial" w:cs="Arial"/>
                <w:sz w:val="18"/>
                <w:szCs w:val="18"/>
              </w:rPr>
              <w:t>23</w:t>
            </w:r>
          </w:p>
        </w:tc>
        <w:tc>
          <w:tcPr>
            <w:tcW w:w="540" w:type="dxa"/>
            <w:shd w:val="clear" w:color="auto" w:fill="auto"/>
            <w:vAlign w:val="bottom"/>
          </w:tcPr>
          <w:p w14:paraId="202C953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69652761"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8A4980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D69B5B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2B6DE209" w14:textId="77777777" w:rsidR="008A701E" w:rsidRPr="006A2781" w:rsidRDefault="008A701E" w:rsidP="008A701E">
            <w:pPr>
              <w:rPr>
                <w:rFonts w:ascii="Arial" w:hAnsi="Arial" w:cs="Arial"/>
                <w:sz w:val="18"/>
                <w:szCs w:val="18"/>
              </w:rPr>
            </w:pPr>
            <w:r w:rsidRPr="006A2781">
              <w:rPr>
                <w:rFonts w:ascii="Arial" w:hAnsi="Arial" w:cs="Arial"/>
                <w:sz w:val="18"/>
                <w:szCs w:val="18"/>
              </w:rPr>
              <w:t>RS-targets, one message for each target created.</w:t>
            </w:r>
          </w:p>
        </w:tc>
      </w:tr>
      <w:tr w:rsidR="008A701E" w:rsidRPr="006A2781" w14:paraId="008BCADC" w14:textId="77777777" w:rsidTr="00A732E0">
        <w:trPr>
          <w:cantSplit/>
          <w:trHeight w:val="188"/>
        </w:trPr>
        <w:tc>
          <w:tcPr>
            <w:tcW w:w="450" w:type="dxa"/>
            <w:vAlign w:val="bottom"/>
          </w:tcPr>
          <w:p w14:paraId="61E63D1A" w14:textId="77777777" w:rsidR="008A701E" w:rsidRPr="006A2781" w:rsidRDefault="008A701E" w:rsidP="008A701E">
            <w:pPr>
              <w:jc w:val="center"/>
              <w:rPr>
                <w:rFonts w:ascii="Arial" w:hAnsi="Arial" w:cs="Arial"/>
                <w:sz w:val="18"/>
                <w:szCs w:val="18"/>
              </w:rPr>
            </w:pPr>
            <w:r>
              <w:rPr>
                <w:rFonts w:ascii="Arial" w:hAnsi="Arial" w:cs="Arial"/>
                <w:sz w:val="18"/>
                <w:szCs w:val="18"/>
              </w:rPr>
              <w:t>24</w:t>
            </w:r>
          </w:p>
        </w:tc>
        <w:tc>
          <w:tcPr>
            <w:tcW w:w="540" w:type="dxa"/>
            <w:shd w:val="clear" w:color="auto" w:fill="auto"/>
            <w:vAlign w:val="bottom"/>
          </w:tcPr>
          <w:p w14:paraId="58C2F01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980FCBE"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46CD7D1"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EA0621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39E0CFA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57A65EFB" w14:textId="77777777" w:rsidTr="00A732E0">
        <w:trPr>
          <w:cantSplit/>
          <w:trHeight w:val="255"/>
        </w:trPr>
        <w:tc>
          <w:tcPr>
            <w:tcW w:w="450" w:type="dxa"/>
            <w:vAlign w:val="bottom"/>
          </w:tcPr>
          <w:p w14:paraId="0DF21771" w14:textId="77777777" w:rsidR="008A701E" w:rsidRPr="006A2781" w:rsidRDefault="008A701E" w:rsidP="008A701E">
            <w:pPr>
              <w:jc w:val="center"/>
              <w:rPr>
                <w:rFonts w:ascii="Arial" w:hAnsi="Arial" w:cs="Arial"/>
                <w:sz w:val="18"/>
                <w:szCs w:val="18"/>
              </w:rPr>
            </w:pPr>
            <w:r>
              <w:rPr>
                <w:rFonts w:ascii="Arial" w:hAnsi="Arial" w:cs="Arial"/>
                <w:sz w:val="18"/>
                <w:szCs w:val="18"/>
              </w:rPr>
              <w:t>25</w:t>
            </w:r>
          </w:p>
        </w:tc>
        <w:tc>
          <w:tcPr>
            <w:tcW w:w="540" w:type="dxa"/>
            <w:shd w:val="clear" w:color="auto" w:fill="auto"/>
            <w:vAlign w:val="bottom"/>
          </w:tcPr>
          <w:p w14:paraId="1B7A02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2BAD8D0"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51C65E9"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D7E82A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9666110"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6156324C" w14:textId="77777777" w:rsidTr="00A732E0">
        <w:trPr>
          <w:cantSplit/>
          <w:trHeight w:val="255"/>
        </w:trPr>
        <w:tc>
          <w:tcPr>
            <w:tcW w:w="450" w:type="dxa"/>
            <w:vAlign w:val="bottom"/>
          </w:tcPr>
          <w:p w14:paraId="2496978E" w14:textId="77777777" w:rsidR="008A701E" w:rsidRPr="006A2781" w:rsidRDefault="008A701E" w:rsidP="008A701E">
            <w:pPr>
              <w:jc w:val="center"/>
              <w:rPr>
                <w:rFonts w:ascii="Arial" w:hAnsi="Arial" w:cs="Arial"/>
                <w:sz w:val="18"/>
                <w:szCs w:val="18"/>
              </w:rPr>
            </w:pPr>
            <w:r>
              <w:rPr>
                <w:rFonts w:ascii="Arial" w:hAnsi="Arial" w:cs="Arial"/>
                <w:sz w:val="18"/>
                <w:szCs w:val="18"/>
              </w:rPr>
              <w:t>26</w:t>
            </w:r>
          </w:p>
        </w:tc>
        <w:tc>
          <w:tcPr>
            <w:tcW w:w="540" w:type="dxa"/>
            <w:shd w:val="clear" w:color="auto" w:fill="auto"/>
            <w:vAlign w:val="bottom"/>
          </w:tcPr>
          <w:p w14:paraId="4040EA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5691292"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AFA1DE9"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685A80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306A78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234C1722" w14:textId="77777777" w:rsidTr="00A732E0">
        <w:trPr>
          <w:cantSplit/>
          <w:trHeight w:val="255"/>
        </w:trPr>
        <w:tc>
          <w:tcPr>
            <w:tcW w:w="450" w:type="dxa"/>
            <w:vAlign w:val="bottom"/>
          </w:tcPr>
          <w:p w14:paraId="42D46D71" w14:textId="77777777" w:rsidR="008A701E" w:rsidRPr="006A2781" w:rsidRDefault="008A701E" w:rsidP="008A701E">
            <w:pPr>
              <w:jc w:val="center"/>
              <w:rPr>
                <w:rFonts w:ascii="Arial" w:hAnsi="Arial" w:cs="Arial"/>
                <w:sz w:val="18"/>
                <w:szCs w:val="18"/>
              </w:rPr>
            </w:pPr>
            <w:r>
              <w:rPr>
                <w:rFonts w:ascii="Arial" w:hAnsi="Arial" w:cs="Arial"/>
                <w:sz w:val="18"/>
                <w:szCs w:val="18"/>
              </w:rPr>
              <w:t>27</w:t>
            </w:r>
          </w:p>
        </w:tc>
        <w:tc>
          <w:tcPr>
            <w:tcW w:w="540" w:type="dxa"/>
            <w:shd w:val="clear" w:color="auto" w:fill="auto"/>
            <w:vAlign w:val="bottom"/>
          </w:tcPr>
          <w:p w14:paraId="6A776E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2C7C46D"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4C72911"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277F56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B172DFD"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5E761FEC" w14:textId="77777777" w:rsidTr="00A732E0">
        <w:trPr>
          <w:cantSplit/>
          <w:trHeight w:val="255"/>
        </w:trPr>
        <w:tc>
          <w:tcPr>
            <w:tcW w:w="450" w:type="dxa"/>
            <w:vAlign w:val="bottom"/>
          </w:tcPr>
          <w:p w14:paraId="39202D1F" w14:textId="77777777" w:rsidR="008A701E" w:rsidRPr="006A2781" w:rsidRDefault="008A701E" w:rsidP="008A701E">
            <w:pPr>
              <w:jc w:val="center"/>
              <w:rPr>
                <w:rFonts w:ascii="Arial" w:hAnsi="Arial" w:cs="Arial"/>
                <w:sz w:val="18"/>
                <w:szCs w:val="18"/>
              </w:rPr>
            </w:pPr>
            <w:r>
              <w:rPr>
                <w:rFonts w:ascii="Arial" w:hAnsi="Arial" w:cs="Arial"/>
                <w:sz w:val="18"/>
                <w:szCs w:val="18"/>
              </w:rPr>
              <w:t>28</w:t>
            </w:r>
          </w:p>
        </w:tc>
        <w:tc>
          <w:tcPr>
            <w:tcW w:w="540" w:type="dxa"/>
            <w:shd w:val="clear" w:color="auto" w:fill="auto"/>
            <w:vAlign w:val="bottom"/>
          </w:tcPr>
          <w:p w14:paraId="226FD9D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38044C25"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17E9EEC7"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479F8C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6498B6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1637F427" w14:textId="77777777" w:rsidTr="00A732E0">
        <w:trPr>
          <w:cantSplit/>
          <w:trHeight w:val="255"/>
        </w:trPr>
        <w:tc>
          <w:tcPr>
            <w:tcW w:w="450" w:type="dxa"/>
            <w:vAlign w:val="bottom"/>
          </w:tcPr>
          <w:p w14:paraId="74B38656" w14:textId="77777777" w:rsidR="008A701E" w:rsidRPr="006A2781" w:rsidRDefault="008A701E" w:rsidP="008A701E">
            <w:pPr>
              <w:jc w:val="center"/>
              <w:rPr>
                <w:rFonts w:ascii="Arial" w:hAnsi="Arial" w:cs="Arial"/>
                <w:sz w:val="18"/>
                <w:szCs w:val="18"/>
              </w:rPr>
            </w:pPr>
            <w:r>
              <w:rPr>
                <w:rFonts w:ascii="Arial" w:hAnsi="Arial" w:cs="Arial"/>
                <w:sz w:val="18"/>
                <w:szCs w:val="18"/>
              </w:rPr>
              <w:t>29</w:t>
            </w:r>
          </w:p>
        </w:tc>
        <w:tc>
          <w:tcPr>
            <w:tcW w:w="540" w:type="dxa"/>
            <w:shd w:val="clear" w:color="auto" w:fill="auto"/>
            <w:vAlign w:val="bottom"/>
          </w:tcPr>
          <w:p w14:paraId="263576C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C1A4233"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66A882D"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7FF704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427B7B5A"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5CD29512" w14:textId="77777777" w:rsidTr="00A732E0">
        <w:trPr>
          <w:cantSplit/>
          <w:trHeight w:val="255"/>
        </w:trPr>
        <w:tc>
          <w:tcPr>
            <w:tcW w:w="450" w:type="dxa"/>
            <w:vAlign w:val="bottom"/>
          </w:tcPr>
          <w:p w14:paraId="7B9E4871" w14:textId="77777777" w:rsidR="008A701E" w:rsidRPr="006A2781" w:rsidRDefault="008A701E" w:rsidP="008A701E">
            <w:pPr>
              <w:jc w:val="center"/>
              <w:rPr>
                <w:rFonts w:ascii="Arial" w:hAnsi="Arial" w:cs="Arial"/>
                <w:sz w:val="18"/>
                <w:szCs w:val="18"/>
              </w:rPr>
            </w:pPr>
            <w:r>
              <w:rPr>
                <w:rFonts w:ascii="Arial" w:hAnsi="Arial" w:cs="Arial"/>
                <w:sz w:val="18"/>
                <w:szCs w:val="18"/>
              </w:rPr>
              <w:t>30</w:t>
            </w:r>
          </w:p>
        </w:tc>
        <w:tc>
          <w:tcPr>
            <w:tcW w:w="540" w:type="dxa"/>
            <w:shd w:val="clear" w:color="auto" w:fill="auto"/>
            <w:vAlign w:val="bottom"/>
          </w:tcPr>
          <w:p w14:paraId="024E13C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85AB050"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1A2AA4D0"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71018F6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63E82B50" w14:textId="5E2359B9"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43D58C42" w14:textId="77777777" w:rsidTr="00A732E0">
        <w:trPr>
          <w:cantSplit/>
          <w:trHeight w:val="255"/>
        </w:trPr>
        <w:tc>
          <w:tcPr>
            <w:tcW w:w="450" w:type="dxa"/>
            <w:vAlign w:val="bottom"/>
          </w:tcPr>
          <w:p w14:paraId="15ADBACB" w14:textId="77777777" w:rsidR="008A701E" w:rsidRPr="006A2781" w:rsidRDefault="008A701E" w:rsidP="008A701E">
            <w:pPr>
              <w:jc w:val="center"/>
              <w:rPr>
                <w:rFonts w:ascii="Arial" w:hAnsi="Arial" w:cs="Arial"/>
                <w:sz w:val="18"/>
                <w:szCs w:val="18"/>
              </w:rPr>
            </w:pPr>
            <w:r>
              <w:rPr>
                <w:rFonts w:ascii="Arial" w:hAnsi="Arial" w:cs="Arial"/>
                <w:sz w:val="18"/>
                <w:szCs w:val="18"/>
              </w:rPr>
              <w:t>31</w:t>
            </w:r>
          </w:p>
        </w:tc>
        <w:tc>
          <w:tcPr>
            <w:tcW w:w="540" w:type="dxa"/>
            <w:shd w:val="clear" w:color="auto" w:fill="auto"/>
            <w:vAlign w:val="bottom"/>
          </w:tcPr>
          <w:p w14:paraId="44E3BC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6FCD5576"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33547AC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AF7790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2EA5BEF"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45495E52" w14:textId="77777777" w:rsidTr="00A732E0">
        <w:trPr>
          <w:cantSplit/>
          <w:trHeight w:val="255"/>
        </w:trPr>
        <w:tc>
          <w:tcPr>
            <w:tcW w:w="450" w:type="dxa"/>
            <w:vAlign w:val="bottom"/>
          </w:tcPr>
          <w:p w14:paraId="72728ECC" w14:textId="77777777" w:rsidR="008A701E" w:rsidRPr="006A2781" w:rsidRDefault="008A701E" w:rsidP="008A701E">
            <w:pPr>
              <w:jc w:val="center"/>
              <w:rPr>
                <w:rFonts w:ascii="Arial" w:hAnsi="Arial" w:cs="Arial"/>
                <w:sz w:val="18"/>
                <w:szCs w:val="18"/>
              </w:rPr>
            </w:pPr>
            <w:r>
              <w:rPr>
                <w:rFonts w:ascii="Arial" w:hAnsi="Arial" w:cs="Arial"/>
                <w:sz w:val="18"/>
                <w:szCs w:val="18"/>
              </w:rPr>
              <w:t>32</w:t>
            </w:r>
          </w:p>
        </w:tc>
        <w:tc>
          <w:tcPr>
            <w:tcW w:w="540" w:type="dxa"/>
            <w:shd w:val="clear" w:color="auto" w:fill="auto"/>
            <w:vAlign w:val="bottom"/>
          </w:tcPr>
          <w:p w14:paraId="2FDD2B9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2DED11E"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90956B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651B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080BBC74" w14:textId="1E5C1D00"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646338D3" w14:textId="77777777" w:rsidTr="00A732E0">
        <w:trPr>
          <w:cantSplit/>
          <w:trHeight w:val="255"/>
        </w:trPr>
        <w:tc>
          <w:tcPr>
            <w:tcW w:w="450" w:type="dxa"/>
            <w:vAlign w:val="bottom"/>
          </w:tcPr>
          <w:p w14:paraId="2AB441C3" w14:textId="77777777" w:rsidR="008A701E" w:rsidRPr="006A2781" w:rsidRDefault="008A701E" w:rsidP="008A701E">
            <w:pPr>
              <w:jc w:val="center"/>
              <w:rPr>
                <w:rFonts w:ascii="Arial" w:hAnsi="Arial" w:cs="Arial"/>
                <w:sz w:val="18"/>
                <w:szCs w:val="18"/>
              </w:rPr>
            </w:pPr>
            <w:r>
              <w:rPr>
                <w:rFonts w:ascii="Arial" w:hAnsi="Arial" w:cs="Arial"/>
                <w:sz w:val="18"/>
                <w:szCs w:val="18"/>
              </w:rPr>
              <w:t>33</w:t>
            </w:r>
          </w:p>
        </w:tc>
        <w:tc>
          <w:tcPr>
            <w:tcW w:w="540" w:type="dxa"/>
            <w:shd w:val="clear" w:color="auto" w:fill="auto"/>
            <w:vAlign w:val="bottom"/>
          </w:tcPr>
          <w:p w14:paraId="604BA4B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0FBCAC3"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69E8E74"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BCBDC6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06D2E9E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45A37A6" w14:textId="77777777" w:rsidTr="00A732E0">
        <w:trPr>
          <w:cantSplit/>
          <w:trHeight w:val="255"/>
        </w:trPr>
        <w:tc>
          <w:tcPr>
            <w:tcW w:w="450" w:type="dxa"/>
            <w:vAlign w:val="bottom"/>
          </w:tcPr>
          <w:p w14:paraId="4D87D98F" w14:textId="77777777" w:rsidR="008A701E" w:rsidRPr="006A2781" w:rsidRDefault="008A701E" w:rsidP="008A701E">
            <w:pPr>
              <w:jc w:val="center"/>
              <w:rPr>
                <w:rFonts w:ascii="Arial" w:hAnsi="Arial" w:cs="Arial"/>
                <w:sz w:val="18"/>
                <w:szCs w:val="18"/>
              </w:rPr>
            </w:pPr>
            <w:r>
              <w:rPr>
                <w:rFonts w:ascii="Arial" w:hAnsi="Arial" w:cs="Arial"/>
                <w:sz w:val="18"/>
                <w:szCs w:val="18"/>
              </w:rPr>
              <w:t>34</w:t>
            </w:r>
          </w:p>
        </w:tc>
        <w:tc>
          <w:tcPr>
            <w:tcW w:w="540" w:type="dxa"/>
            <w:shd w:val="clear" w:color="auto" w:fill="auto"/>
            <w:vAlign w:val="bottom"/>
          </w:tcPr>
          <w:p w14:paraId="6FB213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DAE529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3A2A6BF"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1E3C2F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9BAF51E" w14:textId="3D4C72B1"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51AE84E6" w14:textId="77777777" w:rsidTr="00A732E0">
        <w:trPr>
          <w:cantSplit/>
          <w:trHeight w:val="255"/>
        </w:trPr>
        <w:tc>
          <w:tcPr>
            <w:tcW w:w="450" w:type="dxa"/>
            <w:vAlign w:val="bottom"/>
          </w:tcPr>
          <w:p w14:paraId="1415942E" w14:textId="77777777" w:rsidR="008A701E" w:rsidRPr="006A2781" w:rsidRDefault="008A701E" w:rsidP="008A701E">
            <w:pPr>
              <w:jc w:val="center"/>
              <w:rPr>
                <w:rFonts w:ascii="Arial" w:hAnsi="Arial" w:cs="Arial"/>
                <w:sz w:val="18"/>
                <w:szCs w:val="18"/>
              </w:rPr>
            </w:pPr>
            <w:r>
              <w:rPr>
                <w:rFonts w:ascii="Arial" w:hAnsi="Arial" w:cs="Arial"/>
                <w:sz w:val="18"/>
                <w:szCs w:val="18"/>
              </w:rPr>
              <w:t>35</w:t>
            </w:r>
          </w:p>
        </w:tc>
        <w:tc>
          <w:tcPr>
            <w:tcW w:w="540" w:type="dxa"/>
            <w:shd w:val="clear" w:color="auto" w:fill="auto"/>
            <w:vAlign w:val="bottom"/>
          </w:tcPr>
          <w:p w14:paraId="1AE2570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78311808"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0E73D41C"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C9CEA8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7ADED56C"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6AC7A0CA" w14:textId="77777777" w:rsidTr="00A732E0">
        <w:trPr>
          <w:cantSplit/>
          <w:trHeight w:val="255"/>
        </w:trPr>
        <w:tc>
          <w:tcPr>
            <w:tcW w:w="450" w:type="dxa"/>
            <w:vAlign w:val="bottom"/>
          </w:tcPr>
          <w:p w14:paraId="2F2D3E5A" w14:textId="77777777" w:rsidR="008A701E" w:rsidRPr="006A2781" w:rsidRDefault="008A701E" w:rsidP="008A701E">
            <w:pPr>
              <w:jc w:val="center"/>
              <w:rPr>
                <w:rFonts w:ascii="Arial" w:hAnsi="Arial" w:cs="Arial"/>
                <w:sz w:val="18"/>
                <w:szCs w:val="18"/>
              </w:rPr>
            </w:pPr>
            <w:r>
              <w:rPr>
                <w:rFonts w:ascii="Arial" w:hAnsi="Arial" w:cs="Arial"/>
                <w:sz w:val="18"/>
                <w:szCs w:val="18"/>
              </w:rPr>
              <w:t>36</w:t>
            </w:r>
          </w:p>
        </w:tc>
        <w:tc>
          <w:tcPr>
            <w:tcW w:w="540" w:type="dxa"/>
            <w:shd w:val="clear" w:color="auto" w:fill="auto"/>
            <w:vAlign w:val="bottom"/>
          </w:tcPr>
          <w:p w14:paraId="75BDD18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E1BB875"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58800B96"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4349645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19B3831" w14:textId="094A4554"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1CF91A4E" w14:textId="77777777" w:rsidTr="00A732E0">
        <w:trPr>
          <w:cantSplit/>
          <w:trHeight w:val="255"/>
        </w:trPr>
        <w:tc>
          <w:tcPr>
            <w:tcW w:w="450" w:type="dxa"/>
            <w:vAlign w:val="bottom"/>
          </w:tcPr>
          <w:p w14:paraId="0770624B" w14:textId="77777777" w:rsidR="008A701E" w:rsidRPr="006A2781" w:rsidRDefault="008A701E" w:rsidP="008A701E">
            <w:pPr>
              <w:jc w:val="center"/>
              <w:rPr>
                <w:rFonts w:ascii="Arial" w:hAnsi="Arial" w:cs="Arial"/>
                <w:sz w:val="18"/>
                <w:szCs w:val="18"/>
              </w:rPr>
            </w:pPr>
            <w:r>
              <w:rPr>
                <w:rFonts w:ascii="Arial" w:hAnsi="Arial" w:cs="Arial"/>
                <w:sz w:val="18"/>
                <w:szCs w:val="18"/>
              </w:rPr>
              <w:t>37</w:t>
            </w:r>
          </w:p>
        </w:tc>
        <w:tc>
          <w:tcPr>
            <w:tcW w:w="540" w:type="dxa"/>
            <w:shd w:val="clear" w:color="auto" w:fill="auto"/>
            <w:vAlign w:val="bottom"/>
          </w:tcPr>
          <w:p w14:paraId="7D7782E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CE6BA5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A8708A5"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5963A3F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95340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28FCA43B" w14:textId="77777777" w:rsidTr="00A732E0">
        <w:trPr>
          <w:cantSplit/>
          <w:trHeight w:val="255"/>
        </w:trPr>
        <w:tc>
          <w:tcPr>
            <w:tcW w:w="450" w:type="dxa"/>
            <w:vAlign w:val="bottom"/>
          </w:tcPr>
          <w:p w14:paraId="1B72D331" w14:textId="77777777" w:rsidR="008A701E" w:rsidRPr="006A2781" w:rsidRDefault="008A701E" w:rsidP="008A701E">
            <w:pPr>
              <w:jc w:val="center"/>
              <w:rPr>
                <w:rFonts w:ascii="Arial" w:hAnsi="Arial" w:cs="Arial"/>
                <w:sz w:val="18"/>
                <w:szCs w:val="18"/>
              </w:rPr>
            </w:pPr>
            <w:r>
              <w:rPr>
                <w:rFonts w:ascii="Arial" w:hAnsi="Arial" w:cs="Arial"/>
                <w:sz w:val="18"/>
                <w:szCs w:val="18"/>
              </w:rPr>
              <w:t>38</w:t>
            </w:r>
          </w:p>
        </w:tc>
        <w:tc>
          <w:tcPr>
            <w:tcW w:w="540" w:type="dxa"/>
            <w:vAlign w:val="bottom"/>
          </w:tcPr>
          <w:p w14:paraId="1F1CC2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2D688304"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D76F191"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771E1B9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591580D7"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4465CBB" w14:textId="77777777" w:rsidTr="00A732E0">
        <w:trPr>
          <w:cantSplit/>
          <w:trHeight w:val="255"/>
        </w:trPr>
        <w:tc>
          <w:tcPr>
            <w:tcW w:w="450" w:type="dxa"/>
            <w:vAlign w:val="bottom"/>
          </w:tcPr>
          <w:p w14:paraId="7F352307" w14:textId="77777777" w:rsidR="008A701E" w:rsidRPr="006A2781" w:rsidRDefault="008A701E" w:rsidP="008A701E">
            <w:pPr>
              <w:jc w:val="center"/>
              <w:rPr>
                <w:rFonts w:ascii="Arial" w:hAnsi="Arial" w:cs="Arial"/>
                <w:sz w:val="18"/>
                <w:szCs w:val="18"/>
              </w:rPr>
            </w:pPr>
            <w:r>
              <w:rPr>
                <w:rFonts w:ascii="Arial" w:hAnsi="Arial" w:cs="Arial"/>
                <w:sz w:val="18"/>
                <w:szCs w:val="18"/>
              </w:rPr>
              <w:t>39</w:t>
            </w:r>
          </w:p>
        </w:tc>
        <w:tc>
          <w:tcPr>
            <w:tcW w:w="540" w:type="dxa"/>
            <w:vAlign w:val="bottom"/>
          </w:tcPr>
          <w:p w14:paraId="348DBB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C5396E1"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6DCFF92C"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5E96F9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60DF5ED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096D5E7C" w14:textId="77777777" w:rsidTr="00A732E0">
        <w:trPr>
          <w:cantSplit/>
          <w:trHeight w:val="255"/>
        </w:trPr>
        <w:tc>
          <w:tcPr>
            <w:tcW w:w="450" w:type="dxa"/>
            <w:vAlign w:val="bottom"/>
          </w:tcPr>
          <w:p w14:paraId="4A607116" w14:textId="77777777" w:rsidR="008A701E" w:rsidRPr="006A2781" w:rsidRDefault="008A701E" w:rsidP="008A701E">
            <w:pPr>
              <w:jc w:val="center"/>
              <w:rPr>
                <w:rFonts w:ascii="Arial" w:hAnsi="Arial" w:cs="Arial"/>
                <w:sz w:val="18"/>
                <w:szCs w:val="18"/>
              </w:rPr>
            </w:pPr>
            <w:r>
              <w:rPr>
                <w:rFonts w:ascii="Arial" w:hAnsi="Arial" w:cs="Arial"/>
                <w:sz w:val="18"/>
                <w:szCs w:val="18"/>
              </w:rPr>
              <w:t>40</w:t>
            </w:r>
          </w:p>
        </w:tc>
        <w:tc>
          <w:tcPr>
            <w:tcW w:w="540" w:type="dxa"/>
            <w:vAlign w:val="bottom"/>
          </w:tcPr>
          <w:p w14:paraId="70DF3C4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F1816C2"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A2DD557"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6B5E1B4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144A8217"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0E19C44" w14:textId="77777777" w:rsidTr="00A732E0">
        <w:trPr>
          <w:cantSplit/>
          <w:trHeight w:val="255"/>
        </w:trPr>
        <w:tc>
          <w:tcPr>
            <w:tcW w:w="450" w:type="dxa"/>
            <w:vAlign w:val="bottom"/>
          </w:tcPr>
          <w:p w14:paraId="43CE8261" w14:textId="77777777" w:rsidR="008A701E" w:rsidRPr="006A2781" w:rsidRDefault="008A701E" w:rsidP="008A701E">
            <w:pPr>
              <w:jc w:val="center"/>
              <w:rPr>
                <w:rFonts w:ascii="Arial" w:hAnsi="Arial" w:cs="Arial"/>
                <w:sz w:val="18"/>
                <w:szCs w:val="18"/>
              </w:rPr>
            </w:pPr>
            <w:r>
              <w:rPr>
                <w:rFonts w:ascii="Arial" w:hAnsi="Arial" w:cs="Arial"/>
                <w:sz w:val="18"/>
                <w:szCs w:val="18"/>
              </w:rPr>
              <w:lastRenderedPageBreak/>
              <w:t>41</w:t>
            </w:r>
          </w:p>
        </w:tc>
        <w:tc>
          <w:tcPr>
            <w:tcW w:w="540" w:type="dxa"/>
            <w:vAlign w:val="bottom"/>
          </w:tcPr>
          <w:p w14:paraId="646C9A1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355FDF1D"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39FF19F3"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0A9364E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5391F144"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081DE2C0" w14:textId="77777777" w:rsidTr="00A732E0">
        <w:trPr>
          <w:cantSplit/>
          <w:trHeight w:val="255"/>
        </w:trPr>
        <w:tc>
          <w:tcPr>
            <w:tcW w:w="450" w:type="dxa"/>
            <w:vAlign w:val="bottom"/>
          </w:tcPr>
          <w:p w14:paraId="0A349906" w14:textId="77777777" w:rsidR="008A701E" w:rsidRPr="006A2781" w:rsidRDefault="008A701E" w:rsidP="008A701E">
            <w:pPr>
              <w:jc w:val="center"/>
              <w:rPr>
                <w:rFonts w:ascii="Arial" w:hAnsi="Arial" w:cs="Arial"/>
                <w:sz w:val="18"/>
                <w:szCs w:val="18"/>
              </w:rPr>
            </w:pPr>
            <w:r>
              <w:rPr>
                <w:rFonts w:ascii="Arial" w:hAnsi="Arial" w:cs="Arial"/>
                <w:sz w:val="18"/>
                <w:szCs w:val="18"/>
              </w:rPr>
              <w:t>42</w:t>
            </w:r>
          </w:p>
        </w:tc>
        <w:tc>
          <w:tcPr>
            <w:tcW w:w="540" w:type="dxa"/>
            <w:vAlign w:val="bottom"/>
          </w:tcPr>
          <w:p w14:paraId="1EDF37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4528616"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CEEF46D" w14:textId="7FA9FD2E" w:rsidR="008A701E" w:rsidRPr="00C821F1" w:rsidRDefault="008A701E" w:rsidP="008A701E">
            <w:pPr>
              <w:rPr>
                <w:rFonts w:ascii="Arial" w:hAnsi="Arial" w:cs="Arial"/>
                <w:sz w:val="18"/>
                <w:szCs w:val="18"/>
              </w:rPr>
            </w:pPr>
            <w:r w:rsidRPr="00C821F1">
              <w:rPr>
                <w:rFonts w:ascii="Arial" w:hAnsi="Arial" w:cs="Arial"/>
                <w:sz w:val="18"/>
                <w:szCs w:val="18"/>
              </w:rPr>
              <w:t xml:space="preserve">Compatible </w:t>
            </w:r>
            <w:r w:rsidR="00AE3B37" w:rsidRPr="00C821F1">
              <w:rPr>
                <w:rFonts w:ascii="Arial" w:hAnsi="Arial" w:cs="Arial"/>
                <w:sz w:val="18"/>
                <w:szCs w:val="18"/>
              </w:rPr>
              <w:t>(C</w:t>
            </w:r>
            <w:r w:rsidRPr="00C821F1">
              <w:rPr>
                <w:rFonts w:ascii="Arial" w:hAnsi="Arial" w:cs="Arial"/>
                <w:sz w:val="18"/>
                <w:szCs w:val="18"/>
              </w:rPr>
              <w:t>)</w:t>
            </w:r>
          </w:p>
        </w:tc>
        <w:tc>
          <w:tcPr>
            <w:tcW w:w="1530" w:type="dxa"/>
            <w:shd w:val="clear" w:color="auto" w:fill="auto"/>
            <w:noWrap/>
            <w:vAlign w:val="bottom"/>
          </w:tcPr>
          <w:p w14:paraId="1623CBF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7653CE4A"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32BFA6A1" w14:textId="77777777" w:rsidTr="00A732E0">
        <w:trPr>
          <w:cantSplit/>
          <w:trHeight w:val="255"/>
        </w:trPr>
        <w:tc>
          <w:tcPr>
            <w:tcW w:w="450" w:type="dxa"/>
            <w:vAlign w:val="bottom"/>
          </w:tcPr>
          <w:p w14:paraId="7D908895" w14:textId="77777777" w:rsidR="008A701E" w:rsidRPr="006A2781" w:rsidRDefault="008A701E" w:rsidP="008A701E">
            <w:pPr>
              <w:jc w:val="center"/>
              <w:rPr>
                <w:rFonts w:ascii="Arial" w:hAnsi="Arial" w:cs="Arial"/>
                <w:sz w:val="18"/>
                <w:szCs w:val="18"/>
              </w:rPr>
            </w:pPr>
            <w:r>
              <w:rPr>
                <w:rFonts w:ascii="Arial" w:hAnsi="Arial" w:cs="Arial"/>
                <w:sz w:val="18"/>
                <w:szCs w:val="18"/>
              </w:rPr>
              <w:t>43</w:t>
            </w:r>
          </w:p>
        </w:tc>
        <w:tc>
          <w:tcPr>
            <w:tcW w:w="540" w:type="dxa"/>
            <w:vAlign w:val="bottom"/>
          </w:tcPr>
          <w:p w14:paraId="2CD4BC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8413AF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97EEEF0" w14:textId="77777777" w:rsidR="008A701E" w:rsidRPr="00C821F1" w:rsidRDefault="008A701E" w:rsidP="008A701E">
            <w:pPr>
              <w:rPr>
                <w:rFonts w:ascii="Arial" w:hAnsi="Arial" w:cs="Arial"/>
                <w:sz w:val="18"/>
                <w:szCs w:val="18"/>
              </w:rPr>
            </w:pPr>
            <w:r w:rsidRPr="00C821F1">
              <w:rPr>
                <w:rFonts w:ascii="Arial" w:hAnsi="Arial" w:cs="Arial"/>
                <w:sz w:val="18"/>
                <w:szCs w:val="18"/>
              </w:rPr>
              <w:t>Incompatible (I)</w:t>
            </w:r>
          </w:p>
        </w:tc>
        <w:tc>
          <w:tcPr>
            <w:tcW w:w="1530" w:type="dxa"/>
            <w:shd w:val="clear" w:color="auto" w:fill="auto"/>
            <w:noWrap/>
            <w:vAlign w:val="bottom"/>
          </w:tcPr>
          <w:p w14:paraId="15A160C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6B0B7CCD"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CBCE35A" w14:textId="77777777" w:rsidTr="00A732E0">
        <w:trPr>
          <w:cantSplit/>
          <w:trHeight w:val="255"/>
        </w:trPr>
        <w:tc>
          <w:tcPr>
            <w:tcW w:w="450" w:type="dxa"/>
            <w:vAlign w:val="bottom"/>
          </w:tcPr>
          <w:p w14:paraId="7D684687" w14:textId="77777777" w:rsidR="008A701E" w:rsidRPr="006A2781" w:rsidRDefault="008A701E" w:rsidP="008A701E">
            <w:pPr>
              <w:jc w:val="center"/>
              <w:rPr>
                <w:rFonts w:ascii="Arial" w:hAnsi="Arial" w:cs="Arial"/>
                <w:sz w:val="18"/>
                <w:szCs w:val="18"/>
              </w:rPr>
            </w:pPr>
            <w:r>
              <w:rPr>
                <w:rFonts w:ascii="Arial" w:hAnsi="Arial" w:cs="Arial"/>
                <w:sz w:val="18"/>
                <w:szCs w:val="18"/>
              </w:rPr>
              <w:t>44</w:t>
            </w:r>
          </w:p>
        </w:tc>
        <w:tc>
          <w:tcPr>
            <w:tcW w:w="540" w:type="dxa"/>
            <w:vAlign w:val="bottom"/>
          </w:tcPr>
          <w:p w14:paraId="246693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E2D6D9B"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FD2801D" w14:textId="77777777" w:rsidR="008A701E" w:rsidRPr="00C821F1" w:rsidRDefault="008A701E" w:rsidP="008A701E">
            <w:pPr>
              <w:rPr>
                <w:rFonts w:ascii="Arial" w:hAnsi="Arial" w:cs="Arial"/>
                <w:sz w:val="18"/>
                <w:szCs w:val="18"/>
              </w:rPr>
            </w:pPr>
            <w:r w:rsidRPr="00C821F1">
              <w:rPr>
                <w:rFonts w:ascii="Arial" w:hAnsi="Arial" w:cs="Arial"/>
                <w:bCs/>
                <w:sz w:val="18"/>
                <w:szCs w:val="18"/>
              </w:rPr>
              <w:t xml:space="preserve">Crossmatch Compatible: Don’t Transfuse </w:t>
            </w:r>
            <w:r w:rsidRPr="00C821F1">
              <w:rPr>
                <w:rFonts w:ascii="Arial" w:hAnsi="Arial" w:cs="Arial"/>
                <w:sz w:val="18"/>
                <w:szCs w:val="18"/>
              </w:rPr>
              <w:t xml:space="preserve">(D) </w:t>
            </w:r>
          </w:p>
        </w:tc>
        <w:tc>
          <w:tcPr>
            <w:tcW w:w="1530" w:type="dxa"/>
            <w:shd w:val="clear" w:color="auto" w:fill="auto"/>
            <w:noWrap/>
            <w:vAlign w:val="bottom"/>
          </w:tcPr>
          <w:p w14:paraId="4989CA33"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461EF57F"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4DC85287" w14:textId="77777777" w:rsidTr="00A732E0">
        <w:trPr>
          <w:cantSplit/>
          <w:trHeight w:val="255"/>
        </w:trPr>
        <w:tc>
          <w:tcPr>
            <w:tcW w:w="450" w:type="dxa"/>
            <w:vAlign w:val="bottom"/>
          </w:tcPr>
          <w:p w14:paraId="656AC1D8" w14:textId="77777777" w:rsidR="008A701E" w:rsidRPr="006A2781" w:rsidRDefault="008A701E" w:rsidP="008A701E">
            <w:pPr>
              <w:jc w:val="center"/>
              <w:rPr>
                <w:rFonts w:ascii="Arial" w:hAnsi="Arial" w:cs="Arial"/>
                <w:sz w:val="18"/>
                <w:szCs w:val="18"/>
              </w:rPr>
            </w:pPr>
            <w:r>
              <w:rPr>
                <w:rFonts w:ascii="Arial" w:hAnsi="Arial" w:cs="Arial"/>
                <w:sz w:val="18"/>
                <w:szCs w:val="18"/>
              </w:rPr>
              <w:t>45</w:t>
            </w:r>
          </w:p>
        </w:tc>
        <w:tc>
          <w:tcPr>
            <w:tcW w:w="540" w:type="dxa"/>
            <w:vAlign w:val="bottom"/>
          </w:tcPr>
          <w:p w14:paraId="4B9B669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3BC8B8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34067A6" w14:textId="77777777" w:rsidR="008A701E" w:rsidRPr="00C821F1" w:rsidRDefault="008A701E" w:rsidP="008A701E">
            <w:pPr>
              <w:rPr>
                <w:rFonts w:ascii="Arial" w:hAnsi="Arial" w:cs="Arial"/>
                <w:sz w:val="18"/>
                <w:szCs w:val="18"/>
              </w:rPr>
            </w:pPr>
            <w:r w:rsidRPr="00C821F1">
              <w:rPr>
                <w:rFonts w:ascii="Arial" w:hAnsi="Arial" w:cs="Arial"/>
                <w:sz w:val="18"/>
                <w:szCs w:val="18"/>
              </w:rPr>
              <w:t>Compatible-Give with MD approval (G)</w:t>
            </w:r>
          </w:p>
        </w:tc>
        <w:tc>
          <w:tcPr>
            <w:tcW w:w="1530" w:type="dxa"/>
            <w:shd w:val="clear" w:color="auto" w:fill="auto"/>
            <w:noWrap/>
            <w:vAlign w:val="bottom"/>
          </w:tcPr>
          <w:p w14:paraId="28D4FCFC"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0DFA136F"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496250EC" w14:textId="77777777" w:rsidTr="00A732E0">
        <w:trPr>
          <w:cantSplit/>
          <w:trHeight w:val="255"/>
        </w:trPr>
        <w:tc>
          <w:tcPr>
            <w:tcW w:w="450" w:type="dxa"/>
            <w:vAlign w:val="bottom"/>
          </w:tcPr>
          <w:p w14:paraId="1912F0A5" w14:textId="77777777" w:rsidR="008A701E" w:rsidRPr="006A2781" w:rsidRDefault="008A701E" w:rsidP="008A701E">
            <w:pPr>
              <w:jc w:val="center"/>
              <w:rPr>
                <w:rFonts w:ascii="Arial" w:hAnsi="Arial" w:cs="Arial"/>
                <w:sz w:val="18"/>
                <w:szCs w:val="18"/>
              </w:rPr>
            </w:pPr>
            <w:r>
              <w:rPr>
                <w:rFonts w:ascii="Arial" w:hAnsi="Arial" w:cs="Arial"/>
                <w:sz w:val="18"/>
                <w:szCs w:val="18"/>
              </w:rPr>
              <w:t>46</w:t>
            </w:r>
          </w:p>
        </w:tc>
        <w:tc>
          <w:tcPr>
            <w:tcW w:w="540" w:type="dxa"/>
            <w:vAlign w:val="bottom"/>
          </w:tcPr>
          <w:p w14:paraId="06A6972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0006E68"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6B986611"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09095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5CA350F"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1136FC17" w14:textId="77777777" w:rsidTr="00A732E0">
        <w:trPr>
          <w:cantSplit/>
          <w:trHeight w:val="255"/>
        </w:trPr>
        <w:tc>
          <w:tcPr>
            <w:tcW w:w="450" w:type="dxa"/>
            <w:vAlign w:val="bottom"/>
          </w:tcPr>
          <w:p w14:paraId="5BC74AB8" w14:textId="77777777" w:rsidR="008A701E" w:rsidRPr="006A2781" w:rsidRDefault="008A701E" w:rsidP="008A701E">
            <w:pPr>
              <w:jc w:val="center"/>
              <w:rPr>
                <w:rFonts w:ascii="Arial" w:hAnsi="Arial" w:cs="Arial"/>
                <w:sz w:val="18"/>
                <w:szCs w:val="18"/>
              </w:rPr>
            </w:pPr>
            <w:r>
              <w:rPr>
                <w:rFonts w:ascii="Arial" w:hAnsi="Arial" w:cs="Arial"/>
                <w:sz w:val="18"/>
                <w:szCs w:val="18"/>
              </w:rPr>
              <w:t>47</w:t>
            </w:r>
          </w:p>
        </w:tc>
        <w:tc>
          <w:tcPr>
            <w:tcW w:w="540" w:type="dxa"/>
            <w:vAlign w:val="bottom"/>
          </w:tcPr>
          <w:p w14:paraId="078A5EA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25DA5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3DAAA1FD"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615383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71A262B"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754FE43A" w14:textId="77777777" w:rsidTr="00A732E0">
        <w:trPr>
          <w:cantSplit/>
          <w:trHeight w:val="255"/>
        </w:trPr>
        <w:tc>
          <w:tcPr>
            <w:tcW w:w="450" w:type="dxa"/>
            <w:vAlign w:val="bottom"/>
          </w:tcPr>
          <w:p w14:paraId="0571C83D" w14:textId="77777777" w:rsidR="008A701E" w:rsidRPr="006A2781" w:rsidRDefault="008A701E" w:rsidP="008A701E">
            <w:pPr>
              <w:jc w:val="center"/>
              <w:rPr>
                <w:rFonts w:ascii="Arial" w:hAnsi="Arial" w:cs="Arial"/>
                <w:sz w:val="18"/>
                <w:szCs w:val="18"/>
              </w:rPr>
            </w:pPr>
            <w:r>
              <w:rPr>
                <w:rFonts w:ascii="Arial" w:hAnsi="Arial" w:cs="Arial"/>
                <w:sz w:val="18"/>
                <w:szCs w:val="18"/>
              </w:rPr>
              <w:t>48</w:t>
            </w:r>
          </w:p>
        </w:tc>
        <w:tc>
          <w:tcPr>
            <w:tcW w:w="540" w:type="dxa"/>
            <w:vAlign w:val="bottom"/>
          </w:tcPr>
          <w:p w14:paraId="791B83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F8C1B6C"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2D04C964"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2BAEBBE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696C283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12181156" w14:textId="77777777" w:rsidTr="00A732E0">
        <w:trPr>
          <w:cantSplit/>
          <w:trHeight w:val="255"/>
        </w:trPr>
        <w:tc>
          <w:tcPr>
            <w:tcW w:w="450" w:type="dxa"/>
            <w:vAlign w:val="bottom"/>
          </w:tcPr>
          <w:p w14:paraId="14F376E4" w14:textId="77777777" w:rsidR="008A701E" w:rsidRPr="006A2781" w:rsidRDefault="008A701E" w:rsidP="008A701E">
            <w:pPr>
              <w:jc w:val="center"/>
              <w:rPr>
                <w:rFonts w:ascii="Arial" w:hAnsi="Arial" w:cs="Arial"/>
                <w:sz w:val="18"/>
                <w:szCs w:val="18"/>
              </w:rPr>
            </w:pPr>
            <w:r>
              <w:rPr>
                <w:rFonts w:ascii="Arial" w:hAnsi="Arial" w:cs="Arial"/>
                <w:sz w:val="18"/>
                <w:szCs w:val="18"/>
              </w:rPr>
              <w:t>49</w:t>
            </w:r>
          </w:p>
        </w:tc>
        <w:tc>
          <w:tcPr>
            <w:tcW w:w="540" w:type="dxa"/>
            <w:vAlign w:val="bottom"/>
          </w:tcPr>
          <w:p w14:paraId="5B24B9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2ADA53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14C9C8EE"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1C2E10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E306825"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69AFBEC" w14:textId="77777777" w:rsidTr="00A732E0">
        <w:trPr>
          <w:cantSplit/>
          <w:trHeight w:val="255"/>
        </w:trPr>
        <w:tc>
          <w:tcPr>
            <w:tcW w:w="450" w:type="dxa"/>
            <w:vAlign w:val="bottom"/>
          </w:tcPr>
          <w:p w14:paraId="405DC511" w14:textId="77777777" w:rsidR="008A701E" w:rsidRPr="006A2781" w:rsidRDefault="008A701E" w:rsidP="008A701E">
            <w:pPr>
              <w:jc w:val="center"/>
              <w:rPr>
                <w:rFonts w:ascii="Arial" w:hAnsi="Arial" w:cs="Arial"/>
                <w:sz w:val="18"/>
                <w:szCs w:val="18"/>
              </w:rPr>
            </w:pPr>
            <w:r>
              <w:rPr>
                <w:rFonts w:ascii="Arial" w:hAnsi="Arial" w:cs="Arial"/>
                <w:sz w:val="18"/>
                <w:szCs w:val="18"/>
              </w:rPr>
              <w:t>50</w:t>
            </w:r>
          </w:p>
        </w:tc>
        <w:tc>
          <w:tcPr>
            <w:tcW w:w="540" w:type="dxa"/>
            <w:vAlign w:val="bottom"/>
          </w:tcPr>
          <w:p w14:paraId="685DF93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82D825F"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04EF71D9"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70EF44B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62BBA6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F653082" w14:textId="77777777" w:rsidTr="00A732E0">
        <w:trPr>
          <w:cantSplit/>
          <w:trHeight w:val="255"/>
        </w:trPr>
        <w:tc>
          <w:tcPr>
            <w:tcW w:w="450" w:type="dxa"/>
            <w:vAlign w:val="bottom"/>
          </w:tcPr>
          <w:p w14:paraId="32BF8C43" w14:textId="77777777" w:rsidR="008A701E" w:rsidRPr="006A2781" w:rsidRDefault="008A701E" w:rsidP="008A701E">
            <w:pPr>
              <w:jc w:val="center"/>
              <w:rPr>
                <w:rFonts w:ascii="Arial" w:hAnsi="Arial" w:cs="Arial"/>
                <w:sz w:val="18"/>
                <w:szCs w:val="18"/>
              </w:rPr>
            </w:pPr>
            <w:r>
              <w:rPr>
                <w:rFonts w:ascii="Arial" w:hAnsi="Arial" w:cs="Arial"/>
                <w:sz w:val="18"/>
                <w:szCs w:val="18"/>
              </w:rPr>
              <w:t>51</w:t>
            </w:r>
          </w:p>
        </w:tc>
        <w:tc>
          <w:tcPr>
            <w:tcW w:w="540" w:type="dxa"/>
            <w:vAlign w:val="bottom"/>
          </w:tcPr>
          <w:p w14:paraId="7974C62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FE36C0A"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22B47E65"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0161BC7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D87D78E"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5131FAA4" w14:textId="77777777" w:rsidTr="00A732E0">
        <w:trPr>
          <w:cantSplit/>
          <w:trHeight w:val="255"/>
        </w:trPr>
        <w:tc>
          <w:tcPr>
            <w:tcW w:w="450" w:type="dxa"/>
            <w:vAlign w:val="bottom"/>
          </w:tcPr>
          <w:p w14:paraId="6802F355" w14:textId="77777777" w:rsidR="008A701E" w:rsidRPr="006A2781" w:rsidRDefault="008A701E" w:rsidP="008A701E">
            <w:pPr>
              <w:jc w:val="center"/>
              <w:rPr>
                <w:rFonts w:ascii="Arial" w:hAnsi="Arial" w:cs="Arial"/>
                <w:sz w:val="18"/>
                <w:szCs w:val="18"/>
              </w:rPr>
            </w:pPr>
            <w:r>
              <w:rPr>
                <w:rFonts w:ascii="Arial" w:hAnsi="Arial" w:cs="Arial"/>
                <w:sz w:val="18"/>
                <w:szCs w:val="18"/>
              </w:rPr>
              <w:t>52</w:t>
            </w:r>
          </w:p>
        </w:tc>
        <w:tc>
          <w:tcPr>
            <w:tcW w:w="540" w:type="dxa"/>
            <w:vAlign w:val="bottom"/>
          </w:tcPr>
          <w:p w14:paraId="543DEF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867" w:type="dxa"/>
            <w:shd w:val="clear" w:color="auto" w:fill="auto"/>
            <w:noWrap/>
            <w:vAlign w:val="bottom"/>
          </w:tcPr>
          <w:p w14:paraId="670A8F83"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1B3070F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Unit without a crossmatch </w:t>
            </w:r>
          </w:p>
        </w:tc>
        <w:tc>
          <w:tcPr>
            <w:tcW w:w="1530" w:type="dxa"/>
            <w:shd w:val="clear" w:color="auto" w:fill="auto"/>
            <w:noWrap/>
            <w:vAlign w:val="bottom"/>
          </w:tcPr>
          <w:p w14:paraId="2C6AFF3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FCE878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474D229" w14:textId="77777777" w:rsidTr="00A732E0">
        <w:trPr>
          <w:cantSplit/>
          <w:trHeight w:val="255"/>
        </w:trPr>
        <w:tc>
          <w:tcPr>
            <w:tcW w:w="450" w:type="dxa"/>
            <w:vAlign w:val="bottom"/>
          </w:tcPr>
          <w:p w14:paraId="0569530D" w14:textId="77777777" w:rsidR="008A701E" w:rsidRPr="006A2781" w:rsidRDefault="008A701E" w:rsidP="008A701E">
            <w:pPr>
              <w:jc w:val="center"/>
              <w:rPr>
                <w:rFonts w:ascii="Arial" w:hAnsi="Arial" w:cs="Arial"/>
                <w:sz w:val="18"/>
                <w:szCs w:val="18"/>
              </w:rPr>
            </w:pPr>
            <w:r>
              <w:rPr>
                <w:rFonts w:ascii="Arial" w:hAnsi="Arial" w:cs="Arial"/>
                <w:sz w:val="18"/>
                <w:szCs w:val="18"/>
              </w:rPr>
              <w:t>53</w:t>
            </w:r>
          </w:p>
        </w:tc>
        <w:tc>
          <w:tcPr>
            <w:tcW w:w="540" w:type="dxa"/>
            <w:vAlign w:val="bottom"/>
          </w:tcPr>
          <w:p w14:paraId="34A3DBA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867" w:type="dxa"/>
            <w:shd w:val="clear" w:color="auto" w:fill="auto"/>
            <w:noWrap/>
            <w:vAlign w:val="bottom"/>
          </w:tcPr>
          <w:p w14:paraId="0D2EB63E"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541225D0" w14:textId="77777777" w:rsidR="008A701E" w:rsidRPr="006A2781" w:rsidRDefault="008A701E" w:rsidP="008A701E">
            <w:pPr>
              <w:rPr>
                <w:rFonts w:ascii="Arial" w:hAnsi="Arial" w:cs="Arial"/>
                <w:sz w:val="18"/>
                <w:szCs w:val="18"/>
              </w:rPr>
            </w:pPr>
            <w:r w:rsidRPr="006A2781">
              <w:rPr>
                <w:rFonts w:ascii="Arial" w:hAnsi="Arial" w:cs="Arial"/>
                <w:sz w:val="18"/>
                <w:szCs w:val="18"/>
              </w:rPr>
              <w:t>Crossmatched unit</w:t>
            </w:r>
          </w:p>
        </w:tc>
        <w:tc>
          <w:tcPr>
            <w:tcW w:w="1530" w:type="dxa"/>
            <w:shd w:val="clear" w:color="auto" w:fill="auto"/>
            <w:noWrap/>
            <w:vAlign w:val="bottom"/>
          </w:tcPr>
          <w:p w14:paraId="57418C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8C0B88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E8C2A03" w14:textId="77777777" w:rsidTr="00A732E0">
        <w:trPr>
          <w:cantSplit/>
          <w:trHeight w:val="255"/>
        </w:trPr>
        <w:tc>
          <w:tcPr>
            <w:tcW w:w="450" w:type="dxa"/>
            <w:vAlign w:val="bottom"/>
          </w:tcPr>
          <w:p w14:paraId="70AF6009" w14:textId="77777777" w:rsidR="008A701E" w:rsidRDefault="008A701E" w:rsidP="008A701E">
            <w:pPr>
              <w:jc w:val="center"/>
              <w:rPr>
                <w:rFonts w:ascii="Arial" w:hAnsi="Arial" w:cs="Arial"/>
                <w:sz w:val="18"/>
                <w:szCs w:val="18"/>
              </w:rPr>
            </w:pPr>
            <w:r>
              <w:rPr>
                <w:rFonts w:ascii="Arial" w:hAnsi="Arial" w:cs="Arial"/>
                <w:sz w:val="18"/>
                <w:szCs w:val="18"/>
              </w:rPr>
              <w:t>54</w:t>
            </w:r>
          </w:p>
        </w:tc>
        <w:tc>
          <w:tcPr>
            <w:tcW w:w="540" w:type="dxa"/>
            <w:vAlign w:val="bottom"/>
          </w:tcPr>
          <w:p w14:paraId="13041DC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867" w:type="dxa"/>
            <w:shd w:val="clear" w:color="auto" w:fill="auto"/>
            <w:noWrap/>
            <w:vAlign w:val="bottom"/>
          </w:tcPr>
          <w:p w14:paraId="1FF6188F"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3F18D634" w14:textId="77777777" w:rsidR="008A701E" w:rsidRPr="00B7134B" w:rsidRDefault="008A701E" w:rsidP="008A701E">
            <w:pPr>
              <w:rPr>
                <w:rFonts w:ascii="Arial" w:hAnsi="Arial" w:cs="Arial"/>
                <w:sz w:val="18"/>
                <w:szCs w:val="18"/>
              </w:rPr>
            </w:pPr>
            <w:r w:rsidRPr="00B7134B">
              <w:rPr>
                <w:rFonts w:ascii="Arial" w:hAnsi="Arial" w:cs="Arial"/>
                <w:sz w:val="18"/>
                <w:szCs w:val="18"/>
              </w:rPr>
              <w:t>Unit without a crossmatch, unit is unsatisfactory</w:t>
            </w:r>
          </w:p>
        </w:tc>
        <w:tc>
          <w:tcPr>
            <w:tcW w:w="1530" w:type="dxa"/>
            <w:shd w:val="clear" w:color="auto" w:fill="auto"/>
            <w:noWrap/>
            <w:vAlign w:val="bottom"/>
          </w:tcPr>
          <w:p w14:paraId="36DE61D5"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0C5BF329"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424EFC48" w14:textId="77777777" w:rsidTr="00A732E0">
        <w:trPr>
          <w:cantSplit/>
          <w:trHeight w:val="255"/>
        </w:trPr>
        <w:tc>
          <w:tcPr>
            <w:tcW w:w="450" w:type="dxa"/>
            <w:vAlign w:val="bottom"/>
          </w:tcPr>
          <w:p w14:paraId="22347ED2" w14:textId="77777777" w:rsidR="008A701E" w:rsidRDefault="008A701E" w:rsidP="008A701E">
            <w:pPr>
              <w:jc w:val="center"/>
              <w:rPr>
                <w:rFonts w:ascii="Arial" w:hAnsi="Arial" w:cs="Arial"/>
                <w:sz w:val="18"/>
                <w:szCs w:val="18"/>
              </w:rPr>
            </w:pPr>
            <w:r>
              <w:rPr>
                <w:rFonts w:ascii="Arial" w:hAnsi="Arial" w:cs="Arial"/>
                <w:sz w:val="18"/>
                <w:szCs w:val="18"/>
              </w:rPr>
              <w:t>55</w:t>
            </w:r>
          </w:p>
        </w:tc>
        <w:tc>
          <w:tcPr>
            <w:tcW w:w="540" w:type="dxa"/>
            <w:vAlign w:val="bottom"/>
          </w:tcPr>
          <w:p w14:paraId="52F20DF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867" w:type="dxa"/>
            <w:shd w:val="clear" w:color="auto" w:fill="auto"/>
            <w:noWrap/>
            <w:vAlign w:val="bottom"/>
          </w:tcPr>
          <w:p w14:paraId="2B0D8D40"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41F09AA7" w14:textId="77777777" w:rsidR="008A701E" w:rsidRPr="00B7134B" w:rsidRDefault="008A701E" w:rsidP="008A701E">
            <w:pPr>
              <w:rPr>
                <w:rFonts w:ascii="Arial" w:hAnsi="Arial" w:cs="Arial"/>
                <w:sz w:val="18"/>
                <w:szCs w:val="18"/>
              </w:rPr>
            </w:pPr>
            <w:r w:rsidRPr="00B7134B">
              <w:rPr>
                <w:rFonts w:ascii="Arial" w:hAnsi="Arial" w:cs="Arial"/>
                <w:sz w:val="18"/>
                <w:szCs w:val="18"/>
              </w:rPr>
              <w:t>Unit crossmatched, unit is unsatisfactory</w:t>
            </w:r>
          </w:p>
        </w:tc>
        <w:tc>
          <w:tcPr>
            <w:tcW w:w="1530" w:type="dxa"/>
            <w:shd w:val="clear" w:color="auto" w:fill="auto"/>
            <w:noWrap/>
            <w:vAlign w:val="bottom"/>
          </w:tcPr>
          <w:p w14:paraId="4669E0AB" w14:textId="77777777" w:rsidR="008A701E" w:rsidRPr="006A2781" w:rsidRDefault="008A701E" w:rsidP="008A701E">
            <w:pPr>
              <w:jc w:val="center"/>
              <w:rPr>
                <w:rFonts w:ascii="Arial" w:hAnsi="Arial" w:cs="Arial"/>
                <w:sz w:val="18"/>
                <w:szCs w:val="18"/>
              </w:rPr>
            </w:pPr>
            <w:r w:rsidRPr="00B7134B">
              <w:rPr>
                <w:rFonts w:ascii="Arial" w:hAnsi="Arial" w:cs="Arial"/>
                <w:sz w:val="18"/>
                <w:szCs w:val="18"/>
              </w:rPr>
              <w:t>A</w:t>
            </w:r>
          </w:p>
        </w:tc>
        <w:tc>
          <w:tcPr>
            <w:tcW w:w="2070" w:type="dxa"/>
            <w:shd w:val="clear" w:color="auto" w:fill="auto"/>
            <w:noWrap/>
            <w:vAlign w:val="bottom"/>
          </w:tcPr>
          <w:p w14:paraId="66DCDE74"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3D234401" w14:textId="77777777" w:rsidTr="00A732E0">
        <w:trPr>
          <w:cantSplit/>
          <w:trHeight w:val="255"/>
        </w:trPr>
        <w:tc>
          <w:tcPr>
            <w:tcW w:w="450" w:type="dxa"/>
            <w:vAlign w:val="bottom"/>
          </w:tcPr>
          <w:p w14:paraId="6B311E76" w14:textId="77777777" w:rsidR="008A701E" w:rsidRPr="006A2781" w:rsidRDefault="008A701E" w:rsidP="008A701E">
            <w:pPr>
              <w:jc w:val="center"/>
              <w:rPr>
                <w:rFonts w:ascii="Arial" w:hAnsi="Arial" w:cs="Arial"/>
                <w:sz w:val="18"/>
                <w:szCs w:val="18"/>
              </w:rPr>
            </w:pPr>
            <w:r>
              <w:rPr>
                <w:rFonts w:ascii="Arial" w:hAnsi="Arial" w:cs="Arial"/>
                <w:sz w:val="18"/>
                <w:szCs w:val="18"/>
              </w:rPr>
              <w:t>56</w:t>
            </w:r>
          </w:p>
        </w:tc>
        <w:tc>
          <w:tcPr>
            <w:tcW w:w="540" w:type="dxa"/>
            <w:vAlign w:val="bottom"/>
          </w:tcPr>
          <w:p w14:paraId="566A799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DC6B4AC"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5B0E1422"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46273A8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9FD7FF8"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391DF5EB" w14:textId="77777777" w:rsidTr="00A732E0">
        <w:trPr>
          <w:cantSplit/>
          <w:trHeight w:val="255"/>
        </w:trPr>
        <w:tc>
          <w:tcPr>
            <w:tcW w:w="450" w:type="dxa"/>
            <w:vAlign w:val="bottom"/>
          </w:tcPr>
          <w:p w14:paraId="0CF4BE52" w14:textId="77777777" w:rsidR="008A701E" w:rsidRPr="006A2781" w:rsidRDefault="008A701E" w:rsidP="008A701E">
            <w:pPr>
              <w:jc w:val="center"/>
              <w:rPr>
                <w:rFonts w:ascii="Arial" w:hAnsi="Arial" w:cs="Arial"/>
                <w:sz w:val="18"/>
                <w:szCs w:val="18"/>
              </w:rPr>
            </w:pPr>
            <w:r>
              <w:rPr>
                <w:rFonts w:ascii="Arial" w:hAnsi="Arial" w:cs="Arial"/>
                <w:sz w:val="18"/>
                <w:szCs w:val="18"/>
              </w:rPr>
              <w:t>57</w:t>
            </w:r>
          </w:p>
        </w:tc>
        <w:tc>
          <w:tcPr>
            <w:tcW w:w="540" w:type="dxa"/>
            <w:vAlign w:val="bottom"/>
          </w:tcPr>
          <w:p w14:paraId="24360F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48EE44F1"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77D7ABF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27EDEBF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D8241AA"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5BA696CE" w14:textId="77777777" w:rsidTr="00A732E0">
        <w:trPr>
          <w:cantSplit/>
          <w:trHeight w:val="255"/>
        </w:trPr>
        <w:tc>
          <w:tcPr>
            <w:tcW w:w="450" w:type="dxa"/>
            <w:vAlign w:val="bottom"/>
          </w:tcPr>
          <w:p w14:paraId="4D700639" w14:textId="77777777" w:rsidR="008A701E" w:rsidRPr="006A2781" w:rsidRDefault="008A701E" w:rsidP="008A701E">
            <w:pPr>
              <w:jc w:val="center"/>
              <w:rPr>
                <w:rFonts w:ascii="Arial" w:hAnsi="Arial" w:cs="Arial"/>
                <w:sz w:val="18"/>
                <w:szCs w:val="18"/>
              </w:rPr>
            </w:pPr>
            <w:r>
              <w:rPr>
                <w:rFonts w:ascii="Arial" w:hAnsi="Arial" w:cs="Arial"/>
                <w:sz w:val="18"/>
                <w:szCs w:val="18"/>
              </w:rPr>
              <w:t>58</w:t>
            </w:r>
          </w:p>
        </w:tc>
        <w:tc>
          <w:tcPr>
            <w:tcW w:w="540" w:type="dxa"/>
            <w:vAlign w:val="bottom"/>
          </w:tcPr>
          <w:p w14:paraId="5DAB8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188C88C5"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267A636"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3D604BB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3246A7F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2360C6C6" w14:textId="77777777" w:rsidTr="00A732E0">
        <w:trPr>
          <w:cantSplit/>
          <w:trHeight w:val="255"/>
        </w:trPr>
        <w:tc>
          <w:tcPr>
            <w:tcW w:w="450" w:type="dxa"/>
            <w:vAlign w:val="bottom"/>
          </w:tcPr>
          <w:p w14:paraId="20F44224" w14:textId="77777777" w:rsidR="008A701E" w:rsidRPr="006A2781" w:rsidRDefault="008A701E" w:rsidP="008A701E">
            <w:pPr>
              <w:jc w:val="center"/>
              <w:rPr>
                <w:rFonts w:ascii="Arial" w:hAnsi="Arial" w:cs="Arial"/>
                <w:sz w:val="18"/>
                <w:szCs w:val="18"/>
              </w:rPr>
            </w:pPr>
            <w:r>
              <w:rPr>
                <w:rFonts w:ascii="Arial" w:hAnsi="Arial" w:cs="Arial"/>
                <w:sz w:val="18"/>
                <w:szCs w:val="18"/>
              </w:rPr>
              <w:t>59</w:t>
            </w:r>
          </w:p>
        </w:tc>
        <w:tc>
          <w:tcPr>
            <w:tcW w:w="540" w:type="dxa"/>
            <w:vAlign w:val="bottom"/>
          </w:tcPr>
          <w:p w14:paraId="559A28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6197CFB"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ADC6400"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23F5446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34D9BDA"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31F9C9C2" w14:textId="77777777" w:rsidTr="00A732E0">
        <w:trPr>
          <w:cantSplit/>
          <w:trHeight w:val="255"/>
        </w:trPr>
        <w:tc>
          <w:tcPr>
            <w:tcW w:w="450" w:type="dxa"/>
            <w:vAlign w:val="bottom"/>
          </w:tcPr>
          <w:p w14:paraId="52B665D5" w14:textId="77777777" w:rsidR="008A701E" w:rsidRPr="006A2781" w:rsidRDefault="008A701E" w:rsidP="008A701E">
            <w:pPr>
              <w:jc w:val="center"/>
              <w:rPr>
                <w:rFonts w:ascii="Arial" w:hAnsi="Arial" w:cs="Arial"/>
                <w:sz w:val="18"/>
                <w:szCs w:val="18"/>
              </w:rPr>
            </w:pPr>
            <w:r>
              <w:rPr>
                <w:rFonts w:ascii="Arial" w:hAnsi="Arial" w:cs="Arial"/>
                <w:sz w:val="18"/>
                <w:szCs w:val="18"/>
              </w:rPr>
              <w:t>60</w:t>
            </w:r>
          </w:p>
        </w:tc>
        <w:tc>
          <w:tcPr>
            <w:tcW w:w="540" w:type="dxa"/>
            <w:vAlign w:val="bottom"/>
          </w:tcPr>
          <w:p w14:paraId="3A6D76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45FF3E4" w14:textId="77777777" w:rsidR="008A701E" w:rsidRPr="006A2781" w:rsidRDefault="008A701E" w:rsidP="008A701E">
            <w:pPr>
              <w:rPr>
                <w:rFonts w:ascii="Arial" w:hAnsi="Arial" w:cs="Arial"/>
                <w:sz w:val="18"/>
                <w:szCs w:val="18"/>
              </w:rPr>
            </w:pPr>
            <w:r>
              <w:rPr>
                <w:rFonts w:ascii="Arial" w:hAnsi="Arial" w:cs="Arial"/>
                <w:sz w:val="18"/>
                <w:szCs w:val="18"/>
              </w:rPr>
              <w:t>Invalidate Patient Test Results</w:t>
            </w:r>
          </w:p>
        </w:tc>
        <w:tc>
          <w:tcPr>
            <w:tcW w:w="3060" w:type="dxa"/>
            <w:shd w:val="clear" w:color="auto" w:fill="auto"/>
            <w:noWrap/>
            <w:vAlign w:val="bottom"/>
          </w:tcPr>
          <w:p w14:paraId="401C20BC" w14:textId="77777777" w:rsidR="008A701E" w:rsidRPr="006A2781" w:rsidRDefault="008A701E" w:rsidP="008A701E">
            <w:pPr>
              <w:rPr>
                <w:rFonts w:ascii="Arial" w:hAnsi="Arial" w:cs="Arial"/>
                <w:sz w:val="18"/>
                <w:szCs w:val="18"/>
              </w:rPr>
            </w:pPr>
            <w:r w:rsidRPr="006A2781">
              <w:rPr>
                <w:rFonts w:ascii="Arial" w:hAnsi="Arial" w:cs="Arial"/>
                <w:sz w:val="18"/>
                <w:szCs w:val="18"/>
              </w:rPr>
              <w:t>Invalidate Crossmatch results for the unit-patient association</w:t>
            </w:r>
          </w:p>
        </w:tc>
        <w:tc>
          <w:tcPr>
            <w:tcW w:w="1530" w:type="dxa"/>
            <w:shd w:val="clear" w:color="auto" w:fill="auto"/>
            <w:noWrap/>
            <w:vAlign w:val="bottom"/>
          </w:tcPr>
          <w:p w14:paraId="12209AE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07E331CA"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 as the unit has not been released from assignment from the patient.</w:t>
            </w:r>
          </w:p>
        </w:tc>
      </w:tr>
    </w:tbl>
    <w:p w14:paraId="56BDD3DE" w14:textId="77777777" w:rsidR="008A701E" w:rsidRPr="00F20C8C" w:rsidRDefault="008A701E" w:rsidP="00F20C8C">
      <w:r w:rsidRPr="00F20C8C">
        <w:t>**Pooling of products that also require crossmatch is not currently possible.</w:t>
      </w:r>
    </w:p>
    <w:p w14:paraId="4B75D4EC" w14:textId="77777777" w:rsidR="0038450D" w:rsidRDefault="008A701E" w:rsidP="008A701E">
      <w:pPr>
        <w:pStyle w:val="Heading3"/>
      </w:pPr>
      <w:r>
        <w:br w:type="page"/>
      </w:r>
      <w:r w:rsidR="00966400">
        <w:rPr>
          <w:rFonts w:ascii="Geneva" w:hAnsi="Geneva"/>
          <w:vanish/>
        </w:rPr>
        <w:lastRenderedPageBreak/>
        <w:t xml:space="preserve"> </w:t>
      </w:r>
      <w:r w:rsidR="0038450D">
        <w:rPr>
          <w:rFonts w:ascii="Geneva" w:hAnsi="Geneva"/>
          <w:vanish/>
        </w:rPr>
        <w:t>T</w:t>
      </w:r>
      <w:r w:rsidR="00BC4A37">
        <w:rPr>
          <w:rFonts w:ascii="Geneva" w:hAnsi="Geneva"/>
          <w:vanish/>
        </w:rPr>
        <w:t>T</w:t>
      </w:r>
      <w:r w:rsidR="0038450D">
        <w:rPr>
          <w:rFonts w:ascii="Geneva" w:hAnsi="Geneva"/>
          <w:vanish/>
        </w:rPr>
        <w:t>_</w:t>
      </w:r>
      <w:r w:rsidR="00BC4A37">
        <w:rPr>
          <w:rFonts w:ascii="Geneva" w:hAnsi="Geneva"/>
          <w:vanish/>
        </w:rPr>
        <w:t>15.01</w:t>
      </w:r>
      <w:r w:rsidR="0038450D">
        <w:rPr>
          <w:rFonts w:ascii="Geneva" w:hAnsi="Geneva"/>
          <w:vanish/>
          <w:sz w:val="16"/>
        </w:rPr>
        <w:t xml:space="preserve"> </w:t>
      </w:r>
      <w:bookmarkStart w:id="668" w:name="_Toc163645013"/>
      <w:r w:rsidR="00BC4A37">
        <w:t>Workload Process to Use Case Mapping Table</w:t>
      </w:r>
      <w:bookmarkEnd w:id="668"/>
      <w:r w:rsidR="00BC4A37">
        <w:t xml:space="preserve"> </w:t>
      </w:r>
      <w:r w:rsidR="0038450D">
        <w:fldChar w:fldCharType="begin"/>
      </w:r>
      <w:r w:rsidR="0038450D">
        <w:instrText xml:space="preserve"> XE “</w:instrText>
      </w:r>
      <w:r w:rsidR="00BC4A37">
        <w:instrText>Workload Process to Use Case Mapping Table</w:instrText>
      </w:r>
      <w:r w:rsidR="0038450D">
        <w:instrText xml:space="preserve">” </w:instrText>
      </w:r>
      <w:r w:rsidR="0038450D">
        <w:fldChar w:fldCharType="end"/>
      </w:r>
    </w:p>
    <w:p w14:paraId="02764372" w14:textId="598AB9BE" w:rsidR="0038450D" w:rsidRDefault="0038450D" w:rsidP="0038450D">
      <w:pPr>
        <w:pStyle w:val="Caption"/>
      </w:pPr>
      <w:bookmarkStart w:id="669" w:name="_Ref21953143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25</w:t>
      </w:r>
      <w:r w:rsidR="004E20BD">
        <w:rPr>
          <w:noProof/>
        </w:rPr>
        <w:fldChar w:fldCharType="end"/>
      </w:r>
      <w:bookmarkEnd w:id="669"/>
      <w:r>
        <w:t xml:space="preserve">: </w:t>
      </w:r>
      <w:r>
        <w:rPr>
          <w:vanish/>
        </w:rPr>
        <w:t>T</w:t>
      </w:r>
      <w:r w:rsidR="00BC4A37">
        <w:rPr>
          <w:vanish/>
        </w:rPr>
        <w:t>T_15.01</w:t>
      </w:r>
      <w:r>
        <w:rPr>
          <w:vanish/>
          <w:sz w:val="16"/>
        </w:rPr>
        <w:t xml:space="preserve"> </w:t>
      </w:r>
      <w:r w:rsidR="00BC4A37">
        <w:t>Workload Process to Use Case Mapping Table</w:t>
      </w:r>
      <w:r w:rsidR="00812371">
        <w:fldChar w:fldCharType="begin"/>
      </w:r>
      <w:r w:rsidR="00812371">
        <w:instrText xml:space="preserve"> XE "Tables:Workload Process to Use Case Mapping Table" </w:instrText>
      </w:r>
      <w:r w:rsidR="00812371">
        <w:fldChar w:fldCharType="end"/>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1592"/>
        <w:gridCol w:w="1080"/>
        <w:gridCol w:w="900"/>
        <w:gridCol w:w="4950"/>
      </w:tblGrid>
      <w:tr w:rsidR="000305DD" w:rsidRPr="00F24972" w14:paraId="1B3348D1" w14:textId="77777777" w:rsidTr="00FA340F">
        <w:trPr>
          <w:cantSplit/>
          <w:tblHeader/>
        </w:trPr>
        <w:tc>
          <w:tcPr>
            <w:tcW w:w="10255" w:type="dxa"/>
            <w:gridSpan w:val="5"/>
            <w:shd w:val="clear" w:color="auto" w:fill="C0C0C0"/>
            <w:vAlign w:val="bottom"/>
          </w:tcPr>
          <w:p w14:paraId="0E061A80" w14:textId="77777777" w:rsidR="000305DD" w:rsidRPr="00F24972" w:rsidRDefault="000305DD" w:rsidP="000305DD">
            <w:pPr>
              <w:pStyle w:val="TableText"/>
              <w:jc w:val="center"/>
              <w:rPr>
                <w:rFonts w:cs="Arial"/>
                <w:b/>
              </w:rPr>
            </w:pPr>
            <w:r w:rsidRPr="00F24972">
              <w:rPr>
                <w:rFonts w:cs="Arial"/>
                <w:b/>
              </w:rPr>
              <w:t>Workload Process to Use Case Mapping Table</w:t>
            </w:r>
          </w:p>
        </w:tc>
      </w:tr>
      <w:tr w:rsidR="000305DD" w:rsidRPr="00F24972" w14:paraId="6D0E94B4" w14:textId="77777777" w:rsidTr="00FA340F">
        <w:trPr>
          <w:cantSplit/>
          <w:trHeight w:val="1296"/>
          <w:tblHeader/>
        </w:trPr>
        <w:tc>
          <w:tcPr>
            <w:tcW w:w="1733" w:type="dxa"/>
            <w:tcBorders>
              <w:bottom w:val="single" w:sz="4" w:space="0" w:color="auto"/>
            </w:tcBorders>
            <w:shd w:val="clear" w:color="auto" w:fill="C0C0C0"/>
            <w:vAlign w:val="bottom"/>
          </w:tcPr>
          <w:p w14:paraId="197D39C4" w14:textId="77777777" w:rsidR="000305DD" w:rsidRPr="00F24972" w:rsidRDefault="000305DD" w:rsidP="000305DD">
            <w:pPr>
              <w:pStyle w:val="TableText"/>
              <w:rPr>
                <w:rFonts w:cs="Arial"/>
                <w:b/>
              </w:rPr>
            </w:pPr>
            <w:r w:rsidRPr="00F24972">
              <w:rPr>
                <w:rFonts w:cs="Arial"/>
                <w:b/>
              </w:rPr>
              <w:t xml:space="preserve">VBECS Process </w:t>
            </w:r>
          </w:p>
        </w:tc>
        <w:tc>
          <w:tcPr>
            <w:tcW w:w="1592" w:type="dxa"/>
            <w:tcBorders>
              <w:bottom w:val="single" w:sz="4" w:space="0" w:color="auto"/>
            </w:tcBorders>
            <w:shd w:val="clear" w:color="auto" w:fill="C0C0C0"/>
            <w:vAlign w:val="bottom"/>
          </w:tcPr>
          <w:p w14:paraId="741DE4C0" w14:textId="77777777" w:rsidR="000305DD" w:rsidRPr="00F24972" w:rsidRDefault="000305DD" w:rsidP="000305DD">
            <w:pPr>
              <w:pStyle w:val="TableText"/>
              <w:rPr>
                <w:rFonts w:cs="Arial"/>
                <w:b/>
              </w:rPr>
            </w:pPr>
            <w:r w:rsidRPr="00F24972">
              <w:rPr>
                <w:rFonts w:cs="Arial"/>
                <w:b/>
              </w:rPr>
              <w:t>Record Saved in This Use Case</w:t>
            </w:r>
          </w:p>
        </w:tc>
        <w:tc>
          <w:tcPr>
            <w:tcW w:w="1080" w:type="dxa"/>
            <w:tcBorders>
              <w:bottom w:val="single" w:sz="4" w:space="0" w:color="auto"/>
            </w:tcBorders>
            <w:shd w:val="clear" w:color="auto" w:fill="C0C0C0"/>
            <w:vAlign w:val="bottom"/>
          </w:tcPr>
          <w:p w14:paraId="39DD7DB4" w14:textId="77777777" w:rsidR="000305DD" w:rsidRPr="00F24972" w:rsidRDefault="000305DD" w:rsidP="000305DD">
            <w:pPr>
              <w:pStyle w:val="TableText"/>
              <w:rPr>
                <w:rFonts w:cs="Arial"/>
                <w:b/>
              </w:rPr>
            </w:pPr>
            <w:r w:rsidRPr="00F24972">
              <w:rPr>
                <w:rFonts w:cs="Arial"/>
                <w:b/>
              </w:rPr>
              <w:t>Positive or Negative Workload Accrued</w:t>
            </w:r>
          </w:p>
        </w:tc>
        <w:tc>
          <w:tcPr>
            <w:tcW w:w="900" w:type="dxa"/>
            <w:tcBorders>
              <w:bottom w:val="single" w:sz="4" w:space="0" w:color="auto"/>
            </w:tcBorders>
            <w:shd w:val="clear" w:color="auto" w:fill="C0C0C0"/>
            <w:textDirection w:val="btLr"/>
            <w:vAlign w:val="bottom"/>
          </w:tcPr>
          <w:p w14:paraId="012C4839" w14:textId="77777777" w:rsidR="000305DD" w:rsidRPr="00F24972" w:rsidRDefault="000305DD" w:rsidP="000305DD">
            <w:pPr>
              <w:pStyle w:val="TableText"/>
              <w:ind w:left="113" w:right="113"/>
              <w:rPr>
                <w:rFonts w:cs="Arial"/>
                <w:b/>
              </w:rPr>
            </w:pPr>
            <w:r w:rsidRPr="00F24972">
              <w:rPr>
                <w:rFonts w:cs="Arial"/>
                <w:b/>
              </w:rPr>
              <w:t>Transaction Type*</w:t>
            </w:r>
          </w:p>
        </w:tc>
        <w:tc>
          <w:tcPr>
            <w:tcW w:w="4950" w:type="dxa"/>
            <w:tcBorders>
              <w:bottom w:val="single" w:sz="4" w:space="0" w:color="auto"/>
            </w:tcBorders>
            <w:shd w:val="clear" w:color="auto" w:fill="C0C0C0"/>
            <w:vAlign w:val="bottom"/>
          </w:tcPr>
          <w:p w14:paraId="1ADB606A" w14:textId="77777777" w:rsidR="000305DD" w:rsidRPr="00F24972" w:rsidRDefault="000305DD" w:rsidP="000305DD">
            <w:pPr>
              <w:pStyle w:val="TableText"/>
              <w:rPr>
                <w:rFonts w:cs="Arial"/>
                <w:b/>
              </w:rPr>
            </w:pPr>
            <w:r w:rsidRPr="00F24972">
              <w:rPr>
                <w:rFonts w:cs="Arial"/>
                <w:b/>
              </w:rPr>
              <w:t xml:space="preserve">Explanation </w:t>
            </w:r>
          </w:p>
        </w:tc>
      </w:tr>
      <w:tr w:rsidR="000305DD" w:rsidRPr="00F24972" w14:paraId="44C7EAB6" w14:textId="77777777" w:rsidTr="00FA340F">
        <w:trPr>
          <w:cantSplit/>
        </w:trPr>
        <w:tc>
          <w:tcPr>
            <w:tcW w:w="1733" w:type="dxa"/>
            <w:vMerge w:val="restart"/>
          </w:tcPr>
          <w:p w14:paraId="636BACB2" w14:textId="77777777" w:rsidR="000305DD" w:rsidRPr="00F24972" w:rsidRDefault="000305DD" w:rsidP="000305DD">
            <w:pPr>
              <w:pStyle w:val="TableText"/>
              <w:rPr>
                <w:rFonts w:cs="Arial"/>
              </w:rPr>
            </w:pPr>
            <w:r w:rsidRPr="00F24972">
              <w:rPr>
                <w:rFonts w:cs="Arial"/>
              </w:rPr>
              <w:t>ABO Forward and reverse typing (patient)</w:t>
            </w:r>
          </w:p>
          <w:p w14:paraId="34CD0F18" w14:textId="77777777" w:rsidR="000305DD" w:rsidRPr="00F24972" w:rsidRDefault="000305DD" w:rsidP="000305DD">
            <w:pPr>
              <w:pStyle w:val="TableText"/>
              <w:rPr>
                <w:rFonts w:cs="Arial"/>
              </w:rPr>
            </w:pPr>
          </w:p>
        </w:tc>
        <w:tc>
          <w:tcPr>
            <w:tcW w:w="1592" w:type="dxa"/>
          </w:tcPr>
          <w:p w14:paraId="39C8CACF" w14:textId="77777777" w:rsidR="000305DD" w:rsidRPr="00F24972" w:rsidRDefault="000305DD" w:rsidP="000305DD">
            <w:pPr>
              <w:pStyle w:val="TableText"/>
              <w:rPr>
                <w:rFonts w:cs="Arial"/>
              </w:rPr>
            </w:pPr>
            <w:r>
              <w:rPr>
                <w:rFonts w:cs="Arial"/>
              </w:rPr>
              <w:t>Transfusion Reaction Workup</w:t>
            </w:r>
          </w:p>
        </w:tc>
        <w:tc>
          <w:tcPr>
            <w:tcW w:w="1080" w:type="dxa"/>
          </w:tcPr>
          <w:p w14:paraId="67193ECA" w14:textId="77777777" w:rsidR="000305DD" w:rsidRPr="00F24972" w:rsidRDefault="000305DD" w:rsidP="000305DD">
            <w:pPr>
              <w:pStyle w:val="TableText"/>
              <w:rPr>
                <w:rFonts w:cs="Arial"/>
              </w:rPr>
            </w:pPr>
            <w:r w:rsidRPr="00F24972">
              <w:rPr>
                <w:rFonts w:cs="Arial"/>
              </w:rPr>
              <w:t>Positive</w:t>
            </w:r>
          </w:p>
        </w:tc>
        <w:tc>
          <w:tcPr>
            <w:tcW w:w="900" w:type="dxa"/>
          </w:tcPr>
          <w:p w14:paraId="4E8AB22F" w14:textId="77777777" w:rsidR="000305DD" w:rsidRPr="00F24972" w:rsidRDefault="000305DD" w:rsidP="000305DD">
            <w:pPr>
              <w:pStyle w:val="TableText"/>
              <w:jc w:val="center"/>
              <w:rPr>
                <w:rFonts w:cs="Arial"/>
              </w:rPr>
            </w:pPr>
            <w:r w:rsidRPr="00F24972">
              <w:rPr>
                <w:rFonts w:cs="Arial"/>
              </w:rPr>
              <w:t>P</w:t>
            </w:r>
          </w:p>
        </w:tc>
        <w:tc>
          <w:tcPr>
            <w:tcW w:w="4950" w:type="dxa"/>
          </w:tcPr>
          <w:p w14:paraId="39E29702" w14:textId="77777777" w:rsidR="000305DD" w:rsidRPr="00F24972" w:rsidRDefault="000305DD" w:rsidP="000305DD">
            <w:pPr>
              <w:pStyle w:val="TableText"/>
              <w:rPr>
                <w:rFonts w:cs="Arial"/>
              </w:rPr>
            </w:pPr>
            <w:r w:rsidRPr="00F24972">
              <w:rPr>
                <w:rFonts w:cs="Arial"/>
              </w:rPr>
              <w:t>An ABO/Rh test for pre or post is enabled and a valid interpretation other than Not Tested is selected. A workload event is accrued separately for Pre and Post entries.</w:t>
            </w:r>
          </w:p>
        </w:tc>
      </w:tr>
      <w:tr w:rsidR="000305DD" w:rsidRPr="00F24972" w14:paraId="4AA9E7A0" w14:textId="77777777" w:rsidTr="00FA340F">
        <w:trPr>
          <w:cantSplit/>
        </w:trPr>
        <w:tc>
          <w:tcPr>
            <w:tcW w:w="1733" w:type="dxa"/>
            <w:vMerge/>
          </w:tcPr>
          <w:p w14:paraId="448430CB"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tcBorders>
          </w:tcPr>
          <w:p w14:paraId="1E50AC12" w14:textId="77777777" w:rsidR="000305DD" w:rsidRPr="00F24972" w:rsidRDefault="000305DD" w:rsidP="000305DD">
            <w:pPr>
              <w:pStyle w:val="TableText"/>
              <w:rPr>
                <w:rFonts w:cs="Arial"/>
              </w:rPr>
            </w:pPr>
            <w:r>
              <w:rPr>
                <w:rFonts w:cs="Arial"/>
              </w:rPr>
              <w:t>Patient Testing: ABO/Rh</w:t>
            </w:r>
          </w:p>
          <w:p w14:paraId="17E5FD97" w14:textId="77777777" w:rsidR="000305DD" w:rsidRPr="00F24972" w:rsidRDefault="000305DD" w:rsidP="000305DD">
            <w:pPr>
              <w:pStyle w:val="TableText"/>
              <w:rPr>
                <w:rFonts w:cs="Arial"/>
              </w:rPr>
            </w:pPr>
          </w:p>
        </w:tc>
        <w:tc>
          <w:tcPr>
            <w:tcW w:w="1080" w:type="dxa"/>
            <w:tcBorders>
              <w:top w:val="single" w:sz="4" w:space="0" w:color="auto"/>
              <w:bottom w:val="single" w:sz="4" w:space="0" w:color="auto"/>
              <w:right w:val="single" w:sz="4" w:space="0" w:color="auto"/>
            </w:tcBorders>
          </w:tcPr>
          <w:p w14:paraId="6D3E558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B642DC8"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1D3D1060" w14:textId="77777777" w:rsidR="000305DD" w:rsidRPr="00F24972" w:rsidRDefault="0045199E" w:rsidP="000305DD">
            <w:pPr>
              <w:pStyle w:val="TableText"/>
              <w:rPr>
                <w:rFonts w:cs="Arial"/>
              </w:rPr>
            </w:pPr>
            <w:r w:rsidRPr="00F24972">
              <w:rPr>
                <w:rFonts w:cs="Arial"/>
              </w:rPr>
              <w:t>Accrue workload when an ABO/Rh test performed from the ordered test ABO/Rh only (</w:t>
            </w:r>
            <w:r>
              <w:rPr>
                <w:rFonts w:cs="Arial"/>
              </w:rPr>
              <w:t>Record Patient ABO-Rh</w:t>
            </w:r>
            <w:r w:rsidRPr="00F24972">
              <w:rPr>
                <w:rFonts w:cs="Arial"/>
              </w:rPr>
              <w:t xml:space="preserve"> is completed and saved</w:t>
            </w:r>
            <w:r>
              <w:rPr>
                <w:rFonts w:cs="Arial"/>
              </w:rPr>
              <w:t xml:space="preserve"> </w:t>
            </w:r>
            <w:r w:rsidRPr="00F24972">
              <w:rPr>
                <w:rFonts w:cs="Arial"/>
              </w:rPr>
              <w:t xml:space="preserve">by </w:t>
            </w:r>
            <w:r>
              <w:rPr>
                <w:rFonts w:cs="Arial"/>
              </w:rPr>
              <w:t>Record Testing).</w:t>
            </w:r>
          </w:p>
        </w:tc>
      </w:tr>
      <w:tr w:rsidR="000305DD" w:rsidRPr="00F24972" w14:paraId="194F0A12" w14:textId="77777777" w:rsidTr="00FA340F">
        <w:trPr>
          <w:cantSplit/>
        </w:trPr>
        <w:tc>
          <w:tcPr>
            <w:tcW w:w="1733" w:type="dxa"/>
            <w:vMerge/>
            <w:tcBorders>
              <w:bottom w:val="single" w:sz="4" w:space="0" w:color="auto"/>
            </w:tcBorders>
          </w:tcPr>
          <w:p w14:paraId="7327BA2A"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tcBorders>
          </w:tcPr>
          <w:p w14:paraId="561DE3AE"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bottom w:val="single" w:sz="4" w:space="0" w:color="auto"/>
              <w:right w:val="single" w:sz="4" w:space="0" w:color="auto"/>
            </w:tcBorders>
          </w:tcPr>
          <w:p w14:paraId="53B45EF4"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49ABA130"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58539384" w14:textId="77777777" w:rsidR="000305DD" w:rsidRPr="00F24972" w:rsidRDefault="000305DD" w:rsidP="000305DD">
            <w:pPr>
              <w:pStyle w:val="TableText"/>
              <w:rPr>
                <w:rFonts w:cs="Arial"/>
              </w:rPr>
            </w:pPr>
            <w:r w:rsidRPr="00F24972">
              <w:rPr>
                <w:rFonts w:cs="Arial"/>
              </w:rPr>
              <w:t>Accrue workload when a completed ABO/Rh test is invalidated.</w:t>
            </w:r>
          </w:p>
        </w:tc>
      </w:tr>
      <w:tr w:rsidR="000305DD" w:rsidRPr="00F24972" w14:paraId="047FBBE2" w14:textId="77777777" w:rsidTr="00FA340F">
        <w:trPr>
          <w:cantSplit/>
        </w:trPr>
        <w:tc>
          <w:tcPr>
            <w:tcW w:w="1733" w:type="dxa"/>
            <w:vMerge w:val="restart"/>
            <w:tcBorders>
              <w:top w:val="single" w:sz="4" w:space="0" w:color="auto"/>
              <w:left w:val="single" w:sz="4" w:space="0" w:color="auto"/>
              <w:right w:val="single" w:sz="4" w:space="0" w:color="auto"/>
            </w:tcBorders>
          </w:tcPr>
          <w:p w14:paraId="08420339" w14:textId="77777777" w:rsidR="000305DD" w:rsidRPr="00F24972" w:rsidRDefault="000305DD" w:rsidP="000305DD">
            <w:pPr>
              <w:pStyle w:val="TableText"/>
              <w:rPr>
                <w:rFonts w:cs="Arial"/>
              </w:rPr>
            </w:pPr>
            <w:r w:rsidRPr="00F24972">
              <w:rPr>
                <w:rFonts w:cs="Arial"/>
              </w:rPr>
              <w:t>ABO Forward and reverse typing (patient) Repeat Test</w:t>
            </w:r>
          </w:p>
          <w:p w14:paraId="67825B66"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EF95304" w14:textId="77777777" w:rsidR="000305DD" w:rsidRPr="00F24972" w:rsidRDefault="000305DD" w:rsidP="000305DD">
            <w:pPr>
              <w:pStyle w:val="TableText"/>
              <w:rPr>
                <w:rFonts w:cs="Arial"/>
              </w:rPr>
            </w:pPr>
            <w:r>
              <w:rPr>
                <w:rFonts w:cs="Arial"/>
              </w:rPr>
              <w:t>Patient Testing: ABO/Rh</w:t>
            </w:r>
          </w:p>
          <w:p w14:paraId="0DF276B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9C09E5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D8796B2"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5AD06C0" w14:textId="77777777" w:rsidR="000305DD" w:rsidRPr="00F24972" w:rsidRDefault="000305DD" w:rsidP="000305DD">
            <w:pPr>
              <w:pStyle w:val="TableText"/>
              <w:rPr>
                <w:rFonts w:cs="Arial"/>
              </w:rPr>
            </w:pPr>
            <w:r w:rsidRPr="00F24972">
              <w:rPr>
                <w:rFonts w:cs="Arial"/>
              </w:rPr>
              <w:t xml:space="preserve">Accrue workload when a reflex or repeat ABO/Rh test is performed, completed and saved via </w:t>
            </w:r>
            <w:r>
              <w:rPr>
                <w:rFonts w:cs="Arial"/>
              </w:rPr>
              <w:t>Record Testing</w:t>
            </w:r>
            <w:r w:rsidRPr="00F24972">
              <w:rPr>
                <w:rFonts w:cs="Arial"/>
              </w:rPr>
              <w:t>.</w:t>
            </w:r>
          </w:p>
          <w:p w14:paraId="49E8D6A8" w14:textId="77777777" w:rsidR="000305DD" w:rsidRPr="00F24972" w:rsidRDefault="000305DD" w:rsidP="000305DD">
            <w:pPr>
              <w:pStyle w:val="TableText"/>
              <w:rPr>
                <w:rFonts w:cs="Arial"/>
              </w:rPr>
            </w:pPr>
            <w:r w:rsidRPr="00F24972">
              <w:rPr>
                <w:rFonts w:cs="Arial"/>
              </w:rPr>
              <w:t xml:space="preserve">Note: ABO/Rh ordered in </w:t>
            </w:r>
            <w:r>
              <w:rPr>
                <w:rFonts w:cs="Arial"/>
              </w:rPr>
              <w:t>Order Reflex Test</w:t>
            </w:r>
            <w:r w:rsidRPr="00F24972">
              <w:rPr>
                <w:rFonts w:cs="Arial"/>
              </w:rPr>
              <w:t xml:space="preserve"> from main menu or via use of </w:t>
            </w:r>
            <w:r>
              <w:rPr>
                <w:rFonts w:cs="Arial"/>
              </w:rPr>
              <w:t xml:space="preserve">Order Reflex Test </w:t>
            </w:r>
            <w:r w:rsidRPr="00F24972">
              <w:rPr>
                <w:rFonts w:cs="Arial"/>
              </w:rPr>
              <w:t xml:space="preserve">from </w:t>
            </w:r>
            <w:r>
              <w:rPr>
                <w:rFonts w:cs="Arial"/>
              </w:rPr>
              <w:t>Record Testing</w:t>
            </w:r>
          </w:p>
        </w:tc>
      </w:tr>
      <w:tr w:rsidR="000305DD" w:rsidRPr="00F24972" w14:paraId="36635F7D" w14:textId="77777777" w:rsidTr="00FA340F">
        <w:trPr>
          <w:cantSplit/>
        </w:trPr>
        <w:tc>
          <w:tcPr>
            <w:tcW w:w="1733" w:type="dxa"/>
            <w:vMerge/>
            <w:tcBorders>
              <w:left w:val="single" w:sz="4" w:space="0" w:color="auto"/>
              <w:bottom w:val="single" w:sz="4" w:space="0" w:color="auto"/>
              <w:right w:val="single" w:sz="4" w:space="0" w:color="auto"/>
            </w:tcBorders>
          </w:tcPr>
          <w:p w14:paraId="33578034"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EDE2016"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left w:val="single" w:sz="4" w:space="0" w:color="auto"/>
              <w:bottom w:val="single" w:sz="4" w:space="0" w:color="auto"/>
              <w:right w:val="single" w:sz="4" w:space="0" w:color="auto"/>
            </w:tcBorders>
          </w:tcPr>
          <w:p w14:paraId="6A81B39F"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0CD4CD7B"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5ADB9EAE" w14:textId="77777777" w:rsidR="000305DD" w:rsidRPr="00F24972" w:rsidRDefault="000305DD" w:rsidP="000305DD">
            <w:pPr>
              <w:pStyle w:val="TableText"/>
              <w:rPr>
                <w:rFonts w:cs="Arial"/>
              </w:rPr>
            </w:pPr>
            <w:r w:rsidRPr="00F24972">
              <w:rPr>
                <w:rFonts w:cs="Arial"/>
              </w:rPr>
              <w:t>Accrue workload when a reflex or repeat ABO/Rh test is invalidated.</w:t>
            </w:r>
          </w:p>
        </w:tc>
      </w:tr>
      <w:tr w:rsidR="000305DD" w:rsidRPr="00F24972" w14:paraId="36C33F54" w14:textId="77777777" w:rsidTr="00FA340F">
        <w:trPr>
          <w:cantSplit/>
        </w:trPr>
        <w:tc>
          <w:tcPr>
            <w:tcW w:w="1733" w:type="dxa"/>
            <w:vMerge w:val="restart"/>
            <w:tcBorders>
              <w:top w:val="single" w:sz="4" w:space="0" w:color="auto"/>
              <w:left w:val="single" w:sz="4" w:space="0" w:color="auto"/>
              <w:right w:val="single" w:sz="4" w:space="0" w:color="auto"/>
            </w:tcBorders>
          </w:tcPr>
          <w:p w14:paraId="1D5315EE" w14:textId="77777777" w:rsidR="000305DD" w:rsidRPr="00F24972" w:rsidRDefault="000305DD" w:rsidP="000305DD">
            <w:pPr>
              <w:pStyle w:val="TableText"/>
              <w:rPr>
                <w:rFonts w:cs="Arial"/>
              </w:rPr>
            </w:pPr>
            <w:r w:rsidRPr="00F24972">
              <w:rPr>
                <w:rFonts w:cs="Arial"/>
              </w:rPr>
              <w:t>ABO forward typing (unit)</w:t>
            </w:r>
          </w:p>
        </w:tc>
        <w:tc>
          <w:tcPr>
            <w:tcW w:w="1592" w:type="dxa"/>
            <w:tcBorders>
              <w:top w:val="single" w:sz="4" w:space="0" w:color="auto"/>
              <w:left w:val="single" w:sz="4" w:space="0" w:color="auto"/>
              <w:bottom w:val="single" w:sz="4" w:space="0" w:color="auto"/>
              <w:right w:val="single" w:sz="4" w:space="0" w:color="auto"/>
            </w:tcBorders>
          </w:tcPr>
          <w:p w14:paraId="177D04EF" w14:textId="77777777" w:rsidR="000305DD" w:rsidRPr="00F24972" w:rsidRDefault="000305DD" w:rsidP="000305DD">
            <w:pPr>
              <w:pStyle w:val="TableText"/>
              <w:rPr>
                <w:rFonts w:cs="Arial"/>
              </w:rPr>
            </w:pPr>
            <w:r>
              <w:rPr>
                <w:rFonts w:cs="Arial"/>
              </w:rPr>
              <w:t>Unit ABO/RH confirmation test</w:t>
            </w:r>
          </w:p>
          <w:p w14:paraId="3233048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A40FE9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A72C682"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364E29" w14:textId="77777777" w:rsidR="000305DD" w:rsidRPr="00F24972" w:rsidRDefault="000305DD" w:rsidP="000305DD">
            <w:pPr>
              <w:pStyle w:val="TableText"/>
              <w:rPr>
                <w:rFonts w:cs="Arial"/>
              </w:rPr>
            </w:pPr>
            <w:r w:rsidRPr="00F24972">
              <w:rPr>
                <w:rFonts w:cs="Arial"/>
              </w:rPr>
              <w:t xml:space="preserve">An ABO confirmation test is performed. When multiple units are selected in a batch, each unit in the batch accrues a workload event. </w:t>
            </w:r>
          </w:p>
          <w:p w14:paraId="3E6121B5" w14:textId="77777777" w:rsidR="000305DD" w:rsidRPr="00F24972" w:rsidRDefault="000305DD" w:rsidP="000305DD">
            <w:pPr>
              <w:pStyle w:val="TableText"/>
              <w:rPr>
                <w:rFonts w:cs="Arial"/>
              </w:rPr>
            </w:pPr>
          </w:p>
          <w:p w14:paraId="2F56FA0B" w14:textId="7FB50097"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generated when Anti-D testing is not included in the unit’s confirmation test.</w:t>
            </w:r>
            <w:r>
              <w:rPr>
                <w:rFonts w:cs="Arial"/>
                <w:color w:val="0000FF"/>
                <w:sz w:val="20"/>
                <w:szCs w:val="20"/>
              </w:rPr>
              <w:t xml:space="preserve"> </w:t>
            </w:r>
            <w:r w:rsidRPr="00F24972">
              <w:rPr>
                <w:rFonts w:cs="Arial"/>
              </w:rPr>
              <w:t>Workload is</w:t>
            </w:r>
            <w:r w:rsidRPr="00F24972">
              <w:rPr>
                <w:rFonts w:cs="Arial"/>
                <w:b/>
              </w:rPr>
              <w:t xml:space="preserve"> not</w:t>
            </w:r>
            <w:r w:rsidRPr="00F24972">
              <w:rPr>
                <w:rFonts w:cs="Arial"/>
              </w:rPr>
              <w:t xml:space="preserve"> accrued when an ABO discrepancy override is processed and VBECS releases all patient assignments. No special handling for workload collection for additional confirmation tests on a unit.</w:t>
            </w:r>
          </w:p>
        </w:tc>
      </w:tr>
      <w:tr w:rsidR="000305DD" w:rsidRPr="00F24972" w14:paraId="09252067" w14:textId="77777777" w:rsidTr="00FA340F">
        <w:trPr>
          <w:cantSplit/>
        </w:trPr>
        <w:tc>
          <w:tcPr>
            <w:tcW w:w="1733" w:type="dxa"/>
            <w:vMerge/>
            <w:tcBorders>
              <w:left w:val="single" w:sz="4" w:space="0" w:color="auto"/>
              <w:right w:val="single" w:sz="4" w:space="0" w:color="auto"/>
            </w:tcBorders>
          </w:tcPr>
          <w:p w14:paraId="7B61505B" w14:textId="77777777" w:rsidR="000305DD" w:rsidRPr="00F24972" w:rsidRDefault="000305DD" w:rsidP="000305DD">
            <w:pPr>
              <w:pStyle w:val="TableText"/>
              <w:rPr>
                <w:rFonts w:cs="Arial"/>
              </w:rPr>
            </w:pPr>
          </w:p>
        </w:tc>
        <w:tc>
          <w:tcPr>
            <w:tcW w:w="1592" w:type="dxa"/>
            <w:tcBorders>
              <w:left w:val="single" w:sz="4" w:space="0" w:color="auto"/>
            </w:tcBorders>
          </w:tcPr>
          <w:p w14:paraId="5F54A0E7"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4CADA2D9" w14:textId="77777777" w:rsidR="000305DD" w:rsidRPr="00F24972" w:rsidRDefault="000305DD" w:rsidP="000305DD">
            <w:pPr>
              <w:pStyle w:val="TableText"/>
              <w:rPr>
                <w:rFonts w:cs="Arial"/>
                <w:b/>
              </w:rPr>
            </w:pPr>
            <w:r w:rsidRPr="00F24972">
              <w:rPr>
                <w:rFonts w:cs="Arial"/>
                <w:b/>
              </w:rPr>
              <w:t>Negative</w:t>
            </w:r>
          </w:p>
        </w:tc>
        <w:tc>
          <w:tcPr>
            <w:tcW w:w="900" w:type="dxa"/>
          </w:tcPr>
          <w:p w14:paraId="3C4D2C02" w14:textId="77777777" w:rsidR="000305DD" w:rsidRPr="00F24972" w:rsidRDefault="000305DD" w:rsidP="000305DD">
            <w:pPr>
              <w:pStyle w:val="TableText"/>
              <w:jc w:val="center"/>
              <w:rPr>
                <w:rFonts w:cs="Arial"/>
              </w:rPr>
            </w:pPr>
            <w:r w:rsidRPr="00F24972">
              <w:rPr>
                <w:rFonts w:cs="Arial"/>
              </w:rPr>
              <w:t>U</w:t>
            </w:r>
          </w:p>
        </w:tc>
        <w:tc>
          <w:tcPr>
            <w:tcW w:w="4950" w:type="dxa"/>
          </w:tcPr>
          <w:p w14:paraId="779E2602" w14:textId="77777777" w:rsidR="000305DD" w:rsidRPr="00F24972" w:rsidRDefault="000305DD" w:rsidP="000305DD">
            <w:pPr>
              <w:pStyle w:val="TableText"/>
              <w:rPr>
                <w:rFonts w:cs="Arial"/>
              </w:rPr>
            </w:pPr>
            <w:r w:rsidRPr="00F24972">
              <w:rPr>
                <w:rFonts w:cs="Arial"/>
              </w:rPr>
              <w:t>Accrue workload when an ABO confirmation test is invalidated</w:t>
            </w:r>
          </w:p>
        </w:tc>
      </w:tr>
      <w:tr w:rsidR="000305DD" w:rsidRPr="00F24972" w14:paraId="35CD79C6" w14:textId="77777777" w:rsidTr="00FA340F">
        <w:trPr>
          <w:cantSplit/>
        </w:trPr>
        <w:tc>
          <w:tcPr>
            <w:tcW w:w="1733" w:type="dxa"/>
            <w:vMerge w:val="restart"/>
            <w:tcBorders>
              <w:top w:val="single" w:sz="4" w:space="0" w:color="auto"/>
              <w:left w:val="single" w:sz="4" w:space="0" w:color="auto"/>
              <w:right w:val="single" w:sz="4" w:space="0" w:color="auto"/>
            </w:tcBorders>
          </w:tcPr>
          <w:p w14:paraId="7058C4B0" w14:textId="77777777" w:rsidR="000305DD" w:rsidRPr="00F24972" w:rsidRDefault="000305DD" w:rsidP="000305DD">
            <w:pPr>
              <w:pStyle w:val="TableText"/>
              <w:rPr>
                <w:rFonts w:cs="Arial"/>
              </w:rPr>
            </w:pPr>
            <w:r w:rsidRPr="00F24972">
              <w:rPr>
                <w:rFonts w:cs="Arial"/>
              </w:rPr>
              <w:t>ABO/Rh forward typing (unit)</w:t>
            </w:r>
          </w:p>
        </w:tc>
        <w:tc>
          <w:tcPr>
            <w:tcW w:w="1592" w:type="dxa"/>
            <w:tcBorders>
              <w:top w:val="single" w:sz="4" w:space="0" w:color="auto"/>
              <w:left w:val="single" w:sz="4" w:space="0" w:color="auto"/>
              <w:bottom w:val="single" w:sz="4" w:space="0" w:color="auto"/>
              <w:right w:val="single" w:sz="4" w:space="0" w:color="auto"/>
            </w:tcBorders>
          </w:tcPr>
          <w:p w14:paraId="187E99C3" w14:textId="77777777" w:rsidR="000305DD" w:rsidRPr="00F24972" w:rsidRDefault="000305DD" w:rsidP="000305DD">
            <w:pPr>
              <w:pStyle w:val="TableText"/>
              <w:rPr>
                <w:rFonts w:cs="Arial"/>
              </w:rPr>
            </w:pPr>
            <w:r>
              <w:rPr>
                <w:rFonts w:cs="Arial"/>
              </w:rPr>
              <w:t>Unit ABO/RH confirmation test</w:t>
            </w:r>
          </w:p>
          <w:p w14:paraId="4BDD913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E1836AF"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1F6934B"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7B7D752A" w14:textId="77777777" w:rsidR="000305DD" w:rsidRPr="00F24972" w:rsidRDefault="000305DD" w:rsidP="000305DD">
            <w:pPr>
              <w:pStyle w:val="TableText"/>
              <w:rPr>
                <w:rFonts w:cs="Arial"/>
              </w:rPr>
            </w:pPr>
            <w:r w:rsidRPr="00F24972">
              <w:rPr>
                <w:rFonts w:cs="Arial"/>
              </w:rPr>
              <w:t>An ABO/Rh confirmation test is performed. When multiple units are selected in a batch, each unit in the batch accrues a workload event.</w:t>
            </w:r>
          </w:p>
          <w:p w14:paraId="1704D30E" w14:textId="77777777" w:rsidR="000305DD" w:rsidRPr="00F24972" w:rsidRDefault="000305DD" w:rsidP="000305DD">
            <w:pPr>
              <w:pStyle w:val="TableText"/>
              <w:rPr>
                <w:rFonts w:cs="Arial"/>
              </w:rPr>
            </w:pPr>
          </w:p>
          <w:p w14:paraId="2F21913C" w14:textId="2DF2D3BE"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 xml:space="preserve">generated </w:t>
            </w:r>
            <w:r w:rsidRPr="00D01C9F">
              <w:rPr>
                <w:rFonts w:cs="Arial"/>
              </w:rPr>
              <w:t>when</w:t>
            </w:r>
            <w:r w:rsidRPr="00D01C9F">
              <w:rPr>
                <w:rFonts w:cs="Arial"/>
                <w:sz w:val="20"/>
                <w:szCs w:val="20"/>
              </w:rPr>
              <w:t xml:space="preserve"> Ant</w:t>
            </w:r>
            <w:r w:rsidR="003A628D">
              <w:rPr>
                <w:rFonts w:cs="Arial"/>
                <w:sz w:val="20"/>
                <w:szCs w:val="20"/>
              </w:rPr>
              <w:t>i</w:t>
            </w:r>
            <w:r w:rsidRPr="00D01C9F">
              <w:rPr>
                <w:rFonts w:cs="Arial"/>
                <w:sz w:val="20"/>
                <w:szCs w:val="20"/>
              </w:rPr>
              <w:t xml:space="preserve">-D is part of the unit’s confirmation test. </w:t>
            </w:r>
            <w:r w:rsidRPr="00D01C9F">
              <w:rPr>
                <w:rFonts w:cs="Arial"/>
              </w:rPr>
              <w:t>Workload is</w:t>
            </w:r>
            <w:r w:rsidRPr="00D01C9F">
              <w:rPr>
                <w:rFonts w:cs="Arial"/>
                <w:b/>
              </w:rPr>
              <w:t xml:space="preserve"> not</w:t>
            </w:r>
            <w:r w:rsidRPr="00D01C9F">
              <w:rPr>
                <w:rFonts w:cs="Arial"/>
              </w:rPr>
              <w:t xml:space="preserve"> accrued when an ABO or Rh discrepancy override is processed and VBECS releases all patient assignments. </w:t>
            </w:r>
            <w:r w:rsidRPr="00F24972">
              <w:rPr>
                <w:rFonts w:cs="Arial"/>
              </w:rPr>
              <w:t>Any unit successfully confirmed accrues workload. For modification Split: Workload is not inherited by split units. A split unit that requires confirmation accrues confirmation workload at the time of testing. No special handling for workload collection for additional confirmation tests on a unit.</w:t>
            </w:r>
          </w:p>
        </w:tc>
      </w:tr>
      <w:tr w:rsidR="000305DD" w:rsidRPr="00F24972" w14:paraId="6CDDFFA8" w14:textId="77777777" w:rsidTr="00FA340F">
        <w:trPr>
          <w:cantSplit/>
        </w:trPr>
        <w:tc>
          <w:tcPr>
            <w:tcW w:w="1733" w:type="dxa"/>
            <w:vMerge/>
            <w:tcBorders>
              <w:left w:val="single" w:sz="4" w:space="0" w:color="auto"/>
              <w:right w:val="single" w:sz="4" w:space="0" w:color="auto"/>
            </w:tcBorders>
          </w:tcPr>
          <w:p w14:paraId="26C565A4" w14:textId="77777777" w:rsidR="000305DD" w:rsidRPr="00F24972" w:rsidRDefault="000305DD" w:rsidP="000305DD">
            <w:pPr>
              <w:pStyle w:val="TableText"/>
              <w:rPr>
                <w:rFonts w:cs="Arial"/>
              </w:rPr>
            </w:pPr>
          </w:p>
        </w:tc>
        <w:tc>
          <w:tcPr>
            <w:tcW w:w="1592" w:type="dxa"/>
            <w:tcBorders>
              <w:left w:val="single" w:sz="4" w:space="0" w:color="auto"/>
            </w:tcBorders>
          </w:tcPr>
          <w:p w14:paraId="7DD90DB4"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0AEFBD63" w14:textId="77777777" w:rsidR="000305DD" w:rsidRPr="00F24972" w:rsidRDefault="000305DD" w:rsidP="000305DD">
            <w:pPr>
              <w:pStyle w:val="TableText"/>
              <w:rPr>
                <w:rFonts w:cs="Arial"/>
                <w:b/>
              </w:rPr>
            </w:pPr>
            <w:r w:rsidRPr="00F24972">
              <w:rPr>
                <w:rFonts w:cs="Arial"/>
                <w:b/>
              </w:rPr>
              <w:t>Negative</w:t>
            </w:r>
          </w:p>
        </w:tc>
        <w:tc>
          <w:tcPr>
            <w:tcW w:w="900" w:type="dxa"/>
          </w:tcPr>
          <w:p w14:paraId="2A413058" w14:textId="77777777" w:rsidR="000305DD" w:rsidRPr="00F24972" w:rsidRDefault="000305DD" w:rsidP="000305DD">
            <w:pPr>
              <w:pStyle w:val="TableText"/>
              <w:jc w:val="center"/>
              <w:rPr>
                <w:rFonts w:cs="Arial"/>
              </w:rPr>
            </w:pPr>
            <w:r w:rsidRPr="00F24972">
              <w:rPr>
                <w:rFonts w:cs="Arial"/>
              </w:rPr>
              <w:t>U</w:t>
            </w:r>
          </w:p>
        </w:tc>
        <w:tc>
          <w:tcPr>
            <w:tcW w:w="4950" w:type="dxa"/>
          </w:tcPr>
          <w:p w14:paraId="21E86E59" w14:textId="77777777" w:rsidR="000305DD" w:rsidRPr="00F24972" w:rsidRDefault="000305DD" w:rsidP="000305DD">
            <w:pPr>
              <w:pStyle w:val="TableText"/>
              <w:rPr>
                <w:rFonts w:cs="Arial"/>
              </w:rPr>
            </w:pPr>
            <w:r w:rsidRPr="00F24972">
              <w:rPr>
                <w:rFonts w:cs="Arial"/>
              </w:rPr>
              <w:t>Accrue workload when an ABO/Rh confirmation test is invalidated</w:t>
            </w:r>
          </w:p>
        </w:tc>
      </w:tr>
      <w:tr w:rsidR="000305DD" w:rsidRPr="00F24972" w14:paraId="11BD9306" w14:textId="77777777" w:rsidTr="00FA340F">
        <w:trPr>
          <w:cantSplit/>
        </w:trPr>
        <w:tc>
          <w:tcPr>
            <w:tcW w:w="1733" w:type="dxa"/>
            <w:tcBorders>
              <w:bottom w:val="single" w:sz="4" w:space="0" w:color="auto"/>
            </w:tcBorders>
          </w:tcPr>
          <w:p w14:paraId="1BA5BA22" w14:textId="77777777" w:rsidR="000305DD" w:rsidRPr="00F24972" w:rsidRDefault="000305DD" w:rsidP="000305DD">
            <w:pPr>
              <w:pStyle w:val="TableText"/>
              <w:rPr>
                <w:rFonts w:cs="Arial"/>
              </w:rPr>
            </w:pPr>
            <w:r w:rsidRPr="00F24972">
              <w:rPr>
                <w:rFonts w:cs="Arial"/>
              </w:rPr>
              <w:t>Accept Order</w:t>
            </w:r>
          </w:p>
        </w:tc>
        <w:tc>
          <w:tcPr>
            <w:tcW w:w="1592" w:type="dxa"/>
            <w:tcBorders>
              <w:bottom w:val="single" w:sz="4" w:space="0" w:color="auto"/>
            </w:tcBorders>
          </w:tcPr>
          <w:p w14:paraId="3FE2659F" w14:textId="77777777" w:rsidR="000305DD" w:rsidRPr="00F24972" w:rsidRDefault="000305DD" w:rsidP="000305DD">
            <w:pPr>
              <w:pStyle w:val="TableText"/>
              <w:rPr>
                <w:rFonts w:cs="Arial"/>
              </w:rPr>
            </w:pPr>
            <w:r>
              <w:rPr>
                <w:rFonts w:cs="Arial"/>
              </w:rPr>
              <w:t>Accept Order</w:t>
            </w:r>
          </w:p>
        </w:tc>
        <w:tc>
          <w:tcPr>
            <w:tcW w:w="1080" w:type="dxa"/>
            <w:tcBorders>
              <w:bottom w:val="single" w:sz="4" w:space="0" w:color="auto"/>
            </w:tcBorders>
          </w:tcPr>
          <w:p w14:paraId="6B61523C"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0F9CC0F6"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0BA345E8" w14:textId="77777777" w:rsidR="000305DD" w:rsidRPr="00F24972" w:rsidRDefault="000305DD" w:rsidP="000305DD">
            <w:pPr>
              <w:pStyle w:val="TableText"/>
              <w:rPr>
                <w:rFonts w:cs="Arial"/>
              </w:rPr>
            </w:pPr>
            <w:r w:rsidRPr="00F24972">
              <w:rPr>
                <w:rFonts w:cs="Arial"/>
              </w:rPr>
              <w:t>Accrue workload when an order is accepted. When a multiple orders are selected, each order accrues workload.</w:t>
            </w:r>
          </w:p>
        </w:tc>
      </w:tr>
      <w:tr w:rsidR="000305DD" w:rsidRPr="00F24972" w14:paraId="6957D859" w14:textId="77777777" w:rsidTr="00FA340F">
        <w:trPr>
          <w:cantSplit/>
        </w:trPr>
        <w:tc>
          <w:tcPr>
            <w:tcW w:w="1733" w:type="dxa"/>
            <w:vMerge w:val="restart"/>
            <w:tcBorders>
              <w:top w:val="single" w:sz="4" w:space="0" w:color="auto"/>
              <w:left w:val="single" w:sz="4" w:space="0" w:color="auto"/>
              <w:right w:val="single" w:sz="4" w:space="0" w:color="auto"/>
            </w:tcBorders>
          </w:tcPr>
          <w:p w14:paraId="30BE1A6F" w14:textId="77777777" w:rsidR="000305DD" w:rsidRPr="00F24972" w:rsidRDefault="000305DD" w:rsidP="000305DD">
            <w:pPr>
              <w:pStyle w:val="TableText"/>
              <w:rPr>
                <w:rFonts w:cs="Arial"/>
              </w:rPr>
            </w:pPr>
            <w:r w:rsidRPr="00F24972">
              <w:rPr>
                <w:rFonts w:cs="Arial"/>
              </w:rPr>
              <w:lastRenderedPageBreak/>
              <w:t>Antibody identification Work-Up</w:t>
            </w:r>
          </w:p>
        </w:tc>
        <w:tc>
          <w:tcPr>
            <w:tcW w:w="1592" w:type="dxa"/>
            <w:tcBorders>
              <w:top w:val="single" w:sz="4" w:space="0" w:color="auto"/>
              <w:left w:val="single" w:sz="4" w:space="0" w:color="auto"/>
              <w:bottom w:val="single" w:sz="4" w:space="0" w:color="auto"/>
              <w:right w:val="single" w:sz="4" w:space="0" w:color="auto"/>
            </w:tcBorders>
          </w:tcPr>
          <w:p w14:paraId="0808D238" w14:textId="77777777" w:rsidR="000305DD" w:rsidRPr="00F24972" w:rsidRDefault="000305DD" w:rsidP="000305DD">
            <w:pPr>
              <w:pStyle w:val="TableText"/>
              <w:rPr>
                <w:rFonts w:cs="Arial"/>
              </w:rPr>
            </w:pPr>
            <w:r>
              <w:rPr>
                <w:rFonts w:cs="Arial"/>
              </w:rPr>
              <w:t>ABID Test</w:t>
            </w:r>
          </w:p>
        </w:tc>
        <w:tc>
          <w:tcPr>
            <w:tcW w:w="1080" w:type="dxa"/>
            <w:tcBorders>
              <w:top w:val="single" w:sz="4" w:space="0" w:color="auto"/>
              <w:left w:val="single" w:sz="4" w:space="0" w:color="auto"/>
              <w:bottom w:val="single" w:sz="4" w:space="0" w:color="auto"/>
              <w:right w:val="single" w:sz="4" w:space="0" w:color="auto"/>
            </w:tcBorders>
          </w:tcPr>
          <w:p w14:paraId="5575632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36A44A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ED7D6C9" w14:textId="77777777" w:rsidR="000305DD" w:rsidRPr="00F24972" w:rsidRDefault="000305DD" w:rsidP="000305DD">
            <w:pPr>
              <w:pStyle w:val="TableText"/>
              <w:rPr>
                <w:rFonts w:cs="Arial"/>
              </w:rPr>
            </w:pPr>
            <w:r w:rsidRPr="00F24972">
              <w:rPr>
                <w:rFonts w:cs="Arial"/>
              </w:rPr>
              <w:t xml:space="preserve">User enters additional workload associated with the individual reflex ordered ABID. The selected VBECS multiplier will multiple against the VistA multiplier and display the (multiplication) product on the report in </w:t>
            </w:r>
            <w:r>
              <w:rPr>
                <w:rFonts w:cs="Arial"/>
              </w:rPr>
              <w:t>Division Workload Report</w:t>
            </w:r>
            <w:r w:rsidRPr="00F24972">
              <w:rPr>
                <w:rFonts w:cs="Arial"/>
              </w:rPr>
              <w:t>.</w:t>
            </w:r>
          </w:p>
        </w:tc>
      </w:tr>
      <w:tr w:rsidR="000305DD" w:rsidRPr="00F24972" w14:paraId="044AAEAA" w14:textId="77777777" w:rsidTr="00FA340F">
        <w:trPr>
          <w:cantSplit/>
        </w:trPr>
        <w:tc>
          <w:tcPr>
            <w:tcW w:w="1733" w:type="dxa"/>
            <w:vMerge/>
            <w:tcBorders>
              <w:left w:val="single" w:sz="4" w:space="0" w:color="auto"/>
              <w:bottom w:val="single" w:sz="4" w:space="0" w:color="auto"/>
              <w:right w:val="single" w:sz="4" w:space="0" w:color="auto"/>
            </w:tcBorders>
          </w:tcPr>
          <w:p w14:paraId="6A13CDEF"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14D0307B" w14:textId="77777777" w:rsidR="000305DD" w:rsidRPr="00F24972" w:rsidRDefault="000305DD" w:rsidP="000305DD">
            <w:pPr>
              <w:pStyle w:val="TableText"/>
              <w:rPr>
                <w:rFonts w:cs="Arial"/>
              </w:rPr>
            </w:pPr>
            <w:r>
              <w:rPr>
                <w:rFonts w:cs="Arial"/>
              </w:rPr>
              <w:t>Invalidate ABID Test</w:t>
            </w:r>
          </w:p>
        </w:tc>
        <w:tc>
          <w:tcPr>
            <w:tcW w:w="1080" w:type="dxa"/>
            <w:tcBorders>
              <w:top w:val="single" w:sz="4" w:space="0" w:color="auto"/>
              <w:left w:val="single" w:sz="4" w:space="0" w:color="auto"/>
              <w:bottom w:val="single" w:sz="4" w:space="0" w:color="auto"/>
              <w:right w:val="single" w:sz="4" w:space="0" w:color="auto"/>
            </w:tcBorders>
          </w:tcPr>
          <w:p w14:paraId="11E08C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E73CAA7"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B325097" w14:textId="77777777" w:rsidR="000305DD" w:rsidRPr="00F24972" w:rsidRDefault="000305DD" w:rsidP="000305DD">
            <w:pPr>
              <w:pStyle w:val="TableText"/>
              <w:rPr>
                <w:rFonts w:cs="Arial"/>
              </w:rPr>
            </w:pPr>
            <w:r w:rsidRPr="00F24972">
              <w:rPr>
                <w:rFonts w:cs="Arial"/>
              </w:rPr>
              <w:t xml:space="preserve">Accrue workload when the ABID is invalidated. </w:t>
            </w:r>
            <w:r w:rsidRPr="00F24972">
              <w:t xml:space="preserve">All workload processes associated in </w:t>
            </w:r>
            <w:r>
              <w:t>Enter Reflex Test Results</w:t>
            </w:r>
            <w:r w:rsidRPr="00F24972">
              <w:t>, including the selected VBECS multiplier, are invalidated</w:t>
            </w:r>
          </w:p>
        </w:tc>
      </w:tr>
      <w:tr w:rsidR="000305DD" w:rsidRPr="00F24972" w14:paraId="0BDD0A84" w14:textId="77777777" w:rsidTr="00FA340F">
        <w:trPr>
          <w:cantSplit/>
        </w:trPr>
        <w:tc>
          <w:tcPr>
            <w:tcW w:w="1733" w:type="dxa"/>
            <w:vMerge w:val="restart"/>
            <w:tcBorders>
              <w:top w:val="single" w:sz="4" w:space="0" w:color="auto"/>
              <w:left w:val="single" w:sz="4" w:space="0" w:color="auto"/>
              <w:right w:val="single" w:sz="4" w:space="0" w:color="auto"/>
            </w:tcBorders>
          </w:tcPr>
          <w:p w14:paraId="401B6256" w14:textId="77777777" w:rsidR="000305DD" w:rsidRPr="00F24972" w:rsidRDefault="000305DD" w:rsidP="000305DD">
            <w:pPr>
              <w:pStyle w:val="TableText"/>
              <w:rPr>
                <w:rFonts w:cs="Arial"/>
              </w:rPr>
            </w:pPr>
            <w:r w:rsidRPr="00F24972">
              <w:rPr>
                <w:rFonts w:cs="Arial"/>
              </w:rPr>
              <w:t>Antibody Screen (patient)</w:t>
            </w:r>
          </w:p>
        </w:tc>
        <w:tc>
          <w:tcPr>
            <w:tcW w:w="1592" w:type="dxa"/>
            <w:tcBorders>
              <w:top w:val="single" w:sz="4" w:space="0" w:color="auto"/>
              <w:left w:val="single" w:sz="4" w:space="0" w:color="auto"/>
              <w:bottom w:val="single" w:sz="4" w:space="0" w:color="auto"/>
              <w:right w:val="single" w:sz="4" w:space="0" w:color="auto"/>
            </w:tcBorders>
          </w:tcPr>
          <w:p w14:paraId="75984805" w14:textId="77777777" w:rsidR="000305DD" w:rsidRPr="00F24972" w:rsidRDefault="000305DD" w:rsidP="000305DD">
            <w:pPr>
              <w:pStyle w:val="TableText"/>
              <w:rPr>
                <w:rFonts w:cs="Arial"/>
              </w:rPr>
            </w:pPr>
            <w:r>
              <w:rPr>
                <w:rFonts w:cs="Arial"/>
              </w:rPr>
              <w:t>Transfusion reaction workup</w:t>
            </w:r>
          </w:p>
        </w:tc>
        <w:tc>
          <w:tcPr>
            <w:tcW w:w="1080" w:type="dxa"/>
            <w:tcBorders>
              <w:top w:val="single" w:sz="4" w:space="0" w:color="auto"/>
              <w:left w:val="single" w:sz="4" w:space="0" w:color="auto"/>
              <w:bottom w:val="single" w:sz="4" w:space="0" w:color="auto"/>
              <w:right w:val="single" w:sz="4" w:space="0" w:color="auto"/>
            </w:tcBorders>
          </w:tcPr>
          <w:p w14:paraId="6E0FCC4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F1D496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51963E33" w14:textId="77777777" w:rsidR="000305DD" w:rsidRPr="00F24972" w:rsidRDefault="000305DD" w:rsidP="000305DD">
            <w:pPr>
              <w:pStyle w:val="TableText"/>
              <w:rPr>
                <w:rFonts w:cs="Arial"/>
              </w:rPr>
            </w:pPr>
            <w:r w:rsidRPr="00F24972">
              <w:rPr>
                <w:rFonts w:cs="Arial"/>
              </w:rPr>
              <w:t>An ABS test for pre or post is enabled and a valid interpretation other than Not Tested is selected. A workload event is accrued separately for Pre and Post entries.</w:t>
            </w:r>
          </w:p>
        </w:tc>
      </w:tr>
      <w:tr w:rsidR="000305DD" w:rsidRPr="00F24972" w14:paraId="4F6FEED0" w14:textId="77777777" w:rsidTr="00FA340F">
        <w:trPr>
          <w:cantSplit/>
        </w:trPr>
        <w:tc>
          <w:tcPr>
            <w:tcW w:w="1733" w:type="dxa"/>
            <w:vMerge/>
            <w:tcBorders>
              <w:left w:val="single" w:sz="4" w:space="0" w:color="auto"/>
              <w:right w:val="single" w:sz="4" w:space="0" w:color="auto"/>
            </w:tcBorders>
          </w:tcPr>
          <w:p w14:paraId="39E91137"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D464BB7" w14:textId="77777777" w:rsidR="000305DD" w:rsidRPr="00F24972" w:rsidRDefault="000305DD" w:rsidP="000305DD">
            <w:pPr>
              <w:pStyle w:val="TableText"/>
              <w:rPr>
                <w:rFonts w:cs="Arial"/>
              </w:rPr>
            </w:pPr>
            <w:r>
              <w:rPr>
                <w:rFonts w:cs="Arial"/>
              </w:rPr>
              <w:t>Patient Testing ABS test</w:t>
            </w:r>
          </w:p>
          <w:p w14:paraId="4CD37210"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6CBAD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D3765C"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01706218" w14:textId="728C5850" w:rsidR="000305DD" w:rsidRPr="00F24972" w:rsidRDefault="000305DD" w:rsidP="000305DD">
            <w:pPr>
              <w:pStyle w:val="TableText"/>
              <w:rPr>
                <w:rFonts w:cs="Arial"/>
              </w:rPr>
            </w:pPr>
            <w:r w:rsidRPr="00F24972">
              <w:rPr>
                <w:rFonts w:cs="Arial"/>
              </w:rPr>
              <w:t>Accrue workload when an ordered ABS test performed from the CPRS ordered test ABS only (</w:t>
            </w:r>
            <w:r>
              <w:rPr>
                <w:rFonts w:cs="Arial"/>
              </w:rPr>
              <w:t>Record Patient Antibody Screen</w:t>
            </w:r>
            <w:r w:rsidRPr="00F24972">
              <w:rPr>
                <w:rFonts w:cs="Arial"/>
              </w:rPr>
              <w:t xml:space="preserve"> is completed and saved by </w:t>
            </w:r>
            <w:r>
              <w:rPr>
                <w:rFonts w:cs="Arial"/>
              </w:rPr>
              <w:t>Record Testing</w:t>
            </w:r>
            <w:r w:rsidR="003A628D">
              <w:rPr>
                <w:rFonts w:cs="Arial"/>
              </w:rPr>
              <w:t>)</w:t>
            </w:r>
            <w:r w:rsidRPr="00F24972">
              <w:rPr>
                <w:rFonts w:cs="Arial"/>
              </w:rPr>
              <w:t xml:space="preserve">. The workload accrues when the ABS is completed and saved via </w:t>
            </w:r>
            <w:r>
              <w:rPr>
                <w:rFonts w:cs="Arial"/>
              </w:rPr>
              <w:t>Record Testing</w:t>
            </w:r>
            <w:r w:rsidRPr="00F24972">
              <w:rPr>
                <w:rFonts w:cs="Arial"/>
              </w:rPr>
              <w:t xml:space="preserve"> no matter how many cells (rows) are required by the division configuration.</w:t>
            </w:r>
          </w:p>
        </w:tc>
      </w:tr>
      <w:tr w:rsidR="000305DD" w:rsidRPr="00F24972" w14:paraId="09362C80" w14:textId="77777777" w:rsidTr="00FA340F">
        <w:trPr>
          <w:cantSplit/>
        </w:trPr>
        <w:tc>
          <w:tcPr>
            <w:tcW w:w="1733" w:type="dxa"/>
            <w:vMerge/>
            <w:tcBorders>
              <w:left w:val="single" w:sz="4" w:space="0" w:color="auto"/>
              <w:bottom w:val="single" w:sz="4" w:space="0" w:color="auto"/>
              <w:right w:val="single" w:sz="4" w:space="0" w:color="auto"/>
            </w:tcBorders>
          </w:tcPr>
          <w:p w14:paraId="14296EF8"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1492D106"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5F699E1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71E3643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B88C68F" w14:textId="77777777" w:rsidR="000305DD" w:rsidRPr="00F24972" w:rsidRDefault="000305DD" w:rsidP="000305DD">
            <w:pPr>
              <w:pStyle w:val="TableText"/>
              <w:rPr>
                <w:rFonts w:cs="Arial"/>
              </w:rPr>
            </w:pPr>
            <w:r w:rsidRPr="00F24972">
              <w:rPr>
                <w:rFonts w:cs="Arial"/>
              </w:rPr>
              <w:t>Accrue workload when a completed ABS test is invalidated.</w:t>
            </w:r>
          </w:p>
        </w:tc>
      </w:tr>
      <w:tr w:rsidR="000305DD" w:rsidRPr="00F24972" w14:paraId="1B25FC84" w14:textId="77777777" w:rsidTr="00FA340F">
        <w:trPr>
          <w:cantSplit/>
        </w:trPr>
        <w:tc>
          <w:tcPr>
            <w:tcW w:w="1733" w:type="dxa"/>
            <w:vMerge w:val="restart"/>
            <w:tcBorders>
              <w:top w:val="single" w:sz="4" w:space="0" w:color="auto"/>
              <w:left w:val="single" w:sz="4" w:space="0" w:color="auto"/>
              <w:right w:val="single" w:sz="4" w:space="0" w:color="auto"/>
            </w:tcBorders>
          </w:tcPr>
          <w:p w14:paraId="7E55E816" w14:textId="77777777" w:rsidR="000305DD" w:rsidRPr="00F24972" w:rsidRDefault="000305DD" w:rsidP="000305DD">
            <w:pPr>
              <w:pStyle w:val="TableText"/>
              <w:rPr>
                <w:rFonts w:cs="Arial"/>
              </w:rPr>
            </w:pPr>
            <w:r w:rsidRPr="00F24972">
              <w:rPr>
                <w:rFonts w:cs="Arial"/>
              </w:rPr>
              <w:t>Antibody Screen (patient) Repeat Test</w:t>
            </w:r>
          </w:p>
        </w:tc>
        <w:tc>
          <w:tcPr>
            <w:tcW w:w="1592" w:type="dxa"/>
            <w:tcBorders>
              <w:top w:val="single" w:sz="4" w:space="0" w:color="auto"/>
              <w:left w:val="single" w:sz="4" w:space="0" w:color="auto"/>
              <w:bottom w:val="single" w:sz="4" w:space="0" w:color="auto"/>
              <w:right w:val="single" w:sz="4" w:space="0" w:color="auto"/>
            </w:tcBorders>
          </w:tcPr>
          <w:p w14:paraId="40B5A009" w14:textId="77777777" w:rsidR="000305DD" w:rsidRPr="00F24972" w:rsidRDefault="000305DD" w:rsidP="000305DD">
            <w:pPr>
              <w:pStyle w:val="TableText"/>
              <w:rPr>
                <w:rFonts w:cs="Arial"/>
              </w:rPr>
            </w:pPr>
            <w:r>
              <w:rPr>
                <w:rFonts w:cs="Arial"/>
              </w:rPr>
              <w:t>Patient Testing ABS test</w:t>
            </w:r>
          </w:p>
          <w:p w14:paraId="12C93F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4D950CB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A161A8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6D03A605" w14:textId="77777777" w:rsidR="000305DD" w:rsidRPr="00F24972" w:rsidRDefault="000305DD" w:rsidP="000305DD">
            <w:pPr>
              <w:pStyle w:val="TableText"/>
              <w:rPr>
                <w:rFonts w:cs="Arial"/>
              </w:rPr>
            </w:pPr>
            <w:r w:rsidRPr="00F24972">
              <w:rPr>
                <w:rFonts w:cs="Arial"/>
              </w:rPr>
              <w:t xml:space="preserve">Accrue workload when a reflex or repeat ABS test is performed, completed and saved via </w:t>
            </w:r>
            <w:r>
              <w:rPr>
                <w:rFonts w:cs="Arial"/>
              </w:rPr>
              <w:t>Record Testing</w:t>
            </w:r>
            <w:r w:rsidRPr="00F24972">
              <w:rPr>
                <w:rFonts w:cs="Arial"/>
              </w:rPr>
              <w:t xml:space="preserve">. </w:t>
            </w:r>
          </w:p>
          <w:p w14:paraId="400501E1" w14:textId="77777777" w:rsidR="000305DD" w:rsidRPr="00F24972" w:rsidRDefault="000305DD" w:rsidP="000305DD">
            <w:pPr>
              <w:pStyle w:val="TableText"/>
              <w:rPr>
                <w:rFonts w:cs="Arial"/>
              </w:rPr>
            </w:pPr>
            <w:r w:rsidRPr="00F24972">
              <w:rPr>
                <w:rFonts w:cs="Arial"/>
              </w:rPr>
              <w:t xml:space="preserve">Note: ABS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745A114C" w14:textId="77777777" w:rsidTr="00FA340F">
        <w:trPr>
          <w:cantSplit/>
        </w:trPr>
        <w:tc>
          <w:tcPr>
            <w:tcW w:w="1733" w:type="dxa"/>
            <w:vMerge/>
            <w:tcBorders>
              <w:left w:val="single" w:sz="4" w:space="0" w:color="auto"/>
              <w:bottom w:val="single" w:sz="4" w:space="0" w:color="auto"/>
              <w:right w:val="single" w:sz="4" w:space="0" w:color="auto"/>
            </w:tcBorders>
          </w:tcPr>
          <w:p w14:paraId="1B551D63"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2B5512BE"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79BCCA3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5AA61C28"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19320B2" w14:textId="77777777" w:rsidR="000305DD" w:rsidRPr="00F24972" w:rsidRDefault="000305DD" w:rsidP="000305DD">
            <w:pPr>
              <w:pStyle w:val="TableText"/>
              <w:rPr>
                <w:rFonts w:cs="Arial"/>
              </w:rPr>
            </w:pPr>
            <w:r w:rsidRPr="00F24972">
              <w:rPr>
                <w:rFonts w:cs="Arial"/>
              </w:rPr>
              <w:t>Accrue workload when a reflex or repeat ABS test is invalidated.</w:t>
            </w:r>
          </w:p>
        </w:tc>
      </w:tr>
      <w:tr w:rsidR="000305DD" w:rsidRPr="00F24972" w14:paraId="6EC93EA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E567923" w14:textId="77777777" w:rsidR="000305DD" w:rsidRPr="00F24972" w:rsidRDefault="000305DD" w:rsidP="000305DD">
            <w:pPr>
              <w:pStyle w:val="TableText"/>
              <w:rPr>
                <w:rFonts w:cs="Arial"/>
              </w:rPr>
            </w:pPr>
            <w:r w:rsidRPr="00F24972">
              <w:rPr>
                <w:rFonts w:cs="Arial"/>
              </w:rPr>
              <w:t>Antigen phenotyping, Single Test phase (QC)</w:t>
            </w:r>
          </w:p>
        </w:tc>
        <w:tc>
          <w:tcPr>
            <w:tcW w:w="1592" w:type="dxa"/>
            <w:tcBorders>
              <w:top w:val="single" w:sz="4" w:space="0" w:color="auto"/>
              <w:left w:val="single" w:sz="4" w:space="0" w:color="auto"/>
              <w:bottom w:val="single" w:sz="4" w:space="0" w:color="auto"/>
              <w:right w:val="single" w:sz="4" w:space="0" w:color="auto"/>
            </w:tcBorders>
          </w:tcPr>
          <w:p w14:paraId="1671F62E" w14:textId="77777777" w:rsidR="000305DD" w:rsidRPr="00F24972" w:rsidRDefault="000305DD" w:rsidP="000305DD">
            <w:pPr>
              <w:pStyle w:val="TableText"/>
              <w:rPr>
                <w:rFonts w:cs="Arial"/>
              </w:rPr>
            </w:pPr>
            <w:r>
              <w:rPr>
                <w:rFonts w:cs="Arial"/>
              </w:rPr>
              <w:t>QC for unit or patient antigen typing</w:t>
            </w:r>
          </w:p>
          <w:p w14:paraId="2CFDFA9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683F97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06B01D"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vAlign w:val="bottom"/>
          </w:tcPr>
          <w:p w14:paraId="0B9F0681"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0305DD" w:rsidRPr="00F24972" w14:paraId="4A9D7718"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9758AEC" w14:textId="77777777" w:rsidR="000305DD" w:rsidRPr="00F24972" w:rsidRDefault="000305DD" w:rsidP="000305DD">
            <w:pPr>
              <w:pStyle w:val="TableText"/>
              <w:rPr>
                <w:rFonts w:cs="Arial"/>
              </w:rPr>
            </w:pPr>
            <w:r w:rsidRPr="00F24972">
              <w:rPr>
                <w:rFonts w:cs="Arial"/>
              </w:rPr>
              <w:t>Antigen phenotyping, Multiple Test phases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6D5F5C1E" w14:textId="77777777" w:rsidR="000305DD" w:rsidRPr="00F24972" w:rsidRDefault="000305DD" w:rsidP="000305DD">
            <w:pPr>
              <w:pStyle w:val="TableText"/>
              <w:rPr>
                <w:rFonts w:cs="Arial"/>
              </w:rPr>
            </w:pPr>
            <w:r>
              <w:rPr>
                <w:rFonts w:cs="Arial"/>
              </w:rPr>
              <w:t>QC for unit or patient antigen typing</w:t>
            </w:r>
          </w:p>
          <w:p w14:paraId="7E5DE9A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DA789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507A7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6D760F33"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multiple phases of reactivity is chosen for the test grid, IS/RT, RT/37 or weak D. One workload event is collected per completed tab for regular or repeat antigen tests.</w:t>
            </w:r>
          </w:p>
          <w:p w14:paraId="653202AC" w14:textId="77777777" w:rsidR="000305DD" w:rsidRPr="00F24972" w:rsidRDefault="000305DD" w:rsidP="000305DD">
            <w:pPr>
              <w:pStyle w:val="TableText"/>
              <w:rPr>
                <w:rFonts w:cs="Arial"/>
              </w:rPr>
            </w:pPr>
            <w:r w:rsidRPr="00F24972">
              <w:rPr>
                <w:rFonts w:cs="Arial"/>
              </w:rPr>
              <w:t>When weak D is the selected test, QC may not be accrued for the rack selection.</w:t>
            </w:r>
            <w:r>
              <w:rPr>
                <w:rFonts w:cs="Arial"/>
              </w:rPr>
              <w:t xml:space="preserve"> </w:t>
            </w:r>
            <w:r w:rsidRPr="00F24972">
              <w:rPr>
                <w:rFonts w:cs="Arial"/>
              </w:rPr>
              <w:t>QC is accrued when positive and negative cells must be tested for the lot number.</w:t>
            </w:r>
          </w:p>
        </w:tc>
      </w:tr>
      <w:tr w:rsidR="000305DD" w:rsidRPr="00F24972" w14:paraId="7ED39CA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5EEC22A" w14:textId="77777777" w:rsidR="000305DD" w:rsidRPr="00F24972" w:rsidRDefault="000305DD" w:rsidP="000305DD">
            <w:pPr>
              <w:pStyle w:val="TableText"/>
              <w:rPr>
                <w:rFonts w:cs="Arial"/>
              </w:rPr>
            </w:pPr>
            <w:r w:rsidRPr="00F24972">
              <w:rPr>
                <w:rFonts w:cs="Arial"/>
              </w:rPr>
              <w:t>Cancel Order</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039B950F" w14:textId="77777777" w:rsidR="000305DD" w:rsidRPr="00F24972" w:rsidRDefault="000305DD" w:rsidP="000305DD">
            <w:pPr>
              <w:pStyle w:val="TableText"/>
              <w:rPr>
                <w:rFonts w:cs="Arial"/>
              </w:rPr>
            </w:pPr>
            <w:r>
              <w:rPr>
                <w:rFonts w:cs="Arial"/>
                <w:snapToGrid w:val="0"/>
              </w:rPr>
              <w:t>Accept Order, Reject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B2251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457F28"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102BE3EC" w14:textId="49DD1E4F" w:rsidR="000305DD" w:rsidRPr="00F24972" w:rsidRDefault="000305DD" w:rsidP="000305DD">
            <w:pPr>
              <w:pStyle w:val="TableText"/>
              <w:rPr>
                <w:rFonts w:cs="Arial"/>
              </w:rPr>
            </w:pPr>
            <w:r w:rsidRPr="00F24972">
              <w:rPr>
                <w:rFonts w:cs="Arial"/>
              </w:rPr>
              <w:t>Accrue workload when an order on the pending order list is cancel</w:t>
            </w:r>
            <w:r w:rsidR="002F7E19">
              <w:rPr>
                <w:rFonts w:cs="Arial"/>
              </w:rPr>
              <w:t>l</w:t>
            </w:r>
            <w:r w:rsidRPr="00F24972">
              <w:rPr>
                <w:rFonts w:cs="Arial"/>
              </w:rPr>
              <w:t>ed. When a multiple orders are cancel</w:t>
            </w:r>
            <w:r w:rsidR="002F7E19">
              <w:rPr>
                <w:rFonts w:cs="Arial"/>
              </w:rPr>
              <w:t>l</w:t>
            </w:r>
            <w:r w:rsidRPr="00F24972">
              <w:rPr>
                <w:rFonts w:cs="Arial"/>
              </w:rPr>
              <w:t>ed, each order accrues workload.</w:t>
            </w:r>
          </w:p>
        </w:tc>
      </w:tr>
      <w:tr w:rsidR="000305DD" w:rsidRPr="00F24972" w14:paraId="5750BBB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72DB203" w14:textId="77777777" w:rsidR="000305DD" w:rsidRPr="00F24972" w:rsidRDefault="000305DD" w:rsidP="000305DD">
            <w:pPr>
              <w:pStyle w:val="TableText"/>
              <w:rPr>
                <w:rFonts w:cs="Arial"/>
              </w:rPr>
            </w:pPr>
            <w:r w:rsidRPr="00F24972">
              <w:rPr>
                <w:rFonts w:cs="Arial"/>
              </w:rPr>
              <w:t>Cancel Order</w:t>
            </w:r>
          </w:p>
        </w:tc>
        <w:tc>
          <w:tcPr>
            <w:tcW w:w="1592" w:type="dxa"/>
            <w:tcBorders>
              <w:top w:val="single" w:sz="4" w:space="0" w:color="auto"/>
              <w:left w:val="single" w:sz="4" w:space="0" w:color="auto"/>
              <w:bottom w:val="single" w:sz="4" w:space="0" w:color="auto"/>
              <w:right w:val="single" w:sz="4" w:space="0" w:color="auto"/>
            </w:tcBorders>
          </w:tcPr>
          <w:p w14:paraId="4F12D835" w14:textId="77777777" w:rsidR="000305DD" w:rsidRPr="00F24972" w:rsidRDefault="000305DD" w:rsidP="000305DD">
            <w:pPr>
              <w:pStyle w:val="TableText"/>
              <w:rPr>
                <w:rFonts w:cs="Arial"/>
              </w:rPr>
            </w:pPr>
            <w:r>
              <w:rPr>
                <w:rFonts w:cs="Arial"/>
                <w:snapToGrid w:val="0"/>
              </w:rPr>
              <w:t>Patient Testing List, Cancel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tcPr>
          <w:p w14:paraId="20FD4F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D28C92"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18678B1E" w14:textId="3DF8F26D" w:rsidR="000305DD" w:rsidRPr="00F24972" w:rsidRDefault="000305DD" w:rsidP="000305DD">
            <w:pPr>
              <w:pStyle w:val="TableText"/>
              <w:rPr>
                <w:rFonts w:cs="Arial"/>
              </w:rPr>
            </w:pPr>
            <w:r w:rsidRPr="00F24972">
              <w:rPr>
                <w:rFonts w:cs="Arial"/>
              </w:rPr>
              <w:t>Accrue workload when an order on the pending task list is cancel</w:t>
            </w:r>
            <w:r w:rsidR="002F7E19">
              <w:rPr>
                <w:rFonts w:cs="Arial"/>
              </w:rPr>
              <w:t>l</w:t>
            </w:r>
            <w:r w:rsidRPr="00F24972">
              <w:rPr>
                <w:rFonts w:cs="Arial"/>
              </w:rPr>
              <w:t xml:space="preserve">ed. When </w:t>
            </w:r>
            <w:r w:rsidR="00AE3B37" w:rsidRPr="00F24972">
              <w:rPr>
                <w:rFonts w:cs="Arial"/>
              </w:rPr>
              <w:t>multiple orders</w:t>
            </w:r>
            <w:r w:rsidRPr="00F24972">
              <w:rPr>
                <w:rFonts w:cs="Arial"/>
              </w:rPr>
              <w:t xml:space="preserve"> are cancel</w:t>
            </w:r>
            <w:r w:rsidR="002F7E19">
              <w:rPr>
                <w:rFonts w:cs="Arial"/>
              </w:rPr>
              <w:t>l</w:t>
            </w:r>
            <w:r w:rsidRPr="00F24972">
              <w:rPr>
                <w:rFonts w:cs="Arial"/>
              </w:rPr>
              <w:t>ed, each order accrues workload.</w:t>
            </w:r>
          </w:p>
        </w:tc>
      </w:tr>
      <w:tr w:rsidR="000305DD" w:rsidRPr="00F24972" w14:paraId="59EA11C5" w14:textId="77777777" w:rsidTr="00FA340F">
        <w:trPr>
          <w:cantSplit/>
        </w:trPr>
        <w:tc>
          <w:tcPr>
            <w:tcW w:w="1733" w:type="dxa"/>
          </w:tcPr>
          <w:p w14:paraId="4F3E2FB3" w14:textId="77777777" w:rsidR="000305DD" w:rsidRPr="00F24972" w:rsidRDefault="000305DD" w:rsidP="000305DD">
            <w:pPr>
              <w:pStyle w:val="TableText"/>
              <w:rPr>
                <w:rFonts w:cs="Arial"/>
              </w:rPr>
            </w:pPr>
            <w:r w:rsidRPr="00F24972">
              <w:rPr>
                <w:rFonts w:cs="Arial"/>
              </w:rPr>
              <w:lastRenderedPageBreak/>
              <w:t>Crossmatch unit, electronic</w:t>
            </w:r>
          </w:p>
          <w:p w14:paraId="1FB8C62A" w14:textId="77777777" w:rsidR="000305DD" w:rsidRPr="00F24972" w:rsidRDefault="000305DD" w:rsidP="000305DD">
            <w:pPr>
              <w:pStyle w:val="TableText"/>
              <w:rPr>
                <w:rFonts w:cs="Arial"/>
              </w:rPr>
            </w:pPr>
          </w:p>
        </w:tc>
        <w:tc>
          <w:tcPr>
            <w:tcW w:w="1592" w:type="dxa"/>
          </w:tcPr>
          <w:p w14:paraId="0E96EE76" w14:textId="77777777" w:rsidR="000305DD" w:rsidRPr="00F24972" w:rsidRDefault="000305DD" w:rsidP="000305DD">
            <w:pPr>
              <w:pStyle w:val="TableText"/>
              <w:rPr>
                <w:rFonts w:cs="Arial"/>
              </w:rPr>
            </w:pPr>
            <w:r>
              <w:rPr>
                <w:rFonts w:cs="Arial"/>
              </w:rPr>
              <w:t>Select Unit</w:t>
            </w:r>
          </w:p>
          <w:p w14:paraId="4F46D6FE" w14:textId="77777777" w:rsidR="000305DD" w:rsidRPr="00F24972" w:rsidRDefault="000305DD" w:rsidP="000305DD">
            <w:pPr>
              <w:pStyle w:val="TableText"/>
              <w:rPr>
                <w:rFonts w:cs="Arial"/>
              </w:rPr>
            </w:pPr>
          </w:p>
        </w:tc>
        <w:tc>
          <w:tcPr>
            <w:tcW w:w="1080" w:type="dxa"/>
          </w:tcPr>
          <w:p w14:paraId="6BB2BBF7" w14:textId="77777777" w:rsidR="000305DD" w:rsidRPr="00F24972" w:rsidRDefault="000305DD" w:rsidP="000305DD">
            <w:pPr>
              <w:pStyle w:val="TableText"/>
              <w:rPr>
                <w:rFonts w:cs="Arial"/>
              </w:rPr>
            </w:pPr>
            <w:r w:rsidRPr="00F24972">
              <w:rPr>
                <w:rFonts w:cs="Arial"/>
              </w:rPr>
              <w:t>Positive</w:t>
            </w:r>
          </w:p>
        </w:tc>
        <w:tc>
          <w:tcPr>
            <w:tcW w:w="900" w:type="dxa"/>
          </w:tcPr>
          <w:p w14:paraId="42E1EFF0" w14:textId="77777777" w:rsidR="000305DD" w:rsidRPr="00F24972" w:rsidRDefault="000305DD" w:rsidP="000305DD">
            <w:pPr>
              <w:pStyle w:val="TableText"/>
              <w:jc w:val="center"/>
              <w:rPr>
                <w:rFonts w:cs="Arial"/>
              </w:rPr>
            </w:pPr>
            <w:r w:rsidRPr="00F24972">
              <w:rPr>
                <w:rFonts w:cs="Arial"/>
              </w:rPr>
              <w:t>P</w:t>
            </w:r>
          </w:p>
        </w:tc>
        <w:tc>
          <w:tcPr>
            <w:tcW w:w="4950" w:type="dxa"/>
          </w:tcPr>
          <w:p w14:paraId="70BE91BE" w14:textId="67516D37" w:rsidR="000305DD" w:rsidRPr="00F24972" w:rsidRDefault="000305DD" w:rsidP="000305DD">
            <w:pPr>
              <w:pStyle w:val="TableText"/>
              <w:rPr>
                <w:rFonts w:cs="Arial"/>
              </w:rPr>
            </w:pPr>
            <w:r w:rsidRPr="00F24972">
              <w:rPr>
                <w:rFonts w:cs="Arial"/>
              </w:rPr>
              <w:t xml:space="preserve">This process is invoked when an individual unit is selected for patient assignment and the unit is electronically crossmatched. When </w:t>
            </w:r>
            <w:r w:rsidR="00AE3B37" w:rsidRPr="00F24972">
              <w:rPr>
                <w:rFonts w:cs="Arial"/>
              </w:rPr>
              <w:t>multiple units</w:t>
            </w:r>
            <w:r w:rsidRPr="00F24972">
              <w:rPr>
                <w:rFonts w:cs="Arial"/>
              </w:rPr>
              <w:t xml:space="preserve"> are selected, each unit accrues workload.</w:t>
            </w:r>
          </w:p>
        </w:tc>
      </w:tr>
      <w:tr w:rsidR="000305DD" w:rsidRPr="00F24972" w14:paraId="168D7F8F" w14:textId="77777777" w:rsidTr="00FA340F">
        <w:trPr>
          <w:cantSplit/>
        </w:trPr>
        <w:tc>
          <w:tcPr>
            <w:tcW w:w="1733" w:type="dxa"/>
            <w:vMerge w:val="restart"/>
            <w:shd w:val="clear" w:color="auto" w:fill="auto"/>
          </w:tcPr>
          <w:p w14:paraId="03B89434" w14:textId="77777777" w:rsidR="000305DD" w:rsidRPr="00F24972" w:rsidRDefault="000305DD" w:rsidP="000305DD">
            <w:pPr>
              <w:pStyle w:val="TableText"/>
              <w:rPr>
                <w:rFonts w:cs="Arial"/>
              </w:rPr>
            </w:pPr>
            <w:r w:rsidRPr="00F24972">
              <w:rPr>
                <w:rFonts w:cs="Arial"/>
              </w:rPr>
              <w:t>Crossmatch unit, serologic immediate spin</w:t>
            </w:r>
          </w:p>
        </w:tc>
        <w:tc>
          <w:tcPr>
            <w:tcW w:w="1592" w:type="dxa"/>
            <w:tcBorders>
              <w:top w:val="single" w:sz="4" w:space="0" w:color="auto"/>
              <w:bottom w:val="single" w:sz="4" w:space="0" w:color="auto"/>
              <w:right w:val="single" w:sz="4" w:space="0" w:color="auto"/>
            </w:tcBorders>
          </w:tcPr>
          <w:p w14:paraId="5B1A3600"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79697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31CEB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1CD445FB" w14:textId="72986903" w:rsidR="000305DD" w:rsidRPr="00F24972" w:rsidRDefault="000305DD" w:rsidP="000305DD">
            <w:pPr>
              <w:pStyle w:val="TableText"/>
              <w:rPr>
                <w:rFonts w:cs="Arial"/>
              </w:rPr>
            </w:pPr>
            <w:r w:rsidRPr="00F24972">
              <w:rPr>
                <w:rFonts w:cs="Arial"/>
              </w:rPr>
              <w:t xml:space="preserve">Accrue workload when an individual unit (row) crossmatch, selected to include only the IS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6B65C944" w14:textId="77777777" w:rsidTr="00FA340F">
        <w:trPr>
          <w:cantSplit/>
        </w:trPr>
        <w:tc>
          <w:tcPr>
            <w:tcW w:w="1733" w:type="dxa"/>
            <w:vMerge/>
            <w:tcBorders>
              <w:bottom w:val="single" w:sz="4" w:space="0" w:color="auto"/>
            </w:tcBorders>
            <w:shd w:val="clear" w:color="auto" w:fill="auto"/>
          </w:tcPr>
          <w:p w14:paraId="4D634E77"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75C609F0" w14:textId="77777777" w:rsidR="000305DD" w:rsidRPr="00F24972" w:rsidRDefault="000305DD" w:rsidP="000305DD">
            <w:pPr>
              <w:pStyle w:val="TableText"/>
              <w:rPr>
                <w:rFonts w:cs="Arial"/>
              </w:rPr>
            </w:pPr>
            <w:r>
              <w:rPr>
                <w:rFonts w:cs="Arial"/>
              </w:rPr>
              <w:t>Invalidate 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49782CC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25BB4FA"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33AA201"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 immediate spin.</w:t>
            </w:r>
          </w:p>
        </w:tc>
      </w:tr>
      <w:tr w:rsidR="000305DD" w:rsidRPr="00F24972" w14:paraId="0F4600D2" w14:textId="77777777" w:rsidTr="00FA340F">
        <w:trPr>
          <w:cantSplit/>
        </w:trPr>
        <w:tc>
          <w:tcPr>
            <w:tcW w:w="1733" w:type="dxa"/>
            <w:vMerge w:val="restart"/>
          </w:tcPr>
          <w:p w14:paraId="3AE72BCA" w14:textId="77777777" w:rsidR="000305DD" w:rsidRPr="00F24972" w:rsidRDefault="000305DD" w:rsidP="000305DD">
            <w:pPr>
              <w:pStyle w:val="TableText"/>
              <w:rPr>
                <w:rFonts w:cs="Arial"/>
              </w:rPr>
            </w:pPr>
            <w:r w:rsidRPr="00F24972">
              <w:rPr>
                <w:rFonts w:cs="Arial"/>
              </w:rPr>
              <w:t>Crossmatch unit, serological Coombs</w:t>
            </w:r>
          </w:p>
          <w:p w14:paraId="5187C869" w14:textId="77777777" w:rsidR="000305DD" w:rsidRPr="00F24972" w:rsidRDefault="000305DD" w:rsidP="000305DD">
            <w:pPr>
              <w:pStyle w:val="TableText"/>
              <w:rPr>
                <w:rFonts w:cs="Arial"/>
              </w:rPr>
            </w:pPr>
          </w:p>
        </w:tc>
        <w:tc>
          <w:tcPr>
            <w:tcW w:w="1592" w:type="dxa"/>
          </w:tcPr>
          <w:p w14:paraId="612050CA" w14:textId="77777777" w:rsidR="000305DD" w:rsidRPr="00F24972" w:rsidRDefault="000305DD" w:rsidP="000305DD">
            <w:pPr>
              <w:pStyle w:val="TableText"/>
              <w:rPr>
                <w:rFonts w:cs="Arial"/>
              </w:rPr>
            </w:pPr>
            <w:r>
              <w:rPr>
                <w:rFonts w:cs="Arial"/>
              </w:rPr>
              <w:t>Transfusion Reaction Workup, serologic crossmatch</w:t>
            </w:r>
          </w:p>
        </w:tc>
        <w:tc>
          <w:tcPr>
            <w:tcW w:w="1080" w:type="dxa"/>
          </w:tcPr>
          <w:p w14:paraId="2FC83DC2" w14:textId="77777777" w:rsidR="000305DD" w:rsidRPr="00F24972" w:rsidRDefault="000305DD" w:rsidP="000305DD">
            <w:pPr>
              <w:pStyle w:val="TableText"/>
              <w:rPr>
                <w:rFonts w:cs="Arial"/>
              </w:rPr>
            </w:pPr>
            <w:r w:rsidRPr="00F24972">
              <w:rPr>
                <w:rFonts w:cs="Arial"/>
              </w:rPr>
              <w:t>Positive</w:t>
            </w:r>
          </w:p>
        </w:tc>
        <w:tc>
          <w:tcPr>
            <w:tcW w:w="900" w:type="dxa"/>
          </w:tcPr>
          <w:p w14:paraId="2FF6164A" w14:textId="77777777" w:rsidR="000305DD" w:rsidRPr="00F24972" w:rsidRDefault="000305DD" w:rsidP="000305DD">
            <w:pPr>
              <w:pStyle w:val="TableText"/>
              <w:jc w:val="center"/>
              <w:rPr>
                <w:rFonts w:cs="Arial"/>
              </w:rPr>
            </w:pPr>
            <w:r w:rsidRPr="00F24972">
              <w:rPr>
                <w:rFonts w:cs="Arial"/>
              </w:rPr>
              <w:t>P</w:t>
            </w:r>
          </w:p>
        </w:tc>
        <w:tc>
          <w:tcPr>
            <w:tcW w:w="4950" w:type="dxa"/>
          </w:tcPr>
          <w:p w14:paraId="0EC1F46B" w14:textId="77777777" w:rsidR="000305DD" w:rsidRPr="00F24972" w:rsidRDefault="000305DD" w:rsidP="000305DD">
            <w:pPr>
              <w:pStyle w:val="TableText"/>
              <w:rPr>
                <w:rFonts w:cs="Arial"/>
              </w:rPr>
            </w:pPr>
            <w:r w:rsidRPr="00F24972">
              <w:rPr>
                <w:rFonts w:cs="Arial"/>
              </w:rPr>
              <w:t>A crossmatch test for pre or post is enabled and a valid interpretation other than Not Tested is selected. A workload event is accrued separately for Pre and Post entries.</w:t>
            </w:r>
          </w:p>
          <w:p w14:paraId="41CA770D" w14:textId="12C7E12B" w:rsidR="000305DD" w:rsidRPr="00F24972" w:rsidRDefault="000305DD" w:rsidP="000305DD">
            <w:pPr>
              <w:pStyle w:val="TableText"/>
              <w:rPr>
                <w:rFonts w:cs="Arial"/>
              </w:rPr>
            </w:pPr>
            <w:r w:rsidRPr="00F24972">
              <w:rPr>
                <w:rFonts w:cs="Arial"/>
              </w:rPr>
              <w:t xml:space="preserve">When </w:t>
            </w:r>
            <w:r w:rsidR="00AE3B37" w:rsidRPr="00F24972">
              <w:rPr>
                <w:rFonts w:cs="Arial"/>
              </w:rPr>
              <w:t>multiple units</w:t>
            </w:r>
            <w:r w:rsidRPr="00F24972">
              <w:rPr>
                <w:rFonts w:cs="Arial"/>
              </w:rPr>
              <w:t xml:space="preserve"> are selected, each unit accrues workload.</w:t>
            </w:r>
          </w:p>
        </w:tc>
      </w:tr>
      <w:tr w:rsidR="000305DD" w:rsidRPr="00F24972" w14:paraId="78533767" w14:textId="77777777" w:rsidTr="00FA340F">
        <w:trPr>
          <w:cantSplit/>
        </w:trPr>
        <w:tc>
          <w:tcPr>
            <w:tcW w:w="1733" w:type="dxa"/>
            <w:vMerge/>
          </w:tcPr>
          <w:p w14:paraId="0B9A3CA1"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371492C7"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2B4FAF2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AFFB40D"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2EAB2FBD" w14:textId="2526EF5B"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0F8C7507" w14:textId="77777777" w:rsidTr="00FA340F">
        <w:trPr>
          <w:cantSplit/>
        </w:trPr>
        <w:tc>
          <w:tcPr>
            <w:tcW w:w="1733" w:type="dxa"/>
            <w:vMerge/>
            <w:tcBorders>
              <w:bottom w:val="single" w:sz="4" w:space="0" w:color="auto"/>
            </w:tcBorders>
          </w:tcPr>
          <w:p w14:paraId="2B817124"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FDE3C56" w14:textId="77777777" w:rsidR="000305DD" w:rsidRDefault="000305DD" w:rsidP="000305DD">
            <w:pPr>
              <w:pStyle w:val="TableText"/>
              <w:rPr>
                <w:rFonts w:cs="Arial"/>
              </w:rPr>
            </w:pPr>
            <w:r>
              <w:rPr>
                <w:rFonts w:cs="Arial"/>
              </w:rPr>
              <w:t>Invalidate</w:t>
            </w:r>
          </w:p>
          <w:p w14:paraId="2BBD62F2"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B899E2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09842505"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2D8CD9CE"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serological Coombs.</w:t>
            </w:r>
          </w:p>
        </w:tc>
      </w:tr>
      <w:tr w:rsidR="000305DD" w:rsidRPr="00F24972" w14:paraId="31BB82BE" w14:textId="77777777" w:rsidTr="00FA340F">
        <w:trPr>
          <w:cantSplit/>
        </w:trPr>
        <w:tc>
          <w:tcPr>
            <w:tcW w:w="1733" w:type="dxa"/>
            <w:vMerge w:val="restart"/>
          </w:tcPr>
          <w:p w14:paraId="1A724212" w14:textId="77777777" w:rsidR="000305DD" w:rsidRPr="00F24972" w:rsidRDefault="000305DD" w:rsidP="000305DD">
            <w:pPr>
              <w:pStyle w:val="TableText"/>
              <w:rPr>
                <w:rFonts w:cs="Arial"/>
              </w:rPr>
            </w:pPr>
            <w:r w:rsidRPr="00F24972">
              <w:rPr>
                <w:rFonts w:cs="Arial"/>
              </w:rPr>
              <w:t>Crossmatch, Repeat Test</w:t>
            </w:r>
          </w:p>
          <w:p w14:paraId="2C5D6CAE" w14:textId="77777777" w:rsidR="000305DD" w:rsidRPr="00F24972" w:rsidRDefault="000305DD" w:rsidP="000305DD">
            <w:pPr>
              <w:pStyle w:val="TableText"/>
              <w:rPr>
                <w:rFonts w:cs="Arial"/>
              </w:rPr>
            </w:pPr>
          </w:p>
        </w:tc>
        <w:tc>
          <w:tcPr>
            <w:tcW w:w="1592" w:type="dxa"/>
          </w:tcPr>
          <w:p w14:paraId="171F1546" w14:textId="77777777" w:rsidR="000305DD" w:rsidRPr="00F24972" w:rsidRDefault="000305DD" w:rsidP="000305DD">
            <w:pPr>
              <w:pStyle w:val="TableText"/>
              <w:rPr>
                <w:rFonts w:cs="Arial"/>
              </w:rPr>
            </w:pPr>
            <w:r>
              <w:rPr>
                <w:rFonts w:cs="Arial"/>
              </w:rPr>
              <w:t>Patient Testing, serologic crossmatch</w:t>
            </w:r>
          </w:p>
        </w:tc>
        <w:tc>
          <w:tcPr>
            <w:tcW w:w="1080" w:type="dxa"/>
          </w:tcPr>
          <w:p w14:paraId="1E7FCB8A" w14:textId="77777777" w:rsidR="000305DD" w:rsidRPr="00F24972" w:rsidRDefault="000305DD" w:rsidP="000305DD">
            <w:pPr>
              <w:pStyle w:val="TableText"/>
              <w:rPr>
                <w:rFonts w:cs="Arial"/>
              </w:rPr>
            </w:pPr>
            <w:r w:rsidRPr="00F24972">
              <w:rPr>
                <w:rFonts w:cs="Arial"/>
              </w:rPr>
              <w:t>Positive</w:t>
            </w:r>
          </w:p>
        </w:tc>
        <w:tc>
          <w:tcPr>
            <w:tcW w:w="900" w:type="dxa"/>
          </w:tcPr>
          <w:p w14:paraId="27B02DF3" w14:textId="77777777" w:rsidR="000305DD" w:rsidRPr="00F24972" w:rsidRDefault="000305DD" w:rsidP="000305DD">
            <w:pPr>
              <w:pStyle w:val="TableText"/>
              <w:jc w:val="center"/>
              <w:rPr>
                <w:rFonts w:cs="Arial"/>
              </w:rPr>
            </w:pPr>
            <w:r w:rsidRPr="00F24972">
              <w:rPr>
                <w:rFonts w:cs="Arial"/>
              </w:rPr>
              <w:t>M</w:t>
            </w:r>
          </w:p>
        </w:tc>
        <w:tc>
          <w:tcPr>
            <w:tcW w:w="4950" w:type="dxa"/>
          </w:tcPr>
          <w:p w14:paraId="2CDF7B53" w14:textId="446C2F69"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IS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p w14:paraId="148AF3E6" w14:textId="77777777" w:rsidR="000305DD" w:rsidRPr="00F24972" w:rsidRDefault="000305DD" w:rsidP="000305DD">
            <w:pPr>
              <w:pStyle w:val="TableText"/>
              <w:rPr>
                <w:rFonts w:cs="Arial"/>
              </w:rPr>
            </w:pPr>
            <w:r w:rsidRPr="00F24972">
              <w:rPr>
                <w:rFonts w:cs="Arial"/>
              </w:rPr>
              <w:t xml:space="preserve">Note: ordered via </w:t>
            </w:r>
            <w:r>
              <w:rPr>
                <w:rFonts w:cs="Arial"/>
              </w:rPr>
              <w:t>Order Reflex Test</w:t>
            </w:r>
            <w:r w:rsidRPr="00F24972">
              <w:rPr>
                <w:rFonts w:cs="Arial"/>
              </w:rPr>
              <w:t xml:space="preserve"> from main menu or the use of </w:t>
            </w:r>
            <w:r>
              <w:rPr>
                <w:rFonts w:cs="Arial"/>
              </w:rPr>
              <w:t>Order Reflex Test</w:t>
            </w:r>
            <w:r w:rsidRPr="00F24972">
              <w:rPr>
                <w:rFonts w:cs="Arial"/>
              </w:rPr>
              <w:t xml:space="preserve"> by </w:t>
            </w:r>
            <w:r>
              <w:rPr>
                <w:rFonts w:cs="Arial"/>
              </w:rPr>
              <w:t>Record Testing</w:t>
            </w:r>
            <w:r w:rsidRPr="00F24972">
              <w:rPr>
                <w:rFonts w:cs="Arial"/>
              </w:rPr>
              <w:t>.</w:t>
            </w:r>
          </w:p>
        </w:tc>
      </w:tr>
      <w:tr w:rsidR="000305DD" w:rsidRPr="00F24972" w14:paraId="6690CDDA" w14:textId="77777777" w:rsidTr="00FA340F">
        <w:trPr>
          <w:cantSplit/>
        </w:trPr>
        <w:tc>
          <w:tcPr>
            <w:tcW w:w="1733" w:type="dxa"/>
            <w:vMerge/>
            <w:tcBorders>
              <w:bottom w:val="single" w:sz="4" w:space="0" w:color="auto"/>
            </w:tcBorders>
          </w:tcPr>
          <w:p w14:paraId="019371BE"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07F3AC7" w14:textId="77777777" w:rsidR="000305DD" w:rsidRPr="00027B0B" w:rsidRDefault="000305DD" w:rsidP="000305DD">
            <w:pPr>
              <w:pStyle w:val="TableText"/>
              <w:rPr>
                <w:rFonts w:cs="Arial"/>
                <w:sz w:val="16"/>
                <w:szCs w:val="16"/>
              </w:rPr>
            </w:pPr>
            <w:r w:rsidRPr="00027B0B">
              <w:rPr>
                <w:rFonts w:cs="Arial"/>
                <w:sz w:val="16"/>
                <w:szCs w:val="16"/>
              </w:rPr>
              <w:t>Invalidate</w:t>
            </w:r>
          </w:p>
          <w:p w14:paraId="7BFE92F9" w14:textId="77777777" w:rsidR="000305DD" w:rsidRPr="00F24972" w:rsidRDefault="000305DD" w:rsidP="000305DD">
            <w:pPr>
              <w:rPr>
                <w:rFonts w:ascii="Arial" w:hAnsi="Arial" w:cs="Arial"/>
                <w:sz w:val="18"/>
                <w:szCs w:val="18"/>
              </w:rPr>
            </w:pPr>
            <w:r w:rsidRPr="00027B0B">
              <w:rPr>
                <w:rFonts w:ascii="Arial" w:hAnsi="Arial" w:cs="Arial"/>
                <w:sz w:val="16"/>
                <w:szCs w:val="16"/>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7059460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2BDFEABC"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483CFBB3" w14:textId="77777777" w:rsidR="000305DD" w:rsidRPr="00F24972" w:rsidRDefault="000305DD" w:rsidP="000305DD">
            <w:pPr>
              <w:pStyle w:val="TableText"/>
              <w:rPr>
                <w:rFonts w:cs="Arial"/>
              </w:rPr>
            </w:pPr>
            <w:r w:rsidRPr="00F24972">
              <w:rPr>
                <w:rFonts w:cs="Arial"/>
              </w:rPr>
              <w:t>Accrue workload when an individual unit crossmatch is invalidated.</w:t>
            </w:r>
          </w:p>
        </w:tc>
      </w:tr>
      <w:tr w:rsidR="000305DD" w:rsidRPr="00F24972" w14:paraId="1CCA840B" w14:textId="77777777" w:rsidTr="00FA340F">
        <w:trPr>
          <w:cantSplit/>
        </w:trPr>
        <w:tc>
          <w:tcPr>
            <w:tcW w:w="1733" w:type="dxa"/>
            <w:tcBorders>
              <w:top w:val="single" w:sz="4" w:space="0" w:color="auto"/>
              <w:left w:val="single" w:sz="4" w:space="0" w:color="auto"/>
              <w:bottom w:val="single" w:sz="4" w:space="0" w:color="auto"/>
              <w:right w:val="single" w:sz="4" w:space="0" w:color="auto"/>
            </w:tcBorders>
            <w:vAlign w:val="bottom"/>
          </w:tcPr>
          <w:p w14:paraId="5C361D81" w14:textId="77777777" w:rsidR="000305DD" w:rsidRPr="00F24972" w:rsidRDefault="000305DD" w:rsidP="000305DD">
            <w:pPr>
              <w:pStyle w:val="TableText"/>
              <w:rPr>
                <w:rFonts w:cs="Arial"/>
              </w:rPr>
            </w:pPr>
            <w:r w:rsidRPr="00F24972">
              <w:rPr>
                <w:rFonts w:cs="Arial"/>
              </w:rPr>
              <w:t>Daily Rack Quality Control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316BAA0" w14:textId="77777777" w:rsidR="000305DD" w:rsidRPr="00F24972" w:rsidRDefault="000305DD" w:rsidP="000305DD">
            <w:pPr>
              <w:pStyle w:val="TableText"/>
              <w:rPr>
                <w:rFonts w:cs="Arial"/>
              </w:rPr>
            </w:pPr>
            <w:r>
              <w:rPr>
                <w:rFonts w:cs="Arial"/>
              </w:rPr>
              <w:t>Enter Daily Reagent Rack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A026105"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50CEF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1F1FAA07" w14:textId="77777777" w:rsidR="000305DD" w:rsidRPr="00F24972" w:rsidRDefault="000305DD" w:rsidP="000305DD">
            <w:pPr>
              <w:pStyle w:val="TableText"/>
              <w:rPr>
                <w:rFonts w:cs="Arial"/>
              </w:rPr>
            </w:pPr>
            <w:r w:rsidRPr="00F24972">
              <w:rPr>
                <w:rFonts w:cs="Arial"/>
              </w:rPr>
              <w:t>Accrue workload when Daily QC rack completed for one individual rack includes all rows in configured QC. When multiple racks are tested, each completed and saved tab accrues a workload event.</w:t>
            </w:r>
          </w:p>
        </w:tc>
      </w:tr>
      <w:tr w:rsidR="000305DD" w:rsidRPr="00F24972" w14:paraId="09070EE8"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20386800" w14:textId="77777777" w:rsidR="000305DD" w:rsidRPr="00F24972" w:rsidRDefault="000305DD" w:rsidP="000305DD">
            <w:pPr>
              <w:pStyle w:val="TableText"/>
              <w:rPr>
                <w:rFonts w:cs="Arial"/>
              </w:rPr>
            </w:pPr>
            <w:r w:rsidRPr="00F24972">
              <w:rPr>
                <w:rFonts w:cs="Arial"/>
              </w:rPr>
              <w:t>DAT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EFA7ED9" w14:textId="4FF7E02E" w:rsidR="000305DD" w:rsidRPr="00F24972" w:rsidRDefault="000305DD" w:rsidP="000305DD">
            <w:pPr>
              <w:pStyle w:val="TableText"/>
              <w:rPr>
                <w:rFonts w:cs="Arial"/>
              </w:rPr>
            </w:pPr>
            <w:r>
              <w:rPr>
                <w:rFonts w:cs="Arial"/>
              </w:rPr>
              <w:t xml:space="preserve">Enter Daily Reagent Rack QC </w:t>
            </w:r>
            <w:r w:rsidR="00AE3B37">
              <w:rPr>
                <w:rFonts w:cs="Arial"/>
              </w:rPr>
              <w:t>or DAT</w:t>
            </w:r>
            <w:r>
              <w:rPr>
                <w:rFonts w:cs="Arial"/>
              </w:rPr>
              <w:t xml:space="preserve">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E1232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A0F2EBF"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03810E1D" w14:textId="77777777" w:rsidR="000305DD" w:rsidRPr="00F24972" w:rsidRDefault="000305DD" w:rsidP="000305DD">
            <w:pPr>
              <w:pStyle w:val="TableText"/>
              <w:rPr>
                <w:rFonts w:cs="Arial"/>
              </w:rPr>
            </w:pPr>
            <w:r w:rsidRPr="00F24972">
              <w:rPr>
                <w:rFonts w:cs="Arial"/>
              </w:rPr>
              <w:t xml:space="preserve">Accrue workload when Reagent QC completed or in </w:t>
            </w:r>
            <w:r>
              <w:rPr>
                <w:rFonts w:cs="Arial"/>
              </w:rPr>
              <w:t>Record Patient Direct Antiglobulin Test</w:t>
            </w:r>
            <w:r w:rsidRPr="00F24972">
              <w:rPr>
                <w:rFonts w:cs="Arial"/>
              </w:rPr>
              <w:t xml:space="preserve"> includes the testing of both the positive and negative control cells, per specificity per lot number, when only one phase of reactivity is chosen for the test grid, IS or AHG. One workload event is collected per completed tab for regular or repeat antiglobulin tests (PS, IgG, Comp) tests.</w:t>
            </w:r>
          </w:p>
        </w:tc>
      </w:tr>
      <w:tr w:rsidR="000305DD" w:rsidRPr="00F24972" w14:paraId="6CB627C7" w14:textId="77777777" w:rsidTr="00FA340F">
        <w:trPr>
          <w:cantSplit/>
        </w:trPr>
        <w:tc>
          <w:tcPr>
            <w:tcW w:w="1733" w:type="dxa"/>
            <w:vMerge w:val="restart"/>
            <w:tcBorders>
              <w:top w:val="single" w:sz="4" w:space="0" w:color="auto"/>
              <w:left w:val="single" w:sz="4" w:space="0" w:color="auto"/>
              <w:right w:val="single" w:sz="4" w:space="0" w:color="auto"/>
            </w:tcBorders>
          </w:tcPr>
          <w:p w14:paraId="6ED39FBD" w14:textId="77777777" w:rsidR="000305DD" w:rsidRPr="00F24972" w:rsidRDefault="000305DD" w:rsidP="000305DD">
            <w:pPr>
              <w:pStyle w:val="TableText"/>
              <w:rPr>
                <w:rFonts w:cs="Arial"/>
              </w:rPr>
            </w:pPr>
            <w:r w:rsidRPr="00F24972">
              <w:rPr>
                <w:rFonts w:cs="Arial"/>
              </w:rPr>
              <w:t>Direct Antiglobulin Test (DAT)</w:t>
            </w:r>
          </w:p>
          <w:p w14:paraId="47A3FE1C"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79585A1A" w14:textId="77777777" w:rsidR="000305DD" w:rsidRPr="00F24972" w:rsidRDefault="000305DD" w:rsidP="000305DD">
            <w:pPr>
              <w:pStyle w:val="TableText"/>
              <w:rPr>
                <w:rFonts w:cs="Arial"/>
              </w:rPr>
            </w:pPr>
            <w:r>
              <w:rPr>
                <w:rFonts w:cs="Arial"/>
              </w:rPr>
              <w:t>Transfusion Reaction Workup, DAT test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8580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5AAD49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5A9C34C" w14:textId="77777777" w:rsidR="000305DD" w:rsidRPr="00F24972" w:rsidRDefault="000305DD" w:rsidP="000305DD">
            <w:pPr>
              <w:pStyle w:val="TableText"/>
              <w:rPr>
                <w:rFonts w:cs="Arial"/>
              </w:rPr>
            </w:pPr>
            <w:r w:rsidRPr="00F24972">
              <w:rPr>
                <w:rFonts w:cs="Arial"/>
              </w:rPr>
              <w:t>A DAT test for pre or post is enabled and a valid interpretation other than Not Tested is selected. A workload event is accrued separately for Pre and Post entries.</w:t>
            </w:r>
          </w:p>
        </w:tc>
      </w:tr>
      <w:tr w:rsidR="000305DD" w:rsidRPr="00F24972" w14:paraId="08E11F54" w14:textId="77777777" w:rsidTr="00FA340F">
        <w:trPr>
          <w:cantSplit/>
        </w:trPr>
        <w:tc>
          <w:tcPr>
            <w:tcW w:w="1733" w:type="dxa"/>
            <w:vMerge/>
            <w:tcBorders>
              <w:left w:val="single" w:sz="4" w:space="0" w:color="auto"/>
              <w:right w:val="single" w:sz="4" w:space="0" w:color="auto"/>
            </w:tcBorders>
          </w:tcPr>
          <w:p w14:paraId="2320F016"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41A739F5"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47674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12E52C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492AC555" w14:textId="77777777" w:rsidR="000305DD" w:rsidRPr="00F24972" w:rsidRDefault="000305DD" w:rsidP="000305DD">
            <w:pPr>
              <w:pStyle w:val="TableText"/>
              <w:rPr>
                <w:rFonts w:cs="Arial"/>
              </w:rPr>
            </w:pPr>
            <w:r w:rsidRPr="00F24972">
              <w:rPr>
                <w:rFonts w:cs="Arial"/>
              </w:rPr>
              <w:t>Accrue workload when a DAT completed and saved (</w:t>
            </w:r>
            <w:r>
              <w:rPr>
                <w:rFonts w:cs="Arial"/>
              </w:rPr>
              <w:t>Record Patient Direct Antiglobulin Test</w:t>
            </w:r>
            <w:r w:rsidRPr="00F24972">
              <w:rPr>
                <w:rFonts w:cs="Arial"/>
              </w:rPr>
              <w:t xml:space="preserve"> is saved by </w:t>
            </w:r>
            <w:r>
              <w:rPr>
                <w:rFonts w:cs="Arial"/>
              </w:rPr>
              <w:t>Record Testing</w:t>
            </w:r>
            <w:r w:rsidRPr="00F24972">
              <w:rPr>
                <w:rFonts w:cs="Arial"/>
              </w:rPr>
              <w:t xml:space="preserve"> as part of a TAS configuration or individual test ordered. This count is used for all antiglobulin tests (PS, IgG, Comp) when ordered from CPRS or Reflex testing.</w:t>
            </w:r>
          </w:p>
        </w:tc>
      </w:tr>
      <w:tr w:rsidR="000305DD" w:rsidRPr="00F24972" w14:paraId="639957EA" w14:textId="77777777" w:rsidTr="00FA340F">
        <w:trPr>
          <w:cantSplit/>
        </w:trPr>
        <w:tc>
          <w:tcPr>
            <w:tcW w:w="1733" w:type="dxa"/>
            <w:vMerge/>
            <w:tcBorders>
              <w:left w:val="single" w:sz="4" w:space="0" w:color="auto"/>
              <w:bottom w:val="single" w:sz="4" w:space="0" w:color="auto"/>
              <w:right w:val="single" w:sz="4" w:space="0" w:color="auto"/>
            </w:tcBorders>
          </w:tcPr>
          <w:p w14:paraId="3F7B9E00"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4694098"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4DFAB7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3C28A97"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794B94D3" w14:textId="77777777" w:rsidR="000305DD" w:rsidRPr="00F24972" w:rsidRDefault="000305DD" w:rsidP="000305DD">
            <w:pPr>
              <w:pStyle w:val="TableText"/>
              <w:rPr>
                <w:rFonts w:cs="Arial"/>
              </w:rPr>
            </w:pPr>
            <w:r w:rsidRPr="00F24972">
              <w:rPr>
                <w:rFonts w:cs="Arial"/>
              </w:rPr>
              <w:t xml:space="preserve">Accrue workload when a completed DAT, PS, IgG, or Comp is invalidated. </w:t>
            </w:r>
          </w:p>
        </w:tc>
      </w:tr>
      <w:tr w:rsidR="000305DD" w:rsidRPr="00F24972" w14:paraId="0AF74FF5" w14:textId="77777777" w:rsidTr="00FA340F">
        <w:trPr>
          <w:cantSplit/>
        </w:trPr>
        <w:tc>
          <w:tcPr>
            <w:tcW w:w="1733" w:type="dxa"/>
            <w:vMerge w:val="restart"/>
            <w:tcBorders>
              <w:top w:val="single" w:sz="4" w:space="0" w:color="auto"/>
              <w:left w:val="single" w:sz="4" w:space="0" w:color="auto"/>
              <w:right w:val="single" w:sz="4" w:space="0" w:color="auto"/>
            </w:tcBorders>
          </w:tcPr>
          <w:p w14:paraId="0CCE9031" w14:textId="77777777" w:rsidR="000305DD" w:rsidRPr="00F24972" w:rsidRDefault="000305DD" w:rsidP="000305DD">
            <w:pPr>
              <w:pStyle w:val="TableText"/>
              <w:rPr>
                <w:rFonts w:cs="Arial"/>
              </w:rPr>
            </w:pPr>
            <w:r w:rsidRPr="00F24972">
              <w:rPr>
                <w:rFonts w:cs="Arial"/>
              </w:rPr>
              <w:t>Direct Antiglobulin Test (DAT) Repeat test</w:t>
            </w:r>
          </w:p>
        </w:tc>
        <w:tc>
          <w:tcPr>
            <w:tcW w:w="1592" w:type="dxa"/>
            <w:tcBorders>
              <w:top w:val="single" w:sz="4" w:space="0" w:color="auto"/>
              <w:left w:val="single" w:sz="4" w:space="0" w:color="auto"/>
              <w:bottom w:val="single" w:sz="4" w:space="0" w:color="auto"/>
              <w:right w:val="single" w:sz="4" w:space="0" w:color="auto"/>
            </w:tcBorders>
          </w:tcPr>
          <w:p w14:paraId="6B7E55A8"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68A8E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3C59CE5"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F20DCA7" w14:textId="77777777" w:rsidR="000305DD" w:rsidRPr="00F24972" w:rsidRDefault="000305DD" w:rsidP="000305DD">
            <w:pPr>
              <w:pStyle w:val="TableText"/>
              <w:rPr>
                <w:rFonts w:cs="Arial"/>
              </w:rPr>
            </w:pPr>
            <w:r w:rsidRPr="00F24972">
              <w:rPr>
                <w:rFonts w:cs="Arial"/>
              </w:rPr>
              <w:t xml:space="preserve">Accrue workload when a reflex or repeat DAT test is performed, completed and saved via </w:t>
            </w:r>
            <w:r>
              <w:rPr>
                <w:rFonts w:cs="Arial"/>
              </w:rPr>
              <w:t>Record Testing</w:t>
            </w:r>
            <w:r w:rsidRPr="00F24972">
              <w:rPr>
                <w:rFonts w:cs="Arial"/>
              </w:rPr>
              <w:t>. This applies to</w:t>
            </w:r>
            <w:r>
              <w:rPr>
                <w:rFonts w:cs="Arial"/>
              </w:rPr>
              <w:t xml:space="preserve"> </w:t>
            </w:r>
            <w:r w:rsidRPr="00F24972">
              <w:rPr>
                <w:rFonts w:cs="Arial"/>
              </w:rPr>
              <w:t>all repeat antiglobulin tests (PS, IgG, Comp)</w:t>
            </w:r>
          </w:p>
          <w:p w14:paraId="6ABDB5E0" w14:textId="77777777" w:rsidR="000305DD" w:rsidRPr="00F24972" w:rsidRDefault="000305DD" w:rsidP="000305DD">
            <w:pPr>
              <w:pStyle w:val="TableText"/>
              <w:rPr>
                <w:rFonts w:cs="Arial"/>
              </w:rPr>
            </w:pPr>
            <w:r w:rsidRPr="00F24972">
              <w:rPr>
                <w:rFonts w:cs="Arial"/>
              </w:rPr>
              <w:t xml:space="preserve">Note: Any DAT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22667D2F" w14:textId="77777777" w:rsidTr="00FA340F">
        <w:trPr>
          <w:cantSplit/>
        </w:trPr>
        <w:tc>
          <w:tcPr>
            <w:tcW w:w="1733" w:type="dxa"/>
            <w:vMerge/>
            <w:tcBorders>
              <w:left w:val="single" w:sz="4" w:space="0" w:color="auto"/>
              <w:bottom w:val="single" w:sz="4" w:space="0" w:color="auto"/>
              <w:right w:val="single" w:sz="4" w:space="0" w:color="auto"/>
            </w:tcBorders>
          </w:tcPr>
          <w:p w14:paraId="4CC32DF7"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76C72CE7"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2128165" w14:textId="77777777" w:rsidR="000305DD" w:rsidRPr="00F24972" w:rsidRDefault="000305DD" w:rsidP="000305DD">
            <w:pPr>
              <w:pStyle w:val="TableText"/>
              <w:rPr>
                <w:rFonts w:cs="Arial"/>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FAD3B0"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7397D22A" w14:textId="77777777" w:rsidR="000305DD" w:rsidRPr="00F24972" w:rsidRDefault="000305DD" w:rsidP="000305DD">
            <w:pPr>
              <w:pStyle w:val="TableText"/>
              <w:rPr>
                <w:rFonts w:cs="Arial"/>
              </w:rPr>
            </w:pPr>
            <w:r w:rsidRPr="00F24972">
              <w:rPr>
                <w:rFonts w:cs="Arial"/>
              </w:rPr>
              <w:t>Accrue workload when a completed Repeat DAT, PS, IgG, or Comp is invalidated.</w:t>
            </w:r>
          </w:p>
        </w:tc>
      </w:tr>
      <w:tr w:rsidR="000305DD" w:rsidRPr="00F24972" w14:paraId="70B7BF4D" w14:textId="77777777" w:rsidTr="00FA340F">
        <w:trPr>
          <w:cantSplit/>
        </w:trPr>
        <w:tc>
          <w:tcPr>
            <w:tcW w:w="1733" w:type="dxa"/>
            <w:vMerge w:val="restart"/>
            <w:tcBorders>
              <w:top w:val="single" w:sz="4" w:space="0" w:color="auto"/>
              <w:left w:val="single" w:sz="4" w:space="0" w:color="auto"/>
              <w:right w:val="single" w:sz="4" w:space="0" w:color="auto"/>
            </w:tcBorders>
          </w:tcPr>
          <w:p w14:paraId="50DD4B84" w14:textId="77777777" w:rsidR="000305DD" w:rsidRPr="00F24972" w:rsidRDefault="000305DD" w:rsidP="000305DD">
            <w:pPr>
              <w:pStyle w:val="TableText"/>
              <w:rPr>
                <w:rFonts w:cs="Arial"/>
              </w:rPr>
            </w:pPr>
            <w:r w:rsidRPr="00F24972">
              <w:rPr>
                <w:rFonts w:cs="Arial"/>
              </w:rPr>
              <w:t>Deglycerolize unit</w:t>
            </w:r>
          </w:p>
        </w:tc>
        <w:tc>
          <w:tcPr>
            <w:tcW w:w="1592" w:type="dxa"/>
            <w:tcBorders>
              <w:top w:val="single" w:sz="4" w:space="0" w:color="auto"/>
              <w:left w:val="single" w:sz="4" w:space="0" w:color="auto"/>
              <w:bottom w:val="single" w:sz="4" w:space="0" w:color="auto"/>
              <w:right w:val="single" w:sz="4" w:space="0" w:color="auto"/>
            </w:tcBorders>
          </w:tcPr>
          <w:p w14:paraId="54A6DFD1" w14:textId="77777777" w:rsidR="000305DD" w:rsidRPr="00F24972" w:rsidRDefault="000305DD" w:rsidP="000305DD">
            <w:pPr>
              <w:pStyle w:val="TableText"/>
              <w:rPr>
                <w:rFonts w:cs="Arial"/>
              </w:rPr>
            </w:pPr>
            <w:r>
              <w:rPr>
                <w:rFonts w:cs="Arial"/>
              </w:rPr>
              <w:t>Modify Unit, Deglycerolize</w:t>
            </w:r>
          </w:p>
        </w:tc>
        <w:tc>
          <w:tcPr>
            <w:tcW w:w="1080" w:type="dxa"/>
            <w:tcBorders>
              <w:top w:val="single" w:sz="4" w:space="0" w:color="auto"/>
              <w:left w:val="single" w:sz="4" w:space="0" w:color="auto"/>
              <w:bottom w:val="single" w:sz="4" w:space="0" w:color="auto"/>
              <w:right w:val="single" w:sz="4" w:space="0" w:color="auto"/>
            </w:tcBorders>
          </w:tcPr>
          <w:p w14:paraId="20E53F1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5B28AAF"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7D7F24ED"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Deglycerolize.</w:t>
            </w:r>
          </w:p>
          <w:p w14:paraId="11B891A2"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2B8F5F7C" w14:textId="77777777" w:rsidTr="00FA340F">
        <w:trPr>
          <w:cantSplit/>
        </w:trPr>
        <w:tc>
          <w:tcPr>
            <w:tcW w:w="1733" w:type="dxa"/>
            <w:vMerge/>
            <w:tcBorders>
              <w:left w:val="single" w:sz="4" w:space="0" w:color="auto"/>
              <w:right w:val="single" w:sz="4" w:space="0" w:color="auto"/>
            </w:tcBorders>
          </w:tcPr>
          <w:p w14:paraId="5432E9CD" w14:textId="77777777" w:rsidR="000305DD" w:rsidRPr="00F24972" w:rsidRDefault="000305DD" w:rsidP="000305DD">
            <w:pPr>
              <w:pStyle w:val="TableText"/>
              <w:rPr>
                <w:rFonts w:cs="Arial"/>
              </w:rPr>
            </w:pPr>
          </w:p>
        </w:tc>
        <w:tc>
          <w:tcPr>
            <w:tcW w:w="1592" w:type="dxa"/>
            <w:tcBorders>
              <w:left w:val="single" w:sz="4" w:space="0" w:color="auto"/>
            </w:tcBorders>
          </w:tcPr>
          <w:p w14:paraId="40404EFD" w14:textId="77777777" w:rsidR="000305DD" w:rsidRPr="00F24972" w:rsidRDefault="000305DD" w:rsidP="000305DD">
            <w:pPr>
              <w:pStyle w:val="TableText"/>
              <w:rPr>
                <w:rFonts w:cs="Arial"/>
              </w:rPr>
            </w:pPr>
            <w:r>
              <w:rPr>
                <w:rFonts w:cs="Arial"/>
              </w:rPr>
              <w:t>Invalidate Unit Status, Deglycerolize</w:t>
            </w:r>
          </w:p>
        </w:tc>
        <w:tc>
          <w:tcPr>
            <w:tcW w:w="1080" w:type="dxa"/>
          </w:tcPr>
          <w:p w14:paraId="7E2320DD" w14:textId="77777777" w:rsidR="000305DD" w:rsidRPr="00F24972" w:rsidRDefault="000305DD" w:rsidP="000305DD">
            <w:pPr>
              <w:pStyle w:val="TableText"/>
              <w:rPr>
                <w:rFonts w:cs="Arial"/>
                <w:b/>
              </w:rPr>
            </w:pPr>
            <w:r w:rsidRPr="00F24972">
              <w:rPr>
                <w:rFonts w:cs="Arial"/>
                <w:b/>
              </w:rPr>
              <w:t>Negative</w:t>
            </w:r>
          </w:p>
        </w:tc>
        <w:tc>
          <w:tcPr>
            <w:tcW w:w="900" w:type="dxa"/>
          </w:tcPr>
          <w:p w14:paraId="24B0C023" w14:textId="77777777" w:rsidR="000305DD" w:rsidRPr="00F24972" w:rsidRDefault="000305DD" w:rsidP="000305DD">
            <w:pPr>
              <w:pStyle w:val="TableText"/>
              <w:jc w:val="center"/>
              <w:rPr>
                <w:rFonts w:cs="Arial"/>
              </w:rPr>
            </w:pPr>
            <w:r w:rsidRPr="00F24972">
              <w:rPr>
                <w:rFonts w:cs="Arial"/>
              </w:rPr>
              <w:t>U</w:t>
            </w:r>
          </w:p>
        </w:tc>
        <w:tc>
          <w:tcPr>
            <w:tcW w:w="4950" w:type="dxa"/>
          </w:tcPr>
          <w:p w14:paraId="2BC7D050"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Deglycerolize.</w:t>
            </w:r>
          </w:p>
        </w:tc>
      </w:tr>
      <w:tr w:rsidR="000305DD" w:rsidRPr="00F24972" w14:paraId="616C7583" w14:textId="77777777" w:rsidTr="00FA340F">
        <w:trPr>
          <w:cantSplit/>
        </w:trPr>
        <w:tc>
          <w:tcPr>
            <w:tcW w:w="1733" w:type="dxa"/>
            <w:vMerge w:val="restart"/>
          </w:tcPr>
          <w:p w14:paraId="364EEA65" w14:textId="77777777" w:rsidR="000305DD" w:rsidRPr="00F24972" w:rsidRDefault="000305DD" w:rsidP="000305DD">
            <w:pPr>
              <w:pStyle w:val="TableText"/>
              <w:rPr>
                <w:rFonts w:cs="Arial"/>
              </w:rPr>
            </w:pPr>
            <w:r w:rsidRPr="00F24972">
              <w:rPr>
                <w:rFonts w:cs="Arial"/>
              </w:rPr>
              <w:t>Discard unit</w:t>
            </w:r>
          </w:p>
        </w:tc>
        <w:tc>
          <w:tcPr>
            <w:tcW w:w="1592" w:type="dxa"/>
          </w:tcPr>
          <w:p w14:paraId="0C82F013" w14:textId="77777777" w:rsidR="000305DD" w:rsidRPr="00F24972" w:rsidRDefault="000305DD" w:rsidP="000305DD">
            <w:pPr>
              <w:pStyle w:val="TableText"/>
              <w:rPr>
                <w:rFonts w:cs="Arial"/>
              </w:rPr>
            </w:pPr>
            <w:r>
              <w:rPr>
                <w:rFonts w:cs="Arial"/>
              </w:rPr>
              <w:t>Discard Unit</w:t>
            </w:r>
          </w:p>
        </w:tc>
        <w:tc>
          <w:tcPr>
            <w:tcW w:w="1080" w:type="dxa"/>
          </w:tcPr>
          <w:p w14:paraId="1640B20A" w14:textId="77777777" w:rsidR="000305DD" w:rsidRPr="00F24972" w:rsidRDefault="000305DD" w:rsidP="000305DD">
            <w:pPr>
              <w:pStyle w:val="TableText"/>
              <w:rPr>
                <w:rFonts w:cs="Arial"/>
              </w:rPr>
            </w:pPr>
            <w:r w:rsidRPr="00F24972">
              <w:rPr>
                <w:rFonts w:cs="Arial"/>
              </w:rPr>
              <w:t>Positive</w:t>
            </w:r>
          </w:p>
        </w:tc>
        <w:tc>
          <w:tcPr>
            <w:tcW w:w="900" w:type="dxa"/>
          </w:tcPr>
          <w:p w14:paraId="4AFAF8C2" w14:textId="77777777" w:rsidR="000305DD" w:rsidRPr="00F24972" w:rsidRDefault="000305DD" w:rsidP="000305DD">
            <w:pPr>
              <w:pStyle w:val="TableText"/>
              <w:jc w:val="center"/>
              <w:rPr>
                <w:rFonts w:cs="Arial"/>
              </w:rPr>
            </w:pPr>
            <w:r w:rsidRPr="00F24972">
              <w:rPr>
                <w:rFonts w:cs="Arial"/>
              </w:rPr>
              <w:t>U</w:t>
            </w:r>
          </w:p>
        </w:tc>
        <w:tc>
          <w:tcPr>
            <w:tcW w:w="4950" w:type="dxa"/>
          </w:tcPr>
          <w:p w14:paraId="1925FD20" w14:textId="77777777" w:rsidR="000305DD" w:rsidRPr="00F24972" w:rsidRDefault="000305DD" w:rsidP="000305DD">
            <w:pPr>
              <w:pStyle w:val="TableText"/>
              <w:rPr>
                <w:rFonts w:cs="Arial"/>
              </w:rPr>
            </w:pPr>
            <w:r w:rsidRPr="00F24972">
              <w:rPr>
                <w:rFonts w:cs="Arial"/>
              </w:rPr>
              <w:t>Accrue workload when an individual blood unit’s status is invalided. When a batch of units is selected, each unit accrues workload.</w:t>
            </w:r>
          </w:p>
        </w:tc>
      </w:tr>
      <w:tr w:rsidR="000305DD" w:rsidRPr="00F24972" w14:paraId="2102AE6F" w14:textId="77777777" w:rsidTr="00FA340F">
        <w:trPr>
          <w:cantSplit/>
        </w:trPr>
        <w:tc>
          <w:tcPr>
            <w:tcW w:w="1733" w:type="dxa"/>
            <w:vMerge/>
            <w:tcBorders>
              <w:bottom w:val="single" w:sz="4" w:space="0" w:color="auto"/>
            </w:tcBorders>
          </w:tcPr>
          <w:p w14:paraId="18E507F8"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256F85B8" w14:textId="77777777" w:rsidR="000305DD" w:rsidRPr="00F24972" w:rsidRDefault="000305DD" w:rsidP="000305DD">
            <w:pPr>
              <w:pStyle w:val="TableText"/>
              <w:rPr>
                <w:rFonts w:cs="Arial"/>
              </w:rPr>
            </w:pPr>
            <w:r>
              <w:rPr>
                <w:rFonts w:cs="Arial"/>
              </w:rPr>
              <w:t>Invalidate Unit Status, Discard</w:t>
            </w:r>
          </w:p>
        </w:tc>
        <w:tc>
          <w:tcPr>
            <w:tcW w:w="1080" w:type="dxa"/>
            <w:tcBorders>
              <w:top w:val="single" w:sz="4" w:space="0" w:color="auto"/>
              <w:left w:val="single" w:sz="4" w:space="0" w:color="auto"/>
              <w:bottom w:val="single" w:sz="4" w:space="0" w:color="auto"/>
              <w:right w:val="single" w:sz="4" w:space="0" w:color="auto"/>
            </w:tcBorders>
          </w:tcPr>
          <w:p w14:paraId="4269A86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A6E58F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6583554" w14:textId="77777777" w:rsidR="000305DD" w:rsidRPr="000409B0" w:rsidRDefault="000305DD" w:rsidP="000305DD">
            <w:pPr>
              <w:pStyle w:val="TableText"/>
              <w:rPr>
                <w:rFonts w:cs="Arial"/>
              </w:rPr>
            </w:pPr>
            <w:r w:rsidRPr="00F24972">
              <w:rPr>
                <w:rFonts w:cs="Arial"/>
              </w:rPr>
              <w:t>Accrue workload when a unit is discarded for waste or credit. When a batch of units is selected, each unit accrues workload.</w:t>
            </w:r>
          </w:p>
        </w:tc>
      </w:tr>
      <w:tr w:rsidR="000305DD" w:rsidRPr="00F24972" w14:paraId="4242259C" w14:textId="77777777" w:rsidTr="00FA340F">
        <w:trPr>
          <w:cantSplit/>
        </w:trPr>
        <w:tc>
          <w:tcPr>
            <w:tcW w:w="1733" w:type="dxa"/>
            <w:vMerge w:val="restart"/>
            <w:tcBorders>
              <w:top w:val="single" w:sz="4" w:space="0" w:color="auto"/>
              <w:left w:val="single" w:sz="4" w:space="0" w:color="auto"/>
              <w:right w:val="single" w:sz="4" w:space="0" w:color="auto"/>
            </w:tcBorders>
          </w:tcPr>
          <w:p w14:paraId="7EEAA6C5" w14:textId="77777777" w:rsidR="000305DD" w:rsidRPr="00F24972" w:rsidRDefault="000305DD" w:rsidP="000305DD">
            <w:pPr>
              <w:pStyle w:val="TableText"/>
              <w:rPr>
                <w:rFonts w:cs="Arial"/>
              </w:rPr>
            </w:pPr>
            <w:r w:rsidRPr="00F24972">
              <w:rPr>
                <w:rFonts w:cs="Arial"/>
              </w:rPr>
              <w:t>Freeze unit</w:t>
            </w:r>
          </w:p>
        </w:tc>
        <w:tc>
          <w:tcPr>
            <w:tcW w:w="1592" w:type="dxa"/>
            <w:tcBorders>
              <w:top w:val="single" w:sz="4" w:space="0" w:color="auto"/>
              <w:left w:val="single" w:sz="4" w:space="0" w:color="auto"/>
              <w:bottom w:val="single" w:sz="4" w:space="0" w:color="auto"/>
              <w:right w:val="single" w:sz="4" w:space="0" w:color="auto"/>
            </w:tcBorders>
          </w:tcPr>
          <w:p w14:paraId="0B0CDA97" w14:textId="77777777" w:rsidR="000305DD" w:rsidRPr="00F24972" w:rsidRDefault="000305DD" w:rsidP="000305DD">
            <w:pPr>
              <w:pStyle w:val="TableText"/>
              <w:rPr>
                <w:rFonts w:cs="Arial"/>
              </w:rPr>
            </w:pPr>
            <w:r>
              <w:rPr>
                <w:rFonts w:cs="Arial"/>
              </w:rPr>
              <w:t>Modify Unit, Freeze</w:t>
            </w:r>
          </w:p>
        </w:tc>
        <w:tc>
          <w:tcPr>
            <w:tcW w:w="1080" w:type="dxa"/>
            <w:tcBorders>
              <w:top w:val="single" w:sz="4" w:space="0" w:color="auto"/>
              <w:left w:val="single" w:sz="4" w:space="0" w:color="auto"/>
              <w:bottom w:val="single" w:sz="4" w:space="0" w:color="auto"/>
              <w:right w:val="single" w:sz="4" w:space="0" w:color="auto"/>
            </w:tcBorders>
          </w:tcPr>
          <w:p w14:paraId="072A92A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47A758"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62EB9CA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Freeze.</w:t>
            </w:r>
          </w:p>
          <w:p w14:paraId="03E6A485"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4067FC" w14:textId="77777777" w:rsidTr="00FA340F">
        <w:trPr>
          <w:cantSplit/>
        </w:trPr>
        <w:tc>
          <w:tcPr>
            <w:tcW w:w="1733" w:type="dxa"/>
            <w:vMerge/>
            <w:tcBorders>
              <w:left w:val="single" w:sz="4" w:space="0" w:color="auto"/>
              <w:bottom w:val="single" w:sz="4" w:space="0" w:color="auto"/>
              <w:right w:val="single" w:sz="4" w:space="0" w:color="auto"/>
            </w:tcBorders>
          </w:tcPr>
          <w:p w14:paraId="7EA99A5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4B934FE0" w14:textId="77777777" w:rsidR="000305DD" w:rsidRPr="00F24972" w:rsidRDefault="000305DD" w:rsidP="000305DD">
            <w:pPr>
              <w:pStyle w:val="TableText"/>
              <w:rPr>
                <w:rFonts w:cs="Arial"/>
              </w:rPr>
            </w:pPr>
            <w:r>
              <w:rPr>
                <w:rFonts w:cs="Arial"/>
              </w:rPr>
              <w:t>Invalidate Unit Status, Freeze</w:t>
            </w:r>
          </w:p>
        </w:tc>
        <w:tc>
          <w:tcPr>
            <w:tcW w:w="1080" w:type="dxa"/>
            <w:tcBorders>
              <w:top w:val="single" w:sz="4" w:space="0" w:color="auto"/>
              <w:left w:val="single" w:sz="4" w:space="0" w:color="auto"/>
              <w:bottom w:val="single" w:sz="4" w:space="0" w:color="auto"/>
              <w:right w:val="single" w:sz="4" w:space="0" w:color="auto"/>
            </w:tcBorders>
          </w:tcPr>
          <w:p w14:paraId="6D6C34D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B340E98"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720CC0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Freeze.</w:t>
            </w:r>
          </w:p>
        </w:tc>
      </w:tr>
      <w:tr w:rsidR="000305DD" w:rsidRPr="00F24972" w14:paraId="183AFB11" w14:textId="77777777" w:rsidTr="00FA340F">
        <w:trPr>
          <w:cantSplit/>
        </w:trPr>
        <w:tc>
          <w:tcPr>
            <w:tcW w:w="1733" w:type="dxa"/>
            <w:vMerge w:val="restart"/>
            <w:tcBorders>
              <w:top w:val="single" w:sz="4" w:space="0" w:color="auto"/>
              <w:left w:val="single" w:sz="4" w:space="0" w:color="auto"/>
              <w:right w:val="single" w:sz="4" w:space="0" w:color="auto"/>
            </w:tcBorders>
          </w:tcPr>
          <w:p w14:paraId="51E20BE8" w14:textId="77777777" w:rsidR="000305DD" w:rsidRPr="00F24972" w:rsidRDefault="000305DD" w:rsidP="000305DD">
            <w:pPr>
              <w:pStyle w:val="TableText"/>
              <w:rPr>
                <w:rFonts w:cs="Arial"/>
              </w:rPr>
            </w:pPr>
            <w:r w:rsidRPr="00F24972">
              <w:rPr>
                <w:rFonts w:cs="Arial"/>
              </w:rPr>
              <w:t>Irradiate unit</w:t>
            </w:r>
          </w:p>
        </w:tc>
        <w:tc>
          <w:tcPr>
            <w:tcW w:w="1592" w:type="dxa"/>
            <w:tcBorders>
              <w:top w:val="single" w:sz="4" w:space="0" w:color="auto"/>
              <w:left w:val="single" w:sz="4" w:space="0" w:color="auto"/>
              <w:bottom w:val="single" w:sz="4" w:space="0" w:color="auto"/>
              <w:right w:val="single" w:sz="4" w:space="0" w:color="auto"/>
            </w:tcBorders>
          </w:tcPr>
          <w:p w14:paraId="67EFA98E" w14:textId="77777777" w:rsidR="000305DD" w:rsidRPr="00F24972" w:rsidRDefault="000305DD" w:rsidP="000305DD">
            <w:pPr>
              <w:pStyle w:val="TableText"/>
              <w:rPr>
                <w:rFonts w:cs="Arial"/>
              </w:rPr>
            </w:pPr>
            <w:r>
              <w:rPr>
                <w:rFonts w:cs="Arial"/>
              </w:rPr>
              <w:t>Modify Unit, Irradiate</w:t>
            </w:r>
          </w:p>
        </w:tc>
        <w:tc>
          <w:tcPr>
            <w:tcW w:w="1080" w:type="dxa"/>
            <w:tcBorders>
              <w:top w:val="single" w:sz="4" w:space="0" w:color="auto"/>
              <w:left w:val="single" w:sz="4" w:space="0" w:color="auto"/>
              <w:bottom w:val="single" w:sz="4" w:space="0" w:color="auto"/>
              <w:right w:val="single" w:sz="4" w:space="0" w:color="auto"/>
            </w:tcBorders>
          </w:tcPr>
          <w:p w14:paraId="7048AA7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C0771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8A486F1"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Irradiate. When a batch of units is irradiated, each unit accrues workload.</w:t>
            </w:r>
          </w:p>
          <w:p w14:paraId="4AD99521"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3D8DE63E" w14:textId="77777777" w:rsidTr="00FA340F">
        <w:trPr>
          <w:cantSplit/>
        </w:trPr>
        <w:tc>
          <w:tcPr>
            <w:tcW w:w="1733" w:type="dxa"/>
            <w:vMerge/>
            <w:tcBorders>
              <w:left w:val="single" w:sz="4" w:space="0" w:color="auto"/>
              <w:right w:val="single" w:sz="4" w:space="0" w:color="auto"/>
            </w:tcBorders>
          </w:tcPr>
          <w:p w14:paraId="29BE7A1E" w14:textId="77777777" w:rsidR="000305DD" w:rsidRPr="00F24972" w:rsidRDefault="000305DD" w:rsidP="000305DD">
            <w:pPr>
              <w:pStyle w:val="TableText"/>
              <w:rPr>
                <w:rFonts w:cs="Arial"/>
              </w:rPr>
            </w:pPr>
          </w:p>
        </w:tc>
        <w:tc>
          <w:tcPr>
            <w:tcW w:w="1592" w:type="dxa"/>
            <w:tcBorders>
              <w:left w:val="single" w:sz="4" w:space="0" w:color="auto"/>
            </w:tcBorders>
          </w:tcPr>
          <w:p w14:paraId="0B5F9A8E" w14:textId="77777777" w:rsidR="000305DD" w:rsidRPr="00F24972" w:rsidRDefault="000305DD" w:rsidP="000305DD">
            <w:pPr>
              <w:pStyle w:val="TableText"/>
              <w:rPr>
                <w:rFonts w:cs="Arial"/>
              </w:rPr>
            </w:pPr>
            <w:r>
              <w:rPr>
                <w:rFonts w:cs="Arial"/>
              </w:rPr>
              <w:t>Invalidate Unit Status, Irradiate</w:t>
            </w:r>
          </w:p>
        </w:tc>
        <w:tc>
          <w:tcPr>
            <w:tcW w:w="1080" w:type="dxa"/>
          </w:tcPr>
          <w:p w14:paraId="6DB90244" w14:textId="77777777" w:rsidR="000305DD" w:rsidRPr="00F24972" w:rsidRDefault="000305DD" w:rsidP="000305DD">
            <w:pPr>
              <w:pStyle w:val="TableText"/>
              <w:rPr>
                <w:rFonts w:cs="Arial"/>
                <w:b/>
              </w:rPr>
            </w:pPr>
            <w:r w:rsidRPr="00F24972">
              <w:rPr>
                <w:rFonts w:cs="Arial"/>
                <w:b/>
              </w:rPr>
              <w:t>Negative</w:t>
            </w:r>
          </w:p>
        </w:tc>
        <w:tc>
          <w:tcPr>
            <w:tcW w:w="900" w:type="dxa"/>
          </w:tcPr>
          <w:p w14:paraId="6D98CBE2" w14:textId="77777777" w:rsidR="000305DD" w:rsidRPr="00F24972" w:rsidRDefault="000305DD" w:rsidP="000305DD">
            <w:pPr>
              <w:pStyle w:val="TableText"/>
              <w:jc w:val="center"/>
              <w:rPr>
                <w:rFonts w:cs="Arial"/>
              </w:rPr>
            </w:pPr>
            <w:r w:rsidRPr="00F24972">
              <w:rPr>
                <w:rFonts w:cs="Arial"/>
              </w:rPr>
              <w:t>U</w:t>
            </w:r>
          </w:p>
        </w:tc>
        <w:tc>
          <w:tcPr>
            <w:tcW w:w="4950" w:type="dxa"/>
          </w:tcPr>
          <w:p w14:paraId="19D28D92"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Irradiate.</w:t>
            </w:r>
          </w:p>
        </w:tc>
      </w:tr>
      <w:tr w:rsidR="000305DD" w:rsidRPr="00F24972" w14:paraId="57CB4E43" w14:textId="77777777" w:rsidTr="00FA340F">
        <w:trPr>
          <w:cantSplit/>
        </w:trPr>
        <w:tc>
          <w:tcPr>
            <w:tcW w:w="1733" w:type="dxa"/>
            <w:vMerge w:val="restart"/>
          </w:tcPr>
          <w:p w14:paraId="07C6A7F4" w14:textId="77777777" w:rsidR="000305DD" w:rsidRPr="00F24972" w:rsidRDefault="000305DD" w:rsidP="000305DD">
            <w:pPr>
              <w:pStyle w:val="TableText"/>
              <w:rPr>
                <w:rFonts w:cs="Arial"/>
              </w:rPr>
            </w:pPr>
            <w:r w:rsidRPr="00F24972">
              <w:rPr>
                <w:rFonts w:cs="Arial"/>
              </w:rPr>
              <w:lastRenderedPageBreak/>
              <w:t>Leukoreduce unit</w:t>
            </w:r>
          </w:p>
        </w:tc>
        <w:tc>
          <w:tcPr>
            <w:tcW w:w="1592" w:type="dxa"/>
          </w:tcPr>
          <w:p w14:paraId="6B25DD6E" w14:textId="77777777" w:rsidR="000305DD" w:rsidRPr="00F24972" w:rsidRDefault="000305DD" w:rsidP="000305DD">
            <w:pPr>
              <w:pStyle w:val="TableText"/>
              <w:rPr>
                <w:rFonts w:cs="Arial"/>
              </w:rPr>
            </w:pPr>
            <w:r>
              <w:rPr>
                <w:rFonts w:cs="Arial"/>
              </w:rPr>
              <w:t>Modify Unit, Leukoreduce</w:t>
            </w:r>
          </w:p>
        </w:tc>
        <w:tc>
          <w:tcPr>
            <w:tcW w:w="1080" w:type="dxa"/>
          </w:tcPr>
          <w:p w14:paraId="26ACC218" w14:textId="77777777" w:rsidR="000305DD" w:rsidRPr="00F24972" w:rsidRDefault="000305DD" w:rsidP="000305DD">
            <w:pPr>
              <w:pStyle w:val="TableText"/>
              <w:rPr>
                <w:rFonts w:cs="Arial"/>
              </w:rPr>
            </w:pPr>
            <w:r w:rsidRPr="00F24972">
              <w:rPr>
                <w:rFonts w:cs="Arial"/>
              </w:rPr>
              <w:t>Positive</w:t>
            </w:r>
          </w:p>
        </w:tc>
        <w:tc>
          <w:tcPr>
            <w:tcW w:w="900" w:type="dxa"/>
          </w:tcPr>
          <w:p w14:paraId="4C9ED362" w14:textId="77777777" w:rsidR="000305DD" w:rsidRPr="00F24972" w:rsidRDefault="000305DD" w:rsidP="000305DD">
            <w:pPr>
              <w:pStyle w:val="TableText"/>
              <w:jc w:val="center"/>
              <w:rPr>
                <w:rFonts w:cs="Arial"/>
              </w:rPr>
            </w:pPr>
            <w:r w:rsidRPr="00F24972">
              <w:rPr>
                <w:rFonts w:cs="Arial"/>
              </w:rPr>
              <w:t>U</w:t>
            </w:r>
          </w:p>
        </w:tc>
        <w:tc>
          <w:tcPr>
            <w:tcW w:w="4950" w:type="dxa"/>
          </w:tcPr>
          <w:p w14:paraId="0420271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Leukoreduce.</w:t>
            </w:r>
          </w:p>
          <w:p w14:paraId="6087E0E3"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155EC3" w14:textId="77777777" w:rsidTr="00FA340F">
        <w:trPr>
          <w:cantSplit/>
        </w:trPr>
        <w:tc>
          <w:tcPr>
            <w:tcW w:w="1733" w:type="dxa"/>
            <w:vMerge/>
            <w:tcBorders>
              <w:bottom w:val="single" w:sz="4" w:space="0" w:color="auto"/>
            </w:tcBorders>
          </w:tcPr>
          <w:p w14:paraId="2D864C76"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43028D5" w14:textId="77777777" w:rsidR="000305DD" w:rsidRPr="00F24972" w:rsidRDefault="000305DD" w:rsidP="000305DD">
            <w:pPr>
              <w:pStyle w:val="TableText"/>
              <w:rPr>
                <w:rFonts w:cs="Arial"/>
              </w:rPr>
            </w:pPr>
            <w:r>
              <w:rPr>
                <w:rFonts w:cs="Arial"/>
              </w:rPr>
              <w:t>Invalidate Unit Status, Leukoreduce</w:t>
            </w:r>
          </w:p>
        </w:tc>
        <w:tc>
          <w:tcPr>
            <w:tcW w:w="1080" w:type="dxa"/>
            <w:tcBorders>
              <w:top w:val="single" w:sz="4" w:space="0" w:color="auto"/>
              <w:left w:val="single" w:sz="4" w:space="0" w:color="auto"/>
              <w:bottom w:val="single" w:sz="4" w:space="0" w:color="auto"/>
              <w:right w:val="single" w:sz="4" w:space="0" w:color="auto"/>
            </w:tcBorders>
          </w:tcPr>
          <w:p w14:paraId="169B1E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57E6BFF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A5F964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Leukoreduce.</w:t>
            </w:r>
          </w:p>
        </w:tc>
      </w:tr>
      <w:tr w:rsidR="000305DD" w:rsidRPr="00F24972" w14:paraId="50C37565" w14:textId="77777777" w:rsidTr="00FA340F">
        <w:trPr>
          <w:cantSplit/>
        </w:trPr>
        <w:tc>
          <w:tcPr>
            <w:tcW w:w="1733" w:type="dxa"/>
            <w:vMerge w:val="restart"/>
          </w:tcPr>
          <w:p w14:paraId="5EE13C6C" w14:textId="77777777" w:rsidR="000305DD" w:rsidRPr="00F24972" w:rsidRDefault="000305DD" w:rsidP="000305DD">
            <w:pPr>
              <w:pStyle w:val="TableText"/>
              <w:rPr>
                <w:rFonts w:cs="Arial"/>
              </w:rPr>
            </w:pPr>
            <w:r w:rsidRPr="00F24972">
              <w:rPr>
                <w:rFonts w:cs="Arial"/>
              </w:rPr>
              <w:t>Split unit</w:t>
            </w:r>
          </w:p>
        </w:tc>
        <w:tc>
          <w:tcPr>
            <w:tcW w:w="1592" w:type="dxa"/>
          </w:tcPr>
          <w:p w14:paraId="01D7F66C" w14:textId="77777777" w:rsidR="000305DD" w:rsidRPr="00F24972" w:rsidRDefault="000305DD" w:rsidP="000305DD">
            <w:pPr>
              <w:pStyle w:val="TableText"/>
              <w:rPr>
                <w:rFonts w:cs="Arial"/>
              </w:rPr>
            </w:pPr>
            <w:r>
              <w:rPr>
                <w:rFonts w:cs="Arial"/>
              </w:rPr>
              <w:t>Modify Unit, Split</w:t>
            </w:r>
          </w:p>
        </w:tc>
        <w:tc>
          <w:tcPr>
            <w:tcW w:w="1080" w:type="dxa"/>
          </w:tcPr>
          <w:p w14:paraId="55153206" w14:textId="77777777" w:rsidR="000305DD" w:rsidRPr="00F24972" w:rsidRDefault="000305DD" w:rsidP="000305DD">
            <w:pPr>
              <w:pStyle w:val="TableText"/>
              <w:rPr>
                <w:rFonts w:cs="Arial"/>
              </w:rPr>
            </w:pPr>
            <w:r w:rsidRPr="00F24972">
              <w:rPr>
                <w:rFonts w:cs="Arial"/>
              </w:rPr>
              <w:t>Positive</w:t>
            </w:r>
          </w:p>
        </w:tc>
        <w:tc>
          <w:tcPr>
            <w:tcW w:w="900" w:type="dxa"/>
          </w:tcPr>
          <w:p w14:paraId="292CF124" w14:textId="77777777" w:rsidR="000305DD" w:rsidRPr="00F24972" w:rsidRDefault="000305DD" w:rsidP="000305DD">
            <w:pPr>
              <w:pStyle w:val="TableText"/>
              <w:jc w:val="center"/>
              <w:rPr>
                <w:rFonts w:cs="Arial"/>
              </w:rPr>
            </w:pPr>
            <w:r w:rsidRPr="00F24972">
              <w:rPr>
                <w:rFonts w:cs="Arial"/>
              </w:rPr>
              <w:t>U</w:t>
            </w:r>
          </w:p>
        </w:tc>
        <w:tc>
          <w:tcPr>
            <w:tcW w:w="4950" w:type="dxa"/>
          </w:tcPr>
          <w:p w14:paraId="3C2BBE35" w14:textId="77777777" w:rsidR="000305DD" w:rsidRPr="00F24972" w:rsidRDefault="000305DD" w:rsidP="000305DD">
            <w:pPr>
              <w:pStyle w:val="TableText"/>
              <w:rPr>
                <w:rFonts w:cs="Arial"/>
              </w:rPr>
            </w:pPr>
            <w:r w:rsidRPr="00F24972">
              <w:rPr>
                <w:rFonts w:cs="Arial"/>
              </w:rPr>
              <w:t>Accrue workload when a unit modification of Split and a single workload event is recorded regardless of the number of units created by the modification.</w:t>
            </w:r>
            <w:r w:rsidRPr="00F24972">
              <w:rPr>
                <w:rFonts w:cs="Arial"/>
                <w:i/>
              </w:rPr>
              <w:t xml:space="preserve"> </w:t>
            </w:r>
          </w:p>
          <w:p w14:paraId="752CBFB5" w14:textId="77777777" w:rsidR="000305DD" w:rsidRPr="00F24972" w:rsidRDefault="000305DD" w:rsidP="000305DD">
            <w:pPr>
              <w:pStyle w:val="TableText"/>
              <w:rPr>
                <w:i/>
                <w:iCs/>
              </w:rPr>
            </w:pPr>
            <w:r w:rsidRPr="00F24972">
              <w:rPr>
                <w:i/>
                <w:iCs/>
              </w:rPr>
              <w:t>Note: Workload is not accrued when a patient assignment is processed and VBECS releases all other patient assignments. Workload is not accrued when VBECS is required to quarantine the unit.</w:t>
            </w:r>
            <w:r w:rsidRPr="00F24972">
              <w:rPr>
                <w:rFonts w:cs="Arial"/>
                <w:i/>
              </w:rPr>
              <w:t xml:space="preserve"> Workload accrued by splitting is invalidated in</w:t>
            </w:r>
            <w:r>
              <w:rPr>
                <w:rFonts w:cs="Arial"/>
                <w:i/>
              </w:rPr>
              <w:t xml:space="preserve"> Remove Final Unit Status</w:t>
            </w:r>
            <w:r w:rsidRPr="00F24972">
              <w:rPr>
                <w:rFonts w:cs="Arial"/>
                <w:i/>
              </w:rPr>
              <w:t xml:space="preserve"> with the inactivation of the modification</w:t>
            </w:r>
          </w:p>
        </w:tc>
      </w:tr>
      <w:tr w:rsidR="000305DD" w:rsidRPr="00F24972" w14:paraId="40542C6F" w14:textId="77777777" w:rsidTr="00FA340F">
        <w:trPr>
          <w:cantSplit/>
        </w:trPr>
        <w:tc>
          <w:tcPr>
            <w:tcW w:w="1733" w:type="dxa"/>
            <w:vMerge/>
            <w:tcBorders>
              <w:bottom w:val="single" w:sz="4" w:space="0" w:color="auto"/>
            </w:tcBorders>
          </w:tcPr>
          <w:p w14:paraId="757B7A3B"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D0D21C5" w14:textId="77777777" w:rsidR="000305DD" w:rsidRPr="00F24972" w:rsidRDefault="000305DD" w:rsidP="000305DD">
            <w:pPr>
              <w:pStyle w:val="TableText"/>
              <w:rPr>
                <w:rFonts w:cs="Arial"/>
              </w:rPr>
            </w:pPr>
            <w:r>
              <w:rPr>
                <w:rFonts w:cs="Arial"/>
              </w:rPr>
              <w:t>Invalidate Unit Status, Split</w:t>
            </w:r>
          </w:p>
        </w:tc>
        <w:tc>
          <w:tcPr>
            <w:tcW w:w="1080" w:type="dxa"/>
            <w:tcBorders>
              <w:top w:val="single" w:sz="4" w:space="0" w:color="auto"/>
              <w:left w:val="single" w:sz="4" w:space="0" w:color="auto"/>
              <w:bottom w:val="single" w:sz="4" w:space="0" w:color="auto"/>
              <w:right w:val="single" w:sz="4" w:space="0" w:color="auto"/>
            </w:tcBorders>
          </w:tcPr>
          <w:p w14:paraId="1BD5519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1A8E613"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78F5247" w14:textId="77777777" w:rsidR="000305DD" w:rsidRPr="00F24972" w:rsidRDefault="000305DD" w:rsidP="000305DD">
            <w:pPr>
              <w:pStyle w:val="TableText"/>
              <w:rPr>
                <w:rFonts w:cs="Arial"/>
              </w:rPr>
            </w:pPr>
            <w:r w:rsidRPr="00F24972">
              <w:rPr>
                <w:rFonts w:cs="Arial"/>
              </w:rPr>
              <w:t>A Split Unit has its unit status invalidated. A single workload event is recorded regardless of the number of units originally created by the modification.</w:t>
            </w:r>
          </w:p>
        </w:tc>
      </w:tr>
      <w:tr w:rsidR="000305DD" w:rsidRPr="00F24972" w14:paraId="03FC875A" w14:textId="77777777" w:rsidTr="00FA340F">
        <w:trPr>
          <w:cantSplit/>
        </w:trPr>
        <w:tc>
          <w:tcPr>
            <w:tcW w:w="1733" w:type="dxa"/>
            <w:vMerge w:val="restart"/>
          </w:tcPr>
          <w:p w14:paraId="78397277" w14:textId="77777777" w:rsidR="000305DD" w:rsidRPr="00F24972" w:rsidRDefault="000305DD" w:rsidP="000305DD">
            <w:pPr>
              <w:pStyle w:val="TableText"/>
              <w:rPr>
                <w:rFonts w:cs="Arial"/>
              </w:rPr>
            </w:pPr>
            <w:r w:rsidRPr="00F24972">
              <w:rPr>
                <w:rFonts w:cs="Arial"/>
              </w:rPr>
              <w:t>Rejuvenate unit</w:t>
            </w:r>
          </w:p>
        </w:tc>
        <w:tc>
          <w:tcPr>
            <w:tcW w:w="1592" w:type="dxa"/>
          </w:tcPr>
          <w:p w14:paraId="4EE93EC2" w14:textId="77777777" w:rsidR="000305DD" w:rsidRPr="00F24972" w:rsidRDefault="000305DD" w:rsidP="000305DD">
            <w:pPr>
              <w:pStyle w:val="TableText"/>
              <w:rPr>
                <w:rFonts w:cs="Arial"/>
              </w:rPr>
            </w:pPr>
            <w:r>
              <w:rPr>
                <w:rFonts w:cs="Arial"/>
              </w:rPr>
              <w:t xml:space="preserve">Modify Unit, </w:t>
            </w:r>
            <w:r w:rsidRPr="00F24972">
              <w:rPr>
                <w:rFonts w:cs="Arial"/>
              </w:rPr>
              <w:t>Rejuvenate</w:t>
            </w:r>
          </w:p>
        </w:tc>
        <w:tc>
          <w:tcPr>
            <w:tcW w:w="1080" w:type="dxa"/>
          </w:tcPr>
          <w:p w14:paraId="6519784F" w14:textId="77777777" w:rsidR="000305DD" w:rsidRPr="00F24972" w:rsidRDefault="000305DD" w:rsidP="000305DD">
            <w:pPr>
              <w:pStyle w:val="TableText"/>
              <w:rPr>
                <w:rFonts w:cs="Arial"/>
              </w:rPr>
            </w:pPr>
            <w:r w:rsidRPr="00F24972">
              <w:rPr>
                <w:rFonts w:cs="Arial"/>
              </w:rPr>
              <w:t>Positive</w:t>
            </w:r>
          </w:p>
        </w:tc>
        <w:tc>
          <w:tcPr>
            <w:tcW w:w="900" w:type="dxa"/>
          </w:tcPr>
          <w:p w14:paraId="1D2954C1" w14:textId="77777777" w:rsidR="000305DD" w:rsidRPr="00F24972" w:rsidRDefault="000305DD" w:rsidP="000305DD">
            <w:pPr>
              <w:pStyle w:val="TableText"/>
              <w:jc w:val="center"/>
              <w:rPr>
                <w:rFonts w:cs="Arial"/>
              </w:rPr>
            </w:pPr>
            <w:r w:rsidRPr="00F24972">
              <w:rPr>
                <w:rFonts w:cs="Arial"/>
              </w:rPr>
              <w:t>U</w:t>
            </w:r>
          </w:p>
        </w:tc>
        <w:tc>
          <w:tcPr>
            <w:tcW w:w="4950" w:type="dxa"/>
          </w:tcPr>
          <w:p w14:paraId="55A532B9" w14:textId="77777777" w:rsidR="000305DD" w:rsidRPr="00F24972" w:rsidRDefault="000305DD" w:rsidP="000305DD">
            <w:pPr>
              <w:pStyle w:val="TableText"/>
              <w:rPr>
                <w:rFonts w:cs="Arial"/>
              </w:rPr>
            </w:pPr>
            <w:r w:rsidRPr="00F24972">
              <w:rPr>
                <w:rFonts w:cs="Arial"/>
              </w:rPr>
              <w:t xml:space="preserve">Accrue workload when an individual blood unit is processed by the modification type: Rejuvenate. </w:t>
            </w:r>
          </w:p>
          <w:p w14:paraId="3D97CF6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02B9E18E" w14:textId="77777777" w:rsidTr="00FA340F">
        <w:trPr>
          <w:cantSplit/>
        </w:trPr>
        <w:tc>
          <w:tcPr>
            <w:tcW w:w="1733" w:type="dxa"/>
            <w:vMerge/>
            <w:tcBorders>
              <w:bottom w:val="single" w:sz="4" w:space="0" w:color="auto"/>
            </w:tcBorders>
          </w:tcPr>
          <w:p w14:paraId="09E12E83" w14:textId="77777777" w:rsidR="000305DD" w:rsidRPr="00F24972" w:rsidRDefault="000305DD" w:rsidP="000305DD">
            <w:pPr>
              <w:pStyle w:val="TableText"/>
              <w:rPr>
                <w:rFonts w:cs="Arial"/>
              </w:rPr>
            </w:pPr>
          </w:p>
        </w:tc>
        <w:tc>
          <w:tcPr>
            <w:tcW w:w="1592" w:type="dxa"/>
            <w:tcBorders>
              <w:bottom w:val="single" w:sz="4" w:space="0" w:color="auto"/>
            </w:tcBorders>
          </w:tcPr>
          <w:p w14:paraId="1EC20E84" w14:textId="77777777" w:rsidR="000305DD" w:rsidRPr="00F24972" w:rsidRDefault="000305DD" w:rsidP="000305DD">
            <w:pPr>
              <w:pStyle w:val="TableText"/>
              <w:rPr>
                <w:rFonts w:cs="Arial"/>
              </w:rPr>
            </w:pPr>
            <w:r>
              <w:rPr>
                <w:rFonts w:cs="Arial"/>
              </w:rPr>
              <w:t xml:space="preserve">Invalidate Unit Status, </w:t>
            </w:r>
            <w:r w:rsidRPr="00F24972">
              <w:rPr>
                <w:rFonts w:cs="Arial"/>
              </w:rPr>
              <w:t>Rejuvenate</w:t>
            </w:r>
          </w:p>
        </w:tc>
        <w:tc>
          <w:tcPr>
            <w:tcW w:w="1080" w:type="dxa"/>
            <w:tcBorders>
              <w:bottom w:val="single" w:sz="4" w:space="0" w:color="auto"/>
            </w:tcBorders>
          </w:tcPr>
          <w:p w14:paraId="15B396E7" w14:textId="77777777" w:rsidR="000305DD" w:rsidRPr="00F24972" w:rsidRDefault="000305DD" w:rsidP="000305DD">
            <w:pPr>
              <w:pStyle w:val="TableText"/>
              <w:rPr>
                <w:rFonts w:cs="Arial"/>
                <w:b/>
              </w:rPr>
            </w:pPr>
            <w:r w:rsidRPr="00F24972">
              <w:rPr>
                <w:rFonts w:cs="Arial"/>
                <w:b/>
              </w:rPr>
              <w:t>Negative</w:t>
            </w:r>
          </w:p>
        </w:tc>
        <w:tc>
          <w:tcPr>
            <w:tcW w:w="900" w:type="dxa"/>
            <w:tcBorders>
              <w:bottom w:val="single" w:sz="4" w:space="0" w:color="auto"/>
            </w:tcBorders>
          </w:tcPr>
          <w:p w14:paraId="25B0D132" w14:textId="77777777" w:rsidR="000305DD" w:rsidRPr="00F24972" w:rsidRDefault="000305DD" w:rsidP="000305DD">
            <w:pPr>
              <w:pStyle w:val="TableText"/>
              <w:jc w:val="center"/>
              <w:rPr>
                <w:rFonts w:cs="Arial"/>
              </w:rPr>
            </w:pPr>
            <w:r w:rsidRPr="00F24972">
              <w:rPr>
                <w:rFonts w:cs="Arial"/>
              </w:rPr>
              <w:t>U</w:t>
            </w:r>
          </w:p>
        </w:tc>
        <w:tc>
          <w:tcPr>
            <w:tcW w:w="4950" w:type="dxa"/>
            <w:tcBorders>
              <w:bottom w:val="single" w:sz="4" w:space="0" w:color="auto"/>
            </w:tcBorders>
          </w:tcPr>
          <w:p w14:paraId="0B562443" w14:textId="77777777" w:rsidR="000305DD" w:rsidRPr="00F24972" w:rsidRDefault="000305DD" w:rsidP="000305DD">
            <w:pPr>
              <w:pStyle w:val="TableText"/>
              <w:rPr>
                <w:rFonts w:cs="Arial"/>
              </w:rPr>
            </w:pPr>
            <w:r w:rsidRPr="00F24972">
              <w:rPr>
                <w:rFonts w:cs="Arial"/>
              </w:rPr>
              <w:t xml:space="preserve">An individual blood unit’s status is invalided when the original modification process was Rejuvenate. </w:t>
            </w:r>
          </w:p>
        </w:tc>
      </w:tr>
      <w:tr w:rsidR="000305DD" w:rsidRPr="00F24972" w14:paraId="522C02AF" w14:textId="77777777" w:rsidTr="00FA340F">
        <w:trPr>
          <w:cantSplit/>
        </w:trPr>
        <w:tc>
          <w:tcPr>
            <w:tcW w:w="1733" w:type="dxa"/>
            <w:vMerge w:val="restart"/>
            <w:tcBorders>
              <w:top w:val="single" w:sz="4" w:space="0" w:color="auto"/>
              <w:left w:val="single" w:sz="4" w:space="0" w:color="auto"/>
              <w:right w:val="single" w:sz="4" w:space="0" w:color="auto"/>
            </w:tcBorders>
          </w:tcPr>
          <w:p w14:paraId="300EB571" w14:textId="77777777" w:rsidR="000305DD" w:rsidRPr="00F24972" w:rsidRDefault="000305DD" w:rsidP="000305DD">
            <w:pPr>
              <w:pStyle w:val="TableText"/>
              <w:rPr>
                <w:rFonts w:cs="Arial"/>
              </w:rPr>
            </w:pPr>
            <w:r w:rsidRPr="00F24972">
              <w:rPr>
                <w:rFonts w:cs="Arial"/>
              </w:rPr>
              <w:t xml:space="preserve">Thaw </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3F537403" w14:textId="77777777" w:rsidR="000305DD" w:rsidRPr="00F24972" w:rsidRDefault="000305DD" w:rsidP="000305DD">
            <w:pPr>
              <w:pStyle w:val="TableText"/>
              <w:rPr>
                <w:rFonts w:cs="Arial"/>
              </w:rPr>
            </w:pPr>
            <w:r>
              <w:rPr>
                <w:rFonts w:cs="Arial"/>
              </w:rPr>
              <w:t>Modify Unit,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967E4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76D51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8DA8E48"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Thaw. When a batch of units is thawed, each unit accrues workload. This applies to Thaw FFP and Thaw Cryo.</w:t>
            </w:r>
          </w:p>
          <w:p w14:paraId="6391245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72D9B9BF" w14:textId="77777777" w:rsidTr="00FA340F">
        <w:trPr>
          <w:cantSplit/>
        </w:trPr>
        <w:tc>
          <w:tcPr>
            <w:tcW w:w="1733" w:type="dxa"/>
            <w:vMerge/>
            <w:tcBorders>
              <w:left w:val="single" w:sz="4" w:space="0" w:color="auto"/>
              <w:bottom w:val="single" w:sz="4" w:space="0" w:color="auto"/>
              <w:right w:val="single" w:sz="4" w:space="0" w:color="auto"/>
            </w:tcBorders>
          </w:tcPr>
          <w:p w14:paraId="7D6FCEAF"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45590AFB" w14:textId="77777777" w:rsidR="000305DD" w:rsidRPr="00F24972" w:rsidRDefault="000305DD" w:rsidP="000305DD">
            <w:pPr>
              <w:pStyle w:val="TableText"/>
              <w:rPr>
                <w:rFonts w:cs="Arial"/>
              </w:rPr>
            </w:pPr>
            <w:r>
              <w:rPr>
                <w:rFonts w:cs="Arial"/>
              </w:rPr>
              <w:t>Invalidate Unit Status,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071F52"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4941FE"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5755F67"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Thaw. This modification type is applicable to Thaw FFP and Thaw Cryo.</w:t>
            </w:r>
          </w:p>
        </w:tc>
      </w:tr>
      <w:tr w:rsidR="000305DD" w:rsidRPr="00F24972" w14:paraId="7963219B" w14:textId="77777777" w:rsidTr="00FA340F">
        <w:trPr>
          <w:cantSplit/>
        </w:trPr>
        <w:tc>
          <w:tcPr>
            <w:tcW w:w="1733" w:type="dxa"/>
            <w:vMerge w:val="restart"/>
            <w:tcBorders>
              <w:top w:val="single" w:sz="4" w:space="0" w:color="auto"/>
              <w:left w:val="single" w:sz="4" w:space="0" w:color="auto"/>
              <w:right w:val="single" w:sz="4" w:space="0" w:color="auto"/>
            </w:tcBorders>
          </w:tcPr>
          <w:p w14:paraId="25B7D198" w14:textId="77777777" w:rsidR="000305DD" w:rsidRPr="00F24972" w:rsidRDefault="000305DD" w:rsidP="000305DD">
            <w:pPr>
              <w:pStyle w:val="TableText"/>
              <w:rPr>
                <w:rFonts w:cs="Arial"/>
              </w:rPr>
            </w:pPr>
            <w:r w:rsidRPr="00F24972">
              <w:rPr>
                <w:rFonts w:cs="Arial"/>
              </w:rPr>
              <w:t>Wash unit</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17F07BC7" w14:textId="77777777" w:rsidR="000305DD" w:rsidRPr="00F24972" w:rsidRDefault="000305DD" w:rsidP="000305DD">
            <w:pPr>
              <w:pStyle w:val="TableText"/>
              <w:rPr>
                <w:rFonts w:cs="Arial"/>
              </w:rPr>
            </w:pPr>
            <w:r>
              <w:rPr>
                <w:rFonts w:cs="Arial"/>
              </w:rPr>
              <w:t>Modify Unit,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C946A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A93C54"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627C487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Wash.</w:t>
            </w:r>
          </w:p>
          <w:p w14:paraId="54F5EBC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B5A55BD" w14:textId="77777777" w:rsidTr="00FA340F">
        <w:trPr>
          <w:cantSplit/>
        </w:trPr>
        <w:tc>
          <w:tcPr>
            <w:tcW w:w="1733" w:type="dxa"/>
            <w:vMerge/>
            <w:tcBorders>
              <w:left w:val="single" w:sz="4" w:space="0" w:color="auto"/>
              <w:bottom w:val="single" w:sz="4" w:space="0" w:color="auto"/>
              <w:right w:val="single" w:sz="4" w:space="0" w:color="auto"/>
            </w:tcBorders>
          </w:tcPr>
          <w:p w14:paraId="6B0D423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76B27BEA" w14:textId="77777777" w:rsidR="000305DD" w:rsidRPr="00F24972" w:rsidRDefault="000305DD" w:rsidP="000305DD">
            <w:pPr>
              <w:pStyle w:val="TableText"/>
              <w:rPr>
                <w:rFonts w:cs="Arial"/>
              </w:rPr>
            </w:pPr>
            <w:r>
              <w:rPr>
                <w:rFonts w:cs="Arial"/>
              </w:rPr>
              <w:t>Invalidate Unit Status,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48BFE9"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9F729E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7A0E8D94"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Wash.</w:t>
            </w:r>
          </w:p>
        </w:tc>
      </w:tr>
      <w:tr w:rsidR="000305DD" w:rsidRPr="00F24972" w14:paraId="19B03F3F" w14:textId="77777777" w:rsidTr="00FA340F">
        <w:trPr>
          <w:cantSplit/>
        </w:trPr>
        <w:tc>
          <w:tcPr>
            <w:tcW w:w="1733" w:type="dxa"/>
            <w:vMerge w:val="restart"/>
            <w:tcBorders>
              <w:left w:val="single" w:sz="4" w:space="0" w:color="auto"/>
              <w:right w:val="single" w:sz="4" w:space="0" w:color="auto"/>
            </w:tcBorders>
          </w:tcPr>
          <w:p w14:paraId="7397E795" w14:textId="77777777" w:rsidR="000305DD" w:rsidRPr="00F24972" w:rsidRDefault="000305DD" w:rsidP="000305DD">
            <w:pPr>
              <w:pStyle w:val="TableText"/>
              <w:rPr>
                <w:rFonts w:cs="Arial"/>
              </w:rPr>
            </w:pPr>
            <w:r w:rsidRPr="00F24972">
              <w:rPr>
                <w:rFonts w:cs="Arial"/>
              </w:rPr>
              <w:lastRenderedPageBreak/>
              <w:t>Volume Reduce</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59C3A9D" w14:textId="77777777" w:rsidR="000305DD" w:rsidRPr="00F24972" w:rsidRDefault="000305DD" w:rsidP="000305DD">
            <w:pPr>
              <w:pStyle w:val="TableText"/>
              <w:rPr>
                <w:rFonts w:cs="Arial"/>
              </w:rPr>
            </w:pPr>
            <w:r>
              <w:rPr>
                <w:rFonts w:cs="Arial"/>
              </w:rPr>
              <w:t>Modify Unit,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8159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5AF87F"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2FC23A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Volume Reduce.</w:t>
            </w:r>
          </w:p>
          <w:p w14:paraId="1DEFF5AA"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ECCEB72" w14:textId="77777777" w:rsidTr="00FA340F">
        <w:trPr>
          <w:cantSplit/>
        </w:trPr>
        <w:tc>
          <w:tcPr>
            <w:tcW w:w="1733" w:type="dxa"/>
            <w:vMerge/>
            <w:tcBorders>
              <w:left w:val="single" w:sz="4" w:space="0" w:color="auto"/>
              <w:bottom w:val="single" w:sz="4" w:space="0" w:color="auto"/>
              <w:right w:val="single" w:sz="4" w:space="0" w:color="auto"/>
            </w:tcBorders>
          </w:tcPr>
          <w:p w14:paraId="19771F1E"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09F18377" w14:textId="77777777" w:rsidR="000305DD" w:rsidRPr="00F24972" w:rsidRDefault="000305DD" w:rsidP="000305DD">
            <w:pPr>
              <w:pStyle w:val="TableText"/>
              <w:rPr>
                <w:rFonts w:cs="Arial"/>
              </w:rPr>
            </w:pPr>
            <w:r>
              <w:rPr>
                <w:rFonts w:cs="Arial"/>
              </w:rPr>
              <w:t>Invalidate Unit Status,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4D1D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66758B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5C26C98"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Volume Reduce.</w:t>
            </w:r>
          </w:p>
        </w:tc>
      </w:tr>
      <w:tr w:rsidR="000305DD" w:rsidRPr="00F24972" w14:paraId="5337A1DF"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671414B" w14:textId="77777777" w:rsidR="000305DD" w:rsidRPr="00F24972" w:rsidRDefault="000305DD" w:rsidP="000305DD">
            <w:pPr>
              <w:pStyle w:val="TableText"/>
              <w:rPr>
                <w:rFonts w:cs="Arial"/>
              </w:rPr>
            </w:pPr>
            <w:r w:rsidRPr="00F24972">
              <w:rPr>
                <w:rFonts w:cs="Arial"/>
              </w:rPr>
              <w:t>Issue unit</w:t>
            </w:r>
          </w:p>
        </w:tc>
        <w:tc>
          <w:tcPr>
            <w:tcW w:w="1592" w:type="dxa"/>
            <w:tcBorders>
              <w:top w:val="single" w:sz="4" w:space="0" w:color="auto"/>
              <w:left w:val="single" w:sz="4" w:space="0" w:color="auto"/>
              <w:bottom w:val="single" w:sz="4" w:space="0" w:color="auto"/>
              <w:right w:val="single" w:sz="4" w:space="0" w:color="auto"/>
            </w:tcBorders>
          </w:tcPr>
          <w:p w14:paraId="31E29BA9" w14:textId="77777777" w:rsidR="000305DD" w:rsidRPr="00F24972" w:rsidRDefault="000305DD" w:rsidP="000305DD">
            <w:pPr>
              <w:pStyle w:val="TableText"/>
              <w:rPr>
                <w:rFonts w:cs="Arial"/>
              </w:rPr>
            </w:pPr>
            <w:r>
              <w:rPr>
                <w:rFonts w:cs="Arial"/>
              </w:rPr>
              <w:t>Issue Blood Unit</w:t>
            </w:r>
          </w:p>
          <w:p w14:paraId="5D7A6BD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3C875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F3FCDEE"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DCBEC5E" w14:textId="77777777" w:rsidR="000305DD" w:rsidRPr="00F24972" w:rsidRDefault="000305DD" w:rsidP="000305DD">
            <w:pPr>
              <w:pStyle w:val="TableText"/>
              <w:rPr>
                <w:rFonts w:cs="Arial"/>
              </w:rPr>
            </w:pPr>
            <w:r w:rsidRPr="00F24972">
              <w:rPr>
                <w:rFonts w:cs="Arial"/>
              </w:rPr>
              <w:t>Accrue workload when a unit (row) is issued or is returned from issue to a patient. When a batch of units is processed, each unit invokes one workload process.</w:t>
            </w:r>
          </w:p>
        </w:tc>
      </w:tr>
      <w:tr w:rsidR="000305DD" w:rsidRPr="00F24972" w14:paraId="16800F1B" w14:textId="77777777" w:rsidTr="00FA340F">
        <w:trPr>
          <w:cantSplit/>
        </w:trPr>
        <w:tc>
          <w:tcPr>
            <w:tcW w:w="1733" w:type="dxa"/>
          </w:tcPr>
          <w:p w14:paraId="1849CC0B" w14:textId="77777777" w:rsidR="000305DD" w:rsidRPr="00F24972" w:rsidRDefault="000305DD" w:rsidP="000305DD">
            <w:pPr>
              <w:pStyle w:val="TableText"/>
              <w:rPr>
                <w:rFonts w:cs="Arial"/>
                <w:color w:val="3366FF"/>
              </w:rPr>
            </w:pPr>
            <w:r w:rsidRPr="00F24972">
              <w:rPr>
                <w:rFonts w:cs="Arial"/>
              </w:rPr>
              <w:t>Justification</w:t>
            </w:r>
          </w:p>
        </w:tc>
        <w:tc>
          <w:tcPr>
            <w:tcW w:w="1592" w:type="dxa"/>
          </w:tcPr>
          <w:p w14:paraId="62258847" w14:textId="77777777" w:rsidR="000305DD" w:rsidRPr="00F24972" w:rsidRDefault="000305DD" w:rsidP="000305DD">
            <w:pPr>
              <w:pStyle w:val="TableText"/>
              <w:rPr>
                <w:rFonts w:cs="Arial"/>
                <w:snapToGrid w:val="0"/>
              </w:rPr>
            </w:pPr>
            <w:r>
              <w:rPr>
                <w:rFonts w:cs="Arial"/>
                <w:snapToGrid w:val="0"/>
              </w:rPr>
              <w:t>Justify ABO/Rh Change</w:t>
            </w:r>
          </w:p>
        </w:tc>
        <w:tc>
          <w:tcPr>
            <w:tcW w:w="1080" w:type="dxa"/>
          </w:tcPr>
          <w:p w14:paraId="54E9F42B" w14:textId="77777777" w:rsidR="000305DD" w:rsidRPr="00F24972" w:rsidRDefault="000305DD" w:rsidP="000305DD">
            <w:pPr>
              <w:pStyle w:val="TableText"/>
              <w:rPr>
                <w:rFonts w:cs="Arial"/>
              </w:rPr>
            </w:pPr>
            <w:r w:rsidRPr="00F24972">
              <w:rPr>
                <w:rFonts w:cs="Arial"/>
              </w:rPr>
              <w:t>Positive</w:t>
            </w:r>
          </w:p>
        </w:tc>
        <w:tc>
          <w:tcPr>
            <w:tcW w:w="900" w:type="dxa"/>
          </w:tcPr>
          <w:p w14:paraId="2E48F070" w14:textId="77777777" w:rsidR="000305DD" w:rsidRPr="00F24972" w:rsidRDefault="000305DD" w:rsidP="000305DD">
            <w:pPr>
              <w:pStyle w:val="TableText"/>
              <w:jc w:val="center"/>
              <w:rPr>
                <w:rFonts w:cs="Arial"/>
              </w:rPr>
            </w:pPr>
            <w:r w:rsidRPr="00F24972">
              <w:rPr>
                <w:rFonts w:cs="Arial"/>
              </w:rPr>
              <w:t>M</w:t>
            </w:r>
          </w:p>
        </w:tc>
        <w:tc>
          <w:tcPr>
            <w:tcW w:w="4950" w:type="dxa"/>
          </w:tcPr>
          <w:p w14:paraId="3F3CB1DC" w14:textId="77777777" w:rsidR="000305DD" w:rsidRPr="00F24972" w:rsidRDefault="000305DD" w:rsidP="000305DD">
            <w:pPr>
              <w:pStyle w:val="TableText"/>
              <w:rPr>
                <w:rFonts w:cs="Arial"/>
              </w:rPr>
            </w:pPr>
            <w:r w:rsidRPr="00F24972">
              <w:rPr>
                <w:rFonts w:cs="Arial"/>
              </w:rPr>
              <w:t>Workload is accrued when a patient’s ABO or Rh typing is justified.</w:t>
            </w:r>
            <w:r>
              <w:rPr>
                <w:rFonts w:cs="Arial"/>
              </w:rPr>
              <w:t xml:space="preserve"> </w:t>
            </w:r>
            <w:r w:rsidRPr="00F24972">
              <w:rPr>
                <w:rFonts w:cs="Arial"/>
              </w:rPr>
              <w:t>One workload event per patient justification.</w:t>
            </w:r>
          </w:p>
        </w:tc>
      </w:tr>
      <w:tr w:rsidR="000305DD" w:rsidRPr="00F24972" w14:paraId="5AB29901" w14:textId="77777777" w:rsidTr="00FA340F">
        <w:trPr>
          <w:cantSplit/>
        </w:trPr>
        <w:tc>
          <w:tcPr>
            <w:tcW w:w="1733" w:type="dxa"/>
          </w:tcPr>
          <w:p w14:paraId="49D02B8A" w14:textId="77777777" w:rsidR="000305DD" w:rsidRPr="00F24972" w:rsidRDefault="000305DD" w:rsidP="000305DD">
            <w:pPr>
              <w:pStyle w:val="TableText"/>
              <w:rPr>
                <w:rFonts w:cs="Arial"/>
              </w:rPr>
            </w:pPr>
            <w:r w:rsidRPr="00F24972">
              <w:rPr>
                <w:rFonts w:cs="Arial"/>
              </w:rPr>
              <w:t>Login Equipment</w:t>
            </w:r>
          </w:p>
        </w:tc>
        <w:tc>
          <w:tcPr>
            <w:tcW w:w="1592" w:type="dxa"/>
          </w:tcPr>
          <w:p w14:paraId="522337D4" w14:textId="77777777" w:rsidR="000305DD" w:rsidRPr="00F24972" w:rsidRDefault="000305DD" w:rsidP="000305DD">
            <w:pPr>
              <w:pStyle w:val="TableText"/>
              <w:rPr>
                <w:rFonts w:cs="Arial"/>
              </w:rPr>
            </w:pPr>
            <w:r>
              <w:rPr>
                <w:rFonts w:cs="Arial"/>
                <w:snapToGrid w:val="0"/>
              </w:rPr>
              <w:t>Equipment, Login</w:t>
            </w:r>
            <w:r w:rsidRPr="00F24972">
              <w:rPr>
                <w:rFonts w:cs="Arial"/>
                <w:snapToGrid w:val="0"/>
              </w:rPr>
              <w:t xml:space="preserve"> </w:t>
            </w:r>
          </w:p>
        </w:tc>
        <w:tc>
          <w:tcPr>
            <w:tcW w:w="1080" w:type="dxa"/>
          </w:tcPr>
          <w:p w14:paraId="2C21B308" w14:textId="77777777" w:rsidR="000305DD" w:rsidRPr="00F24972" w:rsidRDefault="000305DD" w:rsidP="000305DD">
            <w:pPr>
              <w:pStyle w:val="TableText"/>
              <w:rPr>
                <w:rFonts w:cs="Arial"/>
              </w:rPr>
            </w:pPr>
            <w:r w:rsidRPr="00F24972">
              <w:rPr>
                <w:rFonts w:cs="Arial"/>
              </w:rPr>
              <w:t>Positive</w:t>
            </w:r>
          </w:p>
        </w:tc>
        <w:tc>
          <w:tcPr>
            <w:tcW w:w="900" w:type="dxa"/>
          </w:tcPr>
          <w:p w14:paraId="23DE0CC7" w14:textId="77777777" w:rsidR="000305DD" w:rsidRPr="00F24972" w:rsidRDefault="000305DD" w:rsidP="000305DD">
            <w:pPr>
              <w:pStyle w:val="TableText"/>
              <w:jc w:val="center"/>
              <w:rPr>
                <w:rFonts w:cs="Arial"/>
              </w:rPr>
            </w:pPr>
            <w:r w:rsidRPr="00F24972">
              <w:rPr>
                <w:rFonts w:cs="Arial"/>
              </w:rPr>
              <w:t>M</w:t>
            </w:r>
          </w:p>
        </w:tc>
        <w:tc>
          <w:tcPr>
            <w:tcW w:w="4950" w:type="dxa"/>
          </w:tcPr>
          <w:p w14:paraId="189D0417" w14:textId="77777777" w:rsidR="000305DD" w:rsidRPr="00F24972" w:rsidRDefault="000305DD" w:rsidP="000305DD">
            <w:pPr>
              <w:pStyle w:val="TableText"/>
              <w:rPr>
                <w:rFonts w:cs="Arial"/>
              </w:rPr>
            </w:pPr>
            <w:r w:rsidRPr="00F24972">
              <w:rPr>
                <w:rFonts w:cs="Arial"/>
              </w:rPr>
              <w:t>Accrue workload when a lot number of any type of equipment is logged into the system.</w:t>
            </w:r>
            <w:r>
              <w:rPr>
                <w:rFonts w:cs="Arial"/>
              </w:rPr>
              <w:t xml:space="preserve"> </w:t>
            </w:r>
          </w:p>
        </w:tc>
      </w:tr>
      <w:tr w:rsidR="000305DD" w:rsidRPr="00F24972" w14:paraId="0205DC5A" w14:textId="77777777" w:rsidTr="00FA340F">
        <w:trPr>
          <w:cantSplit/>
        </w:trPr>
        <w:tc>
          <w:tcPr>
            <w:tcW w:w="1733" w:type="dxa"/>
          </w:tcPr>
          <w:p w14:paraId="10A4B37A" w14:textId="77777777" w:rsidR="000305DD" w:rsidRPr="00F24972" w:rsidRDefault="000305DD" w:rsidP="000305DD">
            <w:pPr>
              <w:pStyle w:val="TableText"/>
              <w:rPr>
                <w:rFonts w:cs="Arial"/>
              </w:rPr>
            </w:pPr>
            <w:r w:rsidRPr="00F24972">
              <w:rPr>
                <w:rFonts w:cs="Arial"/>
              </w:rPr>
              <w:t>Login Reagent</w:t>
            </w:r>
          </w:p>
        </w:tc>
        <w:tc>
          <w:tcPr>
            <w:tcW w:w="1592" w:type="dxa"/>
          </w:tcPr>
          <w:p w14:paraId="19860951" w14:textId="77777777" w:rsidR="000305DD" w:rsidRPr="00F24972" w:rsidRDefault="000305DD" w:rsidP="000305DD">
            <w:pPr>
              <w:pStyle w:val="TableText"/>
              <w:rPr>
                <w:rFonts w:cs="Arial"/>
              </w:rPr>
            </w:pPr>
            <w:r>
              <w:rPr>
                <w:rFonts w:cs="Arial"/>
                <w:snapToGrid w:val="0"/>
              </w:rPr>
              <w:t>Reagent, Login</w:t>
            </w:r>
            <w:r w:rsidRPr="00F24972">
              <w:rPr>
                <w:rFonts w:cs="Arial"/>
                <w:snapToGrid w:val="0"/>
              </w:rPr>
              <w:t xml:space="preserve"> </w:t>
            </w:r>
          </w:p>
        </w:tc>
        <w:tc>
          <w:tcPr>
            <w:tcW w:w="1080" w:type="dxa"/>
          </w:tcPr>
          <w:p w14:paraId="46203288" w14:textId="77777777" w:rsidR="000305DD" w:rsidRPr="00F24972" w:rsidRDefault="000305DD" w:rsidP="000305DD">
            <w:pPr>
              <w:pStyle w:val="TableText"/>
              <w:rPr>
                <w:rFonts w:cs="Arial"/>
              </w:rPr>
            </w:pPr>
            <w:r w:rsidRPr="00F24972">
              <w:rPr>
                <w:rFonts w:cs="Arial"/>
              </w:rPr>
              <w:t>Positive</w:t>
            </w:r>
          </w:p>
        </w:tc>
        <w:tc>
          <w:tcPr>
            <w:tcW w:w="900" w:type="dxa"/>
          </w:tcPr>
          <w:p w14:paraId="5C3F5788" w14:textId="77777777" w:rsidR="000305DD" w:rsidRPr="00F24972" w:rsidRDefault="000305DD" w:rsidP="000305DD">
            <w:pPr>
              <w:pStyle w:val="TableText"/>
              <w:jc w:val="center"/>
              <w:rPr>
                <w:rFonts w:cs="Arial"/>
              </w:rPr>
            </w:pPr>
            <w:r w:rsidRPr="00F24972">
              <w:rPr>
                <w:rFonts w:cs="Arial"/>
              </w:rPr>
              <w:t>M</w:t>
            </w:r>
          </w:p>
        </w:tc>
        <w:tc>
          <w:tcPr>
            <w:tcW w:w="4950" w:type="dxa"/>
          </w:tcPr>
          <w:p w14:paraId="050DEB3B" w14:textId="77777777" w:rsidR="000305DD" w:rsidRPr="00F24972" w:rsidRDefault="000305DD" w:rsidP="000305DD">
            <w:pPr>
              <w:pStyle w:val="TableText"/>
              <w:rPr>
                <w:rFonts w:cs="Arial"/>
              </w:rPr>
            </w:pPr>
            <w:r w:rsidRPr="00F24972">
              <w:rPr>
                <w:rFonts w:cs="Arial"/>
              </w:rPr>
              <w:t>Accrue workload when a lot number of any type of reagent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D59824B" w14:textId="77777777" w:rsidTr="00FA340F">
        <w:trPr>
          <w:cantSplit/>
        </w:trPr>
        <w:tc>
          <w:tcPr>
            <w:tcW w:w="1733" w:type="dxa"/>
          </w:tcPr>
          <w:p w14:paraId="35E318BA" w14:textId="77777777" w:rsidR="000305DD" w:rsidRPr="00F24972" w:rsidRDefault="000305DD" w:rsidP="000305DD">
            <w:pPr>
              <w:pStyle w:val="TableText"/>
              <w:rPr>
                <w:rFonts w:cs="Arial"/>
              </w:rPr>
            </w:pPr>
            <w:r w:rsidRPr="00F24972">
              <w:rPr>
                <w:rFonts w:cs="Arial"/>
              </w:rPr>
              <w:t>Login Supply</w:t>
            </w:r>
          </w:p>
        </w:tc>
        <w:tc>
          <w:tcPr>
            <w:tcW w:w="1592" w:type="dxa"/>
          </w:tcPr>
          <w:p w14:paraId="64385B9B" w14:textId="77777777" w:rsidR="000305DD" w:rsidRPr="00F24972" w:rsidRDefault="000305DD" w:rsidP="000305DD">
            <w:pPr>
              <w:pStyle w:val="TableText"/>
              <w:rPr>
                <w:rFonts w:cs="Arial"/>
              </w:rPr>
            </w:pPr>
            <w:r>
              <w:rPr>
                <w:rFonts w:cs="Arial"/>
                <w:snapToGrid w:val="0"/>
              </w:rPr>
              <w:t>Supply, Login</w:t>
            </w:r>
          </w:p>
        </w:tc>
        <w:tc>
          <w:tcPr>
            <w:tcW w:w="1080" w:type="dxa"/>
          </w:tcPr>
          <w:p w14:paraId="611F3774" w14:textId="77777777" w:rsidR="000305DD" w:rsidRPr="00F24972" w:rsidRDefault="000305DD" w:rsidP="000305DD">
            <w:pPr>
              <w:pStyle w:val="TableText"/>
              <w:rPr>
                <w:rFonts w:cs="Arial"/>
              </w:rPr>
            </w:pPr>
            <w:r w:rsidRPr="00F24972">
              <w:rPr>
                <w:rFonts w:cs="Arial"/>
              </w:rPr>
              <w:t>Positive</w:t>
            </w:r>
          </w:p>
        </w:tc>
        <w:tc>
          <w:tcPr>
            <w:tcW w:w="900" w:type="dxa"/>
          </w:tcPr>
          <w:p w14:paraId="059F376F" w14:textId="77777777" w:rsidR="000305DD" w:rsidRPr="00F24972" w:rsidRDefault="000305DD" w:rsidP="000305DD">
            <w:pPr>
              <w:pStyle w:val="TableText"/>
              <w:jc w:val="center"/>
              <w:rPr>
                <w:rFonts w:cs="Arial"/>
              </w:rPr>
            </w:pPr>
            <w:r w:rsidRPr="00F24972">
              <w:rPr>
                <w:rFonts w:cs="Arial"/>
              </w:rPr>
              <w:t>M</w:t>
            </w:r>
          </w:p>
        </w:tc>
        <w:tc>
          <w:tcPr>
            <w:tcW w:w="4950" w:type="dxa"/>
          </w:tcPr>
          <w:p w14:paraId="481E4C14" w14:textId="77777777" w:rsidR="000305DD" w:rsidRPr="00F24972" w:rsidRDefault="000305DD" w:rsidP="000305DD">
            <w:pPr>
              <w:pStyle w:val="TableText"/>
              <w:rPr>
                <w:rFonts w:cs="Arial"/>
              </w:rPr>
            </w:pPr>
            <w:r w:rsidRPr="00F24972">
              <w:rPr>
                <w:rFonts w:cs="Arial"/>
              </w:rPr>
              <w:t>Accrue workload when a lot number of any type of supply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F51D775"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7DE847B7" w14:textId="77777777" w:rsidR="000305DD" w:rsidRPr="00F24972" w:rsidRDefault="000305DD" w:rsidP="000305DD">
            <w:pPr>
              <w:pStyle w:val="TableText"/>
              <w:rPr>
                <w:rFonts w:cs="Arial"/>
              </w:rPr>
            </w:pPr>
            <w:r w:rsidRPr="00F24972">
              <w:rPr>
                <w:rFonts w:cs="Arial"/>
              </w:rPr>
              <w:t>Maintain Specimen</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53143AD4" w14:textId="77777777" w:rsidR="000305DD" w:rsidRPr="00F24972" w:rsidRDefault="000305DD" w:rsidP="000305DD">
            <w:pPr>
              <w:pStyle w:val="TableText"/>
              <w:rPr>
                <w:rFonts w:cs="Arial"/>
              </w:rPr>
            </w:pPr>
            <w:r>
              <w:rPr>
                <w:rFonts w:cs="Arial"/>
              </w:rPr>
              <w:t>Maintain Specimen</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A21C0E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BF1B78F"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31B9C6D" w14:textId="77777777" w:rsidR="000305DD" w:rsidRPr="00F24972" w:rsidRDefault="000305DD" w:rsidP="000305DD">
            <w:pPr>
              <w:pStyle w:val="TableText"/>
              <w:rPr>
                <w:rFonts w:cs="Arial"/>
              </w:rPr>
            </w:pPr>
            <w:r w:rsidRPr="00F24972">
              <w:rPr>
                <w:rFonts w:cs="Arial"/>
              </w:rPr>
              <w:t>Accrue workload when a specimen is maintained during order acceptance when a specimen is requirement for the order.</w:t>
            </w:r>
          </w:p>
          <w:p w14:paraId="654CD344" w14:textId="77777777" w:rsidR="000305DD" w:rsidRPr="00F24972" w:rsidRDefault="000305DD" w:rsidP="000305DD">
            <w:pPr>
              <w:pStyle w:val="TableText"/>
              <w:rPr>
                <w:rFonts w:cs="Arial"/>
              </w:rPr>
            </w:pPr>
            <w:r w:rsidRPr="00F24972">
              <w:rPr>
                <w:rFonts w:cs="Arial"/>
              </w:rPr>
              <w:t xml:space="preserve">Note: This event is accrued when the specimen is maintained in </w:t>
            </w:r>
            <w:r>
              <w:rPr>
                <w:rFonts w:cs="Arial"/>
              </w:rPr>
              <w:t>Maintain Specimen</w:t>
            </w:r>
            <w:r w:rsidRPr="00F24972">
              <w:rPr>
                <w:rFonts w:cs="Arial"/>
              </w:rPr>
              <w:t xml:space="preserve">. This is collected in addition to the accept order workload accrued by </w:t>
            </w:r>
            <w:r>
              <w:rPr>
                <w:rFonts w:cs="Arial"/>
              </w:rPr>
              <w:t>Accept Order</w:t>
            </w:r>
            <w:r w:rsidRPr="00F24972">
              <w:rPr>
                <w:rFonts w:cs="Arial"/>
              </w:rPr>
              <w:t>. Marking a specimen unacceptable does not create a negative workload event.</w:t>
            </w:r>
          </w:p>
        </w:tc>
      </w:tr>
      <w:tr w:rsidR="000305DD" w:rsidRPr="00F24972" w14:paraId="76E96DE5" w14:textId="77777777" w:rsidTr="00FA340F">
        <w:trPr>
          <w:cantSplit/>
        </w:trPr>
        <w:tc>
          <w:tcPr>
            <w:tcW w:w="1733" w:type="dxa"/>
            <w:vMerge w:val="restart"/>
          </w:tcPr>
          <w:p w14:paraId="11C371BB" w14:textId="77777777" w:rsidR="000305DD" w:rsidRPr="00BF10B2" w:rsidRDefault="000305DD" w:rsidP="000305DD">
            <w:pPr>
              <w:pStyle w:val="TableText"/>
              <w:rPr>
                <w:rFonts w:cs="Arial"/>
              </w:rPr>
            </w:pPr>
            <w:r w:rsidRPr="00BF10B2">
              <w:rPr>
                <w:rFonts w:cs="Arial"/>
              </w:rPr>
              <w:t>Patient antigen phenotype (multiple phases)</w:t>
            </w:r>
          </w:p>
        </w:tc>
        <w:tc>
          <w:tcPr>
            <w:tcW w:w="1592" w:type="dxa"/>
          </w:tcPr>
          <w:p w14:paraId="11EEDEB0" w14:textId="77777777" w:rsidR="000305DD" w:rsidRPr="00F24972" w:rsidRDefault="000305DD" w:rsidP="000305DD">
            <w:pPr>
              <w:pStyle w:val="TableText"/>
              <w:rPr>
                <w:rFonts w:cs="Arial"/>
              </w:rPr>
            </w:pPr>
            <w:r>
              <w:rPr>
                <w:rFonts w:cs="Arial"/>
              </w:rPr>
              <w:t>Patient Antigen typing</w:t>
            </w:r>
          </w:p>
          <w:p w14:paraId="13E1D1EB" w14:textId="77777777" w:rsidR="000305DD" w:rsidRPr="00F24972" w:rsidRDefault="000305DD" w:rsidP="000305DD">
            <w:pPr>
              <w:pStyle w:val="TableText"/>
              <w:rPr>
                <w:rFonts w:cs="Arial"/>
              </w:rPr>
            </w:pPr>
          </w:p>
        </w:tc>
        <w:tc>
          <w:tcPr>
            <w:tcW w:w="1080" w:type="dxa"/>
          </w:tcPr>
          <w:p w14:paraId="593EDEE4" w14:textId="77777777" w:rsidR="000305DD" w:rsidRPr="00F24972" w:rsidRDefault="000305DD" w:rsidP="000305DD">
            <w:pPr>
              <w:pStyle w:val="TableText"/>
              <w:rPr>
                <w:rFonts w:cs="Arial"/>
              </w:rPr>
            </w:pPr>
            <w:r w:rsidRPr="00F24972">
              <w:rPr>
                <w:rFonts w:cs="Arial"/>
              </w:rPr>
              <w:t>Positive</w:t>
            </w:r>
          </w:p>
        </w:tc>
        <w:tc>
          <w:tcPr>
            <w:tcW w:w="900" w:type="dxa"/>
          </w:tcPr>
          <w:p w14:paraId="5BF9A559" w14:textId="77777777" w:rsidR="000305DD" w:rsidRPr="00F24972" w:rsidRDefault="000305DD" w:rsidP="000305DD">
            <w:pPr>
              <w:pStyle w:val="TableText"/>
              <w:jc w:val="center"/>
              <w:rPr>
                <w:rFonts w:cs="Arial"/>
              </w:rPr>
            </w:pPr>
            <w:r w:rsidRPr="00F24972">
              <w:rPr>
                <w:rFonts w:cs="Arial"/>
              </w:rPr>
              <w:t>P</w:t>
            </w:r>
          </w:p>
        </w:tc>
        <w:tc>
          <w:tcPr>
            <w:tcW w:w="4950" w:type="dxa"/>
          </w:tcPr>
          <w:p w14:paraId="13491CFA"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IS/RT or IS/37 phases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09CFEF9A" w14:textId="77777777" w:rsidTr="00FA340F">
        <w:trPr>
          <w:cantSplit/>
        </w:trPr>
        <w:tc>
          <w:tcPr>
            <w:tcW w:w="1733" w:type="dxa"/>
            <w:vMerge/>
          </w:tcPr>
          <w:p w14:paraId="7429EA8A" w14:textId="77777777" w:rsidR="000305DD" w:rsidRPr="00F24972" w:rsidRDefault="000305DD" w:rsidP="000305DD">
            <w:pPr>
              <w:pStyle w:val="TableText"/>
              <w:rPr>
                <w:rFonts w:cs="Arial"/>
              </w:rPr>
            </w:pPr>
          </w:p>
        </w:tc>
        <w:tc>
          <w:tcPr>
            <w:tcW w:w="1592" w:type="dxa"/>
          </w:tcPr>
          <w:p w14:paraId="0717B62F" w14:textId="77777777" w:rsidR="000305DD" w:rsidRPr="00F24972" w:rsidRDefault="000305DD" w:rsidP="000305DD">
            <w:pPr>
              <w:pStyle w:val="TableText"/>
              <w:rPr>
                <w:rFonts w:cs="Arial"/>
              </w:rPr>
            </w:pPr>
            <w:r>
              <w:rPr>
                <w:rFonts w:cs="Arial"/>
              </w:rPr>
              <w:t>Invalidate, Patient Antigen typing</w:t>
            </w:r>
          </w:p>
          <w:p w14:paraId="33B4DAE7" w14:textId="77777777" w:rsidR="000305DD" w:rsidRPr="00F24972" w:rsidRDefault="000305DD" w:rsidP="000305DD">
            <w:pPr>
              <w:pStyle w:val="TableText"/>
              <w:rPr>
                <w:rFonts w:cs="Arial"/>
              </w:rPr>
            </w:pPr>
          </w:p>
          <w:p w14:paraId="3C3EA1BD" w14:textId="77777777" w:rsidR="000305DD" w:rsidRPr="00F24972" w:rsidRDefault="000305DD" w:rsidP="000305DD">
            <w:pPr>
              <w:pStyle w:val="TableText"/>
              <w:rPr>
                <w:rFonts w:cs="Arial"/>
              </w:rPr>
            </w:pPr>
          </w:p>
        </w:tc>
        <w:tc>
          <w:tcPr>
            <w:tcW w:w="1080" w:type="dxa"/>
          </w:tcPr>
          <w:p w14:paraId="49CFB6FC" w14:textId="77777777" w:rsidR="000305DD" w:rsidRPr="00F24972" w:rsidRDefault="000305DD" w:rsidP="000305DD">
            <w:pPr>
              <w:pStyle w:val="TableText"/>
              <w:rPr>
                <w:rFonts w:cs="Arial"/>
                <w:b/>
              </w:rPr>
            </w:pPr>
            <w:r w:rsidRPr="00F24972">
              <w:rPr>
                <w:rFonts w:cs="Arial"/>
                <w:b/>
              </w:rPr>
              <w:t>Negative</w:t>
            </w:r>
          </w:p>
        </w:tc>
        <w:tc>
          <w:tcPr>
            <w:tcW w:w="900" w:type="dxa"/>
          </w:tcPr>
          <w:p w14:paraId="40ABCDE5" w14:textId="77777777" w:rsidR="000305DD" w:rsidRPr="00F24972" w:rsidRDefault="000305DD" w:rsidP="000305DD">
            <w:pPr>
              <w:pStyle w:val="TableText"/>
              <w:jc w:val="center"/>
              <w:rPr>
                <w:rFonts w:cs="Arial"/>
              </w:rPr>
            </w:pPr>
            <w:r w:rsidRPr="00F24972">
              <w:rPr>
                <w:rFonts w:cs="Arial"/>
              </w:rPr>
              <w:t>P</w:t>
            </w:r>
          </w:p>
        </w:tc>
        <w:tc>
          <w:tcPr>
            <w:tcW w:w="4950" w:type="dxa"/>
          </w:tcPr>
          <w:p w14:paraId="1A0696B2" w14:textId="77777777"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any phases is invalidated. </w:t>
            </w:r>
          </w:p>
        </w:tc>
      </w:tr>
      <w:tr w:rsidR="000305DD" w:rsidRPr="00F24972" w14:paraId="74CEE570" w14:textId="77777777" w:rsidTr="00FA340F">
        <w:trPr>
          <w:cantSplit/>
        </w:trPr>
        <w:tc>
          <w:tcPr>
            <w:tcW w:w="1733" w:type="dxa"/>
            <w:vMerge w:val="restart"/>
          </w:tcPr>
          <w:p w14:paraId="09279E9F" w14:textId="77777777" w:rsidR="000305DD" w:rsidRPr="00F24972" w:rsidRDefault="000305DD" w:rsidP="000305DD">
            <w:pPr>
              <w:pStyle w:val="TableText"/>
              <w:rPr>
                <w:rFonts w:cs="Arial"/>
              </w:rPr>
            </w:pPr>
            <w:r w:rsidRPr="00F24972">
              <w:rPr>
                <w:rFonts w:cs="Arial"/>
              </w:rPr>
              <w:t>Patient antigen phenotype (single phase)</w:t>
            </w:r>
          </w:p>
        </w:tc>
        <w:tc>
          <w:tcPr>
            <w:tcW w:w="1592" w:type="dxa"/>
          </w:tcPr>
          <w:p w14:paraId="4FFCEBAA" w14:textId="77777777" w:rsidR="000305DD" w:rsidRPr="00F24972" w:rsidRDefault="000305DD" w:rsidP="000305DD">
            <w:pPr>
              <w:pStyle w:val="TableText"/>
              <w:rPr>
                <w:rFonts w:cs="Arial"/>
              </w:rPr>
            </w:pPr>
            <w:r>
              <w:rPr>
                <w:rFonts w:cs="Arial"/>
              </w:rPr>
              <w:t>Patient Antigen typing</w:t>
            </w:r>
          </w:p>
          <w:p w14:paraId="34E9B18D" w14:textId="77777777" w:rsidR="000305DD" w:rsidRPr="00F24972" w:rsidRDefault="000305DD" w:rsidP="000305DD">
            <w:pPr>
              <w:pStyle w:val="TableText"/>
              <w:rPr>
                <w:rFonts w:cs="Arial"/>
              </w:rPr>
            </w:pPr>
          </w:p>
        </w:tc>
        <w:tc>
          <w:tcPr>
            <w:tcW w:w="1080" w:type="dxa"/>
          </w:tcPr>
          <w:p w14:paraId="044D2B12" w14:textId="77777777" w:rsidR="000305DD" w:rsidRPr="00F24972" w:rsidRDefault="000305DD" w:rsidP="000305DD">
            <w:pPr>
              <w:pStyle w:val="TableText"/>
              <w:rPr>
                <w:rFonts w:cs="Arial"/>
              </w:rPr>
            </w:pPr>
            <w:r w:rsidRPr="00F24972">
              <w:rPr>
                <w:rFonts w:cs="Arial"/>
              </w:rPr>
              <w:t>Positive</w:t>
            </w:r>
          </w:p>
        </w:tc>
        <w:tc>
          <w:tcPr>
            <w:tcW w:w="900" w:type="dxa"/>
          </w:tcPr>
          <w:p w14:paraId="1F79F189" w14:textId="77777777" w:rsidR="000305DD" w:rsidRPr="00F24972" w:rsidRDefault="000305DD" w:rsidP="000305DD">
            <w:pPr>
              <w:pStyle w:val="TableText"/>
              <w:jc w:val="center"/>
              <w:rPr>
                <w:rFonts w:cs="Arial"/>
              </w:rPr>
            </w:pPr>
            <w:r w:rsidRPr="00F24972">
              <w:rPr>
                <w:rFonts w:cs="Arial"/>
              </w:rPr>
              <w:t>P</w:t>
            </w:r>
          </w:p>
        </w:tc>
        <w:tc>
          <w:tcPr>
            <w:tcW w:w="4950" w:type="dxa"/>
          </w:tcPr>
          <w:p w14:paraId="2433DDC0"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AHG or IS phase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5D1CC7D0" w14:textId="77777777" w:rsidTr="00FA340F">
        <w:trPr>
          <w:cantSplit/>
        </w:trPr>
        <w:tc>
          <w:tcPr>
            <w:tcW w:w="1733" w:type="dxa"/>
            <w:vMerge/>
            <w:tcBorders>
              <w:bottom w:val="single" w:sz="4" w:space="0" w:color="auto"/>
            </w:tcBorders>
          </w:tcPr>
          <w:p w14:paraId="4044FFF6"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321C4707" w14:textId="77777777" w:rsidR="000305DD" w:rsidRPr="00F24972" w:rsidRDefault="000305DD" w:rsidP="000305DD">
            <w:pPr>
              <w:pStyle w:val="TableText"/>
              <w:rPr>
                <w:rFonts w:cs="Arial"/>
              </w:rPr>
            </w:pPr>
            <w:r>
              <w:rPr>
                <w:rFonts w:cs="Arial"/>
              </w:rPr>
              <w:t>Invalidate, Patient Antigen typing</w:t>
            </w:r>
          </w:p>
          <w:p w14:paraId="01DD960A" w14:textId="77777777" w:rsidR="000305DD" w:rsidRPr="00F24972" w:rsidRDefault="000305DD" w:rsidP="000305DD">
            <w:pPr>
              <w:pStyle w:val="TableText"/>
              <w:rPr>
                <w:rFonts w:cs="Arial"/>
              </w:rPr>
            </w:pPr>
          </w:p>
          <w:p w14:paraId="2CD19D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09332B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0DFF82"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760FF451" w14:textId="165F277C"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w:t>
            </w:r>
            <w:r w:rsidR="00AE3B37" w:rsidRPr="00F24972">
              <w:rPr>
                <w:rFonts w:cs="Arial"/>
              </w:rPr>
              <w:t>a single phase</w:t>
            </w:r>
            <w:r w:rsidRPr="00F24972">
              <w:rPr>
                <w:rFonts w:cs="Arial"/>
              </w:rPr>
              <w:t xml:space="preserve"> is invalidated. </w:t>
            </w:r>
          </w:p>
        </w:tc>
      </w:tr>
      <w:tr w:rsidR="000305DD" w:rsidRPr="00F24972" w14:paraId="63BF3A8B" w14:textId="77777777" w:rsidTr="00FA340F">
        <w:trPr>
          <w:cantSplit/>
        </w:trPr>
        <w:tc>
          <w:tcPr>
            <w:tcW w:w="1733" w:type="dxa"/>
            <w:vMerge w:val="restart"/>
            <w:tcBorders>
              <w:top w:val="single" w:sz="4" w:space="0" w:color="auto"/>
              <w:left w:val="single" w:sz="4" w:space="0" w:color="auto"/>
              <w:right w:val="single" w:sz="4" w:space="0" w:color="auto"/>
            </w:tcBorders>
          </w:tcPr>
          <w:p w14:paraId="342A6CE0" w14:textId="77777777" w:rsidR="000305DD" w:rsidRPr="00F24972" w:rsidRDefault="000305DD" w:rsidP="000305DD">
            <w:pPr>
              <w:pStyle w:val="TableText"/>
              <w:rPr>
                <w:rFonts w:cs="Arial"/>
              </w:rPr>
            </w:pPr>
            <w:r w:rsidRPr="00F24972">
              <w:rPr>
                <w:rFonts w:cs="Arial"/>
              </w:rPr>
              <w:lastRenderedPageBreak/>
              <w:t>Pool unit</w:t>
            </w:r>
          </w:p>
          <w:p w14:paraId="5A9F9FF2"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8C7E733" w14:textId="77777777" w:rsidR="000305DD" w:rsidRPr="00F24972" w:rsidRDefault="000305DD" w:rsidP="000305DD">
            <w:pPr>
              <w:pStyle w:val="TableText"/>
              <w:rPr>
                <w:rFonts w:cs="Arial"/>
              </w:rPr>
            </w:pPr>
            <w:r>
              <w:rPr>
                <w:rFonts w:cs="Arial"/>
              </w:rPr>
              <w:t>Modify, Pool</w:t>
            </w:r>
          </w:p>
        </w:tc>
        <w:tc>
          <w:tcPr>
            <w:tcW w:w="1080" w:type="dxa"/>
            <w:tcBorders>
              <w:top w:val="single" w:sz="4" w:space="0" w:color="auto"/>
              <w:left w:val="single" w:sz="4" w:space="0" w:color="auto"/>
              <w:bottom w:val="single" w:sz="4" w:space="0" w:color="auto"/>
              <w:right w:val="single" w:sz="4" w:space="0" w:color="auto"/>
            </w:tcBorders>
          </w:tcPr>
          <w:p w14:paraId="67FD52A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C59140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6158D0" w14:textId="77777777" w:rsidR="000305DD" w:rsidRPr="00F24972" w:rsidRDefault="000305DD" w:rsidP="000305DD">
            <w:pPr>
              <w:pStyle w:val="TableText"/>
              <w:rPr>
                <w:rFonts w:cs="Arial"/>
              </w:rPr>
            </w:pPr>
            <w:r w:rsidRPr="00F24972">
              <w:rPr>
                <w:rFonts w:cs="Arial"/>
              </w:rPr>
              <w:t>Accrue workload when a pooled unit is created and a single workload event is recorded regardless of the number of units included in the pooled unit. This applies to modification type: Pool. Add/Remove unit from a pool does not accrue any workload.</w:t>
            </w:r>
            <w:r w:rsidRPr="00F24972">
              <w:rPr>
                <w:rFonts w:cs="Arial"/>
                <w:i/>
              </w:rPr>
              <w:t xml:space="preserve"> </w:t>
            </w:r>
          </w:p>
          <w:p w14:paraId="3198CD26" w14:textId="77777777" w:rsidR="000305DD" w:rsidRPr="00F24972" w:rsidRDefault="000305DD" w:rsidP="000305DD">
            <w:pPr>
              <w:pStyle w:val="TableText"/>
              <w:rPr>
                <w:rFonts w:cs="Arial"/>
                <w:i/>
              </w:rPr>
            </w:pPr>
            <w:r w:rsidRPr="00F24972">
              <w:rPr>
                <w:rFonts w:cs="Arial"/>
                <w:i/>
              </w:rPr>
              <w:t>Note: Workload is not accrued when a patient assignment is processed and VBECS releases all other patient assignments. Workload is not accrued when VBECS is required to quarantine the unit.</w:t>
            </w:r>
          </w:p>
          <w:p w14:paraId="4E02FD60" w14:textId="77777777" w:rsidR="000305DD" w:rsidRPr="00F24972" w:rsidRDefault="000305DD" w:rsidP="000305DD">
            <w:pPr>
              <w:pStyle w:val="TableText"/>
              <w:rPr>
                <w:rFonts w:cs="Arial"/>
                <w:i/>
              </w:rPr>
            </w:pPr>
            <w:r w:rsidRPr="00F24972">
              <w:rPr>
                <w:rFonts w:cs="Arial"/>
                <w:i/>
              </w:rPr>
              <w:t xml:space="preserve">Workload accrued by Pooling is invalidated in </w:t>
            </w:r>
            <w:r>
              <w:rPr>
                <w:rFonts w:cs="Arial"/>
                <w:i/>
              </w:rPr>
              <w:t>Edit Unit Processing Information</w:t>
            </w:r>
            <w:r w:rsidRPr="00F24972">
              <w:rPr>
                <w:rFonts w:cs="Arial"/>
                <w:i/>
              </w:rPr>
              <w:t xml:space="preserve"> with the inactivation of the pooled unit.</w:t>
            </w:r>
          </w:p>
        </w:tc>
      </w:tr>
      <w:tr w:rsidR="000305DD" w:rsidRPr="00F24972" w14:paraId="4CBE120E" w14:textId="77777777" w:rsidTr="00FA340F">
        <w:trPr>
          <w:cantSplit/>
        </w:trPr>
        <w:tc>
          <w:tcPr>
            <w:tcW w:w="1733" w:type="dxa"/>
            <w:vMerge/>
            <w:tcBorders>
              <w:left w:val="single" w:sz="4" w:space="0" w:color="auto"/>
              <w:right w:val="single" w:sz="4" w:space="0" w:color="auto"/>
            </w:tcBorders>
          </w:tcPr>
          <w:p w14:paraId="3A35CB33"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CC1422A" w14:textId="77777777" w:rsidR="000305DD" w:rsidRPr="00F24972" w:rsidRDefault="000305DD" w:rsidP="000305DD">
            <w:pPr>
              <w:pStyle w:val="TableText"/>
              <w:rPr>
                <w:rFonts w:cs="Arial"/>
              </w:rPr>
            </w:pPr>
            <w:r>
              <w:rPr>
                <w:rFonts w:cs="Arial"/>
              </w:rPr>
              <w:t>Edit Unit, Inactive Unit (that was in a Pool)</w:t>
            </w:r>
          </w:p>
        </w:tc>
        <w:tc>
          <w:tcPr>
            <w:tcW w:w="1080" w:type="dxa"/>
            <w:tcBorders>
              <w:top w:val="single" w:sz="4" w:space="0" w:color="auto"/>
              <w:left w:val="single" w:sz="4" w:space="0" w:color="auto"/>
              <w:bottom w:val="single" w:sz="4" w:space="0" w:color="auto"/>
              <w:right w:val="single" w:sz="4" w:space="0" w:color="auto"/>
            </w:tcBorders>
          </w:tcPr>
          <w:p w14:paraId="5D14088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4989AAE"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D72EB6A"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23CED0BB" w14:textId="77777777" w:rsidTr="00FA340F">
        <w:trPr>
          <w:cantSplit/>
        </w:trPr>
        <w:tc>
          <w:tcPr>
            <w:tcW w:w="1733" w:type="dxa"/>
            <w:vMerge/>
            <w:tcBorders>
              <w:left w:val="single" w:sz="4" w:space="0" w:color="auto"/>
              <w:bottom w:val="single" w:sz="4" w:space="0" w:color="auto"/>
              <w:right w:val="single" w:sz="4" w:space="0" w:color="auto"/>
            </w:tcBorders>
          </w:tcPr>
          <w:p w14:paraId="32C7870B"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2B947050" w14:textId="7EF3A3F7" w:rsidR="000305DD" w:rsidRPr="00F24972" w:rsidRDefault="000305DD" w:rsidP="000305DD">
            <w:pPr>
              <w:pStyle w:val="TableText"/>
              <w:rPr>
                <w:rFonts w:cs="Arial"/>
              </w:rPr>
            </w:pPr>
            <w:r>
              <w:rPr>
                <w:rFonts w:cs="Arial"/>
              </w:rPr>
              <w:t xml:space="preserve">Invalidate unit </w:t>
            </w:r>
            <w:r w:rsidR="00AE3B37">
              <w:rPr>
                <w:rFonts w:cs="Arial"/>
              </w:rPr>
              <w:t>status, Pool</w:t>
            </w:r>
          </w:p>
        </w:tc>
        <w:tc>
          <w:tcPr>
            <w:tcW w:w="1080" w:type="dxa"/>
            <w:tcBorders>
              <w:top w:val="single" w:sz="4" w:space="0" w:color="auto"/>
              <w:left w:val="single" w:sz="4" w:space="0" w:color="auto"/>
              <w:bottom w:val="single" w:sz="4" w:space="0" w:color="auto"/>
              <w:right w:val="single" w:sz="4" w:space="0" w:color="auto"/>
            </w:tcBorders>
          </w:tcPr>
          <w:p w14:paraId="78A57331" w14:textId="77777777" w:rsidR="000305DD" w:rsidRPr="00F24972" w:rsidRDefault="000305DD" w:rsidP="000305DD">
            <w:pPr>
              <w:pStyle w:val="TableText"/>
              <w:rPr>
                <w:rFonts w:cs="Arial"/>
                <w:b/>
              </w:rPr>
            </w:pPr>
            <w:r w:rsidRPr="00F24972">
              <w:rPr>
                <w:rFonts w:cs="Arial"/>
                <w:b/>
              </w:rPr>
              <w:t>None</w:t>
            </w:r>
          </w:p>
        </w:tc>
        <w:tc>
          <w:tcPr>
            <w:tcW w:w="900" w:type="dxa"/>
            <w:tcBorders>
              <w:top w:val="single" w:sz="4" w:space="0" w:color="auto"/>
              <w:left w:val="single" w:sz="4" w:space="0" w:color="auto"/>
              <w:bottom w:val="single" w:sz="4" w:space="0" w:color="auto"/>
              <w:right w:val="single" w:sz="4" w:space="0" w:color="auto"/>
            </w:tcBorders>
          </w:tcPr>
          <w:p w14:paraId="7E411F99" w14:textId="77777777" w:rsidR="000305DD" w:rsidRPr="00F24972" w:rsidRDefault="000305DD" w:rsidP="000305DD">
            <w:pPr>
              <w:pStyle w:val="TableText"/>
              <w:jc w:val="center"/>
              <w:rPr>
                <w:rFonts w:cs="Arial"/>
              </w:rPr>
            </w:pPr>
            <w:r w:rsidRPr="00F24972">
              <w:rPr>
                <w:rFonts w:cs="Arial"/>
              </w:rPr>
              <w:t>N/A</w:t>
            </w:r>
          </w:p>
        </w:tc>
        <w:tc>
          <w:tcPr>
            <w:tcW w:w="4950" w:type="dxa"/>
            <w:tcBorders>
              <w:top w:val="single" w:sz="4" w:space="0" w:color="auto"/>
              <w:left w:val="single" w:sz="4" w:space="0" w:color="auto"/>
              <w:bottom w:val="single" w:sz="4" w:space="0" w:color="auto"/>
              <w:right w:val="single" w:sz="4" w:space="0" w:color="auto"/>
            </w:tcBorders>
          </w:tcPr>
          <w:p w14:paraId="23663A14"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pool. </w:t>
            </w:r>
          </w:p>
        </w:tc>
      </w:tr>
      <w:tr w:rsidR="000305DD" w:rsidRPr="00F24972" w14:paraId="368CB7AA" w14:textId="77777777" w:rsidTr="00FA340F">
        <w:trPr>
          <w:cantSplit/>
        </w:trPr>
        <w:tc>
          <w:tcPr>
            <w:tcW w:w="1733" w:type="dxa"/>
          </w:tcPr>
          <w:p w14:paraId="502A6A01" w14:textId="77777777" w:rsidR="000305DD" w:rsidRPr="00F24972" w:rsidRDefault="000305DD" w:rsidP="000305DD">
            <w:pPr>
              <w:pStyle w:val="TableText"/>
              <w:rPr>
                <w:rFonts w:cs="Arial"/>
              </w:rPr>
            </w:pPr>
            <w:r w:rsidRPr="00F24972">
              <w:rPr>
                <w:rFonts w:cs="Arial"/>
              </w:rPr>
              <w:t>Quarantine unit</w:t>
            </w:r>
          </w:p>
        </w:tc>
        <w:tc>
          <w:tcPr>
            <w:tcW w:w="1592" w:type="dxa"/>
          </w:tcPr>
          <w:p w14:paraId="06317A90" w14:textId="77777777" w:rsidR="000305DD" w:rsidRPr="00F24972" w:rsidRDefault="000305DD" w:rsidP="000305DD">
            <w:pPr>
              <w:pStyle w:val="TableText"/>
              <w:rPr>
                <w:rFonts w:cs="Arial"/>
              </w:rPr>
            </w:pPr>
            <w:r>
              <w:rPr>
                <w:rFonts w:cs="Arial"/>
              </w:rPr>
              <w:t>Discard/Quarantine, Quarantine unit</w:t>
            </w:r>
          </w:p>
        </w:tc>
        <w:tc>
          <w:tcPr>
            <w:tcW w:w="1080" w:type="dxa"/>
          </w:tcPr>
          <w:p w14:paraId="3337A3C1" w14:textId="77777777" w:rsidR="000305DD" w:rsidRPr="00F24972" w:rsidRDefault="000305DD" w:rsidP="000305DD">
            <w:pPr>
              <w:pStyle w:val="TableText"/>
              <w:rPr>
                <w:rFonts w:cs="Arial"/>
              </w:rPr>
            </w:pPr>
            <w:r w:rsidRPr="00F24972">
              <w:rPr>
                <w:rFonts w:cs="Arial"/>
              </w:rPr>
              <w:t>Positive</w:t>
            </w:r>
          </w:p>
        </w:tc>
        <w:tc>
          <w:tcPr>
            <w:tcW w:w="900" w:type="dxa"/>
          </w:tcPr>
          <w:p w14:paraId="7891FADA" w14:textId="77777777" w:rsidR="000305DD" w:rsidRPr="00F24972" w:rsidRDefault="000305DD" w:rsidP="000305DD">
            <w:pPr>
              <w:pStyle w:val="TableText"/>
              <w:jc w:val="center"/>
              <w:rPr>
                <w:rFonts w:cs="Arial"/>
              </w:rPr>
            </w:pPr>
            <w:r w:rsidRPr="00F24972">
              <w:rPr>
                <w:rFonts w:cs="Arial"/>
              </w:rPr>
              <w:t>U</w:t>
            </w:r>
          </w:p>
        </w:tc>
        <w:tc>
          <w:tcPr>
            <w:tcW w:w="4950" w:type="dxa"/>
          </w:tcPr>
          <w:p w14:paraId="135171F0" w14:textId="77777777" w:rsidR="000305DD" w:rsidRPr="00F24972" w:rsidRDefault="000305DD" w:rsidP="000305DD">
            <w:pPr>
              <w:pStyle w:val="TableText"/>
              <w:rPr>
                <w:rFonts w:cs="Arial"/>
              </w:rPr>
            </w:pPr>
            <w:r w:rsidRPr="00F24972">
              <w:rPr>
                <w:rFonts w:cs="Arial"/>
              </w:rPr>
              <w:t>Accrue workload when a unit is marked for quarantine. When a batch of units is selected, each unit accrues workload.</w:t>
            </w:r>
          </w:p>
        </w:tc>
      </w:tr>
      <w:tr w:rsidR="000305DD" w:rsidRPr="00F24972" w14:paraId="381D17D9" w14:textId="77777777" w:rsidTr="00FA340F">
        <w:trPr>
          <w:cantSplit/>
        </w:trPr>
        <w:tc>
          <w:tcPr>
            <w:tcW w:w="1733" w:type="dxa"/>
          </w:tcPr>
          <w:p w14:paraId="4F6EC66E" w14:textId="77777777" w:rsidR="000305DD" w:rsidRPr="00F24972" w:rsidRDefault="000305DD" w:rsidP="000305DD">
            <w:pPr>
              <w:pStyle w:val="TableText"/>
              <w:rPr>
                <w:rFonts w:cs="Arial"/>
              </w:rPr>
            </w:pPr>
            <w:r w:rsidRPr="00F24972">
              <w:rPr>
                <w:rFonts w:cs="Arial"/>
              </w:rPr>
              <w:t>Release directed unit</w:t>
            </w:r>
          </w:p>
        </w:tc>
        <w:tc>
          <w:tcPr>
            <w:tcW w:w="1592" w:type="dxa"/>
          </w:tcPr>
          <w:p w14:paraId="67BF4359" w14:textId="77777777" w:rsidR="000305DD" w:rsidRPr="00F24972" w:rsidRDefault="000305DD" w:rsidP="000305DD">
            <w:pPr>
              <w:pStyle w:val="TableText"/>
              <w:rPr>
                <w:rFonts w:cs="Arial"/>
              </w:rPr>
            </w:pPr>
            <w:r>
              <w:rPr>
                <w:rFonts w:cs="Arial"/>
              </w:rPr>
              <w:t>Free Directed Unit</w:t>
            </w:r>
          </w:p>
        </w:tc>
        <w:tc>
          <w:tcPr>
            <w:tcW w:w="1080" w:type="dxa"/>
          </w:tcPr>
          <w:p w14:paraId="2F87A1EC" w14:textId="77777777" w:rsidR="000305DD" w:rsidRPr="00F24972" w:rsidRDefault="000305DD" w:rsidP="000305DD">
            <w:pPr>
              <w:pStyle w:val="TableText"/>
              <w:rPr>
                <w:rFonts w:cs="Arial"/>
              </w:rPr>
            </w:pPr>
            <w:r w:rsidRPr="00F24972">
              <w:rPr>
                <w:rFonts w:cs="Arial"/>
              </w:rPr>
              <w:t>Positive</w:t>
            </w:r>
          </w:p>
        </w:tc>
        <w:tc>
          <w:tcPr>
            <w:tcW w:w="900" w:type="dxa"/>
          </w:tcPr>
          <w:p w14:paraId="015BA67E" w14:textId="77777777" w:rsidR="000305DD" w:rsidRPr="00F24972" w:rsidRDefault="000305DD" w:rsidP="000305DD">
            <w:pPr>
              <w:pStyle w:val="TableText"/>
              <w:jc w:val="center"/>
              <w:rPr>
                <w:rFonts w:cs="Arial"/>
              </w:rPr>
            </w:pPr>
            <w:r w:rsidRPr="00F24972">
              <w:rPr>
                <w:rFonts w:cs="Arial"/>
              </w:rPr>
              <w:t>U</w:t>
            </w:r>
          </w:p>
        </w:tc>
        <w:tc>
          <w:tcPr>
            <w:tcW w:w="4950" w:type="dxa"/>
          </w:tcPr>
          <w:p w14:paraId="340ED563" w14:textId="77777777" w:rsidR="000305DD" w:rsidRPr="00F24972" w:rsidRDefault="000305DD" w:rsidP="000305DD">
            <w:pPr>
              <w:pStyle w:val="TableText"/>
              <w:rPr>
                <w:rFonts w:cs="Arial"/>
              </w:rPr>
            </w:pPr>
            <w:r w:rsidRPr="00F24972">
              <w:rPr>
                <w:rFonts w:cs="Arial"/>
              </w:rPr>
              <w:t>Accrue workload when an individual blood unit with the restriction type of directed is released for use as an allogeneic unit.</w:t>
            </w:r>
          </w:p>
        </w:tc>
      </w:tr>
      <w:tr w:rsidR="000305DD" w:rsidRPr="00F24972" w14:paraId="3EF64D56"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4F28BFDA" w14:textId="77777777" w:rsidR="000305DD" w:rsidRPr="00F24972" w:rsidRDefault="000305DD" w:rsidP="000305DD">
            <w:pPr>
              <w:pStyle w:val="TableText"/>
              <w:rPr>
                <w:rFonts w:cs="Arial"/>
              </w:rPr>
            </w:pPr>
            <w:r w:rsidRPr="00F24972">
              <w:rPr>
                <w:rFonts w:cs="Arial"/>
              </w:rPr>
              <w:t>Release unit from patient back to inventory</w:t>
            </w:r>
          </w:p>
        </w:tc>
        <w:tc>
          <w:tcPr>
            <w:tcW w:w="1592" w:type="dxa"/>
            <w:tcBorders>
              <w:top w:val="single" w:sz="4" w:space="0" w:color="auto"/>
              <w:left w:val="single" w:sz="4" w:space="0" w:color="auto"/>
              <w:bottom w:val="single" w:sz="4" w:space="0" w:color="auto"/>
              <w:right w:val="single" w:sz="4" w:space="0" w:color="auto"/>
            </w:tcBorders>
          </w:tcPr>
          <w:p w14:paraId="6954F272" w14:textId="77777777" w:rsidR="000305DD" w:rsidRPr="00F24972" w:rsidRDefault="000305DD" w:rsidP="000305DD">
            <w:pPr>
              <w:pStyle w:val="TableText"/>
              <w:rPr>
                <w:rFonts w:cs="Arial"/>
              </w:rPr>
            </w:pPr>
            <w:r>
              <w:rPr>
                <w:rFonts w:cs="Arial"/>
              </w:rPr>
              <w:t>Release Unit from Patient Assignment</w:t>
            </w:r>
          </w:p>
        </w:tc>
        <w:tc>
          <w:tcPr>
            <w:tcW w:w="1080" w:type="dxa"/>
            <w:tcBorders>
              <w:top w:val="single" w:sz="4" w:space="0" w:color="auto"/>
              <w:left w:val="single" w:sz="4" w:space="0" w:color="auto"/>
              <w:bottom w:val="single" w:sz="4" w:space="0" w:color="auto"/>
              <w:right w:val="single" w:sz="4" w:space="0" w:color="auto"/>
            </w:tcBorders>
          </w:tcPr>
          <w:p w14:paraId="7AE600F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4BFDFBE" w14:textId="77777777" w:rsidR="000305DD" w:rsidRPr="00F24972" w:rsidRDefault="000305DD" w:rsidP="000305DD">
            <w:pPr>
              <w:pStyle w:val="TableText"/>
              <w:jc w:val="center"/>
              <w:rPr>
                <w:rFonts w:cs="Arial"/>
              </w:rPr>
            </w:pPr>
            <w:r>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FF757F6" w14:textId="36680020" w:rsidR="000305DD" w:rsidRPr="00F24972" w:rsidRDefault="000305DD" w:rsidP="000305DD">
            <w:pPr>
              <w:pStyle w:val="TableText"/>
              <w:rPr>
                <w:rFonts w:cs="Arial"/>
              </w:rPr>
            </w:pPr>
            <w:r w:rsidRPr="00F24972">
              <w:rPr>
                <w:rFonts w:cs="Arial"/>
              </w:rPr>
              <w:t xml:space="preserve">Accrue workload when an individual unit is released from patient assignment. When </w:t>
            </w:r>
            <w:r w:rsidR="00AE3B37" w:rsidRPr="00F24972">
              <w:rPr>
                <w:rFonts w:cs="Arial"/>
              </w:rPr>
              <w:t>multiple units</w:t>
            </w:r>
            <w:r w:rsidRPr="00F24972">
              <w:rPr>
                <w:rFonts w:cs="Arial"/>
              </w:rPr>
              <w:t xml:space="preserve"> are selected, each unit accrues workload.</w:t>
            </w:r>
          </w:p>
        </w:tc>
      </w:tr>
      <w:tr w:rsidR="000305DD" w:rsidRPr="00F24972" w14:paraId="1436BF46" w14:textId="77777777" w:rsidTr="00FA340F">
        <w:trPr>
          <w:cantSplit/>
        </w:trPr>
        <w:tc>
          <w:tcPr>
            <w:tcW w:w="1733" w:type="dxa"/>
          </w:tcPr>
          <w:p w14:paraId="0A01B556" w14:textId="77777777" w:rsidR="000305DD" w:rsidRPr="00F24972" w:rsidRDefault="000305DD" w:rsidP="000305DD">
            <w:pPr>
              <w:pStyle w:val="TableText"/>
              <w:rPr>
                <w:rFonts w:cs="Arial"/>
              </w:rPr>
            </w:pPr>
            <w:r w:rsidRPr="00F24972">
              <w:rPr>
                <w:rFonts w:cs="Arial"/>
              </w:rPr>
              <w:t xml:space="preserve">Release unit from Quarantine </w:t>
            </w:r>
          </w:p>
        </w:tc>
        <w:tc>
          <w:tcPr>
            <w:tcW w:w="1592" w:type="dxa"/>
          </w:tcPr>
          <w:p w14:paraId="7E965697" w14:textId="77777777" w:rsidR="000305DD" w:rsidRPr="00F24972" w:rsidRDefault="000305DD" w:rsidP="000305DD">
            <w:pPr>
              <w:pStyle w:val="TableText"/>
              <w:rPr>
                <w:rFonts w:cs="Arial"/>
              </w:rPr>
            </w:pPr>
            <w:r>
              <w:rPr>
                <w:rFonts w:cs="Arial"/>
              </w:rPr>
              <w:t xml:space="preserve">Discard/Quarantine, Release Unit from Quarantine </w:t>
            </w:r>
          </w:p>
        </w:tc>
        <w:tc>
          <w:tcPr>
            <w:tcW w:w="1080" w:type="dxa"/>
          </w:tcPr>
          <w:p w14:paraId="6884E174" w14:textId="77777777" w:rsidR="000305DD" w:rsidRPr="00F24972" w:rsidRDefault="000305DD" w:rsidP="000305DD">
            <w:pPr>
              <w:pStyle w:val="TableText"/>
              <w:rPr>
                <w:rFonts w:cs="Arial"/>
              </w:rPr>
            </w:pPr>
            <w:r w:rsidRPr="00F24972">
              <w:rPr>
                <w:rFonts w:cs="Arial"/>
              </w:rPr>
              <w:t>Positive</w:t>
            </w:r>
          </w:p>
        </w:tc>
        <w:tc>
          <w:tcPr>
            <w:tcW w:w="900" w:type="dxa"/>
          </w:tcPr>
          <w:p w14:paraId="4CCA100F" w14:textId="77777777" w:rsidR="000305DD" w:rsidRPr="00F24972" w:rsidRDefault="000305DD" w:rsidP="000305DD">
            <w:pPr>
              <w:pStyle w:val="TableText"/>
              <w:jc w:val="center"/>
              <w:rPr>
                <w:rFonts w:cs="Arial"/>
              </w:rPr>
            </w:pPr>
            <w:r w:rsidRPr="00F24972">
              <w:rPr>
                <w:rFonts w:cs="Arial"/>
              </w:rPr>
              <w:t>U</w:t>
            </w:r>
          </w:p>
        </w:tc>
        <w:tc>
          <w:tcPr>
            <w:tcW w:w="4950" w:type="dxa"/>
          </w:tcPr>
          <w:p w14:paraId="7ED6DF05" w14:textId="77777777" w:rsidR="000305DD" w:rsidRPr="00F24972" w:rsidRDefault="000305DD" w:rsidP="000305DD">
            <w:pPr>
              <w:pStyle w:val="TableText"/>
              <w:rPr>
                <w:rFonts w:cs="Arial"/>
              </w:rPr>
            </w:pPr>
            <w:r w:rsidRPr="00F24972">
              <w:rPr>
                <w:rFonts w:cs="Arial"/>
              </w:rPr>
              <w:t>Accrue workload when a unit is released from quarantine. When a batch of units is selected, each unit accrues workload.</w:t>
            </w:r>
          </w:p>
        </w:tc>
      </w:tr>
      <w:tr w:rsidR="000305DD" w:rsidRPr="00F24972" w14:paraId="2F91DEEB"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354AF08" w14:textId="77777777" w:rsidR="000305DD" w:rsidRPr="00F24972" w:rsidRDefault="000305DD" w:rsidP="000305DD">
            <w:pPr>
              <w:pStyle w:val="TableText"/>
              <w:rPr>
                <w:rFonts w:cs="Arial"/>
              </w:rPr>
            </w:pPr>
            <w:r w:rsidRPr="00F24972">
              <w:rPr>
                <w:rFonts w:cs="Arial"/>
              </w:rPr>
              <w:t>Return Issued unit</w:t>
            </w:r>
          </w:p>
        </w:tc>
        <w:tc>
          <w:tcPr>
            <w:tcW w:w="1592" w:type="dxa"/>
            <w:tcBorders>
              <w:top w:val="single" w:sz="4" w:space="0" w:color="auto"/>
              <w:left w:val="single" w:sz="4" w:space="0" w:color="auto"/>
              <w:bottom w:val="single" w:sz="4" w:space="0" w:color="auto"/>
              <w:right w:val="single" w:sz="4" w:space="0" w:color="auto"/>
            </w:tcBorders>
          </w:tcPr>
          <w:p w14:paraId="32CB8E23" w14:textId="77777777" w:rsidR="000305DD" w:rsidRPr="00F24972" w:rsidRDefault="000305DD" w:rsidP="000305DD">
            <w:pPr>
              <w:pStyle w:val="TableText"/>
              <w:rPr>
                <w:rFonts w:cs="Arial"/>
              </w:rPr>
            </w:pPr>
            <w:r>
              <w:rPr>
                <w:rFonts w:cs="Arial"/>
              </w:rPr>
              <w:t>Return Issued unit to Inventory</w:t>
            </w:r>
          </w:p>
        </w:tc>
        <w:tc>
          <w:tcPr>
            <w:tcW w:w="1080" w:type="dxa"/>
            <w:tcBorders>
              <w:top w:val="single" w:sz="4" w:space="0" w:color="auto"/>
              <w:left w:val="single" w:sz="4" w:space="0" w:color="auto"/>
              <w:bottom w:val="single" w:sz="4" w:space="0" w:color="auto"/>
              <w:right w:val="single" w:sz="4" w:space="0" w:color="auto"/>
            </w:tcBorders>
          </w:tcPr>
          <w:p w14:paraId="4618B27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82C889" w14:textId="77777777" w:rsidR="000305DD" w:rsidRPr="00F24972" w:rsidRDefault="000305DD" w:rsidP="000305DD">
            <w:pPr>
              <w:pStyle w:val="TableText"/>
              <w:jc w:val="center"/>
              <w:rPr>
                <w:rFonts w:cs="Arial"/>
              </w:rPr>
            </w:pPr>
            <w:r>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53F2AF" w14:textId="77777777" w:rsidR="000305DD" w:rsidRPr="00F24972" w:rsidRDefault="000305DD" w:rsidP="000305DD">
            <w:pPr>
              <w:pStyle w:val="TableText"/>
              <w:rPr>
                <w:rFonts w:cs="Arial"/>
              </w:rPr>
            </w:pPr>
            <w:r w:rsidRPr="00F24972">
              <w:rPr>
                <w:rFonts w:cs="Arial"/>
              </w:rPr>
              <w:t xml:space="preserve">Accrue workload when a unit is returned from issue status. </w:t>
            </w:r>
          </w:p>
        </w:tc>
      </w:tr>
      <w:tr w:rsidR="000305DD" w:rsidRPr="00F24972" w14:paraId="59B0EF94"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0A21B1D2" w14:textId="77777777" w:rsidR="000305DD" w:rsidRPr="00F24972" w:rsidRDefault="000305DD" w:rsidP="000305DD">
            <w:pPr>
              <w:pStyle w:val="TableText"/>
              <w:rPr>
                <w:rFonts w:cs="Arial"/>
                <w:i/>
              </w:rPr>
            </w:pPr>
            <w:r w:rsidRPr="00F24972">
              <w:rPr>
                <w:rFonts w:cs="Arial"/>
                <w:i/>
              </w:rPr>
              <w:t xml:space="preserve">See </w:t>
            </w:r>
            <w:r>
              <w:rPr>
                <w:rFonts w:cs="Arial"/>
                <w:i/>
              </w:rPr>
              <w:t>Serologic Crossmatch, Patient ABO/Rh, Patient ABS, Patient DAT, Patient Antigen Typing</w:t>
            </w:r>
            <w:r w:rsidRPr="00F24972">
              <w:rPr>
                <w:rFonts w:cs="Arial"/>
                <w:i/>
              </w:rPr>
              <w:t xml:space="preserve"> </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49AF7BFD" w14:textId="77777777" w:rsidR="000305DD" w:rsidRPr="00F24972" w:rsidRDefault="000305DD" w:rsidP="000305DD">
            <w:pPr>
              <w:pStyle w:val="TableText"/>
              <w:rPr>
                <w:rFonts w:cs="Arial"/>
                <w:i/>
                <w:snapToGrid w:val="0"/>
              </w:rPr>
            </w:pPr>
            <w:r>
              <w:rPr>
                <w:rFonts w:cs="Arial"/>
                <w:i/>
                <w:snapToGrid w:val="0"/>
              </w:rPr>
              <w:t>Patient Testing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346350" w14:textId="77777777" w:rsidR="000305DD" w:rsidRPr="00F24972" w:rsidRDefault="000305DD" w:rsidP="000305DD">
            <w:pPr>
              <w:pStyle w:val="TableText"/>
              <w:rPr>
                <w:rFonts w:cs="Arial"/>
                <w:i/>
              </w:rPr>
            </w:pPr>
            <w:r w:rsidRPr="00F24972">
              <w:rPr>
                <w:rFonts w:cs="Arial"/>
                <w:i/>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D2DC10" w14:textId="77777777" w:rsidR="000305DD" w:rsidRPr="00F24972" w:rsidRDefault="000305DD" w:rsidP="000305DD">
            <w:pPr>
              <w:pStyle w:val="TableText"/>
              <w:jc w:val="center"/>
              <w:rPr>
                <w:rFonts w:cs="Arial"/>
                <w:i/>
              </w:rPr>
            </w:pPr>
            <w:r w:rsidRPr="00F24972">
              <w:rPr>
                <w:rFonts w:cs="Arial"/>
                <w:i/>
              </w:rPr>
              <w:t>Various</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4513026" w14:textId="77777777" w:rsidR="000305DD" w:rsidRPr="00F24972" w:rsidRDefault="000305DD" w:rsidP="00E90A01">
            <w:pPr>
              <w:pStyle w:val="TableText"/>
              <w:rPr>
                <w:rFonts w:cs="Arial"/>
                <w:i/>
              </w:rPr>
            </w:pPr>
            <w:r>
              <w:rPr>
                <w:rFonts w:cs="Arial"/>
                <w:i/>
              </w:rPr>
              <w:t>Patient Testing</w:t>
            </w:r>
            <w:r w:rsidRPr="00F24972">
              <w:rPr>
                <w:rFonts w:cs="Arial"/>
                <w:i/>
              </w:rPr>
              <w:t xml:space="preserve"> encapsulates </w:t>
            </w:r>
            <w:r>
              <w:rPr>
                <w:rFonts w:cs="Arial"/>
                <w:i/>
              </w:rPr>
              <w:t>Serologic Crossmatch, Patient ABO/Rh, Patient ABS, Patient DAT, Patient Antigen Typing. Patient Testing</w:t>
            </w:r>
            <w:r w:rsidRPr="00F24972">
              <w:rPr>
                <w:rFonts w:cs="Arial"/>
                <w:i/>
              </w:rPr>
              <w:t xml:space="preserve"> does not in and of itself accrue workload, but accrues workload for the various testing grids for which it controls the data save. See the various </w:t>
            </w:r>
            <w:r>
              <w:rPr>
                <w:rFonts w:cs="Arial"/>
                <w:i/>
              </w:rPr>
              <w:t>options</w:t>
            </w:r>
            <w:r w:rsidRPr="00F24972">
              <w:rPr>
                <w:rFonts w:cs="Arial"/>
                <w:i/>
              </w:rPr>
              <w:t xml:space="preserve"> in this list for </w:t>
            </w:r>
            <w:r w:rsidR="00E90A01">
              <w:rPr>
                <w:rFonts w:cs="Arial"/>
                <w:i/>
              </w:rPr>
              <w:t>additional</w:t>
            </w:r>
            <w:r w:rsidRPr="00F24972">
              <w:rPr>
                <w:rFonts w:cs="Arial"/>
                <w:i/>
              </w:rPr>
              <w:t xml:space="preserve"> information.</w:t>
            </w:r>
          </w:p>
        </w:tc>
      </w:tr>
      <w:tr w:rsidR="000305DD" w:rsidRPr="00F24972" w14:paraId="3A4DD01A" w14:textId="77777777" w:rsidTr="00FA340F">
        <w:trPr>
          <w:cantSplit/>
          <w:trHeight w:val="1970"/>
        </w:trPr>
        <w:tc>
          <w:tcPr>
            <w:tcW w:w="1733" w:type="dxa"/>
            <w:vMerge w:val="restart"/>
          </w:tcPr>
          <w:p w14:paraId="73E3EF6F" w14:textId="77777777" w:rsidR="000305DD" w:rsidRPr="00F24972" w:rsidRDefault="000305DD" w:rsidP="000305DD">
            <w:pPr>
              <w:pStyle w:val="TableText"/>
              <w:rPr>
                <w:rFonts w:cs="Arial"/>
              </w:rPr>
            </w:pPr>
            <w:r w:rsidRPr="00F24972">
              <w:rPr>
                <w:rFonts w:cs="Arial"/>
              </w:rPr>
              <w:t>Thaw/pool Cryo</w:t>
            </w:r>
          </w:p>
        </w:tc>
        <w:tc>
          <w:tcPr>
            <w:tcW w:w="1592" w:type="dxa"/>
          </w:tcPr>
          <w:p w14:paraId="0A655A08" w14:textId="77777777" w:rsidR="000305DD" w:rsidRPr="00F24972" w:rsidRDefault="000305DD" w:rsidP="000305DD">
            <w:pPr>
              <w:pStyle w:val="TableText"/>
              <w:rPr>
                <w:rFonts w:cs="Arial"/>
              </w:rPr>
            </w:pPr>
            <w:r>
              <w:rPr>
                <w:rFonts w:cs="Arial"/>
              </w:rPr>
              <w:t>Modify Unit, Thaw/Pool</w:t>
            </w:r>
          </w:p>
        </w:tc>
        <w:tc>
          <w:tcPr>
            <w:tcW w:w="1080" w:type="dxa"/>
          </w:tcPr>
          <w:p w14:paraId="6D3B9D2D" w14:textId="77777777" w:rsidR="000305DD" w:rsidRPr="00F24972" w:rsidRDefault="000305DD" w:rsidP="000305DD">
            <w:pPr>
              <w:pStyle w:val="TableText"/>
              <w:rPr>
                <w:rFonts w:cs="Arial"/>
              </w:rPr>
            </w:pPr>
            <w:r w:rsidRPr="00F24972">
              <w:rPr>
                <w:rFonts w:cs="Arial"/>
              </w:rPr>
              <w:t>Positive</w:t>
            </w:r>
          </w:p>
        </w:tc>
        <w:tc>
          <w:tcPr>
            <w:tcW w:w="900" w:type="dxa"/>
          </w:tcPr>
          <w:p w14:paraId="2309B100" w14:textId="77777777" w:rsidR="000305DD" w:rsidRPr="00F24972" w:rsidRDefault="000305DD" w:rsidP="000305DD">
            <w:pPr>
              <w:pStyle w:val="TableText"/>
              <w:jc w:val="center"/>
              <w:rPr>
                <w:rFonts w:cs="Arial"/>
              </w:rPr>
            </w:pPr>
            <w:r w:rsidRPr="00F24972">
              <w:rPr>
                <w:rFonts w:cs="Arial"/>
              </w:rPr>
              <w:t>U</w:t>
            </w:r>
          </w:p>
        </w:tc>
        <w:tc>
          <w:tcPr>
            <w:tcW w:w="4950" w:type="dxa"/>
          </w:tcPr>
          <w:p w14:paraId="45D804F9" w14:textId="77777777" w:rsidR="000305DD" w:rsidRPr="00F24972" w:rsidRDefault="000305DD" w:rsidP="000305DD">
            <w:pPr>
              <w:pStyle w:val="TableText"/>
              <w:rPr>
                <w:rFonts w:cs="Arial"/>
              </w:rPr>
            </w:pPr>
            <w:r w:rsidRPr="00F24972">
              <w:rPr>
                <w:rFonts w:cs="Arial"/>
              </w:rPr>
              <w:t>Accrue workload when an individual unit modification of Thaw/Pool Cryo. A single workload event is recorded regardless of the number of units included in the pooled unit.</w:t>
            </w:r>
          </w:p>
          <w:p w14:paraId="0B43923C" w14:textId="77777777" w:rsidR="000305DD" w:rsidRPr="00F24972" w:rsidRDefault="000305DD" w:rsidP="000305DD">
            <w:pPr>
              <w:pStyle w:val="TableText"/>
              <w:rPr>
                <w:rFonts w:cs="Arial"/>
                <w:i/>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417CBCE4" w14:textId="77777777" w:rsidTr="00FA340F">
        <w:trPr>
          <w:cantSplit/>
        </w:trPr>
        <w:tc>
          <w:tcPr>
            <w:tcW w:w="1733" w:type="dxa"/>
            <w:vMerge/>
          </w:tcPr>
          <w:p w14:paraId="56355A26" w14:textId="77777777" w:rsidR="000305DD" w:rsidRPr="00F24972" w:rsidRDefault="000305DD" w:rsidP="000305DD">
            <w:pPr>
              <w:pStyle w:val="TableText"/>
              <w:rPr>
                <w:rFonts w:cs="Arial"/>
              </w:rPr>
            </w:pPr>
          </w:p>
        </w:tc>
        <w:tc>
          <w:tcPr>
            <w:tcW w:w="1592" w:type="dxa"/>
          </w:tcPr>
          <w:p w14:paraId="57D04270" w14:textId="0A8DF8E7" w:rsidR="000305DD" w:rsidRPr="00F24972" w:rsidRDefault="000305DD" w:rsidP="000305DD">
            <w:pPr>
              <w:pStyle w:val="TableText"/>
              <w:rPr>
                <w:rFonts w:cs="Arial"/>
              </w:rPr>
            </w:pPr>
            <w:r>
              <w:rPr>
                <w:rFonts w:cs="Arial"/>
              </w:rPr>
              <w:t xml:space="preserve">Edit, Unit, Inactivate Unit (that was in </w:t>
            </w:r>
            <w:r w:rsidR="00AE3B37">
              <w:rPr>
                <w:rFonts w:cs="Arial"/>
              </w:rPr>
              <w:t>a Thaw</w:t>
            </w:r>
            <w:r>
              <w:rPr>
                <w:rFonts w:cs="Arial"/>
              </w:rPr>
              <w:t>/Pool)</w:t>
            </w:r>
          </w:p>
        </w:tc>
        <w:tc>
          <w:tcPr>
            <w:tcW w:w="1080" w:type="dxa"/>
          </w:tcPr>
          <w:p w14:paraId="6B91AC56" w14:textId="77777777" w:rsidR="000305DD" w:rsidRPr="00F24972" w:rsidRDefault="000305DD" w:rsidP="000305DD">
            <w:pPr>
              <w:pStyle w:val="TableText"/>
              <w:rPr>
                <w:rFonts w:cs="Arial"/>
                <w:b/>
              </w:rPr>
            </w:pPr>
            <w:r w:rsidRPr="00F24972">
              <w:rPr>
                <w:rFonts w:cs="Arial"/>
                <w:b/>
              </w:rPr>
              <w:t>Negative</w:t>
            </w:r>
          </w:p>
        </w:tc>
        <w:tc>
          <w:tcPr>
            <w:tcW w:w="900" w:type="dxa"/>
          </w:tcPr>
          <w:p w14:paraId="4E8D3D6D" w14:textId="77777777" w:rsidR="000305DD" w:rsidRPr="00F24972" w:rsidRDefault="000305DD" w:rsidP="000305DD">
            <w:pPr>
              <w:pStyle w:val="TableText"/>
              <w:jc w:val="center"/>
              <w:rPr>
                <w:rFonts w:cs="Arial"/>
              </w:rPr>
            </w:pPr>
            <w:r w:rsidRPr="00F24972">
              <w:rPr>
                <w:rFonts w:cs="Arial"/>
              </w:rPr>
              <w:t>U</w:t>
            </w:r>
          </w:p>
        </w:tc>
        <w:tc>
          <w:tcPr>
            <w:tcW w:w="4950" w:type="dxa"/>
          </w:tcPr>
          <w:p w14:paraId="1B7A64E1"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306E1FD4" w14:textId="77777777" w:rsidTr="00FA340F">
        <w:trPr>
          <w:cantSplit/>
        </w:trPr>
        <w:tc>
          <w:tcPr>
            <w:tcW w:w="1733" w:type="dxa"/>
            <w:vMerge/>
          </w:tcPr>
          <w:p w14:paraId="696756A9" w14:textId="77777777" w:rsidR="000305DD" w:rsidRPr="00F24972" w:rsidRDefault="000305DD" w:rsidP="000305DD">
            <w:pPr>
              <w:pStyle w:val="TableText"/>
              <w:rPr>
                <w:rFonts w:cs="Arial"/>
              </w:rPr>
            </w:pPr>
          </w:p>
        </w:tc>
        <w:tc>
          <w:tcPr>
            <w:tcW w:w="1592" w:type="dxa"/>
          </w:tcPr>
          <w:p w14:paraId="3C747773" w14:textId="77777777" w:rsidR="000305DD" w:rsidRPr="00F24972" w:rsidRDefault="000305DD" w:rsidP="000305DD">
            <w:pPr>
              <w:pStyle w:val="TableText"/>
              <w:rPr>
                <w:rFonts w:cs="Arial"/>
              </w:rPr>
            </w:pPr>
            <w:r>
              <w:rPr>
                <w:rFonts w:cs="Arial"/>
              </w:rPr>
              <w:t>Invalidate Unit status, Thaw/Pool</w:t>
            </w:r>
          </w:p>
        </w:tc>
        <w:tc>
          <w:tcPr>
            <w:tcW w:w="1080" w:type="dxa"/>
          </w:tcPr>
          <w:p w14:paraId="5B173963" w14:textId="77777777" w:rsidR="000305DD" w:rsidRPr="00F24972" w:rsidRDefault="000305DD" w:rsidP="000305DD">
            <w:pPr>
              <w:pStyle w:val="TableText"/>
              <w:rPr>
                <w:rFonts w:cs="Arial"/>
                <w:b/>
              </w:rPr>
            </w:pPr>
            <w:r w:rsidRPr="00F24972">
              <w:rPr>
                <w:rFonts w:cs="Arial"/>
                <w:b/>
              </w:rPr>
              <w:t>None</w:t>
            </w:r>
          </w:p>
        </w:tc>
        <w:tc>
          <w:tcPr>
            <w:tcW w:w="900" w:type="dxa"/>
          </w:tcPr>
          <w:p w14:paraId="2501772A" w14:textId="77777777" w:rsidR="000305DD" w:rsidRPr="00F24972" w:rsidRDefault="000305DD" w:rsidP="000305DD">
            <w:pPr>
              <w:pStyle w:val="TableText"/>
              <w:jc w:val="center"/>
              <w:rPr>
                <w:rFonts w:cs="Arial"/>
              </w:rPr>
            </w:pPr>
            <w:r w:rsidRPr="00F24972">
              <w:rPr>
                <w:rFonts w:cs="Arial"/>
              </w:rPr>
              <w:t>N/A</w:t>
            </w:r>
          </w:p>
        </w:tc>
        <w:tc>
          <w:tcPr>
            <w:tcW w:w="4950" w:type="dxa"/>
          </w:tcPr>
          <w:p w14:paraId="444544D3"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Thaw/pool Cryo pool. </w:t>
            </w:r>
          </w:p>
        </w:tc>
      </w:tr>
      <w:tr w:rsidR="000305DD" w:rsidRPr="00F24972" w14:paraId="2F7EE673" w14:textId="77777777" w:rsidTr="00FA340F">
        <w:trPr>
          <w:cantSplit/>
        </w:trPr>
        <w:tc>
          <w:tcPr>
            <w:tcW w:w="1733" w:type="dxa"/>
            <w:vMerge w:val="restart"/>
            <w:tcBorders>
              <w:top w:val="single" w:sz="4" w:space="0" w:color="auto"/>
              <w:left w:val="single" w:sz="4" w:space="0" w:color="auto"/>
              <w:right w:val="single" w:sz="4" w:space="0" w:color="auto"/>
            </w:tcBorders>
          </w:tcPr>
          <w:p w14:paraId="0BC7E54E" w14:textId="77777777" w:rsidR="000305DD" w:rsidRPr="00F24972" w:rsidRDefault="000305DD" w:rsidP="000305DD">
            <w:pPr>
              <w:pStyle w:val="TableText"/>
              <w:rPr>
                <w:rFonts w:cs="Arial"/>
              </w:rPr>
            </w:pPr>
            <w:r w:rsidRPr="00F24972">
              <w:rPr>
                <w:rFonts w:cs="Arial"/>
              </w:rPr>
              <w:t>Transfuse Unit</w:t>
            </w:r>
          </w:p>
        </w:tc>
        <w:tc>
          <w:tcPr>
            <w:tcW w:w="1592" w:type="dxa"/>
            <w:tcBorders>
              <w:top w:val="single" w:sz="4" w:space="0" w:color="auto"/>
              <w:left w:val="single" w:sz="4" w:space="0" w:color="auto"/>
              <w:bottom w:val="single" w:sz="4" w:space="0" w:color="auto"/>
              <w:right w:val="single" w:sz="4" w:space="0" w:color="auto"/>
            </w:tcBorders>
          </w:tcPr>
          <w:p w14:paraId="0EB49A49" w14:textId="77777777" w:rsidR="000305DD" w:rsidRPr="00F24972" w:rsidRDefault="000305DD" w:rsidP="000305DD">
            <w:pPr>
              <w:pStyle w:val="TableText"/>
              <w:rPr>
                <w:rFonts w:cs="Arial"/>
              </w:rPr>
            </w:pPr>
            <w:r>
              <w:rPr>
                <w:rFonts w:cs="Arial"/>
              </w:rPr>
              <w:t>Enter Post Transfusion Data</w:t>
            </w:r>
          </w:p>
        </w:tc>
        <w:tc>
          <w:tcPr>
            <w:tcW w:w="1080" w:type="dxa"/>
            <w:tcBorders>
              <w:top w:val="single" w:sz="4" w:space="0" w:color="auto"/>
              <w:left w:val="single" w:sz="4" w:space="0" w:color="auto"/>
              <w:bottom w:val="single" w:sz="4" w:space="0" w:color="auto"/>
              <w:right w:val="single" w:sz="4" w:space="0" w:color="auto"/>
            </w:tcBorders>
          </w:tcPr>
          <w:p w14:paraId="418F9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BF2635"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C298278" w14:textId="77777777" w:rsidR="000305DD" w:rsidRPr="00F24972" w:rsidRDefault="000305DD" w:rsidP="000305DD">
            <w:pPr>
              <w:pStyle w:val="TableText"/>
              <w:rPr>
                <w:rFonts w:cs="Arial"/>
                <w:i/>
              </w:rPr>
            </w:pPr>
            <w:r w:rsidRPr="00F24972">
              <w:rPr>
                <w:rFonts w:cs="Arial"/>
              </w:rPr>
              <w:t xml:space="preserve">Accrue workload when an individual blood unit’s status is updated to transfused by </w:t>
            </w:r>
            <w:r>
              <w:rPr>
                <w:rFonts w:cs="Arial"/>
              </w:rPr>
              <w:t>Enter Post-Transfusion Details</w:t>
            </w:r>
            <w:r w:rsidRPr="00F24972">
              <w:rPr>
                <w:rFonts w:cs="Arial"/>
              </w:rPr>
              <w:t xml:space="preserve"> basic flow or Alt Flow A. </w:t>
            </w:r>
          </w:p>
        </w:tc>
      </w:tr>
      <w:tr w:rsidR="000305DD" w:rsidRPr="00F24972" w14:paraId="75608F7C" w14:textId="77777777" w:rsidTr="00FA340F">
        <w:trPr>
          <w:cantSplit/>
        </w:trPr>
        <w:tc>
          <w:tcPr>
            <w:tcW w:w="1733" w:type="dxa"/>
            <w:vMerge/>
            <w:tcBorders>
              <w:left w:val="single" w:sz="4" w:space="0" w:color="auto"/>
              <w:right w:val="single" w:sz="4" w:space="0" w:color="auto"/>
            </w:tcBorders>
          </w:tcPr>
          <w:p w14:paraId="325B8DBD" w14:textId="77777777" w:rsidR="000305DD" w:rsidRPr="00F24972" w:rsidRDefault="000305DD" w:rsidP="000305DD">
            <w:pPr>
              <w:pStyle w:val="TableText"/>
              <w:rPr>
                <w:rFonts w:cs="Arial"/>
              </w:rPr>
            </w:pPr>
          </w:p>
        </w:tc>
        <w:tc>
          <w:tcPr>
            <w:tcW w:w="1592" w:type="dxa"/>
            <w:tcBorders>
              <w:left w:val="single" w:sz="4" w:space="0" w:color="auto"/>
            </w:tcBorders>
          </w:tcPr>
          <w:p w14:paraId="7D595BD4" w14:textId="77777777" w:rsidR="000305DD" w:rsidRPr="00F24972" w:rsidRDefault="000305DD" w:rsidP="000305DD">
            <w:pPr>
              <w:pStyle w:val="TableText"/>
              <w:rPr>
                <w:rFonts w:cs="Arial"/>
              </w:rPr>
            </w:pPr>
            <w:r>
              <w:rPr>
                <w:rFonts w:cs="Arial"/>
              </w:rPr>
              <w:t>Invalidate Unit Status, Transfused</w:t>
            </w:r>
          </w:p>
        </w:tc>
        <w:tc>
          <w:tcPr>
            <w:tcW w:w="1080" w:type="dxa"/>
          </w:tcPr>
          <w:p w14:paraId="6824E1DA" w14:textId="77777777" w:rsidR="000305DD" w:rsidRPr="00F24972" w:rsidRDefault="000305DD" w:rsidP="000305DD">
            <w:pPr>
              <w:pStyle w:val="TableText"/>
              <w:rPr>
                <w:rFonts w:cs="Arial"/>
                <w:b/>
              </w:rPr>
            </w:pPr>
            <w:r w:rsidRPr="00F24972">
              <w:rPr>
                <w:rFonts w:cs="Arial"/>
                <w:b/>
              </w:rPr>
              <w:t>Negative</w:t>
            </w:r>
          </w:p>
        </w:tc>
        <w:tc>
          <w:tcPr>
            <w:tcW w:w="900" w:type="dxa"/>
          </w:tcPr>
          <w:p w14:paraId="69F9628D" w14:textId="77777777" w:rsidR="000305DD" w:rsidRPr="00F24972" w:rsidRDefault="000305DD" w:rsidP="000305DD">
            <w:pPr>
              <w:pStyle w:val="TableText"/>
              <w:jc w:val="center"/>
              <w:rPr>
                <w:rFonts w:cs="Arial"/>
              </w:rPr>
            </w:pPr>
            <w:r w:rsidRPr="00F24972">
              <w:rPr>
                <w:rFonts w:cs="Arial"/>
              </w:rPr>
              <w:t>U</w:t>
            </w:r>
          </w:p>
        </w:tc>
        <w:tc>
          <w:tcPr>
            <w:tcW w:w="4950" w:type="dxa"/>
          </w:tcPr>
          <w:p w14:paraId="1F46ACD1" w14:textId="77777777" w:rsidR="000305DD" w:rsidRPr="00F24972" w:rsidRDefault="000305DD" w:rsidP="000305DD">
            <w:pPr>
              <w:pStyle w:val="TableText"/>
              <w:rPr>
                <w:rFonts w:cs="Arial"/>
              </w:rPr>
            </w:pPr>
            <w:r w:rsidRPr="00F24972">
              <w:rPr>
                <w:rFonts w:cs="Arial"/>
              </w:rPr>
              <w:t>An individual blood unit’s status is invalided when the unit was in a status of transfused.</w:t>
            </w:r>
          </w:p>
        </w:tc>
      </w:tr>
      <w:tr w:rsidR="000305DD" w:rsidRPr="00F24972" w14:paraId="48EA0690" w14:textId="77777777" w:rsidTr="00FA340F">
        <w:trPr>
          <w:cantSplit/>
        </w:trPr>
        <w:tc>
          <w:tcPr>
            <w:tcW w:w="1733" w:type="dxa"/>
            <w:vMerge w:val="restart"/>
          </w:tcPr>
          <w:p w14:paraId="146D85C8" w14:textId="77777777" w:rsidR="000305DD" w:rsidRPr="00F24972" w:rsidRDefault="000305DD" w:rsidP="000305DD">
            <w:pPr>
              <w:pStyle w:val="TableText"/>
              <w:rPr>
                <w:rFonts w:cs="Arial"/>
              </w:rPr>
            </w:pPr>
            <w:r w:rsidRPr="00F24972">
              <w:rPr>
                <w:rFonts w:cs="Arial"/>
              </w:rPr>
              <w:t>Transfusion Reaction Investigation</w:t>
            </w:r>
          </w:p>
        </w:tc>
        <w:tc>
          <w:tcPr>
            <w:tcW w:w="1592" w:type="dxa"/>
            <w:tcBorders>
              <w:bottom w:val="single" w:sz="4" w:space="0" w:color="auto"/>
            </w:tcBorders>
          </w:tcPr>
          <w:p w14:paraId="48B1F557" w14:textId="77777777" w:rsidR="000305DD" w:rsidRPr="00F24972" w:rsidRDefault="000305DD" w:rsidP="000305DD">
            <w:pPr>
              <w:pStyle w:val="TableText"/>
              <w:rPr>
                <w:rFonts w:cs="Arial"/>
              </w:rPr>
            </w:pPr>
            <w:r>
              <w:rPr>
                <w:rFonts w:cs="Arial"/>
              </w:rPr>
              <w:t>Patient Testing, TRW</w:t>
            </w:r>
          </w:p>
          <w:p w14:paraId="6E1DE079" w14:textId="77777777" w:rsidR="000305DD" w:rsidRPr="00F24972" w:rsidRDefault="000305DD" w:rsidP="000305DD">
            <w:pPr>
              <w:pStyle w:val="TableText"/>
              <w:rPr>
                <w:rFonts w:cs="Arial"/>
              </w:rPr>
            </w:pPr>
          </w:p>
          <w:p w14:paraId="0B3961F2" w14:textId="77777777" w:rsidR="000305DD" w:rsidRPr="00F24972" w:rsidRDefault="000305DD" w:rsidP="000305DD">
            <w:pPr>
              <w:pStyle w:val="TableText"/>
              <w:rPr>
                <w:rFonts w:cs="Arial"/>
              </w:rPr>
            </w:pPr>
          </w:p>
        </w:tc>
        <w:tc>
          <w:tcPr>
            <w:tcW w:w="1080" w:type="dxa"/>
            <w:tcBorders>
              <w:bottom w:val="single" w:sz="4" w:space="0" w:color="auto"/>
            </w:tcBorders>
          </w:tcPr>
          <w:p w14:paraId="336F284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A6806F3" w14:textId="77777777" w:rsidR="000305DD" w:rsidRPr="00F24972" w:rsidRDefault="000305DD" w:rsidP="000305DD">
            <w:pPr>
              <w:pStyle w:val="TableText"/>
              <w:jc w:val="center"/>
              <w:rPr>
                <w:rFonts w:cs="Arial"/>
              </w:rPr>
            </w:pPr>
            <w:r w:rsidRPr="00F24972">
              <w:rPr>
                <w:rFonts w:cs="Arial"/>
              </w:rPr>
              <w:t>P</w:t>
            </w:r>
          </w:p>
        </w:tc>
        <w:tc>
          <w:tcPr>
            <w:tcW w:w="4950" w:type="dxa"/>
            <w:tcBorders>
              <w:bottom w:val="single" w:sz="4" w:space="0" w:color="auto"/>
            </w:tcBorders>
          </w:tcPr>
          <w:p w14:paraId="13DF811B" w14:textId="77777777" w:rsidR="000305DD" w:rsidRPr="00F24972" w:rsidRDefault="000305DD" w:rsidP="000305DD">
            <w:pPr>
              <w:pStyle w:val="TableText"/>
              <w:rPr>
                <w:rFonts w:cs="Arial"/>
                <w:i/>
              </w:rPr>
            </w:pPr>
            <w:r w:rsidRPr="00F24972">
              <w:rPr>
                <w:rFonts w:cs="Arial"/>
              </w:rPr>
              <w:t xml:space="preserve">Accrue workload when a transfusion reaction investigation is saved by </w:t>
            </w:r>
            <w:r>
              <w:rPr>
                <w:rFonts w:cs="Arial"/>
              </w:rPr>
              <w:t>Record Transfusion Reaction Workup</w:t>
            </w:r>
            <w:r w:rsidRPr="00F24972">
              <w:rPr>
                <w:rFonts w:cs="Arial"/>
              </w:rPr>
              <w:t xml:space="preserve">. </w:t>
            </w:r>
            <w:r w:rsidRPr="00F24972">
              <w:rPr>
                <w:rFonts w:cs="Arial"/>
                <w:i/>
              </w:rPr>
              <w:t xml:space="preserve">This does </w:t>
            </w:r>
            <w:r w:rsidRPr="00F24972">
              <w:rPr>
                <w:rFonts w:cs="Arial"/>
              </w:rPr>
              <w:t>not</w:t>
            </w:r>
            <w:r w:rsidRPr="00F24972">
              <w:rPr>
                <w:rFonts w:cs="Arial"/>
                <w:i/>
              </w:rPr>
              <w:t xml:space="preserve"> include workload accrued by the optional TRW serologic testing.</w:t>
            </w:r>
          </w:p>
          <w:p w14:paraId="0068A0B6" w14:textId="77777777" w:rsidR="000305DD" w:rsidRPr="00F24972" w:rsidRDefault="000305DD" w:rsidP="000305DD">
            <w:pPr>
              <w:pStyle w:val="TableText"/>
              <w:rPr>
                <w:rFonts w:cs="Arial"/>
              </w:rPr>
            </w:pPr>
            <w:r w:rsidRPr="00F24972">
              <w:rPr>
                <w:rFonts w:cs="Arial"/>
              </w:rPr>
              <w:t xml:space="preserve">Note: The </w:t>
            </w:r>
            <w:r>
              <w:rPr>
                <w:rFonts w:cs="Arial"/>
              </w:rPr>
              <w:t>Division Workload Report</w:t>
            </w:r>
            <w:r w:rsidRPr="00F24972">
              <w:rPr>
                <w:rFonts w:cs="Arial"/>
              </w:rPr>
              <w:t xml:space="preserve"> workload report reports the sum of Workload Events recorded in </w:t>
            </w:r>
            <w:r>
              <w:rPr>
                <w:rFonts w:cs="Arial"/>
              </w:rPr>
              <w:t>Record Transfusion Reaction Workup</w:t>
            </w:r>
            <w:r w:rsidRPr="00F24972">
              <w:rPr>
                <w:rFonts w:cs="Arial"/>
              </w:rPr>
              <w:t xml:space="preserve"> for an individual TRW.</w:t>
            </w:r>
          </w:p>
        </w:tc>
      </w:tr>
      <w:tr w:rsidR="000305DD" w:rsidRPr="00F24972" w14:paraId="0A2ECA72" w14:textId="77777777" w:rsidTr="00FA340F">
        <w:trPr>
          <w:cantSplit/>
        </w:trPr>
        <w:tc>
          <w:tcPr>
            <w:tcW w:w="1733" w:type="dxa"/>
            <w:vMerge/>
            <w:tcBorders>
              <w:bottom w:val="single" w:sz="4" w:space="0" w:color="auto"/>
            </w:tcBorders>
          </w:tcPr>
          <w:p w14:paraId="550A8EBD"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112DB61" w14:textId="77777777" w:rsidR="000305DD" w:rsidRPr="00F24972" w:rsidRDefault="000305DD" w:rsidP="000305DD">
            <w:pPr>
              <w:pStyle w:val="TableText"/>
              <w:rPr>
                <w:rFonts w:cs="Arial"/>
              </w:rPr>
            </w:pPr>
            <w:r>
              <w:rPr>
                <w:rFonts w:cs="Arial"/>
              </w:rPr>
              <w:t>Invalidate Patient Testing, TRW</w:t>
            </w:r>
          </w:p>
        </w:tc>
        <w:tc>
          <w:tcPr>
            <w:tcW w:w="1080" w:type="dxa"/>
            <w:tcBorders>
              <w:top w:val="single" w:sz="4" w:space="0" w:color="auto"/>
              <w:left w:val="single" w:sz="4" w:space="0" w:color="auto"/>
              <w:bottom w:val="single" w:sz="4" w:space="0" w:color="auto"/>
              <w:right w:val="single" w:sz="4" w:space="0" w:color="auto"/>
            </w:tcBorders>
          </w:tcPr>
          <w:p w14:paraId="1B76CF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37F9171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9F70B6B" w14:textId="77777777" w:rsidR="000305DD" w:rsidRPr="00F24972" w:rsidRDefault="000305DD" w:rsidP="000305DD">
            <w:pPr>
              <w:pStyle w:val="TableText"/>
              <w:rPr>
                <w:rFonts w:cs="Arial"/>
              </w:rPr>
            </w:pPr>
            <w:r w:rsidRPr="00F24972">
              <w:rPr>
                <w:rFonts w:cs="Arial"/>
              </w:rPr>
              <w:t xml:space="preserve">Accrue workload when a transfusion reaction investigation previously saved by </w:t>
            </w:r>
            <w:r>
              <w:rPr>
                <w:rFonts w:cs="Arial"/>
              </w:rPr>
              <w:t>Record Transfusion Reaction Workup</w:t>
            </w:r>
            <w:r w:rsidRPr="00F24972">
              <w:rPr>
                <w:rFonts w:cs="Arial"/>
              </w:rPr>
              <w:t xml:space="preserve"> is invalidated. The workload for the transfusion reaction, as well as all of the workload accrued by the optional TRW serologic testing (pre- and post-ABO/Rh, pre- and post-ABS, pre- and post-DAT) are invalidated, as included in selected TRW (</w:t>
            </w:r>
            <w:r>
              <w:rPr>
                <w:rFonts w:cs="Arial"/>
              </w:rPr>
              <w:t>Record Transfusion Reaction Workup</w:t>
            </w:r>
            <w:r w:rsidRPr="00F24972">
              <w:rPr>
                <w:rFonts w:cs="Arial"/>
              </w:rPr>
              <w:t>).</w:t>
            </w:r>
          </w:p>
          <w:p w14:paraId="457DE7B4" w14:textId="77777777" w:rsidR="000305DD" w:rsidRPr="00F24972" w:rsidRDefault="000305DD" w:rsidP="000305DD">
            <w:pPr>
              <w:pStyle w:val="TableText"/>
              <w:rPr>
                <w:rFonts w:cs="Arial"/>
              </w:rPr>
            </w:pPr>
            <w:r w:rsidRPr="00F24972">
              <w:rPr>
                <w:rFonts w:cs="Arial"/>
                <w:i/>
              </w:rPr>
              <w:t>Note: Any pre- or post-crossmatch tests performed as part of the TRW must be invalidated individually.</w:t>
            </w:r>
          </w:p>
        </w:tc>
      </w:tr>
      <w:tr w:rsidR="000305DD" w:rsidRPr="00F24972" w14:paraId="109B8094" w14:textId="77777777" w:rsidTr="00FA340F">
        <w:trPr>
          <w:cantSplit/>
        </w:trPr>
        <w:tc>
          <w:tcPr>
            <w:tcW w:w="1733" w:type="dxa"/>
            <w:vMerge w:val="restart"/>
          </w:tcPr>
          <w:p w14:paraId="40193A07" w14:textId="77777777" w:rsidR="000305DD" w:rsidRPr="00F24972" w:rsidRDefault="000305DD" w:rsidP="000305DD">
            <w:pPr>
              <w:pStyle w:val="TableText"/>
              <w:rPr>
                <w:rFonts w:cs="Arial"/>
              </w:rPr>
            </w:pPr>
            <w:r w:rsidRPr="00F24972">
              <w:rPr>
                <w:rFonts w:cs="Arial"/>
              </w:rPr>
              <w:t>Unit Antigen phenotyping, Multiple Test phases</w:t>
            </w:r>
          </w:p>
        </w:tc>
        <w:tc>
          <w:tcPr>
            <w:tcW w:w="1592" w:type="dxa"/>
          </w:tcPr>
          <w:p w14:paraId="22D3E461" w14:textId="77777777" w:rsidR="000305DD" w:rsidRPr="00F24972" w:rsidRDefault="000305DD" w:rsidP="000305DD">
            <w:pPr>
              <w:pStyle w:val="TableText"/>
              <w:rPr>
                <w:rFonts w:cs="Arial"/>
              </w:rPr>
            </w:pPr>
            <w:r>
              <w:rPr>
                <w:rFonts w:cs="Arial"/>
              </w:rPr>
              <w:t>Unit Antigen typing</w:t>
            </w:r>
          </w:p>
          <w:p w14:paraId="35ED1BCE" w14:textId="77777777" w:rsidR="000305DD" w:rsidRPr="00F24972" w:rsidRDefault="000305DD" w:rsidP="000305DD">
            <w:pPr>
              <w:pStyle w:val="TableText"/>
              <w:rPr>
                <w:rFonts w:cs="Arial"/>
              </w:rPr>
            </w:pPr>
          </w:p>
        </w:tc>
        <w:tc>
          <w:tcPr>
            <w:tcW w:w="1080" w:type="dxa"/>
          </w:tcPr>
          <w:p w14:paraId="64507B03" w14:textId="77777777" w:rsidR="000305DD" w:rsidRPr="00F24972" w:rsidRDefault="000305DD" w:rsidP="000305DD">
            <w:pPr>
              <w:pStyle w:val="TableText"/>
              <w:rPr>
                <w:rFonts w:cs="Arial"/>
              </w:rPr>
            </w:pPr>
            <w:r w:rsidRPr="00F24972">
              <w:rPr>
                <w:rFonts w:cs="Arial"/>
              </w:rPr>
              <w:t>Positive</w:t>
            </w:r>
          </w:p>
        </w:tc>
        <w:tc>
          <w:tcPr>
            <w:tcW w:w="900" w:type="dxa"/>
          </w:tcPr>
          <w:p w14:paraId="7E8BFF5F" w14:textId="77777777" w:rsidR="000305DD" w:rsidRPr="00F24972" w:rsidRDefault="000305DD" w:rsidP="000305DD">
            <w:pPr>
              <w:pStyle w:val="TableText"/>
              <w:jc w:val="center"/>
              <w:rPr>
                <w:rFonts w:cs="Arial"/>
              </w:rPr>
            </w:pPr>
            <w:r w:rsidRPr="00F24972">
              <w:rPr>
                <w:rFonts w:cs="Arial"/>
              </w:rPr>
              <w:t>U</w:t>
            </w:r>
          </w:p>
        </w:tc>
        <w:tc>
          <w:tcPr>
            <w:tcW w:w="4950" w:type="dxa"/>
          </w:tcPr>
          <w:p w14:paraId="5BD0E52F" w14:textId="77777777" w:rsidR="000305DD" w:rsidRPr="00F24972" w:rsidRDefault="000305DD" w:rsidP="000305DD">
            <w:pPr>
              <w:pStyle w:val="TableText"/>
              <w:rPr>
                <w:rFonts w:cs="Arial"/>
              </w:rPr>
            </w:pPr>
            <w:r w:rsidRPr="00F24972">
              <w:rPr>
                <w:rFonts w:cs="Arial"/>
              </w:rPr>
              <w:t>Accrue workload when a unit antigen phenotype test [specificity (tab)] with IS/RT or IS/37 phases is selected and completed for an individual blood unit (row).</w:t>
            </w:r>
          </w:p>
          <w:p w14:paraId="77F517B5"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4A595575" w14:textId="77777777" w:rsidTr="00FA340F">
        <w:trPr>
          <w:cantSplit/>
        </w:trPr>
        <w:tc>
          <w:tcPr>
            <w:tcW w:w="1733" w:type="dxa"/>
            <w:vMerge/>
          </w:tcPr>
          <w:p w14:paraId="38A07120" w14:textId="77777777" w:rsidR="000305DD" w:rsidRPr="00F24972" w:rsidRDefault="000305DD" w:rsidP="000305DD">
            <w:pPr>
              <w:pStyle w:val="TableText"/>
              <w:rPr>
                <w:rFonts w:cs="Arial"/>
              </w:rPr>
            </w:pPr>
          </w:p>
        </w:tc>
        <w:tc>
          <w:tcPr>
            <w:tcW w:w="1592" w:type="dxa"/>
          </w:tcPr>
          <w:p w14:paraId="7E20BDC6"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491D5D60" w14:textId="77777777" w:rsidR="000305DD" w:rsidRPr="00F24972" w:rsidRDefault="000305DD" w:rsidP="000305DD">
            <w:pPr>
              <w:pStyle w:val="TableText"/>
              <w:rPr>
                <w:rFonts w:cs="Arial"/>
                <w:b/>
              </w:rPr>
            </w:pPr>
            <w:r w:rsidRPr="00F24972">
              <w:rPr>
                <w:rFonts w:cs="Arial"/>
                <w:b/>
              </w:rPr>
              <w:t>Negative</w:t>
            </w:r>
          </w:p>
        </w:tc>
        <w:tc>
          <w:tcPr>
            <w:tcW w:w="900" w:type="dxa"/>
          </w:tcPr>
          <w:p w14:paraId="0693FCE0" w14:textId="77777777" w:rsidR="000305DD" w:rsidRPr="00F24972" w:rsidRDefault="000305DD" w:rsidP="000305DD">
            <w:pPr>
              <w:pStyle w:val="TableText"/>
              <w:jc w:val="center"/>
              <w:rPr>
                <w:rFonts w:cs="Arial"/>
              </w:rPr>
            </w:pPr>
            <w:r w:rsidRPr="00F24972">
              <w:rPr>
                <w:rFonts w:cs="Arial"/>
              </w:rPr>
              <w:t>U</w:t>
            </w:r>
          </w:p>
        </w:tc>
        <w:tc>
          <w:tcPr>
            <w:tcW w:w="4950" w:type="dxa"/>
          </w:tcPr>
          <w:p w14:paraId="7658DE69" w14:textId="77777777" w:rsidR="000305DD" w:rsidRPr="00F24972" w:rsidRDefault="000305DD" w:rsidP="000305DD">
            <w:pPr>
              <w:pStyle w:val="TableText"/>
              <w:rPr>
                <w:rFonts w:cs="Arial"/>
              </w:rPr>
            </w:pPr>
            <w:r w:rsidRPr="00F24972">
              <w:rPr>
                <w:rFonts w:cs="Arial"/>
              </w:rPr>
              <w:t>Accrue workload when a unit antigen phenotype test (specificity) with Multiple Test phases is invalidated for an individual blood unit.</w:t>
            </w:r>
          </w:p>
        </w:tc>
      </w:tr>
      <w:tr w:rsidR="000305DD" w:rsidRPr="00F24972" w14:paraId="7FD2FE17" w14:textId="77777777" w:rsidTr="00FA340F">
        <w:trPr>
          <w:cantSplit/>
        </w:trPr>
        <w:tc>
          <w:tcPr>
            <w:tcW w:w="1733" w:type="dxa"/>
            <w:vMerge w:val="restart"/>
            <w:tcBorders>
              <w:top w:val="single" w:sz="4" w:space="0" w:color="auto"/>
              <w:left w:val="single" w:sz="4" w:space="0" w:color="auto"/>
              <w:right w:val="single" w:sz="4" w:space="0" w:color="auto"/>
            </w:tcBorders>
          </w:tcPr>
          <w:p w14:paraId="60305852" w14:textId="77777777" w:rsidR="000305DD" w:rsidRPr="00F24972" w:rsidRDefault="000305DD" w:rsidP="000305DD">
            <w:pPr>
              <w:pStyle w:val="TableText"/>
              <w:rPr>
                <w:rFonts w:cs="Arial"/>
              </w:rPr>
            </w:pPr>
            <w:r w:rsidRPr="00F24972">
              <w:rPr>
                <w:rFonts w:cs="Arial"/>
              </w:rPr>
              <w:t>Unit Antigen phenotyping, Single Test phase</w:t>
            </w:r>
          </w:p>
        </w:tc>
        <w:tc>
          <w:tcPr>
            <w:tcW w:w="1592" w:type="dxa"/>
            <w:tcBorders>
              <w:top w:val="single" w:sz="4" w:space="0" w:color="auto"/>
              <w:left w:val="single" w:sz="4" w:space="0" w:color="auto"/>
              <w:bottom w:val="single" w:sz="4" w:space="0" w:color="auto"/>
              <w:right w:val="single" w:sz="4" w:space="0" w:color="auto"/>
            </w:tcBorders>
          </w:tcPr>
          <w:p w14:paraId="39B9346E" w14:textId="77777777" w:rsidR="000305DD" w:rsidRPr="00F24972" w:rsidRDefault="000305DD" w:rsidP="000305DD">
            <w:pPr>
              <w:pStyle w:val="TableText"/>
              <w:rPr>
                <w:rFonts w:cs="Arial"/>
              </w:rPr>
            </w:pPr>
            <w:r>
              <w:rPr>
                <w:rFonts w:cs="Arial"/>
              </w:rPr>
              <w:t>Unit Antigen typing</w:t>
            </w:r>
          </w:p>
          <w:p w14:paraId="111D365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8BB051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9BF40D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9281B47" w14:textId="77777777" w:rsidR="000305DD" w:rsidRPr="00F24972" w:rsidRDefault="000305DD" w:rsidP="000305DD">
            <w:pPr>
              <w:pStyle w:val="TableText"/>
              <w:rPr>
                <w:rFonts w:cs="Arial"/>
              </w:rPr>
            </w:pPr>
            <w:r w:rsidRPr="00F24972">
              <w:rPr>
                <w:rFonts w:cs="Arial"/>
              </w:rPr>
              <w:t xml:space="preserve">A unit (row) antigen phenotype test [specificity (tab)] with AHG or IS phase is selected and completed for an individual blood unit (row). </w:t>
            </w:r>
          </w:p>
          <w:p w14:paraId="02AB4717"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71FDBEAA" w14:textId="77777777" w:rsidTr="00FA340F">
        <w:trPr>
          <w:cantSplit/>
        </w:trPr>
        <w:tc>
          <w:tcPr>
            <w:tcW w:w="1733" w:type="dxa"/>
            <w:vMerge/>
            <w:tcBorders>
              <w:left w:val="single" w:sz="4" w:space="0" w:color="auto"/>
              <w:right w:val="single" w:sz="4" w:space="0" w:color="auto"/>
            </w:tcBorders>
          </w:tcPr>
          <w:p w14:paraId="5C6AB629" w14:textId="77777777" w:rsidR="000305DD" w:rsidRPr="00F24972" w:rsidRDefault="000305DD" w:rsidP="000305DD">
            <w:pPr>
              <w:pStyle w:val="TableText"/>
              <w:rPr>
                <w:rFonts w:cs="Arial"/>
              </w:rPr>
            </w:pPr>
          </w:p>
        </w:tc>
        <w:tc>
          <w:tcPr>
            <w:tcW w:w="1592" w:type="dxa"/>
            <w:tcBorders>
              <w:left w:val="single" w:sz="4" w:space="0" w:color="auto"/>
            </w:tcBorders>
          </w:tcPr>
          <w:p w14:paraId="04DB32C4"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683743F2" w14:textId="77777777" w:rsidR="000305DD" w:rsidRPr="00F24972" w:rsidRDefault="000305DD" w:rsidP="000305DD">
            <w:pPr>
              <w:pStyle w:val="TableText"/>
              <w:rPr>
                <w:rFonts w:cs="Arial"/>
                <w:b/>
              </w:rPr>
            </w:pPr>
            <w:r w:rsidRPr="00F24972">
              <w:rPr>
                <w:rFonts w:cs="Arial"/>
                <w:b/>
              </w:rPr>
              <w:t>Negative</w:t>
            </w:r>
          </w:p>
        </w:tc>
        <w:tc>
          <w:tcPr>
            <w:tcW w:w="900" w:type="dxa"/>
          </w:tcPr>
          <w:p w14:paraId="2B368457" w14:textId="77777777" w:rsidR="000305DD" w:rsidRPr="00F24972" w:rsidRDefault="000305DD" w:rsidP="000305DD">
            <w:pPr>
              <w:pStyle w:val="TableText"/>
              <w:jc w:val="center"/>
              <w:rPr>
                <w:rFonts w:cs="Arial"/>
              </w:rPr>
            </w:pPr>
            <w:r w:rsidRPr="00F24972">
              <w:rPr>
                <w:rFonts w:cs="Arial"/>
              </w:rPr>
              <w:t>U</w:t>
            </w:r>
          </w:p>
        </w:tc>
        <w:tc>
          <w:tcPr>
            <w:tcW w:w="4950" w:type="dxa"/>
          </w:tcPr>
          <w:p w14:paraId="657FC6E2" w14:textId="77777777" w:rsidR="000305DD" w:rsidRPr="00F24972" w:rsidRDefault="000305DD" w:rsidP="000305DD">
            <w:pPr>
              <w:pStyle w:val="TableText"/>
              <w:rPr>
                <w:rFonts w:cs="Arial"/>
              </w:rPr>
            </w:pPr>
            <w:r w:rsidRPr="00F24972">
              <w:rPr>
                <w:rFonts w:cs="Arial"/>
              </w:rPr>
              <w:t>Accrue workload when a unit antigen phenotype test (specificity) with Single Test phase is invalidated for an individual blood unit.</w:t>
            </w:r>
          </w:p>
        </w:tc>
      </w:tr>
      <w:tr w:rsidR="000305DD" w:rsidRPr="00F24972" w14:paraId="4DA911E0" w14:textId="77777777" w:rsidTr="00FA340F">
        <w:trPr>
          <w:cantSplit/>
        </w:trPr>
        <w:tc>
          <w:tcPr>
            <w:tcW w:w="1733" w:type="dxa"/>
            <w:vMerge w:val="restart"/>
            <w:tcBorders>
              <w:top w:val="single" w:sz="4" w:space="0" w:color="auto"/>
              <w:left w:val="single" w:sz="4" w:space="0" w:color="auto"/>
              <w:right w:val="single" w:sz="4" w:space="0" w:color="auto"/>
            </w:tcBorders>
          </w:tcPr>
          <w:p w14:paraId="2E88758C" w14:textId="77777777" w:rsidR="000305DD" w:rsidRPr="00F24972" w:rsidRDefault="000305DD" w:rsidP="000305DD">
            <w:pPr>
              <w:pStyle w:val="TableText"/>
              <w:rPr>
                <w:rFonts w:cs="Arial"/>
              </w:rPr>
            </w:pPr>
            <w:r w:rsidRPr="00F24972">
              <w:rPr>
                <w:rFonts w:cs="Arial"/>
              </w:rPr>
              <w:t>Unit login</w:t>
            </w:r>
          </w:p>
          <w:p w14:paraId="44124404"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BC82439" w14:textId="77777777" w:rsidR="000305DD" w:rsidRPr="00F24972" w:rsidRDefault="000305DD" w:rsidP="000305DD">
            <w:pPr>
              <w:pStyle w:val="TableText"/>
              <w:rPr>
                <w:rFonts w:cs="Arial"/>
              </w:rPr>
            </w:pPr>
            <w:r>
              <w:rPr>
                <w:rFonts w:cs="Arial"/>
              </w:rPr>
              <w:t>Incoming Shipment</w:t>
            </w:r>
          </w:p>
        </w:tc>
        <w:tc>
          <w:tcPr>
            <w:tcW w:w="1080" w:type="dxa"/>
            <w:tcBorders>
              <w:top w:val="single" w:sz="4" w:space="0" w:color="auto"/>
              <w:left w:val="single" w:sz="4" w:space="0" w:color="auto"/>
              <w:bottom w:val="single" w:sz="4" w:space="0" w:color="auto"/>
              <w:right w:val="single" w:sz="4" w:space="0" w:color="auto"/>
            </w:tcBorders>
          </w:tcPr>
          <w:p w14:paraId="18225F3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9ABD03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F60BFC0" w14:textId="4594A9FF" w:rsidR="000305DD" w:rsidRPr="00F24972" w:rsidRDefault="000305DD" w:rsidP="000305DD">
            <w:pPr>
              <w:pStyle w:val="TableText"/>
              <w:rPr>
                <w:rFonts w:cs="Arial"/>
              </w:rPr>
            </w:pPr>
            <w:r w:rsidRPr="00F24972">
              <w:rPr>
                <w:rFonts w:cs="Arial"/>
              </w:rPr>
              <w:t xml:space="preserve">An individual unit record is activated as saved to an incoming shipment invoice. When </w:t>
            </w:r>
            <w:r w:rsidR="00AE3B37" w:rsidRPr="00F24972">
              <w:rPr>
                <w:rFonts w:cs="Arial"/>
              </w:rPr>
              <w:t>multiple units</w:t>
            </w:r>
            <w:r w:rsidRPr="00F24972">
              <w:rPr>
                <w:rFonts w:cs="Arial"/>
              </w:rPr>
              <w:t xml:space="preserve"> are entered, each unit added to the database accrues workload.</w:t>
            </w:r>
          </w:p>
        </w:tc>
      </w:tr>
      <w:tr w:rsidR="000305DD" w:rsidRPr="00F24972" w14:paraId="546B1880" w14:textId="77777777" w:rsidTr="00FA340F">
        <w:trPr>
          <w:cantSplit/>
        </w:trPr>
        <w:tc>
          <w:tcPr>
            <w:tcW w:w="1733" w:type="dxa"/>
            <w:vMerge/>
            <w:tcBorders>
              <w:left w:val="single" w:sz="4" w:space="0" w:color="auto"/>
              <w:right w:val="single" w:sz="4" w:space="0" w:color="auto"/>
            </w:tcBorders>
          </w:tcPr>
          <w:p w14:paraId="6A1F9225" w14:textId="77777777" w:rsidR="000305DD" w:rsidRPr="00F24972" w:rsidRDefault="000305DD" w:rsidP="000305DD">
            <w:pPr>
              <w:pStyle w:val="TableText"/>
              <w:rPr>
                <w:rFonts w:cs="Arial"/>
              </w:rPr>
            </w:pPr>
          </w:p>
        </w:tc>
        <w:tc>
          <w:tcPr>
            <w:tcW w:w="1592" w:type="dxa"/>
            <w:tcBorders>
              <w:left w:val="single" w:sz="4" w:space="0" w:color="auto"/>
            </w:tcBorders>
          </w:tcPr>
          <w:p w14:paraId="58367220"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3BC529EA" w14:textId="77777777" w:rsidR="000305DD" w:rsidRPr="00F24972" w:rsidRDefault="000305DD" w:rsidP="000305DD">
            <w:pPr>
              <w:pStyle w:val="TableText"/>
              <w:rPr>
                <w:rFonts w:cs="Arial"/>
                <w:b/>
              </w:rPr>
            </w:pPr>
            <w:r w:rsidRPr="00F24972">
              <w:rPr>
                <w:rFonts w:cs="Arial"/>
                <w:b/>
              </w:rPr>
              <w:t>Negative</w:t>
            </w:r>
          </w:p>
        </w:tc>
        <w:tc>
          <w:tcPr>
            <w:tcW w:w="900" w:type="dxa"/>
          </w:tcPr>
          <w:p w14:paraId="15E5CC41" w14:textId="77777777" w:rsidR="000305DD" w:rsidRPr="00F24972" w:rsidRDefault="000305DD" w:rsidP="000305DD">
            <w:pPr>
              <w:pStyle w:val="TableText"/>
              <w:jc w:val="center"/>
              <w:rPr>
                <w:rFonts w:cs="Arial"/>
              </w:rPr>
            </w:pPr>
            <w:r w:rsidRPr="00F24972">
              <w:rPr>
                <w:rFonts w:cs="Arial"/>
              </w:rPr>
              <w:t>U</w:t>
            </w:r>
          </w:p>
        </w:tc>
        <w:tc>
          <w:tcPr>
            <w:tcW w:w="4950" w:type="dxa"/>
          </w:tcPr>
          <w:p w14:paraId="2BD98FB7" w14:textId="77777777" w:rsidR="000305DD" w:rsidRPr="00F24972" w:rsidRDefault="000305DD" w:rsidP="000305DD">
            <w:pPr>
              <w:pStyle w:val="TableText"/>
              <w:rPr>
                <w:rFonts w:cs="Arial"/>
              </w:rPr>
            </w:pPr>
            <w:r w:rsidRPr="00F24972">
              <w:rPr>
                <w:rFonts w:cs="Arial"/>
              </w:rPr>
              <w:t>Accrue workload when a unit is inactivated (unit record inactivated) when logged in thru incoming shipment or is a pooled unit created in VBECS.</w:t>
            </w:r>
            <w:r>
              <w:rPr>
                <w:rFonts w:cs="Arial"/>
              </w:rPr>
              <w:t xml:space="preserve"> </w:t>
            </w:r>
            <w:r w:rsidRPr="00F24972">
              <w:rPr>
                <w:rFonts w:cs="Arial"/>
              </w:rPr>
              <w:t xml:space="preserve">When the unit was created by split modification no workload is invalidated in this option. </w:t>
            </w:r>
          </w:p>
        </w:tc>
      </w:tr>
      <w:tr w:rsidR="000305DD" w:rsidRPr="00F24972" w14:paraId="4232F338" w14:textId="77777777" w:rsidTr="00FA340F">
        <w:trPr>
          <w:cantSplit/>
        </w:trPr>
        <w:tc>
          <w:tcPr>
            <w:tcW w:w="1733" w:type="dxa"/>
            <w:vMerge w:val="restart"/>
            <w:tcBorders>
              <w:top w:val="single" w:sz="4" w:space="0" w:color="auto"/>
              <w:left w:val="single" w:sz="4" w:space="0" w:color="auto"/>
              <w:right w:val="single" w:sz="4" w:space="0" w:color="auto"/>
            </w:tcBorders>
          </w:tcPr>
          <w:p w14:paraId="2B97C91B" w14:textId="77777777" w:rsidR="000305DD" w:rsidRPr="00F24972" w:rsidRDefault="000305DD" w:rsidP="000305DD">
            <w:pPr>
              <w:pStyle w:val="TableText"/>
              <w:rPr>
                <w:rFonts w:cs="Arial"/>
              </w:rPr>
            </w:pPr>
            <w:r w:rsidRPr="00F24972">
              <w:rPr>
                <w:rFonts w:cs="Arial"/>
              </w:rPr>
              <w:lastRenderedPageBreak/>
              <w:t>Unit logout</w:t>
            </w:r>
          </w:p>
        </w:tc>
        <w:tc>
          <w:tcPr>
            <w:tcW w:w="1592" w:type="dxa"/>
            <w:tcBorders>
              <w:top w:val="single" w:sz="4" w:space="0" w:color="auto"/>
              <w:left w:val="single" w:sz="4" w:space="0" w:color="auto"/>
              <w:bottom w:val="single" w:sz="4" w:space="0" w:color="auto"/>
              <w:right w:val="single" w:sz="4" w:space="0" w:color="auto"/>
            </w:tcBorders>
          </w:tcPr>
          <w:p w14:paraId="790AEC25" w14:textId="77777777" w:rsidR="000305DD" w:rsidRPr="00F24972" w:rsidRDefault="000305DD" w:rsidP="000305DD">
            <w:pPr>
              <w:pStyle w:val="TableText"/>
              <w:rPr>
                <w:rFonts w:cs="Arial"/>
              </w:rPr>
            </w:pPr>
            <w:r>
              <w:rPr>
                <w:rFonts w:cs="Arial"/>
              </w:rPr>
              <w:t>Outgoing Shipment</w:t>
            </w:r>
          </w:p>
        </w:tc>
        <w:tc>
          <w:tcPr>
            <w:tcW w:w="1080" w:type="dxa"/>
            <w:tcBorders>
              <w:top w:val="single" w:sz="4" w:space="0" w:color="auto"/>
              <w:left w:val="single" w:sz="4" w:space="0" w:color="auto"/>
              <w:bottom w:val="single" w:sz="4" w:space="0" w:color="auto"/>
              <w:right w:val="single" w:sz="4" w:space="0" w:color="auto"/>
            </w:tcBorders>
          </w:tcPr>
          <w:p w14:paraId="3312316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BFD9D2C"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B8384A4" w14:textId="5966C50E" w:rsidR="000305DD" w:rsidRPr="00F24972" w:rsidRDefault="000305DD" w:rsidP="000305DD">
            <w:pPr>
              <w:pStyle w:val="TableText"/>
              <w:rPr>
                <w:rFonts w:cs="Arial"/>
              </w:rPr>
            </w:pPr>
            <w:r w:rsidRPr="00F24972">
              <w:rPr>
                <w:rFonts w:cs="Arial"/>
              </w:rPr>
              <w:t xml:space="preserve">An individual unit’s status is updated to </w:t>
            </w:r>
            <w:r w:rsidRPr="00F24972">
              <w:rPr>
                <w:rFonts w:cs="Arial"/>
                <w:i/>
              </w:rPr>
              <w:t>transferred</w:t>
            </w:r>
            <w:r w:rsidRPr="00F24972">
              <w:rPr>
                <w:rFonts w:cs="Arial"/>
              </w:rPr>
              <w:t xml:space="preserve"> on a confirmed outgoing shipment invoice.</w:t>
            </w:r>
            <w:r>
              <w:rPr>
                <w:rFonts w:cs="Arial"/>
              </w:rPr>
              <w:t xml:space="preserve"> </w:t>
            </w:r>
            <w:r w:rsidRPr="00F24972">
              <w:rPr>
                <w:rFonts w:cs="Arial"/>
              </w:rPr>
              <w:t xml:space="preserve">When </w:t>
            </w:r>
            <w:r w:rsidR="00AE3B37" w:rsidRPr="00F24972">
              <w:rPr>
                <w:rFonts w:cs="Arial"/>
              </w:rPr>
              <w:t>multiple units</w:t>
            </w:r>
            <w:r w:rsidRPr="00F24972">
              <w:rPr>
                <w:rFonts w:cs="Arial"/>
              </w:rPr>
              <w:t xml:space="preserve"> are selected, each unit accrues workload.</w:t>
            </w:r>
          </w:p>
          <w:p w14:paraId="6F845161" w14:textId="77777777" w:rsidR="000305DD" w:rsidRPr="00F24972" w:rsidRDefault="000305DD" w:rsidP="000305DD">
            <w:pPr>
              <w:pStyle w:val="TableText"/>
              <w:rPr>
                <w:rFonts w:cs="Arial"/>
              </w:rPr>
            </w:pPr>
            <w:r w:rsidRPr="00F24972">
              <w:rPr>
                <w:rFonts w:cs="Arial"/>
              </w:rPr>
              <w:t>Accrue workload upon the confirmation of the invoice, not the addition of a unit to a temporary outgoing shipment invoice as an invoice may be confirmed only once.</w:t>
            </w:r>
          </w:p>
        </w:tc>
      </w:tr>
      <w:tr w:rsidR="000305DD" w:rsidRPr="00F24972" w14:paraId="61880C87" w14:textId="77777777" w:rsidTr="00FA340F">
        <w:trPr>
          <w:cantSplit/>
        </w:trPr>
        <w:tc>
          <w:tcPr>
            <w:tcW w:w="1733" w:type="dxa"/>
            <w:vMerge/>
            <w:tcBorders>
              <w:left w:val="single" w:sz="4" w:space="0" w:color="auto"/>
              <w:bottom w:val="single" w:sz="4" w:space="0" w:color="auto"/>
              <w:right w:val="single" w:sz="4" w:space="0" w:color="auto"/>
            </w:tcBorders>
          </w:tcPr>
          <w:p w14:paraId="37A9844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7D44AF4B" w14:textId="77777777" w:rsidR="000305DD" w:rsidRPr="00F24972" w:rsidRDefault="000305DD" w:rsidP="000305DD">
            <w:pPr>
              <w:pStyle w:val="TableText"/>
              <w:rPr>
                <w:rFonts w:cs="Arial"/>
              </w:rPr>
            </w:pPr>
            <w:r>
              <w:rPr>
                <w:rFonts w:cs="Arial"/>
              </w:rPr>
              <w:t>Invalidate Unit Status, Transferred</w:t>
            </w:r>
          </w:p>
        </w:tc>
        <w:tc>
          <w:tcPr>
            <w:tcW w:w="1080" w:type="dxa"/>
            <w:tcBorders>
              <w:top w:val="single" w:sz="4" w:space="0" w:color="auto"/>
              <w:left w:val="single" w:sz="4" w:space="0" w:color="auto"/>
              <w:bottom w:val="single" w:sz="4" w:space="0" w:color="auto"/>
              <w:right w:val="single" w:sz="4" w:space="0" w:color="auto"/>
            </w:tcBorders>
          </w:tcPr>
          <w:p w14:paraId="4F05DB16"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EB2CB2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1C28BA84" w14:textId="77777777" w:rsidR="000305DD" w:rsidRPr="00F24972" w:rsidRDefault="000305DD" w:rsidP="000305DD">
            <w:pPr>
              <w:pStyle w:val="TableText"/>
              <w:rPr>
                <w:rFonts w:cs="Arial"/>
              </w:rPr>
            </w:pPr>
            <w:r w:rsidRPr="00F24972">
              <w:rPr>
                <w:rFonts w:cs="Arial"/>
              </w:rPr>
              <w:t>An individual unit status is invalidated when the unit had a previous unit status of transferred.</w:t>
            </w:r>
          </w:p>
        </w:tc>
      </w:tr>
      <w:tr w:rsidR="000305DD" w:rsidRPr="00F24972" w14:paraId="1A32B623" w14:textId="77777777" w:rsidTr="00FA340F">
        <w:trPr>
          <w:cantSplit/>
        </w:trPr>
        <w:tc>
          <w:tcPr>
            <w:tcW w:w="1733" w:type="dxa"/>
            <w:tcBorders>
              <w:bottom w:val="single" w:sz="4" w:space="0" w:color="auto"/>
            </w:tcBorders>
          </w:tcPr>
          <w:p w14:paraId="3B55882F" w14:textId="77777777" w:rsidR="000305DD" w:rsidRPr="00F24972" w:rsidRDefault="000305DD" w:rsidP="000305DD">
            <w:pPr>
              <w:pStyle w:val="TableText"/>
              <w:rPr>
                <w:rFonts w:cs="Arial"/>
              </w:rPr>
            </w:pPr>
            <w:r w:rsidRPr="00F24972">
              <w:rPr>
                <w:rFonts w:cs="Arial"/>
              </w:rPr>
              <w:t>Update Equipment Record</w:t>
            </w:r>
          </w:p>
        </w:tc>
        <w:tc>
          <w:tcPr>
            <w:tcW w:w="1592" w:type="dxa"/>
            <w:tcBorders>
              <w:bottom w:val="single" w:sz="4" w:space="0" w:color="auto"/>
            </w:tcBorders>
          </w:tcPr>
          <w:p w14:paraId="5B56578D" w14:textId="77777777" w:rsidR="000305DD" w:rsidRPr="00F24972" w:rsidRDefault="000305DD" w:rsidP="000305DD">
            <w:pPr>
              <w:pStyle w:val="TableText"/>
              <w:rPr>
                <w:rFonts w:cs="Arial"/>
              </w:rPr>
            </w:pPr>
            <w:r>
              <w:rPr>
                <w:rFonts w:cs="Arial"/>
                <w:snapToGrid w:val="0"/>
              </w:rPr>
              <w:t>Equipment, Update</w:t>
            </w:r>
          </w:p>
        </w:tc>
        <w:tc>
          <w:tcPr>
            <w:tcW w:w="1080" w:type="dxa"/>
            <w:tcBorders>
              <w:bottom w:val="single" w:sz="4" w:space="0" w:color="auto"/>
            </w:tcBorders>
          </w:tcPr>
          <w:p w14:paraId="1A69AC5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63046F13"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3C2608F7" w14:textId="77777777" w:rsidR="000305DD" w:rsidRPr="00F24972" w:rsidRDefault="000305DD" w:rsidP="000305DD">
            <w:pPr>
              <w:pStyle w:val="TableText"/>
              <w:rPr>
                <w:rFonts w:cs="Arial"/>
              </w:rPr>
            </w:pPr>
            <w:r w:rsidRPr="00F24972">
              <w:rPr>
                <w:rFonts w:cs="Arial"/>
              </w:rPr>
              <w:t>Accrue workload when a lot number of any type of equipment is updated in the system.</w:t>
            </w:r>
            <w:r>
              <w:rPr>
                <w:rFonts w:cs="Arial"/>
              </w:rPr>
              <w:t xml:space="preserve"> </w:t>
            </w:r>
          </w:p>
        </w:tc>
      </w:tr>
      <w:tr w:rsidR="000305DD" w:rsidRPr="00F24972" w14:paraId="6D7653AF" w14:textId="77777777" w:rsidTr="00FA340F">
        <w:trPr>
          <w:cantSplit/>
        </w:trPr>
        <w:tc>
          <w:tcPr>
            <w:tcW w:w="1733" w:type="dxa"/>
            <w:tcBorders>
              <w:bottom w:val="single" w:sz="4" w:space="0" w:color="auto"/>
            </w:tcBorders>
          </w:tcPr>
          <w:p w14:paraId="26821E5B" w14:textId="77777777" w:rsidR="000305DD" w:rsidRPr="00F24972" w:rsidRDefault="000305DD" w:rsidP="000305DD">
            <w:pPr>
              <w:pStyle w:val="TableText"/>
              <w:rPr>
                <w:rFonts w:cs="Arial"/>
              </w:rPr>
            </w:pPr>
            <w:r w:rsidRPr="00F24972">
              <w:rPr>
                <w:rFonts w:cs="Arial"/>
              </w:rPr>
              <w:t>Update Reagent Inventory</w:t>
            </w:r>
          </w:p>
        </w:tc>
        <w:tc>
          <w:tcPr>
            <w:tcW w:w="1592" w:type="dxa"/>
            <w:tcBorders>
              <w:bottom w:val="single" w:sz="4" w:space="0" w:color="auto"/>
            </w:tcBorders>
          </w:tcPr>
          <w:p w14:paraId="68D34107" w14:textId="77777777" w:rsidR="000305DD" w:rsidRPr="00F24972" w:rsidRDefault="000305DD" w:rsidP="000305DD">
            <w:pPr>
              <w:pStyle w:val="TableText"/>
              <w:rPr>
                <w:rFonts w:cs="Arial"/>
              </w:rPr>
            </w:pPr>
            <w:r>
              <w:rPr>
                <w:rFonts w:cs="Arial"/>
                <w:snapToGrid w:val="0"/>
              </w:rPr>
              <w:t>Reagents, Update</w:t>
            </w:r>
          </w:p>
        </w:tc>
        <w:tc>
          <w:tcPr>
            <w:tcW w:w="1080" w:type="dxa"/>
            <w:tcBorders>
              <w:bottom w:val="single" w:sz="4" w:space="0" w:color="auto"/>
            </w:tcBorders>
          </w:tcPr>
          <w:p w14:paraId="0B729DAF"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7180AE1"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00663E72" w14:textId="77777777" w:rsidR="000305DD" w:rsidRPr="00F24972" w:rsidRDefault="000305DD" w:rsidP="000305DD">
            <w:pPr>
              <w:pStyle w:val="TableText"/>
              <w:rPr>
                <w:rFonts w:cs="Arial"/>
              </w:rPr>
            </w:pPr>
            <w:r w:rsidRPr="00F24972">
              <w:rPr>
                <w:rFonts w:cs="Arial"/>
              </w:rPr>
              <w:t>Accrue workload when a lot number of any type of reagent is updated in the system.</w:t>
            </w:r>
            <w:r>
              <w:rPr>
                <w:rFonts w:cs="Arial"/>
              </w:rPr>
              <w:t xml:space="preserve"> </w:t>
            </w:r>
            <w:r w:rsidRPr="00F24972">
              <w:rPr>
                <w:rFonts w:cs="Arial"/>
              </w:rPr>
              <w:t>When multiple lot numbers are processed in a batch, each lot number’s workload is counted.</w:t>
            </w:r>
          </w:p>
        </w:tc>
      </w:tr>
      <w:tr w:rsidR="000305DD" w:rsidRPr="00F24972" w14:paraId="6D81359D" w14:textId="77777777" w:rsidTr="00FA340F">
        <w:trPr>
          <w:cantSplit/>
        </w:trPr>
        <w:tc>
          <w:tcPr>
            <w:tcW w:w="1733" w:type="dxa"/>
          </w:tcPr>
          <w:p w14:paraId="6F754A39" w14:textId="77777777" w:rsidR="000305DD" w:rsidRPr="000037E8" w:rsidRDefault="000305DD" w:rsidP="000305DD">
            <w:pPr>
              <w:pStyle w:val="TableText"/>
              <w:rPr>
                <w:rFonts w:cs="Arial"/>
                <w:szCs w:val="18"/>
              </w:rPr>
            </w:pPr>
            <w:r w:rsidRPr="000037E8">
              <w:rPr>
                <w:rFonts w:cs="Arial"/>
                <w:szCs w:val="18"/>
              </w:rPr>
              <w:t>Update Supply Inventory</w:t>
            </w:r>
          </w:p>
        </w:tc>
        <w:tc>
          <w:tcPr>
            <w:tcW w:w="1592" w:type="dxa"/>
          </w:tcPr>
          <w:p w14:paraId="01AD5948" w14:textId="77777777" w:rsidR="000305DD" w:rsidRPr="000037E8" w:rsidRDefault="000305DD" w:rsidP="000305DD">
            <w:pPr>
              <w:pStyle w:val="TableText"/>
              <w:rPr>
                <w:rFonts w:cs="Arial"/>
                <w:snapToGrid w:val="0"/>
                <w:szCs w:val="18"/>
              </w:rPr>
            </w:pPr>
            <w:r w:rsidRPr="000037E8">
              <w:rPr>
                <w:rFonts w:cs="Arial"/>
                <w:snapToGrid w:val="0"/>
                <w:szCs w:val="18"/>
              </w:rPr>
              <w:t>Supplies, Update</w:t>
            </w:r>
          </w:p>
        </w:tc>
        <w:tc>
          <w:tcPr>
            <w:tcW w:w="1080" w:type="dxa"/>
          </w:tcPr>
          <w:p w14:paraId="7246DA46" w14:textId="77777777" w:rsidR="000305DD" w:rsidRPr="000037E8" w:rsidRDefault="000305DD" w:rsidP="000305DD">
            <w:pPr>
              <w:pStyle w:val="TableText"/>
              <w:rPr>
                <w:rFonts w:cs="Arial"/>
                <w:szCs w:val="18"/>
              </w:rPr>
            </w:pPr>
            <w:r w:rsidRPr="000037E8">
              <w:rPr>
                <w:rFonts w:cs="Arial"/>
                <w:szCs w:val="18"/>
              </w:rPr>
              <w:t>Positive</w:t>
            </w:r>
          </w:p>
        </w:tc>
        <w:tc>
          <w:tcPr>
            <w:tcW w:w="900" w:type="dxa"/>
          </w:tcPr>
          <w:p w14:paraId="23309556" w14:textId="77777777" w:rsidR="000305DD" w:rsidRPr="000037E8" w:rsidRDefault="000305DD" w:rsidP="000305DD">
            <w:pPr>
              <w:pStyle w:val="TableText"/>
              <w:jc w:val="center"/>
              <w:rPr>
                <w:rFonts w:cs="Arial"/>
                <w:szCs w:val="18"/>
              </w:rPr>
            </w:pPr>
            <w:r w:rsidRPr="000037E8">
              <w:rPr>
                <w:rFonts w:cs="Arial"/>
                <w:szCs w:val="18"/>
              </w:rPr>
              <w:t>M</w:t>
            </w:r>
          </w:p>
        </w:tc>
        <w:tc>
          <w:tcPr>
            <w:tcW w:w="4950" w:type="dxa"/>
          </w:tcPr>
          <w:p w14:paraId="19DDCFFF" w14:textId="77777777" w:rsidR="000305DD" w:rsidRPr="000037E8" w:rsidRDefault="000305DD" w:rsidP="000305DD">
            <w:pPr>
              <w:pStyle w:val="TableText"/>
              <w:rPr>
                <w:rFonts w:cs="Arial"/>
                <w:szCs w:val="18"/>
              </w:rPr>
            </w:pPr>
            <w:r w:rsidRPr="000037E8">
              <w:rPr>
                <w:rFonts w:cs="Arial"/>
                <w:szCs w:val="18"/>
              </w:rPr>
              <w:t>Accrue workload when a lot number of any type of supply is updated in the system. When multiple lot numbers are processed in a batch, each lot number’s workload is counted.</w:t>
            </w:r>
          </w:p>
        </w:tc>
      </w:tr>
      <w:tr w:rsidR="000037E8" w:rsidRPr="00F24972" w14:paraId="3F49B9F4" w14:textId="77777777" w:rsidTr="00FA340F">
        <w:trPr>
          <w:cantSplit/>
        </w:trPr>
        <w:tc>
          <w:tcPr>
            <w:tcW w:w="1733" w:type="dxa"/>
            <w:vMerge w:val="restart"/>
          </w:tcPr>
          <w:p w14:paraId="10F2A8EC" w14:textId="77777777" w:rsidR="000037E8" w:rsidRPr="000037E8" w:rsidRDefault="000037E8" w:rsidP="00A42CB6">
            <w:pPr>
              <w:pStyle w:val="TableText"/>
              <w:rPr>
                <w:rFonts w:cs="Arial"/>
                <w:szCs w:val="18"/>
              </w:rPr>
            </w:pPr>
            <w:r w:rsidRPr="000037E8">
              <w:rPr>
                <w:rFonts w:cs="Arial"/>
                <w:szCs w:val="18"/>
              </w:rPr>
              <w:t>Patient ABO Automated</w:t>
            </w:r>
          </w:p>
        </w:tc>
        <w:tc>
          <w:tcPr>
            <w:tcW w:w="1592" w:type="dxa"/>
          </w:tcPr>
          <w:p w14:paraId="484713F7" w14:textId="77777777" w:rsidR="000037E8" w:rsidRPr="000037E8" w:rsidRDefault="001676C5" w:rsidP="00A42CB6">
            <w:pPr>
              <w:pStyle w:val="TableText"/>
              <w:rPr>
                <w:rFonts w:cs="Arial"/>
                <w:snapToGrid w:val="0"/>
                <w:szCs w:val="18"/>
              </w:rPr>
            </w:pPr>
            <w:r>
              <w:rPr>
                <w:rFonts w:cs="Arial"/>
                <w:snapToGrid w:val="0"/>
                <w:szCs w:val="18"/>
              </w:rPr>
              <w:t>Automated Interface</w:t>
            </w:r>
          </w:p>
        </w:tc>
        <w:tc>
          <w:tcPr>
            <w:tcW w:w="1080" w:type="dxa"/>
          </w:tcPr>
          <w:p w14:paraId="69D5C757" w14:textId="77777777" w:rsidR="000037E8" w:rsidRPr="000037E8" w:rsidRDefault="000037E8" w:rsidP="00A42CB6">
            <w:pPr>
              <w:pStyle w:val="TableText"/>
              <w:rPr>
                <w:rFonts w:cs="Arial"/>
                <w:szCs w:val="18"/>
              </w:rPr>
            </w:pPr>
            <w:r w:rsidRPr="000037E8">
              <w:rPr>
                <w:rFonts w:cs="Arial"/>
                <w:szCs w:val="18"/>
              </w:rPr>
              <w:t>Positive</w:t>
            </w:r>
          </w:p>
        </w:tc>
        <w:tc>
          <w:tcPr>
            <w:tcW w:w="900" w:type="dxa"/>
          </w:tcPr>
          <w:p w14:paraId="494D41ED" w14:textId="77777777" w:rsidR="000037E8" w:rsidRPr="000037E8" w:rsidRDefault="000037E8" w:rsidP="00A42CB6">
            <w:pPr>
              <w:pStyle w:val="TableText"/>
              <w:jc w:val="center"/>
              <w:rPr>
                <w:rFonts w:cs="Arial"/>
                <w:szCs w:val="18"/>
              </w:rPr>
            </w:pPr>
            <w:r w:rsidRPr="000037E8">
              <w:rPr>
                <w:rFonts w:cs="Arial"/>
                <w:szCs w:val="18"/>
              </w:rPr>
              <w:t>P</w:t>
            </w:r>
          </w:p>
        </w:tc>
        <w:tc>
          <w:tcPr>
            <w:tcW w:w="4950" w:type="dxa"/>
          </w:tcPr>
          <w:p w14:paraId="33E6FB76" w14:textId="77777777" w:rsidR="000037E8" w:rsidRPr="000037E8" w:rsidRDefault="000037E8" w:rsidP="00A42CB6">
            <w:pPr>
              <w:pStyle w:val="TableText"/>
              <w:rPr>
                <w:rFonts w:cs="Arial"/>
                <w:szCs w:val="18"/>
              </w:rPr>
            </w:pPr>
            <w:r w:rsidRPr="000037E8">
              <w:rPr>
                <w:rFonts w:cs="Arial"/>
                <w:szCs w:val="18"/>
              </w:rPr>
              <w:t>Accrue workload when an ABO/Rh test, primary or reflex, is reviewed, and saved.</w:t>
            </w:r>
          </w:p>
        </w:tc>
      </w:tr>
      <w:tr w:rsidR="000037E8" w:rsidRPr="00F24972" w14:paraId="35504135" w14:textId="77777777" w:rsidTr="00FA340F">
        <w:trPr>
          <w:cantSplit/>
        </w:trPr>
        <w:tc>
          <w:tcPr>
            <w:tcW w:w="1733" w:type="dxa"/>
            <w:vMerge/>
          </w:tcPr>
          <w:p w14:paraId="0A6FA88D" w14:textId="77777777" w:rsidR="000037E8" w:rsidRPr="000037E8" w:rsidRDefault="000037E8" w:rsidP="00A42CB6">
            <w:pPr>
              <w:pStyle w:val="TableText"/>
              <w:rPr>
                <w:rFonts w:cs="Arial"/>
                <w:szCs w:val="18"/>
              </w:rPr>
            </w:pPr>
          </w:p>
        </w:tc>
        <w:tc>
          <w:tcPr>
            <w:tcW w:w="1592" w:type="dxa"/>
          </w:tcPr>
          <w:p w14:paraId="78A1D3B4" w14:textId="77777777" w:rsidR="000037E8" w:rsidRPr="000037E8" w:rsidRDefault="001676C5" w:rsidP="00A42CB6">
            <w:pPr>
              <w:pStyle w:val="TableText"/>
              <w:rPr>
                <w:rFonts w:cs="Arial"/>
                <w:snapToGrid w:val="0"/>
                <w:szCs w:val="18"/>
              </w:rPr>
            </w:pPr>
            <w:r>
              <w:rPr>
                <w:rFonts w:cs="Arial"/>
                <w:snapToGrid w:val="0"/>
                <w:szCs w:val="18"/>
              </w:rPr>
              <w:t>Invalidate patient testing, ABO/Rh</w:t>
            </w:r>
          </w:p>
        </w:tc>
        <w:tc>
          <w:tcPr>
            <w:tcW w:w="1080" w:type="dxa"/>
          </w:tcPr>
          <w:p w14:paraId="7343A037" w14:textId="77777777" w:rsidR="000037E8" w:rsidRPr="000037E8" w:rsidRDefault="000037E8" w:rsidP="00A42CB6">
            <w:pPr>
              <w:pStyle w:val="TableText"/>
              <w:rPr>
                <w:rFonts w:cs="Arial"/>
                <w:szCs w:val="18"/>
              </w:rPr>
            </w:pPr>
            <w:r w:rsidRPr="000037E8">
              <w:rPr>
                <w:rFonts w:cs="Arial"/>
                <w:b/>
                <w:szCs w:val="18"/>
              </w:rPr>
              <w:t>Negative</w:t>
            </w:r>
          </w:p>
        </w:tc>
        <w:tc>
          <w:tcPr>
            <w:tcW w:w="900" w:type="dxa"/>
          </w:tcPr>
          <w:p w14:paraId="046659B1" w14:textId="77777777" w:rsidR="000037E8" w:rsidRPr="000037E8" w:rsidRDefault="000037E8" w:rsidP="00A42CB6">
            <w:pPr>
              <w:pStyle w:val="TableText"/>
              <w:jc w:val="center"/>
              <w:rPr>
                <w:rFonts w:cs="Arial"/>
                <w:szCs w:val="18"/>
              </w:rPr>
            </w:pPr>
            <w:r w:rsidRPr="000037E8">
              <w:rPr>
                <w:rFonts w:cs="Arial"/>
                <w:szCs w:val="18"/>
              </w:rPr>
              <w:t>P</w:t>
            </w:r>
          </w:p>
        </w:tc>
        <w:tc>
          <w:tcPr>
            <w:tcW w:w="4950" w:type="dxa"/>
          </w:tcPr>
          <w:p w14:paraId="658B8A94" w14:textId="77777777" w:rsidR="000037E8" w:rsidRPr="000037E8" w:rsidRDefault="000037E8" w:rsidP="00A42CB6">
            <w:pPr>
              <w:pStyle w:val="TableText"/>
              <w:rPr>
                <w:rFonts w:cs="Arial"/>
                <w:szCs w:val="18"/>
              </w:rPr>
            </w:pPr>
            <w:r w:rsidRPr="000037E8">
              <w:rPr>
                <w:rFonts w:cs="Arial"/>
                <w:szCs w:val="18"/>
              </w:rPr>
              <w:t>Accrue workload when a reviewed ABO/Rh test is invalidated.</w:t>
            </w:r>
          </w:p>
        </w:tc>
      </w:tr>
      <w:tr w:rsidR="001676C5" w:rsidRPr="00F24972" w14:paraId="732432E5" w14:textId="77777777" w:rsidTr="00FA340F">
        <w:trPr>
          <w:cantSplit/>
        </w:trPr>
        <w:tc>
          <w:tcPr>
            <w:tcW w:w="1733" w:type="dxa"/>
            <w:vMerge w:val="restart"/>
          </w:tcPr>
          <w:p w14:paraId="62E2683E" w14:textId="77777777" w:rsidR="001676C5" w:rsidRPr="000037E8" w:rsidRDefault="001676C5" w:rsidP="00A42CB6">
            <w:pPr>
              <w:pStyle w:val="TableText"/>
              <w:rPr>
                <w:rFonts w:cs="Arial"/>
                <w:szCs w:val="18"/>
              </w:rPr>
            </w:pPr>
            <w:r w:rsidRPr="000037E8">
              <w:rPr>
                <w:rFonts w:cs="Arial"/>
                <w:szCs w:val="18"/>
              </w:rPr>
              <w:t>Antibody Screen/Indirect Coombs Automated</w:t>
            </w:r>
          </w:p>
        </w:tc>
        <w:tc>
          <w:tcPr>
            <w:tcW w:w="1592" w:type="dxa"/>
          </w:tcPr>
          <w:p w14:paraId="22C5F222"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1EE6D380"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84CA47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F4EA107" w14:textId="77777777" w:rsidR="001676C5" w:rsidRPr="000037E8" w:rsidRDefault="001676C5" w:rsidP="00A42CB6">
            <w:pPr>
              <w:pStyle w:val="TableText"/>
              <w:rPr>
                <w:rFonts w:cs="Arial"/>
                <w:szCs w:val="18"/>
              </w:rPr>
            </w:pPr>
            <w:r w:rsidRPr="000037E8">
              <w:rPr>
                <w:rFonts w:cs="Arial"/>
                <w:szCs w:val="18"/>
              </w:rPr>
              <w:t>Accrue workload when an ordered ABS test, primary or reflex, is reviewed, and saved.</w:t>
            </w:r>
          </w:p>
          <w:p w14:paraId="1684790A" w14:textId="77777777" w:rsidR="001676C5" w:rsidRPr="000037E8" w:rsidRDefault="001676C5" w:rsidP="00A42CB6">
            <w:pPr>
              <w:pStyle w:val="TableText"/>
              <w:rPr>
                <w:rFonts w:cs="Arial"/>
                <w:szCs w:val="18"/>
              </w:rPr>
            </w:pPr>
            <w:r w:rsidRPr="000037E8">
              <w:rPr>
                <w:rFonts w:cs="Arial"/>
                <w:szCs w:val="18"/>
              </w:rPr>
              <w:t>Apply to primary or reflex tests.</w:t>
            </w:r>
          </w:p>
        </w:tc>
      </w:tr>
      <w:tr w:rsidR="001676C5" w:rsidRPr="00F24972" w14:paraId="16F84BE5" w14:textId="77777777" w:rsidTr="00FA340F">
        <w:trPr>
          <w:cantSplit/>
        </w:trPr>
        <w:tc>
          <w:tcPr>
            <w:tcW w:w="1733" w:type="dxa"/>
            <w:vMerge/>
          </w:tcPr>
          <w:p w14:paraId="4EC17938" w14:textId="77777777" w:rsidR="001676C5" w:rsidRPr="000037E8" w:rsidRDefault="001676C5" w:rsidP="00A42CB6">
            <w:pPr>
              <w:pStyle w:val="TableText"/>
              <w:rPr>
                <w:rFonts w:cs="Arial"/>
                <w:szCs w:val="18"/>
              </w:rPr>
            </w:pPr>
          </w:p>
        </w:tc>
        <w:tc>
          <w:tcPr>
            <w:tcW w:w="1592" w:type="dxa"/>
          </w:tcPr>
          <w:p w14:paraId="6F544743" w14:textId="77777777" w:rsidR="001676C5" w:rsidRPr="000037E8" w:rsidRDefault="001676C5" w:rsidP="0038583A">
            <w:pPr>
              <w:pStyle w:val="TableText"/>
              <w:rPr>
                <w:rFonts w:cs="Arial"/>
                <w:snapToGrid w:val="0"/>
                <w:szCs w:val="18"/>
              </w:rPr>
            </w:pPr>
            <w:r>
              <w:rPr>
                <w:rFonts w:cs="Arial"/>
                <w:snapToGrid w:val="0"/>
                <w:szCs w:val="18"/>
              </w:rPr>
              <w:t>Invalidate patient testing, Antibody Screen</w:t>
            </w:r>
          </w:p>
        </w:tc>
        <w:tc>
          <w:tcPr>
            <w:tcW w:w="1080" w:type="dxa"/>
          </w:tcPr>
          <w:p w14:paraId="0F3EC117"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5824A9F"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2275A99A" w14:textId="77777777" w:rsidR="001676C5" w:rsidRPr="000037E8" w:rsidRDefault="001676C5" w:rsidP="00A42CB6">
            <w:pPr>
              <w:pStyle w:val="TableText"/>
              <w:rPr>
                <w:rFonts w:cs="Arial"/>
                <w:szCs w:val="18"/>
              </w:rPr>
            </w:pPr>
            <w:r w:rsidRPr="000037E8">
              <w:rPr>
                <w:rFonts w:cs="Arial"/>
                <w:szCs w:val="18"/>
              </w:rPr>
              <w:t>Accrue workload when a completed ABS test is invalidated.</w:t>
            </w:r>
          </w:p>
        </w:tc>
      </w:tr>
      <w:tr w:rsidR="001676C5" w:rsidRPr="00F24972" w14:paraId="204E5FD1" w14:textId="77777777" w:rsidTr="00FA340F">
        <w:trPr>
          <w:cantSplit/>
        </w:trPr>
        <w:tc>
          <w:tcPr>
            <w:tcW w:w="1733" w:type="dxa"/>
            <w:vMerge w:val="restart"/>
          </w:tcPr>
          <w:p w14:paraId="4E844697" w14:textId="77777777" w:rsidR="001676C5" w:rsidRPr="000037E8" w:rsidRDefault="001676C5" w:rsidP="00A42CB6">
            <w:pPr>
              <w:pStyle w:val="TableText"/>
              <w:rPr>
                <w:rFonts w:cs="Arial"/>
                <w:szCs w:val="18"/>
              </w:rPr>
            </w:pPr>
            <w:r w:rsidRPr="000037E8">
              <w:rPr>
                <w:rFonts w:cs="Arial"/>
                <w:szCs w:val="18"/>
              </w:rPr>
              <w:t>Serologic Crossmatch, Major, Automated </w:t>
            </w:r>
          </w:p>
        </w:tc>
        <w:tc>
          <w:tcPr>
            <w:tcW w:w="1592" w:type="dxa"/>
          </w:tcPr>
          <w:p w14:paraId="4394E3C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1F20ED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7E315DD8"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6EA29B2" w14:textId="17BD08D4" w:rsidR="001676C5" w:rsidRPr="000037E8" w:rsidRDefault="001676C5" w:rsidP="00A42CB6">
            <w:pPr>
              <w:pStyle w:val="TableText"/>
              <w:rPr>
                <w:rFonts w:cs="Arial"/>
                <w:szCs w:val="18"/>
              </w:rPr>
            </w:pPr>
            <w:r w:rsidRPr="000037E8">
              <w:rPr>
                <w:rFonts w:cs="Arial"/>
                <w:szCs w:val="18"/>
              </w:rPr>
              <w:t xml:space="preserve">Accrue workload when an individual unit (row) crossmatch, selected to include all phases or only AHG phase, primary or reflex, is reviewed, and saved. When </w:t>
            </w:r>
            <w:r w:rsidR="00AE3B37" w:rsidRPr="000037E8">
              <w:rPr>
                <w:rFonts w:cs="Arial"/>
                <w:szCs w:val="18"/>
              </w:rPr>
              <w:t>multiple units</w:t>
            </w:r>
            <w:r w:rsidRPr="000037E8">
              <w:rPr>
                <w:rFonts w:cs="Arial"/>
                <w:szCs w:val="18"/>
              </w:rPr>
              <w:t xml:space="preserve"> are selected, each unit (row) accrues workload.</w:t>
            </w:r>
          </w:p>
        </w:tc>
      </w:tr>
      <w:tr w:rsidR="001676C5" w:rsidRPr="00F24972" w14:paraId="33808FF4" w14:textId="77777777" w:rsidTr="00FA340F">
        <w:trPr>
          <w:cantSplit/>
        </w:trPr>
        <w:tc>
          <w:tcPr>
            <w:tcW w:w="1733" w:type="dxa"/>
            <w:vMerge/>
          </w:tcPr>
          <w:p w14:paraId="79BE99B5" w14:textId="77777777" w:rsidR="001676C5" w:rsidRPr="000037E8" w:rsidRDefault="001676C5" w:rsidP="00A42CB6">
            <w:pPr>
              <w:pStyle w:val="TableText"/>
              <w:rPr>
                <w:rFonts w:cs="Arial"/>
                <w:szCs w:val="18"/>
              </w:rPr>
            </w:pPr>
          </w:p>
        </w:tc>
        <w:tc>
          <w:tcPr>
            <w:tcW w:w="1592" w:type="dxa"/>
          </w:tcPr>
          <w:p w14:paraId="201BAB38" w14:textId="77777777" w:rsidR="001676C5" w:rsidRPr="000037E8" w:rsidRDefault="001676C5" w:rsidP="0038583A">
            <w:pPr>
              <w:pStyle w:val="TableText"/>
              <w:rPr>
                <w:rFonts w:cs="Arial"/>
                <w:snapToGrid w:val="0"/>
                <w:szCs w:val="18"/>
              </w:rPr>
            </w:pPr>
            <w:r>
              <w:rPr>
                <w:rFonts w:cs="Arial"/>
                <w:snapToGrid w:val="0"/>
                <w:szCs w:val="18"/>
              </w:rPr>
              <w:t>Invalidate patient testing, crossmatch</w:t>
            </w:r>
          </w:p>
        </w:tc>
        <w:tc>
          <w:tcPr>
            <w:tcW w:w="1080" w:type="dxa"/>
          </w:tcPr>
          <w:p w14:paraId="60843D90"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4C3A9C52"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7F8BDBEA" w14:textId="77777777" w:rsidR="001676C5" w:rsidRPr="000037E8" w:rsidRDefault="001676C5" w:rsidP="00A42CB6">
            <w:pPr>
              <w:pStyle w:val="TableText"/>
              <w:rPr>
                <w:rFonts w:cs="Arial"/>
                <w:szCs w:val="18"/>
              </w:rPr>
            </w:pPr>
            <w:r w:rsidRPr="000037E8">
              <w:rPr>
                <w:rFonts w:cs="Arial"/>
                <w:szCs w:val="18"/>
              </w:rPr>
              <w:t>Accrue workload when a reviewed crossmatch test is invalidated. The workload originally saved with the test, serological Coombs.</w:t>
            </w:r>
          </w:p>
        </w:tc>
      </w:tr>
      <w:tr w:rsidR="001676C5" w:rsidRPr="00F24972" w14:paraId="35D231D1" w14:textId="77777777" w:rsidTr="00FA340F">
        <w:trPr>
          <w:cantSplit/>
        </w:trPr>
        <w:tc>
          <w:tcPr>
            <w:tcW w:w="1733" w:type="dxa"/>
            <w:vMerge w:val="restart"/>
          </w:tcPr>
          <w:p w14:paraId="661F4580" w14:textId="77777777" w:rsidR="001676C5" w:rsidRPr="000037E8" w:rsidRDefault="001676C5" w:rsidP="00A42CB6">
            <w:pPr>
              <w:pStyle w:val="TableText"/>
              <w:rPr>
                <w:rFonts w:cs="Arial"/>
                <w:szCs w:val="18"/>
              </w:rPr>
            </w:pPr>
            <w:r w:rsidRPr="000037E8">
              <w:rPr>
                <w:rFonts w:cs="Arial"/>
                <w:szCs w:val="18"/>
              </w:rPr>
              <w:t>Direct Antiglobulin Test Automated</w:t>
            </w:r>
          </w:p>
        </w:tc>
        <w:tc>
          <w:tcPr>
            <w:tcW w:w="1592" w:type="dxa"/>
          </w:tcPr>
          <w:p w14:paraId="58BA32BD"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7A39646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6CEE61F"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A5EE709" w14:textId="77777777" w:rsidR="001676C5" w:rsidRPr="000037E8" w:rsidRDefault="001676C5" w:rsidP="00A42CB6">
            <w:pPr>
              <w:pStyle w:val="TableText"/>
              <w:rPr>
                <w:rFonts w:cs="Arial"/>
                <w:szCs w:val="18"/>
              </w:rPr>
            </w:pPr>
            <w:r w:rsidRPr="000037E8">
              <w:rPr>
                <w:rFonts w:cs="Arial"/>
                <w:szCs w:val="18"/>
              </w:rPr>
              <w:t>Accrue workload when a DAT, primary or reflex, is reviewed, and saved.</w:t>
            </w:r>
          </w:p>
        </w:tc>
      </w:tr>
      <w:tr w:rsidR="001676C5" w:rsidRPr="00F24972" w14:paraId="0CAC219B" w14:textId="77777777" w:rsidTr="00FA340F">
        <w:trPr>
          <w:cantSplit/>
        </w:trPr>
        <w:tc>
          <w:tcPr>
            <w:tcW w:w="1733" w:type="dxa"/>
            <w:vMerge/>
            <w:tcBorders>
              <w:bottom w:val="single" w:sz="4" w:space="0" w:color="auto"/>
            </w:tcBorders>
          </w:tcPr>
          <w:p w14:paraId="5BCDE7D4" w14:textId="77777777" w:rsidR="001676C5" w:rsidRPr="000037E8" w:rsidRDefault="001676C5" w:rsidP="00A42CB6">
            <w:pPr>
              <w:pStyle w:val="TableText"/>
              <w:rPr>
                <w:rFonts w:cs="Arial"/>
                <w:szCs w:val="18"/>
              </w:rPr>
            </w:pPr>
          </w:p>
        </w:tc>
        <w:tc>
          <w:tcPr>
            <w:tcW w:w="1592" w:type="dxa"/>
          </w:tcPr>
          <w:p w14:paraId="0543A61B" w14:textId="77777777" w:rsidR="001676C5" w:rsidRPr="000037E8" w:rsidRDefault="001676C5" w:rsidP="0038583A">
            <w:pPr>
              <w:pStyle w:val="TableText"/>
              <w:rPr>
                <w:rFonts w:cs="Arial"/>
                <w:snapToGrid w:val="0"/>
                <w:szCs w:val="18"/>
              </w:rPr>
            </w:pPr>
            <w:r>
              <w:rPr>
                <w:rFonts w:cs="Arial"/>
                <w:snapToGrid w:val="0"/>
                <w:szCs w:val="18"/>
              </w:rPr>
              <w:t>Invalidate patient testing, Direct Antiglobulin test</w:t>
            </w:r>
          </w:p>
        </w:tc>
        <w:tc>
          <w:tcPr>
            <w:tcW w:w="1080" w:type="dxa"/>
          </w:tcPr>
          <w:p w14:paraId="0F48177A"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5BB9699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73152151" w14:textId="77777777" w:rsidR="001676C5" w:rsidRPr="000037E8" w:rsidRDefault="001676C5" w:rsidP="00A42CB6">
            <w:pPr>
              <w:pStyle w:val="TableText"/>
              <w:rPr>
                <w:rFonts w:cs="Arial"/>
                <w:szCs w:val="18"/>
              </w:rPr>
            </w:pPr>
            <w:r w:rsidRPr="000037E8">
              <w:rPr>
                <w:rFonts w:cs="Arial"/>
                <w:szCs w:val="18"/>
              </w:rPr>
              <w:t xml:space="preserve">Accrue workload when a reviewed DAT is invalidated. </w:t>
            </w:r>
          </w:p>
        </w:tc>
      </w:tr>
      <w:tr w:rsidR="001676C5" w:rsidRPr="00F24972" w14:paraId="311E33DE" w14:textId="77777777" w:rsidTr="00FA340F">
        <w:trPr>
          <w:cantSplit/>
        </w:trPr>
        <w:tc>
          <w:tcPr>
            <w:tcW w:w="1733" w:type="dxa"/>
            <w:vMerge w:val="restart"/>
          </w:tcPr>
          <w:p w14:paraId="4291F07B" w14:textId="77777777" w:rsidR="001676C5" w:rsidRPr="000037E8" w:rsidRDefault="001676C5" w:rsidP="00A42CB6">
            <w:pPr>
              <w:pStyle w:val="TableText"/>
              <w:rPr>
                <w:rFonts w:cs="Arial"/>
                <w:szCs w:val="18"/>
              </w:rPr>
            </w:pPr>
            <w:r w:rsidRPr="000037E8">
              <w:rPr>
                <w:rFonts w:cs="Arial"/>
                <w:szCs w:val="18"/>
              </w:rPr>
              <w:t>Patient Antigen Typing Automated</w:t>
            </w:r>
          </w:p>
        </w:tc>
        <w:tc>
          <w:tcPr>
            <w:tcW w:w="1592" w:type="dxa"/>
          </w:tcPr>
          <w:p w14:paraId="73C368DC"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2A9AB962"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CC6A904"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3C4EABB6" w14:textId="77777777" w:rsidR="001676C5" w:rsidRPr="000037E8" w:rsidRDefault="001676C5" w:rsidP="00A42CB6">
            <w:pPr>
              <w:pStyle w:val="TableText"/>
              <w:rPr>
                <w:rFonts w:cs="Arial"/>
                <w:szCs w:val="18"/>
              </w:rPr>
            </w:pPr>
            <w:r w:rsidRPr="000037E8">
              <w:rPr>
                <w:rFonts w:cs="Arial"/>
                <w:szCs w:val="18"/>
              </w:rPr>
              <w:t xml:space="preserve">Accrue workload when a patient antigen phenotype test (tab) is reviewed and saved. </w:t>
            </w:r>
          </w:p>
        </w:tc>
      </w:tr>
      <w:tr w:rsidR="001676C5" w:rsidRPr="00F24972" w14:paraId="57847783" w14:textId="77777777" w:rsidTr="00FA340F">
        <w:trPr>
          <w:cantSplit/>
        </w:trPr>
        <w:tc>
          <w:tcPr>
            <w:tcW w:w="1733" w:type="dxa"/>
            <w:vMerge/>
          </w:tcPr>
          <w:p w14:paraId="6EB8A1D0" w14:textId="77777777" w:rsidR="001676C5" w:rsidRPr="000037E8" w:rsidRDefault="001676C5" w:rsidP="00A42CB6">
            <w:pPr>
              <w:pStyle w:val="TableText"/>
              <w:rPr>
                <w:rFonts w:cs="Arial"/>
                <w:szCs w:val="18"/>
              </w:rPr>
            </w:pPr>
          </w:p>
        </w:tc>
        <w:tc>
          <w:tcPr>
            <w:tcW w:w="1592" w:type="dxa"/>
          </w:tcPr>
          <w:p w14:paraId="3C24A46B" w14:textId="77777777" w:rsidR="001676C5" w:rsidRPr="000037E8" w:rsidRDefault="001676C5" w:rsidP="0038583A">
            <w:pPr>
              <w:pStyle w:val="TableText"/>
              <w:rPr>
                <w:rFonts w:cs="Arial"/>
                <w:snapToGrid w:val="0"/>
                <w:szCs w:val="18"/>
              </w:rPr>
            </w:pPr>
            <w:r>
              <w:rPr>
                <w:rFonts w:cs="Arial"/>
                <w:snapToGrid w:val="0"/>
                <w:szCs w:val="18"/>
              </w:rPr>
              <w:t>Invalidate patient testing, patient antigen typing</w:t>
            </w:r>
          </w:p>
        </w:tc>
        <w:tc>
          <w:tcPr>
            <w:tcW w:w="1080" w:type="dxa"/>
          </w:tcPr>
          <w:p w14:paraId="64C48073" w14:textId="77777777" w:rsidR="001676C5" w:rsidRPr="000037E8" w:rsidRDefault="001676C5" w:rsidP="00A42CB6">
            <w:pPr>
              <w:pStyle w:val="TableText"/>
              <w:rPr>
                <w:rFonts w:cs="Arial"/>
                <w:b/>
                <w:szCs w:val="18"/>
              </w:rPr>
            </w:pPr>
            <w:r w:rsidRPr="000037E8">
              <w:rPr>
                <w:rFonts w:cs="Arial"/>
                <w:b/>
                <w:szCs w:val="18"/>
              </w:rPr>
              <w:t>Negative</w:t>
            </w:r>
          </w:p>
        </w:tc>
        <w:tc>
          <w:tcPr>
            <w:tcW w:w="900" w:type="dxa"/>
          </w:tcPr>
          <w:p w14:paraId="6180A4F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1F45E590" w14:textId="77777777" w:rsidR="001676C5" w:rsidRPr="000037E8" w:rsidRDefault="001676C5" w:rsidP="00A42CB6">
            <w:pPr>
              <w:pStyle w:val="TableText"/>
              <w:rPr>
                <w:rFonts w:cs="Arial"/>
                <w:szCs w:val="18"/>
              </w:rPr>
            </w:pPr>
            <w:r w:rsidRPr="000037E8">
              <w:rPr>
                <w:rFonts w:cs="Arial"/>
                <w:szCs w:val="18"/>
              </w:rPr>
              <w:t>Accrue workload when a reviewed patient antigen test (phenotype) is invalidated.</w:t>
            </w:r>
          </w:p>
        </w:tc>
      </w:tr>
      <w:tr w:rsidR="001676C5" w:rsidRPr="00F24972" w14:paraId="1453E8E7" w14:textId="77777777" w:rsidTr="00FA340F">
        <w:trPr>
          <w:cantSplit/>
        </w:trPr>
        <w:tc>
          <w:tcPr>
            <w:tcW w:w="1733" w:type="dxa"/>
            <w:vMerge w:val="restart"/>
          </w:tcPr>
          <w:p w14:paraId="0FE9D142" w14:textId="77777777" w:rsidR="001676C5" w:rsidRPr="000037E8" w:rsidRDefault="001676C5" w:rsidP="00A42CB6">
            <w:pPr>
              <w:pStyle w:val="TableText"/>
              <w:rPr>
                <w:rFonts w:cs="Arial"/>
                <w:szCs w:val="18"/>
              </w:rPr>
            </w:pPr>
            <w:r w:rsidRPr="000037E8">
              <w:rPr>
                <w:rFonts w:cs="Arial"/>
                <w:szCs w:val="18"/>
              </w:rPr>
              <w:lastRenderedPageBreak/>
              <w:t>Blood Unit ABO Confirmation Test Automated</w:t>
            </w:r>
          </w:p>
        </w:tc>
        <w:tc>
          <w:tcPr>
            <w:tcW w:w="1592" w:type="dxa"/>
          </w:tcPr>
          <w:p w14:paraId="180D7D56"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88E1419" w14:textId="77777777" w:rsidR="001676C5" w:rsidRPr="000037E8" w:rsidRDefault="001676C5" w:rsidP="00A42CB6">
            <w:pPr>
              <w:pStyle w:val="TableText"/>
              <w:rPr>
                <w:rFonts w:cs="Arial"/>
                <w:szCs w:val="18"/>
              </w:rPr>
            </w:pPr>
            <w:r w:rsidRPr="000037E8">
              <w:rPr>
                <w:rFonts w:cs="Arial"/>
                <w:szCs w:val="18"/>
              </w:rPr>
              <w:t>Positive</w:t>
            </w:r>
          </w:p>
        </w:tc>
        <w:tc>
          <w:tcPr>
            <w:tcW w:w="900" w:type="dxa"/>
          </w:tcPr>
          <w:p w14:paraId="5DA5E456"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4035AE9A" w14:textId="77777777" w:rsidR="001676C5" w:rsidRPr="000037E8" w:rsidRDefault="001676C5" w:rsidP="00A42CB6">
            <w:pPr>
              <w:pStyle w:val="TableText"/>
              <w:rPr>
                <w:rFonts w:cs="Arial"/>
                <w:szCs w:val="18"/>
              </w:rPr>
            </w:pPr>
            <w:r w:rsidRPr="000037E8">
              <w:rPr>
                <w:rFonts w:cs="Arial"/>
                <w:szCs w:val="18"/>
              </w:rPr>
              <w:t xml:space="preserve">An ABO confirmation test, primary or repeat, is reviewed, and saved. When multiple units are selected in a batch, each unit in the batch accrues a workload event. </w:t>
            </w:r>
          </w:p>
          <w:p w14:paraId="66783158" w14:textId="77777777" w:rsidR="001676C5" w:rsidRPr="000037E8" w:rsidRDefault="001676C5" w:rsidP="00A42CB6">
            <w:pPr>
              <w:pStyle w:val="TableText"/>
              <w:rPr>
                <w:rFonts w:cs="Arial"/>
                <w:szCs w:val="18"/>
              </w:rPr>
            </w:pPr>
          </w:p>
          <w:p w14:paraId="2C09F049" w14:textId="77777777" w:rsidR="001676C5" w:rsidRPr="000037E8" w:rsidRDefault="001676C5" w:rsidP="00A42CB6">
            <w:pPr>
              <w:pStyle w:val="TableTextBullet"/>
              <w:rPr>
                <w:rFonts w:cs="Arial"/>
                <w:szCs w:val="18"/>
              </w:rPr>
            </w:pPr>
            <w:r w:rsidRPr="000037E8">
              <w:rPr>
                <w:rFonts w:cs="Arial"/>
                <w:szCs w:val="18"/>
              </w:rPr>
              <w:t>Note: Workload generated when Anti-D testing is not included in the unit’s confirmation test.</w:t>
            </w:r>
            <w:r w:rsidRPr="000037E8">
              <w:rPr>
                <w:rFonts w:cs="Arial"/>
                <w:color w:val="0000FF"/>
                <w:szCs w:val="18"/>
              </w:rPr>
              <w:t xml:space="preserve"> </w:t>
            </w:r>
            <w:r w:rsidRPr="000037E8">
              <w:rPr>
                <w:rFonts w:cs="Arial"/>
                <w:szCs w:val="18"/>
              </w:rPr>
              <w:t xml:space="preserve">Workload is </w:t>
            </w:r>
            <w:r w:rsidRPr="000037E8">
              <w:rPr>
                <w:rFonts w:cs="Arial"/>
                <w:b/>
                <w:szCs w:val="18"/>
              </w:rPr>
              <w:t xml:space="preserve">not </w:t>
            </w:r>
            <w:r w:rsidRPr="000037E8">
              <w:rPr>
                <w:rFonts w:cs="Arial"/>
                <w:szCs w:val="18"/>
              </w:rPr>
              <w:t>accrued when VBECS quarantines the unit due to a discrepancy. No special handling for workload collection for additional confirmation tests on a unit.</w:t>
            </w:r>
          </w:p>
        </w:tc>
      </w:tr>
      <w:tr w:rsidR="001676C5" w:rsidRPr="00F24972" w14:paraId="3F5A62BE" w14:textId="77777777" w:rsidTr="00FA340F">
        <w:trPr>
          <w:cantSplit/>
        </w:trPr>
        <w:tc>
          <w:tcPr>
            <w:tcW w:w="1733" w:type="dxa"/>
            <w:vMerge/>
          </w:tcPr>
          <w:p w14:paraId="721AAB39" w14:textId="77777777" w:rsidR="001676C5" w:rsidRPr="000037E8" w:rsidRDefault="001676C5" w:rsidP="00A42CB6">
            <w:pPr>
              <w:pStyle w:val="TableText"/>
              <w:rPr>
                <w:rFonts w:cs="Arial"/>
                <w:szCs w:val="18"/>
              </w:rPr>
            </w:pPr>
          </w:p>
        </w:tc>
        <w:tc>
          <w:tcPr>
            <w:tcW w:w="1592" w:type="dxa"/>
          </w:tcPr>
          <w:p w14:paraId="0427AA96" w14:textId="77777777" w:rsidR="001676C5" w:rsidRPr="000037E8" w:rsidRDefault="001676C5" w:rsidP="001676C5">
            <w:pPr>
              <w:pStyle w:val="TableText"/>
              <w:rPr>
                <w:rFonts w:cs="Arial"/>
                <w:snapToGrid w:val="0"/>
                <w:szCs w:val="18"/>
              </w:rPr>
            </w:pPr>
            <w:r>
              <w:rPr>
                <w:rFonts w:cs="Arial"/>
                <w:snapToGrid w:val="0"/>
                <w:szCs w:val="18"/>
              </w:rPr>
              <w:t>Invalidate unit testing, ABO Test</w:t>
            </w:r>
          </w:p>
        </w:tc>
        <w:tc>
          <w:tcPr>
            <w:tcW w:w="1080" w:type="dxa"/>
          </w:tcPr>
          <w:p w14:paraId="00C8002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13BAB2D6"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7C6B66F9" w14:textId="77777777" w:rsidR="001676C5" w:rsidRPr="000037E8" w:rsidRDefault="001676C5" w:rsidP="00A42CB6">
            <w:pPr>
              <w:pStyle w:val="TableText"/>
              <w:rPr>
                <w:rFonts w:cs="Arial"/>
                <w:szCs w:val="18"/>
              </w:rPr>
            </w:pPr>
            <w:r w:rsidRPr="000037E8">
              <w:rPr>
                <w:rFonts w:cs="Arial"/>
                <w:szCs w:val="18"/>
              </w:rPr>
              <w:t>Accrue workload when an ABO confirmation test is invalidated</w:t>
            </w:r>
          </w:p>
        </w:tc>
      </w:tr>
      <w:tr w:rsidR="001676C5" w:rsidRPr="00F24972" w14:paraId="64F23FDF" w14:textId="77777777" w:rsidTr="00FA340F">
        <w:trPr>
          <w:cantSplit/>
        </w:trPr>
        <w:tc>
          <w:tcPr>
            <w:tcW w:w="1733" w:type="dxa"/>
            <w:vMerge w:val="restart"/>
          </w:tcPr>
          <w:p w14:paraId="098AF40F" w14:textId="77777777" w:rsidR="001676C5" w:rsidRPr="000037E8" w:rsidRDefault="001676C5" w:rsidP="00A42CB6">
            <w:pPr>
              <w:pStyle w:val="TableText"/>
              <w:rPr>
                <w:rFonts w:cs="Arial"/>
                <w:szCs w:val="18"/>
              </w:rPr>
            </w:pPr>
            <w:r w:rsidRPr="000037E8">
              <w:rPr>
                <w:rFonts w:cs="Arial"/>
                <w:szCs w:val="18"/>
              </w:rPr>
              <w:t>Blood Unit ABO/Rh Confirmation Test Automated</w:t>
            </w:r>
          </w:p>
        </w:tc>
        <w:tc>
          <w:tcPr>
            <w:tcW w:w="1592" w:type="dxa"/>
          </w:tcPr>
          <w:p w14:paraId="32C19F8B"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91264E6"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61B59761"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0E7D5D8D" w14:textId="77777777" w:rsidR="001676C5" w:rsidRPr="000037E8" w:rsidRDefault="001676C5" w:rsidP="00A42CB6">
            <w:pPr>
              <w:pStyle w:val="TableText"/>
              <w:rPr>
                <w:rFonts w:cs="Arial"/>
                <w:szCs w:val="18"/>
              </w:rPr>
            </w:pPr>
            <w:r w:rsidRPr="000037E8">
              <w:rPr>
                <w:rFonts w:cs="Arial"/>
                <w:szCs w:val="18"/>
              </w:rPr>
              <w:t>An ABO/Rh confirmation test, primary or repeat, is reviewed, and saved. When multiple units are selected in a batch, each unit in the batch accrues a workload event.</w:t>
            </w:r>
          </w:p>
          <w:p w14:paraId="7A7AA09E" w14:textId="77777777" w:rsidR="001676C5" w:rsidRPr="000037E8" w:rsidRDefault="001676C5" w:rsidP="00A42CB6">
            <w:pPr>
              <w:pStyle w:val="TableText"/>
              <w:rPr>
                <w:rFonts w:cs="Arial"/>
                <w:szCs w:val="18"/>
              </w:rPr>
            </w:pPr>
          </w:p>
          <w:p w14:paraId="4D70C8A8" w14:textId="77777777" w:rsidR="001676C5" w:rsidRPr="000037E8" w:rsidRDefault="001676C5" w:rsidP="00A42CB6">
            <w:pPr>
              <w:pStyle w:val="TableText"/>
              <w:rPr>
                <w:rFonts w:cs="Arial"/>
                <w:szCs w:val="18"/>
              </w:rPr>
            </w:pPr>
            <w:r w:rsidRPr="000037E8">
              <w:rPr>
                <w:rFonts w:cs="Arial"/>
                <w:szCs w:val="18"/>
              </w:rPr>
              <w:t>Any unit successfully confirmed accrues workload.</w:t>
            </w:r>
          </w:p>
          <w:p w14:paraId="7ACEA739" w14:textId="77777777" w:rsidR="001676C5" w:rsidRPr="000037E8" w:rsidRDefault="001676C5" w:rsidP="00A42CB6">
            <w:pPr>
              <w:pStyle w:val="TableTextBullet"/>
              <w:rPr>
                <w:rFonts w:cs="Arial"/>
                <w:szCs w:val="18"/>
              </w:rPr>
            </w:pPr>
            <w:r w:rsidRPr="000037E8">
              <w:rPr>
                <w:rFonts w:cs="Arial"/>
                <w:szCs w:val="18"/>
              </w:rPr>
              <w:t xml:space="preserve">Note: Workload is </w:t>
            </w:r>
            <w:r w:rsidRPr="000037E8">
              <w:rPr>
                <w:rFonts w:cs="Arial"/>
                <w:b/>
                <w:szCs w:val="18"/>
              </w:rPr>
              <w:t xml:space="preserve">not </w:t>
            </w:r>
            <w:r w:rsidRPr="000037E8">
              <w:rPr>
                <w:rFonts w:cs="Arial"/>
                <w:szCs w:val="18"/>
              </w:rPr>
              <w:t xml:space="preserve">accrued when VBECS quarantines the unit due to a discrepancy. </w:t>
            </w:r>
          </w:p>
        </w:tc>
      </w:tr>
      <w:tr w:rsidR="001676C5" w:rsidRPr="00F24972" w14:paraId="6162DA6E" w14:textId="77777777" w:rsidTr="00FA340F">
        <w:trPr>
          <w:cantSplit/>
        </w:trPr>
        <w:tc>
          <w:tcPr>
            <w:tcW w:w="1733" w:type="dxa"/>
            <w:vMerge/>
          </w:tcPr>
          <w:p w14:paraId="3C894C1E" w14:textId="77777777" w:rsidR="001676C5" w:rsidRPr="000037E8" w:rsidRDefault="001676C5" w:rsidP="00A42CB6">
            <w:pPr>
              <w:pStyle w:val="TableText"/>
              <w:rPr>
                <w:rFonts w:cs="Arial"/>
                <w:szCs w:val="18"/>
              </w:rPr>
            </w:pPr>
          </w:p>
        </w:tc>
        <w:tc>
          <w:tcPr>
            <w:tcW w:w="1592" w:type="dxa"/>
          </w:tcPr>
          <w:p w14:paraId="7A39E945" w14:textId="77777777" w:rsidR="001676C5" w:rsidRPr="000037E8" w:rsidRDefault="001676C5" w:rsidP="0038583A">
            <w:pPr>
              <w:pStyle w:val="TableText"/>
              <w:rPr>
                <w:rFonts w:cs="Arial"/>
                <w:snapToGrid w:val="0"/>
                <w:szCs w:val="18"/>
              </w:rPr>
            </w:pPr>
            <w:r>
              <w:rPr>
                <w:rFonts w:cs="Arial"/>
                <w:snapToGrid w:val="0"/>
                <w:szCs w:val="18"/>
              </w:rPr>
              <w:t>Invalidate unit testing, ABO/Rh</w:t>
            </w:r>
          </w:p>
        </w:tc>
        <w:tc>
          <w:tcPr>
            <w:tcW w:w="1080" w:type="dxa"/>
          </w:tcPr>
          <w:p w14:paraId="1AB6FC1F"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8F2F512"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1BB09C24" w14:textId="77777777" w:rsidR="001676C5" w:rsidRPr="000037E8" w:rsidRDefault="001676C5" w:rsidP="00A42CB6">
            <w:pPr>
              <w:pStyle w:val="TableText"/>
              <w:rPr>
                <w:rFonts w:cs="Arial"/>
                <w:szCs w:val="18"/>
              </w:rPr>
            </w:pPr>
            <w:r w:rsidRPr="000037E8">
              <w:rPr>
                <w:rFonts w:cs="Arial"/>
                <w:szCs w:val="18"/>
              </w:rPr>
              <w:t>Accrue workload when an ABO/Rh confirmation test is invalidated</w:t>
            </w:r>
          </w:p>
        </w:tc>
      </w:tr>
      <w:tr w:rsidR="001676C5" w:rsidRPr="00F24972" w14:paraId="54544EB2" w14:textId="77777777" w:rsidTr="00FA340F">
        <w:trPr>
          <w:cantSplit/>
        </w:trPr>
        <w:tc>
          <w:tcPr>
            <w:tcW w:w="1733" w:type="dxa"/>
            <w:vMerge w:val="restart"/>
          </w:tcPr>
          <w:p w14:paraId="2862A77F" w14:textId="77777777" w:rsidR="001676C5" w:rsidRPr="000037E8" w:rsidRDefault="001676C5" w:rsidP="00A42CB6">
            <w:pPr>
              <w:pStyle w:val="TableText"/>
              <w:rPr>
                <w:rFonts w:cs="Arial"/>
                <w:szCs w:val="18"/>
              </w:rPr>
            </w:pPr>
            <w:r w:rsidRPr="000037E8">
              <w:rPr>
                <w:rFonts w:cs="Arial"/>
                <w:szCs w:val="18"/>
              </w:rPr>
              <w:t>Blood Unit Antigen Typing Automated</w:t>
            </w:r>
          </w:p>
        </w:tc>
        <w:tc>
          <w:tcPr>
            <w:tcW w:w="1592" w:type="dxa"/>
          </w:tcPr>
          <w:p w14:paraId="6BC07E7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2BF7D95"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7419061"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494C8525" w14:textId="77777777" w:rsidR="001676C5" w:rsidRPr="000037E8" w:rsidRDefault="001676C5" w:rsidP="00A42CB6">
            <w:pPr>
              <w:pStyle w:val="TableText"/>
              <w:rPr>
                <w:rFonts w:cs="Arial"/>
                <w:szCs w:val="18"/>
              </w:rPr>
            </w:pPr>
            <w:r w:rsidRPr="000037E8">
              <w:rPr>
                <w:rFonts w:cs="Arial"/>
                <w:szCs w:val="18"/>
              </w:rPr>
              <w:t xml:space="preserve">A unit (row) antigen phenotype test, primary or repeat, is reviewed, and saved for an individual blood unit (row). </w:t>
            </w:r>
          </w:p>
          <w:p w14:paraId="179CC738" w14:textId="77777777" w:rsidR="001676C5" w:rsidRPr="000037E8" w:rsidRDefault="001676C5" w:rsidP="00A42CB6">
            <w:pPr>
              <w:pStyle w:val="TableText"/>
              <w:rPr>
                <w:rFonts w:cs="Arial"/>
                <w:szCs w:val="18"/>
              </w:rPr>
            </w:pPr>
          </w:p>
          <w:p w14:paraId="74935C99" w14:textId="77777777" w:rsidR="001676C5" w:rsidRPr="000037E8" w:rsidRDefault="001676C5" w:rsidP="00A42CB6">
            <w:pPr>
              <w:pStyle w:val="TableText"/>
              <w:rPr>
                <w:rFonts w:cs="Arial"/>
                <w:szCs w:val="18"/>
              </w:rPr>
            </w:pPr>
            <w:r w:rsidRPr="000037E8">
              <w:rPr>
                <w:rFonts w:cs="Arial"/>
                <w:szCs w:val="18"/>
              </w:rPr>
              <w:t>No special handling for workload collection for additional repeat antigen typing tests on a unit.</w:t>
            </w:r>
          </w:p>
        </w:tc>
      </w:tr>
      <w:tr w:rsidR="001676C5" w:rsidRPr="00F24972" w14:paraId="511DB2D0" w14:textId="77777777" w:rsidTr="00FA340F">
        <w:trPr>
          <w:cantSplit/>
        </w:trPr>
        <w:tc>
          <w:tcPr>
            <w:tcW w:w="1733" w:type="dxa"/>
            <w:vMerge/>
          </w:tcPr>
          <w:p w14:paraId="415BD8E8" w14:textId="77777777" w:rsidR="001676C5" w:rsidRPr="000037E8" w:rsidRDefault="001676C5" w:rsidP="00A42CB6">
            <w:pPr>
              <w:pStyle w:val="TableText"/>
              <w:rPr>
                <w:rFonts w:cs="Arial"/>
                <w:szCs w:val="18"/>
              </w:rPr>
            </w:pPr>
          </w:p>
        </w:tc>
        <w:tc>
          <w:tcPr>
            <w:tcW w:w="1592" w:type="dxa"/>
          </w:tcPr>
          <w:p w14:paraId="7B9D18BD" w14:textId="77777777" w:rsidR="001676C5" w:rsidRPr="000037E8" w:rsidRDefault="001676C5" w:rsidP="0038583A">
            <w:pPr>
              <w:pStyle w:val="TableText"/>
              <w:rPr>
                <w:rFonts w:cs="Arial"/>
                <w:snapToGrid w:val="0"/>
                <w:szCs w:val="18"/>
              </w:rPr>
            </w:pPr>
            <w:r>
              <w:rPr>
                <w:rFonts w:cs="Arial"/>
                <w:snapToGrid w:val="0"/>
                <w:szCs w:val="18"/>
              </w:rPr>
              <w:t>Invalidate unit testing, Antigen Typing</w:t>
            </w:r>
          </w:p>
        </w:tc>
        <w:tc>
          <w:tcPr>
            <w:tcW w:w="1080" w:type="dxa"/>
          </w:tcPr>
          <w:p w14:paraId="54CB106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0D414877"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1C85B92D" w14:textId="77777777" w:rsidR="001676C5" w:rsidRPr="000037E8" w:rsidRDefault="001676C5" w:rsidP="00A42CB6">
            <w:pPr>
              <w:pStyle w:val="TableText"/>
              <w:rPr>
                <w:rFonts w:cs="Arial"/>
                <w:szCs w:val="18"/>
              </w:rPr>
            </w:pPr>
            <w:r w:rsidRPr="000037E8">
              <w:rPr>
                <w:rFonts w:cs="Arial"/>
                <w:szCs w:val="18"/>
              </w:rPr>
              <w:t>Accrue workload when a unit antigen test is invalidated for an individual blood unit.</w:t>
            </w:r>
          </w:p>
        </w:tc>
      </w:tr>
    </w:tbl>
    <w:p w14:paraId="7B61A9A1" w14:textId="77777777" w:rsidR="0038450D" w:rsidRPr="00BC4A37" w:rsidRDefault="0038450D" w:rsidP="000037E8">
      <w:pPr>
        <w:jc w:val="center"/>
      </w:pPr>
    </w:p>
    <w:p w14:paraId="6CB57E0C" w14:textId="77777777" w:rsidR="001C498F" w:rsidRDefault="0045199E" w:rsidP="0045199E">
      <w:pPr>
        <w:rPr>
          <w:sz w:val="22"/>
          <w:szCs w:val="22"/>
        </w:rPr>
      </w:pPr>
      <w:r w:rsidRPr="004C5759">
        <w:rPr>
          <w:sz w:val="22"/>
          <w:szCs w:val="22"/>
        </w:rPr>
        <w:t xml:space="preserve">*Transaction type: Patient (P), Unit (U), Misc (M), </w:t>
      </w:r>
      <w:r w:rsidR="005A7651" w:rsidRPr="004C5759">
        <w:rPr>
          <w:sz w:val="22"/>
          <w:szCs w:val="22"/>
        </w:rPr>
        <w:t>(N/A) N</w:t>
      </w:r>
      <w:r w:rsidRPr="004C5759">
        <w:rPr>
          <w:sz w:val="22"/>
          <w:szCs w:val="22"/>
        </w:rPr>
        <w:t>o donor workload types in VBECS at this time.</w:t>
      </w:r>
    </w:p>
    <w:p w14:paraId="26133F9C" w14:textId="77777777" w:rsidR="00A9528E" w:rsidRDefault="00A9528E">
      <w:r>
        <w:br w:type="page"/>
      </w:r>
    </w:p>
    <w:p w14:paraId="09B1763E" w14:textId="7DABC47B" w:rsidR="002A21AE" w:rsidRDefault="002A21AE" w:rsidP="008A42DA">
      <w:pPr>
        <w:pStyle w:val="Heading2"/>
      </w:pPr>
      <w:bookmarkStart w:id="670" w:name="_Toc163645014"/>
      <w:r>
        <w:lastRenderedPageBreak/>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E2140B">
        <w:rPr>
          <w:noProof/>
        </w:rPr>
        <w:t>C</w:t>
      </w:r>
      <w:r w:rsidR="004E20BD">
        <w:rPr>
          <w:noProof/>
        </w:rPr>
        <w:fldChar w:fldCharType="end"/>
      </w:r>
      <w:r>
        <w:t>: VBECS Work Flow</w:t>
      </w:r>
      <w:bookmarkEnd w:id="670"/>
      <w:r>
        <w:fldChar w:fldCharType="begin"/>
      </w:r>
      <w:r>
        <w:instrText xml:space="preserve"> XE </w:instrText>
      </w:r>
      <w:r w:rsidR="00FA7E65">
        <w:instrText>“</w:instrText>
      </w:r>
      <w:r>
        <w:instrText>VBECS Work Flow</w:instrText>
      </w:r>
      <w:r w:rsidR="00FA7E65">
        <w:instrText>”</w:instrText>
      </w:r>
      <w:r>
        <w:instrText xml:space="preserve"> </w:instrText>
      </w:r>
      <w:r>
        <w:fldChar w:fldCharType="end"/>
      </w:r>
      <w:r>
        <w:fldChar w:fldCharType="begin"/>
      </w:r>
      <w:r>
        <w:instrText xml:space="preserve"> XE </w:instrText>
      </w:r>
      <w:r w:rsidR="00FA7E65">
        <w:instrText>“</w:instrText>
      </w:r>
      <w:r>
        <w:instrText>Figures:VBECS Work Flow</w:instrText>
      </w:r>
      <w:r w:rsidR="00FA7E65">
        <w:instrText>”</w:instrText>
      </w:r>
      <w:r>
        <w:instrText xml:space="preserve"> </w:instrText>
      </w:r>
      <w:r>
        <w:fldChar w:fldCharType="end"/>
      </w:r>
    </w:p>
    <w:p w14:paraId="7811E0F1" w14:textId="782CE3B6" w:rsidR="00CF42BF" w:rsidRDefault="00C81AB4" w:rsidP="00C81AB4">
      <w:pPr>
        <w:pStyle w:val="BodyText"/>
        <w:rPr>
          <w:snapToGrid w:val="0"/>
        </w:rPr>
      </w:pPr>
      <w:r>
        <w:t>Each of the six user roles is associated with a</w:t>
      </w:r>
      <w:r>
        <w:rPr>
          <w:snapToGrid w:val="0"/>
        </w:rPr>
        <w:t xml:space="preserve"> security level (see </w:t>
      </w:r>
      <w:r w:rsidR="00EE455E">
        <w:t xml:space="preserve">Table </w:t>
      </w:r>
      <w:r w:rsidR="00EE455E">
        <w:rPr>
          <w:noProof/>
        </w:rPr>
        <w:t>1</w:t>
      </w:r>
      <w:r>
        <w:rPr>
          <w:snapToGrid w:val="0"/>
        </w:rPr>
        <w:t xml:space="preserve">). </w:t>
      </w:r>
      <w:r w:rsidR="00B439DD">
        <w:rPr>
          <w:snapToGrid w:val="0"/>
        </w:rPr>
        <w:t xml:space="preserve">Privileges </w:t>
      </w:r>
      <w:r w:rsidR="007370E3">
        <w:rPr>
          <w:snapToGrid w:val="0"/>
        </w:rPr>
        <w:t>accumulate</w:t>
      </w:r>
      <w:r w:rsidR="00B439DD">
        <w:rPr>
          <w:snapToGrid w:val="0"/>
        </w:rPr>
        <w:t xml:space="preserve"> as the security level increases. For example, a Lead Technologist’s privileges include those of a Blood Bank Technologist and Enhanced Technologist. </w:t>
      </w:r>
    </w:p>
    <w:p w14:paraId="60EF7522" w14:textId="7149FEC5" w:rsidR="00543C20" w:rsidRPr="00543C20" w:rsidRDefault="00CF42BF" w:rsidP="00CF42BF">
      <w:pPr>
        <w:pStyle w:val="Caption"/>
      </w:pPr>
      <w:r>
        <w:rPr>
          <w:snapToGrid w:val="0"/>
        </w:rPr>
        <w:br w:type="page"/>
      </w:r>
      <w:r w:rsidR="00543C20">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120</w:t>
      </w:r>
      <w:r w:rsidR="004E20BD">
        <w:rPr>
          <w:noProof/>
        </w:rPr>
        <w:fldChar w:fldCharType="end"/>
      </w:r>
      <w:r w:rsidR="00543C20">
        <w:t>: VBECS Work Flow (left)</w:t>
      </w:r>
    </w:p>
    <w:p w14:paraId="5D6D95A8" w14:textId="5E45608A" w:rsidR="002A21AE" w:rsidRDefault="00A03888" w:rsidP="000969E3">
      <w:pPr>
        <w:pStyle w:val="BodyText"/>
        <w:sectPr w:rsidR="002A21AE" w:rsidSect="00EE771C">
          <w:footerReference w:type="default" r:id="rId213"/>
          <w:pgSz w:w="12240" w:h="15840" w:code="1"/>
          <w:pgMar w:top="1440" w:right="1440" w:bottom="1440" w:left="1440" w:header="720" w:footer="720" w:gutter="0"/>
          <w:cols w:space="720"/>
          <w:docGrid w:linePitch="360"/>
        </w:sectPr>
      </w:pPr>
      <w:r>
        <w:object w:dxaOrig="12135" w:dyaOrig="15255" w14:anchorId="656AEEDA">
          <v:shape id="_x0000_i1032" type="#_x0000_t75" alt="VBECS Work Flow (left)" style="width:468pt;height:590.25pt" o:ole="">
            <v:imagedata r:id="rId214" o:title=""/>
          </v:shape>
          <o:OLEObject Type="Embed" ProgID="Visio.Drawing.11" ShapeID="_x0000_i1032" DrawAspect="Content" ObjectID="_1777278637" r:id="rId215"/>
        </w:object>
      </w:r>
    </w:p>
    <w:p w14:paraId="501334FB" w14:textId="52D16B55" w:rsidR="00543C20" w:rsidRPr="00543C20" w:rsidRDefault="00543C20" w:rsidP="00543C20">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121</w:t>
      </w:r>
      <w:r w:rsidR="004E20BD">
        <w:rPr>
          <w:noProof/>
        </w:rPr>
        <w:fldChar w:fldCharType="end"/>
      </w:r>
      <w:r>
        <w:t>: VBECS Work Flow (right)</w:t>
      </w:r>
    </w:p>
    <w:p w14:paraId="0BE4710E" w14:textId="3BCD1357" w:rsidR="003955C7" w:rsidRDefault="00627964" w:rsidP="000969E3">
      <w:pPr>
        <w:pStyle w:val="BodyText"/>
      </w:pPr>
      <w:r>
        <w:object w:dxaOrig="11845" w:dyaOrig="15265" w14:anchorId="525A18C8">
          <v:shape id="_x0000_i1033" type="#_x0000_t75" alt="VBECS Work Flow (right)" style="width:453.75pt;height:591pt;mso-position-vertical:absolute" o:ole="">
            <v:imagedata r:id="rId216" o:title=""/>
          </v:shape>
          <o:OLEObject Type="Embed" ProgID="Visio.Drawing.11" ShapeID="_x0000_i1033" DrawAspect="Content" ObjectID="_1777278638" r:id="rId217"/>
        </w:object>
      </w:r>
    </w:p>
    <w:p w14:paraId="6FAB0E70" w14:textId="650B186A" w:rsidR="00064E16" w:rsidRDefault="002A21AE" w:rsidP="00F97B06">
      <w:pPr>
        <w:pStyle w:val="Heading2"/>
      </w:pPr>
      <w:bookmarkStart w:id="671" w:name="_Ref402936446"/>
      <w:bookmarkStart w:id="672" w:name="_Ref496875886"/>
      <w:bookmarkStart w:id="673" w:name="_Ref4588935"/>
      <w:bookmarkStart w:id="674" w:name="_Toc163645015"/>
      <w:bookmarkStart w:id="675" w:name="_Hlk123796111"/>
      <w:r>
        <w:lastRenderedPageBreak/>
        <w:t>Appendix</w:t>
      </w:r>
      <w:r w:rsidR="00D56A09">
        <w:t xml:space="preserve"> D</w:t>
      </w:r>
      <w:r>
        <w:t>: Limitations</w:t>
      </w:r>
      <w:r w:rsidR="00304382">
        <w:t xml:space="preserve"> and Restrictions</w:t>
      </w:r>
      <w:bookmarkEnd w:id="671"/>
      <w:bookmarkEnd w:id="672"/>
      <w:bookmarkEnd w:id="673"/>
      <w:bookmarkEnd w:id="674"/>
      <w:r w:rsidR="00103E20">
        <w:fldChar w:fldCharType="begin"/>
      </w:r>
      <w:r w:rsidR="00103E20">
        <w:instrText xml:space="preserve"> XE "Limitations</w:instrText>
      </w:r>
      <w:r w:rsidR="00304382">
        <w:instrText xml:space="preserve"> and Restrictions</w:instrText>
      </w:r>
      <w:r w:rsidR="00103E20">
        <w:instrText xml:space="preserve">" </w:instrText>
      </w:r>
      <w:r w:rsidR="00103E20">
        <w:fldChar w:fldCharType="end"/>
      </w:r>
    </w:p>
    <w:p w14:paraId="1055CE55" w14:textId="77777777" w:rsidR="00805EFD" w:rsidRDefault="005215D6" w:rsidP="00805EFD">
      <w:pPr>
        <w:pStyle w:val="BodyText"/>
      </w:pPr>
      <w:r>
        <w:t>L</w:t>
      </w:r>
      <w:r w:rsidR="0028137A">
        <w:t xml:space="preserve">imitations and restrictions are listed by the options in which they occur. </w:t>
      </w:r>
    </w:p>
    <w:p w14:paraId="46D95F3B" w14:textId="15156A39" w:rsidR="00D914A9" w:rsidRDefault="00D914A9" w:rsidP="00D914A9">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26</w:t>
      </w:r>
      <w:r w:rsidR="004E20BD">
        <w:rPr>
          <w:noProof/>
        </w:rPr>
        <w:fldChar w:fldCharType="end"/>
      </w:r>
      <w:r>
        <w:t>: Limitations</w:t>
      </w:r>
      <w:r w:rsidR="00304382">
        <w:t xml:space="preserve"> and Restrictions</w:t>
      </w:r>
      <w:r w:rsidR="00812371">
        <w:fldChar w:fldCharType="begin"/>
      </w:r>
      <w:r w:rsidR="00812371">
        <w:instrText xml:space="preserve"> XE "Tables:Limitations and Restrictions" </w:instrText>
      </w:r>
      <w:r w:rsidR="00812371">
        <w:fldChar w:fldCharType="end"/>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199A" w:rsidRPr="00D65A81" w14:paraId="27944D06" w14:textId="77777777" w:rsidTr="00543B0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C2737CC" w14:textId="77777777" w:rsidR="0045199A" w:rsidRPr="00EC673F" w:rsidRDefault="0045199A" w:rsidP="00543B0D">
            <w:pPr>
              <w:pStyle w:val="TableText"/>
              <w:rPr>
                <w:rFonts w:cs="Arial"/>
                <w:b/>
              </w:rPr>
            </w:pPr>
            <w:r w:rsidRPr="00EC673F">
              <w:rPr>
                <w:rFonts w:cs="Arial"/>
                <w:b/>
              </w:rPr>
              <w:t xml:space="preserve">Functions Not Supported </w:t>
            </w:r>
            <w:r w:rsidRPr="00EC673F">
              <w:rPr>
                <w:rFonts w:cs="Arial"/>
                <w:b/>
                <w:vanish/>
              </w:rPr>
              <w:t>DR 5105</w:t>
            </w:r>
          </w:p>
        </w:tc>
      </w:tr>
      <w:tr w:rsidR="0045199A" w:rsidRPr="00725902" w14:paraId="7C7CAA7E"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F5BB6B1" w14:textId="77777777" w:rsidR="0045199A" w:rsidRPr="00EC673F" w:rsidRDefault="0045199A" w:rsidP="00543B0D">
            <w:pPr>
              <w:pStyle w:val="TableText"/>
              <w:rPr>
                <w:rFonts w:cs="Arial"/>
              </w:rPr>
            </w:pPr>
            <w:r w:rsidRPr="00EC673F">
              <w:rPr>
                <w:rFonts w:cs="Arial"/>
              </w:rPr>
              <w:t>Blood donor collection activities (donor module)</w:t>
            </w:r>
          </w:p>
        </w:tc>
      </w:tr>
      <w:tr w:rsidR="0045199A" w:rsidRPr="00725902" w14:paraId="5067EA5B"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A5B043" w14:textId="77777777" w:rsidR="0045199A" w:rsidRPr="00EC673F" w:rsidRDefault="0045199A" w:rsidP="00543B0D">
            <w:pPr>
              <w:pStyle w:val="TableText"/>
              <w:rPr>
                <w:rFonts w:cs="Arial"/>
              </w:rPr>
            </w:pPr>
            <w:r w:rsidRPr="00EC673F">
              <w:rPr>
                <w:rFonts w:cs="Arial"/>
              </w:rPr>
              <w:t>Direct data entry of antibody identification</w:t>
            </w:r>
          </w:p>
        </w:tc>
      </w:tr>
      <w:tr w:rsidR="0045199A" w:rsidRPr="00725902" w14:paraId="54BC8AA0"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96941A" w14:textId="77777777" w:rsidR="0045199A" w:rsidRPr="00EC673F" w:rsidRDefault="0045199A" w:rsidP="00543B0D">
            <w:pPr>
              <w:pStyle w:val="TableText"/>
              <w:rPr>
                <w:rFonts w:cs="Arial"/>
              </w:rPr>
            </w:pPr>
            <w:r w:rsidRPr="00EC673F">
              <w:rPr>
                <w:rFonts w:cs="Arial"/>
              </w:rPr>
              <w:t xml:space="preserve">Direct data entry of transfusion reaction workups </w:t>
            </w:r>
          </w:p>
        </w:tc>
      </w:tr>
      <w:tr w:rsidR="0045199A" w:rsidRPr="00725902" w14:paraId="22300F7A"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01F0C84" w14:textId="77777777" w:rsidR="0045199A" w:rsidRPr="00EC673F" w:rsidRDefault="0045199A" w:rsidP="00543B0D">
            <w:pPr>
              <w:pStyle w:val="TableText"/>
              <w:rPr>
                <w:rFonts w:cs="Arial"/>
              </w:rPr>
            </w:pPr>
            <w:r w:rsidRPr="00EC673F">
              <w:rPr>
                <w:rFonts w:cs="Arial"/>
              </w:rPr>
              <w:t>Patient testing, transfusions, and blood components recorded in Legacy VistA are not available in VBECS</w:t>
            </w:r>
          </w:p>
        </w:tc>
      </w:tr>
      <w:tr w:rsidR="0045199A" w:rsidRPr="00725902" w14:paraId="16404E7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CE87E6" w14:textId="77777777" w:rsidR="0045199A" w:rsidRPr="00EC673F" w:rsidRDefault="0045199A" w:rsidP="00543B0D">
            <w:pPr>
              <w:pStyle w:val="TableText"/>
              <w:rPr>
                <w:rFonts w:cs="Arial"/>
              </w:rPr>
            </w:pPr>
            <w:r w:rsidRPr="00EC673F">
              <w:rPr>
                <w:rFonts w:cs="Arial"/>
              </w:rPr>
              <w:t>Pediatric blood product preparation</w:t>
            </w:r>
          </w:p>
        </w:tc>
      </w:tr>
      <w:tr w:rsidR="0045199A" w14:paraId="1BC5B984"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C0EB86B" w14:textId="77777777" w:rsidR="0045199A" w:rsidRPr="00EC673F" w:rsidRDefault="0045199A" w:rsidP="00543B0D">
            <w:pPr>
              <w:pStyle w:val="TableText"/>
              <w:rPr>
                <w:rFonts w:cs="Arial"/>
              </w:rPr>
            </w:pPr>
            <w:r w:rsidRPr="00EC673F">
              <w:rPr>
                <w:rFonts w:cs="Arial"/>
              </w:rPr>
              <w:t>Printing of blood product labels</w:t>
            </w:r>
          </w:p>
        </w:tc>
      </w:tr>
      <w:tr w:rsidR="0045199A" w:rsidRPr="009B07A5" w14:paraId="164FE58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B6AABDD" w14:textId="77777777" w:rsidR="0045199A" w:rsidRPr="00EC673F" w:rsidRDefault="0045199A" w:rsidP="00543B0D">
            <w:pPr>
              <w:pStyle w:val="TableText"/>
              <w:rPr>
                <w:rFonts w:cs="Arial"/>
                <w:sz w:val="22"/>
                <w:szCs w:val="22"/>
              </w:rPr>
            </w:pPr>
            <w:r w:rsidRPr="00EC673F">
              <w:rPr>
                <w:rFonts w:cs="Arial"/>
              </w:rPr>
              <w:t>User defined customized queries or reports</w:t>
            </w:r>
          </w:p>
        </w:tc>
      </w:tr>
      <w:tr w:rsidR="0045199A" w:rsidRPr="00F358AF" w14:paraId="32938162" w14:textId="77777777" w:rsidTr="006F799E">
        <w:trPr>
          <w:cantSplit/>
          <w:trHeight w:val="216"/>
        </w:trPr>
        <w:tc>
          <w:tcPr>
            <w:tcW w:w="9360" w:type="dxa"/>
            <w:tcBorders>
              <w:top w:val="single" w:sz="6" w:space="0" w:color="000000"/>
              <w:left w:val="single" w:sz="6" w:space="0" w:color="000000"/>
              <w:bottom w:val="single" w:sz="6" w:space="0" w:color="000000"/>
              <w:right w:val="single" w:sz="6" w:space="0" w:color="000000"/>
            </w:tcBorders>
            <w:vAlign w:val="bottom"/>
          </w:tcPr>
          <w:p w14:paraId="12250DEA" w14:textId="77777777" w:rsidR="0045199A" w:rsidRPr="00EC673F" w:rsidRDefault="0045199A" w:rsidP="00543B0D">
            <w:pPr>
              <w:pStyle w:val="TableText"/>
              <w:rPr>
                <w:rFonts w:cs="Arial"/>
              </w:rPr>
            </w:pPr>
            <w:r w:rsidRPr="00EC673F">
              <w:rPr>
                <w:rFonts w:cs="Arial"/>
              </w:rPr>
              <w:t>User editing blood product, antigen, antibody, or transfusion reaction tables</w:t>
            </w:r>
          </w:p>
        </w:tc>
      </w:tr>
      <w:tr w:rsidR="0045199A" w:rsidRPr="00725902" w14:paraId="6118218C"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D748FE" w14:textId="77777777" w:rsidR="0045199A" w:rsidRPr="00EC673F" w:rsidRDefault="0045199A" w:rsidP="00543B0D">
            <w:pPr>
              <w:pStyle w:val="TableText"/>
              <w:rPr>
                <w:rFonts w:cs="Arial"/>
              </w:rPr>
            </w:pPr>
            <w:r w:rsidRPr="00EC673F">
              <w:rPr>
                <w:rFonts w:cs="Arial"/>
              </w:rPr>
              <w:t>Validation record storage</w:t>
            </w:r>
          </w:p>
        </w:tc>
      </w:tr>
    </w:tbl>
    <w:p w14:paraId="75CBD990" w14:textId="77777777" w:rsidR="0045199A" w:rsidRPr="0045199A" w:rsidRDefault="0045199A" w:rsidP="0045199A">
      <w:pPr>
        <w:pStyle w:val="BodyText"/>
        <w:spacing w:after="0"/>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7B1BC80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66641F" w14:textId="77777777" w:rsidR="003F0440" w:rsidRPr="00D01896" w:rsidRDefault="003F0440" w:rsidP="002D126B">
            <w:pPr>
              <w:pStyle w:val="TableText"/>
              <w:rPr>
                <w:b/>
              </w:rPr>
            </w:pPr>
            <w:r>
              <w:rPr>
                <w:b/>
              </w:rPr>
              <w:t>Throughout VBECS</w:t>
            </w:r>
          </w:p>
        </w:tc>
      </w:tr>
      <w:tr w:rsidR="003F0440" w:rsidRPr="00725902" w14:paraId="4B38469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D4F141" w14:textId="77777777" w:rsidR="003F0440" w:rsidRDefault="003F0440" w:rsidP="002D126B">
            <w:pPr>
              <w:pStyle w:val="TableText"/>
            </w:pPr>
            <w:r>
              <w:t xml:space="preserve">After entering a canned or free-text comment in the testing comment field of the testing grid, the user must press </w:t>
            </w:r>
            <w:r w:rsidRPr="00E755C0">
              <w:rPr>
                <w:b/>
              </w:rPr>
              <w:t>Enter</w:t>
            </w:r>
            <w:r>
              <w:t xml:space="preserve"> to store the comment.</w:t>
            </w:r>
          </w:p>
        </w:tc>
      </w:tr>
      <w:tr w:rsidR="00096EDC" w:rsidRPr="00696FA6" w14:paraId="3BCE4DF7"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FA0CEA" w14:textId="77777777" w:rsidR="00096EDC" w:rsidRPr="00696FA6" w:rsidRDefault="00096EDC" w:rsidP="002D126B">
            <w:pPr>
              <w:pStyle w:val="TableText"/>
            </w:pPr>
            <w:r>
              <w:t>Although t</w:t>
            </w:r>
            <w:r w:rsidRPr="002B06B2">
              <w:t>he copy-and-paste function is enabled</w:t>
            </w:r>
            <w:r>
              <w:t>, do</w:t>
            </w:r>
            <w:r w:rsidRPr="002B06B2">
              <w:t xml:space="preserve"> not use it to enter patient identification information. </w:t>
            </w:r>
            <w:r>
              <w:t>It is highly</w:t>
            </w:r>
            <w:r w:rsidRPr="002B06B2">
              <w:t xml:space="preserve"> recommend</w:t>
            </w:r>
            <w:r>
              <w:t>ed</w:t>
            </w:r>
            <w:r w:rsidRPr="002B06B2">
              <w:t xml:space="preserve"> that the user scan this information when possible</w:t>
            </w:r>
            <w:r>
              <w:t>;</w:t>
            </w:r>
            <w:r w:rsidRPr="002B06B2">
              <w:t xml:space="preserve"> otherwise</w:t>
            </w:r>
            <w:r>
              <w:t xml:space="preserve">, enter it </w:t>
            </w:r>
            <w:r w:rsidRPr="002B06B2">
              <w:rPr>
                <w:vanish/>
              </w:rPr>
              <w:t>(DR 2,519)</w:t>
            </w:r>
            <w:r w:rsidRPr="002B06B2">
              <w:t>.</w:t>
            </w:r>
          </w:p>
        </w:tc>
      </w:tr>
      <w:tr w:rsidR="00F5220A" w:rsidRPr="00696FA6" w14:paraId="20C0B76A" w14:textId="77777777" w:rsidTr="00A952DB">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02E069F" w14:textId="3F93C265" w:rsidR="00F5220A" w:rsidRPr="00696FA6" w:rsidRDefault="00F5220A" w:rsidP="00A952DB">
            <w:pPr>
              <w:pStyle w:val="TableText"/>
            </w:pPr>
            <w:r w:rsidRPr="00696FA6">
              <w:t xml:space="preserve">Data retrieval from VBECS is </w:t>
            </w:r>
            <w:r w:rsidR="00FB34BB">
              <w:t xml:space="preserve">only </w:t>
            </w:r>
            <w:r w:rsidRPr="00696FA6">
              <w:t xml:space="preserve">available </w:t>
            </w:r>
            <w:r w:rsidR="00FB34BB">
              <w:t>with project approval.</w:t>
            </w:r>
            <w:r w:rsidR="00D92F28">
              <w:t xml:space="preserve"> </w:t>
            </w:r>
            <w:r w:rsidR="00D92F28" w:rsidRPr="00D92F28">
              <w:rPr>
                <w:vanish/>
              </w:rPr>
              <w:t>Task 190402</w:t>
            </w:r>
          </w:p>
        </w:tc>
      </w:tr>
      <w:tr w:rsidR="003F0440" w:rsidRPr="00696FA6" w14:paraId="1A20ADD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491D837" w14:textId="4E570005" w:rsidR="003F0440" w:rsidRPr="00696FA6" w:rsidRDefault="00F5220A" w:rsidP="002D126B">
            <w:pPr>
              <w:pStyle w:val="TableText"/>
            </w:pPr>
            <w:r w:rsidRPr="00F5220A">
              <w:t xml:space="preserve">The </w:t>
            </w:r>
            <w:r w:rsidR="00D92F28">
              <w:t xml:space="preserve">report </w:t>
            </w:r>
            <w:r w:rsidRPr="00F5220A">
              <w:t xml:space="preserve">data </w:t>
            </w:r>
            <w:r w:rsidR="00D92F28">
              <w:t xml:space="preserve">that is </w:t>
            </w:r>
            <w:r w:rsidRPr="00F5220A">
              <w:t>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p>
        </w:tc>
      </w:tr>
      <w:tr w:rsidR="00F5220A" w:rsidRPr="00696FA6" w14:paraId="22E82E3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2CB78DB" w14:textId="17057D2F" w:rsidR="00F5220A" w:rsidRPr="00F5220A" w:rsidRDefault="00F5220A" w:rsidP="002D126B">
            <w:pPr>
              <w:pStyle w:val="TableText"/>
            </w:pPr>
            <w:r w:rsidRPr="00F5220A">
              <w:t>Patient names in VistA that exceed the database standard for File #2 (30 characters) or do not have a last name do not convert to VBECS.</w:t>
            </w:r>
          </w:p>
        </w:tc>
      </w:tr>
      <w:tr w:rsidR="003F0440" w:rsidRPr="00696FA6" w14:paraId="078D60E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2BAE919" w14:textId="77777777" w:rsidR="003F0440" w:rsidRPr="00696FA6" w:rsidRDefault="003F0440" w:rsidP="002D126B">
            <w:pPr>
              <w:pStyle w:val="TableText"/>
            </w:pPr>
            <w:r w:rsidRPr="00696FA6">
              <w:t xml:space="preserve">Information may not be transferred from one window to another without refreshing the screen. When a window is partially displayed or freezes; or when you move from one window to another, enter information, return to the original window, and the entered information is not available, minimize then maximize the window to refresh it. </w:t>
            </w:r>
            <w:r w:rsidRPr="00A10483">
              <w:rPr>
                <w:vanish/>
                <w:szCs w:val="18"/>
              </w:rPr>
              <w:t>UserDoc Task 1086</w:t>
            </w:r>
          </w:p>
        </w:tc>
      </w:tr>
      <w:tr w:rsidR="00F5220A" w:rsidRPr="00696FA6" w14:paraId="664CCA73" w14:textId="77777777" w:rsidTr="00007BBA">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tcPr>
          <w:p w14:paraId="182BE069" w14:textId="63683A47" w:rsidR="00F5220A" w:rsidRPr="00696FA6" w:rsidRDefault="00F5220A" w:rsidP="00F5220A">
            <w:pPr>
              <w:pStyle w:val="TableText"/>
            </w:pPr>
            <w:r w:rsidRPr="00734A95">
              <w:t>A maximized window cannot be resized or moved.</w:t>
            </w:r>
          </w:p>
        </w:tc>
      </w:tr>
      <w:tr w:rsidR="00F5220A" w:rsidRPr="00696FA6" w14:paraId="332A0C49" w14:textId="77777777" w:rsidTr="00103074">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tcPr>
          <w:p w14:paraId="367EA26D" w14:textId="4F23E026" w:rsidR="00F5220A" w:rsidRPr="00F5220A" w:rsidRDefault="00F5220A" w:rsidP="00F5220A">
            <w:pPr>
              <w:pStyle w:val="TableText"/>
            </w:pPr>
            <w:r w:rsidRPr="00E630A6">
              <w:t>Keyboard navigation of VBECS does not accommodate the presentation of error providers or tool tips. A mouse is required to reveal this information as needed.</w:t>
            </w:r>
            <w:r>
              <w:rPr>
                <w:vanish/>
              </w:rPr>
              <w:t xml:space="preserve"> DR 3590</w:t>
            </w:r>
          </w:p>
        </w:tc>
      </w:tr>
      <w:tr w:rsidR="003F0440" w:rsidRPr="00696FA6" w14:paraId="03FE51D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5CBBC29" w14:textId="77777777" w:rsidR="003F0440" w:rsidRPr="00696FA6" w:rsidRDefault="003F0440" w:rsidP="002D126B">
            <w:pPr>
              <w:pStyle w:val="TableText"/>
            </w:pPr>
            <w:r w:rsidRPr="00696FA6">
              <w:t>Initial blood orders must be placed in CPRS. Tests and products may be added to existing orders in VBECS.</w:t>
            </w:r>
          </w:p>
        </w:tc>
      </w:tr>
      <w:tr w:rsidR="00F5220A" w:rsidRPr="00696FA6" w14:paraId="276F651D" w14:textId="77777777" w:rsidTr="00A952DB">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63D858" w14:textId="77777777" w:rsidR="00F5220A" w:rsidRPr="00F5220A" w:rsidRDefault="00F5220A" w:rsidP="00A952DB">
            <w:pPr>
              <w:pStyle w:val="TableText"/>
            </w:pPr>
            <w:r w:rsidRPr="00F5220A">
              <w:t>Set the local machine’s desktop resolution to 1024 by 768 pixels or higher for optimal display. Failure to maintain these settings may result in partial display of safety-critical information.</w:t>
            </w:r>
            <w:r>
              <w:rPr>
                <w:vanish/>
              </w:rPr>
              <w:t xml:space="preserve"> DR 3738</w:t>
            </w:r>
          </w:p>
        </w:tc>
      </w:tr>
      <w:tr w:rsidR="00A51F68" w:rsidRPr="00696FA6" w14:paraId="7E30E23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CD5489" w14:textId="77777777" w:rsidR="00A51F68" w:rsidRPr="00AF0F0D" w:rsidRDefault="00A51F68" w:rsidP="002D126B">
            <w:pPr>
              <w:pStyle w:val="TableText"/>
            </w:pPr>
            <w:r w:rsidRPr="00AF0F0D">
              <w:t>The date and time displayed in VBECS depend on the date and time set on the server. Sites are not notified when an administrator changes the date or time on the server. Users must contact their System Administrator when the date or time is incorrect.</w:t>
            </w:r>
          </w:p>
        </w:tc>
      </w:tr>
      <w:tr w:rsidR="003F0440" w:rsidRPr="00696FA6" w14:paraId="7CC063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64092A" w14:textId="77777777" w:rsidR="003F0440" w:rsidRPr="00696FA6" w:rsidRDefault="003F0440" w:rsidP="002D126B">
            <w:pPr>
              <w:pStyle w:val="TableText"/>
            </w:pPr>
            <w:r w:rsidRPr="00696FA6">
              <w:t>VBECS depends on a connection to VistA and CPRS to retrieve patient information and orders, respectively.</w:t>
            </w:r>
          </w:p>
        </w:tc>
      </w:tr>
      <w:tr w:rsidR="003F0440" w:rsidRPr="00696FA6" w14:paraId="38221558"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B05E64" w14:textId="77777777" w:rsidR="003F0440" w:rsidRPr="00696FA6" w:rsidRDefault="003F0440" w:rsidP="002D126B">
            <w:pPr>
              <w:pStyle w:val="TableText"/>
            </w:pPr>
            <w:r w:rsidRPr="00696FA6">
              <w:t xml:space="preserve">When a message window requires a user response and VBECS displays it behind the active window, the user must minimize the active window or click and drag dialog boxes to expose the message window. </w:t>
            </w:r>
          </w:p>
        </w:tc>
      </w:tr>
      <w:tr w:rsidR="003F0440" w:rsidRPr="00696FA6" w14:paraId="373224C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99A3EB" w14:textId="77777777" w:rsidR="003F0440" w:rsidRPr="00696FA6" w:rsidRDefault="003F0440" w:rsidP="002D126B">
            <w:pPr>
              <w:pStyle w:val="TableText"/>
            </w:pPr>
            <w:r w:rsidRPr="00696FA6">
              <w:t>When the default screen resolution is changed, division or VistALink information may not be entirely visible.</w:t>
            </w:r>
          </w:p>
        </w:tc>
      </w:tr>
      <w:tr w:rsidR="003F0440" w:rsidRPr="00C05FB7" w14:paraId="79CF76F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9B96E76" w14:textId="77777777" w:rsidR="003F0440" w:rsidRPr="00C05FB7" w:rsidRDefault="003F0440" w:rsidP="002D126B">
            <w:pPr>
              <w:pStyle w:val="TableText"/>
              <w:rPr>
                <w:b/>
              </w:rPr>
            </w:pPr>
            <w:r>
              <w:lastRenderedPageBreak/>
              <w:t xml:space="preserve">When the user does not enter a full or partial unit ID and clicks the </w:t>
            </w:r>
            <w:r w:rsidR="00A6373D">
              <w:rPr>
                <w:b/>
              </w:rPr>
              <w:t>find</w:t>
            </w:r>
            <w:r>
              <w:t xml:space="preserve"> button in the Unit Search Screen, response time will vary based on the size of the database.</w:t>
            </w:r>
          </w:p>
        </w:tc>
      </w:tr>
    </w:tbl>
    <w:p w14:paraId="2714A4C0" w14:textId="77777777" w:rsidR="00EE4091" w:rsidRDefault="00EE4091"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7B65565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B5B81E" w14:textId="77777777" w:rsidR="003F0440" w:rsidRPr="00C05FB7" w:rsidRDefault="003F0440" w:rsidP="002D126B">
            <w:pPr>
              <w:pStyle w:val="TableText"/>
              <w:rPr>
                <w:b/>
              </w:rPr>
            </w:pPr>
            <w:r w:rsidRPr="00C05FB7">
              <w:rPr>
                <w:b/>
              </w:rPr>
              <w:t>ABO/Rh Confirmation</w:t>
            </w:r>
          </w:p>
        </w:tc>
      </w:tr>
      <w:tr w:rsidR="001C6E63" w:rsidRPr="00725902" w14:paraId="3959FF62"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79AE9368" w14:textId="33339115" w:rsidR="001C6E63" w:rsidRDefault="00B712FD" w:rsidP="002D126B">
            <w:pPr>
              <w:pStyle w:val="TableText"/>
              <w:rPr>
                <w:rFonts w:cs="Arial"/>
                <w:vanish/>
              </w:rPr>
            </w:pPr>
            <w:r w:rsidRPr="00164B44">
              <w:rPr>
                <w:vanish/>
              </w:rPr>
              <w:t>BR_</w:t>
            </w:r>
            <w:r w:rsidR="00F63A03">
              <w:rPr>
                <w:vanish/>
              </w:rPr>
              <w:t>2.43</w:t>
            </w:r>
            <w:r w:rsidRPr="00164B44">
              <w:rPr>
                <w:vanish/>
              </w:rPr>
              <w:t xml:space="preserve"> </w:t>
            </w:r>
            <w:r w:rsidR="001C6E63">
              <w:rPr>
                <w:rFonts w:cs="Arial"/>
              </w:rPr>
              <w:t>This option is disabled for transfusion-only facilities.</w:t>
            </w:r>
          </w:p>
        </w:tc>
      </w:tr>
      <w:tr w:rsidR="003F0440" w:rsidRPr="00725902" w14:paraId="4216571B"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4CA71D28" w14:textId="77777777" w:rsidR="003F0440" w:rsidRPr="00725902" w:rsidRDefault="003F0440" w:rsidP="002D126B">
            <w:pPr>
              <w:pStyle w:val="TableText"/>
            </w:pPr>
            <w:r>
              <w:rPr>
                <w:rFonts w:cs="Arial"/>
                <w:vanish/>
              </w:rPr>
              <w:t xml:space="preserve">BR_2.04 </w:t>
            </w:r>
            <w:r w:rsidR="007D535F">
              <w:t>When building a worklist by invoice number, only invoiced units not previously tested and confirmed appear on the worklist. The user may deselect or add additional units.</w:t>
            </w:r>
          </w:p>
        </w:tc>
      </w:tr>
      <w:tr w:rsidR="003F0440" w:rsidRPr="00725902" w14:paraId="3C7C7872"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6E187CE6" w14:textId="77777777" w:rsidR="003F0440" w:rsidRPr="00725902" w:rsidRDefault="003F0440" w:rsidP="002D126B">
            <w:pPr>
              <w:pStyle w:val="TableText"/>
            </w:pPr>
            <w:r>
              <w:rPr>
                <w:rFonts w:cs="Arial"/>
                <w:vanish/>
              </w:rPr>
              <w:t xml:space="preserve">BR_27.09 </w:t>
            </w:r>
            <w:r>
              <w:t xml:space="preserve">For batch processing, </w:t>
            </w:r>
            <w:r w:rsidR="000E5D74">
              <w:t xml:space="preserve">the user can select </w:t>
            </w:r>
            <w:r>
              <w:t xml:space="preserve">incoming shipment invoices from </w:t>
            </w:r>
            <w:r w:rsidR="000E5D74">
              <w:t xml:space="preserve">his division, processed within </w:t>
            </w:r>
            <w:r>
              <w:t>the previous five days</w:t>
            </w:r>
            <w:r w:rsidRPr="008631E9">
              <w:t>.</w:t>
            </w:r>
          </w:p>
        </w:tc>
      </w:tr>
      <w:tr w:rsidR="003F0440" w:rsidRPr="00725902" w14:paraId="4D13C4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E256EAE" w14:textId="77777777" w:rsidR="003F0440" w:rsidRPr="00725902" w:rsidRDefault="003F0440" w:rsidP="002D126B">
            <w:pPr>
              <w:pStyle w:val="TableText"/>
            </w:pPr>
            <w:r>
              <w:t xml:space="preserve">VBECS does not display product </w:t>
            </w:r>
            <w:r w:rsidRPr="008631E9">
              <w:t>code</w:t>
            </w:r>
            <w:r>
              <w:t xml:space="preserve">s associated with unit IDs in ABO/Rh Confirmation. Therefore, do not create ABO/Rh confirmation worklists containing units with the same unit ID. </w:t>
            </w:r>
          </w:p>
        </w:tc>
      </w:tr>
      <w:tr w:rsidR="001C6E63" w:rsidRPr="00725902" w14:paraId="3B5FE55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6E0FC6" w14:textId="159269A6" w:rsidR="001C6E63" w:rsidRDefault="001C6E63" w:rsidP="002D126B">
            <w:pPr>
              <w:pStyle w:val="TableText"/>
            </w:pPr>
            <w:r>
              <w:t>POOLED GRANULOCYTES</w:t>
            </w:r>
            <w:r w:rsidR="00082DBB" w:rsidRPr="00C60EBB">
              <w:rPr>
                <w:vanish/>
              </w:rPr>
              <w:t xml:space="preserve">(ICCBBA Component Class E036) </w:t>
            </w:r>
            <w:r>
              <w:t xml:space="preserve"> </w:t>
            </w:r>
            <w:r w:rsidR="003D1470">
              <w:t xml:space="preserve">labeled </w:t>
            </w:r>
            <w:r w:rsidR="003D1470" w:rsidRPr="00D12C95">
              <w:t>with an Rh type of “Pooled” is considered an Rh Positive unit which does not require confirmation testing.</w:t>
            </w:r>
          </w:p>
        </w:tc>
      </w:tr>
      <w:tr w:rsidR="001C6E63" w:rsidRPr="00725902" w14:paraId="31962ED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EEF0BB" w14:textId="2CEBB5C9" w:rsidR="001C6E63" w:rsidRDefault="003D1470" w:rsidP="002D126B">
            <w:pPr>
              <w:pStyle w:val="TableText"/>
            </w:pPr>
            <w:r>
              <w:t xml:space="preserve">POOLED GRANULOCYTES </w:t>
            </w:r>
            <w:r w:rsidR="00082DBB" w:rsidRPr="00C60EBB">
              <w:rPr>
                <w:vanish/>
              </w:rPr>
              <w:t xml:space="preserve">(ICCBBA Component Class E036) </w:t>
            </w:r>
            <w:r>
              <w:t xml:space="preserve">labeled </w:t>
            </w:r>
            <w:r w:rsidRPr="00D12C95">
              <w:t>with an</w:t>
            </w:r>
            <w:r>
              <w:t xml:space="preserve"> </w:t>
            </w:r>
            <w:r w:rsidRPr="00E44A83">
              <w:t>ABO group of “Pooled” cannot be confirmed. A blood component unit received as “POOLED ABO” will have to be transfused using the Supervisory option, Document ABO Incompatible Transfusion.</w:t>
            </w:r>
          </w:p>
        </w:tc>
      </w:tr>
      <w:tr w:rsidR="003E0483" w:rsidRPr="00725902" w14:paraId="2017991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453538" w14:textId="0B763E45" w:rsidR="003E0483" w:rsidRDefault="003E0483" w:rsidP="002D126B">
            <w:pPr>
              <w:pStyle w:val="TableText"/>
            </w:pPr>
            <w:r>
              <w:t xml:space="preserve">Patient assignment is not released </w:t>
            </w:r>
            <w:r w:rsidRPr="00B26970">
              <w:rPr>
                <w:rFonts w:cs="Arial"/>
                <w:szCs w:val="18"/>
              </w:rPr>
              <w:t>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w:t>
            </w:r>
            <w:r w:rsidR="00EF7C8A">
              <w:rPr>
                <w:rFonts w:cs="Arial"/>
                <w:szCs w:val="18"/>
              </w:rPr>
              <w:t xml:space="preserve"> </w:t>
            </w:r>
            <w:r w:rsidR="00EF7C8A" w:rsidRPr="00EF7C8A">
              <w:rPr>
                <w:rFonts w:cs="Arial"/>
                <w:vanish/>
                <w:szCs w:val="18"/>
              </w:rPr>
              <w:t>Task 213499</w:t>
            </w:r>
          </w:p>
        </w:tc>
      </w:tr>
    </w:tbl>
    <w:p w14:paraId="6990DAEE"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023AD" w14:paraId="2B563E9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2BC5F5" w14:textId="77777777" w:rsidR="003F0440" w:rsidRPr="007023AD" w:rsidRDefault="003F0440" w:rsidP="002D126B">
            <w:pPr>
              <w:pStyle w:val="TableText"/>
              <w:rPr>
                <w:b/>
              </w:rPr>
            </w:pPr>
            <w:r w:rsidRPr="007023AD">
              <w:rPr>
                <w:b/>
              </w:rPr>
              <w:t xml:space="preserve">Accept Orders: Accept an Order </w:t>
            </w:r>
          </w:p>
        </w:tc>
      </w:tr>
      <w:tr w:rsidR="00C4014D" w:rsidRPr="00725902" w14:paraId="553B4D5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ACFB8E" w14:textId="77777777" w:rsidR="00C4014D" w:rsidRDefault="007B38A2" w:rsidP="002D126B">
            <w:pPr>
              <w:pStyle w:val="TableText"/>
            </w:pPr>
            <w:r>
              <w:t>An order for TAS must be accepted before the component order if the user wants to include the component request to the Inappropriate Transfusion Request Report. Accepting the TAS after the component order is marked inappropriate and accepted clears the user’s indication that this is an inappropriate request</w:t>
            </w:r>
            <w:r w:rsidR="00C425B6">
              <w:t xml:space="preserve">. </w:t>
            </w:r>
            <w:r w:rsidR="00C425B6" w:rsidRPr="00C425B6">
              <w:rPr>
                <w:vanish/>
              </w:rPr>
              <w:t>DR 4854</w:t>
            </w:r>
          </w:p>
        </w:tc>
      </w:tr>
      <w:tr w:rsidR="003F0440" w:rsidRPr="00725902" w14:paraId="04D335F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135C92" w14:textId="1874E47F" w:rsidR="003F0440" w:rsidRDefault="003F0440" w:rsidP="002D126B">
            <w:pPr>
              <w:pStyle w:val="TableText"/>
            </w:pPr>
            <w:r>
              <w:t xml:space="preserve">When no CPRS order exists, the user </w:t>
            </w:r>
            <w:r w:rsidR="00082DBB">
              <w:t>processes</w:t>
            </w:r>
            <w:r>
              <w:t xml:space="preserve"> the specimen offline.</w:t>
            </w:r>
            <w:r w:rsidR="0050322E">
              <w:t xml:space="preserve"> The emergency order check box is not enabled unless there is a CPRS order and a patient specimen accessioned in VistA. If necessary, process the emergency issue of units</w:t>
            </w:r>
            <w:r w:rsidR="00850DE6">
              <w:t xml:space="preserve"> manually, per local policy, until the specimen is received and accessioned. </w:t>
            </w:r>
            <w:r w:rsidR="00850DE6" w:rsidRPr="00850DE6">
              <w:rPr>
                <w:vanish/>
              </w:rPr>
              <w:t>Defect 2</w:t>
            </w:r>
            <w:r w:rsidR="005D686E">
              <w:rPr>
                <w:vanish/>
              </w:rPr>
              <w:t>13679</w:t>
            </w:r>
          </w:p>
        </w:tc>
      </w:tr>
      <w:tr w:rsidR="009E2EF4" w:rsidRPr="00725902" w14:paraId="7F7A548E"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5C91D6B" w14:textId="77777777" w:rsidR="009E2EF4" w:rsidRDefault="009E2EF4" w:rsidP="009E2EF4">
            <w:pPr>
              <w:pStyle w:val="TableText"/>
            </w:pPr>
            <w:r w:rsidRPr="009E2EF4">
              <w:rPr>
                <w:vanish/>
              </w:rPr>
              <w:t>DR 2,811</w:t>
            </w:r>
            <w:r>
              <w:t>The user must accept the Type &amp; Screen (TAS) before he accepts other diagnostic tests or component orders.</w:t>
            </w:r>
          </w:p>
        </w:tc>
      </w:tr>
      <w:tr w:rsidR="009E2EF4" w:rsidRPr="00725902" w14:paraId="1E44AC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30ABEC1" w14:textId="77777777" w:rsidR="009E2EF4" w:rsidRDefault="009E2EF4" w:rsidP="009E2EF4">
            <w:pPr>
              <w:pStyle w:val="TableText"/>
            </w:pPr>
            <w:r>
              <w:t>T</w:t>
            </w:r>
            <w:r w:rsidRPr="00AB4ABB">
              <w:t>he</w:t>
            </w:r>
            <w:r>
              <w:t xml:space="preserve"> user cannot click </w:t>
            </w:r>
            <w:r w:rsidR="00057948">
              <w:rPr>
                <w:noProof/>
              </w:rPr>
              <w:drawing>
                <wp:inline distT="0" distB="0" distL="0" distR="0" wp14:anchorId="65758699" wp14:editId="1E25FBAF">
                  <wp:extent cx="156845" cy="156845"/>
                  <wp:effectExtent l="0" t="0" r="0" b="0"/>
                  <wp:docPr id="272" name="Picture 272" descr="Restricted or Assigned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Restricted or Assigned Units ic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(Restricted or Assigned Units) to access information on autologous or directed units that may be restricted to a patient.</w:t>
            </w:r>
          </w:p>
        </w:tc>
      </w:tr>
      <w:tr w:rsidR="001C50C2" w:rsidRPr="00725902" w14:paraId="447EED2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9F975F" w14:textId="576E9575" w:rsidR="001C50C2" w:rsidRDefault="0055788D" w:rsidP="009C1EBC">
            <w:pPr>
              <w:pStyle w:val="TableText"/>
            </w:pPr>
            <w:r>
              <w:t>Orders placed for patient</w:t>
            </w:r>
            <w:r w:rsidR="001C50C2" w:rsidRPr="00DD022C">
              <w:t>s with names that exceed the database standard for File #2 (30 characters) or do not have a last name in VistA are rejected and do not appear in VBECS. The VBECS System Administrator is notified of each rejection via an email to the address entered in VBECS Administrator “</w:t>
            </w:r>
            <w:r w:rsidR="009C1EBC">
              <w:t>Email Alerts</w:t>
            </w:r>
            <w:r w:rsidR="001C50C2" w:rsidRPr="00DD022C">
              <w:t>” field.</w:t>
            </w:r>
          </w:p>
        </w:tc>
      </w:tr>
    </w:tbl>
    <w:p w14:paraId="45B2B701" w14:textId="77777777" w:rsidR="00BA0F42" w:rsidRDefault="00BA0F42"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F5480" w14:paraId="0EECDA9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237282" w14:textId="77777777" w:rsidR="003F0440" w:rsidRPr="00AF5480" w:rsidRDefault="003F0440" w:rsidP="002D126B">
            <w:pPr>
              <w:pStyle w:val="TableText"/>
              <w:rPr>
                <w:b/>
              </w:rPr>
            </w:pPr>
            <w:r w:rsidRPr="00AF5480">
              <w:rPr>
                <w:b/>
              </w:rPr>
              <w:t>Accept Orders: Cancel a Pending Order</w:t>
            </w:r>
          </w:p>
        </w:tc>
      </w:tr>
      <w:tr w:rsidR="003F0440" w:rsidRPr="00725902" w14:paraId="506CABD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F89B189" w14:textId="77777777" w:rsidR="003F0440" w:rsidRDefault="003F0440" w:rsidP="002D126B">
            <w:pPr>
              <w:pStyle w:val="TableText"/>
            </w:pPr>
            <w:r>
              <w:t>Cancellation of one order does not affect other orders placed with it.</w:t>
            </w:r>
          </w:p>
        </w:tc>
      </w:tr>
    </w:tbl>
    <w:p w14:paraId="74090D20" w14:textId="4F940187" w:rsidR="00850DE6" w:rsidRDefault="00850DE6" w:rsidP="00BF4964">
      <w:pPr>
        <w:pStyle w:val="TableText"/>
      </w:pPr>
    </w:p>
    <w:p w14:paraId="7C0B64FE" w14:textId="77777777" w:rsidR="00850DE6" w:rsidRDefault="00850DE6">
      <w:pPr>
        <w:rPr>
          <w:rFonts w:ascii="Arial" w:hAnsi="Arial"/>
          <w:sz w:val="18"/>
        </w:rPr>
      </w:pPr>
      <w:r>
        <w:br w:type="page"/>
      </w:r>
    </w:p>
    <w:p w14:paraId="76A5BEC2"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25" w:color="auto" w:fill="auto"/>
        <w:tblLayout w:type="fixed"/>
        <w:tblCellMar>
          <w:top w:w="60" w:type="dxa"/>
          <w:left w:w="60" w:type="dxa"/>
          <w:bottom w:w="60" w:type="dxa"/>
          <w:right w:w="60" w:type="dxa"/>
        </w:tblCellMar>
        <w:tblLook w:val="0000" w:firstRow="0" w:lastRow="0" w:firstColumn="0" w:lastColumn="0" w:noHBand="0" w:noVBand="0"/>
      </w:tblPr>
      <w:tblGrid>
        <w:gridCol w:w="9360"/>
      </w:tblGrid>
      <w:tr w:rsidR="00A1725C" w:rsidRPr="007023AD" w14:paraId="1142ED26" w14:textId="77777777" w:rsidTr="00BF30E4">
        <w:trPr>
          <w:cantSplit/>
        </w:trPr>
        <w:tc>
          <w:tcPr>
            <w:tcW w:w="9360" w:type="dxa"/>
            <w:tcBorders>
              <w:bottom w:val="single" w:sz="6" w:space="0" w:color="000000"/>
            </w:tcBorders>
            <w:shd w:val="clear" w:color="auto" w:fill="BFBFBF" w:themeFill="background1" w:themeFillShade="BF"/>
            <w:vAlign w:val="bottom"/>
          </w:tcPr>
          <w:p w14:paraId="1A498368" w14:textId="77777777" w:rsidR="00A1725C" w:rsidRPr="00A1725C" w:rsidRDefault="00A1725C" w:rsidP="00E01F4B">
            <w:pPr>
              <w:pStyle w:val="TableText"/>
              <w:rPr>
                <w:b/>
              </w:rPr>
            </w:pPr>
            <w:r w:rsidRPr="00A1725C">
              <w:rPr>
                <w:b/>
              </w:rPr>
              <w:t xml:space="preserve">Accept Orders: Pending Order List </w:t>
            </w:r>
          </w:p>
        </w:tc>
      </w:tr>
      <w:tr w:rsidR="00A1725C" w:rsidRPr="00725902" w14:paraId="75747FE3" w14:textId="77777777">
        <w:trPr>
          <w:cantSplit/>
        </w:trPr>
        <w:tc>
          <w:tcPr>
            <w:tcW w:w="9360" w:type="dxa"/>
            <w:shd w:val="clear" w:color="auto" w:fill="auto"/>
            <w:vAlign w:val="bottom"/>
          </w:tcPr>
          <w:p w14:paraId="4F907F67" w14:textId="5EF88B45" w:rsidR="00A1725C" w:rsidRPr="00DD022C" w:rsidRDefault="00A1725C" w:rsidP="00E01F4B">
            <w:pPr>
              <w:pStyle w:val="TableText"/>
            </w:pPr>
            <w:r w:rsidRPr="00DD022C">
              <w:t>Orders placed for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C1EBC">
              <w:t>Email Alerts</w:t>
            </w:r>
            <w:r w:rsidRPr="00DD022C">
              <w:t>” field.</w:t>
            </w:r>
          </w:p>
        </w:tc>
      </w:tr>
      <w:tr w:rsidR="000F05B1" w:rsidRPr="00725902" w14:paraId="2BDD9808" w14:textId="77777777" w:rsidTr="000F05B1">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5FF8ED" w14:textId="050AB86C" w:rsidR="000F05B1" w:rsidRPr="00DD022C" w:rsidRDefault="000F05B1" w:rsidP="00615FC3">
            <w:pPr>
              <w:pStyle w:val="TableText"/>
            </w:pPr>
            <w:r>
              <w:t>TAS must be accepted prior to any diagnostic test associated with the same specimen UID to allow the specimen to be used for the TAS.</w:t>
            </w:r>
          </w:p>
        </w:tc>
      </w:tr>
    </w:tbl>
    <w:p w14:paraId="115B0FC5" w14:textId="77777777" w:rsidR="00A1725C" w:rsidRDefault="00A1725C"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6D10" w:rsidRPr="00EC673F" w14:paraId="4886FE04" w14:textId="77777777" w:rsidTr="00E31E2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D78A60C" w14:textId="77777777" w:rsidR="00456D10" w:rsidRPr="00EC673F" w:rsidRDefault="00456D10" w:rsidP="00E31E25">
            <w:pPr>
              <w:pStyle w:val="TableText"/>
              <w:rPr>
                <w:rFonts w:cs="Arial"/>
                <w:b/>
              </w:rPr>
            </w:pPr>
            <w:r>
              <w:rPr>
                <w:rFonts w:cs="Arial"/>
                <w:b/>
              </w:rPr>
              <w:t>Accessing the System</w:t>
            </w:r>
          </w:p>
        </w:tc>
      </w:tr>
      <w:tr w:rsidR="00456D10" w:rsidRPr="00EC673F" w14:paraId="092EDF57" w14:textId="77777777" w:rsidTr="00E31E25">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7DCBA967" w14:textId="49457D85" w:rsidR="00456D10" w:rsidRPr="00EC673F" w:rsidRDefault="00030AF7" w:rsidP="00E31E25">
            <w:pPr>
              <w:pStyle w:val="TableText"/>
              <w:rPr>
                <w:rFonts w:cs="Arial"/>
              </w:rPr>
            </w:pPr>
            <w:r>
              <w:rPr>
                <w:vanish/>
              </w:rPr>
              <w:t xml:space="preserve">BR_18.05 </w:t>
            </w:r>
            <w:r w:rsidR="00456D10">
              <w:rPr>
                <w:rFonts w:cs="Arial"/>
              </w:rPr>
              <w:t xml:space="preserve">VBECS </w:t>
            </w:r>
            <w:r w:rsidR="00456D10">
              <w:t>automatically logs a</w:t>
            </w:r>
            <w:r w:rsidR="00456D10" w:rsidRPr="00BF7321">
              <w:t xml:space="preserve"> </w:t>
            </w:r>
            <w:r w:rsidR="00456D10">
              <w:t>user with access to only one division into that division.</w:t>
            </w:r>
          </w:p>
        </w:tc>
      </w:tr>
      <w:tr w:rsidR="00456D10" w:rsidRPr="00EC673F" w14:paraId="758EC6D1"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3AB716" w14:textId="77777777" w:rsidR="00456D10" w:rsidRPr="00EC673F" w:rsidRDefault="00456D10" w:rsidP="00E31E25">
            <w:pPr>
              <w:pStyle w:val="TableText"/>
              <w:rPr>
                <w:rFonts w:cs="Arial"/>
              </w:rPr>
            </w:pPr>
            <w:r>
              <w:rPr>
                <w:rFonts w:cs="Arial"/>
              </w:rPr>
              <w:t xml:space="preserve">Connectivity </w:t>
            </w:r>
            <w:r w:rsidRPr="009E1728">
              <w:t>by IAM services access approval (PIV Card) is not possible when IAM services are not available.</w:t>
            </w:r>
          </w:p>
        </w:tc>
      </w:tr>
      <w:tr w:rsidR="00DB1ADD" w:rsidRPr="00EC673F" w14:paraId="7CECCBC0"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16E3B7D" w14:textId="2E598DAF" w:rsidR="00DB1ADD" w:rsidRDefault="00DB1ADD" w:rsidP="00E31E25">
            <w:pPr>
              <w:pStyle w:val="TableText"/>
              <w:rPr>
                <w:rFonts w:cs="Arial"/>
              </w:rPr>
            </w:pPr>
            <w:r w:rsidRPr="00DB1ADD">
              <w:rPr>
                <w:rFonts w:cs="Arial"/>
              </w:rPr>
              <w:t xml:space="preserve">Connectivity by IAM services access approval (PIV Card) is not required when a </w:t>
            </w:r>
            <w:r w:rsidR="00E20E5D">
              <w:rPr>
                <w:rFonts w:cs="Arial"/>
              </w:rPr>
              <w:t>user</w:t>
            </w:r>
            <w:r w:rsidRPr="00DB1ADD">
              <w:rPr>
                <w:rFonts w:cs="Arial"/>
              </w:rPr>
              <w:t xml:space="preserve"> has a PIV exemption or when IAM services are not available.</w:t>
            </w:r>
          </w:p>
        </w:tc>
      </w:tr>
      <w:tr w:rsidR="00B43925" w:rsidRPr="00EC673F" w14:paraId="496A91C2"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3AD0D6" w14:textId="44E86D5B" w:rsidR="00B43925" w:rsidRPr="00DB1ADD" w:rsidRDefault="00B43925" w:rsidP="00E31E25">
            <w:pPr>
              <w:pStyle w:val="TableText"/>
              <w:rPr>
                <w:rFonts w:cs="Arial"/>
              </w:rPr>
            </w:pPr>
            <w:r w:rsidRPr="000A67CF">
              <w:rPr>
                <w:rFonts w:cs="Arial"/>
              </w:rPr>
              <w:t>An Access and Verify code is required to connect to VistA when the IAM services are not available.</w:t>
            </w:r>
          </w:p>
        </w:tc>
      </w:tr>
      <w:tr w:rsidR="00456D10" w:rsidRPr="00EC673F" w14:paraId="732BE5E2" w14:textId="77777777" w:rsidTr="00E31E25">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DD6C40C" w14:textId="4AA0EF95" w:rsidR="00456D10" w:rsidRPr="00EC673F" w:rsidRDefault="00030AF7" w:rsidP="00E31E25">
            <w:pPr>
              <w:pStyle w:val="TableText"/>
              <w:rPr>
                <w:rFonts w:cs="Arial"/>
              </w:rPr>
            </w:pPr>
            <w:r w:rsidRPr="009E1728">
              <w:rPr>
                <w:vanish/>
              </w:rPr>
              <w:t xml:space="preserve">BR_102.12 </w:t>
            </w:r>
            <w:r w:rsidR="00456D10">
              <w:rPr>
                <w:rFonts w:cs="Arial"/>
              </w:rPr>
              <w:t>Connectivity is not possible when VistA is not available.</w:t>
            </w:r>
          </w:p>
        </w:tc>
      </w:tr>
      <w:tr w:rsidR="00456D10" w:rsidRPr="00EC673F" w14:paraId="21500D03"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1F1405" w14:textId="5E4121B5" w:rsidR="00456D10" w:rsidRPr="00EC673F" w:rsidRDefault="00E20E5D" w:rsidP="00E31E25">
            <w:pPr>
              <w:pStyle w:val="TableText"/>
              <w:rPr>
                <w:rFonts w:cs="Arial"/>
              </w:rPr>
            </w:pPr>
            <w:r w:rsidRPr="00E20E5D">
              <w:rPr>
                <w:rFonts w:cs="Arial"/>
              </w:rPr>
              <w:t xml:space="preserve">The user’s Active Directory account is a member of the proper VBECS security groups and configured with the AES256 bit encryption flag. Refer to the Active Directory section of the </w:t>
            </w:r>
            <w:r w:rsidRPr="00E20E5D">
              <w:rPr>
                <w:rFonts w:cs="Arial"/>
                <w:i/>
                <w:iCs/>
              </w:rPr>
              <w:t>VBECS Technical Manual Security Guide</w:t>
            </w:r>
            <w:r w:rsidRPr="00E20E5D">
              <w:rPr>
                <w:rFonts w:cs="Arial"/>
              </w:rPr>
              <w:t>.</w:t>
            </w:r>
          </w:p>
        </w:tc>
      </w:tr>
      <w:tr w:rsidR="00E20E5D" w:rsidRPr="00EC673F" w14:paraId="7E434B4C"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6CD5504" w14:textId="78D7AED1" w:rsidR="00E20E5D" w:rsidRDefault="00E20E5D" w:rsidP="00E31E25">
            <w:pPr>
              <w:pStyle w:val="TableText"/>
              <w:rPr>
                <w:rFonts w:cs="Arial"/>
              </w:rPr>
            </w:pPr>
            <w:r w:rsidRPr="00E20E5D">
              <w:rPr>
                <w:rFonts w:cs="Arial"/>
              </w:rPr>
              <w:t xml:space="preserve">For Remote Desktop constraints, consult the </w:t>
            </w:r>
            <w:r w:rsidRPr="00E20E5D">
              <w:rPr>
                <w:rFonts w:cs="Arial"/>
                <w:i/>
                <w:iCs/>
              </w:rPr>
              <w:t>VBECS Technical Manual Security Guide</w:t>
            </w:r>
            <w:r w:rsidRPr="00E20E5D">
              <w:rPr>
                <w:rFonts w:cs="Arial"/>
              </w:rPr>
              <w:t>.</w:t>
            </w:r>
          </w:p>
        </w:tc>
      </w:tr>
    </w:tbl>
    <w:p w14:paraId="060C39ED" w14:textId="77777777" w:rsidR="00456D10" w:rsidRDefault="00456D10"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6E598DC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E16DE44" w14:textId="082B0B22" w:rsidR="003F0440" w:rsidRPr="00C05FB7" w:rsidRDefault="003F0440" w:rsidP="002D126B">
            <w:pPr>
              <w:pStyle w:val="TableText"/>
              <w:rPr>
                <w:b/>
              </w:rPr>
            </w:pPr>
            <w:r w:rsidRPr="00C05FB7">
              <w:rPr>
                <w:b/>
              </w:rPr>
              <w:t>Add</w:t>
            </w:r>
            <w:r w:rsidR="00BC196C">
              <w:rPr>
                <w:b/>
              </w:rPr>
              <w:t xml:space="preserve"> and/or </w:t>
            </w:r>
            <w:r w:rsidRPr="00C05FB7">
              <w:rPr>
                <w:b/>
              </w:rPr>
              <w:t>Remove Units from a Pool</w:t>
            </w:r>
          </w:p>
        </w:tc>
      </w:tr>
      <w:tr w:rsidR="003F0440" w:rsidRPr="00725902" w14:paraId="40ABDBE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A0D22C" w14:textId="77777777" w:rsidR="003F0440" w:rsidRPr="00725902" w:rsidRDefault="003F0440" w:rsidP="002D126B">
            <w:pPr>
              <w:pStyle w:val="TableText"/>
            </w:pPr>
            <w:r>
              <w:t>See Modify Units.</w:t>
            </w:r>
          </w:p>
        </w:tc>
      </w:tr>
    </w:tbl>
    <w:p w14:paraId="1C1FA80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D7C44" w14:paraId="690A3F6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57EB59F" w14:textId="77777777" w:rsidR="003F0440" w:rsidRPr="00AD7C44" w:rsidRDefault="003F0440" w:rsidP="002D126B">
            <w:pPr>
              <w:pStyle w:val="TableText"/>
              <w:rPr>
                <w:b/>
              </w:rPr>
            </w:pPr>
            <w:r>
              <w:rPr>
                <w:b/>
              </w:rPr>
              <w:t>Audit Trail</w:t>
            </w:r>
          </w:p>
        </w:tc>
      </w:tr>
      <w:tr w:rsidR="003F0440" w:rsidRPr="00725902" w14:paraId="284A7EA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92EED18" w14:textId="77777777" w:rsidR="003F0440" w:rsidRPr="00725902" w:rsidRDefault="00B97396" w:rsidP="005753B8">
            <w:pPr>
              <w:pStyle w:val="TableText"/>
            </w:pPr>
            <w:r>
              <w:t>VBECS does not accommodate online review (verification, signature) of reports.</w:t>
            </w:r>
          </w:p>
        </w:tc>
      </w:tr>
    </w:tbl>
    <w:p w14:paraId="4CEA54D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C5F89" w:rsidRPr="00AD7C44" w14:paraId="6040CA84"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4C68DF5" w14:textId="77777777" w:rsidR="00DC5F89" w:rsidRPr="00AD7C44" w:rsidRDefault="00DC5F89" w:rsidP="00E40CDE">
            <w:pPr>
              <w:pStyle w:val="TableText"/>
              <w:rPr>
                <w:b/>
              </w:rPr>
            </w:pPr>
            <w:r>
              <w:rPr>
                <w:b/>
              </w:rPr>
              <w:t>Automated Testing Interface</w:t>
            </w:r>
          </w:p>
        </w:tc>
      </w:tr>
      <w:tr w:rsidR="003D2BAD" w:rsidRPr="00725902" w14:paraId="6E59387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A613FA" w14:textId="36C6CC66" w:rsidR="003D2BAD" w:rsidRPr="00DC5F89" w:rsidRDefault="003D2BAD" w:rsidP="00E40CDE">
            <w:pPr>
              <w:pStyle w:val="TableText"/>
            </w:pPr>
            <w:r w:rsidRPr="003D2BAD">
              <w:t xml:space="preserve">VBECS has only been tested with one automated instrument </w:t>
            </w:r>
            <w:r w:rsidRPr="00BC196C">
              <w:rPr>
                <w:rFonts w:cs="Arial"/>
                <w:szCs w:val="18"/>
              </w:rPr>
              <w:t>connected</w:t>
            </w:r>
            <w:r w:rsidR="00BC196C" w:rsidRPr="00BC196C">
              <w:rPr>
                <w:rFonts w:cs="Arial"/>
                <w:szCs w:val="18"/>
              </w:rPr>
              <w:t xml:space="preserve">. </w:t>
            </w:r>
            <w:r w:rsidR="00BC196C" w:rsidRPr="00BC196C">
              <w:rPr>
                <w:rFonts w:cs="Arial"/>
                <w:vanish/>
                <w:szCs w:val="18"/>
              </w:rPr>
              <w:t>Defect 357490</w:t>
            </w:r>
          </w:p>
        </w:tc>
      </w:tr>
      <w:tr w:rsidR="00DC5F89" w:rsidRPr="00725902" w14:paraId="6916926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D8BEA4" w14:textId="77777777" w:rsidR="00DC5F89" w:rsidRPr="00725902" w:rsidRDefault="00DC5F89" w:rsidP="00E40CDE">
            <w:pPr>
              <w:pStyle w:val="TableText"/>
            </w:pPr>
            <w:r w:rsidRPr="00DC5F89">
              <w:t>Not available for transmission to Transfusion only facilities from a blood center due to constraints of VA’s security software.</w:t>
            </w:r>
          </w:p>
        </w:tc>
      </w:tr>
      <w:tr w:rsidR="00DC5F89" w:rsidRPr="00725902" w14:paraId="7562497D"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FCAC14" w14:textId="77777777" w:rsidR="00DC5F89" w:rsidRPr="00DC5F89" w:rsidRDefault="00E43DE4" w:rsidP="00E40CDE">
            <w:pPr>
              <w:pStyle w:val="TableText"/>
            </w:pPr>
            <w:r>
              <w:t xml:space="preserve">The </w:t>
            </w:r>
            <w:r w:rsidRPr="00E43DE4">
              <w:t>results of Antibody Panels (ABID) will not be accepted by the VBECS Automated Interface.</w:t>
            </w:r>
          </w:p>
        </w:tc>
      </w:tr>
      <w:tr w:rsidR="00DC5F89" w:rsidRPr="00725902" w14:paraId="5A613118"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AA3286" w14:textId="77777777" w:rsidR="00DC5F89" w:rsidRPr="00DC5F89" w:rsidRDefault="00E43DE4" w:rsidP="00E40CDE">
            <w:pPr>
              <w:pStyle w:val="TableText"/>
            </w:pPr>
            <w:r>
              <w:t xml:space="preserve">The </w:t>
            </w:r>
            <w:r w:rsidRPr="00E43DE4">
              <w:t>results of QC information from automated instruments will not be accepted by the VBECS Automated Interface.</w:t>
            </w:r>
          </w:p>
        </w:tc>
      </w:tr>
      <w:tr w:rsidR="00DC5F89" w:rsidRPr="00725902" w14:paraId="299DAA7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A54D91" w14:textId="2111AB64" w:rsidR="00DC5F89" w:rsidRPr="00DC5F89" w:rsidRDefault="00E43DE4" w:rsidP="00E40CDE">
            <w:pPr>
              <w:pStyle w:val="TableText"/>
            </w:pPr>
            <w:r>
              <w:t xml:space="preserve">Time </w:t>
            </w:r>
            <w:r w:rsidRPr="00E43DE4">
              <w:t xml:space="preserve">zone will not be included in HL7 message date time from the broadcasting application (Instrument Manager). The time zone is </w:t>
            </w:r>
            <w:r w:rsidRPr="00BC196C">
              <w:rPr>
                <w:rFonts w:cs="Arial"/>
                <w:szCs w:val="18"/>
              </w:rPr>
              <w:t>determined from the division code contained in the message header (MSH) segment of the message.</w:t>
            </w:r>
            <w:r w:rsidR="00BC196C" w:rsidRPr="00BC196C">
              <w:rPr>
                <w:rFonts w:cs="Arial"/>
                <w:vanish/>
                <w:spacing w:val="-5"/>
                <w:szCs w:val="18"/>
              </w:rPr>
              <w:t xml:space="preserve"> Defects 290088, 290166</w:t>
            </w:r>
          </w:p>
        </w:tc>
      </w:tr>
    </w:tbl>
    <w:p w14:paraId="20A060B5"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09AD0D73"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3AAC74F" w14:textId="77777777" w:rsidR="00E43DE4" w:rsidRPr="00AD7C44" w:rsidRDefault="00E43DE4" w:rsidP="00E40CDE">
            <w:pPr>
              <w:pStyle w:val="TableText"/>
              <w:rPr>
                <w:b/>
              </w:rPr>
            </w:pPr>
            <w:r>
              <w:rPr>
                <w:b/>
              </w:rPr>
              <w:t>Automated Testing Review for Blood Units</w:t>
            </w:r>
          </w:p>
        </w:tc>
      </w:tr>
      <w:tr w:rsidR="00E43DE4" w:rsidRPr="00725902" w14:paraId="760DCA17"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E9AFE5" w14:textId="77777777" w:rsidR="00E43DE4" w:rsidRPr="00725902" w:rsidRDefault="00E43DE4" w:rsidP="00E40CDE">
            <w:pPr>
              <w:pStyle w:val="TableText"/>
            </w:pPr>
            <w:r>
              <w:t xml:space="preserve">VBECS </w:t>
            </w:r>
            <w:r w:rsidRPr="00E43DE4">
              <w:t xml:space="preserve">does not accept inconclusive ABO/Rh test results.  </w:t>
            </w:r>
          </w:p>
        </w:tc>
      </w:tr>
      <w:tr w:rsidR="00E43DE4" w:rsidRPr="00DC5F89" w14:paraId="762B41A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0ED5C3" w14:textId="77777777" w:rsidR="00E43DE4" w:rsidRPr="00DC5F89" w:rsidRDefault="00E43DE4" w:rsidP="00E40CDE">
            <w:pPr>
              <w:pStyle w:val="TableText"/>
            </w:pPr>
            <w:r>
              <w:t xml:space="preserve">Pooled </w:t>
            </w:r>
            <w:r w:rsidRPr="00E43DE4">
              <w:t>Product Types labeled with an Rh type of “Pooled” is considered an Rh Positive unit which does not require confirmation testing.</w:t>
            </w:r>
          </w:p>
        </w:tc>
      </w:tr>
      <w:tr w:rsidR="00E43DE4" w:rsidRPr="00DC5F89" w14:paraId="276F87A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818245" w14:textId="77777777" w:rsidR="00E43DE4" w:rsidRPr="00DC5F89" w:rsidRDefault="00E43DE4" w:rsidP="00E40CDE">
            <w:pPr>
              <w:pStyle w:val="TableText"/>
            </w:pPr>
            <w:r>
              <w:t xml:space="preserve">Pooled </w:t>
            </w:r>
            <w:r w:rsidRPr="00E43DE4">
              <w:t>Product Types</w:t>
            </w:r>
            <w:r w:rsidRPr="00E43DE4" w:rsidDel="00922FC4">
              <w:t xml:space="preserve"> </w:t>
            </w:r>
            <w:r w:rsidRPr="00E43DE4">
              <w:t>that require confirmation, labeled with an ABO group of “Pooled” cannot be confirmed. A blood component unit received as “POOLED ABO” will have to be transfused using the Supervisory option, Document ABO Incompatible Transfusion.</w:t>
            </w:r>
          </w:p>
        </w:tc>
      </w:tr>
      <w:tr w:rsidR="003A6D3F" w:rsidRPr="00DC5F89" w14:paraId="42F67AEA"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B4E65D" w14:textId="77777777" w:rsidR="003A6D3F" w:rsidRPr="00BC196C" w:rsidRDefault="003A6D3F" w:rsidP="00E40CDE">
            <w:pPr>
              <w:pStyle w:val="TableText"/>
              <w:rPr>
                <w:rFonts w:cs="Arial"/>
                <w:szCs w:val="18"/>
              </w:rPr>
            </w:pPr>
            <w:r w:rsidRPr="00BC196C">
              <w:rPr>
                <w:rFonts w:cs="Arial"/>
                <w:szCs w:val="18"/>
              </w:rPr>
              <w:lastRenderedPageBreak/>
              <w:t xml:space="preserve">Users 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 </w:t>
            </w:r>
            <w:r w:rsidRPr="00BC196C">
              <w:rPr>
                <w:rFonts w:cs="Arial"/>
                <w:vanish/>
                <w:szCs w:val="18"/>
              </w:rPr>
              <w:t>Defect 357490</w:t>
            </w:r>
          </w:p>
        </w:tc>
      </w:tr>
      <w:tr w:rsidR="00DA27C7" w:rsidRPr="00DC5F89" w14:paraId="2BE30BB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D64A0A" w14:textId="1096D485" w:rsidR="00DA27C7" w:rsidRPr="00BC196C" w:rsidRDefault="00C46DE2" w:rsidP="00E40CDE">
            <w:pPr>
              <w:pStyle w:val="TableText"/>
              <w:rPr>
                <w:rFonts w:cs="Arial"/>
                <w:szCs w:val="18"/>
              </w:rPr>
            </w:pPr>
            <w:r w:rsidRPr="00BC196C">
              <w:rPr>
                <w:rFonts w:cs="Arial"/>
                <w:szCs w:val="18"/>
              </w:rPr>
              <w:t>When a user chooses to reject a transmitted test, a comment is required. The comment is stored but is not available for review on a report at this time. It is recommended that the test is reviewed in the instrument and not sent to VBECS as a result for rejection</w:t>
            </w:r>
            <w:r w:rsidR="00DA27C7" w:rsidRPr="00BC196C">
              <w:rPr>
                <w:rFonts w:cs="Arial"/>
                <w:szCs w:val="18"/>
              </w:rPr>
              <w:t>.</w:t>
            </w:r>
            <w:r w:rsidR="00BC196C" w:rsidRPr="00BC196C">
              <w:rPr>
                <w:rFonts w:cs="Arial"/>
                <w:vanish/>
                <w:spacing w:val="-5"/>
                <w:szCs w:val="18"/>
              </w:rPr>
              <w:t xml:space="preserve"> Defect 382981</w:t>
            </w:r>
          </w:p>
        </w:tc>
      </w:tr>
    </w:tbl>
    <w:p w14:paraId="40465502"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33EB5BCD"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381786" w14:textId="77777777" w:rsidR="00E43DE4" w:rsidRPr="00AD7C44" w:rsidRDefault="00E43DE4" w:rsidP="00E40CDE">
            <w:pPr>
              <w:pStyle w:val="TableText"/>
              <w:rPr>
                <w:b/>
              </w:rPr>
            </w:pPr>
            <w:r>
              <w:rPr>
                <w:b/>
              </w:rPr>
              <w:t>Automated Testing Review for Patients</w:t>
            </w:r>
          </w:p>
        </w:tc>
      </w:tr>
      <w:tr w:rsidR="00E43DE4" w:rsidRPr="00725902" w14:paraId="5D30649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2DA56E" w14:textId="77777777" w:rsidR="00E43DE4" w:rsidRPr="00725902" w:rsidRDefault="00243084" w:rsidP="00E40CDE">
            <w:pPr>
              <w:pStyle w:val="TableText"/>
            </w:pPr>
            <w:r>
              <w:t xml:space="preserve">VBECS </w:t>
            </w:r>
            <w:r w:rsidRPr="00243084">
              <w:t>does not accept inconclusive ABO/Rh test results.</w:t>
            </w:r>
          </w:p>
        </w:tc>
      </w:tr>
      <w:tr w:rsidR="00E43DE4" w:rsidRPr="00DC5F89" w14:paraId="6A6D1D5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9104AD" w14:textId="77777777" w:rsidR="00E43DE4" w:rsidRPr="00DC5F89" w:rsidRDefault="00243084" w:rsidP="00E40CDE">
            <w:pPr>
              <w:pStyle w:val="TableText"/>
            </w:pPr>
            <w:r>
              <w:t xml:space="preserve">VBECS </w:t>
            </w:r>
            <w:r w:rsidRPr="00243084">
              <w:t>does not accept inconclusive interpretations for antibody screen tests.</w:t>
            </w:r>
          </w:p>
        </w:tc>
      </w:tr>
      <w:tr w:rsidR="00E43DE4" w:rsidRPr="00DC5F89" w14:paraId="67696BE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70A764D" w14:textId="77777777" w:rsidR="00E43DE4" w:rsidRPr="00DC5F89" w:rsidRDefault="00243084" w:rsidP="00E40CDE">
            <w:pPr>
              <w:pStyle w:val="TableText"/>
            </w:pPr>
            <w:r>
              <w:t xml:space="preserve">Immediate </w:t>
            </w:r>
            <w:r w:rsidRPr="00243084">
              <w:t>spin crossmatch is not allowed via automated test entry.</w:t>
            </w:r>
          </w:p>
        </w:tc>
      </w:tr>
      <w:tr w:rsidR="00243084" w:rsidRPr="00DC5F89" w14:paraId="7DD71F9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5E11A1" w14:textId="77777777" w:rsidR="00243084" w:rsidRPr="00DC5F89" w:rsidRDefault="00243084" w:rsidP="00E40CDE">
            <w:pPr>
              <w:pStyle w:val="TableText"/>
            </w:pPr>
            <w:r>
              <w:t xml:space="preserve">Patient </w:t>
            </w:r>
            <w:r w:rsidRPr="00243084">
              <w:t>Antigen typing applies only to patient specimens that contain red blood cells.</w:t>
            </w:r>
          </w:p>
        </w:tc>
      </w:tr>
      <w:tr w:rsidR="00243084" w:rsidRPr="00DC5F89" w14:paraId="1922D72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48082" w14:textId="77777777" w:rsidR="00243084" w:rsidRPr="00243084" w:rsidRDefault="00243084" w:rsidP="00E40CDE">
            <w:pPr>
              <w:pStyle w:val="TableText"/>
              <w:rPr>
                <w:rFonts w:ascii="Times New Roman" w:hAnsi="Times New Roman"/>
                <w:spacing w:val="-5"/>
                <w:sz w:val="22"/>
                <w:szCs w:val="22"/>
              </w:rPr>
            </w:pPr>
            <w:r>
              <w:t xml:space="preserve">The </w:t>
            </w:r>
            <w:r w:rsidRPr="00243084">
              <w:t>system does not check the specificity of a patient’s antibody against an existing patient antigen typing.</w:t>
            </w:r>
          </w:p>
        </w:tc>
      </w:tr>
      <w:tr w:rsidR="00243084" w:rsidRPr="00DC5F89" w14:paraId="25DDF92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A53B39" w14:textId="77777777" w:rsidR="00243084" w:rsidRPr="00DC5F89" w:rsidRDefault="00243084" w:rsidP="00E40CDE">
            <w:pPr>
              <w:pStyle w:val="TableText"/>
            </w:pPr>
            <w:r>
              <w:t xml:space="preserve">The </w:t>
            </w:r>
            <w:r w:rsidRPr="00243084">
              <w:t>patient antigen typing result is not reported to the CPRS record.</w:t>
            </w:r>
          </w:p>
        </w:tc>
      </w:tr>
      <w:tr w:rsidR="00DA27C7" w:rsidRPr="00DC5F89" w14:paraId="25B5A6E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FAC729C" w14:textId="77777777" w:rsidR="00DA27C7" w:rsidRDefault="00DA27C7" w:rsidP="00E155EF">
            <w:pPr>
              <w:pStyle w:val="TableText"/>
            </w:pPr>
            <w:r w:rsidRPr="00DA27C7">
              <w:t>Order Rejection comment entry is required but is not visible on a report.</w:t>
            </w:r>
          </w:p>
        </w:tc>
      </w:tr>
    </w:tbl>
    <w:p w14:paraId="44D10320"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96C4E" w14:paraId="20C2D0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171AB3C" w14:textId="77777777" w:rsidR="003F0440" w:rsidRPr="00D96C4E" w:rsidRDefault="003F0440" w:rsidP="002D126B">
            <w:pPr>
              <w:pStyle w:val="TableText"/>
              <w:rPr>
                <w:b/>
              </w:rPr>
            </w:pPr>
            <w:r w:rsidRPr="00D96C4E">
              <w:rPr>
                <w:b/>
              </w:rPr>
              <w:t>Blood Products</w:t>
            </w:r>
          </w:p>
        </w:tc>
      </w:tr>
      <w:tr w:rsidR="003F0440" w:rsidRPr="00725902" w14:paraId="4C27D34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CCB3E74" w14:textId="77777777" w:rsidR="003F0440" w:rsidRDefault="003F0440" w:rsidP="002D126B">
            <w:pPr>
              <w:pStyle w:val="TableText"/>
            </w:pPr>
            <w:r>
              <w:t xml:space="preserve">Blood product records distributed through VBECS are national standards. </w:t>
            </w:r>
          </w:p>
        </w:tc>
      </w:tr>
      <w:tr w:rsidR="003F0440" w:rsidRPr="00725902" w14:paraId="1E16766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E18E22" w14:textId="77777777" w:rsidR="003F0440" w:rsidRDefault="003F0440" w:rsidP="002D126B">
            <w:pPr>
              <w:pStyle w:val="TableText"/>
            </w:pPr>
            <w:r>
              <w:t>The division must have activated the valid target blood products for modification.</w:t>
            </w:r>
          </w:p>
        </w:tc>
      </w:tr>
    </w:tbl>
    <w:p w14:paraId="5ECA501F"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D1C4A" w14:paraId="05C0EC8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70A043" w14:textId="77777777" w:rsidR="003F0440" w:rsidRPr="000D1C4A" w:rsidRDefault="003F0440" w:rsidP="002D126B">
            <w:pPr>
              <w:pStyle w:val="TableText"/>
              <w:rPr>
                <w:b/>
              </w:rPr>
            </w:pPr>
            <w:r w:rsidRPr="000D1C4A">
              <w:rPr>
                <w:b/>
              </w:rPr>
              <w:t>Canned Comments</w:t>
            </w:r>
          </w:p>
        </w:tc>
      </w:tr>
      <w:tr w:rsidR="003F0440" w:rsidRPr="00725902" w14:paraId="3FDE15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3DD340" w14:textId="76D997CE" w:rsidR="003F0440" w:rsidRDefault="003F0440" w:rsidP="002D126B">
            <w:pPr>
              <w:pStyle w:val="TableText"/>
            </w:pPr>
            <w:r>
              <w:t>The user may not edit comments provided with VBECS, but may create additional comments.</w:t>
            </w:r>
            <w:r w:rsidR="00483C5D">
              <w:t xml:space="preserve"> Although comments</w:t>
            </w:r>
            <w:r w:rsidR="003E0483">
              <w:t xml:space="preserve"> can also be removed, there should remain at least one comment </w:t>
            </w:r>
            <w:r w:rsidR="00BC196C">
              <w:t xml:space="preserve">per category </w:t>
            </w:r>
            <w:r w:rsidR="003E0483">
              <w:t xml:space="preserve">available for selection (e.g., “Other”). </w:t>
            </w:r>
            <w:r w:rsidR="00BC196C">
              <w:rPr>
                <w:vanish/>
              </w:rPr>
              <w:t>Defect</w:t>
            </w:r>
            <w:r w:rsidR="003E0483" w:rsidRPr="003E0483">
              <w:rPr>
                <w:vanish/>
              </w:rPr>
              <w:t xml:space="preserve"> 209175</w:t>
            </w:r>
          </w:p>
        </w:tc>
      </w:tr>
      <w:tr w:rsidR="003F0440" w:rsidRPr="00725902" w14:paraId="39CD61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ED406D" w14:textId="77777777" w:rsidR="003F0440" w:rsidRDefault="003F0440" w:rsidP="002D126B">
            <w:pPr>
              <w:pStyle w:val="TableText"/>
            </w:pPr>
            <w:r>
              <w:t>Site personnel must enter comments in accordance with local policy and procedures.</w:t>
            </w:r>
          </w:p>
        </w:tc>
      </w:tr>
    </w:tbl>
    <w:p w14:paraId="17280528"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B10C4" w14:paraId="30B6437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5A9FED" w14:textId="77777777" w:rsidR="003F0440" w:rsidRPr="00EB10C4" w:rsidRDefault="003F0440" w:rsidP="002D126B">
            <w:pPr>
              <w:pStyle w:val="TableText"/>
              <w:rPr>
                <w:b/>
              </w:rPr>
            </w:pPr>
            <w:r w:rsidRPr="00EB10C4">
              <w:rPr>
                <w:b/>
              </w:rPr>
              <w:t>Component Classes</w:t>
            </w:r>
          </w:p>
        </w:tc>
      </w:tr>
      <w:tr w:rsidR="003F0440" w:rsidRPr="00725902" w14:paraId="630248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B478D3D" w14:textId="77777777" w:rsidR="003F0440" w:rsidRDefault="003F0440" w:rsidP="002D126B">
            <w:pPr>
              <w:pStyle w:val="TableText"/>
            </w:pPr>
            <w:r>
              <w:t xml:space="preserve">The user may not change the specimen requirement for a component class when there are incomplete orders for that component class. </w:t>
            </w:r>
          </w:p>
        </w:tc>
      </w:tr>
      <w:tr w:rsidR="003F0440" w:rsidRPr="00725902" w14:paraId="31E997B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9B3CDC3" w14:textId="77777777" w:rsidR="003F0440" w:rsidRDefault="003F0440" w:rsidP="002D126B">
            <w:pPr>
              <w:pStyle w:val="TableText"/>
            </w:pPr>
            <w:r>
              <w:t>There is no retrospective data entry or user selection for th</w:t>
            </w:r>
            <w:r w:rsidR="00932460">
              <w:t>is</w:t>
            </w:r>
            <w:r>
              <w:t xml:space="preserve"> </w:t>
            </w:r>
            <w:r w:rsidR="00932460">
              <w:t>option</w:t>
            </w:r>
            <w:r>
              <w:t>.</w:t>
            </w:r>
          </w:p>
        </w:tc>
      </w:tr>
    </w:tbl>
    <w:p w14:paraId="696F2F0F" w14:textId="77777777" w:rsidR="005333AF" w:rsidRDefault="005333AF"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ED7" w14:paraId="3F339C2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319C8A7" w14:textId="77777777" w:rsidR="003F0440" w:rsidRPr="00D01ED7" w:rsidRDefault="003F0440" w:rsidP="002D126B">
            <w:pPr>
              <w:pStyle w:val="TableText"/>
              <w:rPr>
                <w:b/>
              </w:rPr>
            </w:pPr>
            <w:r w:rsidRPr="00D01ED7">
              <w:rPr>
                <w:b/>
              </w:rPr>
              <w:t>Configure Daily QC</w:t>
            </w:r>
          </w:p>
        </w:tc>
      </w:tr>
      <w:tr w:rsidR="003F0440" w:rsidRPr="00725902" w14:paraId="4023F42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9F9D317" w14:textId="77777777" w:rsidR="003F0440" w:rsidRDefault="003F0440" w:rsidP="002D126B">
            <w:pPr>
              <w:pStyle w:val="TableText"/>
            </w:pPr>
            <w:r>
              <w:t xml:space="preserve">This option pertains only to routine reagents. </w:t>
            </w:r>
          </w:p>
        </w:tc>
      </w:tr>
      <w:tr w:rsidR="003F0440" w:rsidRPr="00725902" w14:paraId="427BC9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E5AF528" w14:textId="77777777" w:rsidR="003F0440" w:rsidRDefault="003F0440" w:rsidP="002D126B">
            <w:pPr>
              <w:pStyle w:val="TableText"/>
            </w:pPr>
            <w:r>
              <w:t xml:space="preserve">When there are partially or currently QC’d racks in the system, the user may not change the QC template. </w:t>
            </w:r>
          </w:p>
        </w:tc>
      </w:tr>
    </w:tbl>
    <w:p w14:paraId="21F61E37" w14:textId="77777777" w:rsidR="00FD6164" w:rsidRDefault="00FD6164"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A6312" w:rsidRPr="00D01ED7" w14:paraId="506A3814" w14:textId="77777777" w:rsidTr="00F002E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9F1E850" w14:textId="77777777" w:rsidR="00DA6312" w:rsidRPr="00D01ED7" w:rsidRDefault="00DA6312" w:rsidP="00DA6312">
            <w:pPr>
              <w:pStyle w:val="TableText"/>
              <w:rPr>
                <w:b/>
              </w:rPr>
            </w:pPr>
            <w:r w:rsidRPr="00D01ED7">
              <w:rPr>
                <w:b/>
              </w:rPr>
              <w:t xml:space="preserve">Configure </w:t>
            </w:r>
            <w:r>
              <w:rPr>
                <w:b/>
              </w:rPr>
              <w:t>Division</w:t>
            </w:r>
          </w:p>
        </w:tc>
      </w:tr>
      <w:tr w:rsidR="00DA6312" w14:paraId="1FBE3661" w14:textId="77777777" w:rsidTr="00F002E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F62A37" w14:textId="44FA4C4D" w:rsidR="00DA6312" w:rsidRPr="00DA6312" w:rsidRDefault="00DA6312" w:rsidP="00F002ED">
            <w:pPr>
              <w:pStyle w:val="TableText"/>
              <w:rPr>
                <w:vanish/>
              </w:rPr>
            </w:pPr>
            <w:r w:rsidRPr="00DA6312">
              <w:t xml:space="preserve">Changes made to the division setting are not applied to a user until they re-connect to VBECS after the change is made. It is highly recommended that all users </w:t>
            </w:r>
            <w:r w:rsidR="00262E92">
              <w:t>sign out</w:t>
            </w:r>
            <w:r w:rsidRPr="00DA6312">
              <w:t xml:space="preserve"> of VBECS prior to any configuration setting change.</w:t>
            </w:r>
            <w:r>
              <w:rPr>
                <w:vanish/>
              </w:rPr>
              <w:t xml:space="preserve"> DR 4136</w:t>
            </w:r>
          </w:p>
        </w:tc>
      </w:tr>
      <w:tr w:rsidR="00676CAC" w14:paraId="506E8221" w14:textId="77777777" w:rsidTr="00F002E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B095C5" w14:textId="790E2438" w:rsidR="00676CAC" w:rsidRPr="00DA6312" w:rsidRDefault="00676CAC" w:rsidP="00F002ED">
            <w:pPr>
              <w:pStyle w:val="TableText"/>
            </w:pPr>
            <w:r w:rsidRPr="00676CAC">
              <w:t>It is recommended that users configure a division before configuring testing (click the Configure Testing tab).</w:t>
            </w:r>
          </w:p>
        </w:tc>
      </w:tr>
    </w:tbl>
    <w:p w14:paraId="2EC00D72" w14:textId="77777777" w:rsidR="00C46DE2" w:rsidRDefault="00C46DE2" w:rsidP="00C46DE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C46DE2" w:rsidRPr="00D01ED7" w14:paraId="137E0935" w14:textId="77777777" w:rsidTr="00615FC3">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8D08B55" w14:textId="7DEB007E" w:rsidR="00C46DE2" w:rsidRPr="00D01ED7" w:rsidRDefault="00C46DE2" w:rsidP="00615FC3">
            <w:pPr>
              <w:pStyle w:val="TableText"/>
              <w:rPr>
                <w:b/>
              </w:rPr>
            </w:pPr>
            <w:r>
              <w:rPr>
                <w:b/>
              </w:rPr>
              <w:lastRenderedPageBreak/>
              <w:t>CPRS Blood Bank Report</w:t>
            </w:r>
          </w:p>
        </w:tc>
      </w:tr>
      <w:tr w:rsidR="00C46DE2" w14:paraId="16355E9B"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533FB1C" w14:textId="632A202D" w:rsidR="00C46DE2" w:rsidRPr="00DA6312" w:rsidRDefault="00C46DE2" w:rsidP="00615FC3">
            <w:pPr>
              <w:pStyle w:val="TableText"/>
              <w:rPr>
                <w:vanish/>
              </w:rPr>
            </w:pPr>
            <w:r>
              <w:t>The report is not multidivisional, meaning it does not combine a patien</w:t>
            </w:r>
            <w:r w:rsidR="00676CAC">
              <w:t>t's</w:t>
            </w:r>
            <w:r>
              <w:t xml:space="preserve"> transfusion information from all VA hospitals.</w:t>
            </w:r>
          </w:p>
        </w:tc>
      </w:tr>
    </w:tbl>
    <w:p w14:paraId="5F38FC21" w14:textId="77777777" w:rsidR="00DA6312" w:rsidRDefault="00DA6312"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D7CAF" w:rsidRPr="00E95A54" w14:paraId="7326DCC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2D767A" w14:textId="77777777" w:rsidR="00DD7CAF" w:rsidRPr="00E95A54" w:rsidRDefault="00DD7CAF" w:rsidP="005E39DA">
            <w:pPr>
              <w:pStyle w:val="TableText"/>
              <w:rPr>
                <w:b/>
              </w:rPr>
            </w:pPr>
            <w:r>
              <w:rPr>
                <w:b/>
              </w:rPr>
              <w:t>Discard or Quarantine</w:t>
            </w:r>
          </w:p>
        </w:tc>
      </w:tr>
      <w:tr w:rsidR="00DD7CAF" w:rsidRPr="00C06411" w14:paraId="2455B5D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4F1339C" w14:textId="77777777" w:rsidR="00DD7CAF" w:rsidRPr="00C06411" w:rsidRDefault="00DD7CAF" w:rsidP="00DD7CAF">
            <w:pPr>
              <w:pStyle w:val="TableText"/>
            </w:pPr>
            <w:r>
              <w:t xml:space="preserve">When a user retroactively updates a unit status through this option, the Unit History Report displays the updated information, but does not display the date the change was made. </w:t>
            </w:r>
          </w:p>
        </w:tc>
      </w:tr>
      <w:tr w:rsidR="00EF7C8A" w:rsidRPr="00C06411" w14:paraId="5183B7C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0C9381" w14:textId="3D4B2D13" w:rsidR="00EF7C8A" w:rsidRDefault="00EF7C8A" w:rsidP="00DD7CAF">
            <w:pPr>
              <w:pStyle w:val="TableText"/>
            </w:pPr>
            <w:r>
              <w:t xml:space="preserve">The option does not accommodate the entry of a second user for retrospective data entry. </w:t>
            </w:r>
            <w:r w:rsidR="0063094B">
              <w:rPr>
                <w:vanish/>
              </w:rPr>
              <w:t>Defect</w:t>
            </w:r>
            <w:r w:rsidRPr="00EF7C8A">
              <w:rPr>
                <w:vanish/>
              </w:rPr>
              <w:t xml:space="preserve"> 209008</w:t>
            </w:r>
          </w:p>
        </w:tc>
      </w:tr>
      <w:tr w:rsidR="00A753B8" w:rsidRPr="00C06411" w14:paraId="75B5EB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08C68E" w14:textId="78FF6F47" w:rsidR="00A753B8" w:rsidRDefault="00A753B8" w:rsidP="00DD7CAF">
            <w:pPr>
              <w:pStyle w:val="TableText"/>
            </w:pPr>
            <w:r>
              <w:t>Cost entry is capped at 999.</w:t>
            </w:r>
            <w:r w:rsidR="00886F16">
              <w:t>00</w:t>
            </w:r>
            <w:r>
              <w:t xml:space="preserve">. </w:t>
            </w:r>
            <w:r w:rsidRPr="00A753B8">
              <w:rPr>
                <w:vanish/>
              </w:rPr>
              <w:t>Defect 942523</w:t>
            </w:r>
          </w:p>
        </w:tc>
      </w:tr>
    </w:tbl>
    <w:p w14:paraId="072D2471" w14:textId="77777777" w:rsidR="00D139EE" w:rsidRDefault="00D139EE"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95A54" w14:paraId="2B807B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DBACC9" w14:textId="77777777" w:rsidR="003F0440" w:rsidRPr="00E95A54" w:rsidRDefault="003F0440" w:rsidP="002D126B">
            <w:pPr>
              <w:pStyle w:val="TableText"/>
              <w:rPr>
                <w:b/>
              </w:rPr>
            </w:pPr>
            <w:r w:rsidRPr="00E95A54">
              <w:rPr>
                <w:b/>
              </w:rPr>
              <w:t>Display Order Alerts</w:t>
            </w:r>
          </w:p>
        </w:tc>
      </w:tr>
      <w:tr w:rsidR="003F0440" w:rsidRPr="00C06411" w14:paraId="269589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0FC215" w14:textId="77777777" w:rsidR="003F0440" w:rsidRPr="00C06411" w:rsidRDefault="003F0440" w:rsidP="002D126B">
            <w:pPr>
              <w:pStyle w:val="TableText"/>
            </w:pPr>
            <w:r>
              <w:t>VBECS issues no notifications for order cancellations.</w:t>
            </w:r>
          </w:p>
        </w:tc>
      </w:tr>
    </w:tbl>
    <w:p w14:paraId="51D74618" w14:textId="77777777" w:rsidR="00FC3666" w:rsidRDefault="00FC3666"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6347F2" w14:paraId="4ABBCB2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A8D9E4" w14:textId="77777777" w:rsidR="003F0440" w:rsidRPr="006347F2" w:rsidRDefault="003F0440" w:rsidP="002D126B">
            <w:pPr>
              <w:pStyle w:val="TableText"/>
              <w:rPr>
                <w:b/>
              </w:rPr>
            </w:pPr>
            <w:r w:rsidRPr="006347F2">
              <w:rPr>
                <w:b/>
              </w:rPr>
              <w:t xml:space="preserve">Display Patient </w:t>
            </w:r>
            <w:r>
              <w:rPr>
                <w:b/>
              </w:rPr>
              <w:t>Merge</w:t>
            </w:r>
            <w:r w:rsidRPr="006347F2">
              <w:rPr>
                <w:b/>
              </w:rPr>
              <w:t xml:space="preserve"> Alerts</w:t>
            </w:r>
          </w:p>
        </w:tc>
      </w:tr>
      <w:tr w:rsidR="004F17EB" w:rsidRPr="00C06411" w14:paraId="5F3E745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6C9FE2" w14:textId="77777777" w:rsidR="004F17EB" w:rsidRPr="004F17EB"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bl>
    <w:p w14:paraId="7A024C9A" w14:textId="77777777" w:rsidR="00BA0F42" w:rsidRDefault="00BA0F42"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B31E5A" w:rsidRPr="006347F2" w14:paraId="00D958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19AB8" w14:textId="77777777" w:rsidR="00B31E5A" w:rsidRPr="006347F2" w:rsidRDefault="00B31E5A" w:rsidP="00FE4D07">
            <w:pPr>
              <w:pStyle w:val="TableText"/>
              <w:rPr>
                <w:b/>
              </w:rPr>
            </w:pPr>
            <w:r w:rsidRPr="006347F2">
              <w:rPr>
                <w:b/>
              </w:rPr>
              <w:t xml:space="preserve">Display Patient </w:t>
            </w:r>
            <w:r>
              <w:rPr>
                <w:b/>
              </w:rPr>
              <w:t>Update</w:t>
            </w:r>
            <w:r w:rsidRPr="006347F2">
              <w:rPr>
                <w:b/>
              </w:rPr>
              <w:t xml:space="preserve"> Alerts</w:t>
            </w:r>
          </w:p>
        </w:tc>
      </w:tr>
      <w:tr w:rsidR="00B31E5A" w:rsidRPr="00C06411" w14:paraId="386A2C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D267BDA" w14:textId="77777777" w:rsidR="00B31E5A"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r w:rsidR="00562E66" w:rsidRPr="00C06411" w14:paraId="3E77446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3027E4" w14:textId="77777777" w:rsidR="00562E66" w:rsidRDefault="00562E66" w:rsidP="00520CAE">
            <w:pPr>
              <w:pStyle w:val="TableTex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520CAE">
              <w:t>Email Alerts</w:t>
            </w:r>
            <w:r w:rsidRPr="00DD022C">
              <w:t>” field.</w:t>
            </w:r>
          </w:p>
        </w:tc>
      </w:tr>
      <w:tr w:rsidR="002369C9" w:rsidRPr="00C06411" w14:paraId="195FCCD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088C0F9" w14:textId="77777777" w:rsidR="002369C9" w:rsidRDefault="002369C9" w:rsidP="00562E66">
            <w:pPr>
              <w:pStyle w:val="TableText"/>
            </w:pPr>
            <w:r>
              <w:t xml:space="preserve">Patient update </w:t>
            </w:r>
            <w:r w:rsidRPr="003A360F">
              <w:t xml:space="preserve">alerts only display when </w:t>
            </w:r>
            <w:r>
              <w:t xml:space="preserve">active </w:t>
            </w:r>
            <w:r w:rsidRPr="003A360F">
              <w:t xml:space="preserve">component </w:t>
            </w:r>
            <w:r>
              <w:t xml:space="preserve">or diagnostic test </w:t>
            </w:r>
            <w:r w:rsidRPr="003A360F">
              <w:t xml:space="preserve">orders are </w:t>
            </w:r>
            <w:r>
              <w:t xml:space="preserve">pending or </w:t>
            </w:r>
            <w:r w:rsidRPr="003A360F">
              <w:t>active</w:t>
            </w:r>
            <w:r w:rsidRPr="002369C9">
              <w:footnoteReference w:id="7"/>
            </w:r>
            <w:r w:rsidRPr="003A360F">
              <w:t xml:space="preserve"> at the time the update occurs.</w:t>
            </w:r>
            <w:r w:rsidRPr="002369C9">
              <w:rPr>
                <w:vanish/>
              </w:rPr>
              <w:t xml:space="preserve"> DR 4323 BR_68.02</w:t>
            </w:r>
          </w:p>
        </w:tc>
      </w:tr>
    </w:tbl>
    <w:p w14:paraId="0B428A1C" w14:textId="49324725" w:rsidR="00B31E5A" w:rsidRDefault="00B31E5A"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C25C1E" w:rsidRPr="004146C8" w14:paraId="70A498E2" w14:textId="77777777" w:rsidTr="00D12DC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7E342D" w14:textId="5AA8E5D5" w:rsidR="00C25C1E" w:rsidRPr="004146C8" w:rsidRDefault="00C25C1E" w:rsidP="00D12DC6">
            <w:pPr>
              <w:pStyle w:val="TableText"/>
              <w:rPr>
                <w:b/>
              </w:rPr>
            </w:pPr>
            <w:r w:rsidRPr="004146C8">
              <w:rPr>
                <w:b/>
                <w:snapToGrid w:val="0"/>
              </w:rPr>
              <w:t>D</w:t>
            </w:r>
            <w:r>
              <w:rPr>
                <w:b/>
                <w:snapToGrid w:val="0"/>
              </w:rPr>
              <w:t xml:space="preserve">ivision Workload </w:t>
            </w:r>
            <w:r w:rsidR="00E25C40">
              <w:rPr>
                <w:b/>
                <w:snapToGrid w:val="0"/>
              </w:rPr>
              <w:t>Report</w:t>
            </w:r>
          </w:p>
        </w:tc>
      </w:tr>
      <w:tr w:rsidR="00C25C1E" w:rsidRPr="00725902" w14:paraId="49D1EAC3" w14:textId="77777777" w:rsidTr="00D12DC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89FD93" w14:textId="77E86E37" w:rsidR="00C25C1E" w:rsidRPr="00725902" w:rsidRDefault="00E25C40" w:rsidP="00D12DC6">
            <w:pPr>
              <w:pStyle w:val="TableText"/>
            </w:pPr>
            <w:r>
              <w:t>A report printed with an end date of today or greater does not print “Preliminary” in the header. Check the subsequent pages of the report and write “PRELIMINARY” on the front page of the report prior to filing. The information included in the report is accurate to the time printed. There is a possibility of a gap of information should the user not overlap the print requests. Generally, this report is printed for the day prior or a time period that does not include the current day</w:t>
            </w:r>
            <w:r w:rsidR="00C25C1E">
              <w:t>.</w:t>
            </w:r>
            <w:r>
              <w:t xml:space="preserve"> </w:t>
            </w:r>
            <w:r w:rsidRPr="00E25C40">
              <w:rPr>
                <w:vanish/>
              </w:rPr>
              <w:t>Defect 213101</w:t>
            </w:r>
          </w:p>
        </w:tc>
      </w:tr>
    </w:tbl>
    <w:p w14:paraId="28E03740" w14:textId="3CB45FCD" w:rsidR="00C25C1E" w:rsidRDefault="00C25C1E"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146C8" w14:paraId="624E4B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B91B05" w14:textId="77777777" w:rsidR="003F0440" w:rsidRPr="004146C8" w:rsidRDefault="003F0440" w:rsidP="002D126B">
            <w:pPr>
              <w:pStyle w:val="TableText"/>
              <w:rPr>
                <w:b/>
              </w:rPr>
            </w:pPr>
            <w:r w:rsidRPr="004146C8">
              <w:rPr>
                <w:b/>
                <w:snapToGrid w:val="0"/>
              </w:rPr>
              <w:t>Document ABO Incompatible Transfusions</w:t>
            </w:r>
          </w:p>
        </w:tc>
      </w:tr>
      <w:tr w:rsidR="003F0440" w:rsidRPr="00725902" w14:paraId="6C250E3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0B508F2" w14:textId="77777777" w:rsidR="003F0440" w:rsidRPr="00725902" w:rsidRDefault="003F0440" w:rsidP="002D126B">
            <w:pPr>
              <w:pStyle w:val="TableText"/>
            </w:pPr>
            <w:r>
              <w:t>VBECS does not enforce compatibility checks between the patient and the unit.</w:t>
            </w:r>
          </w:p>
        </w:tc>
      </w:tr>
      <w:tr w:rsidR="00CF6A19" w:rsidRPr="00725902" w14:paraId="51394C2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9F602B" w14:textId="77777777" w:rsidR="00CF6A19" w:rsidRDefault="00CF6A19" w:rsidP="002D126B">
            <w:pPr>
              <w:pStyle w:val="TableText"/>
            </w:pPr>
            <w:r>
              <w:t>VBECS does not update CPRS component order status when the Document ABO Incompatible Transfusion option is used.</w:t>
            </w:r>
          </w:p>
        </w:tc>
      </w:tr>
    </w:tbl>
    <w:p w14:paraId="1E2A6728" w14:textId="77777777" w:rsidR="00FD0D9D" w:rsidRDefault="00FD0D9D"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4567F" w:rsidRPr="004146C8" w14:paraId="0E79DD50" w14:textId="77777777" w:rsidTr="000D08F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BC422DA" w14:textId="77777777" w:rsidR="00D4567F" w:rsidRPr="004146C8" w:rsidRDefault="00D05F0F" w:rsidP="000D08F0">
            <w:pPr>
              <w:pStyle w:val="TableText"/>
              <w:rPr>
                <w:b/>
              </w:rPr>
            </w:pPr>
            <w:r>
              <w:rPr>
                <w:b/>
                <w:snapToGrid w:val="0"/>
              </w:rPr>
              <w:lastRenderedPageBreak/>
              <w:t>Edit Financial Data</w:t>
            </w:r>
          </w:p>
        </w:tc>
      </w:tr>
      <w:tr w:rsidR="00D4567F" w:rsidRPr="00725902" w14:paraId="5991CC74"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2C10EA" w14:textId="77777777" w:rsidR="00D4567F" w:rsidRPr="00725902" w:rsidRDefault="00D05F0F" w:rsidP="000D08F0">
            <w:pPr>
              <w:pStyle w:val="TableTex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5333AF">
              <w:t xml:space="preserve"> </w:t>
            </w:r>
            <w:r w:rsidR="005333AF" w:rsidRPr="005333AF">
              <w:rPr>
                <w:vanish/>
              </w:rPr>
              <w:t>DR 5012</w:t>
            </w:r>
          </w:p>
        </w:tc>
      </w:tr>
      <w:tr w:rsidR="00A753B8" w:rsidRPr="00725902" w14:paraId="2E147A89"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BDAFF7" w14:textId="7D1FA590" w:rsidR="00A753B8" w:rsidRDefault="00B44625" w:rsidP="000D08F0">
            <w:pPr>
              <w:pStyle w:val="TableText"/>
            </w:pPr>
            <w:r>
              <w:t>Base C</w:t>
            </w:r>
            <w:r w:rsidR="00A753B8">
              <w:t xml:space="preserve">ost entry is capped at </w:t>
            </w:r>
            <w:r>
              <w:t>99,</w:t>
            </w:r>
            <w:r w:rsidR="00A753B8">
              <w:t>999.</w:t>
            </w:r>
            <w:r w:rsidR="00676CAC">
              <w:t>00</w:t>
            </w:r>
            <w:r w:rsidR="00A753B8">
              <w:t>.</w:t>
            </w:r>
          </w:p>
        </w:tc>
      </w:tr>
      <w:tr w:rsidR="00B44625" w:rsidRPr="00725902" w14:paraId="55101A52"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7F5C98" w14:textId="44343B2F" w:rsidR="00B44625" w:rsidRDefault="00B44625" w:rsidP="000D08F0">
            <w:pPr>
              <w:pStyle w:val="TableText"/>
            </w:pPr>
            <w:r>
              <w:t>Special Testing Cost is capped at 9,999.99</w:t>
            </w:r>
          </w:p>
        </w:tc>
      </w:tr>
      <w:tr w:rsidR="00B44625" w:rsidRPr="00725902" w14:paraId="48D1A8C8"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F3174C" w14:textId="2D4E7293" w:rsidR="00B44625" w:rsidRDefault="00B44625" w:rsidP="000D08F0">
            <w:pPr>
              <w:pStyle w:val="TableText"/>
            </w:pPr>
            <w:r>
              <w:t>Return Credit is capped at 99,999.00.</w:t>
            </w:r>
          </w:p>
        </w:tc>
      </w:tr>
    </w:tbl>
    <w:p w14:paraId="495D6A43" w14:textId="77777777" w:rsidR="00D4567F" w:rsidRDefault="00D4567F"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074DD4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FC26A4D" w14:textId="77777777" w:rsidR="003F0440" w:rsidRPr="004146C8" w:rsidRDefault="003F0440" w:rsidP="002D126B">
            <w:pPr>
              <w:pStyle w:val="TableText"/>
              <w:rPr>
                <w:b/>
              </w:rPr>
            </w:pPr>
            <w:r w:rsidRPr="004146C8">
              <w:rPr>
                <w:b/>
              </w:rPr>
              <w:t>Edit Unit Information</w:t>
            </w:r>
          </w:p>
        </w:tc>
      </w:tr>
      <w:tr w:rsidR="003F0440" w:rsidRPr="00725902" w14:paraId="6A1C65A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597CFB" w14:textId="77777777" w:rsidR="003F0440" w:rsidRPr="00725902" w:rsidRDefault="003F0440" w:rsidP="002D126B">
            <w:pPr>
              <w:pStyle w:val="TableText"/>
            </w:pPr>
            <w:r>
              <w:t>VBECS does not limit the discarded plasma volume.</w:t>
            </w:r>
          </w:p>
        </w:tc>
      </w:tr>
      <w:tr w:rsidR="003F0440" w:rsidRPr="00725902" w14:paraId="3853F1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748D0C" w14:textId="77777777" w:rsidR="003F0440" w:rsidRPr="00725902" w:rsidRDefault="00D20331" w:rsidP="00D20331">
            <w:pPr>
              <w:pStyle w:val="TableText"/>
            </w:pPr>
            <w:r>
              <w:rPr>
                <w:rFonts w:eastAsia="Arial Unicode MS"/>
              </w:rPr>
              <w:t>If errors are found in the unit’s product code</w:t>
            </w:r>
            <w:r>
              <w:t xml:space="preserve">, division or blood type at login, </w:t>
            </w:r>
            <w:r>
              <w:rPr>
                <w:rFonts w:eastAsia="Arial Unicode MS"/>
              </w:rPr>
              <w:t>supplier, or donation type, the user must inactivate the unit and reenter it correctly</w:t>
            </w:r>
            <w:r>
              <w:t>.</w:t>
            </w:r>
          </w:p>
        </w:tc>
      </w:tr>
      <w:tr w:rsidR="003F0440" w:rsidRPr="00725902" w14:paraId="0AE7CA2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766B985" w14:textId="77777777" w:rsidR="003F0440" w:rsidRPr="00725902" w:rsidRDefault="003F0440" w:rsidP="002D126B">
            <w:pPr>
              <w:pStyle w:val="TableText"/>
            </w:pPr>
            <w:r>
              <w:t xml:space="preserve">When a unit does not have a patient association, editable fields are available to an </w:t>
            </w:r>
            <w:r w:rsidR="00D03BCF" w:rsidRPr="00EC7489">
              <w:rPr>
                <w:rFonts w:ascii="Wingdings 3" w:hAnsi="Wingdings 3" w:cs="Wingdings"/>
              </w:rPr>
              <w:t></w:t>
            </w:r>
            <w:r w:rsidR="00D03BCF" w:rsidRPr="00EC7489">
              <w:rPr>
                <w:rFonts w:ascii="Wingdings 3" w:hAnsi="Wingdings 3" w:cs="Wingdings"/>
              </w:rPr>
              <w:t></w:t>
            </w:r>
            <w:r w:rsidR="00D03BCF" w:rsidRPr="00AA7C58">
              <w:t xml:space="preserve"> </w:t>
            </w:r>
            <w:r>
              <w:t>Enhanced Technologist.</w:t>
            </w:r>
          </w:p>
        </w:tc>
      </w:tr>
      <w:tr w:rsidR="00DD3B4E" w:rsidRPr="00725902" w14:paraId="7B6929B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423145" w14:textId="30912413" w:rsidR="00DD3B4E" w:rsidRDefault="00DD3B4E" w:rsidP="002D126B">
            <w:pPr>
              <w:pStyle w:val="TableText"/>
            </w:pPr>
            <w:r>
              <w:t xml:space="preserve">Only units in a Limited or Available </w:t>
            </w:r>
            <w:r w:rsidR="00AE3B37">
              <w:t>status</w:t>
            </w:r>
            <w:r>
              <w:t xml:space="preserve"> may be edited.</w:t>
            </w:r>
          </w:p>
        </w:tc>
      </w:tr>
      <w:tr w:rsidR="00DD3B4E" w:rsidRPr="00725902" w14:paraId="35B82A2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C73134D" w14:textId="77777777" w:rsidR="00DD3B4E" w:rsidRDefault="00DD3B4E" w:rsidP="002D126B">
            <w:pPr>
              <w:pStyle w:val="TableText"/>
            </w:pPr>
            <w:r>
              <w:t>Inactivation of the unit record is required when the user needs to change the unit’s information recorded at login: unit identification number, blood type, product code, unit expiration date, unit donation type, VA division or supplier.</w:t>
            </w:r>
          </w:p>
        </w:tc>
      </w:tr>
      <w:tr w:rsidR="00066D49" w:rsidRPr="00725902" w14:paraId="3F8FB3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CAE3BD" w14:textId="53F25F47" w:rsidR="00066D49" w:rsidRDefault="00066D49" w:rsidP="002D126B">
            <w:pPr>
              <w:pStyle w:val="TableText"/>
            </w:pPr>
            <w:r w:rsidRPr="00066D49">
              <w:t>VBECS supports the scanning of ISBT 128 special testing information barcodes by detecting the appropriate hidden identifiers. Once the hidden identifier is removed, the special testing code is a varying length of digits, depending on the type of special testing barcode scanned.</w:t>
            </w:r>
          </w:p>
        </w:tc>
      </w:tr>
    </w:tbl>
    <w:p w14:paraId="7535979E" w14:textId="77777777" w:rsidR="00C1162B" w:rsidRDefault="00C1162B"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14:paraId="28B0995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40681DC" w14:textId="77777777" w:rsidR="003F0440" w:rsidRPr="003657B4" w:rsidRDefault="003F0440" w:rsidP="002D126B">
            <w:pPr>
              <w:pStyle w:val="TableText"/>
              <w:rPr>
                <w:b/>
              </w:rPr>
            </w:pPr>
            <w:r w:rsidRPr="003657B4">
              <w:rPr>
                <w:b/>
              </w:rPr>
              <w:t>Enter Daily QC Results</w:t>
            </w:r>
          </w:p>
        </w:tc>
      </w:tr>
      <w:tr w:rsidR="003F0440" w:rsidRPr="00725902" w14:paraId="39666E4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9F72580" w14:textId="77777777" w:rsidR="003F0440" w:rsidRPr="00725902" w:rsidRDefault="003F0440" w:rsidP="002D126B">
            <w:pPr>
              <w:pStyle w:val="TableText"/>
            </w:pPr>
            <w:r>
              <w:t xml:space="preserve">Additional user-defined reagent types not available in Configure Daily QC or Enter Daily QC Results are not part of a reagent rack’s daily QC testing. </w:t>
            </w:r>
          </w:p>
        </w:tc>
      </w:tr>
    </w:tbl>
    <w:p w14:paraId="29A0636B" w14:textId="77777777" w:rsidR="00A04F10" w:rsidRDefault="00A04F10"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290344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12D55E" w14:textId="77777777" w:rsidR="003F0440" w:rsidRPr="00D65A81" w:rsidRDefault="003F0440" w:rsidP="002D126B">
            <w:pPr>
              <w:pStyle w:val="TableText"/>
              <w:rPr>
                <w:b/>
              </w:rPr>
            </w:pPr>
            <w:r w:rsidRPr="00D65A81">
              <w:rPr>
                <w:b/>
              </w:rPr>
              <w:t>Equipment</w:t>
            </w:r>
          </w:p>
        </w:tc>
      </w:tr>
      <w:tr w:rsidR="003F0440" w:rsidRPr="00725902" w14:paraId="7759806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32DD1D" w14:textId="77777777" w:rsidR="003F0440" w:rsidRPr="00725902" w:rsidRDefault="003F0440" w:rsidP="002D126B">
            <w:pPr>
              <w:pStyle w:val="TableText"/>
            </w:pPr>
            <w:r>
              <w:t>VBECS does not check for duplicate entries of equipment names and identifiers.</w:t>
            </w:r>
          </w:p>
        </w:tc>
      </w:tr>
      <w:tr w:rsidR="003F0440" w:rsidRPr="00725902" w14:paraId="643A01F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F7AE2" w14:textId="77777777" w:rsidR="003F0440" w:rsidRPr="00725902" w:rsidRDefault="003F0440" w:rsidP="002D126B">
            <w:pPr>
              <w:pStyle w:val="TableText"/>
            </w:pPr>
            <w:r>
              <w:t>There is no retrospective data entry or user selection for th</w:t>
            </w:r>
            <w:r w:rsidR="00932460">
              <w:t>is option</w:t>
            </w:r>
            <w:r>
              <w:t>.</w:t>
            </w:r>
          </w:p>
        </w:tc>
      </w:tr>
    </w:tbl>
    <w:p w14:paraId="206B81EF" w14:textId="77777777" w:rsidR="00E039E6" w:rsidRDefault="00E039E6"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D7E27" w14:paraId="431D7FD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646FAF" w14:textId="77777777" w:rsidR="003F0440" w:rsidRPr="00CD7E27" w:rsidRDefault="003F0440" w:rsidP="002D126B">
            <w:pPr>
              <w:pStyle w:val="TableText"/>
              <w:rPr>
                <w:b/>
              </w:rPr>
            </w:pPr>
            <w:r w:rsidRPr="00CD7E27">
              <w:rPr>
                <w:b/>
              </w:rPr>
              <w:t>Exception Report</w:t>
            </w:r>
          </w:p>
        </w:tc>
      </w:tr>
      <w:tr w:rsidR="003F0440" w:rsidRPr="00725902" w14:paraId="3EDA710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BD3656" w14:textId="77777777" w:rsidR="003F0440" w:rsidRPr="00725902" w:rsidRDefault="00B97396" w:rsidP="002D126B">
            <w:pPr>
              <w:pStyle w:val="TableText"/>
            </w:pPr>
            <w:r>
              <w:t>VBECS does not accommodate online review (verification, signature) of reports.</w:t>
            </w:r>
          </w:p>
        </w:tc>
      </w:tr>
      <w:tr w:rsidR="006E2623" w:rsidRPr="00725902" w14:paraId="78C6C3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2F4068" w14:textId="77777777" w:rsidR="006E2623" w:rsidRDefault="006E2623" w:rsidP="002D126B">
            <w:pPr>
              <w:pStyle w:val="TableText"/>
            </w:pPr>
            <w:r>
              <w:t>Only the first twenty patient antigens will print on the report when an exception is generated for a unit issued with unsatisfied antigen negative requirements.</w:t>
            </w:r>
            <w:r w:rsidRPr="006E2623">
              <w:rPr>
                <w:vanish/>
              </w:rPr>
              <w:t xml:space="preserve"> DR 4820</w:t>
            </w:r>
          </w:p>
        </w:tc>
      </w:tr>
      <w:tr w:rsidR="00A570C0" w:rsidRPr="00725902" w14:paraId="010AF29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A89FE6" w14:textId="6B7A0EAC" w:rsidR="00A570C0" w:rsidRDefault="00A3133F" w:rsidP="002D126B">
            <w:pPr>
              <w:pStyle w:val="TableText"/>
            </w:pPr>
            <w:r>
              <w:t>In some areas of the report, the user ID is displayed instead of the user name.</w:t>
            </w:r>
            <w:r w:rsidR="00703803">
              <w:t xml:space="preserve"> </w:t>
            </w:r>
            <w:r w:rsidR="00703803" w:rsidRPr="00703803">
              <w:rPr>
                <w:vanish/>
              </w:rPr>
              <w:t>Defect 209133</w:t>
            </w:r>
          </w:p>
        </w:tc>
      </w:tr>
      <w:tr w:rsidR="00E04548" w:rsidRPr="00725902" w14:paraId="5FC89D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7DEF779" w14:textId="7475847D" w:rsidR="00E04548" w:rsidRDefault="00F04B98" w:rsidP="002D126B">
            <w:pPr>
              <w:pStyle w:val="TableText"/>
            </w:pPr>
            <w:r w:rsidRPr="00F04B98">
              <w:t>The Exception Date displayed is not consistently recorded to data records. It will either be the time the user entered the exception comment or the time the user saved the data record</w:t>
            </w:r>
            <w:r w:rsidR="00E04548">
              <w:t>.</w:t>
            </w:r>
            <w:r w:rsidR="00676CAC" w:rsidRPr="00BA05F4">
              <w:rPr>
                <w:vanish/>
              </w:rPr>
              <w:t xml:space="preserve"> Defect 208987</w:t>
            </w:r>
          </w:p>
        </w:tc>
      </w:tr>
    </w:tbl>
    <w:p w14:paraId="7C40366B" w14:textId="77777777" w:rsidR="00142675" w:rsidRDefault="00142675"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725902" w14:paraId="14193451"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02B926FC" w14:textId="77777777" w:rsidR="003F0440" w:rsidRPr="00D65A81" w:rsidRDefault="003F0440" w:rsidP="002D126B">
            <w:pPr>
              <w:pStyle w:val="TableText"/>
              <w:rPr>
                <w:b/>
              </w:rPr>
            </w:pPr>
            <w:r w:rsidRPr="00D65A81">
              <w:rPr>
                <w:b/>
              </w:rPr>
              <w:t>Finalize/Print TRW</w:t>
            </w:r>
          </w:p>
        </w:tc>
      </w:tr>
      <w:tr w:rsidR="003F0440" w:rsidRPr="00725902" w14:paraId="53C505F8"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5F8C5B2" w14:textId="1656D706" w:rsidR="003F0440" w:rsidRPr="00725902" w:rsidRDefault="00142675" w:rsidP="002D126B">
            <w:pPr>
              <w:pStyle w:val="TableText"/>
            </w:pPr>
            <w:r>
              <w:t>The user cannot</w:t>
            </w:r>
            <w:r w:rsidRPr="00D23EF9">
              <w:t xml:space="preserve"> invalidate </w:t>
            </w:r>
            <w:r>
              <w:t xml:space="preserve">or change </w:t>
            </w:r>
            <w:r w:rsidRPr="00D23EF9">
              <w:t>a finalized TRW.</w:t>
            </w:r>
            <w:r w:rsidR="00C230C9">
              <w:t xml:space="preserve"> Contact the Service</w:t>
            </w:r>
            <w:r>
              <w:t xml:space="preserve"> Desk if a TRW needs to be updated after finalization.</w:t>
            </w:r>
            <w:r w:rsidR="00676CAC" w:rsidRPr="00FF7FFA">
              <w:rPr>
                <w:vanish/>
              </w:rPr>
              <w:t xml:space="preserve"> Defect 212150</w:t>
            </w:r>
          </w:p>
        </w:tc>
      </w:tr>
      <w:tr w:rsidR="003F0440" w:rsidRPr="00725902" w14:paraId="5FD073BE"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4882DFCC" w14:textId="77777777" w:rsidR="003F0440" w:rsidRDefault="003F0440" w:rsidP="002D126B">
            <w:pPr>
              <w:pStyle w:val="TableText"/>
            </w:pPr>
            <w:r>
              <w:t>Transfusion reaction reports are not available to clinicians through CPRS: they must be printed and filed with patient charts.</w:t>
            </w:r>
          </w:p>
        </w:tc>
      </w:tr>
      <w:tr w:rsidR="00D03D1B" w:rsidRPr="00725902" w14:paraId="3BFAF5A3"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26F91081" w14:textId="5F657657" w:rsidR="00D03D1B" w:rsidRDefault="00D03D1B" w:rsidP="00D03D1B">
            <w:pPr>
              <w:pStyle w:val="TableText"/>
            </w:pPr>
            <w:r>
              <w:t xml:space="preserve">There is no scroll bar on the TRW Serologic Tests tab. This limits the number of visible implicated units to ten (10). When more than ten (10) units are implicated in the transfusion reaction, order additional TRW test(s) as required. </w:t>
            </w:r>
            <w:r w:rsidRPr="00780C90">
              <w:rPr>
                <w:vanish/>
              </w:rPr>
              <w:t>Defect 577597</w:t>
            </w:r>
          </w:p>
        </w:tc>
      </w:tr>
      <w:tr w:rsidR="00C26EE9" w:rsidRPr="00725902" w14:paraId="0A4C89AC"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AF529AC" w14:textId="77777777" w:rsidR="00C26EE9" w:rsidRDefault="00C26EE9" w:rsidP="002D126B">
            <w:pPr>
              <w:pStyle w:val="TableText"/>
            </w:pPr>
            <w:r>
              <w:lastRenderedPageBreak/>
              <w:t>VBECS displays these default values for transfusion reactions converted from VistA to VBECS. They do not reflect actual interpretations or results:</w:t>
            </w:r>
            <w:r>
              <w:rPr>
                <w:vanish/>
              </w:rPr>
              <w:t xml:space="preserve"> (DR 2,</w:t>
            </w:r>
            <w:r w:rsidRPr="00FF5006">
              <w:rPr>
                <w:vanish/>
              </w:rPr>
              <w:t>724)</w:t>
            </w:r>
          </w:p>
        </w:tc>
      </w:tr>
      <w:tr w:rsidR="00C26EE9" w:rsidRPr="00725902" w14:paraId="30B73F29"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354A4B53" w14:textId="77777777" w:rsidR="00C26EE9" w:rsidRPr="00FF5006" w:rsidRDefault="00C26EE9"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7E387FB2" w14:textId="77777777" w:rsidR="00C26EE9" w:rsidRPr="00FF5006" w:rsidRDefault="00C26EE9"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5887D9FB" w14:textId="77777777" w:rsidR="00C26EE9" w:rsidRPr="00FF5006" w:rsidRDefault="00C26EE9"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6EC25802" w14:textId="77777777" w:rsidR="00C26EE9" w:rsidRPr="00FF5006" w:rsidRDefault="00C26EE9" w:rsidP="003F40DD">
            <w:pPr>
              <w:pStyle w:val="TableText"/>
              <w:rPr>
                <w:b/>
              </w:rPr>
            </w:pPr>
          </w:p>
        </w:tc>
      </w:tr>
      <w:tr w:rsidR="00C26EE9" w:rsidRPr="00725902" w14:paraId="1DA0E88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00FEDA3F"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0747E7" w14:textId="77777777" w:rsidR="00C26EE9" w:rsidRDefault="00C26EE9"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4E5E386B"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0FA73B76" w14:textId="77777777" w:rsidR="00C26EE9" w:rsidRDefault="00C26EE9" w:rsidP="003F40DD">
            <w:pPr>
              <w:pStyle w:val="TableText"/>
            </w:pPr>
          </w:p>
        </w:tc>
      </w:tr>
      <w:tr w:rsidR="00C26EE9" w:rsidRPr="00725902" w14:paraId="6A39259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10426AE"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74CB32E" w14:textId="77777777" w:rsidR="00C26EE9" w:rsidRDefault="00C26EE9"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482E0FA"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BFD9490" w14:textId="77777777" w:rsidR="00C26EE9" w:rsidRDefault="00C26EE9" w:rsidP="003F40DD">
            <w:pPr>
              <w:pStyle w:val="TableText"/>
            </w:pPr>
          </w:p>
        </w:tc>
      </w:tr>
      <w:tr w:rsidR="00C26EE9" w:rsidRPr="00725902" w14:paraId="2F8A1ED4"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D62E991"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6A73ADD" w14:textId="77777777" w:rsidR="00C26EE9" w:rsidRDefault="00D35B68" w:rsidP="003F40DD">
            <w:pPr>
              <w:pStyle w:val="TableText"/>
            </w:pPr>
            <w:r>
              <w:t>Symptom</w:t>
            </w:r>
            <w:r w:rsidR="00C26EE9">
              <w: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188A0C4D" w14:textId="77777777" w:rsidR="00C26EE9" w:rsidRDefault="00C26EE9"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03069B8D" w14:textId="77777777" w:rsidR="00C26EE9" w:rsidRDefault="00C26EE9" w:rsidP="003F40DD">
            <w:pPr>
              <w:pStyle w:val="TableText"/>
            </w:pPr>
          </w:p>
        </w:tc>
      </w:tr>
      <w:tr w:rsidR="00C26EE9" w:rsidRPr="00725902" w14:paraId="1BADA70D"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0CD841B"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751EF87" w14:textId="77777777" w:rsidR="00C26EE9" w:rsidRDefault="00C26EE9"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D5EE137" w14:textId="77777777" w:rsidR="00C26EE9" w:rsidRDefault="00C26EE9"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2BF2C649" w14:textId="77777777" w:rsidR="00C26EE9" w:rsidRDefault="00C26EE9" w:rsidP="003F40DD">
            <w:pPr>
              <w:pStyle w:val="TableText"/>
            </w:pPr>
          </w:p>
        </w:tc>
      </w:tr>
      <w:tr w:rsidR="00C26EE9" w:rsidRPr="00725902" w14:paraId="4361A69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FEE70F7"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970AC5E" w14:textId="77777777" w:rsidR="00C26EE9" w:rsidRDefault="00C26EE9"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629156B5" w14:textId="77777777" w:rsidR="00C26EE9" w:rsidRDefault="00C26EE9"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7CB83F4F" w14:textId="77777777" w:rsidR="00C26EE9" w:rsidRDefault="00C26EE9" w:rsidP="003F40DD">
            <w:pPr>
              <w:pStyle w:val="TableText"/>
            </w:pPr>
          </w:p>
        </w:tc>
      </w:tr>
    </w:tbl>
    <w:p w14:paraId="1440060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914EAB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7343652" w14:textId="77777777" w:rsidR="003F0440" w:rsidRPr="00D65A81" w:rsidRDefault="003F0440" w:rsidP="002D126B">
            <w:pPr>
              <w:pStyle w:val="TableText"/>
              <w:rPr>
                <w:b/>
              </w:rPr>
            </w:pPr>
            <w:r w:rsidRPr="00D65A81">
              <w:rPr>
                <w:b/>
              </w:rPr>
              <w:t>Free Directed Unit For Crossover</w:t>
            </w:r>
          </w:p>
        </w:tc>
      </w:tr>
      <w:tr w:rsidR="003F0440" w:rsidRPr="00725902" w14:paraId="14F0FD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27C485E" w14:textId="77777777" w:rsidR="003F0440" w:rsidRPr="00725902" w:rsidRDefault="003F0440" w:rsidP="002D126B">
            <w:pPr>
              <w:pStyle w:val="TableText"/>
            </w:pPr>
            <w:r>
              <w:t xml:space="preserve">The unit must not be in a final status to release the restriction. </w:t>
            </w:r>
          </w:p>
        </w:tc>
      </w:tr>
      <w:tr w:rsidR="003F0440" w:rsidRPr="00725902" w14:paraId="5467808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2FE4BF" w14:textId="77777777" w:rsidR="003F0440" w:rsidRPr="00725902" w:rsidRDefault="003F0440" w:rsidP="002D126B">
            <w:pPr>
              <w:pStyle w:val="TableText"/>
            </w:pPr>
            <w:r>
              <w:t>This option does not allow the removal of patient restrictions for most of the ISBT donation types that are eligible for crossover.</w:t>
            </w:r>
          </w:p>
        </w:tc>
      </w:tr>
      <w:tr w:rsidR="003F0440" w:rsidRPr="00725902" w14:paraId="31A3588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BB8328" w14:textId="77777777" w:rsidR="003F0440" w:rsidRPr="00725902" w:rsidRDefault="003F0440" w:rsidP="002D126B">
            <w:pPr>
              <w:pStyle w:val="TableText"/>
            </w:pPr>
            <w:r>
              <w:t>This option cannot process multiple directed units simultaneously.</w:t>
            </w:r>
          </w:p>
        </w:tc>
      </w:tr>
    </w:tbl>
    <w:p w14:paraId="6287A8A0"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EC212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5CF8D1" w14:textId="77777777" w:rsidR="003F0440" w:rsidRPr="007540C1" w:rsidRDefault="003F0440" w:rsidP="002D126B">
            <w:pPr>
              <w:pStyle w:val="TableText"/>
              <w:rPr>
                <w:b/>
              </w:rPr>
            </w:pPr>
            <w:r w:rsidRPr="007540C1">
              <w:rPr>
                <w:b/>
              </w:rPr>
              <w:t>Incoming Shipment</w:t>
            </w:r>
          </w:p>
        </w:tc>
      </w:tr>
      <w:tr w:rsidR="00D153E8" w:rsidRPr="00725902" w14:paraId="2BA892D9"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4988EBC" w14:textId="77777777" w:rsidR="00D153E8" w:rsidRPr="00725902" w:rsidRDefault="00D153E8" w:rsidP="00615FC3">
            <w:pPr>
              <w:pStyle w:val="TableText"/>
            </w:pPr>
            <w:r w:rsidRPr="009212B0">
              <w:t>VBECS does not check whether blood products with the same unit ID and different product codes are the same blood type.</w:t>
            </w:r>
          </w:p>
        </w:tc>
      </w:tr>
      <w:tr w:rsidR="003F0440" w:rsidRPr="00725902" w14:paraId="67301D7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50DCB7" w14:textId="77777777" w:rsidR="003F0440" w:rsidRPr="00725902" w:rsidRDefault="003F0440" w:rsidP="002D126B">
            <w:pPr>
              <w:pStyle w:val="TableText"/>
            </w:pPr>
            <w:r>
              <w:t>VBECS d</w:t>
            </w:r>
            <w:r w:rsidRPr="00F862E5">
              <w:t xml:space="preserve">oes not </w:t>
            </w:r>
            <w:r>
              <w:t>compare</w:t>
            </w:r>
            <w:r w:rsidRPr="00F862E5">
              <w:t xml:space="preserve"> </w:t>
            </w:r>
            <w:r>
              <w:t xml:space="preserve">the ABO/Rh </w:t>
            </w:r>
            <w:r w:rsidRPr="00F862E5">
              <w:t xml:space="preserve">of </w:t>
            </w:r>
            <w:r>
              <w:t>an</w:t>
            </w:r>
            <w:r w:rsidRPr="00F862E5">
              <w:t xml:space="preserve"> </w:t>
            </w:r>
            <w:r>
              <w:t>a</w:t>
            </w:r>
            <w:r w:rsidRPr="00F862E5">
              <w:t xml:space="preserve">utologous unit </w:t>
            </w:r>
            <w:r>
              <w:t xml:space="preserve">or display a message when the ABO/Rh </w:t>
            </w:r>
            <w:r w:rsidRPr="00F862E5">
              <w:t xml:space="preserve">is incompatible with the </w:t>
            </w:r>
            <w:r>
              <w:t>r</w:t>
            </w:r>
            <w:r w:rsidRPr="00F862E5">
              <w:t xml:space="preserve">estricted </w:t>
            </w:r>
            <w:r>
              <w:t>f</w:t>
            </w:r>
            <w:r w:rsidRPr="00F862E5">
              <w:t>or patient</w:t>
            </w:r>
            <w:r>
              <w:t>.</w:t>
            </w:r>
          </w:p>
        </w:tc>
      </w:tr>
      <w:tr w:rsidR="00A06C7F" w:rsidRPr="00725902" w14:paraId="54899B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E8296A" w14:textId="63D6F4A8" w:rsidR="00A06C7F" w:rsidRPr="009212B0" w:rsidRDefault="00A06C7F" w:rsidP="005364D9">
            <w:pPr>
              <w:pStyle w:val="TableText"/>
            </w:pPr>
            <w:r w:rsidRPr="009A667D">
              <w:t>When a product type, code, or</w:t>
            </w:r>
            <w:r w:rsidRPr="009A667D">
              <w:rPr>
                <w:i/>
              </w:rPr>
              <w:t xml:space="preserve"> </w:t>
            </w:r>
            <w:r w:rsidRPr="009A667D">
              <w:t>local code is not in</w:t>
            </w:r>
            <w:r>
              <w:t xml:space="preserve"> VBECS or a blood supplier creates a product code, contact the </w:t>
            </w:r>
            <w:r w:rsidR="005364D9">
              <w:t>Service</w:t>
            </w:r>
            <w:r>
              <w:t xml:space="preserve"> Desk. See Customer Support for contact information.</w:t>
            </w:r>
          </w:p>
        </w:tc>
      </w:tr>
      <w:tr w:rsidR="00E85B7C" w:rsidRPr="00725902" w14:paraId="33828110"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E252ED5" w14:textId="6D172A5F" w:rsidR="00E85B7C" w:rsidRPr="009A667D" w:rsidRDefault="003D07AE" w:rsidP="005364D9">
            <w:pPr>
              <w:pStyle w:val="TableText"/>
            </w:pPr>
            <w:r w:rsidRPr="00E63663">
              <w:rPr>
                <w:vanish/>
              </w:rPr>
              <w:t xml:space="preserve">BR_1.72 </w:t>
            </w:r>
            <w:r w:rsidR="00E85B7C">
              <w:t>The user may not save the unit record until the donation type and its requirements are satisfied.</w:t>
            </w:r>
          </w:p>
        </w:tc>
      </w:tr>
      <w:tr w:rsidR="00E85B7C" w:rsidRPr="00725902" w14:paraId="3C7BE7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E1AEE" w14:textId="77777777" w:rsidR="00E85B7C" w:rsidRDefault="00E85B7C" w:rsidP="005364D9">
            <w:pPr>
              <w:pStyle w:val="TableText"/>
            </w:pPr>
            <w:r>
              <w:t>No longer supports the entry of blood products labeled in Codabar label type to new or existing invoices.</w:t>
            </w:r>
          </w:p>
        </w:tc>
      </w:tr>
      <w:tr w:rsidR="00E57D56" w:rsidRPr="00725902" w14:paraId="75700E3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65D382" w14:textId="0E4B075C" w:rsidR="00E57D56" w:rsidRPr="009212B0" w:rsidRDefault="003D07AE" w:rsidP="00E57D56">
            <w:pPr>
              <w:pStyle w:val="TableText"/>
            </w:pPr>
            <w:r w:rsidRPr="003D07AE">
              <w:t>The default unit expiration [Maximum Storage Time (MST)] is set to the longest possible storage time based on product type, core condition, attributes, and available references as a guide, but a user with the Traditional Supervisor role or higher can override the default MST  (see Blood Products section for more info). The MST is set at a higher level than an individual collection product code. VBECS does not know the specific collection details.  It is the responsibility of each user to accurately enter and process any one blood unit based on its expiration date/time as labeled by the collection facility</w:t>
            </w:r>
            <w:r w:rsidR="00E57D56" w:rsidRPr="008C1BD3">
              <w:t>.</w:t>
            </w:r>
            <w:r w:rsidR="00E57D56" w:rsidRPr="00E57D56">
              <w:t xml:space="preserve"> </w:t>
            </w:r>
            <w:r w:rsidR="00E57D56" w:rsidRPr="00E57D56">
              <w:rPr>
                <w:vanish/>
              </w:rPr>
              <w:t>Task 1280</w:t>
            </w:r>
          </w:p>
        </w:tc>
      </w:tr>
      <w:tr w:rsidR="003F0440" w:rsidRPr="00725902" w14:paraId="45082B2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B59455" w14:textId="77777777" w:rsidR="003F0440" w:rsidRPr="00725902" w:rsidRDefault="003F0440" w:rsidP="002D126B">
            <w:pPr>
              <w:pStyle w:val="TableText"/>
            </w:pPr>
            <w:r w:rsidRPr="009212B0">
              <w:t>When blood products intended for quarantine are scanned, VBECS does not automatically quarantine them: the user must do so.</w:t>
            </w:r>
          </w:p>
        </w:tc>
      </w:tr>
      <w:tr w:rsidR="003F0440" w:rsidRPr="00725902" w14:paraId="5AB02F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93D06F" w14:textId="77777777" w:rsidR="003F0440" w:rsidRPr="00725902" w:rsidRDefault="001C6E63" w:rsidP="002D126B">
            <w:pPr>
              <w:pStyle w:val="TableText"/>
            </w:pPr>
            <w:r>
              <w:t>VBECS does not recognize</w:t>
            </w:r>
            <w:r w:rsidR="003F0440" w:rsidRPr="009212B0">
              <w:t xml:space="preserve"> scan</w:t>
            </w:r>
            <w:r>
              <w:t>ned</w:t>
            </w:r>
            <w:r w:rsidR="003F0440" w:rsidRPr="009212B0">
              <w:t xml:space="preserve"> labels for </w:t>
            </w:r>
            <w:r w:rsidR="003F0440">
              <w:t>para-Bombay or B</w:t>
            </w:r>
            <w:r w:rsidR="003F0440" w:rsidRPr="009212B0">
              <w:t>ombay ISBT units.</w:t>
            </w:r>
          </w:p>
        </w:tc>
      </w:tr>
      <w:tr w:rsidR="00D153E8" w:rsidRPr="00725902" w14:paraId="04CCF261"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56DEA94" w14:textId="0D4CF2EA" w:rsidR="00D153E8" w:rsidRPr="00725902" w:rsidRDefault="00D153E8" w:rsidP="00615FC3">
            <w:pPr>
              <w:pStyle w:val="TableText"/>
            </w:pPr>
            <w:r>
              <w:t>VBECS does not allow duplicate IDs for the same product code.</w:t>
            </w:r>
          </w:p>
        </w:tc>
      </w:tr>
      <w:tr w:rsidR="003F0440" w:rsidRPr="00725902" w14:paraId="078A647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AC8E9" w14:textId="77777777" w:rsidR="003F0440" w:rsidRPr="00725902" w:rsidRDefault="003F0440" w:rsidP="002D126B">
            <w:pPr>
              <w:pStyle w:val="TableTex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display the entered information or an</w:t>
            </w:r>
            <w:r w:rsidRPr="00452BA4">
              <w:t xml:space="preserve"> error icon. </w:t>
            </w:r>
          </w:p>
        </w:tc>
      </w:tr>
      <w:tr w:rsidR="00D153E8" w:rsidRPr="00725902" w14:paraId="1B57B6E6"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DF2EC14" w14:textId="77777777" w:rsidR="00D153E8" w:rsidRDefault="00D153E8" w:rsidP="00615FC3">
            <w:pPr>
              <w:pStyle w:val="TableText"/>
            </w:pPr>
            <w:r w:rsidRPr="004E2550">
              <w:t>VBECS supports the scanning of ISBT 128 special testing information barcodes by detecting the appropriate hidden identifiers.</w:t>
            </w:r>
            <w:r>
              <w:t xml:space="preserve"> </w:t>
            </w:r>
            <w:r w:rsidRPr="009B0984">
              <w:t>Once the hidden identifier is removed, the special testing code is a varying length of digits, depending on the type of special testing barcode scanned.</w:t>
            </w:r>
          </w:p>
        </w:tc>
      </w:tr>
      <w:tr w:rsidR="003F0440" w:rsidRPr="00725902" w14:paraId="38B10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3D108E" w14:textId="5FF43602" w:rsidR="003F0440" w:rsidRPr="00725902" w:rsidRDefault="003F0440" w:rsidP="002D126B">
            <w:pPr>
              <w:pStyle w:val="TableText"/>
            </w:pPr>
            <w:r w:rsidRPr="00DC22C9">
              <w:lastRenderedPageBreak/>
              <w:t xml:space="preserve">When </w:t>
            </w:r>
            <w:r>
              <w:t>a user scans an ISBT product ID with “0” as the donation type (sixth character), VBECS indicates that the donation type is not specified. When the user selects a donation type from</w:t>
            </w:r>
            <w:r w:rsidRPr="00DC22C9">
              <w:t xml:space="preserve"> the </w:t>
            </w:r>
            <w:r w:rsidR="005131BC">
              <w:t>drop-down</w:t>
            </w:r>
            <w:r w:rsidRPr="00DC22C9">
              <w:t xml:space="preserve"> </w:t>
            </w:r>
            <w:r>
              <w:t xml:space="preserve">menu, VBECS replaces “0” with a recognizable </w:t>
            </w:r>
            <w:r w:rsidRPr="00DC22C9">
              <w:t>character in the product code text box and store</w:t>
            </w:r>
            <w:r>
              <w:t>s it as such</w:t>
            </w:r>
            <w:r w:rsidRPr="00DC22C9">
              <w:t xml:space="preserve">. </w:t>
            </w:r>
            <w:r>
              <w:t xml:space="preserve">When the user rescans the product ID, he must </w:t>
            </w:r>
            <w:r w:rsidRPr="00DC22C9">
              <w:t xml:space="preserve">manually </w:t>
            </w:r>
            <w:r>
              <w:t>replace</w:t>
            </w:r>
            <w:r w:rsidRPr="00DC22C9">
              <w:t xml:space="preserve"> </w:t>
            </w:r>
            <w:r>
              <w:t>“0” or search using the unit ID alone, or the unit ID and the first five characters of the product ID</w:t>
            </w:r>
            <w:r w:rsidRPr="00DC22C9">
              <w:t>.</w:t>
            </w:r>
            <w:r w:rsidR="00D153E8">
              <w:t xml:space="preserve"> When scanning a blood product derivative, this does not apply.</w:t>
            </w:r>
          </w:p>
        </w:tc>
      </w:tr>
      <w:tr w:rsidR="003F0440" w:rsidRPr="00725902" w14:paraId="2242BF7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F0B453" w14:textId="77777777" w:rsidR="003F0440" w:rsidRPr="00DC22C9" w:rsidRDefault="003F0440" w:rsidP="002D126B">
            <w:pPr>
              <w:pStyle w:val="TableText"/>
            </w:pPr>
            <w:r>
              <w:t>Blood product code entries in the blood product table include those from ICCBBA for ISBT 128. Product codes created after the release of VBECS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tc>
      </w:tr>
      <w:tr w:rsidR="003F0440" w:rsidRPr="00725902" w14:paraId="1B3C0FD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B77CCF" w14:textId="77777777" w:rsidR="003F0440" w:rsidRPr="002F6D2F" w:rsidRDefault="003F0440" w:rsidP="002D126B">
            <w:pPr>
              <w:pStyle w:val="TableText"/>
            </w:pPr>
            <w:r>
              <w:t>ISBT 128 tables include blood product codes labeled as not for manufacturing or transfusion. VBECS does not restrict such products from being entered, issued, or transferred (l</w:t>
            </w:r>
            <w:r w:rsidR="00AA54D2">
              <w:t>ocal policy controls their use) and</w:t>
            </w:r>
            <w:r>
              <w:t xml:space="preserve"> does not accommodate blood modification for these products.</w:t>
            </w:r>
          </w:p>
        </w:tc>
      </w:tr>
      <w:tr w:rsidR="00155BBE" w:rsidRPr="00725902" w14:paraId="0B25EA7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214A23" w14:textId="0023B64C" w:rsidR="00155BBE" w:rsidRDefault="00155BBE" w:rsidP="002D126B">
            <w:pPr>
              <w:pStyle w:val="TableTex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Service Desk and file a request fo</w:t>
            </w:r>
            <w:r>
              <w:rPr>
                <w:i/>
              </w:rPr>
              <w:t>r the code to be added to VBECS.</w:t>
            </w:r>
          </w:p>
        </w:tc>
      </w:tr>
    </w:tbl>
    <w:p w14:paraId="489FE710" w14:textId="5C80175F" w:rsidR="000E59E4" w:rsidRDefault="000E59E4"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1F9CB4C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9702DE0" w14:textId="34283C74" w:rsidR="003F0440" w:rsidRPr="00534C65" w:rsidRDefault="000E59E4" w:rsidP="002D126B">
            <w:pPr>
              <w:pStyle w:val="TableText"/>
              <w:rPr>
                <w:b/>
              </w:rPr>
            </w:pPr>
            <w:r>
              <w:br w:type="page"/>
            </w:r>
            <w:r w:rsidR="003F0440">
              <w:rPr>
                <w:b/>
              </w:rPr>
              <w:t>Invalidate Test Results</w:t>
            </w:r>
          </w:p>
        </w:tc>
      </w:tr>
      <w:tr w:rsidR="003F0440" w:rsidRPr="00725902" w14:paraId="2027019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D01E4B" w14:textId="77777777" w:rsidR="003F0440" w:rsidRPr="00A610E7" w:rsidRDefault="003F0440" w:rsidP="002D126B">
            <w:pPr>
              <w:pStyle w:val="TableText"/>
            </w:pPr>
            <w:r>
              <w:t>A user may not inactivate a component task in this option.</w:t>
            </w:r>
          </w:p>
        </w:tc>
      </w:tr>
      <w:tr w:rsidR="003F0440" w:rsidRPr="00725902" w14:paraId="7735529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3747EE8" w14:textId="77777777" w:rsidR="003F0440" w:rsidRPr="00A610E7" w:rsidRDefault="003F0440" w:rsidP="002D126B">
            <w:pPr>
              <w:pStyle w:val="TableText"/>
            </w:pPr>
            <w:r>
              <w:t>This option does not release units from patient assignment. The user must release “assigned” units before invalidating the test results.</w:t>
            </w:r>
          </w:p>
        </w:tc>
      </w:tr>
      <w:tr w:rsidR="003F0440" w:rsidRPr="00725902" w14:paraId="5B6F41C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AE2932" w14:textId="77777777" w:rsidR="003F0440" w:rsidRPr="00A610E7" w:rsidRDefault="003F0440" w:rsidP="002D126B">
            <w:pPr>
              <w:pStyle w:val="TableText"/>
            </w:pPr>
            <w:r>
              <w:t>T</w:t>
            </w:r>
            <w:r w:rsidRPr="001B2013">
              <w:t xml:space="preserve">o </w:t>
            </w:r>
            <w:r>
              <w:t>maintain</w:t>
            </w:r>
            <w:r w:rsidRPr="001B2013">
              <w:t xml:space="preserve"> a clear record</w:t>
            </w:r>
            <w:r>
              <w:t xml:space="preserve"> and system checks, the user must invalidate both original and repeat ABO/Rh tests</w:t>
            </w:r>
            <w:r w:rsidRPr="001B2013">
              <w:t xml:space="preserve">. </w:t>
            </w:r>
          </w:p>
        </w:tc>
      </w:tr>
      <w:tr w:rsidR="00C4014D" w:rsidRPr="00725902" w14:paraId="5A8EA8A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63C18C2" w14:textId="6A8B5E80" w:rsidR="00C4014D" w:rsidRDefault="007B38A2" w:rsidP="002D126B">
            <w:pPr>
              <w:pStyle w:val="TableText"/>
            </w:pPr>
            <w:r>
              <w:t>Do not invalidate part of the configured test. Doing this will put the specimen into a state where it cannot be processed</w:t>
            </w:r>
            <w:r w:rsidR="00676CAC">
              <w:t>. In</w:t>
            </w:r>
            <w:r>
              <w:t>validate all tests configured as part of the TAS regardless of which sub test (ABO/Rh, ABS or DAT) is the problem</w:t>
            </w:r>
            <w:r w:rsidR="00C4014D">
              <w:t xml:space="preserve">. </w:t>
            </w:r>
            <w:r w:rsidR="00676CAC" w:rsidRPr="00C17389">
              <w:rPr>
                <w:vanish/>
              </w:rPr>
              <w:t>DR 4685</w:t>
            </w:r>
            <w:r w:rsidR="00676CAC">
              <w:rPr>
                <w:vanish/>
              </w:rPr>
              <w:t xml:space="preserve"> DR 4854</w:t>
            </w:r>
          </w:p>
        </w:tc>
      </w:tr>
    </w:tbl>
    <w:p w14:paraId="2DE9419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562E4F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8865B21" w14:textId="77777777" w:rsidR="003F0440" w:rsidRPr="00534C65" w:rsidRDefault="003F0440" w:rsidP="002D126B">
            <w:pPr>
              <w:pStyle w:val="TableText"/>
              <w:rPr>
                <w:b/>
              </w:rPr>
            </w:pPr>
            <w:r w:rsidRPr="00534C65">
              <w:rPr>
                <w:b/>
              </w:rPr>
              <w:t>Issue Blood Components</w:t>
            </w:r>
          </w:p>
        </w:tc>
      </w:tr>
      <w:tr w:rsidR="003F0440" w:rsidRPr="00725902" w14:paraId="1B4EB89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F5D73B" w14:textId="77777777" w:rsidR="003F0440" w:rsidRPr="00725902" w:rsidRDefault="003F0440" w:rsidP="002D126B">
            <w:pPr>
              <w:pStyle w:val="TableText"/>
            </w:pPr>
            <w:r>
              <w:t xml:space="preserve">VBECS does not check </w:t>
            </w:r>
            <w:r w:rsidRPr="00F26B72">
              <w:t xml:space="preserve">for </w:t>
            </w:r>
            <w:r>
              <w:t>restricted</w:t>
            </w:r>
            <w:r w:rsidRPr="00F26B72">
              <w:t xml:space="preserve"> units </w:t>
            </w:r>
            <w:r>
              <w:t>(not</w:t>
            </w:r>
            <w:r w:rsidRPr="00F26B72">
              <w:t xml:space="preserve"> assigned to the patient</w:t>
            </w:r>
            <w:r>
              <w:t>)</w:t>
            </w:r>
            <w:r w:rsidRPr="00F26B72">
              <w:t xml:space="preserve"> received </w:t>
            </w:r>
            <w:r>
              <w:t>between selection and issue.</w:t>
            </w:r>
          </w:p>
        </w:tc>
      </w:tr>
      <w:tr w:rsidR="003F0440" w:rsidRPr="00725902" w14:paraId="6F65D49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60B6D1D" w14:textId="3F8E5B89" w:rsidR="003F0440" w:rsidRPr="00725902" w:rsidRDefault="003F0440" w:rsidP="002D126B">
            <w:pPr>
              <w:pStyle w:val="TableText"/>
            </w:pPr>
            <w:r>
              <w:t xml:space="preserve">All issue-to locations must be valid entries in the </w:t>
            </w:r>
            <w:r w:rsidRPr="00CA0045">
              <w:rPr>
                <w:bCs/>
              </w:rPr>
              <w:t>VistA</w:t>
            </w:r>
            <w:r>
              <w:t xml:space="preserve"> </w:t>
            </w:r>
            <w:r w:rsidR="00E56542">
              <w:t>HOSPITAL LOCATION (#44).</w:t>
            </w:r>
            <w:r>
              <w:t xml:space="preserve"> </w:t>
            </w:r>
          </w:p>
        </w:tc>
      </w:tr>
      <w:tr w:rsidR="00666930" w:rsidRPr="00725902" w14:paraId="0C5BFB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983A4" w14:textId="77777777" w:rsidR="00666930" w:rsidRDefault="00666930" w:rsidP="002D126B">
            <w:pPr>
              <w:pStyle w:val="TableText"/>
            </w:pPr>
            <w:r>
              <w:t xml:space="preserve">If VistA link is not available, the user may proceed with the issue process but the current issue-to hospital location is not recorded. All of the associated report records display “VistALink Down” in the Issue To location field. </w:t>
            </w:r>
            <w:r w:rsidRPr="00666930">
              <w:rPr>
                <w:vanish/>
              </w:rPr>
              <w:t>DR 5073</w:t>
            </w:r>
          </w:p>
        </w:tc>
      </w:tr>
      <w:tr w:rsidR="003F0440" w:rsidRPr="00725902" w14:paraId="40D0DC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FDA9D49" w14:textId="27D4A561" w:rsidR="003F0440" w:rsidRPr="002F6D2F" w:rsidRDefault="003F0440" w:rsidP="002D126B">
            <w:pPr>
              <w:pStyle w:val="TableText"/>
            </w:pPr>
            <w:r>
              <w:t xml:space="preserve">ISBT 128 tables include blood product codes labeled as not for manufacturing or transfusion. VBECS does not restrict such products from being entered, issued, or transferred (local policy controls their use) </w:t>
            </w:r>
            <w:r w:rsidR="00676CAC">
              <w:t>and</w:t>
            </w:r>
            <w:r>
              <w:t xml:space="preserve"> does not accommodate blood modification for these products.</w:t>
            </w:r>
          </w:p>
        </w:tc>
      </w:tr>
      <w:tr w:rsidR="007E1B6B" w:rsidRPr="00725902" w14:paraId="147B0EF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A23294" w14:textId="13C3C2F5" w:rsidR="007E1B6B" w:rsidRDefault="007E1B6B" w:rsidP="002D126B">
            <w:pPr>
              <w:pStyle w:val="TableText"/>
            </w:pPr>
            <w:r>
              <w:t>W</w:t>
            </w:r>
            <w:r w:rsidRPr="007E1B6B">
              <w:t xml:space="preserve">hen a site has configured </w:t>
            </w:r>
            <w:r w:rsidR="00E57947"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E57947" w:rsidRPr="007E1B6B">
              <w:t>subservient</w:t>
            </w:r>
            <w:r w:rsidRPr="007E1B6B">
              <w:t xml:space="preserve"> VistA institutions</w:t>
            </w:r>
            <w:r w:rsidR="00432F57">
              <w:t>.</w:t>
            </w:r>
            <w:r w:rsidR="00676CAC" w:rsidRPr="007E1B6B">
              <w:rPr>
                <w:vanish/>
              </w:rPr>
              <w:t xml:space="preserve"> DR 2,880</w:t>
            </w:r>
          </w:p>
        </w:tc>
      </w:tr>
      <w:tr w:rsidR="00432F57" w:rsidRPr="00725902" w14:paraId="64BFD51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FFAD4BA" w14:textId="77777777" w:rsidR="00432F57" w:rsidRDefault="00432F57" w:rsidP="002D126B">
            <w:pPr>
              <w:pStyle w:val="TableText"/>
            </w:pPr>
            <w:r>
              <w:t xml:space="preserve">BCE information </w:t>
            </w:r>
            <w:r w:rsidRPr="00C01E45">
              <w:t>applies ONLY when a BCE COTS product is available for communication and is configured.</w:t>
            </w:r>
          </w:p>
        </w:tc>
      </w:tr>
      <w:tr w:rsidR="00432F57" w:rsidRPr="00725902" w14:paraId="7C787EC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5E8DF3" w14:textId="77777777" w:rsidR="00432F57" w:rsidRDefault="00432F57" w:rsidP="002D126B">
            <w:pPr>
              <w:pStyle w:val="TableText"/>
            </w:pPr>
            <w:r>
              <w:t xml:space="preserve">Changing a </w:t>
            </w:r>
            <w:r w:rsidRPr="00633316">
              <w:t>patient's</w:t>
            </w:r>
            <w:r>
              <w:t xml:space="preserve"> transfusion requirements</w:t>
            </w:r>
            <w:r w:rsidRPr="00633316">
              <w:t xml:space="preserve"> </w:t>
            </w:r>
            <w:r>
              <w:t xml:space="preserve">(component requirements, </w:t>
            </w:r>
            <w:r w:rsidRPr="00633316">
              <w:t>antigen negative requirement or antibody identified</w:t>
            </w:r>
            <w:r>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r w:rsidR="005E6088" w:rsidRPr="00725902" w14:paraId="57862320"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1168201" w14:textId="3838E147" w:rsidR="005E6088" w:rsidRDefault="005E6088" w:rsidP="002D126B">
            <w:pPr>
              <w:pStyle w:val="TableText"/>
            </w:pPr>
            <w:r>
              <w:t xml:space="preserve">VBECS asks for a comment when issuing a unit that is assigned to two different patients. Enter a comment to issue the unit or release one of the patient assignments before issuing. The comment will appear on the Unit History Report in the Issue section. </w:t>
            </w:r>
            <w:r w:rsidRPr="00101C38">
              <w:rPr>
                <w:vanish/>
              </w:rPr>
              <w:t xml:space="preserve">Defect </w:t>
            </w:r>
            <w:r w:rsidR="00101C38" w:rsidRPr="00101C38">
              <w:rPr>
                <w:vanish/>
              </w:rPr>
              <w:t>208730</w:t>
            </w:r>
          </w:p>
        </w:tc>
      </w:tr>
      <w:tr w:rsidR="005D2A5F" w:rsidRPr="00725902" w14:paraId="134B30D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C6F253" w14:textId="6D9E4C48" w:rsidR="005D2A5F" w:rsidRDefault="005D2A5F" w:rsidP="002D126B">
            <w:pPr>
              <w:pStyle w:val="TableText"/>
            </w:pPr>
            <w:r w:rsidRPr="005D2A5F">
              <w:t xml:space="preserve">Users should issue units in a timely manner to avoid the units being released from patient assignment by another user prior to the issue unit process completion. </w:t>
            </w:r>
            <w:r w:rsidRPr="005D2A5F">
              <w:rPr>
                <w:vanish/>
              </w:rPr>
              <w:t>Defect 127720</w:t>
            </w:r>
          </w:p>
        </w:tc>
      </w:tr>
    </w:tbl>
    <w:p w14:paraId="35A3F6BA"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69001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3D0905" w14:textId="77777777" w:rsidR="003F0440" w:rsidRPr="00534C65" w:rsidRDefault="003F0440" w:rsidP="002D126B">
            <w:pPr>
              <w:pStyle w:val="TableText"/>
              <w:rPr>
                <w:b/>
              </w:rPr>
            </w:pPr>
            <w:r w:rsidRPr="00534C65">
              <w:rPr>
                <w:b/>
              </w:rPr>
              <w:lastRenderedPageBreak/>
              <w:t>Justify ABO/Rh Change</w:t>
            </w:r>
          </w:p>
        </w:tc>
      </w:tr>
      <w:tr w:rsidR="003F0440" w:rsidRPr="00725902" w14:paraId="75FD517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9C0875" w14:textId="77777777" w:rsidR="003F0440" w:rsidRPr="00725902" w:rsidRDefault="003F0440" w:rsidP="002D126B">
            <w:pPr>
              <w:pStyle w:val="TableText"/>
            </w:pPr>
            <w:r>
              <w:t>VBECS does not allow the selection or issue of certain blood components that may appear ABO/Rh compatible when discrepant ABO/Rh results are not justified.</w:t>
            </w:r>
          </w:p>
        </w:tc>
      </w:tr>
    </w:tbl>
    <w:p w14:paraId="122AF75C" w14:textId="77777777" w:rsidR="00123D20" w:rsidRDefault="00123D20"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34C65" w14:paraId="77FDBE7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111274" w14:textId="77777777" w:rsidR="003F0440" w:rsidRPr="00534C65" w:rsidRDefault="00123D20" w:rsidP="002D126B">
            <w:pPr>
              <w:pStyle w:val="TableText"/>
              <w:rPr>
                <w:b/>
              </w:rPr>
            </w:pPr>
            <w:r>
              <w:br w:type="page"/>
            </w:r>
            <w:r w:rsidR="0045199A">
              <w:br w:type="page"/>
            </w:r>
            <w:r w:rsidR="003F0440" w:rsidRPr="00534C65">
              <w:rPr>
                <w:b/>
              </w:rPr>
              <w:t>Local Facilities</w:t>
            </w:r>
          </w:p>
        </w:tc>
      </w:tr>
      <w:tr w:rsidR="003F0440" w:rsidRPr="00725902" w14:paraId="779F79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818CC9" w14:textId="77777777" w:rsidR="003F0440" w:rsidRDefault="003F0440" w:rsidP="002D126B">
            <w:pPr>
              <w:pStyle w:val="TableText"/>
            </w:pPr>
            <w:r>
              <w:t>A user may:</w:t>
            </w:r>
          </w:p>
          <w:p w14:paraId="7102F107" w14:textId="77777777" w:rsidR="003F0440" w:rsidRPr="00DA2271" w:rsidRDefault="003F0440" w:rsidP="00DA2271">
            <w:pPr>
              <w:pStyle w:val="TableTextBullet"/>
              <w:tabs>
                <w:tab w:val="clear" w:pos="288"/>
              </w:tabs>
            </w:pPr>
            <w:r w:rsidRPr="00DA2271">
              <w:t>Activate and edit collection facility records distributed with VBECS.</w:t>
            </w:r>
          </w:p>
          <w:p w14:paraId="18E59CF8" w14:textId="77777777" w:rsidR="003F0440" w:rsidRPr="00DA2271" w:rsidRDefault="003F0440" w:rsidP="00DA2271">
            <w:pPr>
              <w:pStyle w:val="TableTextBullet"/>
              <w:tabs>
                <w:tab w:val="clear" w:pos="288"/>
              </w:tabs>
            </w:pPr>
            <w:r w:rsidRPr="00DA2271">
              <w:t>Add and locally edit active collection facilities.</w:t>
            </w:r>
          </w:p>
          <w:p w14:paraId="3BC3A0A6" w14:textId="77777777" w:rsidR="00A65139" w:rsidRPr="00DA2271" w:rsidRDefault="003F0440" w:rsidP="00DA2271">
            <w:pPr>
              <w:pStyle w:val="TableTextBullet"/>
              <w:tabs>
                <w:tab w:val="clear" w:pos="288"/>
              </w:tabs>
            </w:pPr>
            <w:r w:rsidRPr="00DA2271">
              <w:t xml:space="preserve">Activate and/or deactivate local collection facilities. </w:t>
            </w:r>
          </w:p>
          <w:p w14:paraId="5AF6CFE1" w14:textId="77777777" w:rsidR="00A65139" w:rsidRPr="00B157B4" w:rsidRDefault="00A65139" w:rsidP="00DA2271">
            <w:pPr>
              <w:pStyle w:val="TableTextBullet"/>
              <w:tabs>
                <w:tab w:val="clear" w:pos="288"/>
              </w:tabs>
            </w:pPr>
            <w:r w:rsidRPr="00DA2271">
              <w:t>Edit a division</w:t>
            </w:r>
            <w:r>
              <w:t xml:space="preserve"> name, which may result in a mismatch between VistA and VBECS division names. </w:t>
            </w:r>
            <w:r w:rsidRPr="00A65139">
              <w:rPr>
                <w:vanish/>
              </w:rPr>
              <w:t>(DR 2,113)</w:t>
            </w:r>
          </w:p>
          <w:p w14:paraId="4991C0D5" w14:textId="77777777" w:rsidR="00B157B4" w:rsidRPr="00725902" w:rsidRDefault="00B157B4" w:rsidP="00AE19A0">
            <w:pPr>
              <w:pStyle w:val="TableTextBullet"/>
              <w:tabs>
                <w:tab w:val="clear" w:pos="288"/>
              </w:tabs>
            </w:pPr>
            <w:r w:rsidRPr="005705B4">
              <w:t>The Local Facility Address maximum length is 45 characters</w:t>
            </w:r>
            <w:r w:rsidR="00AE19A0">
              <w:t xml:space="preserve"> including spaces</w:t>
            </w:r>
            <w:r w:rsidRPr="005705B4">
              <w:t xml:space="preserve"> to allow the address to display on VBECS repo</w:t>
            </w:r>
            <w:r>
              <w:t xml:space="preserve">rts. The third line of the facility address is not displayed on VBECS reports. </w:t>
            </w:r>
            <w:r w:rsidRPr="00B157B4">
              <w:rPr>
                <w:vanish/>
              </w:rPr>
              <w:t>DR 4980</w:t>
            </w:r>
          </w:p>
        </w:tc>
      </w:tr>
    </w:tbl>
    <w:p w14:paraId="3C147A8B" w14:textId="0E7C612F" w:rsidR="000E59E4" w:rsidRDefault="000E59E4"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6B7CABA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ABFCF33" w14:textId="77777777" w:rsidR="003F0440" w:rsidRPr="007951E4" w:rsidRDefault="003F0440" w:rsidP="002D126B">
            <w:pPr>
              <w:pStyle w:val="TableText"/>
              <w:rPr>
                <w:b/>
              </w:rPr>
            </w:pPr>
            <w:r w:rsidRPr="007951E4">
              <w:rPr>
                <w:b/>
              </w:rPr>
              <w:t>Maintain Specimen</w:t>
            </w:r>
          </w:p>
        </w:tc>
      </w:tr>
      <w:tr w:rsidR="003F0440" w:rsidRPr="00725902" w14:paraId="37E8C6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D2BEA7" w14:textId="77777777" w:rsidR="003F0440" w:rsidRPr="00725902" w:rsidRDefault="003F0440" w:rsidP="002D126B">
            <w:pPr>
              <w:pStyle w:val="TableText"/>
            </w:pPr>
            <w:r>
              <w:t xml:space="preserve">When a search by UID causes VBECS to time out, repeat the search by UID and patient name or by patient name only. </w:t>
            </w:r>
            <w:r w:rsidRPr="009303DE">
              <w:rPr>
                <w:vanish/>
              </w:rPr>
              <w:t>(UserDoc Tasks 1089 and 1090)</w:t>
            </w:r>
          </w:p>
        </w:tc>
      </w:tr>
      <w:tr w:rsidR="003F0440" w:rsidRPr="00725902" w14:paraId="1C0AD2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0612C4" w14:textId="77777777" w:rsidR="003F0440" w:rsidRPr="00725902" w:rsidRDefault="003F0440" w:rsidP="002D126B">
            <w:pPr>
              <w:pStyle w:val="TableText"/>
            </w:pPr>
            <w:r>
              <w:t>Specimen recollection requests must be made offline.</w:t>
            </w:r>
          </w:p>
        </w:tc>
      </w:tr>
      <w:tr w:rsidR="003F0440" w:rsidRPr="00725902" w14:paraId="0C0E3D4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2DF49E" w14:textId="77777777" w:rsidR="003F0440" w:rsidRPr="00725902" w:rsidRDefault="003F0440" w:rsidP="002D126B">
            <w:pPr>
              <w:pStyle w:val="TableText"/>
            </w:pPr>
            <w:r>
              <w:t>Designating a specimen as “unacceptable” after accepting a CPRS order closes that order and requires a new CPRS order and sample.</w:t>
            </w:r>
          </w:p>
        </w:tc>
      </w:tr>
    </w:tbl>
    <w:p w14:paraId="195255AB"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B8C6C3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8D9EE00" w14:textId="77777777" w:rsidR="003F0440" w:rsidRPr="007951E4" w:rsidRDefault="003F0440" w:rsidP="002D126B">
            <w:pPr>
              <w:pStyle w:val="TableText"/>
              <w:rPr>
                <w:b/>
              </w:rPr>
            </w:pPr>
            <w:r w:rsidRPr="007951E4">
              <w:rPr>
                <w:b/>
              </w:rPr>
              <w:t>Modify Units</w:t>
            </w:r>
          </w:p>
        </w:tc>
      </w:tr>
      <w:tr w:rsidR="003F0440" w:rsidRPr="00725902" w14:paraId="549E7B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5212BEA" w14:textId="77777777" w:rsidR="003F0440" w:rsidRPr="00725902" w:rsidRDefault="003F0440" w:rsidP="002D126B">
            <w:pPr>
              <w:pStyle w:val="TableText"/>
            </w:pPr>
            <w:r>
              <w:t>VBECS allows modification of units only in limited, assigned, crossmatched, and available statuses.</w:t>
            </w:r>
          </w:p>
        </w:tc>
      </w:tr>
      <w:tr w:rsidR="00E57D56" w:rsidRPr="00725902" w14:paraId="371877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07536D" w14:textId="77777777" w:rsidR="00E57D56" w:rsidRDefault="00E57D56" w:rsidP="00E57D56">
            <w:pPr>
              <w:pStyle w:val="TableText"/>
            </w:pPr>
            <w:r>
              <w:t xml:space="preserve">VBECS presents the conservative expiration date for target units. VBECS does not know the specific collection details.  It is the </w:t>
            </w:r>
            <w:r w:rsidR="004E2AB6">
              <w:t>responsibility</w:t>
            </w:r>
            <w:r>
              <w:t xml:space="preserve"> of each user to accurately enter and process any one blood unit based on its expiration date/time as labeled by the collection facility.</w:t>
            </w:r>
            <w:r w:rsidRPr="00E57D56">
              <w:t xml:space="preserve"> </w:t>
            </w:r>
            <w:r w:rsidRPr="00E57D56">
              <w:rPr>
                <w:vanish/>
              </w:rPr>
              <w:t>Task 1324</w:t>
            </w:r>
          </w:p>
        </w:tc>
      </w:tr>
      <w:tr w:rsidR="006A0516" w:rsidRPr="00725902" w14:paraId="349D84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AC7F54" w14:textId="73BA53C8" w:rsidR="006A0516" w:rsidRDefault="003D1470" w:rsidP="003D1470">
            <w:pPr>
              <w:pStyle w:val="TableText"/>
            </w:pPr>
            <w:r>
              <w:t xml:space="preserve">Pooling of units that have the attribute </w:t>
            </w:r>
            <w:r w:rsidR="00676CAC">
              <w:t>form</w:t>
            </w:r>
            <w:r>
              <w:t xml:space="preserve"> V0013 (irradiated) and attribute V0021005 (psoralen treatment) does not produce a target.</w:t>
            </w:r>
          </w:p>
        </w:tc>
      </w:tr>
    </w:tbl>
    <w:p w14:paraId="19F49536" w14:textId="77777777" w:rsidR="00D139EE" w:rsidRDefault="00D139EE"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6A77C6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0CF1DC" w14:textId="77777777" w:rsidR="003F0440" w:rsidRPr="007951E4" w:rsidRDefault="003F0440" w:rsidP="002D126B">
            <w:pPr>
              <w:pStyle w:val="TableText"/>
              <w:rPr>
                <w:b/>
              </w:rPr>
            </w:pPr>
            <w:r w:rsidRPr="007951E4">
              <w:rPr>
                <w:b/>
              </w:rPr>
              <w:t>Modify Units: Pool Units</w:t>
            </w:r>
          </w:p>
        </w:tc>
      </w:tr>
      <w:tr w:rsidR="003F0440" w:rsidRPr="00725902" w14:paraId="579CB7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5D7D4D" w14:textId="77777777" w:rsidR="003F0440" w:rsidRPr="00725902" w:rsidRDefault="003F0440" w:rsidP="002D126B">
            <w:pPr>
              <w:pStyle w:val="TableText"/>
            </w:pPr>
            <w:r>
              <w:t>VBECS allows modification of units only in limited, assigned, crossmatched, and available statuses.</w:t>
            </w:r>
          </w:p>
        </w:tc>
      </w:tr>
      <w:tr w:rsidR="003F0440" w:rsidRPr="00725902" w14:paraId="48C65E0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3F7DB5" w14:textId="77777777" w:rsidR="003F0440" w:rsidRDefault="006F51AC" w:rsidP="002D126B">
            <w:pPr>
              <w:pStyle w:val="TableText"/>
            </w:pPr>
            <w:r w:rsidRPr="00D47D4A">
              <w:t>When a</w:t>
            </w:r>
            <w:r>
              <w:t xml:space="preserve"> user adds a</w:t>
            </w:r>
            <w:r w:rsidRPr="00D47D4A">
              <w:t xml:space="preserve"> biohazardous unit to a pool, </w:t>
            </w:r>
            <w:r>
              <w:t xml:space="preserve">VBECS does not designate the </w:t>
            </w:r>
            <w:r w:rsidRPr="00D47D4A">
              <w:t xml:space="preserve">pool </w:t>
            </w:r>
            <w:r>
              <w:t>as</w:t>
            </w:r>
            <w:r w:rsidRPr="00D47D4A">
              <w:t xml:space="preserve"> biohazardous</w:t>
            </w:r>
            <w:r>
              <w:t xml:space="preserve"> on the Blood Transfusion Record Form (BTRF) or Caution Tag</w:t>
            </w:r>
            <w:r w:rsidRPr="00D47D4A">
              <w:t>.</w:t>
            </w:r>
          </w:p>
        </w:tc>
      </w:tr>
    </w:tbl>
    <w:p w14:paraId="7D11DAC7"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92CCC3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102F2E3" w14:textId="77777777" w:rsidR="003F0440" w:rsidRPr="00A76671" w:rsidRDefault="003F0440" w:rsidP="002D126B">
            <w:pPr>
              <w:pStyle w:val="TableText"/>
              <w:rPr>
                <w:b/>
              </w:rPr>
            </w:pPr>
            <w:r w:rsidRPr="00A76671">
              <w:rPr>
                <w:b/>
              </w:rPr>
              <w:t>Modify Units: Split a Unit</w:t>
            </w:r>
          </w:p>
        </w:tc>
      </w:tr>
      <w:tr w:rsidR="003F0440" w:rsidRPr="00725902" w14:paraId="485EEA6E"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26A2A349" w14:textId="7FB8D338" w:rsidR="003F0440" w:rsidRPr="00725902" w:rsidRDefault="00676CAC" w:rsidP="00A64FBF">
            <w:pPr>
              <w:pStyle w:val="TableText"/>
            </w:pPr>
            <w:r w:rsidRPr="00516343">
              <w:rPr>
                <w:vanish/>
              </w:rPr>
              <w:t xml:space="preserve">BR_25.21 </w:t>
            </w:r>
            <w:r w:rsidR="00A64FBF">
              <w:t>A unit previously split in VBECS cannot be split again. Only an ISBT unit that was split outside of VBECS can be split again.</w:t>
            </w:r>
          </w:p>
        </w:tc>
      </w:tr>
      <w:tr w:rsidR="00A64FBF" w:rsidRPr="00725902" w14:paraId="4BE6F791"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7C545FAA" w14:textId="708BFA9C" w:rsidR="00A64FBF" w:rsidRPr="00A64FBF" w:rsidRDefault="00676CAC" w:rsidP="00A64FBF">
            <w:pPr>
              <w:pStyle w:val="TableText"/>
            </w:pPr>
            <w:r w:rsidRPr="00516343">
              <w:rPr>
                <w:vanish/>
              </w:rPr>
              <w:t xml:space="preserve">BR_25.21 </w:t>
            </w:r>
            <w:r w:rsidR="00A64FBF">
              <w:t xml:space="preserve">A unit pooled in VBECS may </w:t>
            </w:r>
            <w:r w:rsidR="00E605B1">
              <w:t>not be split</w:t>
            </w:r>
            <w:r w:rsidR="00A64FBF">
              <w:t>.</w:t>
            </w:r>
          </w:p>
        </w:tc>
      </w:tr>
      <w:tr w:rsidR="00A64FBF" w:rsidRPr="00725902" w14:paraId="7CB1DFC3"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76B4446C" w14:textId="451A28D5" w:rsidR="00A64FBF" w:rsidRPr="00A64FBF" w:rsidRDefault="00676CAC" w:rsidP="00A64FBF">
            <w:pPr>
              <w:pStyle w:val="TableText"/>
            </w:pPr>
            <w:r w:rsidRPr="00516343">
              <w:rPr>
                <w:vanish/>
              </w:rPr>
              <w:t xml:space="preserve">BR_25.21 </w:t>
            </w:r>
            <w:r w:rsidR="00A64FBF">
              <w:t>A unit that has a division code present upon receipt in incoming shipment may be split in VBECS.</w:t>
            </w:r>
          </w:p>
        </w:tc>
      </w:tr>
    </w:tbl>
    <w:p w14:paraId="2F9A8681" w14:textId="77777777" w:rsidR="00DD7CAF" w:rsidRDefault="00DD7CA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372A3" w14:paraId="2C2CF4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626DE5A" w14:textId="77777777" w:rsidR="003F0440" w:rsidRPr="004372A3" w:rsidRDefault="003F0440" w:rsidP="002D126B">
            <w:pPr>
              <w:pStyle w:val="TableText"/>
              <w:rPr>
                <w:b/>
              </w:rPr>
            </w:pPr>
            <w:r w:rsidRPr="004372A3">
              <w:rPr>
                <w:b/>
              </w:rPr>
              <w:t>Order Alerts</w:t>
            </w:r>
          </w:p>
        </w:tc>
      </w:tr>
      <w:tr w:rsidR="00BB0EAB" w:rsidRPr="00725902" w14:paraId="02470F9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A1D3CC" w14:textId="77777777" w:rsidR="00BB0EAB" w:rsidRDefault="00BB0EAB" w:rsidP="002D126B">
            <w:pPr>
              <w:pStyle w:val="TableText"/>
            </w:pPr>
            <w:r>
              <w:t>This is an alert only and contains limited information from the CPRS order.</w:t>
            </w:r>
            <w:r w:rsidR="00D53DC3">
              <w:t xml:space="preserve"> </w:t>
            </w:r>
            <w:r w:rsidR="00D53DC3" w:rsidRPr="00D53DC3">
              <w:rPr>
                <w:vanish/>
              </w:rPr>
              <w:t>Defect 368207</w:t>
            </w:r>
          </w:p>
        </w:tc>
      </w:tr>
      <w:tr w:rsidR="003F0440" w:rsidRPr="00725902" w14:paraId="188C37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2D6BC4" w14:textId="77777777" w:rsidR="003F0440" w:rsidRPr="00725902" w:rsidRDefault="003F0440" w:rsidP="002D126B">
            <w:pPr>
              <w:pStyle w:val="TableText"/>
            </w:pPr>
            <w:r>
              <w:t>This option does not create a mechanism to accept or reject orders or specimens or define reports for viewing orders.</w:t>
            </w:r>
          </w:p>
        </w:tc>
      </w:tr>
      <w:tr w:rsidR="003F0440" w:rsidRPr="00725902" w14:paraId="0E0A08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3D704C" w14:textId="77777777" w:rsidR="003F0440" w:rsidRPr="00725902" w:rsidRDefault="003F0440" w:rsidP="002D126B">
            <w:pPr>
              <w:pStyle w:val="TableText"/>
            </w:pPr>
            <w:r>
              <w:t>The user may select the option to display printer alerts only when the designated printer is configured and available.</w:t>
            </w:r>
          </w:p>
        </w:tc>
      </w:tr>
      <w:tr w:rsidR="003F0440" w:rsidRPr="00725902" w14:paraId="7593097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FA9781" w14:textId="77777777" w:rsidR="003F0440" w:rsidRPr="00725902" w:rsidRDefault="003F0440" w:rsidP="002D126B">
            <w:pPr>
              <w:pStyle w:val="TableText"/>
            </w:pPr>
            <w:r>
              <w:lastRenderedPageBreak/>
              <w:t>The printer</w:t>
            </w:r>
            <w:r w:rsidRPr="006C2ED3">
              <w:t xml:space="preserve"> </w:t>
            </w:r>
            <w:r>
              <w:t>must be configured by the System Administrator.</w:t>
            </w:r>
          </w:p>
        </w:tc>
      </w:tr>
    </w:tbl>
    <w:p w14:paraId="24DF7074" w14:textId="77777777" w:rsidR="00BA0F42" w:rsidRDefault="00BA0F42"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E2623" w:rsidRPr="004372A3" w14:paraId="671AFB60" w14:textId="77777777" w:rsidTr="00266A3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AE9D19B" w14:textId="77777777" w:rsidR="006E2623" w:rsidRPr="004372A3" w:rsidRDefault="006E2623" w:rsidP="00266A37">
            <w:pPr>
              <w:pStyle w:val="TableText"/>
              <w:rPr>
                <w:b/>
              </w:rPr>
            </w:pPr>
            <w:r>
              <w:rPr>
                <w:b/>
              </w:rPr>
              <w:t>Order History Report</w:t>
            </w:r>
          </w:p>
        </w:tc>
      </w:tr>
      <w:tr w:rsidR="006E2623" w14:paraId="280DA821"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2A8A70" w14:textId="7B09015D" w:rsidR="006E2623" w:rsidRDefault="006E2623" w:rsidP="00266A37">
            <w:pPr>
              <w:pStyle w:val="TableText"/>
            </w:pPr>
            <w:r>
              <w:t>VBECS does not display the identity of the CPRS user who discontinues a signed order in CPRS. The CPRS order details option contains all pertinent order information.</w:t>
            </w:r>
            <w:r w:rsidRPr="006E2623">
              <w:rPr>
                <w:vanish/>
              </w:rPr>
              <w:t xml:space="preserve"> DR 3766</w:t>
            </w:r>
          </w:p>
        </w:tc>
      </w:tr>
      <w:tr w:rsidR="008E02D0" w14:paraId="30325FCB"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5B149B" w14:textId="26675236" w:rsidR="008E02D0" w:rsidRDefault="008E02D0" w:rsidP="00266A37">
            <w:pPr>
              <w:pStyle w:val="TableText"/>
            </w:pPr>
            <w:r>
              <w:t>Cancel</w:t>
            </w:r>
            <w:r w:rsidR="002F7E19">
              <w:t>l</w:t>
            </w:r>
            <w:r>
              <w:t>ed orders are included on the Order Summary Report without a column/data to help identify them as cancel</w:t>
            </w:r>
            <w:r w:rsidR="002F7E19">
              <w:t>l</w:t>
            </w:r>
            <w:r>
              <w:t>ed. The Single Order History Report includes the cancel</w:t>
            </w:r>
            <w:r w:rsidR="002F7E19">
              <w:t>l</w:t>
            </w:r>
            <w:r>
              <w:t>ed order information. When the order is also cancel</w:t>
            </w:r>
            <w:r w:rsidR="002F7E19">
              <w:t>l</w:t>
            </w:r>
            <w:r>
              <w:t>ed in VistA, which would be the norm, there is a lab report that can be referenced</w:t>
            </w:r>
            <w:r w:rsidR="00F04B98">
              <w:t xml:space="preserve"> (See </w:t>
            </w:r>
            <w:r w:rsidR="00F04B98" w:rsidRPr="00077082">
              <w:rPr>
                <w:i/>
                <w:iCs/>
              </w:rPr>
              <w:t>FAQ Order Status Clarification</w:t>
            </w:r>
            <w:r w:rsidR="00F04B98">
              <w:t>)</w:t>
            </w:r>
            <w:r>
              <w:t xml:space="preserve">. </w:t>
            </w:r>
            <w:r w:rsidRPr="008E02D0">
              <w:rPr>
                <w:vanish/>
              </w:rPr>
              <w:t>Defect 208877</w:t>
            </w:r>
          </w:p>
        </w:tc>
      </w:tr>
      <w:tr w:rsidR="00D03D1B" w14:paraId="158B77AF"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1131EA5" w14:textId="0F61859C" w:rsidR="00D03D1B" w:rsidRDefault="00D03D1B" w:rsidP="00D03D1B">
            <w:pPr>
              <w:pStyle w:val="TableText"/>
            </w:pPr>
            <w:r>
              <w:t xml:space="preserve">The Order History Report only displays the first twenty (20) characters of an ordering location. Ordering locations in VistA can be shortened or changed when the uniqueness of a location cannot be determined with the first twenty (20) characters. </w:t>
            </w:r>
            <w:r w:rsidRPr="003209A5">
              <w:rPr>
                <w:vanish/>
              </w:rPr>
              <w:t>Defect 209846</w:t>
            </w:r>
          </w:p>
        </w:tc>
      </w:tr>
    </w:tbl>
    <w:p w14:paraId="2EF7D1BB" w14:textId="77777777" w:rsidR="006E2623" w:rsidRDefault="006E2623"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D45CD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35C14E" w14:textId="77777777" w:rsidR="003F0440" w:rsidRPr="00A76671" w:rsidRDefault="003F0440" w:rsidP="002D126B">
            <w:pPr>
              <w:pStyle w:val="TableText"/>
              <w:rPr>
                <w:b/>
              </w:rPr>
            </w:pPr>
            <w:r w:rsidRPr="00A76671">
              <w:rPr>
                <w:b/>
              </w:rPr>
              <w:t>Order Reflex Tests</w:t>
            </w:r>
          </w:p>
        </w:tc>
      </w:tr>
      <w:tr w:rsidR="003F0440" w:rsidRPr="00725902" w14:paraId="39CDDC51"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09E53924" w14:textId="648C2DC7" w:rsidR="003F0440" w:rsidRPr="00725902" w:rsidRDefault="003F0440" w:rsidP="002D126B">
            <w:pPr>
              <w:pStyle w:val="TableText"/>
            </w:pPr>
            <w:r w:rsidRPr="009C34E7">
              <w:rPr>
                <w:rFonts w:cs="Arial"/>
                <w:vanish/>
              </w:rPr>
              <w:t>BR_45.10</w:t>
            </w:r>
            <w:r>
              <w:rPr>
                <w:rFonts w:cs="Arial"/>
                <w:vanish/>
              </w:rPr>
              <w:t xml:space="preserve"> </w:t>
            </w:r>
            <w:r>
              <w:t>A crossmatch (XM) and a repeat XM cannot be ordered unless they are associated with a specimen with a future expiration date and a phlebotomist is associated with that specimen.</w:t>
            </w:r>
            <w:r>
              <w:rPr>
                <w:rFonts w:cs="Arial"/>
                <w:vanish/>
              </w:rPr>
              <w:t xml:space="preserve"> </w:t>
            </w:r>
          </w:p>
        </w:tc>
      </w:tr>
      <w:tr w:rsidR="003F0440" w:rsidRPr="00725902" w14:paraId="284E43D4"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2989D8C8" w14:textId="70C51FCE" w:rsidR="003F0440" w:rsidRPr="00725902" w:rsidRDefault="00676CAC" w:rsidP="002D126B">
            <w:pPr>
              <w:pStyle w:val="TableText"/>
            </w:pPr>
            <w:r>
              <w:rPr>
                <w:rFonts w:cs="Arial"/>
                <w:vanish/>
              </w:rPr>
              <w:t xml:space="preserve">BR_98.02 </w:t>
            </w:r>
            <w:r w:rsidR="003F0440">
              <w:t>When a user selects weak D for the antigen typing test and the selected patient is Rh positive, VBECS warns that weak D testing cannot be performed</w:t>
            </w:r>
            <w:r w:rsidR="009913C5">
              <w:t xml:space="preserve"> (See </w:t>
            </w:r>
            <w:r w:rsidR="009913C5" w:rsidRPr="00077082">
              <w:rPr>
                <w:i/>
                <w:iCs/>
              </w:rPr>
              <w:t>FAQ Weak D Policy</w:t>
            </w:r>
            <w:r w:rsidR="008470B0">
              <w:t>)</w:t>
            </w:r>
            <w:r w:rsidR="003F0440">
              <w:t>. There is no override and VBECS does not add the test.</w:t>
            </w:r>
          </w:p>
        </w:tc>
      </w:tr>
    </w:tbl>
    <w:p w14:paraId="5D8CE751" w14:textId="77777777" w:rsidR="006272C5" w:rsidRDefault="006272C5" w:rsidP="006272C5">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7F0D0608" w14:textId="77777777" w:rsidTr="00CE4C78">
        <w:trPr>
          <w:cantSplit/>
          <w:tblHeader/>
        </w:trPr>
        <w:tc>
          <w:tcPr>
            <w:tcW w:w="9360" w:type="dxa"/>
            <w:shd w:val="clear" w:color="auto" w:fill="BFBFBF" w:themeFill="background1" w:themeFillShade="BF"/>
            <w:vAlign w:val="bottom"/>
          </w:tcPr>
          <w:p w14:paraId="0192FD53" w14:textId="77777777" w:rsidR="003F0440" w:rsidRPr="005E4113" w:rsidRDefault="003F0440" w:rsidP="002D126B">
            <w:pPr>
              <w:pStyle w:val="TableText"/>
              <w:rPr>
                <w:b/>
              </w:rPr>
            </w:pPr>
            <w:r>
              <w:rPr>
                <w:b/>
              </w:rPr>
              <w:t>Outgoing Shipment</w:t>
            </w:r>
          </w:p>
        </w:tc>
      </w:tr>
      <w:tr w:rsidR="003F0440" w:rsidRPr="00725902" w14:paraId="6250F971"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1AD598B" w14:textId="77777777" w:rsidR="003F0440" w:rsidRPr="00725902" w:rsidRDefault="003F0440" w:rsidP="002D126B">
            <w:pPr>
              <w:pStyle w:val="TableText"/>
            </w:pPr>
            <w:r>
              <w:t>A user may edit only unconfirmed invoices.</w:t>
            </w:r>
          </w:p>
        </w:tc>
      </w:tr>
      <w:tr w:rsidR="003F0440" w:rsidRPr="00725902" w14:paraId="25C20FD5"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7E5CFC" w14:textId="29D5D367" w:rsidR="003F0440" w:rsidRDefault="003F0440" w:rsidP="002D126B">
            <w:pPr>
              <w:pStyle w:val="TableText"/>
            </w:pPr>
            <w:r>
              <w:t xml:space="preserve">The </w:t>
            </w:r>
            <w:r w:rsidR="00313B75">
              <w:t>unit</w:t>
            </w:r>
            <w:r>
              <w:t xml:space="preserve"> test</w:t>
            </w:r>
            <w:r w:rsidR="00313B75">
              <w:t>ing data</w:t>
            </w:r>
            <w:r>
              <w:t xml:space="preserve"> </w:t>
            </w:r>
            <w:r w:rsidRPr="007F1742">
              <w:t xml:space="preserve">displayed on </w:t>
            </w:r>
            <w:r>
              <w:t>an</w:t>
            </w:r>
            <w:r w:rsidRPr="007F1742">
              <w:t xml:space="preserve"> invoice is limited to 8</w:t>
            </w:r>
            <w:r>
              <w:t>,000 characters per unit.</w:t>
            </w:r>
          </w:p>
        </w:tc>
      </w:tr>
    </w:tbl>
    <w:p w14:paraId="2688B3F9" w14:textId="16FCD4D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B7221D" w:rsidRPr="005E4113" w14:paraId="52A47E59" w14:textId="77777777" w:rsidTr="001D3AF6">
        <w:trPr>
          <w:cantSplit/>
          <w:tblHeader/>
        </w:trPr>
        <w:tc>
          <w:tcPr>
            <w:tcW w:w="9360" w:type="dxa"/>
            <w:shd w:val="clear" w:color="auto" w:fill="BFBFBF" w:themeFill="background1" w:themeFillShade="BF"/>
            <w:vAlign w:val="bottom"/>
          </w:tcPr>
          <w:p w14:paraId="6D1B7D58" w14:textId="2F748AD0" w:rsidR="00B7221D" w:rsidRPr="005E4113" w:rsidRDefault="00B7221D" w:rsidP="001D3AF6">
            <w:pPr>
              <w:pStyle w:val="TableText"/>
              <w:rPr>
                <w:b/>
              </w:rPr>
            </w:pPr>
            <w:r>
              <w:rPr>
                <w:b/>
              </w:rPr>
              <w:t>Patient Information Toolbar</w:t>
            </w:r>
          </w:p>
        </w:tc>
      </w:tr>
      <w:tr w:rsidR="00B7221D" w:rsidRPr="00725902" w14:paraId="2B85176F" w14:textId="77777777" w:rsidTr="001D3AF6">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8FED09" w14:textId="54A71168" w:rsidR="00B7221D" w:rsidRPr="00725902" w:rsidRDefault="00B7221D" w:rsidP="001D3AF6">
            <w:pPr>
              <w:pStyle w:val="TableText"/>
            </w:pPr>
            <w:r>
              <w:t xml:space="preserve">Recent Orders is showing Order Status values like “Not Started” and “Filled”, which are actually Task Statuses. </w:t>
            </w:r>
            <w:r w:rsidRPr="00B7221D">
              <w:rPr>
                <w:vanish/>
              </w:rPr>
              <w:t>Defect 214974</w:t>
            </w:r>
          </w:p>
        </w:tc>
      </w:tr>
      <w:tr w:rsidR="00D03D1B" w:rsidRPr="00725902" w14:paraId="4CD3A13A" w14:textId="77777777" w:rsidTr="001D3AF6">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BB1BE05" w14:textId="7B95DEAB" w:rsidR="00D03D1B" w:rsidRDefault="007A6A08" w:rsidP="007A6A08">
            <w:pPr>
              <w:pStyle w:val="TableText"/>
            </w:pPr>
            <w:r>
              <w:t xml:space="preserve">Completed TRWs do not display on the Recent Orders screen. Completed TRWs can be found by searching in the Reports, Finalize/Print TRW option. </w:t>
            </w:r>
            <w:r w:rsidRPr="003209A5">
              <w:rPr>
                <w:vanish/>
              </w:rPr>
              <w:t>Defect 2</w:t>
            </w:r>
            <w:r w:rsidR="008C5F1E">
              <w:rPr>
                <w:vanish/>
              </w:rPr>
              <w:t>10171</w:t>
            </w:r>
          </w:p>
        </w:tc>
      </w:tr>
    </w:tbl>
    <w:p w14:paraId="7C7E0B9A" w14:textId="0A900870" w:rsidR="00B7221D" w:rsidRDefault="00B7221D"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1E53C1" w14:paraId="2787D39D"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656D2741" w14:textId="77777777" w:rsidR="003F0440" w:rsidRPr="001E53C1" w:rsidRDefault="003F0440" w:rsidP="002D126B">
            <w:pPr>
              <w:pStyle w:val="TableText"/>
              <w:rPr>
                <w:b/>
              </w:rPr>
            </w:pPr>
            <w:r w:rsidRPr="001E53C1">
              <w:rPr>
                <w:b/>
              </w:rPr>
              <w:t>Patient History Report</w:t>
            </w:r>
          </w:p>
        </w:tc>
      </w:tr>
      <w:tr w:rsidR="003F0440" w:rsidRPr="00725902" w14:paraId="178496EB"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0CDF033" w14:textId="1298AE10" w:rsidR="003F0440" w:rsidRDefault="003F0440" w:rsidP="002D126B">
            <w:pPr>
              <w:pStyle w:val="TableText"/>
            </w:pPr>
            <w:r>
              <w:t>When units are restricted for a patient during Incoming Shipment, VBECS does not display them on the Patient History Report.</w:t>
            </w:r>
            <w:r w:rsidR="005E6088">
              <w:t xml:space="preserve"> </w:t>
            </w:r>
            <w:r w:rsidR="005E6088" w:rsidRPr="005E6088">
              <w:rPr>
                <w:vanish/>
              </w:rPr>
              <w:t>Defect 212160</w:t>
            </w:r>
          </w:p>
        </w:tc>
      </w:tr>
      <w:tr w:rsidR="00E07645" w:rsidRPr="00725902" w14:paraId="5BC762E6"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49E664C" w14:textId="77777777" w:rsidR="00E07645" w:rsidRDefault="00E07645" w:rsidP="003F40DD">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E07645" w:rsidRPr="00725902" w14:paraId="30771030"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0B2A03F9" w14:textId="77777777" w:rsidR="00E07645" w:rsidRPr="00FF5006" w:rsidRDefault="00E07645"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65E728F1" w14:textId="77777777" w:rsidR="00E07645" w:rsidRPr="00FF5006" w:rsidRDefault="00E07645"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701A9C4F" w14:textId="77777777" w:rsidR="00E07645" w:rsidRPr="00FF5006" w:rsidRDefault="00E07645"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47EB7F14" w14:textId="77777777" w:rsidR="00E07645" w:rsidRPr="00FF5006" w:rsidRDefault="00E07645" w:rsidP="003F40DD">
            <w:pPr>
              <w:pStyle w:val="TableText"/>
              <w:rPr>
                <w:b/>
              </w:rPr>
            </w:pPr>
          </w:p>
        </w:tc>
      </w:tr>
      <w:tr w:rsidR="00E07645" w:rsidRPr="00725902" w14:paraId="1D0F38EE"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2B4C6D2"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3C47C5" w14:textId="77777777" w:rsidR="00E07645" w:rsidRDefault="00E07645"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F9A3678"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A2874A2" w14:textId="77777777" w:rsidR="00E07645" w:rsidRDefault="00E07645" w:rsidP="003F40DD">
            <w:pPr>
              <w:pStyle w:val="TableText"/>
            </w:pPr>
          </w:p>
        </w:tc>
      </w:tr>
      <w:tr w:rsidR="00E07645" w:rsidRPr="00725902" w14:paraId="35878EF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C07C046"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00683804" w14:textId="77777777" w:rsidR="00E07645" w:rsidRDefault="00E07645"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939AB39"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746A8545" w14:textId="77777777" w:rsidR="00E07645" w:rsidRDefault="00E07645" w:rsidP="003F40DD">
            <w:pPr>
              <w:pStyle w:val="TableText"/>
            </w:pPr>
          </w:p>
        </w:tc>
      </w:tr>
      <w:tr w:rsidR="00E07645" w:rsidRPr="00725902" w14:paraId="5F07E9E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C839C8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018ACE0" w14:textId="77777777" w:rsidR="00E07645" w:rsidRDefault="00E07645" w:rsidP="003F40DD">
            <w:pPr>
              <w:pStyle w:val="TableText"/>
            </w:pPr>
            <w:r>
              <w:t>Symptoms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5DACF24D" w14:textId="77777777" w:rsidR="00E07645" w:rsidRDefault="00E07645"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4ED86783" w14:textId="77777777" w:rsidR="00E07645" w:rsidRDefault="00E07645" w:rsidP="003F40DD">
            <w:pPr>
              <w:pStyle w:val="TableText"/>
            </w:pPr>
          </w:p>
        </w:tc>
      </w:tr>
      <w:tr w:rsidR="00E07645" w:rsidRPr="00725902" w14:paraId="3409168A"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DA415AF"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AE0B637" w14:textId="77777777" w:rsidR="00E07645" w:rsidRDefault="00E07645"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09BB1514" w14:textId="77777777" w:rsidR="00E07645" w:rsidRDefault="00E07645"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69246379" w14:textId="77777777" w:rsidR="00E07645" w:rsidRDefault="00E07645" w:rsidP="003F40DD">
            <w:pPr>
              <w:pStyle w:val="TableText"/>
            </w:pPr>
          </w:p>
        </w:tc>
      </w:tr>
      <w:tr w:rsidR="00E07645" w:rsidRPr="00725902" w14:paraId="5525363C"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5BB2701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678318E4" w14:textId="77777777" w:rsidR="00E07645" w:rsidRDefault="00E07645"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B5ECA4E" w14:textId="77777777" w:rsidR="00E07645" w:rsidRDefault="00E07645"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6E83E641" w14:textId="77777777" w:rsidR="00E07645" w:rsidRDefault="00E07645" w:rsidP="003F40DD">
            <w:pPr>
              <w:pStyle w:val="TableText"/>
            </w:pPr>
          </w:p>
        </w:tc>
      </w:tr>
    </w:tbl>
    <w:p w14:paraId="3146E81A" w14:textId="77777777" w:rsidR="009D715F" w:rsidRDefault="009D715F" w:rsidP="009D715F">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9D715F" w:rsidRPr="005E4113" w14:paraId="0A597CC9" w14:textId="77777777" w:rsidTr="00615FC3">
        <w:trPr>
          <w:cantSplit/>
          <w:tblHeader/>
        </w:trPr>
        <w:tc>
          <w:tcPr>
            <w:tcW w:w="9360" w:type="dxa"/>
            <w:shd w:val="clear" w:color="auto" w:fill="BFBFBF" w:themeFill="background1" w:themeFillShade="BF"/>
            <w:vAlign w:val="bottom"/>
          </w:tcPr>
          <w:p w14:paraId="0842EBB7" w14:textId="77777777" w:rsidR="009D715F" w:rsidRPr="005E4113" w:rsidRDefault="009D715F" w:rsidP="00615FC3">
            <w:pPr>
              <w:pStyle w:val="TableText"/>
              <w:rPr>
                <w:b/>
              </w:rPr>
            </w:pPr>
            <w:r>
              <w:lastRenderedPageBreak/>
              <w:br w:type="page"/>
            </w:r>
            <w:r w:rsidRPr="005E4113">
              <w:rPr>
                <w:b/>
              </w:rPr>
              <w:t>Patient Merge</w:t>
            </w:r>
          </w:p>
        </w:tc>
      </w:tr>
      <w:tr w:rsidR="009D715F" w:rsidRPr="00725902" w14:paraId="0CA51D69" w14:textId="77777777" w:rsidTr="00615FC3">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614F26E" w14:textId="77777777" w:rsidR="009D715F" w:rsidRPr="00D139EE" w:rsidRDefault="009D715F" w:rsidP="00615FC3">
            <w:pPr>
              <w:pStyle w:val="TableText"/>
            </w:pPr>
            <w:r w:rsidRPr="00D62E7A">
              <w:rPr>
                <w:vanish/>
              </w:rPr>
              <w:t>DR 2,527</w:t>
            </w:r>
            <w:r>
              <w:rPr>
                <w:vanish/>
              </w:rPr>
              <w:t xml:space="preserve"> </w:t>
            </w:r>
            <w:r>
              <w:t>The Traditional Supervisor or above must update patient records manually.</w:t>
            </w:r>
          </w:p>
        </w:tc>
      </w:tr>
      <w:tr w:rsidR="009D715F" w:rsidRPr="00725902" w14:paraId="26612205" w14:textId="77777777" w:rsidTr="00615FC3">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5660882" w14:textId="47705894" w:rsidR="009D715F" w:rsidRPr="00D139EE" w:rsidRDefault="009D715F" w:rsidP="00615FC3">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r w:rsidR="00676CAC" w:rsidRPr="00FF7FFA">
              <w:rPr>
                <w:vanish/>
              </w:rPr>
              <w:t>Defect 209990</w:t>
            </w:r>
          </w:p>
        </w:tc>
      </w:tr>
      <w:tr w:rsidR="009D715F" w:rsidRPr="00725902" w14:paraId="25A6B9B2" w14:textId="77777777" w:rsidTr="00615FC3">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762D588" w14:textId="3C030E4B" w:rsidR="009D715F" w:rsidRDefault="009D715F" w:rsidP="00615FC3">
            <w:pPr>
              <w:pStyle w:val="TableText"/>
            </w:pPr>
            <w:r>
              <w:t>Patient merges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t>Email Alerts</w:t>
            </w:r>
            <w:r w:rsidRPr="00DD022C">
              <w:t>” field.</w:t>
            </w:r>
          </w:p>
        </w:tc>
      </w:tr>
      <w:tr w:rsidR="009D715F" w:rsidRPr="00725902" w14:paraId="7F194C5E" w14:textId="77777777" w:rsidTr="00615FC3">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82E9BBD" w14:textId="77777777" w:rsidR="009D715F" w:rsidRDefault="009D715F" w:rsidP="00615FC3">
            <w:pPr>
              <w:pStyle w:val="TableText"/>
            </w:pPr>
            <w:r>
              <w:t xml:space="preserve">VBECS displays duplicate merge events to the user for merge. Users can process one of the merge events manually and clear both merge alerts. The Master Veteran Index team is working on a patch to discontinue sending a duplicate message. </w:t>
            </w:r>
            <w:r w:rsidRPr="00FC36D7">
              <w:rPr>
                <w:vanish/>
              </w:rPr>
              <w:t>Defect 210029</w:t>
            </w:r>
          </w:p>
        </w:tc>
      </w:tr>
    </w:tbl>
    <w:p w14:paraId="0F9E87EC" w14:textId="77777777" w:rsidR="00E07645" w:rsidRDefault="00E07645"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71699C" w:rsidRPr="005E4113" w14:paraId="24D22E2E" w14:textId="77777777" w:rsidTr="00CE4C78">
        <w:trPr>
          <w:cantSplit/>
          <w:tblHeader/>
        </w:trPr>
        <w:tc>
          <w:tcPr>
            <w:tcW w:w="9360" w:type="dxa"/>
            <w:shd w:val="clear" w:color="auto" w:fill="BFBFBF" w:themeFill="background1" w:themeFillShade="BF"/>
            <w:vAlign w:val="bottom"/>
          </w:tcPr>
          <w:p w14:paraId="4FD12055" w14:textId="77777777" w:rsidR="0071699C" w:rsidRPr="005E4113" w:rsidRDefault="0071699C" w:rsidP="00E971D0">
            <w:pPr>
              <w:pStyle w:val="TableText"/>
              <w:rPr>
                <w:b/>
              </w:rPr>
            </w:pPr>
            <w:r>
              <w:rPr>
                <w:b/>
              </w:rPr>
              <w:t>Patient Search Screen</w:t>
            </w:r>
          </w:p>
        </w:tc>
      </w:tr>
      <w:tr w:rsidR="0071699C" w:rsidRPr="00725902" w14:paraId="413433CF"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425143" w14:textId="77777777" w:rsidR="0071699C" w:rsidRPr="0071699C" w:rsidRDefault="0071699C" w:rsidP="0071699C">
            <w:pPr>
              <w:pStyle w:val="PlainText"/>
              <w:rPr>
                <w:rFonts w:ascii="Arial" w:eastAsia="Times New Roman" w:hAnsi="Arial"/>
                <w:sz w:val="18"/>
                <w:szCs w:val="24"/>
              </w:rPr>
            </w:pPr>
            <w:r w:rsidRPr="0071699C">
              <w:rPr>
                <w:rFonts w:ascii="Arial" w:eastAsia="Times New Roman" w:hAnsi="Arial"/>
                <w:sz w:val="18"/>
                <w:szCs w:val="24"/>
              </w:rPr>
              <w:t xml:space="preserve">VBECS updates information from VistA File #2, not VistA File #20. Name changes made in VistA File #20 will not appear in VBECS. Align File #2 with those changes to update VBECS. </w:t>
            </w:r>
            <w:r w:rsidRPr="0071699C">
              <w:rPr>
                <w:rFonts w:ascii="Arial" w:eastAsia="Times New Roman" w:hAnsi="Arial"/>
                <w:vanish/>
                <w:sz w:val="18"/>
                <w:szCs w:val="24"/>
              </w:rPr>
              <w:t>Task 585891</w:t>
            </w:r>
          </w:p>
        </w:tc>
      </w:tr>
      <w:tr w:rsidR="00696708" w:rsidRPr="00725902" w14:paraId="57EA97A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8D253EE" w14:textId="4C9FA4FF" w:rsidR="00696708" w:rsidRPr="00696708" w:rsidRDefault="00696708" w:rsidP="00696708">
            <w:pPr>
              <w:pStyle w:val="ListBullet"/>
              <w:numPr>
                <w:ilvl w:val="0"/>
                <w:numId w:val="0"/>
              </w:numPr>
            </w:pPr>
            <w:r w:rsidRPr="00696708">
              <w:rPr>
                <w:rFonts w:ascii="Arial" w:hAnsi="Arial"/>
                <w:spacing w:val="0"/>
                <w:sz w:val="18"/>
                <w:szCs w:val="24"/>
              </w:rPr>
              <w:t xml:space="preserve">Searching for non-alphanumeric characters (e.g., hyphens, etc.) </w:t>
            </w:r>
            <w:r w:rsidR="00511276">
              <w:rPr>
                <w:rFonts w:ascii="Arial" w:hAnsi="Arial"/>
                <w:spacing w:val="0"/>
                <w:sz w:val="18"/>
                <w:szCs w:val="24"/>
              </w:rPr>
              <w:t>is not supported</w:t>
            </w:r>
            <w:r w:rsidRPr="00696708">
              <w:rPr>
                <w:rFonts w:ascii="Arial" w:hAnsi="Arial"/>
                <w:spacing w:val="0"/>
                <w:sz w:val="18"/>
                <w:szCs w:val="24"/>
              </w:rPr>
              <w:t>.</w:t>
            </w:r>
            <w:r w:rsidR="00CE1233">
              <w:rPr>
                <w:rFonts w:ascii="Arial" w:hAnsi="Arial"/>
                <w:spacing w:val="0"/>
                <w:sz w:val="18"/>
                <w:szCs w:val="24"/>
              </w:rPr>
              <w:t xml:space="preserve"> </w:t>
            </w:r>
            <w:r w:rsidR="00CE1233" w:rsidRPr="009312D9">
              <w:rPr>
                <w:rFonts w:ascii="Arial" w:hAnsi="Arial"/>
                <w:vanish/>
                <w:spacing w:val="0"/>
                <w:sz w:val="18"/>
                <w:szCs w:val="24"/>
              </w:rPr>
              <w:t>Defect 209859</w:t>
            </w:r>
          </w:p>
        </w:tc>
      </w:tr>
    </w:tbl>
    <w:p w14:paraId="0285A9D3"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808B9" w14:paraId="4ED775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D0BC5F" w14:textId="77777777" w:rsidR="003F0440" w:rsidRPr="005808B9" w:rsidRDefault="003F0440" w:rsidP="002D126B">
            <w:pPr>
              <w:pStyle w:val="TableText"/>
              <w:rPr>
                <w:b/>
              </w:rPr>
            </w:pPr>
            <w:r w:rsidRPr="005808B9">
              <w:rPr>
                <w:b/>
              </w:rPr>
              <w:t>Patient Testing: Cancel an Active Order</w:t>
            </w:r>
          </w:p>
        </w:tc>
      </w:tr>
      <w:tr w:rsidR="003F0440" w:rsidRPr="001C59D2" w14:paraId="1BD5FDBD"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C7BE22" w14:textId="77777777" w:rsidR="003F0440" w:rsidRPr="005808B9" w:rsidRDefault="003F0440" w:rsidP="002D126B">
            <w:pPr>
              <w:pStyle w:val="TableText"/>
            </w:pPr>
            <w:r>
              <w:t>Cancellation of one order does not affect other orders placed with it.</w:t>
            </w:r>
          </w:p>
        </w:tc>
      </w:tr>
      <w:tr w:rsidR="003F0440" w:rsidRPr="001C59D2" w14:paraId="2AFA344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73F7E6" w14:textId="77777777" w:rsidR="003F0440" w:rsidRPr="001C59D2" w:rsidRDefault="003F0440" w:rsidP="002D126B">
            <w:pPr>
              <w:pStyle w:val="TableText"/>
              <w:rPr>
                <w:b/>
              </w:rPr>
            </w:pPr>
            <w:r>
              <w:t>Before a user may cancel a partially completed task, he must invalidate the results for that task, thereby changing its status to “not started.”</w:t>
            </w:r>
          </w:p>
        </w:tc>
      </w:tr>
    </w:tbl>
    <w:p w14:paraId="5BB38BA3" w14:textId="77777777" w:rsidR="003E754E" w:rsidRDefault="003E754E"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33B76" w14:paraId="42DA775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00C6E2" w14:textId="77777777" w:rsidR="003F0440" w:rsidRPr="00033B76" w:rsidRDefault="003E754E" w:rsidP="002D126B">
            <w:pPr>
              <w:pStyle w:val="TableText"/>
              <w:rPr>
                <w:b/>
              </w:rPr>
            </w:pPr>
            <w:r>
              <w:br w:type="page"/>
            </w:r>
            <w:r w:rsidR="003F0440" w:rsidRPr="00033B76">
              <w:rPr>
                <w:b/>
              </w:rPr>
              <w:t>Patient Testing: Enter Antibody Identification Results</w:t>
            </w:r>
          </w:p>
        </w:tc>
      </w:tr>
      <w:tr w:rsidR="003F0440" w:rsidRPr="001C59D2" w14:paraId="54BD7C1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220F0AA" w14:textId="77777777" w:rsidR="003F0440" w:rsidRDefault="003F0440" w:rsidP="002D126B">
            <w:pPr>
              <w:pStyle w:val="TableText"/>
            </w:pPr>
            <w:r>
              <w:t>When an antigen negative requirement is not configured for an antibody, the user may enter the requirement for a patient through Special Instructions &amp; Transfusion Requirements: Enter a Transfusion Requirement.</w:t>
            </w:r>
          </w:p>
        </w:tc>
      </w:tr>
    </w:tbl>
    <w:p w14:paraId="044EE331"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86D0E" w14:paraId="65FC014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16E77EF" w14:textId="77777777" w:rsidR="003F0440" w:rsidRPr="00986D0E" w:rsidRDefault="003F0440" w:rsidP="002D126B">
            <w:pPr>
              <w:pStyle w:val="TableText"/>
              <w:rPr>
                <w:b/>
              </w:rPr>
            </w:pPr>
            <w:r w:rsidRPr="00986D0E">
              <w:rPr>
                <w:b/>
              </w:rPr>
              <w:t>Patient Testing: General Instructions</w:t>
            </w:r>
          </w:p>
        </w:tc>
      </w:tr>
      <w:tr w:rsidR="003F0440" w:rsidRPr="001C59D2" w14:paraId="007F030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CB2CB6" w14:textId="77777777" w:rsidR="003F0440" w:rsidRDefault="003F0440" w:rsidP="002D126B">
            <w:pPr>
              <w:pStyle w:val="TableText"/>
            </w:pPr>
            <w:r>
              <w:t>This test record is not editable after the user completes a test and saves it to the database. When a correction needs to be filed, a corrected report must be generated, as described in Invalidating Patient Test Results.</w:t>
            </w:r>
          </w:p>
        </w:tc>
      </w:tr>
      <w:tr w:rsidR="00B90645" w:rsidRPr="001C59D2" w14:paraId="4478A3A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3A322BE" w14:textId="2559D75F" w:rsidR="00B90645" w:rsidRDefault="00B90645" w:rsidP="00B90645">
            <w:pPr>
              <w:pStyle w:val="TableText"/>
            </w:pPr>
            <w:r>
              <w:t>User selection of partially completed testing grids with different phases of</w:t>
            </w:r>
            <w:r w:rsidR="00676CAC">
              <w:t xml:space="preserve"> testing</w:t>
            </w:r>
            <w:r>
              <w:t xml:space="preserve"> </w:t>
            </w:r>
            <w:r w:rsidR="009D715F">
              <w:t>(All Phases or AHG Only) as previously selected creates a testing discrepancy in VBECS</w:t>
            </w:r>
            <w:r>
              <w:t>.</w:t>
            </w:r>
          </w:p>
        </w:tc>
      </w:tr>
      <w:tr w:rsidR="006941AE" w:rsidRPr="001C59D2" w14:paraId="7FFACB0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2AE75D" w14:textId="0937FE58" w:rsidR="006941AE" w:rsidRDefault="006941AE" w:rsidP="00B90645">
            <w:pPr>
              <w:pStyle w:val="TableText"/>
            </w:pPr>
            <w:r>
              <w:t>Limited batch testing to partially completed orders with the same testing grid selection, either All Phases or AHG Only.</w:t>
            </w:r>
            <w:r w:rsidR="002B25A3" w:rsidRPr="00B90645">
              <w:rPr>
                <w:vanish/>
              </w:rPr>
              <w:t xml:space="preserve"> DR 4218</w:t>
            </w:r>
          </w:p>
        </w:tc>
      </w:tr>
      <w:tr w:rsidR="006941AE" w:rsidRPr="001C59D2" w14:paraId="18A42BE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4BA921" w14:textId="6BF2D5B8" w:rsidR="006941AE" w:rsidRDefault="006941AE" w:rsidP="00B90645">
            <w:pPr>
              <w:pStyle w:val="TableText"/>
            </w:pPr>
            <w:r>
              <w:t>VBECS cannot compare test results for a patient when two users are entering test results for the same patient at the same time.</w:t>
            </w:r>
            <w:r w:rsidR="002B25A3" w:rsidRPr="000D669E">
              <w:rPr>
                <w:vanish/>
              </w:rPr>
              <w:t xml:space="preserve"> DR 4817</w:t>
            </w:r>
          </w:p>
        </w:tc>
      </w:tr>
      <w:tr w:rsidR="00A753B8" w:rsidRPr="001C59D2" w14:paraId="107CFCC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653309F" w14:textId="1E037795" w:rsidR="00A753B8" w:rsidRDefault="00A753B8" w:rsidP="00B90645">
            <w:pPr>
              <w:pStyle w:val="TableText"/>
            </w:pPr>
            <w:r>
              <w:t>Cost entry is capped at 999.</w:t>
            </w:r>
            <w:r w:rsidR="00E62957">
              <w:t>00</w:t>
            </w:r>
            <w:r>
              <w:t xml:space="preserve">. </w:t>
            </w:r>
            <w:r w:rsidRPr="00A753B8">
              <w:rPr>
                <w:vanish/>
              </w:rPr>
              <w:t>Defect 942523</w:t>
            </w:r>
          </w:p>
        </w:tc>
      </w:tr>
    </w:tbl>
    <w:p w14:paraId="6D344F38"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6C97226E" w14:textId="77777777" w:rsidTr="00CE4C78">
        <w:trPr>
          <w:cantSplit/>
          <w:tblHeader/>
        </w:trPr>
        <w:tc>
          <w:tcPr>
            <w:tcW w:w="9360" w:type="dxa"/>
            <w:shd w:val="clear" w:color="auto" w:fill="BFBFBF" w:themeFill="background1" w:themeFillShade="BF"/>
            <w:vAlign w:val="bottom"/>
          </w:tcPr>
          <w:p w14:paraId="0AD01A8C" w14:textId="77777777" w:rsidR="003F0440" w:rsidRPr="005E4113" w:rsidRDefault="003F0440" w:rsidP="002D126B">
            <w:pPr>
              <w:pStyle w:val="TableText"/>
              <w:rPr>
                <w:b/>
              </w:rPr>
            </w:pPr>
            <w:r w:rsidRPr="005E4113">
              <w:rPr>
                <w:b/>
              </w:rPr>
              <w:t>Patient Testing: Pending Task List</w:t>
            </w:r>
          </w:p>
        </w:tc>
      </w:tr>
      <w:tr w:rsidR="003F0440" w:rsidRPr="00725902" w14:paraId="093A037D"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10D14A" w14:textId="77777777" w:rsidR="003F0440" w:rsidRPr="00725902" w:rsidRDefault="003F0440" w:rsidP="002D126B">
            <w:pPr>
              <w:pStyle w:val="TableText"/>
            </w:pPr>
            <w:r>
              <w:t>This option is for diagnostic, blood component, and reflex test orders placed in or directed to the user’s division.</w:t>
            </w:r>
          </w:p>
        </w:tc>
      </w:tr>
      <w:tr w:rsidR="003F0440" w:rsidRPr="00725902" w14:paraId="719F90E4"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A492C7" w14:textId="77777777" w:rsidR="003F0440" w:rsidRPr="00725902" w:rsidRDefault="003F0440" w:rsidP="002D126B">
            <w:pPr>
              <w:pStyle w:val="TableText"/>
            </w:pPr>
            <w:r>
              <w:t>The PTL does not include daily quality control, equipment maintenance schedules, or pending ABO/Rh confirmation and auxiliary tests on red blood cell units.</w:t>
            </w:r>
          </w:p>
        </w:tc>
      </w:tr>
      <w:tr w:rsidR="00B16403" w:rsidRPr="00725902" w14:paraId="6C5C13F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86684D" w14:textId="77777777" w:rsidR="00B16403" w:rsidRDefault="00B16403" w:rsidP="002D126B">
            <w:pPr>
              <w:pStyle w:val="TableText"/>
            </w:pPr>
            <w:r w:rsidRPr="00696FA6">
              <w:t xml:space="preserve">Users may perform testing for no more than four patients in one </w:t>
            </w:r>
            <w:r>
              <w:t>VBECS</w:t>
            </w:r>
            <w:r w:rsidRPr="00696FA6">
              <w:t xml:space="preserve"> session.</w:t>
            </w:r>
          </w:p>
        </w:tc>
      </w:tr>
    </w:tbl>
    <w:p w14:paraId="2377855D"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D61D3" w14:paraId="39D8F62F" w14:textId="77777777" w:rsidTr="00CE4C78">
        <w:trPr>
          <w:cantSplit/>
          <w:tblHeader/>
        </w:trPr>
        <w:tc>
          <w:tcPr>
            <w:tcW w:w="9360" w:type="dxa"/>
            <w:shd w:val="clear" w:color="auto" w:fill="BFBFBF" w:themeFill="background1" w:themeFillShade="BF"/>
            <w:vAlign w:val="bottom"/>
          </w:tcPr>
          <w:p w14:paraId="3B43F9F5" w14:textId="77777777" w:rsidR="003F0440" w:rsidRPr="005D61D3" w:rsidRDefault="003F0440" w:rsidP="002D126B">
            <w:pPr>
              <w:pStyle w:val="TableText"/>
              <w:rPr>
                <w:b/>
              </w:rPr>
            </w:pPr>
            <w:r w:rsidRPr="005D61D3">
              <w:rPr>
                <w:b/>
              </w:rPr>
              <w:lastRenderedPageBreak/>
              <w:t>Patient Testing: Record a Crossmatch</w:t>
            </w:r>
          </w:p>
        </w:tc>
      </w:tr>
      <w:tr w:rsidR="003F0440" w:rsidRPr="00725902" w14:paraId="07362853" w14:textId="77777777" w:rsidTr="00CE4C78">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93C2B" w14:textId="77777777" w:rsidR="003F0440" w:rsidRPr="00725902" w:rsidRDefault="003F0440" w:rsidP="002D126B">
            <w:pPr>
              <w:pStyle w:val="TableText"/>
            </w:pPr>
            <w:r>
              <w:rPr>
                <w:rFonts w:cs="Arial"/>
                <w:vanish/>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tc>
      </w:tr>
      <w:tr w:rsidR="003F0440" w:rsidRPr="00725902" w14:paraId="298C27EC"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3B59E71" w14:textId="77777777" w:rsidR="003F0440" w:rsidRPr="00725902" w:rsidRDefault="003F0440" w:rsidP="002D126B">
            <w:pPr>
              <w:pStyle w:val="TableText"/>
            </w:pPr>
            <w:r>
              <w:t>This option does not include electronic crossmatch (eXM).</w:t>
            </w:r>
          </w:p>
        </w:tc>
      </w:tr>
    </w:tbl>
    <w:p w14:paraId="00E45E88" w14:textId="77777777" w:rsidR="000604AA" w:rsidRDefault="000604AA"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92276" w14:paraId="38B620FD" w14:textId="77777777" w:rsidTr="00CE4C78">
        <w:trPr>
          <w:cantSplit/>
          <w:tblHeader/>
        </w:trPr>
        <w:tc>
          <w:tcPr>
            <w:tcW w:w="9360" w:type="dxa"/>
            <w:shd w:val="clear" w:color="auto" w:fill="BFBFBF" w:themeFill="background1" w:themeFillShade="BF"/>
            <w:vAlign w:val="bottom"/>
          </w:tcPr>
          <w:p w14:paraId="4DBF2332" w14:textId="6A652A3E" w:rsidR="003F0440" w:rsidRPr="00092276" w:rsidRDefault="000604AA" w:rsidP="002D126B">
            <w:pPr>
              <w:pStyle w:val="TableText"/>
              <w:rPr>
                <w:b/>
              </w:rPr>
            </w:pPr>
            <w:r>
              <w:br w:type="page"/>
            </w:r>
            <w:r w:rsidR="003F0440" w:rsidRPr="00092276">
              <w:rPr>
                <w:b/>
              </w:rPr>
              <w:t>Patient Testing: Record a Direct Antiglobulin Test</w:t>
            </w:r>
          </w:p>
        </w:tc>
      </w:tr>
      <w:tr w:rsidR="003F0440" w:rsidRPr="00725902" w14:paraId="5E9C576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E1C4BFF" w14:textId="77777777" w:rsidR="003F0440" w:rsidRPr="00725902" w:rsidRDefault="003F0440" w:rsidP="002D126B">
            <w:pPr>
              <w:pStyle w:val="TableText"/>
            </w:pPr>
            <w:r>
              <w:t>VBECS does not check whether the lot and vial numbers selected for the positive control cells are different from those of the negative control cells.</w:t>
            </w:r>
          </w:p>
        </w:tc>
      </w:tr>
    </w:tbl>
    <w:p w14:paraId="4751CB5C" w14:textId="77777777" w:rsidR="00C46DE2" w:rsidRDefault="00C46DE2" w:rsidP="00C46DE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C46DE2" w:rsidRPr="001E53C1" w14:paraId="3DCE6FD5" w14:textId="77777777" w:rsidTr="00615FC3">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7F359F2" w14:textId="77777777" w:rsidR="00C46DE2" w:rsidRPr="001E53C1" w:rsidRDefault="00C46DE2" w:rsidP="00615FC3">
            <w:pPr>
              <w:pStyle w:val="TableText"/>
              <w:rPr>
                <w:b/>
              </w:rPr>
            </w:pPr>
            <w:r>
              <w:rPr>
                <w:b/>
              </w:rPr>
              <w:t>Patient Testing: Record a Patient ABO/Rh</w:t>
            </w:r>
          </w:p>
        </w:tc>
      </w:tr>
      <w:tr w:rsidR="00C46DE2" w14:paraId="5DEA01AC"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3A50CD4" w14:textId="66472201" w:rsidR="00C46DE2" w:rsidRDefault="00C46DE2" w:rsidP="00615FC3">
            <w:pPr>
              <w:pStyle w:val="PlainText"/>
            </w:pPr>
            <w:r w:rsidRPr="00D53DC3">
              <w:rPr>
                <w:rFonts w:ascii="Arial" w:eastAsia="Times New Roman" w:hAnsi="Arial"/>
                <w:sz w:val="18"/>
                <w:szCs w:val="24"/>
              </w:rPr>
              <w:t xml:space="preserve">VBECS does not allow entry of ABO or Rh subgroups as a </w:t>
            </w:r>
            <w:r w:rsidR="002B25A3" w:rsidRPr="002B25A3">
              <w:rPr>
                <w:rFonts w:ascii="Arial" w:eastAsia="Times New Roman" w:hAnsi="Arial"/>
                <w:sz w:val="18"/>
                <w:szCs w:val="24"/>
              </w:rPr>
              <w:t xml:space="preserve">'group' and/or 'type' </w:t>
            </w:r>
            <w:r w:rsidRPr="00D53DC3">
              <w:rPr>
                <w:rFonts w:ascii="Arial" w:eastAsia="Times New Roman" w:hAnsi="Arial"/>
                <w:sz w:val="18"/>
                <w:szCs w:val="24"/>
              </w:rPr>
              <w:t>when the previous blood group/type is "NR", indicating no recor</w:t>
            </w:r>
            <w:r>
              <w:rPr>
                <w:rFonts w:ascii="Arial" w:eastAsia="Times New Roman" w:hAnsi="Arial"/>
                <w:sz w:val="18"/>
                <w:szCs w:val="24"/>
              </w:rPr>
              <w:t>d of previous testing. S</w:t>
            </w:r>
            <w:r w:rsidRPr="00D53DC3">
              <w:rPr>
                <w:rFonts w:ascii="Arial" w:eastAsia="Times New Roman" w:hAnsi="Arial"/>
                <w:sz w:val="18"/>
                <w:szCs w:val="24"/>
              </w:rPr>
              <w:t xml:space="preserve">ee </w:t>
            </w:r>
            <w:r w:rsidRPr="00077082">
              <w:rPr>
                <w:rFonts w:ascii="Arial" w:eastAsia="Times New Roman" w:hAnsi="Arial"/>
                <w:i/>
                <w:iCs/>
                <w:sz w:val="18"/>
                <w:szCs w:val="24"/>
              </w:rPr>
              <w:t>FAQ ABO Subgroup Interpretation</w:t>
            </w:r>
            <w:r w:rsidRPr="00D53DC3">
              <w:rPr>
                <w:rFonts w:ascii="Arial" w:eastAsia="Times New Roman" w:hAnsi="Arial"/>
                <w:sz w:val="18"/>
                <w:szCs w:val="24"/>
              </w:rPr>
              <w:t xml:space="preserve"> and conta</w:t>
            </w:r>
            <w:r>
              <w:rPr>
                <w:rFonts w:ascii="Arial" w:eastAsia="Times New Roman" w:hAnsi="Arial"/>
                <w:sz w:val="18"/>
                <w:szCs w:val="24"/>
              </w:rPr>
              <w:t xml:space="preserve">ct the </w:t>
            </w:r>
            <w:r w:rsidRPr="00D53DC3">
              <w:rPr>
                <w:rFonts w:ascii="Arial" w:eastAsia="Times New Roman" w:hAnsi="Arial"/>
                <w:sz w:val="18"/>
                <w:szCs w:val="24"/>
              </w:rPr>
              <w:t>Service Desk for assistance, prior to adding patient transfusion records in VBECS, when possible.</w:t>
            </w:r>
            <w:r>
              <w:rPr>
                <w:rFonts w:ascii="Arial" w:eastAsia="Times New Roman" w:hAnsi="Arial"/>
                <w:sz w:val="18"/>
                <w:szCs w:val="24"/>
              </w:rPr>
              <w:t xml:space="preserve"> </w:t>
            </w:r>
            <w:r w:rsidRPr="00D53DC3">
              <w:rPr>
                <w:rFonts w:ascii="Arial" w:eastAsia="Times New Roman" w:hAnsi="Arial"/>
                <w:vanish/>
                <w:sz w:val="18"/>
                <w:szCs w:val="24"/>
              </w:rPr>
              <w:t>Defect 368207</w:t>
            </w:r>
          </w:p>
        </w:tc>
      </w:tr>
      <w:tr w:rsidR="00C46DE2" w14:paraId="742AD5DF"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4F0975" w14:textId="77777777" w:rsidR="00C46DE2" w:rsidRPr="00FE415F" w:rsidRDefault="00C46DE2" w:rsidP="00615FC3">
            <w:pPr>
              <w:pStyle w:val="TableText"/>
              <w:rPr>
                <w:b/>
              </w:rPr>
            </w:pPr>
            <w:r w:rsidRPr="00FE415F">
              <w:t xml:space="preserve">When the patient has no previous ABO/Rh test record (NR), the ABO/Rh test associated with the Type and Screen test (TAS) must be completed and saved prior to entering and saving a repeat ABO/Rh test on this specimen. </w:t>
            </w:r>
            <w:r w:rsidRPr="00FE415F">
              <w:rPr>
                <w:vanish/>
              </w:rPr>
              <w:t>Defect 231531</w:t>
            </w:r>
            <w:r>
              <w:rPr>
                <w:vanish/>
              </w:rPr>
              <w:t>, Task 474043</w:t>
            </w:r>
          </w:p>
        </w:tc>
      </w:tr>
      <w:tr w:rsidR="00C46DE2" w14:paraId="1C54C726"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A5BBC55" w14:textId="77777777" w:rsidR="00C46DE2" w:rsidRPr="00FE415F" w:rsidRDefault="00C46DE2" w:rsidP="00615FC3">
            <w:pPr>
              <w:pStyle w:val="TableText"/>
            </w:pPr>
            <w:r w:rsidRPr="00D25068">
              <w:t>A user is permitted to select two partially completed tests with different test phases (e.g., AHG only and All Phases) along with a not started test. The testing phase for the not started test will present as AHG only even though results for all phases are required by VBECS. Entering only AHG test results for the specimen that was not started and saving will result in a partially completed test that cannot be completed or invalidated.</w:t>
            </w:r>
            <w:r>
              <w:t xml:space="preserve"> Contact the Service Desk when you encounter this problem. Specimens that cannot be completed or invalidated require the attention of Tier 3 support. Select partially completed orders that have been previously saved with the same grid test pattern. Optionally, a not started test may be selected with these but must be tested with the same grid pattern to avoid the problem. </w:t>
            </w:r>
            <w:r w:rsidRPr="00027A1C">
              <w:rPr>
                <w:vanish/>
              </w:rPr>
              <w:t>Defect 210048</w:t>
            </w:r>
          </w:p>
        </w:tc>
      </w:tr>
      <w:tr w:rsidR="00C46DE2" w14:paraId="79EC2F93"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68AE1B" w14:textId="77777777" w:rsidR="00C46DE2" w:rsidRPr="00FE415F" w:rsidRDefault="00C46DE2" w:rsidP="00615FC3">
            <w:pPr>
              <w:pStyle w:val="TableText"/>
            </w:pPr>
            <w:r>
              <w:t xml:space="preserve">When canceling out of a Discrepant ABO/Rh Typing override, the interpretations are cleared, but the testing results are not cleared. Correct the testing entries or click the red ‘X’ to clear the testing results. </w:t>
            </w:r>
            <w:r w:rsidRPr="00027A1C">
              <w:rPr>
                <w:vanish/>
              </w:rPr>
              <w:t>Defect 2</w:t>
            </w:r>
            <w:r>
              <w:rPr>
                <w:vanish/>
              </w:rPr>
              <w:t>08974</w:t>
            </w:r>
          </w:p>
        </w:tc>
      </w:tr>
    </w:tbl>
    <w:p w14:paraId="2ED27F49"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171BE" w14:paraId="2BE38C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8623DA4" w14:textId="77777777" w:rsidR="003F0440" w:rsidRPr="002171BE" w:rsidRDefault="003F0440" w:rsidP="002D126B">
            <w:pPr>
              <w:pStyle w:val="TableText"/>
              <w:rPr>
                <w:b/>
              </w:rPr>
            </w:pPr>
            <w:r w:rsidRPr="002171BE">
              <w:rPr>
                <w:b/>
              </w:rPr>
              <w:t>Patient Tes</w:t>
            </w:r>
            <w:r w:rsidR="006941AE">
              <w:rPr>
                <w:b/>
              </w:rPr>
              <w:t xml:space="preserve">ting: Record a Patient Antibody </w:t>
            </w:r>
            <w:r w:rsidRPr="002171BE">
              <w:rPr>
                <w:b/>
              </w:rPr>
              <w:t>Screen</w:t>
            </w:r>
          </w:p>
        </w:tc>
      </w:tr>
      <w:tr w:rsidR="003F0440" w:rsidRPr="00725902" w14:paraId="46190C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E99D" w14:textId="77777777" w:rsidR="003F0440" w:rsidRDefault="003F0440" w:rsidP="002D126B">
            <w:pPr>
              <w:pStyle w:val="TableText"/>
            </w:pPr>
            <w:r>
              <w:t xml:space="preserve">This </w:t>
            </w:r>
            <w:r>
              <w:rPr>
                <w:szCs w:val="20"/>
              </w:rPr>
              <w:t>option is for patient testing only</w:t>
            </w:r>
            <w:r w:rsidR="001E7158">
              <w:rPr>
                <w:szCs w:val="20"/>
              </w:rPr>
              <w:t>.</w:t>
            </w:r>
          </w:p>
        </w:tc>
      </w:tr>
    </w:tbl>
    <w:p w14:paraId="49FA68ED" w14:textId="77777777" w:rsidR="0045199A" w:rsidRDefault="0045199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3DD5" w14:paraId="34844A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981C59" w14:textId="77777777" w:rsidR="003F0440" w:rsidRPr="00B16403" w:rsidRDefault="003F0440" w:rsidP="002D126B">
            <w:pPr>
              <w:pStyle w:val="TableText"/>
              <w:rPr>
                <w:b/>
              </w:rPr>
            </w:pPr>
            <w:r w:rsidRPr="00B16403">
              <w:rPr>
                <w:b/>
              </w:rPr>
              <w:t>Patient Testing: Record a Patient Antigen Typing</w:t>
            </w:r>
          </w:p>
        </w:tc>
      </w:tr>
      <w:tr w:rsidR="003F0440" w:rsidRPr="00725902" w14:paraId="53715F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27944E" w14:textId="4670E9DA" w:rsidR="003F0440" w:rsidRPr="0045199A" w:rsidRDefault="003F0440" w:rsidP="002D126B">
            <w:pPr>
              <w:pStyle w:val="TableText"/>
            </w:pPr>
            <w:r w:rsidRPr="0045199A">
              <w:t xml:space="preserve">Antigen typing applies only to red blood cell antigens. </w:t>
            </w:r>
            <w:r w:rsidR="002B25A3" w:rsidRPr="002B25A3">
              <w:t>(This option does not address platelet, HLA, or IgA antigens.)</w:t>
            </w:r>
          </w:p>
        </w:tc>
      </w:tr>
      <w:tr w:rsidR="003F0440" w:rsidRPr="00725902" w14:paraId="5849E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632867" w14:textId="77777777" w:rsidR="003F0440" w:rsidRPr="0045199A" w:rsidRDefault="003F0440" w:rsidP="002D126B">
            <w:pPr>
              <w:pStyle w:val="TableText"/>
            </w:pPr>
            <w:r w:rsidRPr="0045199A">
              <w:t>VBECS does not check:</w:t>
            </w:r>
          </w:p>
          <w:p w14:paraId="5A11E02B" w14:textId="77777777" w:rsidR="003F0440" w:rsidRPr="0045199A" w:rsidRDefault="00B84DA4" w:rsidP="002D126B">
            <w:pPr>
              <w:pStyle w:val="TableTextBullet"/>
            </w:pPr>
            <w:r w:rsidRPr="0045199A">
              <w:t>The patient antigen typing with the specificity of any patient’s antibodies entered</w:t>
            </w:r>
            <w:r w:rsidR="005C1078" w:rsidRPr="0045199A">
              <w:t>.</w:t>
            </w:r>
          </w:p>
          <w:p w14:paraId="7AD1A8E9" w14:textId="77777777" w:rsidR="003F0440" w:rsidRPr="0045199A" w:rsidRDefault="003F0440" w:rsidP="002D126B">
            <w:pPr>
              <w:pStyle w:val="TableTextBullet"/>
            </w:pPr>
            <w:r w:rsidRPr="0045199A">
              <w:t>Whether the lot and vial numbers selected for the positive control cells differ from those of the negative control cells</w:t>
            </w:r>
            <w:r w:rsidR="005C1078" w:rsidRPr="0045199A">
              <w:t>.</w:t>
            </w:r>
          </w:p>
        </w:tc>
      </w:tr>
      <w:tr w:rsidR="003F0440" w:rsidRPr="00725902" w14:paraId="74591E0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5BA3A3E" w14:textId="77777777" w:rsidR="003F0440" w:rsidRPr="0045199A" w:rsidRDefault="003F0440" w:rsidP="002D126B">
            <w:pPr>
              <w:pStyle w:val="TableText"/>
            </w:pPr>
            <w:r w:rsidRPr="0045199A">
              <w:t>The patient antigen typing result is not available to CPRS.</w:t>
            </w:r>
          </w:p>
        </w:tc>
      </w:tr>
    </w:tbl>
    <w:p w14:paraId="19E1297E" w14:textId="77777777" w:rsidR="00ED3C7A" w:rsidRDefault="00ED3C7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492C01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017680" w14:textId="77777777" w:rsidR="003F0440" w:rsidRPr="001C59D2" w:rsidRDefault="003F0440" w:rsidP="002D126B">
            <w:pPr>
              <w:pStyle w:val="TableText"/>
              <w:rPr>
                <w:b/>
              </w:rPr>
            </w:pPr>
            <w:r w:rsidRPr="001C59D2">
              <w:rPr>
                <w:b/>
              </w:rPr>
              <w:t>Patient Testing: Record a Transfusion Reaction Workup</w:t>
            </w:r>
          </w:p>
        </w:tc>
      </w:tr>
      <w:tr w:rsidR="003F0440" w:rsidRPr="00725902" w14:paraId="418EF4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3E1A97" w14:textId="77777777" w:rsidR="003F0440" w:rsidRPr="00725902" w:rsidRDefault="00814F27" w:rsidP="00814F27">
            <w:pPr>
              <w:pStyle w:val="TableText"/>
            </w:pPr>
            <w:r>
              <w:t xml:space="preserve">Adverse reactions to transfusion detected at a later time (disease transmission) are not recorded through this option. Refer </w:t>
            </w:r>
            <w:r w:rsidR="00357A19">
              <w:t>to Transfusion</w:t>
            </w:r>
            <w:r>
              <w:t xml:space="preserve"> Complications Report.</w:t>
            </w:r>
          </w:p>
        </w:tc>
      </w:tr>
      <w:tr w:rsidR="00F8403B" w:rsidRPr="00725902" w14:paraId="7E0810E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4ECC80" w14:textId="77777777" w:rsidR="00F8403B" w:rsidRDefault="00F8403B" w:rsidP="00814F27">
            <w:pPr>
              <w:pStyle w:val="TableText"/>
            </w:pPr>
            <w:r>
              <w:t>Each tab is completed and saved and is not editable. To change information on a previously completed tab, the TRW must be invalidated and corrected in its entirety.</w:t>
            </w:r>
          </w:p>
        </w:tc>
      </w:tr>
      <w:tr w:rsidR="005C2727" w:rsidRPr="00725902" w14:paraId="69934FA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F35F14" w14:textId="1FC54CE1" w:rsidR="005C2727" w:rsidRDefault="005C2727" w:rsidP="005C2727">
            <w:pPr>
              <w:pStyle w:val="TableText"/>
            </w:pPr>
            <w:r>
              <w:t xml:space="preserve">If comments are entered when a TRW is finalized as type "Other,” they won’t show on the CPRS Blood Bank Report. </w:t>
            </w:r>
            <w:r w:rsidRPr="00783514">
              <w:rPr>
                <w:vanish/>
              </w:rPr>
              <w:t>Defect 210332</w:t>
            </w:r>
          </w:p>
        </w:tc>
      </w:tr>
    </w:tbl>
    <w:p w14:paraId="167E70C7"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66663" w14:paraId="5A3CA4A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BB92E94" w14:textId="77777777" w:rsidR="003F0440" w:rsidRPr="00966663" w:rsidRDefault="003F0440" w:rsidP="002D126B">
            <w:pPr>
              <w:pStyle w:val="TableText"/>
              <w:rPr>
                <w:b/>
              </w:rPr>
            </w:pPr>
            <w:r w:rsidRPr="00966663">
              <w:rPr>
                <w:b/>
              </w:rPr>
              <w:lastRenderedPageBreak/>
              <w:t>Patient Testing Worklist and Testing Worklist Reports</w:t>
            </w:r>
          </w:p>
        </w:tc>
      </w:tr>
      <w:tr w:rsidR="003F0440" w:rsidRPr="00725902" w14:paraId="138E1C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85800B" w14:textId="77777777" w:rsidR="003F0440" w:rsidRDefault="003F0440" w:rsidP="002D126B">
            <w:pPr>
              <w:pStyle w:val="TableText"/>
            </w:pPr>
            <w:r>
              <w:t>Reports do not include Transfusion Reaction Workup (TRW) test results.</w:t>
            </w:r>
          </w:p>
        </w:tc>
      </w:tr>
      <w:tr w:rsidR="003F0440" w:rsidRPr="00725902" w14:paraId="25DC515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FAB41B" w14:textId="77777777" w:rsidR="003F0440" w:rsidRDefault="00B97396" w:rsidP="002D126B">
            <w:pPr>
              <w:pStyle w:val="TableText"/>
            </w:pPr>
            <w:r>
              <w:t>VBECS does not accommodate online review (verification, signature) of reports.</w:t>
            </w:r>
          </w:p>
        </w:tc>
      </w:tr>
      <w:tr w:rsidR="000751A2" w:rsidRPr="00725902" w14:paraId="3AED081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150918F" w14:textId="4A8BCF23" w:rsidR="000751A2" w:rsidRDefault="000751A2" w:rsidP="002D126B">
            <w:pPr>
              <w:pStyle w:val="TableText"/>
            </w:pPr>
            <w:r>
              <w:t>The Rack QC Testing Worklist Report section of the Testing Worklist Report does not contain a Processed By column. Maintain the original testing records for the QC that was performed offline with the testing tech information.  Do not change the testing tech name when entering results in VBECS so that the logged in tech that enters the results is included on the Testing Worklist report</w:t>
            </w:r>
            <w:r w:rsidR="00E47EDD">
              <w:t xml:space="preserve">. </w:t>
            </w:r>
            <w:r w:rsidR="00E47EDD" w:rsidRPr="00E47EDD">
              <w:rPr>
                <w:vanish/>
              </w:rPr>
              <w:t>Defect 214073</w:t>
            </w:r>
          </w:p>
        </w:tc>
      </w:tr>
    </w:tbl>
    <w:p w14:paraId="102A49A9" w14:textId="7777777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D40D4" w:rsidRPr="001C59D2" w14:paraId="7C8AA0B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15888F3" w14:textId="77777777" w:rsidR="006D40D4" w:rsidRPr="001C59D2" w:rsidRDefault="006D40D4" w:rsidP="009532BE">
            <w:pPr>
              <w:pStyle w:val="TableText"/>
              <w:rPr>
                <w:b/>
              </w:rPr>
            </w:pPr>
            <w:r>
              <w:rPr>
                <w:b/>
              </w:rPr>
              <w:t>Post-Transfusion Information</w:t>
            </w:r>
          </w:p>
        </w:tc>
      </w:tr>
      <w:tr w:rsidR="006D40D4" w:rsidRPr="00725902" w14:paraId="065AF73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4E03A" w14:textId="77777777" w:rsidR="006D40D4" w:rsidRPr="00725902" w:rsidRDefault="006D40D4" w:rsidP="006D40D4">
            <w:pPr>
              <w:pStyle w:val="TableText"/>
            </w:pPr>
            <w:r>
              <w:t xml:space="preserve">VBECS cannot update a unit record to presumed transfused when a </w:t>
            </w:r>
            <w:r w:rsidRPr="004D0C24">
              <w:t xml:space="preserve">user has </w:t>
            </w:r>
            <w:r>
              <w:t xml:space="preserve">that </w:t>
            </w:r>
            <w:r w:rsidRPr="004D0C24">
              <w:t>unit record open (locked) in Enter Post Transfusion Information</w:t>
            </w:r>
            <w:r>
              <w:t xml:space="preserve">. VBECS will attempt to update the unit the next </w:t>
            </w:r>
            <w:r w:rsidRPr="004D0C24">
              <w:t xml:space="preserve">time the </w:t>
            </w:r>
            <w:r>
              <w:t xml:space="preserve">presumed transfused background routing </w:t>
            </w:r>
            <w:r w:rsidRPr="004D0C24">
              <w:t>runs if the unit remains in an issued status.</w:t>
            </w:r>
            <w:r>
              <w:t xml:space="preserve"> </w:t>
            </w:r>
            <w:r>
              <w:rPr>
                <w:vanish/>
              </w:rPr>
              <w:t>DR 3089</w:t>
            </w:r>
            <w:r w:rsidRPr="004D0C24" w:rsidDel="004D0C24">
              <w:t xml:space="preserve"> </w:t>
            </w:r>
          </w:p>
        </w:tc>
      </w:tr>
      <w:tr w:rsidR="00F20C8C" w:rsidRPr="00725902" w14:paraId="689AB8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CA292E" w14:textId="3603DE42" w:rsidR="00F20C8C" w:rsidRDefault="00BC04D1" w:rsidP="006D40D4">
            <w:pPr>
              <w:pStyle w:val="TableText"/>
            </w:pPr>
            <w:r w:rsidRPr="00BC04D1">
              <w:t>If post-transfusion information is not transmitted to VBECS by the BCE COTS interface, the user will need to enter that information to update the record from presumed transfused to transfused</w:t>
            </w:r>
            <w:r w:rsidR="00F20C8C">
              <w:t>.</w:t>
            </w:r>
          </w:p>
        </w:tc>
      </w:tr>
      <w:tr w:rsidR="000E2D6A" w:rsidRPr="00725902" w14:paraId="510DDE6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AEA573" w14:textId="77777777" w:rsidR="000E2D6A" w:rsidRDefault="006822AA" w:rsidP="006822AA">
            <w:pPr>
              <w:pStyle w:val="TableText"/>
            </w:pPr>
            <w:r>
              <w:t>The transfusion comments and volume transfused entered in the Transfusion Verification application as an update to a completed transfusion are not sent to VBECS.</w:t>
            </w:r>
            <w:r w:rsidRPr="006822AA">
              <w:rPr>
                <w:vanish/>
              </w:rPr>
              <w:t xml:space="preserve"> DR 4173 </w:t>
            </w:r>
          </w:p>
        </w:tc>
      </w:tr>
      <w:tr w:rsidR="00D26DD7" w:rsidRPr="00725902" w14:paraId="08E845A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191285" w14:textId="103F6B41" w:rsidR="00D26DD7" w:rsidRDefault="00D26DD7" w:rsidP="00D26DD7">
            <w:pPr>
              <w:pStyle w:val="TableText"/>
            </w:pPr>
            <w:r>
              <w:t xml:space="preserve">Transfusion reaction symptoms are not </w:t>
            </w:r>
            <w:r w:rsidR="00BC04D1">
              <w:t>provided</w:t>
            </w:r>
            <w:r>
              <w:t xml:space="preserve"> to VBECS by the Transfusion Verification application unless a transfusion reaction has also been indicated for that event.</w:t>
            </w:r>
            <w:r w:rsidRPr="00D26DD7">
              <w:rPr>
                <w:vanish/>
              </w:rPr>
              <w:t xml:space="preserve"> DR 4217</w:t>
            </w:r>
          </w:p>
        </w:tc>
      </w:tr>
    </w:tbl>
    <w:p w14:paraId="1AB36EFE" w14:textId="760F28F8"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605B1" w:rsidRPr="001C59D2" w14:paraId="1A6D2188" w14:textId="77777777" w:rsidTr="008E15B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737C1C" w14:textId="77777777" w:rsidR="00E605B1" w:rsidRPr="001C59D2" w:rsidRDefault="00E605B1" w:rsidP="008E15BE">
            <w:pPr>
              <w:pStyle w:val="TableText"/>
              <w:rPr>
                <w:b/>
              </w:rPr>
            </w:pPr>
            <w:r>
              <w:br w:type="page"/>
            </w:r>
            <w:r w:rsidRPr="001C59D2">
              <w:rPr>
                <w:b/>
              </w:rPr>
              <w:t>Print Unit Caution Tag &amp; Transfusion Record Form</w:t>
            </w:r>
          </w:p>
        </w:tc>
      </w:tr>
      <w:tr w:rsidR="00E605B1" w:rsidRPr="00725902" w14:paraId="4E622658"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AC0C56" w14:textId="77777777" w:rsidR="00E605B1" w:rsidRPr="00725902" w:rsidRDefault="00E605B1" w:rsidP="008E15BE">
            <w:pPr>
              <w:pStyle w:val="TableText"/>
            </w:pPr>
            <w:r>
              <w:t>VBECS cannot reprint a Caution Tag on an expired unit or expired patient order.</w:t>
            </w:r>
          </w:p>
        </w:tc>
      </w:tr>
      <w:tr w:rsidR="00E605B1" w14:paraId="2BB8F603"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65D569" w14:textId="77777777" w:rsidR="00E605B1" w:rsidRDefault="00E605B1" w:rsidP="008E15BE">
            <w:pPr>
              <w:pStyle w:val="TableText"/>
            </w:pPr>
            <w:r>
              <w:t xml:space="preserve">VBECS does not print a unit’s </w:t>
            </w:r>
            <w:r w:rsidRPr="00D47D4A">
              <w:t>biohazardous</w:t>
            </w:r>
            <w:r>
              <w:t xml:space="preserve"> status on the BTRF or Caution Tag</w:t>
            </w:r>
            <w:r w:rsidRPr="00D47D4A">
              <w:t>.</w:t>
            </w:r>
          </w:p>
        </w:tc>
      </w:tr>
      <w:tr w:rsidR="00F73E1B" w14:paraId="68A6F69A"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C506E8" w14:textId="36A344F9" w:rsidR="00F73E1B" w:rsidRDefault="00F73E1B" w:rsidP="008E15BE">
            <w:pPr>
              <w:pStyle w:val="TableText"/>
            </w:pPr>
            <w:r>
              <w:t xml:space="preserve">If a unit has been crossmatched by two different technologists, the Compatibility Interpretation section of the BTRF displays the technologist that performed the earlier XM testing. Handwrite the missing current technologist initials on the printed BTRF. </w:t>
            </w:r>
            <w:r w:rsidRPr="00F73E1B">
              <w:rPr>
                <w:vanish/>
              </w:rPr>
              <w:t>Defect 210195</w:t>
            </w:r>
          </w:p>
        </w:tc>
      </w:tr>
    </w:tbl>
    <w:p w14:paraId="3EA39932" w14:textId="3CB7F969" w:rsidR="00E605B1" w:rsidRDefault="00E605B1"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26430" w14:paraId="08EB522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0B5C8F5" w14:textId="77777777" w:rsidR="003F0440" w:rsidRPr="00326430" w:rsidRDefault="003F0440" w:rsidP="002D126B">
            <w:pPr>
              <w:pStyle w:val="TableText"/>
              <w:rPr>
                <w:b/>
              </w:rPr>
            </w:pPr>
            <w:r w:rsidRPr="00326430">
              <w:rPr>
                <w:b/>
              </w:rPr>
              <w:t>Pro</w:t>
            </w:r>
            <w:r>
              <w:rPr>
                <w:b/>
              </w:rPr>
              <w:t>longed Transfusion Time Report</w:t>
            </w:r>
          </w:p>
        </w:tc>
      </w:tr>
      <w:tr w:rsidR="003F0440" w:rsidRPr="00725902" w14:paraId="399E55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6BC1C81" w14:textId="77777777" w:rsidR="003F0440" w:rsidRDefault="003F0440" w:rsidP="002D126B">
            <w:pPr>
              <w:pStyle w:val="TableText"/>
            </w:pPr>
            <w:r>
              <w:t>This report does not include p</w:t>
            </w:r>
            <w:r w:rsidR="00042B1F">
              <w:rPr>
                <w:rStyle w:val="ListBulletChar"/>
              </w:rPr>
              <w:t>r</w:t>
            </w:r>
            <w:r>
              <w:t>esumed transfused units or units issued to a remote storage location.</w:t>
            </w:r>
          </w:p>
        </w:tc>
      </w:tr>
      <w:tr w:rsidR="006A4AFF" w:rsidRPr="00725902" w14:paraId="05C935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2F4DD1" w14:textId="1D2A9EA4" w:rsidR="006A4AFF" w:rsidRPr="006A4AFF" w:rsidRDefault="006A4AFF" w:rsidP="006A4AFF">
            <w:pPr>
              <w:pStyle w:val="TableText"/>
              <w:rPr>
                <w:sz w:val="20"/>
                <w:szCs w:val="20"/>
              </w:rPr>
            </w:pPr>
            <w:r>
              <w:t xml:space="preserve">Units issued to a remote storage location will display on the report when the transfusion start time is greater than 30 minutes after issue time. </w:t>
            </w:r>
            <w:r w:rsidRPr="00244DDA">
              <w:rPr>
                <w:vanish/>
              </w:rPr>
              <w:t>Defect 209735</w:t>
            </w:r>
          </w:p>
        </w:tc>
      </w:tr>
      <w:tr w:rsidR="006A4AFF" w:rsidRPr="00725902" w14:paraId="67A8AFD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5FB4D1" w14:textId="64A28025" w:rsidR="006A4AFF" w:rsidRDefault="006A4AFF" w:rsidP="002D126B">
            <w:pPr>
              <w:pStyle w:val="TableText"/>
            </w:pPr>
            <w:r>
              <w:t xml:space="preserve">Units issued to a remote storage location should not display to have a prolonged issue time as this setting indicates that the unit is issued to a monitored location maintained at the proper temperature for the product type. </w:t>
            </w:r>
            <w:r w:rsidRPr="006A4AFF">
              <w:rPr>
                <w:vanish/>
              </w:rPr>
              <w:t>Defect 209735</w:t>
            </w:r>
          </w:p>
        </w:tc>
      </w:tr>
      <w:tr w:rsidR="007C518F" w:rsidRPr="00725902" w14:paraId="11807A3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3997C6" w14:textId="56B960F4" w:rsidR="007C518F" w:rsidRDefault="007C518F" w:rsidP="002D126B">
            <w:pPr>
              <w:pStyle w:val="TableText"/>
            </w:pPr>
            <w:r>
              <w:t xml:space="preserve">The Delayed (minutes) column on the report is not subtracting 30 minutes when the Transfusion Start time is greater  than 30 minutes from the time of issue. Handwrite the correct Delayed (minutes) on the printed report. </w:t>
            </w:r>
            <w:r w:rsidRPr="007C518F">
              <w:rPr>
                <w:vanish/>
              </w:rPr>
              <w:t>Defect 209431</w:t>
            </w:r>
          </w:p>
        </w:tc>
      </w:tr>
    </w:tbl>
    <w:p w14:paraId="0A3E6640" w14:textId="77777777" w:rsidR="00BE53DD" w:rsidRDefault="00BE53DD"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042B1F" w:rsidRPr="00326430" w14:paraId="755362B7" w14:textId="77777777" w:rsidTr="00D9331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6E549F8" w14:textId="77777777" w:rsidR="00042B1F" w:rsidRPr="00326430" w:rsidRDefault="00042B1F" w:rsidP="00D93317">
            <w:pPr>
              <w:pStyle w:val="TableText"/>
              <w:rPr>
                <w:b/>
              </w:rPr>
            </w:pPr>
            <w:r>
              <w:rPr>
                <w:b/>
              </w:rPr>
              <w:t>Reagents</w:t>
            </w:r>
          </w:p>
        </w:tc>
      </w:tr>
      <w:tr w:rsidR="00042B1F" w14:paraId="458D8F4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AFF0C74"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VBECS does not display a reagent report by invoice number.</w:t>
            </w:r>
          </w:p>
        </w:tc>
      </w:tr>
      <w:tr w:rsidR="00042B1F" w14:paraId="4E9234A1"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BED8D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 unsatisfactory portion of a shipment must be recorded individually.</w:t>
            </w:r>
          </w:p>
        </w:tc>
      </w:tr>
      <w:tr w:rsidR="00042B1F" w14:paraId="6511C8CF"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F9F3F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There is no retrospective data entry or user selection for these options.</w:t>
            </w:r>
          </w:p>
        </w:tc>
      </w:tr>
      <w:tr w:rsidR="00042B1F" w14:paraId="3622BDD7"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51AB3A" w14:textId="77777777" w:rsidR="00042B1F" w:rsidRPr="00042B1F" w:rsidRDefault="00042B1F" w:rsidP="00042B1F">
            <w:pPr>
              <w:pStyle w:val="ListBullet"/>
              <w:numPr>
                <w:ilvl w:val="0"/>
                <w:numId w:val="0"/>
              </w:numPr>
            </w:pPr>
            <w:r w:rsidRPr="00042B1F">
              <w:rPr>
                <w:rFonts w:ascii="Arial" w:hAnsi="Arial" w:cs="Arial"/>
                <w:sz w:val="18"/>
                <w:szCs w:val="18"/>
              </w:rPr>
              <w:t>Each site must set a standard for recording quantity: it may use the number of cases or the number of units within the cases.</w:t>
            </w:r>
          </w:p>
        </w:tc>
      </w:tr>
      <w:tr w:rsidR="00042B1F" w14:paraId="5580E09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D9BEFD" w14:textId="77777777" w:rsidR="00042B1F" w:rsidRPr="00042B1F" w:rsidRDefault="00042B1F" w:rsidP="00042B1F">
            <w:pPr>
              <w:pStyle w:val="ListBullet"/>
              <w:numPr>
                <w:ilvl w:val="0"/>
                <w:numId w:val="0"/>
              </w:numPr>
            </w:pPr>
            <w:r w:rsidRPr="00042B1F">
              <w:rPr>
                <w:rFonts w:ascii="Arial" w:hAnsi="Arial" w:cs="Arial"/>
                <w:sz w:val="18"/>
                <w:szCs w:val="18"/>
              </w:rPr>
              <w:t>When a user enters a lot number in the Lot # field and clicks the magnifying glass, VBECS displays only the first instance of a duplicate lot number.</w:t>
            </w:r>
            <w:r>
              <w:t xml:space="preserve"> </w:t>
            </w:r>
            <w:r w:rsidRPr="00F759ED">
              <w:rPr>
                <w:vanish/>
              </w:rPr>
              <w:t>(UserDoc Task 1083)</w:t>
            </w:r>
          </w:p>
        </w:tc>
      </w:tr>
      <w:tr w:rsidR="006A6CFF" w14:paraId="255B0D2E"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9BE2DE" w14:textId="6795D18E" w:rsidR="006A6CFF" w:rsidRPr="00042B1F" w:rsidRDefault="006A6CFF" w:rsidP="00042B1F">
            <w:pPr>
              <w:pStyle w:val="ListBullet"/>
              <w:numPr>
                <w:ilvl w:val="0"/>
                <w:numId w:val="0"/>
              </w:numPr>
              <w:rPr>
                <w:rFonts w:ascii="Arial" w:hAnsi="Arial" w:cs="Arial"/>
                <w:sz w:val="18"/>
                <w:szCs w:val="18"/>
              </w:rPr>
            </w:pPr>
            <w:r w:rsidRPr="006A6CFF">
              <w:rPr>
                <w:rFonts w:ascii="Arial" w:hAnsi="Arial" w:cs="Arial"/>
                <w:sz w:val="18"/>
                <w:szCs w:val="18"/>
              </w:rPr>
              <w:lastRenderedPageBreak/>
              <w:t xml:space="preserve">When reagents with the same Manufacturer Reagent Name and Lot Number are entered from multiple invoices, only one of the reagents is visible for update. </w:t>
            </w:r>
            <w:r w:rsidRPr="006A6CFF">
              <w:rPr>
                <w:rFonts w:ascii="Arial" w:hAnsi="Arial" w:cs="Arial"/>
                <w:vanish/>
                <w:sz w:val="18"/>
                <w:szCs w:val="18"/>
              </w:rPr>
              <w:t>Defect 209141</w:t>
            </w:r>
          </w:p>
        </w:tc>
      </w:tr>
      <w:tr w:rsidR="006A6CFF" w14:paraId="4DD0E8D8"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701B38" w14:textId="720E55FE" w:rsidR="006A6CFF" w:rsidRPr="00042B1F" w:rsidRDefault="00A949F2" w:rsidP="00042B1F">
            <w:pPr>
              <w:pStyle w:val="ListBullet"/>
              <w:numPr>
                <w:ilvl w:val="0"/>
                <w:numId w:val="0"/>
              </w:numPr>
              <w:rPr>
                <w:rFonts w:ascii="Arial" w:hAnsi="Arial" w:cs="Arial"/>
                <w:sz w:val="18"/>
                <w:szCs w:val="18"/>
              </w:rPr>
            </w:pPr>
            <w:r w:rsidRPr="00A949F2">
              <w:rPr>
                <w:rFonts w:ascii="Arial" w:hAnsi="Arial" w:cs="Arial"/>
                <w:sz w:val="18"/>
                <w:szCs w:val="18"/>
              </w:rPr>
              <w:t>Reagents that have had their Number of Vials Available set to zero (0) are no longer visible on the Update Reagent Inventory screen or the Reagent Inventory Report. Print a copy of the Reagent Inventory Report prior to setting the Number of Vials Available to zero (0</w:t>
            </w:r>
            <w:r>
              <w:rPr>
                <w:rFonts w:ascii="Arial" w:hAnsi="Arial" w:cs="Arial"/>
                <w:sz w:val="18"/>
                <w:szCs w:val="18"/>
              </w:rPr>
              <w:t xml:space="preserve">). </w:t>
            </w:r>
            <w:r w:rsidRPr="00A949F2">
              <w:rPr>
                <w:rFonts w:ascii="Arial" w:hAnsi="Arial" w:cs="Arial"/>
                <w:vanish/>
                <w:sz w:val="18"/>
                <w:szCs w:val="18"/>
              </w:rPr>
              <w:t>Defects 208863, 208890, 210063</w:t>
            </w:r>
          </w:p>
        </w:tc>
      </w:tr>
    </w:tbl>
    <w:p w14:paraId="567ABA31" w14:textId="77777777" w:rsidR="00042B1F" w:rsidRDefault="00042B1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C386A" w14:paraId="3C1572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D45DBFE" w14:textId="77777777" w:rsidR="003F0440" w:rsidRPr="004C386A" w:rsidRDefault="003F0440" w:rsidP="002D126B">
            <w:pPr>
              <w:pStyle w:val="TableText"/>
              <w:rPr>
                <w:b/>
              </w:rPr>
            </w:pPr>
            <w:r w:rsidRPr="004C386A">
              <w:rPr>
                <w:b/>
              </w:rPr>
              <w:t>Release Units From Patient Assignment</w:t>
            </w:r>
          </w:p>
        </w:tc>
      </w:tr>
      <w:tr w:rsidR="003F0440" w:rsidRPr="00725902" w14:paraId="296FFF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BAB1B" w14:textId="77777777" w:rsidR="003F0440" w:rsidRDefault="003F0440" w:rsidP="002D126B">
            <w:pPr>
              <w:pStyle w:val="TableText"/>
            </w:pPr>
            <w:r>
              <w:t>This option does not apply to the release of patient restrictions (autologous and directed).</w:t>
            </w:r>
          </w:p>
        </w:tc>
      </w:tr>
      <w:tr w:rsidR="003F0440" w:rsidRPr="00725902" w14:paraId="59E9746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B16E83" w14:textId="77777777" w:rsidR="003F0440" w:rsidRDefault="003F0440" w:rsidP="002D126B">
            <w:pPr>
              <w:pStyle w:val="TableText"/>
            </w:pPr>
            <w:r>
              <w:t>When a patient, specimen</w:t>
            </w:r>
            <w:r w:rsidR="00112C24">
              <w:t>,</w:t>
            </w:r>
            <w:r>
              <w:t xml:space="preserve"> or blood unit expires, VBECS does not automatically release an assigned blood unit: a user must release the unit.</w:t>
            </w:r>
          </w:p>
        </w:tc>
      </w:tr>
    </w:tbl>
    <w:p w14:paraId="6C245575" w14:textId="77777777" w:rsidR="00152357" w:rsidRDefault="00152357"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21F0EAF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8EF5DDE" w14:textId="77777777" w:rsidR="003F0440" w:rsidRPr="001C59D2" w:rsidRDefault="003F0440" w:rsidP="002D126B">
            <w:pPr>
              <w:pStyle w:val="TableText"/>
              <w:rPr>
                <w:b/>
              </w:rPr>
            </w:pPr>
            <w:r w:rsidRPr="001C59D2">
              <w:rPr>
                <w:b/>
              </w:rPr>
              <w:t>Remove Final Status</w:t>
            </w:r>
          </w:p>
        </w:tc>
      </w:tr>
      <w:tr w:rsidR="003F0440" w:rsidRPr="00725902" w14:paraId="4ECB9DF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71B222" w14:textId="77777777" w:rsidR="003F0440" w:rsidRPr="00725902" w:rsidRDefault="003F0440" w:rsidP="002D126B">
            <w:pPr>
              <w:pStyle w:val="TableText"/>
            </w:pPr>
            <w:r>
              <w:t>This option applies only to the release of units in final statuses.</w:t>
            </w:r>
          </w:p>
        </w:tc>
      </w:tr>
    </w:tbl>
    <w:p w14:paraId="7478D25E" w14:textId="77777777" w:rsidR="0074084F" w:rsidRDefault="0074084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20DAE" w:rsidRPr="002B0F17" w14:paraId="1506254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77029F3" w14:textId="77777777" w:rsidR="00320DAE" w:rsidRPr="002B0F17" w:rsidRDefault="00320DAE" w:rsidP="004F5220">
            <w:pPr>
              <w:pStyle w:val="TableText"/>
              <w:rPr>
                <w:b/>
              </w:rPr>
            </w:pPr>
            <w:r>
              <w:rPr>
                <w:b/>
              </w:rPr>
              <w:t>Select Units</w:t>
            </w:r>
          </w:p>
        </w:tc>
      </w:tr>
      <w:tr w:rsidR="001803E2" w:rsidRPr="002B0F17" w14:paraId="2F60E302" w14:textId="77777777">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D19C2B" w14:textId="24217996" w:rsidR="001803E2" w:rsidRDefault="00BC04D1" w:rsidP="00320DAE">
            <w:pPr>
              <w:pStyle w:val="TableText"/>
            </w:pPr>
            <w:r>
              <w:rPr>
                <w:vanish/>
              </w:rPr>
              <w:t xml:space="preserve">Task 1,126 </w:t>
            </w:r>
            <w:r w:rsidR="001803E2">
              <w:t>When a u</w:t>
            </w:r>
            <w:r w:rsidR="001803E2" w:rsidRPr="00320DAE">
              <w:t>ser check</w:t>
            </w:r>
            <w:r w:rsidR="001803E2">
              <w:t>s</w:t>
            </w:r>
            <w:r w:rsidR="001803E2" w:rsidRPr="00320DAE">
              <w:t xml:space="preserve"> the </w:t>
            </w:r>
            <w:r w:rsidR="001803E2">
              <w:t>“</w:t>
            </w:r>
            <w:r w:rsidR="001803E2" w:rsidRPr="00320DAE">
              <w:t xml:space="preserve">D </w:t>
            </w:r>
            <w:r w:rsidR="001803E2">
              <w:t>P</w:t>
            </w:r>
            <w:r w:rsidR="001803E2" w:rsidRPr="00320DAE">
              <w:t>os</w:t>
            </w:r>
            <w:r w:rsidR="001803E2">
              <w:t>”</w:t>
            </w:r>
            <w:r w:rsidR="001803E2" w:rsidRPr="00320DAE">
              <w:t xml:space="preserve"> or </w:t>
            </w:r>
            <w:r w:rsidR="001803E2">
              <w:t>“</w:t>
            </w:r>
            <w:r w:rsidR="001803E2" w:rsidRPr="00320DAE">
              <w:t xml:space="preserve">D </w:t>
            </w:r>
            <w:r w:rsidR="001803E2">
              <w:t>N</w:t>
            </w:r>
            <w:r w:rsidR="001803E2" w:rsidRPr="00320DAE">
              <w:t>eg</w:t>
            </w:r>
            <w:r w:rsidR="001803E2">
              <w:t>”</w:t>
            </w:r>
            <w:r w:rsidR="001803E2" w:rsidRPr="00320DAE">
              <w:t xml:space="preserve"> check box to modify a search for blood</w:t>
            </w:r>
            <w:r w:rsidR="001803E2">
              <w:t>, VBECS returns no units, regardless of the availability of units</w:t>
            </w:r>
            <w:r w:rsidR="001803E2" w:rsidRPr="00320DAE">
              <w:t xml:space="preserve">. </w:t>
            </w:r>
          </w:p>
        </w:tc>
      </w:tr>
      <w:tr w:rsidR="00291E60" w:rsidRPr="002B0F17" w14:paraId="759C0A5E" w14:textId="77777777">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2F17ED9" w14:textId="75E71980" w:rsidR="00291E60" w:rsidRPr="001803E2" w:rsidRDefault="00BC04D1" w:rsidP="001803E2">
            <w:pPr>
              <w:pStyle w:val="TableText"/>
            </w:pPr>
            <w:r w:rsidRPr="0065187A">
              <w:rPr>
                <w:vanish/>
              </w:rPr>
              <w:t>DR 2,578 DR 2,808</w:t>
            </w:r>
            <w:r w:rsidRPr="004E4368">
              <w:t xml:space="preserve">VBECS </w:t>
            </w:r>
            <w:r w:rsidR="001803E2" w:rsidRPr="004E4368">
              <w:t>displays a</w:t>
            </w:r>
            <w:r w:rsidR="001803E2">
              <w:t xml:space="preserve"> component</w:t>
            </w:r>
            <w:r w:rsidR="001803E2" w:rsidRPr="004E4368">
              <w:t xml:space="preserve"> order </w:t>
            </w:r>
            <w:r w:rsidR="001803E2">
              <w:t xml:space="preserve">as “Filled” </w:t>
            </w:r>
            <w:r w:rsidR="001803E2" w:rsidRPr="004E4368">
              <w:t xml:space="preserve">when the number of units </w:t>
            </w:r>
            <w:r w:rsidR="001803E2">
              <w:t>transfused</w:t>
            </w:r>
            <w:r w:rsidR="001803E2" w:rsidRPr="004E4368">
              <w:t xml:space="preserve"> and the number of units ordered are the same</w:t>
            </w:r>
            <w:r w:rsidR="001803E2">
              <w:t xml:space="preserve"> and continues to display the component order until the order expires. CPRS displays a component order as “Completed”. Therefore, CPRS displays the order as “Completed” before VBECS displays the order as “Filled.” The associated LAB order will then also be marked as “Completed”.</w:t>
            </w:r>
          </w:p>
        </w:tc>
      </w:tr>
      <w:tr w:rsidR="00320DAE" w:rsidRPr="002B0F17" w14:paraId="7A49245F"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E46B98C" w14:textId="6EEE784D" w:rsidR="00320DAE" w:rsidRPr="00320DAE" w:rsidRDefault="001803E2" w:rsidP="00320DAE">
            <w:pPr>
              <w:pStyle w:val="TableText"/>
            </w:pPr>
            <w:r>
              <w:t>A Specimen UID must be accepted in</w:t>
            </w:r>
            <w:r w:rsidR="0063094B">
              <w:t xml:space="preserve"> </w:t>
            </w:r>
            <w:r>
              <w:t>VBECS to associate it with a component order. Any VBECS maintained TAS specimen UID may be associated with a component order by entering the number in the UID field.</w:t>
            </w:r>
            <w:r w:rsidRPr="001803E2">
              <w:t xml:space="preserve"> </w:t>
            </w:r>
            <w:r w:rsidRPr="001803E2">
              <w:rPr>
                <w:vanish/>
              </w:rPr>
              <w:t>Task 635428</w:t>
            </w:r>
          </w:p>
        </w:tc>
      </w:tr>
      <w:tr w:rsidR="007C518F" w:rsidRPr="002B0F17" w14:paraId="0F7931D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33EE8E4" w14:textId="6BC32E44" w:rsidR="007C518F" w:rsidRDefault="007C518F" w:rsidP="00320DAE">
            <w:pPr>
              <w:pStyle w:val="TableText"/>
            </w:pPr>
            <w:r>
              <w:t xml:space="preserve">When associating a specimen with a patient in the “Select Unit for a Patient” window, the “Expires” field within the “Associate with Specimen” panel displays the time in AM/PM format. VBECS normally displays date/time fields in “military” time format.  The workaround is to look in Maintain Specimen and check the expiration time military time format. </w:t>
            </w:r>
            <w:r w:rsidRPr="007C518F">
              <w:rPr>
                <w:vanish/>
              </w:rPr>
              <w:t>Defect 209052</w:t>
            </w:r>
          </w:p>
        </w:tc>
      </w:tr>
      <w:tr w:rsidR="007C518F" w:rsidRPr="002B0F17" w14:paraId="7FAA2A5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DC8E947" w14:textId="2B17D392" w:rsidR="007C518F" w:rsidRDefault="009D0CAA" w:rsidP="00320DAE">
            <w:pPr>
              <w:pStyle w:val="TableText"/>
            </w:pPr>
            <w:r>
              <w:t>When an Rh positive unit is selected for an Rh negative patient with an antigen negative requirement for D, the user receives a message about unit not satisfying patient negative requirements for D instead of a message about unit being positive for D. The proper message is displayed upon unit issue</w:t>
            </w:r>
            <w:r w:rsidR="007C518F">
              <w:t xml:space="preserve">. </w:t>
            </w:r>
            <w:r w:rsidR="007C518F" w:rsidRPr="007C518F">
              <w:rPr>
                <w:vanish/>
              </w:rPr>
              <w:t>Defects 209338, 213537</w:t>
            </w:r>
          </w:p>
        </w:tc>
      </w:tr>
    </w:tbl>
    <w:p w14:paraId="63053BBB" w14:textId="77777777" w:rsidR="000604AA" w:rsidRDefault="000604A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14:paraId="59FA784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020160B" w14:textId="76C4B2D1" w:rsidR="003F0440" w:rsidRPr="002B0F17" w:rsidRDefault="000604AA" w:rsidP="002D126B">
            <w:pPr>
              <w:pStyle w:val="TableText"/>
              <w:rPr>
                <w:b/>
              </w:rPr>
            </w:pPr>
            <w:r>
              <w:br w:type="page"/>
            </w:r>
            <w:r w:rsidR="003F0440" w:rsidRPr="002B0F17">
              <w:rPr>
                <w:b/>
              </w:rPr>
              <w:t>Special Instructions &amp; Transfusion Requirements: Enter a Transfusion Requirement</w:t>
            </w:r>
          </w:p>
        </w:tc>
      </w:tr>
      <w:tr w:rsidR="003F0440" w:rsidRPr="00725902" w14:paraId="1AB7BBF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E595FB" w14:textId="77777777" w:rsidR="003F0440" w:rsidRDefault="003F0440" w:rsidP="002D126B">
            <w:pPr>
              <w:pStyle w:val="TableText"/>
            </w:pPr>
            <w:r>
              <w:t>Inactivation is defined and restricted by security level.</w:t>
            </w:r>
          </w:p>
        </w:tc>
      </w:tr>
      <w:tr w:rsidR="003F0440" w:rsidRPr="00725902" w14:paraId="29BAC2F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B3B1DA" w14:textId="311ACC3C" w:rsidR="003F0440" w:rsidRPr="00725902" w:rsidRDefault="00947C97" w:rsidP="002D126B">
            <w:pPr>
              <w:pStyle w:val="TableText"/>
            </w:pPr>
            <w:r w:rsidRPr="00947C97">
              <w:rPr>
                <w:bCs/>
              </w:rPr>
              <w:t>VistA Special Instructions (SIs) from database conversion do not become TRs: they remain SIs. SIs are information only and are not enforced unless entered in the Component Requirements tab in Special Instructions &amp; Transfusion Requirements</w:t>
            </w:r>
            <w:r w:rsidR="003F0440">
              <w:t>.</w:t>
            </w:r>
          </w:p>
        </w:tc>
      </w:tr>
    </w:tbl>
    <w:p w14:paraId="7CD6AEEF" w14:textId="3D8642D3" w:rsidR="000E59E4" w:rsidRDefault="000E59E4"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E21D7" w14:paraId="0D6A650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301F6EB" w14:textId="547FBBC5" w:rsidR="003F0440" w:rsidRPr="00FE21D7" w:rsidRDefault="000E59E4" w:rsidP="002D126B">
            <w:pPr>
              <w:pStyle w:val="TableText"/>
              <w:rPr>
                <w:b/>
              </w:rPr>
            </w:pPr>
            <w:r>
              <w:br w:type="page"/>
            </w:r>
            <w:r w:rsidR="003F0440" w:rsidRPr="00FE21D7">
              <w:rPr>
                <w:b/>
              </w:rPr>
              <w:t>Special Instructions &amp; Transfusion Requirements: Enter and Remove Special Instructions</w:t>
            </w:r>
          </w:p>
        </w:tc>
      </w:tr>
      <w:tr w:rsidR="003F0440" w:rsidRPr="00725902" w14:paraId="64627B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B24DE1" w14:textId="77777777" w:rsidR="003F0440" w:rsidRDefault="00DD6B21" w:rsidP="00DD6B21">
            <w:pPr>
              <w:pStyle w:val="TableText"/>
            </w:pPr>
            <w:r>
              <w:t>VBECS does not enforce Transfusion Requirements (TRs) or antigen negative requirements entered through this option.</w:t>
            </w:r>
          </w:p>
        </w:tc>
      </w:tr>
      <w:tr w:rsidR="00DD6B21" w:rsidRPr="00725902" w14:paraId="734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1AFC14" w14:textId="77777777" w:rsidR="00DD6B21" w:rsidRDefault="00DD6B21" w:rsidP="00DD6B21">
            <w:pPr>
              <w:pStyle w:val="TableText"/>
            </w:pPr>
            <w:r>
              <w:t>SIs moved to VBECS during the database conversion may contain information that must be entered as TRs in VBECS. Inactivate the old SI and create a TR and new updated SI: the database conversion software cannot automatically translate the SI from database conversion into a rule-based TR.</w:t>
            </w:r>
          </w:p>
        </w:tc>
      </w:tr>
      <w:tr w:rsidR="003F0440" w:rsidRPr="00725902" w14:paraId="619BAF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F106B8" w14:textId="3DCA46ED" w:rsidR="003F0440" w:rsidRDefault="003F0440" w:rsidP="002D126B">
            <w:pPr>
              <w:pStyle w:val="TableText"/>
            </w:pPr>
            <w:r>
              <w:t>VBECS will truncate SI text from the VistA database conversion.</w:t>
            </w:r>
          </w:p>
        </w:tc>
      </w:tr>
    </w:tbl>
    <w:p w14:paraId="2CAED909" w14:textId="77777777" w:rsidR="0045199A" w:rsidRDefault="0045199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55A27" w14:paraId="1CC4B1C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C904A9" w14:textId="77777777" w:rsidR="003F0440" w:rsidRPr="00355A27" w:rsidRDefault="003F0440" w:rsidP="002D126B">
            <w:pPr>
              <w:pStyle w:val="TableText"/>
              <w:rPr>
                <w:b/>
              </w:rPr>
            </w:pPr>
            <w:r w:rsidRPr="00355A27">
              <w:rPr>
                <w:b/>
              </w:rPr>
              <w:t>Supplies</w:t>
            </w:r>
          </w:p>
        </w:tc>
      </w:tr>
      <w:tr w:rsidR="003F0440" w:rsidRPr="00725902" w14:paraId="41CDDAD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58FE3" w14:textId="77777777" w:rsidR="003F0440" w:rsidRPr="00725902" w:rsidRDefault="003F0440" w:rsidP="002D126B">
            <w:pPr>
              <w:pStyle w:val="TableText"/>
            </w:pPr>
            <w:r>
              <w:t xml:space="preserve">The division’s modification processes may allow or require the user to select previously entered supplies for association with a blood unit’s modification. An inventory of containers (transfer bags) and sterile connection device (SCD) wafers is </w:t>
            </w:r>
            <w:r>
              <w:rPr>
                <w:i/>
              </w:rPr>
              <w:t>required</w:t>
            </w:r>
            <w:r>
              <w:t xml:space="preserve"> for various modification processes. </w:t>
            </w:r>
          </w:p>
        </w:tc>
      </w:tr>
      <w:tr w:rsidR="003F0440" w:rsidRPr="00725902" w14:paraId="5815013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507E96" w14:textId="77777777" w:rsidR="003F0440" w:rsidRPr="00725902" w:rsidRDefault="003F0440" w:rsidP="002D126B">
            <w:pPr>
              <w:pStyle w:val="TableText"/>
            </w:pPr>
            <w:r>
              <w:t>There is no retrospective data entry or user selection for th</w:t>
            </w:r>
            <w:r w:rsidR="00932460">
              <w:t>is option</w:t>
            </w:r>
            <w:r>
              <w:t>.</w:t>
            </w:r>
          </w:p>
        </w:tc>
      </w:tr>
      <w:tr w:rsidR="003F0440" w:rsidRPr="00725902" w14:paraId="131D69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DD0BE0" w14:textId="77777777" w:rsidR="003F0440" w:rsidRPr="00725902" w:rsidRDefault="003F0440" w:rsidP="002D126B">
            <w:pPr>
              <w:pStyle w:val="TableText"/>
            </w:pPr>
            <w:r>
              <w:t>The unsatisfactory portion of a shipment must be recorded individually.</w:t>
            </w:r>
          </w:p>
        </w:tc>
      </w:tr>
      <w:tr w:rsidR="003F0440" w:rsidRPr="00725902" w14:paraId="47CD2C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5B3355" w14:textId="77777777" w:rsidR="003F0440" w:rsidRPr="00725902" w:rsidRDefault="003F0440" w:rsidP="002D126B">
            <w:pPr>
              <w:pStyle w:val="TableText"/>
            </w:pPr>
            <w:r>
              <w:t>Each site must set a standard for recording quantity: it may use the number of cases or the number of units within the cases.</w:t>
            </w:r>
          </w:p>
        </w:tc>
      </w:tr>
    </w:tbl>
    <w:p w14:paraId="2530340A" w14:textId="77777777"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24C8482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936CE" w14:textId="77777777" w:rsidR="003F0440" w:rsidRPr="00D01896" w:rsidRDefault="003F0440" w:rsidP="002D126B">
            <w:pPr>
              <w:pStyle w:val="TableText"/>
              <w:rPr>
                <w:b/>
              </w:rPr>
            </w:pPr>
            <w:r w:rsidRPr="00D01896">
              <w:rPr>
                <w:b/>
              </w:rPr>
              <w:t>Transfusion Complications</w:t>
            </w:r>
            <w:r>
              <w:rPr>
                <w:b/>
              </w:rPr>
              <w:t xml:space="preserve"> Report</w:t>
            </w:r>
          </w:p>
        </w:tc>
      </w:tr>
      <w:tr w:rsidR="003F0440" w:rsidRPr="00725902" w14:paraId="19D514E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84559C" w14:textId="77777777" w:rsidR="003F0440" w:rsidRPr="00725902" w:rsidRDefault="003F0440" w:rsidP="002D126B">
            <w:pPr>
              <w:pStyle w:val="TableText"/>
            </w:pPr>
            <w:r>
              <w:t>The report does not include units in an issued status.</w:t>
            </w:r>
          </w:p>
        </w:tc>
      </w:tr>
      <w:tr w:rsidR="00CD5BA1" w:rsidRPr="00725902" w14:paraId="206DF3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A4411DB" w14:textId="3C824D5C" w:rsidR="00CD5BA1" w:rsidRDefault="00CD5BA1" w:rsidP="002D126B">
            <w:pPr>
              <w:pStyle w:val="TableText"/>
            </w:pPr>
            <w:r>
              <w:t xml:space="preserve">The report cannot be scheduled. </w:t>
            </w:r>
            <w:r w:rsidRPr="00CD5BA1">
              <w:rPr>
                <w:vanish/>
              </w:rPr>
              <w:t>Defect 210264</w:t>
            </w:r>
          </w:p>
        </w:tc>
      </w:tr>
    </w:tbl>
    <w:p w14:paraId="1E904DA5" w14:textId="77777777" w:rsidR="00C1162B" w:rsidRDefault="00C1162B"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3928B5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0FF775A" w14:textId="77777777" w:rsidR="003F0440" w:rsidRPr="00501AF4" w:rsidRDefault="003F0440" w:rsidP="002D126B">
            <w:pPr>
              <w:pStyle w:val="TableText"/>
              <w:rPr>
                <w:b/>
              </w:rPr>
            </w:pPr>
            <w:r>
              <w:rPr>
                <w:b/>
              </w:rPr>
              <w:t>Transfusion Effectiveness Report</w:t>
            </w:r>
          </w:p>
        </w:tc>
      </w:tr>
      <w:tr w:rsidR="003F0440" w:rsidRPr="00725902" w14:paraId="5ABDA18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7F7712D" w14:textId="77777777" w:rsidR="003F0440" w:rsidRPr="00725902" w:rsidRDefault="003F0440" w:rsidP="002D126B">
            <w:pPr>
              <w:pStyle w:val="TableText"/>
            </w:pPr>
            <w:r>
              <w:t>The report does not include VBECS diagnostic tests.</w:t>
            </w:r>
          </w:p>
        </w:tc>
      </w:tr>
    </w:tbl>
    <w:p w14:paraId="37EA1A72" w14:textId="0248054A"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7C518F" w:rsidRPr="00501AF4" w14:paraId="33068A92" w14:textId="77777777" w:rsidTr="00D12DC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69A9302" w14:textId="17B8C52B" w:rsidR="007C518F" w:rsidRPr="00501AF4" w:rsidRDefault="007C518F" w:rsidP="00D12DC6">
            <w:pPr>
              <w:pStyle w:val="TableText"/>
              <w:rPr>
                <w:b/>
              </w:rPr>
            </w:pPr>
            <w:r>
              <w:rPr>
                <w:b/>
              </w:rPr>
              <w:t>Transfusion Reaction Count Report</w:t>
            </w:r>
          </w:p>
        </w:tc>
      </w:tr>
      <w:tr w:rsidR="007C518F" w:rsidRPr="00725902" w14:paraId="75AC3518" w14:textId="77777777" w:rsidTr="00D12DC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FECA86" w14:textId="0AC8BDF1" w:rsidR="007C518F" w:rsidRPr="00725902" w:rsidRDefault="00C25C1E" w:rsidP="00D12DC6">
            <w:pPr>
              <w:pStyle w:val="TableText"/>
            </w:pPr>
            <w:r>
              <w:t xml:space="preserve">Transfusion Reactions are only included on the report if the data were entered/updated during the selected date range. This means that retrospective entry of transfusion reactions may not display in the correct date range. The recorded date of the reaction is not considered in the selection criteria. Rerun the report for a date range that includes the date the data was entered or updated. For example, if a transfusion reaction that occurred on February 28 is retrospectively entered on March 1, it will only display on a report that includes March 1 in its date range. </w:t>
            </w:r>
            <w:r w:rsidRPr="00C25C1E">
              <w:rPr>
                <w:vanish/>
              </w:rPr>
              <w:t>Defect 209152</w:t>
            </w:r>
          </w:p>
        </w:tc>
      </w:tr>
    </w:tbl>
    <w:p w14:paraId="3EBC9FA1" w14:textId="77777777" w:rsidR="007C518F" w:rsidRDefault="007C518F"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9E39B9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B056AEC" w14:textId="77777777" w:rsidR="003F0440" w:rsidRPr="00501AF4" w:rsidRDefault="003F0440" w:rsidP="002D126B">
            <w:pPr>
              <w:pStyle w:val="TableText"/>
              <w:rPr>
                <w:b/>
              </w:rPr>
            </w:pPr>
            <w:r>
              <w:rPr>
                <w:b/>
              </w:rPr>
              <w:t>Transfusion Requirements Report</w:t>
            </w:r>
          </w:p>
        </w:tc>
      </w:tr>
      <w:tr w:rsidR="003F0440" w:rsidRPr="00725902" w14:paraId="3F4A5407"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7BD541CD" w14:textId="4C04C0E9" w:rsidR="003F0440" w:rsidRPr="00725902" w:rsidRDefault="00BC04D1" w:rsidP="00934D16">
            <w:pPr>
              <w:pStyle w:val="TableText"/>
            </w:pPr>
            <w:r>
              <w:rPr>
                <w:rFonts w:cs="Arial"/>
                <w:vanish/>
              </w:rPr>
              <w:t xml:space="preserve">BR_89.01 </w:t>
            </w:r>
            <w:r w:rsidR="00934D16" w:rsidRPr="00B93109">
              <w:t xml:space="preserve">Deceased patient records do not appear on the report when </w:t>
            </w:r>
            <w:r w:rsidR="00934D16">
              <w:t xml:space="preserve">they are </w:t>
            </w:r>
            <w:r w:rsidR="00934D16" w:rsidRPr="00B93109">
              <w:t>generated after the patient has been marked</w:t>
            </w:r>
            <w:r w:rsidR="00934D16">
              <w:t xml:space="preserve"> as deceased</w:t>
            </w:r>
            <w:r w:rsidR="00934D16" w:rsidRPr="00B93109">
              <w:t xml:space="preserve"> in the VBECS database via a VistA Death Notification Update.</w:t>
            </w:r>
            <w:r w:rsidRPr="00684625">
              <w:rPr>
                <w:vanish/>
              </w:rPr>
              <w:t xml:space="preserve"> DR 5086</w:t>
            </w:r>
          </w:p>
        </w:tc>
      </w:tr>
      <w:tr w:rsidR="00C25C1E" w:rsidRPr="00725902" w14:paraId="6AF82E1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1913702" w14:textId="4064FD74" w:rsidR="00C25C1E" w:rsidRPr="00B93109" w:rsidRDefault="00C25C1E" w:rsidP="00934D16">
            <w:pPr>
              <w:pStyle w:val="TableText"/>
            </w:pPr>
            <w:r w:rsidRPr="00684625">
              <w:t>The cumulative report is not displaying all patients on file. A patient with ABO/Rh testing and no other requirement appears on the partial Transfusion Requirements report, but not on the cumulative report</w:t>
            </w:r>
            <w:r>
              <w:t xml:space="preserve">. </w:t>
            </w:r>
            <w:r w:rsidRPr="00C25C1E">
              <w:rPr>
                <w:vanish/>
              </w:rPr>
              <w:t>Defect 208903</w:t>
            </w:r>
          </w:p>
        </w:tc>
      </w:tr>
      <w:tr w:rsidR="00C25C1E" w:rsidRPr="00725902" w14:paraId="411A30F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C847" w14:textId="148DC2D2" w:rsidR="00C25C1E" w:rsidRPr="00B93109" w:rsidRDefault="00C25C1E" w:rsidP="00934D16">
            <w:pPr>
              <w:pStyle w:val="TableText"/>
            </w:pPr>
            <w:r>
              <w:t xml:space="preserve">A report printed with an end date of today or greater does not print “Partial” in the header. </w:t>
            </w:r>
            <w:r w:rsidRPr="00C25C1E">
              <w:rPr>
                <w:vanish/>
              </w:rPr>
              <w:t>Defect 208901</w:t>
            </w:r>
          </w:p>
        </w:tc>
      </w:tr>
    </w:tbl>
    <w:p w14:paraId="21866271" w14:textId="364E86CF" w:rsidR="000E59E4" w:rsidRDefault="000E59E4"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4DE95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B7B50FC" w14:textId="77777777" w:rsidR="003F0440" w:rsidRPr="00725902" w:rsidRDefault="003F0440" w:rsidP="002D126B">
            <w:pPr>
              <w:pStyle w:val="TableText"/>
            </w:pPr>
            <w:r w:rsidRPr="00501AF4">
              <w:rPr>
                <w:b/>
              </w:rPr>
              <w:t>Unit Antigen Typing</w:t>
            </w:r>
          </w:p>
        </w:tc>
      </w:tr>
      <w:tr w:rsidR="003F0440" w:rsidRPr="00725902" w14:paraId="028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16AA05" w14:textId="77777777" w:rsidR="003F0440" w:rsidRPr="00725902" w:rsidRDefault="003F0440" w:rsidP="002D126B">
            <w:pPr>
              <w:pStyle w:val="TableText"/>
            </w:pPr>
            <w:r>
              <w:t>Antigen typing applies only</w:t>
            </w:r>
            <w:r w:rsidR="006A2B09">
              <w:t xml:space="preserve"> to red blood cell antigens</w:t>
            </w:r>
            <w:r>
              <w:t>. This opt</w:t>
            </w:r>
            <w:r w:rsidR="006A2B09">
              <w:t>ion does not address platelet, histocompatibility locus antigens (</w:t>
            </w:r>
            <w:r>
              <w:t>HLAs</w:t>
            </w:r>
            <w:r w:rsidR="006A2B09">
              <w:t>)</w:t>
            </w:r>
            <w:r>
              <w:t xml:space="preserve">, or </w:t>
            </w:r>
            <w:r w:rsidR="006A2B09">
              <w:t>Immunoglobulin (</w:t>
            </w:r>
            <w:r>
              <w:t>IgA</w:t>
            </w:r>
            <w:r w:rsidR="006A2B09">
              <w:t>)</w:t>
            </w:r>
            <w:r>
              <w:t xml:space="preserve"> antigenicity.</w:t>
            </w:r>
          </w:p>
        </w:tc>
      </w:tr>
      <w:tr w:rsidR="006A2B09" w:rsidRPr="00725902" w14:paraId="0EB57B7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30B5A6" w14:textId="77777777" w:rsidR="006A2B09" w:rsidRDefault="006A2B09" w:rsidP="002D126B">
            <w:pPr>
              <w:pStyle w:val="TableText"/>
            </w:pPr>
            <w:r>
              <w:t>Only blood units of the “WHOLE BLOOD” and “RED BLOOD CELLS” ICCBBA component classes can be selected for inclusion in the antigen type worklist.</w:t>
            </w:r>
          </w:p>
        </w:tc>
      </w:tr>
      <w:tr w:rsidR="006A2B09" w:rsidRPr="00725902" w14:paraId="3463ADC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4DA299" w14:textId="0FFAA118" w:rsidR="006A2B09" w:rsidRDefault="006A2B09" w:rsidP="002D126B">
            <w:pPr>
              <w:pStyle w:val="TableText"/>
            </w:pPr>
            <w:r>
              <w:t xml:space="preserve">Antigen typing is not required on products with = &gt; 2 mL </w:t>
            </w:r>
            <w:r w:rsidR="00AE3B37">
              <w:t>of RBC</w:t>
            </w:r>
            <w:r>
              <w:t xml:space="preserve"> contamination that are not Red Blood Cells or Whole Blood.</w:t>
            </w:r>
          </w:p>
        </w:tc>
      </w:tr>
      <w:tr w:rsidR="003F0440" w:rsidRPr="00725902" w14:paraId="253146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0EC891" w14:textId="77777777" w:rsidR="003F0440" w:rsidRPr="00725902" w:rsidRDefault="003F0440" w:rsidP="002D126B">
            <w:pPr>
              <w:pStyle w:val="TableText"/>
            </w:pPr>
            <w:r>
              <w:t>VBECS does not check whether the lot and vial numbers selected for the positive control cells differ from those of the negative control cells.</w:t>
            </w:r>
          </w:p>
        </w:tc>
      </w:tr>
      <w:tr w:rsidR="003F0440" w:rsidRPr="00725902" w14:paraId="44CE1B7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6F7450" w14:textId="77777777" w:rsidR="003F0440" w:rsidRPr="00725902" w:rsidRDefault="003F0440" w:rsidP="002D126B">
            <w:pPr>
              <w:pStyle w:val="TableText"/>
            </w:pPr>
            <w:r>
              <w:t>D antigen typing must not be combined in batch testing of Rh positive units.</w:t>
            </w:r>
          </w:p>
        </w:tc>
      </w:tr>
      <w:tr w:rsidR="00A753B8" w:rsidRPr="00725902" w14:paraId="04912C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10D415B" w14:textId="03DFEEE4" w:rsidR="00A753B8" w:rsidRDefault="00A753B8" w:rsidP="002D126B">
            <w:pPr>
              <w:pStyle w:val="TableText"/>
            </w:pPr>
            <w:r>
              <w:t xml:space="preserve">The sort order of the selected units may not be inherited by the testing grid. Organize physical test materials according to the order of units presented on the testing grid. </w:t>
            </w:r>
            <w:r w:rsidRPr="00A753B8">
              <w:rPr>
                <w:vanish/>
              </w:rPr>
              <w:t>Defect 209578</w:t>
            </w:r>
          </w:p>
        </w:tc>
      </w:tr>
    </w:tbl>
    <w:p w14:paraId="3201A97C" w14:textId="5A84F23E" w:rsidR="00A753B8" w:rsidRDefault="00A753B8"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1D5B61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4CFC56E" w14:textId="179D7D5F" w:rsidR="003F0440" w:rsidRPr="00402919" w:rsidRDefault="00A753B8" w:rsidP="002D126B">
            <w:pPr>
              <w:pStyle w:val="TableText"/>
              <w:rPr>
                <w:b/>
              </w:rPr>
            </w:pPr>
            <w:r>
              <w:lastRenderedPageBreak/>
              <w:br w:type="page"/>
            </w:r>
            <w:r w:rsidR="003F0440">
              <w:rPr>
                <w:b/>
              </w:rPr>
              <w:t>Unit History Report</w:t>
            </w:r>
          </w:p>
        </w:tc>
      </w:tr>
      <w:tr w:rsidR="003F0440" w14:paraId="17563F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B7AC34" w14:textId="77777777" w:rsidR="003F0440" w:rsidRDefault="003F0440" w:rsidP="002D126B">
            <w:pPr>
              <w:pStyle w:val="TableText"/>
            </w:pPr>
            <w:r>
              <w:t>The report is not multidivisional.</w:t>
            </w:r>
          </w:p>
        </w:tc>
      </w:tr>
      <w:tr w:rsidR="00DD7CAF" w:rsidRPr="00C06411" w14:paraId="0392411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DE41E1" w14:textId="77777777" w:rsidR="00DD7CAF" w:rsidRPr="00C06411" w:rsidRDefault="00DD7CAF" w:rsidP="005E39DA">
            <w:pPr>
              <w:pStyle w:val="TableText"/>
            </w:pPr>
            <w:r>
              <w:t xml:space="preserve">When a user retroactively updates a unit status through Discard or Quarantine, the Unit History Report displays the updated information, but does not display the date the change was made. </w:t>
            </w:r>
          </w:p>
        </w:tc>
      </w:tr>
      <w:tr w:rsidR="00CD5BA1" w:rsidRPr="00C06411" w14:paraId="5CD8363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5472C" w14:textId="34659750" w:rsidR="00CD5BA1" w:rsidRDefault="00CD5BA1" w:rsidP="005E39DA">
            <w:pPr>
              <w:pStyle w:val="TableText"/>
            </w:pPr>
            <w:r>
              <w:t>The r</w:t>
            </w:r>
            <w:r w:rsidRPr="001F1DB9">
              <w:t xml:space="preserve">eport </w:t>
            </w:r>
            <w:r>
              <w:t xml:space="preserve">will not indicate if a unit was returned to shipper, or shipped to another facility. This information can be found in the Cost Accounting Report. </w:t>
            </w:r>
            <w:r w:rsidRPr="00CD5BA1">
              <w:rPr>
                <w:vanish/>
              </w:rPr>
              <w:t>Defect 212158</w:t>
            </w:r>
          </w:p>
        </w:tc>
      </w:tr>
      <w:tr w:rsidR="00CD5BA1" w:rsidRPr="00C06411" w14:paraId="390BFB0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8881EA2" w14:textId="253E6417" w:rsidR="00CD5BA1" w:rsidRDefault="00CD5BA1" w:rsidP="005E39DA">
            <w:pPr>
              <w:pStyle w:val="TableText"/>
            </w:pPr>
            <w:r>
              <w:t xml:space="preserve">The report does not display the Antigen Testing Phase Change Exception. See the Exception Report for this information. </w:t>
            </w:r>
            <w:r w:rsidRPr="00CD5BA1">
              <w:rPr>
                <w:vanish/>
              </w:rPr>
              <w:t>Defect 209575</w:t>
            </w:r>
          </w:p>
        </w:tc>
      </w:tr>
      <w:tr w:rsidR="00E04548" w:rsidRPr="00C06411" w14:paraId="160A4F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D838DE" w14:textId="3B3009CD" w:rsidR="00E04548" w:rsidRDefault="00E04548" w:rsidP="005E39DA">
            <w:pPr>
              <w:pStyle w:val="TableText"/>
            </w:pPr>
            <w:r>
              <w:t xml:space="preserve">When a user retroactively updates a unit status through the Discard or Quarantine option, the Unit History Report displays the updated information, but does not display the date the change was made. </w:t>
            </w:r>
            <w:r w:rsidRPr="00E04548">
              <w:rPr>
                <w:vanish/>
              </w:rPr>
              <w:t>Defect 212537</w:t>
            </w:r>
          </w:p>
        </w:tc>
      </w:tr>
    </w:tbl>
    <w:p w14:paraId="1CD7B57F" w14:textId="77777777" w:rsidR="00DD7CAF" w:rsidRDefault="00DD7CAF"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A7DE2" w14:paraId="1F09269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A5A8E13" w14:textId="77777777" w:rsidR="003F0440" w:rsidRPr="00DA7DE2" w:rsidRDefault="003F0440" w:rsidP="002D126B">
            <w:pPr>
              <w:pStyle w:val="TableText"/>
              <w:rPr>
                <w:b/>
              </w:rPr>
            </w:pPr>
            <w:r w:rsidRPr="00DA7DE2">
              <w:rPr>
                <w:b/>
              </w:rPr>
              <w:t>Update User Roles</w:t>
            </w:r>
          </w:p>
        </w:tc>
      </w:tr>
      <w:tr w:rsidR="003F0440" w:rsidRPr="00725902" w14:paraId="1D2851EA"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D19ADAB" w14:textId="77777777" w:rsidR="003F0440" w:rsidRDefault="003F0440" w:rsidP="002D126B">
            <w:pPr>
              <w:pStyle w:val="TableText"/>
            </w:pPr>
            <w:r>
              <w:rPr>
                <w:vanish/>
              </w:rPr>
              <w:t xml:space="preserve">BR_19.01, BR_19.03 </w:t>
            </w:r>
            <w:r>
              <w:t>One role at a time may be assigned to a user at a division. The role may be reset.</w:t>
            </w:r>
          </w:p>
        </w:tc>
      </w:tr>
      <w:tr w:rsidR="003F0440" w:rsidRPr="00725902" w14:paraId="2B6D83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B3ADA" w14:textId="77777777" w:rsidR="003F0440" w:rsidRDefault="00DD0BFD" w:rsidP="00DD0BFD">
            <w:pPr>
              <w:pStyle w:val="TableText"/>
            </w:pPr>
            <w:r>
              <w:t xml:space="preserve">VBECS does not allow users </w:t>
            </w:r>
            <w:r w:rsidR="00AB565A">
              <w:rPr>
                <w:vanish/>
              </w:rPr>
              <w:t xml:space="preserve">BR_19.06 </w:t>
            </w:r>
            <w:r>
              <w:t>to edit or delete the sole Administrator/Supervisor.</w:t>
            </w:r>
          </w:p>
        </w:tc>
      </w:tr>
    </w:tbl>
    <w:p w14:paraId="235CA791"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F506D" w14:paraId="5C39C20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4953C5E" w14:textId="77777777" w:rsidR="003F0440" w:rsidRPr="007F506D" w:rsidRDefault="003F0440" w:rsidP="002D126B">
            <w:pPr>
              <w:pStyle w:val="TableText"/>
              <w:rPr>
                <w:b/>
              </w:rPr>
            </w:pPr>
            <w:r w:rsidRPr="007F506D">
              <w:rPr>
                <w:b/>
              </w:rPr>
              <w:t>Updated Patients and Deceased Patients</w:t>
            </w:r>
          </w:p>
        </w:tc>
      </w:tr>
      <w:tr w:rsidR="00D139EE" w:rsidRPr="00725902" w14:paraId="75FD70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6801C" w14:textId="77777777" w:rsidR="00D139EE" w:rsidRDefault="00D139EE" w:rsidP="00D139EE">
            <w:pPr>
              <w:pStyle w:val="TableText"/>
            </w:pPr>
            <w:r>
              <w:t>Demographic and death event updates do not display information for patients without pending or active orders in VBECS. Updates will occur without user input.</w:t>
            </w:r>
          </w:p>
        </w:tc>
      </w:tr>
      <w:tr w:rsidR="00D139EE" w:rsidRPr="00725902" w14:paraId="751DB8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6D7EFF8" w14:textId="77777777" w:rsid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D139EE" w:rsidRPr="00725902" w14:paraId="3C7C2A5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030D586" w14:textId="77777777" w:rsidR="00D139EE" w:rsidRDefault="00D139EE" w:rsidP="00D139EE">
            <w:pPr>
              <w:pStyle w:val="TableText"/>
            </w:pPr>
            <w:r>
              <w:t>When VBECS notifies a user of an update to a patient’s prefix or suffix, VBECS does not display the updated information: the user must access VistA to view the updated information.</w:t>
            </w:r>
            <w:r w:rsidRPr="00C805FB">
              <w:rPr>
                <w:vanish/>
              </w:rPr>
              <w:t xml:space="preserve"> </w:t>
            </w:r>
            <w:r>
              <w:rPr>
                <w:vanish/>
              </w:rPr>
              <w:t>DR 2,714</w:t>
            </w:r>
          </w:p>
        </w:tc>
      </w:tr>
      <w:tr w:rsidR="00195D83" w:rsidRPr="00725902" w14:paraId="5EF2038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71B323" w14:textId="77777777" w:rsidR="00195D83" w:rsidRDefault="00195D83" w:rsidP="00D139EE">
            <w:pPr>
              <w:pStyle w:val="TableText"/>
            </w:pPr>
            <w:r>
              <w:t xml:space="preserve">Suffix data may be outdated but will be refreshed upon a new order for a patient. </w:t>
            </w:r>
            <w:r w:rsidRPr="006941AE">
              <w:rPr>
                <w:vanish/>
              </w:rPr>
              <w:t>Task 447307</w:t>
            </w:r>
          </w:p>
        </w:tc>
      </w:tr>
    </w:tbl>
    <w:p w14:paraId="057E4CA2"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5E7BB7" w:rsidRPr="00FA7720" w14:paraId="358E15D6" w14:textId="77777777" w:rsidTr="00D2527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94E8D42" w14:textId="77777777" w:rsidR="005E7BB7" w:rsidRPr="00FA7720" w:rsidRDefault="005E7BB7" w:rsidP="00D25275">
            <w:pPr>
              <w:pStyle w:val="TableText"/>
              <w:rPr>
                <w:b/>
              </w:rPr>
            </w:pPr>
            <w:r>
              <w:rPr>
                <w:b/>
              </w:rPr>
              <w:t>View Special Instructions and Transfusion Requirements</w:t>
            </w:r>
          </w:p>
        </w:tc>
      </w:tr>
      <w:tr w:rsidR="005E7BB7" w:rsidRPr="00725902" w14:paraId="4251E2B5" w14:textId="77777777" w:rsidTr="00D2527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E88C0F" w14:textId="77777777" w:rsidR="005E7BB7" w:rsidRPr="00725902" w:rsidRDefault="005E7BB7" w:rsidP="00D25275">
            <w:pPr>
              <w:pStyle w:val="TableText"/>
            </w:pPr>
            <w:r>
              <w:t xml:space="preserve">Changing </w:t>
            </w:r>
            <w:r w:rsidRPr="00633316">
              <w:t xml:space="preserve">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r w:rsidR="00972057" w:rsidRPr="00725902" w14:paraId="26429746" w14:textId="77777777" w:rsidTr="0097205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87A9C3" w14:textId="77777777" w:rsidR="00972057" w:rsidRPr="00972057" w:rsidRDefault="00972057" w:rsidP="00972057">
            <w:pPr>
              <w:pStyle w:val="TableText"/>
              <w:rPr>
                <w:rFonts w:cs="Arial"/>
                <w:szCs w:val="18"/>
              </w:rPr>
            </w:pPr>
            <w:r w:rsidRPr="00972057">
              <w:rPr>
                <w:rFonts w:cs="Arial"/>
                <w:szCs w:val="18"/>
              </w:rPr>
              <w:t xml:space="preserve">This icon </w:t>
            </w:r>
            <w:r w:rsidRPr="00972057">
              <w:rPr>
                <w:rFonts w:cs="Arial"/>
                <w:noProof/>
                <w:szCs w:val="18"/>
              </w:rPr>
              <w:drawing>
                <wp:inline distT="0" distB="0" distL="0" distR="0" wp14:anchorId="2095B440" wp14:editId="536FF15E">
                  <wp:extent cx="156845" cy="156845"/>
                  <wp:effectExtent l="0" t="0" r="0" b="0"/>
                  <wp:docPr id="3" name="Picture 3"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ew Special Instructions and Transfusion Requirements ic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972057">
              <w:rPr>
                <w:rFonts w:cs="Arial"/>
                <w:szCs w:val="18"/>
              </w:rPr>
              <w:t> will be disabled when the icon is displayed:</w:t>
            </w:r>
          </w:p>
          <w:p w14:paraId="71887E6B" w14:textId="77777777" w:rsidR="00972057" w:rsidRPr="00C46DE2" w:rsidRDefault="00972057" w:rsidP="006F799E">
            <w:pPr>
              <w:pStyle w:val="TableTextBullet"/>
            </w:pPr>
            <w:r w:rsidRPr="00972057">
              <w:rPr>
                <w:rFonts w:cs="Arial"/>
                <w:szCs w:val="18"/>
              </w:rPr>
              <w:t xml:space="preserve">within the </w:t>
            </w:r>
            <w:r w:rsidRPr="00C46DE2">
              <w:t>patient search window because special instructions and transfusion requirements are already displayed automatically within this option.</w:t>
            </w:r>
          </w:p>
          <w:p w14:paraId="37A902C8" w14:textId="77777777" w:rsidR="00972057" w:rsidRPr="00F04B98" w:rsidRDefault="00972057" w:rsidP="006F799E">
            <w:pPr>
              <w:pStyle w:val="TableTextBullet"/>
            </w:pPr>
            <w:r w:rsidRPr="00C46DE2">
              <w:t>within this option</w:t>
            </w:r>
          </w:p>
          <w:p w14:paraId="76012DAF" w14:textId="1353C4E7" w:rsidR="00972057" w:rsidRPr="00972057" w:rsidRDefault="00972057" w:rsidP="006F799E">
            <w:pPr>
              <w:pStyle w:val="TableTextBullet"/>
              <w:rPr>
                <w:rFonts w:cs="Arial"/>
                <w:szCs w:val="18"/>
              </w:rPr>
            </w:pPr>
            <w:r w:rsidRPr="00F04B98">
              <w:t>the selected patient</w:t>
            </w:r>
            <w:r w:rsidRPr="00972057">
              <w:rPr>
                <w:rFonts w:cs="Arial"/>
                <w:szCs w:val="18"/>
              </w:rPr>
              <w:t xml:space="preserve"> does not have SIs or TRs to display.</w:t>
            </w:r>
            <w:r w:rsidR="00BC04D1" w:rsidRPr="00812458">
              <w:rPr>
                <w:vanish/>
              </w:rPr>
              <w:t xml:space="preserve"> Task 606914</w:t>
            </w:r>
          </w:p>
        </w:tc>
      </w:tr>
    </w:tbl>
    <w:p w14:paraId="1B7923C3" w14:textId="77777777" w:rsidR="005E7BB7" w:rsidRDefault="005E7BB7"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A7720" w14:paraId="529991B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15DB29B" w14:textId="77777777" w:rsidR="003F0440" w:rsidRPr="00FA7720" w:rsidRDefault="003F0440" w:rsidP="002D126B">
            <w:pPr>
              <w:pStyle w:val="TableText"/>
              <w:rPr>
                <w:b/>
              </w:rPr>
            </w:pPr>
            <w:r w:rsidRPr="00FA7720">
              <w:rPr>
                <w:b/>
              </w:rPr>
              <w:t>Workload Codes</w:t>
            </w:r>
          </w:p>
        </w:tc>
      </w:tr>
      <w:tr w:rsidR="003F0440" w:rsidRPr="00725902" w14:paraId="5D2B9D8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77F62A" w14:textId="77777777" w:rsidR="003F0440" w:rsidRPr="00725902" w:rsidRDefault="003F0440" w:rsidP="002D126B">
            <w:pPr>
              <w:pStyle w:val="TableText"/>
            </w:pPr>
            <w:r>
              <w:t>Transfusion-only sites must not map workload codes to processes such as ABO/Rh testing not performed on site.</w:t>
            </w:r>
          </w:p>
        </w:tc>
      </w:tr>
      <w:tr w:rsidR="003F2431" w:rsidRPr="00725902" w14:paraId="7886F3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7DA19" w14:textId="4CA328BB" w:rsidR="003F2431" w:rsidRPr="003F2431" w:rsidRDefault="003F2431" w:rsidP="002D126B">
            <w:pPr>
              <w:pStyle w:val="TableText"/>
              <w:rPr>
                <w:b/>
              </w:rPr>
            </w:pPr>
            <w:r w:rsidRPr="003F2431">
              <w:t>Retrieved LMIP/NLT codes from VistA may have multiple CPT codes. Inactivating any of the associated CPT codes in VBECS will inactivate the LMIP/NLT code. Editing of the LMIP/NLT code associations must be done in VistA.</w:t>
            </w:r>
            <w:r w:rsidR="00BC04D1">
              <w:rPr>
                <w:vanish/>
              </w:rPr>
              <w:t xml:space="preserve"> DR 3090</w:t>
            </w:r>
            <w:r w:rsidR="00BC04D1">
              <w:t xml:space="preserve"> </w:t>
            </w:r>
            <w:r w:rsidR="00BC04D1" w:rsidRPr="00377878">
              <w:rPr>
                <w:vanish/>
              </w:rPr>
              <w:t>Defect 209370</w:t>
            </w:r>
          </w:p>
        </w:tc>
      </w:tr>
      <w:tr w:rsidR="00E25C40" w:rsidRPr="00725902" w14:paraId="14B33A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37AB4C" w14:textId="72DE27FF" w:rsidR="00E25C40" w:rsidRPr="003F2431" w:rsidRDefault="00E25C40" w:rsidP="002D126B">
            <w:pPr>
              <w:pStyle w:val="TableText"/>
            </w:pPr>
            <w:r>
              <w:t xml:space="preserve">Invalidating split units will result in extra workload equal to the number of splits created applied to the total number of units logged in. This occurs when split units are incorrectly processed in VBECS. </w:t>
            </w:r>
            <w:r w:rsidRPr="00E25C40">
              <w:rPr>
                <w:vanish/>
              </w:rPr>
              <w:t>Defect 209156</w:t>
            </w:r>
          </w:p>
        </w:tc>
      </w:tr>
    </w:tbl>
    <w:p w14:paraId="0890333C" w14:textId="77777777" w:rsidR="005C2727" w:rsidRDefault="005C2727">
      <w:pPr>
        <w:rPr>
          <w:sz w:val="22"/>
          <w:szCs w:val="22"/>
        </w:rPr>
      </w:pPr>
      <w:r>
        <w:br w:type="page"/>
      </w:r>
    </w:p>
    <w:p w14:paraId="387AA4DA" w14:textId="33F81B50" w:rsidR="00D9569F" w:rsidRDefault="00D9569F" w:rsidP="00AF2D0E">
      <w:pPr>
        <w:pStyle w:val="Heading2"/>
      </w:pPr>
      <w:bookmarkStart w:id="676" w:name="_Toc163645016"/>
      <w:bookmarkEnd w:id="675"/>
      <w:r>
        <w:lastRenderedPageBreak/>
        <w:t xml:space="preserve">Appendix </w:t>
      </w:r>
      <w:r w:rsidR="001B0B0C">
        <w:rPr>
          <w:noProof/>
        </w:rPr>
        <w:t>E</w:t>
      </w:r>
      <w:r>
        <w:t>: Known Defects and Anomalies</w:t>
      </w:r>
      <w:bookmarkEnd w:id="676"/>
      <w:r w:rsidR="00681D23">
        <w:fldChar w:fldCharType="begin"/>
      </w:r>
      <w:r w:rsidR="00681D23">
        <w:instrText xml:space="preserve"> XE "</w:instrText>
      </w:r>
      <w:r w:rsidR="00681D23" w:rsidRPr="00FB2A0A">
        <w:instrText>Known Defects and Anomalies</w:instrText>
      </w:r>
      <w:r w:rsidR="00681D23">
        <w:instrText xml:space="preserve">" </w:instrText>
      </w:r>
      <w:r w:rsidR="00681D23">
        <w:fldChar w:fldCharType="end"/>
      </w:r>
    </w:p>
    <w:p w14:paraId="185A3449" w14:textId="05B74F8C" w:rsidR="00770D97" w:rsidRDefault="002D77E5" w:rsidP="002D77E5">
      <w:pPr>
        <w:pStyle w:val="BodyText"/>
      </w:pPr>
      <w:r>
        <w:t xml:space="preserve">Users may retrieve </w:t>
      </w:r>
      <w:r w:rsidR="00770D97">
        <w:t xml:space="preserve">a </w:t>
      </w:r>
      <w:r>
        <w:t xml:space="preserve">copy of the </w:t>
      </w:r>
      <w:r w:rsidRPr="002D77E5">
        <w:rPr>
          <w:i/>
          <w:iCs/>
        </w:rPr>
        <w:t>VBECS 2.</w:t>
      </w:r>
      <w:r w:rsidR="005E5828">
        <w:rPr>
          <w:i/>
          <w:iCs/>
        </w:rPr>
        <w:t>4.0</w:t>
      </w:r>
      <w:r w:rsidRPr="002D77E5">
        <w:rPr>
          <w:i/>
          <w:iCs/>
        </w:rPr>
        <w:t xml:space="preserve"> Known Defects and Anomalies</w:t>
      </w:r>
      <w:r>
        <w:t xml:space="preserve"> document from</w:t>
      </w:r>
      <w:r w:rsidR="00770D97">
        <w:t xml:space="preserve">: </w:t>
      </w:r>
    </w:p>
    <w:p w14:paraId="04A380F5" w14:textId="643676D8" w:rsidR="00770D97" w:rsidRPr="007F445A" w:rsidRDefault="00E2140B" w:rsidP="003E663B">
      <w:pPr>
        <w:pStyle w:val="TableTextBullet"/>
        <w:rPr>
          <w:rFonts w:ascii="Times New Roman" w:hAnsi="Times New Roman"/>
          <w:sz w:val="22"/>
          <w:szCs w:val="22"/>
        </w:rPr>
      </w:pPr>
      <w:hyperlink r:id="rId218" w:history="1">
        <w:r w:rsidR="002D77E5" w:rsidRPr="007F445A">
          <w:rPr>
            <w:rStyle w:val="Hyperlink"/>
            <w:rFonts w:ascii="Times New Roman" w:hAnsi="Times New Roman"/>
            <w:sz w:val="22"/>
            <w:szCs w:val="22"/>
          </w:rPr>
          <w:t>VistA Documentation Library (VDL) Web site</w:t>
        </w:r>
      </w:hyperlink>
      <w:r w:rsidR="00770D97" w:rsidRPr="007F445A">
        <w:rPr>
          <w:rFonts w:ascii="Times New Roman" w:hAnsi="Times New Roman"/>
          <w:sz w:val="22"/>
          <w:szCs w:val="22"/>
        </w:rPr>
        <w:t xml:space="preserve"> (content may have redactions)</w:t>
      </w:r>
    </w:p>
    <w:p w14:paraId="55859C79" w14:textId="2BC39585" w:rsidR="002D77E5" w:rsidRPr="00711206" w:rsidRDefault="00711206" w:rsidP="003E663B">
      <w:pPr>
        <w:pStyle w:val="TableTextBullet"/>
        <w:rPr>
          <w:rFonts w:ascii="Times New Roman" w:hAnsi="Times New Roman"/>
          <w:sz w:val="22"/>
          <w:szCs w:val="22"/>
          <w:highlight w:val="yellow"/>
        </w:rPr>
      </w:pPr>
      <w:r w:rsidRPr="00711206">
        <w:rPr>
          <w:rFonts w:ascii="Times New Roman" w:hAnsi="Times New Roman"/>
          <w:sz w:val="22"/>
          <w:szCs w:val="22"/>
          <w:highlight w:val="yellow"/>
        </w:rPr>
        <w:t>REDACTED</w:t>
      </w:r>
    </w:p>
    <w:p w14:paraId="0A88DB2B" w14:textId="2070C290" w:rsidR="002A21AE" w:rsidRDefault="000C342D">
      <w:pPr>
        <w:pStyle w:val="Heading2"/>
      </w:pPr>
      <w:r>
        <w:br w:type="page"/>
      </w:r>
      <w:bookmarkStart w:id="677" w:name="_Toc163645017"/>
      <w:r w:rsidR="002A21AE">
        <w:lastRenderedPageBreak/>
        <w:t xml:space="preserve">Appendix </w:t>
      </w:r>
      <w:r w:rsidR="001B0B0C">
        <w:rPr>
          <w:noProof/>
        </w:rPr>
        <w:t>F</w:t>
      </w:r>
      <w:r w:rsidR="002A21AE">
        <w:t>: System Validation</w:t>
      </w:r>
      <w:bookmarkEnd w:id="677"/>
      <w:r w:rsidR="002A21AE">
        <w:fldChar w:fldCharType="begin"/>
      </w:r>
      <w:r w:rsidR="002A21AE">
        <w:instrText xml:space="preserve"> XE </w:instrText>
      </w:r>
      <w:r w:rsidR="00FA7E65">
        <w:instrText>“</w:instrText>
      </w:r>
      <w:r w:rsidR="002A21AE">
        <w:instrText>System Validation</w:instrText>
      </w:r>
      <w:r w:rsidR="00FA7E65">
        <w:instrText>”</w:instrText>
      </w:r>
      <w:r w:rsidR="002A21AE">
        <w:instrText xml:space="preserve"> </w:instrText>
      </w:r>
      <w:r w:rsidR="002A21AE">
        <w:fldChar w:fldCharType="end"/>
      </w:r>
    </w:p>
    <w:p w14:paraId="3F4CBE4A" w14:textId="77777777" w:rsidR="002E3C00" w:rsidRDefault="002E3C00" w:rsidP="002E3C00">
      <w:pPr>
        <w:pStyle w:val="Heading3"/>
      </w:pPr>
      <w:bookmarkStart w:id="678" w:name="_Toc114462089"/>
      <w:bookmarkStart w:id="679" w:name="_Toc163645018"/>
      <w:r>
        <w:t>Introduction</w:t>
      </w:r>
      <w:bookmarkEnd w:id="678"/>
      <w:bookmarkEnd w:id="679"/>
      <w:r w:rsidR="00E21F36">
        <w:fldChar w:fldCharType="begin"/>
      </w:r>
      <w:r w:rsidR="00E21F36">
        <w:instrText xml:space="preserve"> XE " System Validation:</w:instrText>
      </w:r>
      <w:r w:rsidR="00E21F36" w:rsidRPr="0081226B">
        <w:instrText>Introduction</w:instrText>
      </w:r>
      <w:r w:rsidR="00E21F36">
        <w:instrText xml:space="preserve">" </w:instrText>
      </w:r>
      <w:r w:rsidR="00E21F36">
        <w:fldChar w:fldCharType="end"/>
      </w:r>
    </w:p>
    <w:p w14:paraId="7E2CE329" w14:textId="49FE8710" w:rsidR="00AB21DA" w:rsidRDefault="00AB21DA" w:rsidP="00AB21DA">
      <w:pPr>
        <w:pStyle w:val="BodyText"/>
      </w:pPr>
      <w:r>
        <w:t>Each facility is responsible for validating</w:t>
      </w:r>
      <w:r w:rsidRPr="00437093">
        <w:t xml:space="preserve"> </w:t>
      </w:r>
      <w:r>
        <w:t xml:space="preserve">the VBECS </w:t>
      </w:r>
      <w:r w:rsidRPr="00437093">
        <w:t xml:space="preserve">installation, operation, and </w:t>
      </w:r>
      <w:r>
        <w:t>performance</w:t>
      </w:r>
      <w:r w:rsidRPr="00437093">
        <w:t xml:space="preserve"> </w:t>
      </w:r>
      <w:r>
        <w:t>before</w:t>
      </w:r>
      <w:r w:rsidRPr="00437093">
        <w:t xml:space="preserve"> using </w:t>
      </w:r>
      <w:r>
        <w:t xml:space="preserve">VBECS </w:t>
      </w:r>
      <w:r w:rsidRPr="00437093">
        <w:t>in a live (production) environment.</w:t>
      </w:r>
      <w:r>
        <w:t xml:space="preserve"> This includes evaluating</w:t>
      </w:r>
      <w:r w:rsidRPr="00437093">
        <w:t xml:space="preserve"> local intend</w:t>
      </w:r>
      <w:r>
        <w:t>ed uses of the software and</w:t>
      </w:r>
      <w:r w:rsidR="00503461">
        <w:t xml:space="preserve"> changing settings </w:t>
      </w:r>
      <w:r w:rsidRPr="00437093">
        <w:t xml:space="preserve">to conform to </w:t>
      </w:r>
      <w:r>
        <w:t>the</w:t>
      </w:r>
      <w:r w:rsidRPr="00437093">
        <w:t xml:space="preserve"> facility’s procedures, processes, and policies</w:t>
      </w:r>
      <w:r w:rsidR="00033719">
        <w:t xml:space="preserve"> (See </w:t>
      </w:r>
      <w:r w:rsidR="00033719" w:rsidRPr="00077082">
        <w:rPr>
          <w:i/>
          <w:iCs/>
        </w:rPr>
        <w:t>FAQ How to file a New Service</w:t>
      </w:r>
      <w:r w:rsidR="00553ED0" w:rsidRPr="00077082">
        <w:rPr>
          <w:i/>
          <w:iCs/>
        </w:rPr>
        <w:t xml:space="preserve"> Request for Changes to VBECS</w:t>
      </w:r>
      <w:r w:rsidR="00553ED0">
        <w:t>)</w:t>
      </w:r>
      <w:r w:rsidRPr="00437093">
        <w:t xml:space="preserve">. Use internal operating procedures and policies to validate that the software </w:t>
      </w:r>
      <w:r>
        <w:t>performs</w:t>
      </w:r>
      <w:r w:rsidRPr="00437093">
        <w:t xml:space="preserve"> in accordan</w:t>
      </w:r>
      <w:r>
        <w:t>c</w:t>
      </w:r>
      <w:r w:rsidRPr="00437093">
        <w:t>e with your site’s parameters.</w:t>
      </w:r>
      <w:r w:rsidR="00066BE2">
        <w:t xml:space="preserve"> </w:t>
      </w:r>
      <w:r w:rsidR="00EF39BA">
        <w:t>Determine the level of validation required for c</w:t>
      </w:r>
      <w:r w:rsidR="00066BE2">
        <w:t>hanges to h</w:t>
      </w:r>
      <w:r w:rsidR="00EF39BA">
        <w:t>ardware and software</w:t>
      </w:r>
      <w:r w:rsidR="00066BE2">
        <w:t>.</w:t>
      </w:r>
      <w:r w:rsidR="00AF3C57">
        <w:t xml:space="preserve"> (See </w:t>
      </w:r>
      <w:r w:rsidR="00AF3C57" w:rsidRPr="00077082">
        <w:rPr>
          <w:i/>
          <w:iCs/>
        </w:rPr>
        <w:t xml:space="preserve">FAQ </w:t>
      </w:r>
      <w:r w:rsidR="00BC2656" w:rsidRPr="00077082">
        <w:rPr>
          <w:i/>
          <w:iCs/>
        </w:rPr>
        <w:t>Ancillary VistA Validation</w:t>
      </w:r>
      <w:r w:rsidR="00AF3C57">
        <w:t>).</w:t>
      </w:r>
    </w:p>
    <w:p w14:paraId="1B13AAA3" w14:textId="77777777" w:rsidR="0096773B" w:rsidRDefault="0096773B" w:rsidP="0096773B">
      <w:pPr>
        <w:pStyle w:val="Caution"/>
        <w:rPr>
          <w:szCs w:val="15"/>
        </w:rPr>
      </w:pPr>
      <w:r w:rsidRPr="009830A4">
        <w:t xml:space="preserve">This section describes only basic system validation. Sample test scripts are available from the </w:t>
      </w:r>
      <w:r w:rsidRPr="004002F6">
        <w:t>National Training &amp; Education Office</w:t>
      </w:r>
      <w:r w:rsidRPr="009830A4">
        <w:t xml:space="preserve"> </w:t>
      </w:r>
      <w:r>
        <w:t>(</w:t>
      </w:r>
      <w:r w:rsidRPr="009830A4">
        <w:t>NT&amp;EO</w:t>
      </w:r>
      <w:r>
        <w:t>)</w:t>
      </w:r>
      <w:r w:rsidRPr="009830A4">
        <w:t>.</w:t>
      </w:r>
    </w:p>
    <w:p w14:paraId="5C85E3BD" w14:textId="77777777" w:rsidR="009D2266" w:rsidRDefault="009D2266" w:rsidP="009D2266">
      <w:pPr>
        <w:pStyle w:val="Heading3"/>
      </w:pPr>
      <w:bookmarkStart w:id="680" w:name="_Toc163645019"/>
      <w:r>
        <w:t>Validation Plan</w:t>
      </w:r>
      <w:bookmarkEnd w:id="680"/>
      <w:r w:rsidR="00AB21DA">
        <w:fldChar w:fldCharType="begin"/>
      </w:r>
      <w:r w:rsidR="00AB21DA">
        <w:instrText xml:space="preserve"> XE " System Validation:Validation Plan" </w:instrText>
      </w:r>
      <w:r w:rsidR="00AB21DA">
        <w:fldChar w:fldCharType="end"/>
      </w:r>
    </w:p>
    <w:p w14:paraId="177EB02A" w14:textId="77777777" w:rsidR="001F3C29" w:rsidRDefault="009D2266" w:rsidP="001F3C29">
      <w:pPr>
        <w:pStyle w:val="BodyText"/>
      </w:pPr>
      <w:r w:rsidRPr="00437093">
        <w:t xml:space="preserve">Write a </w:t>
      </w:r>
      <w:r>
        <w:t>validation</w:t>
      </w:r>
      <w:r w:rsidRPr="00437093">
        <w:t xml:space="preserve"> plan</w:t>
      </w:r>
      <w:r>
        <w:t xml:space="preserve"> with clearly stated goals and strategies</w:t>
      </w:r>
      <w:r w:rsidRPr="00437093">
        <w:t xml:space="preserve"> to demonstrate that </w:t>
      </w:r>
      <w:r>
        <w:t xml:space="preserve">the system hardware, application, </w:t>
      </w:r>
      <w:r w:rsidRPr="00437093">
        <w:t>new feature</w:t>
      </w:r>
      <w:r>
        <w:t>s,</w:t>
      </w:r>
      <w:r w:rsidRPr="00437093">
        <w:t xml:space="preserve"> </w:t>
      </w:r>
      <w:r>
        <w:t>and</w:t>
      </w:r>
      <w:r w:rsidRPr="00437093">
        <w:t xml:space="preserve"> software patch</w:t>
      </w:r>
      <w:r>
        <w:t>es</w:t>
      </w:r>
      <w:r w:rsidRPr="00437093">
        <w:t xml:space="preserve"> function as expected in your facility’s environment.</w:t>
      </w:r>
      <w:r>
        <w:t xml:space="preserve"> Include descriptions of documents, hardware and software Verification &amp; Validation (V&amp;V) tools, techniques, methods, and operating and test environments to be used. </w:t>
      </w:r>
      <w:r w:rsidR="001F3C29" w:rsidRPr="00437093">
        <w:t xml:space="preserve">Determine </w:t>
      </w:r>
      <w:r w:rsidR="001F3C29">
        <w:t xml:space="preserve">and document </w:t>
      </w:r>
      <w:r w:rsidR="001F3C29" w:rsidRPr="00437093">
        <w:t>when an option is not applicable to your facilit</w:t>
      </w:r>
      <w:r w:rsidR="001F3C29">
        <w:t>y and does not require testing.</w:t>
      </w:r>
    </w:p>
    <w:p w14:paraId="72390150" w14:textId="77777777" w:rsidR="009D2266" w:rsidRDefault="009D2266" w:rsidP="001F3C29">
      <w:pPr>
        <w:pStyle w:val="BodyText"/>
      </w:pPr>
      <w:r>
        <w:t xml:space="preserve">You may separate this plan into three major sections: </w:t>
      </w:r>
    </w:p>
    <w:p w14:paraId="0FF453E6" w14:textId="77777777" w:rsidR="009D2266" w:rsidRPr="009D2266" w:rsidRDefault="009D2266" w:rsidP="009D2266">
      <w:pPr>
        <w:pStyle w:val="Heading4"/>
        <w:rPr>
          <w:vertAlign w:val="superscript"/>
        </w:rPr>
      </w:pPr>
      <w:r>
        <w:t xml:space="preserve">Installation Qualification </w:t>
      </w:r>
      <w:r w:rsidR="00AB21DA">
        <w:fldChar w:fldCharType="begin"/>
      </w:r>
      <w:r w:rsidR="00AB21DA">
        <w:instrText xml:space="preserve"> XE " System Validation:Installation Qualification" </w:instrText>
      </w:r>
      <w:r w:rsidR="00AB21DA">
        <w:fldChar w:fldCharType="end"/>
      </w:r>
    </w:p>
    <w:p w14:paraId="2B435F85" w14:textId="77777777" w:rsidR="009D2266" w:rsidRPr="009D2266" w:rsidRDefault="00AB21DA" w:rsidP="009D2266">
      <w:pPr>
        <w:pStyle w:val="BodyText"/>
        <w:rPr>
          <w:vertAlign w:val="superscript"/>
        </w:rPr>
      </w:pPr>
      <w:r>
        <w:t xml:space="preserve">The Installation Qualification (IQ) section includes </w:t>
      </w:r>
      <w:r w:rsidR="009D2266" w:rsidRPr="00437093">
        <w:t>system identification, definition of physical properties, interfaces and peripheral devices</w:t>
      </w:r>
      <w:r w:rsidR="009D2266">
        <w:t>,</w:t>
      </w:r>
      <w:r w:rsidR="009D2266" w:rsidRPr="00437093">
        <w:t xml:space="preserve"> and general functionality.</w:t>
      </w:r>
      <w:r w:rsidR="009D2266">
        <w:t xml:space="preserve"> Determine what types of testing must be done</w:t>
      </w:r>
      <w:r w:rsidR="003A7C77">
        <w:t>. C</w:t>
      </w:r>
      <w:r w:rsidR="009D2266">
        <w:t>reate test cases</w:t>
      </w:r>
      <w:r w:rsidR="009D2266" w:rsidRPr="00437093">
        <w:t xml:space="preserve"> in accordance with your </w:t>
      </w:r>
      <w:r w:rsidR="009D2266">
        <w:t>internal procedures</w:t>
      </w:r>
      <w:r w:rsidR="00F1479E">
        <w:t xml:space="preserve"> and intended use</w:t>
      </w:r>
      <w:r w:rsidR="009D2266">
        <w:t xml:space="preserve">. </w:t>
      </w:r>
    </w:p>
    <w:p w14:paraId="52B4374C" w14:textId="77777777" w:rsidR="009D2266" w:rsidRPr="009D2266" w:rsidRDefault="009D2266" w:rsidP="009D2266">
      <w:pPr>
        <w:pStyle w:val="BodyText"/>
        <w:rPr>
          <w:vertAlign w:val="superscript"/>
        </w:rPr>
      </w:pPr>
      <w:r>
        <w:t xml:space="preserve">Apply </w:t>
      </w:r>
      <w:r w:rsidRPr="00437093">
        <w:t xml:space="preserve">review, analysis, and testing techniques to determine whether </w:t>
      </w:r>
      <w:r>
        <w:t>VBECS hardware and peripheral components co</w:t>
      </w:r>
      <w:r w:rsidRPr="00437093">
        <w:t>mply with requirements</w:t>
      </w:r>
      <w:r>
        <w:t>, including</w:t>
      </w:r>
      <w:r w:rsidRPr="00437093">
        <w:t xml:space="preserve"> functionality and attributes such as consistency, safety, and security.</w:t>
      </w:r>
      <w:r>
        <w:t xml:space="preserve"> </w:t>
      </w:r>
    </w:p>
    <w:p w14:paraId="66BA5179" w14:textId="77777777" w:rsidR="009D2266" w:rsidRDefault="009D2266" w:rsidP="009D2266">
      <w:pPr>
        <w:pStyle w:val="Heading4"/>
      </w:pPr>
      <w:r>
        <w:t>Operational Qualificati</w:t>
      </w:r>
      <w:r w:rsidR="00AB21DA">
        <w:t>on</w:t>
      </w:r>
      <w:r w:rsidR="00AB21DA">
        <w:fldChar w:fldCharType="begin"/>
      </w:r>
      <w:r w:rsidR="00AB21DA">
        <w:instrText xml:space="preserve"> XE " System Validation:Operational Qualification" </w:instrText>
      </w:r>
      <w:r w:rsidR="00AB21DA">
        <w:fldChar w:fldCharType="end"/>
      </w:r>
    </w:p>
    <w:p w14:paraId="14D47A42" w14:textId="77777777" w:rsidR="008F2FBA" w:rsidRDefault="00AB21DA" w:rsidP="009D2266">
      <w:pPr>
        <w:pStyle w:val="BodyText"/>
      </w:pPr>
      <w:r>
        <w:t>The Operational Qualification (OQ) section includes</w:t>
      </w:r>
      <w:r w:rsidR="009D2266">
        <w:t xml:space="preserve"> testing the software</w:t>
      </w:r>
      <w:r w:rsidR="009C7E9A">
        <w:t xml:space="preserve"> (</w:t>
      </w:r>
      <w:r w:rsidR="009C4EA7" w:rsidRPr="00437093">
        <w:t xml:space="preserve">the </w:t>
      </w:r>
      <w:r w:rsidR="009C4EA7">
        <w:t>primary validation</w:t>
      </w:r>
      <w:r w:rsidR="009C4EA7" w:rsidRPr="00437093">
        <w:t xml:space="preserve"> activity</w:t>
      </w:r>
      <w:r w:rsidR="009C7E9A">
        <w:t>)</w:t>
      </w:r>
      <w:r w:rsidR="009D2266">
        <w:t>. Use your OQ to</w:t>
      </w:r>
      <w:r w:rsidR="009D2266" w:rsidRPr="00437093">
        <w:t xml:space="preserve"> challenge </w:t>
      </w:r>
      <w:r w:rsidR="0025598B">
        <w:t xml:space="preserve">VBECS </w:t>
      </w:r>
      <w:r w:rsidR="009D2266" w:rsidRPr="00437093">
        <w:t xml:space="preserve">and </w:t>
      </w:r>
      <w:r w:rsidR="0025598B">
        <w:t>the connection to VistA</w:t>
      </w:r>
      <w:r w:rsidR="005857F1">
        <w:t>.</w:t>
      </w:r>
      <w:r w:rsidR="009D2266" w:rsidRPr="00437093">
        <w:t xml:space="preserve"> </w:t>
      </w:r>
      <w:r w:rsidR="009D2266">
        <w:t>Base t</w:t>
      </w:r>
      <w:r w:rsidR="009D2266" w:rsidRPr="00437093">
        <w:t xml:space="preserve">he number and types of tests on the criticality of the </w:t>
      </w:r>
      <w:r w:rsidR="009D2266">
        <w:t>software function. The focus of this validation is to test the limits of what the system allows you to do, not how the system will be used.</w:t>
      </w:r>
      <w:r w:rsidR="009D2266" w:rsidRPr="009D2266">
        <w:t xml:space="preserve"> </w:t>
      </w:r>
      <w:r w:rsidR="008F2FBA">
        <w:t xml:space="preserve">Each facility will have a different level of validation based on local </w:t>
      </w:r>
      <w:r w:rsidR="00066BE2">
        <w:t>practices</w:t>
      </w:r>
      <w:r w:rsidR="008F2FBA">
        <w:t>.</w:t>
      </w:r>
    </w:p>
    <w:p w14:paraId="3662EDA6" w14:textId="77777777" w:rsidR="008F2FBA" w:rsidRDefault="009D2266" w:rsidP="009D2266">
      <w:pPr>
        <w:pStyle w:val="BodyText"/>
      </w:pPr>
      <w:r>
        <w:t>Analyze risks to ensure that</w:t>
      </w:r>
      <w:r w:rsidRPr="00437093">
        <w:t xml:space="preserve"> the scope and degree of validation</w:t>
      </w:r>
      <w:r>
        <w:t xml:space="preserve"> are</w:t>
      </w:r>
      <w:r w:rsidRPr="00437093">
        <w:t xml:space="preserve"> </w:t>
      </w:r>
      <w:r w:rsidR="00F1479E">
        <w:t>appropriate</w:t>
      </w:r>
      <w:r w:rsidRPr="00437093">
        <w:t xml:space="preserve">. </w:t>
      </w:r>
      <w:r>
        <w:t>(A</w:t>
      </w:r>
      <w:r w:rsidRPr="00437093">
        <w:t xml:space="preserve"> system </w:t>
      </w:r>
      <w:r>
        <w:t>error that may</w:t>
      </w:r>
      <w:r w:rsidRPr="00437093">
        <w:t xml:space="preserve"> result in direct and severe patient harm require</w:t>
      </w:r>
      <w:r>
        <w:t>s</w:t>
      </w:r>
      <w:r w:rsidRPr="00437093">
        <w:t xml:space="preserve"> more </w:t>
      </w:r>
      <w:r>
        <w:t>detailed and rigorous</w:t>
      </w:r>
      <w:r w:rsidRPr="00437093">
        <w:t xml:space="preserve"> </w:t>
      </w:r>
      <w:r>
        <w:t>testing than one</w:t>
      </w:r>
      <w:r w:rsidRPr="00437093">
        <w:t xml:space="preserve"> that </w:t>
      </w:r>
      <w:r>
        <w:t>may have</w:t>
      </w:r>
      <w:r w:rsidRPr="00437093">
        <w:t xml:space="preserve"> minor consequences.</w:t>
      </w:r>
      <w:r>
        <w:t xml:space="preserve">) </w:t>
      </w:r>
    </w:p>
    <w:p w14:paraId="0C43D193" w14:textId="77777777" w:rsidR="009D2266" w:rsidRDefault="009D2266" w:rsidP="009D2266">
      <w:pPr>
        <w:pStyle w:val="BodyText"/>
      </w:pPr>
      <w:r>
        <w:t>Create a t</w:t>
      </w:r>
      <w:r w:rsidRPr="00437093">
        <w:t xml:space="preserve">esting environment as </w:t>
      </w:r>
      <w:r>
        <w:t>much like</w:t>
      </w:r>
      <w:r w:rsidRPr="00437093">
        <w:t xml:space="preserve"> the production environment as possible.</w:t>
      </w:r>
      <w:r>
        <w:t xml:space="preserve"> Design t</w:t>
      </w:r>
      <w:r w:rsidRPr="00437093">
        <w:t>est case</w:t>
      </w:r>
      <w:r>
        <w:t>s to:</w:t>
      </w:r>
    </w:p>
    <w:p w14:paraId="20CBA6D5" w14:textId="77777777" w:rsidR="009D2266" w:rsidRPr="003409A2" w:rsidRDefault="009D2266" w:rsidP="009D2266">
      <w:pPr>
        <w:pStyle w:val="ListBullet"/>
      </w:pPr>
      <w:r w:rsidRPr="003409A2">
        <w:t>Address critical software functions.</w:t>
      </w:r>
    </w:p>
    <w:p w14:paraId="3FCBF639" w14:textId="77777777" w:rsidR="009D2266" w:rsidRPr="007108E9" w:rsidRDefault="009D2266" w:rsidP="009D2266">
      <w:pPr>
        <w:pStyle w:val="ListBullet"/>
      </w:pPr>
      <w:r w:rsidRPr="007108E9">
        <w:t>Detect failures and flaws.</w:t>
      </w:r>
    </w:p>
    <w:p w14:paraId="0EB1AF11" w14:textId="77777777" w:rsidR="009D2266" w:rsidRPr="00437093" w:rsidRDefault="009D2266" w:rsidP="009D2266">
      <w:pPr>
        <w:pStyle w:val="ListBullet"/>
      </w:pPr>
      <w:r w:rsidRPr="007108E9">
        <w:t xml:space="preserve">Verify and challenge system </w:t>
      </w:r>
      <w:r w:rsidR="00803E72">
        <w:t>functions and limitations</w:t>
      </w:r>
      <w:r w:rsidRPr="007108E9">
        <w:t>,</w:t>
      </w:r>
      <w:r w:rsidR="00A41AB9">
        <w:t xml:space="preserve"> and user documentation.</w:t>
      </w:r>
    </w:p>
    <w:p w14:paraId="5195E828" w14:textId="77777777" w:rsidR="009D2266" w:rsidRPr="009D2266" w:rsidRDefault="009D2266" w:rsidP="009D2266">
      <w:pPr>
        <w:pStyle w:val="BodyText"/>
      </w:pPr>
      <w:r w:rsidRPr="009D2266">
        <w:t xml:space="preserve">Verify data from VistA displayed in VBECS and data from VBECS displayed in VistA. </w:t>
      </w:r>
      <w:r w:rsidR="00BE2EB7">
        <w:t>(</w:t>
      </w:r>
      <w:r w:rsidRPr="009D2266">
        <w:t>Results will vary based on your VBECS settings.</w:t>
      </w:r>
      <w:r w:rsidR="00BE2EB7">
        <w:t>)</w:t>
      </w:r>
      <w:r w:rsidRPr="009D2266">
        <w:t xml:space="preserve"> Evaluate the output of the testing and determine whether the test passed or failed.</w:t>
      </w:r>
    </w:p>
    <w:p w14:paraId="7EF81D38" w14:textId="77777777" w:rsidR="009D2266" w:rsidRPr="009D2266" w:rsidRDefault="009D2266" w:rsidP="009D2266">
      <w:pPr>
        <w:pStyle w:val="BodyText"/>
      </w:pPr>
      <w:r w:rsidRPr="009D2266">
        <w:lastRenderedPageBreak/>
        <w:t>Maintain evidence of software testing, as part of the validation record, in accordance with standards established by accrediting agencies associated with the blood bank and laboratory. Include, at minimum, your inputs, outputs, and evidence that tests performed were satisfactory or unsatisfactory. (You may record input manually, make copies of unit labels or patient information, capture screen shots</w:t>
      </w:r>
      <w:r w:rsidR="00BE2EB7">
        <w:rPr>
          <w:rStyle w:val="FootnoteReference"/>
        </w:rPr>
        <w:footnoteReference w:id="8"/>
      </w:r>
      <w:r w:rsidRPr="009D2266">
        <w:t xml:space="preserve"> from VistA and VBECS, print various reports, etc.)</w:t>
      </w:r>
    </w:p>
    <w:p w14:paraId="0F85F39E" w14:textId="77777777" w:rsidR="009D2266" w:rsidRDefault="00AB21DA" w:rsidP="009D2266">
      <w:pPr>
        <w:pStyle w:val="Heading4"/>
      </w:pPr>
      <w:r>
        <w:t>Performance Qualification</w:t>
      </w:r>
      <w:r>
        <w:fldChar w:fldCharType="begin"/>
      </w:r>
      <w:r>
        <w:instrText xml:space="preserve"> XE " System Validation:Performance Qualification" </w:instrText>
      </w:r>
      <w:r>
        <w:fldChar w:fldCharType="end"/>
      </w:r>
    </w:p>
    <w:p w14:paraId="20DFBB0F" w14:textId="77777777" w:rsidR="009D2266" w:rsidRDefault="00AB21DA" w:rsidP="009D2266">
      <w:pPr>
        <w:pStyle w:val="BodyText"/>
      </w:pPr>
      <w:r>
        <w:t>The Performance Qualification (PQ) section focuses</w:t>
      </w:r>
      <w:r w:rsidR="009D2266">
        <w:t xml:space="preserve"> on the integration of the application and processes into your facility. This begins with the revision of Standard Operation Procedures (SOPs) and policies to include the proper use of the new system. Once the SOPs are in place and validated, train the users. Ensure that training materials and records are complete before allowing users to operate the system. Document the validation, including:</w:t>
      </w:r>
    </w:p>
    <w:p w14:paraId="4217ECF1" w14:textId="77777777" w:rsidR="009D2266" w:rsidRPr="001124B5" w:rsidRDefault="009D2266" w:rsidP="009D2266">
      <w:pPr>
        <w:pStyle w:val="ListBullet"/>
      </w:pPr>
      <w:r>
        <w:t>P</w:t>
      </w:r>
      <w:r w:rsidRPr="001124B5">
        <w:t>ersonnel participating in validation activities</w:t>
      </w:r>
    </w:p>
    <w:p w14:paraId="2AE99FC3" w14:textId="77777777" w:rsidR="009D2266" w:rsidRDefault="009D2266" w:rsidP="009D2266">
      <w:pPr>
        <w:pStyle w:val="ListBullet"/>
      </w:pPr>
      <w:r>
        <w:t>H</w:t>
      </w:r>
      <w:r w:rsidRPr="001124B5">
        <w:t xml:space="preserve">ardware and software change </w:t>
      </w:r>
      <w:r>
        <w:t>controls</w:t>
      </w:r>
    </w:p>
    <w:p w14:paraId="5FA2B6E2" w14:textId="77777777" w:rsidR="009D2266" w:rsidRDefault="009D2266" w:rsidP="009D2266">
      <w:pPr>
        <w:pStyle w:val="ListBullet"/>
      </w:pPr>
      <w:r>
        <w:t>Testing results</w:t>
      </w:r>
    </w:p>
    <w:p w14:paraId="004EDB0A" w14:textId="77777777" w:rsidR="009D2266" w:rsidRPr="001124B5" w:rsidRDefault="009D2266" w:rsidP="009D2266">
      <w:pPr>
        <w:pStyle w:val="ListBullet"/>
      </w:pPr>
      <w:r w:rsidRPr="001124B5">
        <w:t>SOP reviews, training plans, installation and implementation</w:t>
      </w:r>
    </w:p>
    <w:p w14:paraId="6C35C76D" w14:textId="77777777" w:rsidR="009D2266" w:rsidRPr="001124B5" w:rsidRDefault="009D2266" w:rsidP="009D2266">
      <w:pPr>
        <w:pStyle w:val="ListBullet"/>
      </w:pPr>
      <w:r>
        <w:t>Evaluation and acceptance</w:t>
      </w:r>
    </w:p>
    <w:p w14:paraId="663094A9" w14:textId="77777777" w:rsidR="009D2266" w:rsidRDefault="009D2266" w:rsidP="009D2266">
      <w:pPr>
        <w:pStyle w:val="ListBullet"/>
      </w:pPr>
      <w:r>
        <w:t>R</w:t>
      </w:r>
      <w:r w:rsidRPr="001124B5">
        <w:t>eview a</w:t>
      </w:r>
      <w:r>
        <w:t>nd approval authority and dates</w:t>
      </w:r>
    </w:p>
    <w:p w14:paraId="43C6117D" w14:textId="77777777" w:rsidR="005556BB" w:rsidRDefault="00BE2EB7" w:rsidP="005556BB">
      <w:pPr>
        <w:pStyle w:val="Heading3"/>
      </w:pPr>
      <w:r>
        <w:br w:type="page"/>
      </w:r>
      <w:bookmarkStart w:id="681" w:name="_Toc163645020"/>
      <w:r w:rsidR="005556BB">
        <w:lastRenderedPageBreak/>
        <w:t>Record System Settings</w:t>
      </w:r>
      <w:bookmarkEnd w:id="681"/>
      <w:r w:rsidR="005556BB">
        <w:fldChar w:fldCharType="begin"/>
      </w:r>
      <w:r w:rsidR="005556BB">
        <w:instrText xml:space="preserve"> XE " System Validation:Record System Settings" </w:instrText>
      </w:r>
      <w:r w:rsidR="005556BB">
        <w:fldChar w:fldCharType="end"/>
      </w:r>
    </w:p>
    <w:p w14:paraId="2099D043" w14:textId="77777777" w:rsidR="00AB21DA" w:rsidRDefault="00AB21DA" w:rsidP="00AB21DA">
      <w:pPr>
        <w:pStyle w:val="BodyText"/>
        <w:rPr>
          <w:szCs w:val="15"/>
        </w:rPr>
      </w:pPr>
      <w:r>
        <w:rPr>
          <w:szCs w:val="15"/>
        </w:rPr>
        <w:t>These sections describe how to capture system settings in preparation for validation.</w:t>
      </w:r>
    </w:p>
    <w:p w14:paraId="47D76ABD" w14:textId="77777777" w:rsidR="002E3C00" w:rsidRDefault="002E3C00" w:rsidP="002E3C00">
      <w:pPr>
        <w:pStyle w:val="Heading3"/>
      </w:pPr>
      <w:bookmarkStart w:id="682" w:name="_Toc114462094"/>
      <w:bookmarkStart w:id="683" w:name="_Toc163645021"/>
      <w:r>
        <w:t>Configure Division</w:t>
      </w:r>
      <w:bookmarkEnd w:id="682"/>
      <w:bookmarkEnd w:id="683"/>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Division</w:instrText>
      </w:r>
      <w:r w:rsidR="00992E88">
        <w:instrText xml:space="preserve">" </w:instrText>
      </w:r>
      <w:r w:rsidR="00992E88">
        <w:fldChar w:fldCharType="end"/>
      </w:r>
    </w:p>
    <w:p w14:paraId="2E26AAAE" w14:textId="42FAABC4" w:rsidR="002E3C00" w:rsidRDefault="002E3C00" w:rsidP="002E3C00">
      <w:pPr>
        <w:pStyle w:val="BodyText"/>
      </w:pPr>
      <w:r>
        <w:t xml:space="preserve">A user defines site parameters that affect how VBECS behaves at a specific division. VBECS may be configured to function differently at each division within a </w:t>
      </w:r>
      <w:r w:rsidR="00373BCF">
        <w:t>multidivisional</w:t>
      </w:r>
      <w:r>
        <w:t xml:space="preserve"> database. Site parameters may be redefined.</w:t>
      </w:r>
      <w:r w:rsidR="00250936">
        <w:t xml:space="preserve"> For more information, see </w:t>
      </w:r>
      <w:r w:rsidR="00EE455E">
        <w:t xml:space="preserve">Appendix </w:t>
      </w:r>
      <w:r w:rsidR="00EE455E">
        <w:rPr>
          <w:noProof/>
        </w:rPr>
        <w:t>G</w:t>
      </w:r>
      <w:r w:rsidR="00EE455E">
        <w:t>: Work Process Flowcharts</w:t>
      </w:r>
      <w:r w:rsidR="00250936">
        <w:t>.</w:t>
      </w:r>
    </w:p>
    <w:p w14:paraId="1C6E9CC5" w14:textId="77777777" w:rsidR="002E3C00" w:rsidRDefault="002E3C00" w:rsidP="002E3C00">
      <w:pPr>
        <w:pStyle w:val="Heading4"/>
        <w:rPr>
          <w:b w:val="0"/>
        </w:rPr>
      </w:pPr>
      <w:r>
        <w:t>User Roles with Access to This Option</w:t>
      </w:r>
      <w:r>
        <w:rPr>
          <w:b w:val="0"/>
        </w:rPr>
        <w:t xml:space="preserve"> </w:t>
      </w:r>
    </w:p>
    <w:p w14:paraId="5A80F6F3"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208EA9C3" w14:textId="77777777" w:rsidR="002E3C00" w:rsidRDefault="00B74754" w:rsidP="002E3C00">
      <w:pPr>
        <w:pStyle w:val="Heading4"/>
      </w:pPr>
      <w:r>
        <w:t>Preparation for Testing</w:t>
      </w:r>
    </w:p>
    <w:p w14:paraId="1C135D62" w14:textId="77777777" w:rsidR="004635C9" w:rsidRDefault="002E3C00" w:rsidP="00925CAD">
      <w:pPr>
        <w:pStyle w:val="ListNumber"/>
        <w:numPr>
          <w:ilvl w:val="0"/>
          <w:numId w:val="16"/>
        </w:numPr>
        <w:tabs>
          <w:tab w:val="clear" w:pos="720"/>
          <w:tab w:val="num" w:pos="360"/>
        </w:tabs>
        <w:ind w:left="360"/>
      </w:pPr>
      <w:r>
        <w:t xml:space="preserve">Select </w:t>
      </w:r>
      <w:r w:rsidRPr="00600497">
        <w:rPr>
          <w:b/>
        </w:rPr>
        <w:t>Configure Division</w:t>
      </w:r>
      <w:r>
        <w:t xml:space="preserve">. </w:t>
      </w:r>
    </w:p>
    <w:p w14:paraId="2DF22D47" w14:textId="77777777" w:rsidR="002E3C00" w:rsidRDefault="002E3C00" w:rsidP="00925CAD">
      <w:pPr>
        <w:pStyle w:val="ListNumber"/>
        <w:numPr>
          <w:ilvl w:val="0"/>
          <w:numId w:val="16"/>
        </w:numPr>
        <w:tabs>
          <w:tab w:val="clear" w:pos="720"/>
          <w:tab w:val="num" w:pos="360"/>
        </w:tabs>
        <w:ind w:left="360"/>
      </w:pPr>
      <w:r>
        <w:t>Record:</w:t>
      </w:r>
    </w:p>
    <w:p w14:paraId="3EBFCADE" w14:textId="77777777" w:rsidR="00F8408D" w:rsidRPr="00010A5B" w:rsidRDefault="00F8408D" w:rsidP="009329C1">
      <w:pPr>
        <w:pStyle w:val="ListBullet"/>
        <w:tabs>
          <w:tab w:val="right" w:leader="underscore" w:pos="9360"/>
        </w:tabs>
      </w:pPr>
      <w:r w:rsidRPr="00010A5B">
        <w:t>ICCBBA registration number:</w:t>
      </w:r>
      <w:r w:rsidR="002C2290">
        <w:tab/>
      </w:r>
    </w:p>
    <w:p w14:paraId="5ED68AD3" w14:textId="77777777" w:rsidR="00010A5B" w:rsidRPr="00010A5B" w:rsidRDefault="002E3C00" w:rsidP="009329C1">
      <w:pPr>
        <w:pStyle w:val="ListBullet"/>
        <w:tabs>
          <w:tab w:val="right" w:leader="underscore" w:pos="9360"/>
        </w:tabs>
      </w:pPr>
      <w:r w:rsidRPr="00010A5B">
        <w:t>Blood Bank Medical Director</w:t>
      </w:r>
      <w:r w:rsidR="004C67FE" w:rsidRPr="00010A5B">
        <w:t>’s name</w:t>
      </w:r>
      <w:r w:rsidRPr="00010A5B">
        <w:t xml:space="preserve"> as you</w:t>
      </w:r>
      <w:r w:rsidR="00F8408D" w:rsidRPr="00010A5B">
        <w:t xml:space="preserve"> want it to appear on reports:</w:t>
      </w:r>
      <w:r w:rsidR="009329C1">
        <w:tab/>
      </w:r>
    </w:p>
    <w:p w14:paraId="6798BB3C" w14:textId="77777777" w:rsidR="002E3C00" w:rsidRDefault="002E3C00" w:rsidP="009329C1">
      <w:pPr>
        <w:pStyle w:val="ListBullet"/>
        <w:tabs>
          <w:tab w:val="right" w:leader="underscore" w:pos="9360"/>
        </w:tabs>
      </w:pPr>
      <w:r>
        <w:t>Latest expiration date (default: three days) for specimens, in accordance with l</w:t>
      </w:r>
      <w:r w:rsidR="00F8408D">
        <w:t xml:space="preserve">ocal policies and procedures: </w:t>
      </w:r>
      <w:r w:rsidR="00F8408D">
        <w:tab/>
      </w:r>
    </w:p>
    <w:p w14:paraId="6953CCED" w14:textId="77777777" w:rsidR="00F8408D" w:rsidRDefault="002E3C00" w:rsidP="00925CAD">
      <w:pPr>
        <w:pStyle w:val="ListNumber"/>
        <w:numPr>
          <w:ilvl w:val="0"/>
          <w:numId w:val="16"/>
        </w:numPr>
        <w:tabs>
          <w:tab w:val="clear" w:pos="720"/>
          <w:tab w:val="num" w:pos="360"/>
          <w:tab w:val="right" w:leader="underscore" w:pos="9360"/>
        </w:tabs>
        <w:ind w:left="360"/>
      </w:pPr>
      <w:r>
        <w:t>Is your division full service (FS) or transfusion only (TO)?</w:t>
      </w:r>
      <w:r>
        <w:tab/>
      </w:r>
    </w:p>
    <w:p w14:paraId="4EE9A206" w14:textId="77777777" w:rsidR="00F8408D" w:rsidRDefault="002E3C00" w:rsidP="00925CAD">
      <w:pPr>
        <w:pStyle w:val="ListNumber"/>
        <w:numPr>
          <w:ilvl w:val="0"/>
          <w:numId w:val="16"/>
        </w:numPr>
        <w:tabs>
          <w:tab w:val="clear" w:pos="720"/>
          <w:tab w:val="num" w:pos="360"/>
          <w:tab w:val="right" w:leader="underscore" w:pos="9360"/>
        </w:tabs>
        <w:ind w:left="360"/>
      </w:pPr>
      <w:r>
        <w:t xml:space="preserve">If your site does not perform </w:t>
      </w:r>
      <w:r w:rsidRPr="00FB7F8D">
        <w:t>on-site testing</w:t>
      </w:r>
      <w:r>
        <w:t>, continue at Order Alerts.</w:t>
      </w:r>
    </w:p>
    <w:p w14:paraId="73F998AB" w14:textId="77777777" w:rsidR="002E3C00" w:rsidRDefault="002E3C00" w:rsidP="00925CAD">
      <w:pPr>
        <w:pStyle w:val="ListNumber"/>
        <w:numPr>
          <w:ilvl w:val="0"/>
          <w:numId w:val="16"/>
        </w:numPr>
        <w:tabs>
          <w:tab w:val="clear" w:pos="720"/>
          <w:tab w:val="num" w:pos="360"/>
          <w:tab w:val="right" w:leader="underscore" w:pos="9360"/>
        </w:tabs>
        <w:ind w:left="360"/>
      </w:pPr>
      <w:r>
        <w:t>If your division is full service, do you want to enable electronic crossmatch?</w:t>
      </w:r>
      <w:r>
        <w:tab/>
      </w:r>
    </w:p>
    <w:p w14:paraId="4962C5D1" w14:textId="77777777" w:rsidR="002E3C00" w:rsidRPr="00FB7F8D" w:rsidRDefault="002E3C00" w:rsidP="00925CAD">
      <w:pPr>
        <w:pStyle w:val="ListNumber"/>
        <w:numPr>
          <w:ilvl w:val="0"/>
          <w:numId w:val="16"/>
        </w:numPr>
        <w:tabs>
          <w:tab w:val="clear" w:pos="720"/>
          <w:tab w:val="num" w:pos="360"/>
          <w:tab w:val="right" w:leader="underscore" w:pos="9360"/>
        </w:tabs>
        <w:ind w:left="360"/>
      </w:pPr>
      <w:r w:rsidRPr="00FB7F8D">
        <w:t>Print</w:t>
      </w:r>
      <w:r w:rsidR="00EB160D">
        <w:t>, sign, date,</w:t>
      </w:r>
      <w:r w:rsidRPr="00FB7F8D">
        <w:t xml:space="preserve"> and save an </w:t>
      </w:r>
      <w:r>
        <w:t>A</w:t>
      </w:r>
      <w:r w:rsidRPr="00FB7F8D">
        <w:t xml:space="preserve">udit </w:t>
      </w:r>
      <w:r>
        <w:t>Trail R</w:t>
      </w:r>
      <w:r w:rsidRPr="00FB7F8D">
        <w:t>e</w:t>
      </w:r>
      <w:r w:rsidR="00600497">
        <w:t>port for your validation record.</w:t>
      </w:r>
    </w:p>
    <w:p w14:paraId="6D4BB9C4" w14:textId="77777777" w:rsidR="002E3C00" w:rsidRDefault="002E3C00" w:rsidP="002E3C00">
      <w:pPr>
        <w:pStyle w:val="Heading3"/>
      </w:pPr>
      <w:bookmarkStart w:id="684" w:name="_Toc85895784"/>
      <w:bookmarkStart w:id="685" w:name="_Toc113264241"/>
      <w:bookmarkStart w:id="686" w:name="_Toc114462095"/>
      <w:bookmarkStart w:id="687" w:name="_Toc163645022"/>
      <w:r w:rsidRPr="00FB7F8D">
        <w:t>Configure Testi</w:t>
      </w:r>
      <w:r>
        <w:t>ng: Full Service</w:t>
      </w:r>
      <w:bookmarkEnd w:id="684"/>
      <w:bookmarkEnd w:id="685"/>
      <w:bookmarkEnd w:id="686"/>
      <w:bookmarkEnd w:id="68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Testing\: Full Service</w:instrText>
      </w:r>
      <w:r w:rsidR="00992E88">
        <w:instrText xml:space="preserve">" </w:instrText>
      </w:r>
      <w:r w:rsidR="00992E88">
        <w:fldChar w:fldCharType="end"/>
      </w:r>
    </w:p>
    <w:p w14:paraId="0D22820D" w14:textId="777CD8D4" w:rsidR="002E3C00" w:rsidRPr="007970BE" w:rsidRDefault="002E3C00" w:rsidP="002E3C00">
      <w:pPr>
        <w:pStyle w:val="BodyText"/>
      </w:pPr>
      <w:r>
        <w:t>The user sets testing preferences in accordance with a division’s medical policies.</w:t>
      </w:r>
      <w:r w:rsidR="000150E9">
        <w:t xml:space="preserve"> For more information, see </w:t>
      </w:r>
      <w:r w:rsidR="00EE455E">
        <w:t xml:space="preserve">Appendix </w:t>
      </w:r>
      <w:r w:rsidR="00EE455E">
        <w:rPr>
          <w:noProof/>
        </w:rPr>
        <w:t>G</w:t>
      </w:r>
      <w:r w:rsidR="00EE455E">
        <w:t>: Work Process Flowcharts</w:t>
      </w:r>
      <w:r w:rsidR="000150E9">
        <w:t>.</w:t>
      </w:r>
    </w:p>
    <w:p w14:paraId="7FE3EB49" w14:textId="77777777" w:rsidR="002E3C00" w:rsidRDefault="002E3C00" w:rsidP="002E3C00">
      <w:pPr>
        <w:pStyle w:val="Heading4"/>
        <w:rPr>
          <w:b w:val="0"/>
        </w:rPr>
      </w:pPr>
      <w:r>
        <w:t>User Roles with Access to This Option</w:t>
      </w:r>
      <w:r>
        <w:rPr>
          <w:b w:val="0"/>
        </w:rPr>
        <w:t xml:space="preserve"> </w:t>
      </w:r>
    </w:p>
    <w:p w14:paraId="65C6430F"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020773E4" w14:textId="77777777" w:rsidR="002E3C00" w:rsidRDefault="00B74754" w:rsidP="002E3C00">
      <w:pPr>
        <w:pStyle w:val="Heading4"/>
      </w:pPr>
      <w:r>
        <w:t>Preparation for Testing</w:t>
      </w:r>
    </w:p>
    <w:p w14:paraId="72F59258" w14:textId="77777777" w:rsidR="002E3C00" w:rsidRPr="00600497" w:rsidRDefault="002E3C00" w:rsidP="00925CAD">
      <w:pPr>
        <w:pStyle w:val="ListNumber"/>
        <w:numPr>
          <w:ilvl w:val="0"/>
          <w:numId w:val="17"/>
        </w:numPr>
        <w:tabs>
          <w:tab w:val="clear" w:pos="720"/>
          <w:tab w:val="num" w:pos="360"/>
        </w:tabs>
        <w:ind w:left="360"/>
      </w:pPr>
      <w:r>
        <w:t>S</w:t>
      </w:r>
      <w:r w:rsidRPr="00600497">
        <w:t>et testing preferences.</w:t>
      </w:r>
    </w:p>
    <w:p w14:paraId="51FC33BB" w14:textId="77777777" w:rsidR="002E3C00" w:rsidRPr="00600497" w:rsidRDefault="002E3C00" w:rsidP="00925CAD">
      <w:pPr>
        <w:pStyle w:val="ListNumber"/>
        <w:numPr>
          <w:ilvl w:val="0"/>
          <w:numId w:val="17"/>
        </w:numPr>
        <w:tabs>
          <w:tab w:val="clear" w:pos="720"/>
          <w:tab w:val="num" w:pos="360"/>
        </w:tabs>
        <w:ind w:left="360"/>
      </w:pPr>
      <w:r w:rsidRPr="00600497">
        <w:t>Capture and save a screen shot of each piece of information.</w:t>
      </w:r>
    </w:p>
    <w:p w14:paraId="53595DC8" w14:textId="77777777" w:rsidR="00232E43" w:rsidRPr="00FB7F8D" w:rsidRDefault="00232E43" w:rsidP="00925CAD">
      <w:pPr>
        <w:pStyle w:val="ListNumber"/>
        <w:numPr>
          <w:ilvl w:val="0"/>
          <w:numId w:val="17"/>
        </w:numPr>
        <w:tabs>
          <w:tab w:val="clear" w:pos="720"/>
          <w:tab w:val="num" w:pos="360"/>
        </w:tabs>
        <w:ind w:left="360"/>
      </w:pPr>
      <w:bookmarkStart w:id="688" w:name="_Toc85895786"/>
      <w:bookmarkStart w:id="689" w:name="_Toc113264243"/>
      <w:bookmarkStart w:id="690" w:name="_Toc114462096"/>
      <w:bookmarkStart w:id="691" w:name="_Toc85895785"/>
      <w:bookmarkStart w:id="692" w:name="_Toc113264242"/>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66F9B1F" w14:textId="77777777" w:rsidR="002E3C00" w:rsidRDefault="007F0132" w:rsidP="002E3C00">
      <w:pPr>
        <w:pStyle w:val="Heading3"/>
      </w:pPr>
      <w:r>
        <w:br w:type="page"/>
      </w:r>
      <w:bookmarkStart w:id="693" w:name="_Toc163645023"/>
      <w:r w:rsidR="002E3C00">
        <w:lastRenderedPageBreak/>
        <w:t>Product Modifications</w:t>
      </w:r>
      <w:bookmarkEnd w:id="688"/>
      <w:bookmarkEnd w:id="689"/>
      <w:r w:rsidR="002E3C00">
        <w:t>: Full Service</w:t>
      </w:r>
      <w:bookmarkEnd w:id="690"/>
      <w:bookmarkEnd w:id="693"/>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Product Modifications\: Full Service</w:instrText>
      </w:r>
      <w:r w:rsidR="00992E88">
        <w:instrText xml:space="preserve">" </w:instrText>
      </w:r>
      <w:r w:rsidR="00992E88">
        <w:fldChar w:fldCharType="end"/>
      </w:r>
    </w:p>
    <w:p w14:paraId="229EC975" w14:textId="269E4221" w:rsidR="002E3C00" w:rsidRPr="007970BE" w:rsidRDefault="002E3C00" w:rsidP="002E3C00">
      <w:pPr>
        <w:pStyle w:val="BodyText"/>
      </w:pPr>
      <w:r>
        <w:t>The user enables the types of modifications made at a division.</w:t>
      </w:r>
      <w:r w:rsidR="008D2779">
        <w:t xml:space="preserve"> For more information, see </w:t>
      </w:r>
      <w:r w:rsidR="00EE455E">
        <w:t xml:space="preserve">Appendix </w:t>
      </w:r>
      <w:r w:rsidR="00EE455E">
        <w:rPr>
          <w:noProof/>
        </w:rPr>
        <w:t>G</w:t>
      </w:r>
      <w:r w:rsidR="00EE455E">
        <w:t>: Work Process Flowcharts</w:t>
      </w:r>
      <w:r w:rsidR="008D2779">
        <w:t>.</w:t>
      </w:r>
    </w:p>
    <w:p w14:paraId="40A35523" w14:textId="77777777" w:rsidR="002E3C00" w:rsidRDefault="002E3C00" w:rsidP="002E3C00">
      <w:pPr>
        <w:pStyle w:val="Heading4"/>
        <w:rPr>
          <w:b w:val="0"/>
        </w:rPr>
      </w:pPr>
      <w:r>
        <w:t>User Roles with Access to This Option</w:t>
      </w:r>
      <w:r>
        <w:rPr>
          <w:b w:val="0"/>
        </w:rPr>
        <w:t xml:space="preserve"> </w:t>
      </w:r>
    </w:p>
    <w:p w14:paraId="5505EC11"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F3E2589" w14:textId="77777777" w:rsidR="002E3C00" w:rsidRDefault="00B74754" w:rsidP="002E3C00">
      <w:pPr>
        <w:pStyle w:val="Heading4"/>
      </w:pPr>
      <w:r>
        <w:t>Preparation for Testing</w:t>
      </w:r>
    </w:p>
    <w:p w14:paraId="6E32DF0B" w14:textId="77777777" w:rsidR="002E3C00" w:rsidRDefault="002E3C00" w:rsidP="002E3C00">
      <w:pPr>
        <w:pStyle w:val="BodyText"/>
      </w:pPr>
      <w:r>
        <w:t>Modification processes are disabled by default. You must activate modification types performed at your facility. You may select none, some, or all. Enter a processing cost for each modification type, as applicable. You may update these settings later.</w:t>
      </w:r>
    </w:p>
    <w:p w14:paraId="30A3A6E0" w14:textId="36255EBB" w:rsidR="002E3C00" w:rsidRDefault="002E3C00" w:rsidP="00AD60CF">
      <w:pPr>
        <w:pStyle w:val="Caption"/>
        <w:ind w:left="288" w:hanging="288"/>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27</w:t>
      </w:r>
      <w:r w:rsidR="004E20BD">
        <w:rPr>
          <w:noProof/>
        </w:rPr>
        <w:fldChar w:fldCharType="end"/>
      </w:r>
      <w:r>
        <w:t>: Modification Types and Costs</w:t>
      </w:r>
      <w:r w:rsidR="00AD60CF">
        <w:fldChar w:fldCharType="begin"/>
      </w:r>
      <w:r w:rsidR="00AD60CF">
        <w:instrText xml:space="preserve"> XE "Tables:</w:instrText>
      </w:r>
      <w:r w:rsidR="00AD60CF" w:rsidRPr="0046419F">
        <w:instrText>Modification Types and Costs</w:instrText>
      </w:r>
      <w:r w:rsidR="00AD60CF">
        <w:instrText xml:space="preserve">" </w:instrText>
      </w:r>
      <w:r w:rsidR="00AD60CF">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gridCol w:w="1440"/>
        <w:gridCol w:w="1440"/>
      </w:tblGrid>
      <w:tr w:rsidR="002E3C00" w:rsidRPr="00020DA9" w14:paraId="696AE1E5" w14:textId="77777777">
        <w:trPr>
          <w:cantSplit/>
          <w:tblHeader/>
        </w:trPr>
        <w:tc>
          <w:tcPr>
            <w:tcW w:w="2160" w:type="dxa"/>
            <w:vMerge w:val="restart"/>
            <w:shd w:val="clear" w:color="auto" w:fill="B3B3B3"/>
            <w:vAlign w:val="bottom"/>
          </w:tcPr>
          <w:p w14:paraId="1145BF36" w14:textId="77777777" w:rsidR="002E3C00" w:rsidRPr="00020DA9" w:rsidRDefault="002E3C00" w:rsidP="002E3C00">
            <w:pPr>
              <w:pStyle w:val="TableText"/>
              <w:rPr>
                <w:b/>
              </w:rPr>
            </w:pPr>
            <w:r w:rsidRPr="00020DA9">
              <w:rPr>
                <w:b/>
              </w:rPr>
              <w:t>Modification Type</w:t>
            </w:r>
          </w:p>
        </w:tc>
        <w:tc>
          <w:tcPr>
            <w:tcW w:w="1440" w:type="dxa"/>
            <w:gridSpan w:val="2"/>
            <w:shd w:val="clear" w:color="auto" w:fill="B3B3B3"/>
            <w:vAlign w:val="bottom"/>
          </w:tcPr>
          <w:p w14:paraId="3BC53A4F" w14:textId="77777777" w:rsidR="002E3C00" w:rsidRPr="00020DA9" w:rsidRDefault="002E3C00" w:rsidP="003B2CDC">
            <w:pPr>
              <w:pStyle w:val="TableText"/>
              <w:jc w:val="center"/>
              <w:rPr>
                <w:b/>
              </w:rPr>
            </w:pPr>
            <w:r>
              <w:rPr>
                <w:b/>
              </w:rPr>
              <w:t>Modification Processes</w:t>
            </w:r>
          </w:p>
        </w:tc>
        <w:tc>
          <w:tcPr>
            <w:tcW w:w="1440" w:type="dxa"/>
            <w:vMerge w:val="restart"/>
            <w:shd w:val="clear" w:color="auto" w:fill="B3B3B3"/>
            <w:vAlign w:val="bottom"/>
          </w:tcPr>
          <w:p w14:paraId="185AAB50" w14:textId="77777777" w:rsidR="002E3C00" w:rsidRPr="00020DA9" w:rsidRDefault="002E3C00" w:rsidP="002E3C00">
            <w:pPr>
              <w:pStyle w:val="TableText"/>
              <w:rPr>
                <w:b/>
              </w:rPr>
            </w:pPr>
            <w:r>
              <w:rPr>
                <w:b/>
              </w:rPr>
              <w:t xml:space="preserve">Processing </w:t>
            </w:r>
            <w:r w:rsidRPr="00020DA9">
              <w:rPr>
                <w:b/>
              </w:rPr>
              <w:t>Cost</w:t>
            </w:r>
          </w:p>
        </w:tc>
      </w:tr>
      <w:tr w:rsidR="002E3C00" w:rsidRPr="00020DA9" w14:paraId="495177D7" w14:textId="77777777">
        <w:trPr>
          <w:cantSplit/>
          <w:tblHeader/>
        </w:trPr>
        <w:tc>
          <w:tcPr>
            <w:tcW w:w="2160" w:type="dxa"/>
            <w:vMerge/>
            <w:shd w:val="clear" w:color="auto" w:fill="B3B3B3"/>
          </w:tcPr>
          <w:p w14:paraId="4468F31F" w14:textId="77777777" w:rsidR="002E3C00" w:rsidRPr="00020DA9" w:rsidRDefault="002E3C00" w:rsidP="002E3C00">
            <w:pPr>
              <w:pStyle w:val="TableText"/>
              <w:rPr>
                <w:b/>
              </w:rPr>
            </w:pPr>
          </w:p>
        </w:tc>
        <w:tc>
          <w:tcPr>
            <w:tcW w:w="1440" w:type="dxa"/>
            <w:shd w:val="clear" w:color="auto" w:fill="B3B3B3"/>
          </w:tcPr>
          <w:p w14:paraId="0943B971" w14:textId="77777777" w:rsidR="002E3C00" w:rsidRPr="00020DA9" w:rsidRDefault="002E3C00" w:rsidP="002E3C00">
            <w:pPr>
              <w:pStyle w:val="TableText"/>
              <w:rPr>
                <w:b/>
              </w:rPr>
            </w:pPr>
            <w:r w:rsidRPr="00020DA9">
              <w:rPr>
                <w:b/>
              </w:rPr>
              <w:t>Enabled</w:t>
            </w:r>
          </w:p>
        </w:tc>
        <w:tc>
          <w:tcPr>
            <w:tcW w:w="1440" w:type="dxa"/>
            <w:shd w:val="clear" w:color="auto" w:fill="B3B3B3"/>
          </w:tcPr>
          <w:p w14:paraId="062DDAFA" w14:textId="77777777" w:rsidR="002E3C00" w:rsidRPr="00020DA9" w:rsidRDefault="002E3C00" w:rsidP="002E3C00">
            <w:pPr>
              <w:pStyle w:val="TableText"/>
              <w:rPr>
                <w:b/>
              </w:rPr>
            </w:pPr>
            <w:r w:rsidRPr="00020DA9">
              <w:rPr>
                <w:b/>
              </w:rPr>
              <w:t>Disabled</w:t>
            </w:r>
          </w:p>
        </w:tc>
        <w:tc>
          <w:tcPr>
            <w:tcW w:w="1440" w:type="dxa"/>
            <w:vMerge/>
            <w:shd w:val="clear" w:color="auto" w:fill="B3B3B3"/>
          </w:tcPr>
          <w:p w14:paraId="283661C5" w14:textId="77777777" w:rsidR="002E3C00" w:rsidRPr="00020DA9" w:rsidRDefault="002E3C00" w:rsidP="002E3C00">
            <w:pPr>
              <w:pStyle w:val="TableText"/>
              <w:rPr>
                <w:b/>
              </w:rPr>
            </w:pPr>
          </w:p>
        </w:tc>
      </w:tr>
      <w:tr w:rsidR="002E3C00" w14:paraId="608696F1" w14:textId="77777777">
        <w:trPr>
          <w:cantSplit/>
        </w:trPr>
        <w:tc>
          <w:tcPr>
            <w:tcW w:w="2160" w:type="dxa"/>
          </w:tcPr>
          <w:p w14:paraId="556F5290" w14:textId="77777777" w:rsidR="002E3C00" w:rsidRDefault="002E3C00" w:rsidP="002E3C00">
            <w:pPr>
              <w:pStyle w:val="TableText"/>
            </w:pPr>
            <w:r>
              <w:t>Thaw</w:t>
            </w:r>
          </w:p>
        </w:tc>
        <w:tc>
          <w:tcPr>
            <w:tcW w:w="1440" w:type="dxa"/>
          </w:tcPr>
          <w:p w14:paraId="2ABF47E3" w14:textId="77777777" w:rsidR="002E3C00" w:rsidRDefault="002E3C00" w:rsidP="002E3C00">
            <w:pPr>
              <w:pStyle w:val="TableText"/>
            </w:pPr>
          </w:p>
        </w:tc>
        <w:tc>
          <w:tcPr>
            <w:tcW w:w="1440" w:type="dxa"/>
          </w:tcPr>
          <w:p w14:paraId="0735A6AF" w14:textId="77777777" w:rsidR="002E3C00" w:rsidRDefault="002E3C00" w:rsidP="002E3C00">
            <w:pPr>
              <w:pStyle w:val="TableText"/>
            </w:pPr>
          </w:p>
        </w:tc>
        <w:tc>
          <w:tcPr>
            <w:tcW w:w="1440" w:type="dxa"/>
          </w:tcPr>
          <w:p w14:paraId="30484B89" w14:textId="77777777" w:rsidR="002E3C00" w:rsidRDefault="002E3C00" w:rsidP="002E3C00">
            <w:pPr>
              <w:pStyle w:val="TableText"/>
            </w:pPr>
          </w:p>
        </w:tc>
      </w:tr>
      <w:tr w:rsidR="002E3C00" w14:paraId="62717EA5" w14:textId="77777777">
        <w:trPr>
          <w:cantSplit/>
        </w:trPr>
        <w:tc>
          <w:tcPr>
            <w:tcW w:w="2160" w:type="dxa"/>
          </w:tcPr>
          <w:p w14:paraId="26598307" w14:textId="77777777" w:rsidR="002E3C00" w:rsidRDefault="002E3C00" w:rsidP="002E3C00">
            <w:pPr>
              <w:pStyle w:val="TableText"/>
            </w:pPr>
            <w:r>
              <w:t xml:space="preserve">Pool </w:t>
            </w:r>
          </w:p>
        </w:tc>
        <w:tc>
          <w:tcPr>
            <w:tcW w:w="1440" w:type="dxa"/>
          </w:tcPr>
          <w:p w14:paraId="53047776" w14:textId="77777777" w:rsidR="002E3C00" w:rsidRDefault="002E3C00" w:rsidP="002E3C00">
            <w:pPr>
              <w:pStyle w:val="TableText"/>
            </w:pPr>
          </w:p>
        </w:tc>
        <w:tc>
          <w:tcPr>
            <w:tcW w:w="1440" w:type="dxa"/>
          </w:tcPr>
          <w:p w14:paraId="6D67D47D" w14:textId="77777777" w:rsidR="002E3C00" w:rsidRDefault="002E3C00" w:rsidP="002E3C00">
            <w:pPr>
              <w:pStyle w:val="TableText"/>
            </w:pPr>
          </w:p>
        </w:tc>
        <w:tc>
          <w:tcPr>
            <w:tcW w:w="1440" w:type="dxa"/>
          </w:tcPr>
          <w:p w14:paraId="434FAB75" w14:textId="77777777" w:rsidR="002E3C00" w:rsidRDefault="002E3C00" w:rsidP="002E3C00">
            <w:pPr>
              <w:pStyle w:val="TableText"/>
            </w:pPr>
          </w:p>
        </w:tc>
      </w:tr>
      <w:tr w:rsidR="002E3C00" w14:paraId="6EDBEAD7" w14:textId="77777777">
        <w:trPr>
          <w:cantSplit/>
        </w:trPr>
        <w:tc>
          <w:tcPr>
            <w:tcW w:w="2160" w:type="dxa"/>
          </w:tcPr>
          <w:p w14:paraId="3714634C" w14:textId="77777777" w:rsidR="002E3C00" w:rsidRDefault="002E3C00" w:rsidP="002E3C00">
            <w:pPr>
              <w:pStyle w:val="TableText"/>
            </w:pPr>
            <w:r>
              <w:t>Thaw/Pool Cryo</w:t>
            </w:r>
          </w:p>
        </w:tc>
        <w:tc>
          <w:tcPr>
            <w:tcW w:w="1440" w:type="dxa"/>
          </w:tcPr>
          <w:p w14:paraId="24322EE8" w14:textId="77777777" w:rsidR="002E3C00" w:rsidRDefault="002E3C00" w:rsidP="002E3C00">
            <w:pPr>
              <w:pStyle w:val="TableText"/>
            </w:pPr>
          </w:p>
        </w:tc>
        <w:tc>
          <w:tcPr>
            <w:tcW w:w="1440" w:type="dxa"/>
          </w:tcPr>
          <w:p w14:paraId="343E3B05" w14:textId="77777777" w:rsidR="002E3C00" w:rsidRDefault="002E3C00" w:rsidP="002E3C00">
            <w:pPr>
              <w:pStyle w:val="TableText"/>
            </w:pPr>
          </w:p>
        </w:tc>
        <w:tc>
          <w:tcPr>
            <w:tcW w:w="1440" w:type="dxa"/>
          </w:tcPr>
          <w:p w14:paraId="526B0642" w14:textId="77777777" w:rsidR="002E3C00" w:rsidRDefault="002E3C00" w:rsidP="002E3C00">
            <w:pPr>
              <w:pStyle w:val="TableText"/>
            </w:pPr>
          </w:p>
        </w:tc>
      </w:tr>
      <w:tr w:rsidR="002E3C00" w14:paraId="2F4BABEA" w14:textId="77777777">
        <w:trPr>
          <w:cantSplit/>
        </w:trPr>
        <w:tc>
          <w:tcPr>
            <w:tcW w:w="2160" w:type="dxa"/>
          </w:tcPr>
          <w:p w14:paraId="05CD2448" w14:textId="77777777" w:rsidR="002E3C00" w:rsidRDefault="002E3C00" w:rsidP="002E3C00">
            <w:pPr>
              <w:pStyle w:val="TableText"/>
            </w:pPr>
            <w:r>
              <w:t>Split/Divide</w:t>
            </w:r>
          </w:p>
        </w:tc>
        <w:tc>
          <w:tcPr>
            <w:tcW w:w="1440" w:type="dxa"/>
          </w:tcPr>
          <w:p w14:paraId="29F5A078" w14:textId="77777777" w:rsidR="002E3C00" w:rsidRDefault="002E3C00" w:rsidP="002E3C00">
            <w:pPr>
              <w:pStyle w:val="TableText"/>
            </w:pPr>
          </w:p>
        </w:tc>
        <w:tc>
          <w:tcPr>
            <w:tcW w:w="1440" w:type="dxa"/>
          </w:tcPr>
          <w:p w14:paraId="4F19EBEB" w14:textId="77777777" w:rsidR="002E3C00" w:rsidRDefault="002E3C00" w:rsidP="002E3C00">
            <w:pPr>
              <w:pStyle w:val="TableText"/>
            </w:pPr>
          </w:p>
        </w:tc>
        <w:tc>
          <w:tcPr>
            <w:tcW w:w="1440" w:type="dxa"/>
          </w:tcPr>
          <w:p w14:paraId="307C656C" w14:textId="77777777" w:rsidR="002E3C00" w:rsidRDefault="002E3C00" w:rsidP="002E3C00">
            <w:pPr>
              <w:pStyle w:val="TableText"/>
            </w:pPr>
          </w:p>
        </w:tc>
      </w:tr>
      <w:tr w:rsidR="002E3C00" w14:paraId="1B87C748" w14:textId="77777777">
        <w:trPr>
          <w:cantSplit/>
        </w:trPr>
        <w:tc>
          <w:tcPr>
            <w:tcW w:w="2160" w:type="dxa"/>
          </w:tcPr>
          <w:p w14:paraId="050EF505" w14:textId="77777777" w:rsidR="002E3C00" w:rsidRDefault="002E3C00" w:rsidP="002E3C00">
            <w:pPr>
              <w:pStyle w:val="TableText"/>
            </w:pPr>
            <w:r>
              <w:t>Irradiate</w:t>
            </w:r>
          </w:p>
        </w:tc>
        <w:tc>
          <w:tcPr>
            <w:tcW w:w="1440" w:type="dxa"/>
          </w:tcPr>
          <w:p w14:paraId="29DA7F75" w14:textId="77777777" w:rsidR="002E3C00" w:rsidRDefault="002E3C00" w:rsidP="002E3C00">
            <w:pPr>
              <w:pStyle w:val="TableText"/>
            </w:pPr>
          </w:p>
        </w:tc>
        <w:tc>
          <w:tcPr>
            <w:tcW w:w="1440" w:type="dxa"/>
          </w:tcPr>
          <w:p w14:paraId="3E587FA6" w14:textId="77777777" w:rsidR="002E3C00" w:rsidRDefault="002E3C00" w:rsidP="002E3C00">
            <w:pPr>
              <w:pStyle w:val="TableText"/>
            </w:pPr>
          </w:p>
        </w:tc>
        <w:tc>
          <w:tcPr>
            <w:tcW w:w="1440" w:type="dxa"/>
          </w:tcPr>
          <w:p w14:paraId="6425DC78" w14:textId="77777777" w:rsidR="002E3C00" w:rsidRDefault="002E3C00" w:rsidP="002E3C00">
            <w:pPr>
              <w:pStyle w:val="TableText"/>
            </w:pPr>
          </w:p>
        </w:tc>
      </w:tr>
      <w:tr w:rsidR="002E3C00" w14:paraId="43B1EF78" w14:textId="77777777">
        <w:trPr>
          <w:cantSplit/>
        </w:trPr>
        <w:tc>
          <w:tcPr>
            <w:tcW w:w="2160" w:type="dxa"/>
          </w:tcPr>
          <w:p w14:paraId="42F4C6E9" w14:textId="77777777" w:rsidR="002E3C00" w:rsidRDefault="002E3C00" w:rsidP="002E3C00">
            <w:pPr>
              <w:pStyle w:val="TableText"/>
            </w:pPr>
            <w:r>
              <w:t xml:space="preserve">Leukoreduce </w:t>
            </w:r>
          </w:p>
        </w:tc>
        <w:tc>
          <w:tcPr>
            <w:tcW w:w="1440" w:type="dxa"/>
          </w:tcPr>
          <w:p w14:paraId="437FA37F" w14:textId="77777777" w:rsidR="002E3C00" w:rsidRDefault="002E3C00" w:rsidP="002E3C00">
            <w:pPr>
              <w:pStyle w:val="TableText"/>
            </w:pPr>
          </w:p>
        </w:tc>
        <w:tc>
          <w:tcPr>
            <w:tcW w:w="1440" w:type="dxa"/>
          </w:tcPr>
          <w:p w14:paraId="12B02A96" w14:textId="77777777" w:rsidR="002E3C00" w:rsidRDefault="002E3C00" w:rsidP="002E3C00">
            <w:pPr>
              <w:pStyle w:val="TableText"/>
            </w:pPr>
          </w:p>
        </w:tc>
        <w:tc>
          <w:tcPr>
            <w:tcW w:w="1440" w:type="dxa"/>
          </w:tcPr>
          <w:p w14:paraId="0B5E821B" w14:textId="77777777" w:rsidR="002E3C00" w:rsidRDefault="002E3C00" w:rsidP="002E3C00">
            <w:pPr>
              <w:pStyle w:val="TableText"/>
            </w:pPr>
          </w:p>
        </w:tc>
      </w:tr>
      <w:tr w:rsidR="002E3C00" w14:paraId="287B1CD8" w14:textId="77777777">
        <w:trPr>
          <w:cantSplit/>
        </w:trPr>
        <w:tc>
          <w:tcPr>
            <w:tcW w:w="2160" w:type="dxa"/>
          </w:tcPr>
          <w:p w14:paraId="1C3CA823" w14:textId="77777777" w:rsidR="002E3C00" w:rsidRDefault="002E3C00" w:rsidP="002E3C00">
            <w:pPr>
              <w:pStyle w:val="TableText"/>
            </w:pPr>
            <w:r>
              <w:t xml:space="preserve">Volume </w:t>
            </w:r>
            <w:r w:rsidR="007F68C7">
              <w:t>R</w:t>
            </w:r>
            <w:r>
              <w:t>educe</w:t>
            </w:r>
          </w:p>
        </w:tc>
        <w:tc>
          <w:tcPr>
            <w:tcW w:w="1440" w:type="dxa"/>
          </w:tcPr>
          <w:p w14:paraId="5E0AFC83" w14:textId="77777777" w:rsidR="002E3C00" w:rsidRDefault="002E3C00" w:rsidP="002E3C00">
            <w:pPr>
              <w:pStyle w:val="TableText"/>
            </w:pPr>
          </w:p>
        </w:tc>
        <w:tc>
          <w:tcPr>
            <w:tcW w:w="1440" w:type="dxa"/>
          </w:tcPr>
          <w:p w14:paraId="66861776" w14:textId="77777777" w:rsidR="002E3C00" w:rsidRDefault="002E3C00" w:rsidP="002E3C00">
            <w:pPr>
              <w:pStyle w:val="TableText"/>
            </w:pPr>
          </w:p>
        </w:tc>
        <w:tc>
          <w:tcPr>
            <w:tcW w:w="1440" w:type="dxa"/>
          </w:tcPr>
          <w:p w14:paraId="413EFCF5" w14:textId="77777777" w:rsidR="002E3C00" w:rsidRDefault="002E3C00" w:rsidP="002E3C00">
            <w:pPr>
              <w:pStyle w:val="TableText"/>
            </w:pPr>
          </w:p>
        </w:tc>
      </w:tr>
      <w:tr w:rsidR="002E3C00" w14:paraId="335448F9" w14:textId="77777777">
        <w:trPr>
          <w:cantSplit/>
        </w:trPr>
        <w:tc>
          <w:tcPr>
            <w:tcW w:w="2160" w:type="dxa"/>
          </w:tcPr>
          <w:p w14:paraId="160E5C25" w14:textId="77777777" w:rsidR="002E3C00" w:rsidRDefault="002E3C00" w:rsidP="002E3C00">
            <w:pPr>
              <w:pStyle w:val="TableText"/>
            </w:pPr>
            <w:r>
              <w:t>Wash</w:t>
            </w:r>
          </w:p>
        </w:tc>
        <w:tc>
          <w:tcPr>
            <w:tcW w:w="1440" w:type="dxa"/>
          </w:tcPr>
          <w:p w14:paraId="3FF1AA78" w14:textId="77777777" w:rsidR="002E3C00" w:rsidRDefault="002E3C00" w:rsidP="002E3C00">
            <w:pPr>
              <w:pStyle w:val="TableText"/>
            </w:pPr>
          </w:p>
        </w:tc>
        <w:tc>
          <w:tcPr>
            <w:tcW w:w="1440" w:type="dxa"/>
          </w:tcPr>
          <w:p w14:paraId="35258BD2" w14:textId="77777777" w:rsidR="002E3C00" w:rsidRDefault="002E3C00" w:rsidP="002E3C00">
            <w:pPr>
              <w:pStyle w:val="TableText"/>
            </w:pPr>
          </w:p>
        </w:tc>
        <w:tc>
          <w:tcPr>
            <w:tcW w:w="1440" w:type="dxa"/>
          </w:tcPr>
          <w:p w14:paraId="7C71C30A" w14:textId="77777777" w:rsidR="002E3C00" w:rsidRDefault="002E3C00" w:rsidP="002E3C00">
            <w:pPr>
              <w:pStyle w:val="TableText"/>
            </w:pPr>
          </w:p>
        </w:tc>
      </w:tr>
      <w:tr w:rsidR="002E3C00" w14:paraId="6904D62B" w14:textId="77777777">
        <w:trPr>
          <w:cantSplit/>
        </w:trPr>
        <w:tc>
          <w:tcPr>
            <w:tcW w:w="2160" w:type="dxa"/>
          </w:tcPr>
          <w:p w14:paraId="4380597D" w14:textId="77777777" w:rsidR="002E3C00" w:rsidRDefault="002E3C00" w:rsidP="002E3C00">
            <w:pPr>
              <w:pStyle w:val="TableText"/>
            </w:pPr>
            <w:r>
              <w:t>Rejuvenate</w:t>
            </w:r>
          </w:p>
        </w:tc>
        <w:tc>
          <w:tcPr>
            <w:tcW w:w="1440" w:type="dxa"/>
          </w:tcPr>
          <w:p w14:paraId="2DF5F2DE" w14:textId="77777777" w:rsidR="002E3C00" w:rsidRDefault="002E3C00" w:rsidP="002E3C00">
            <w:pPr>
              <w:pStyle w:val="TableText"/>
            </w:pPr>
          </w:p>
        </w:tc>
        <w:tc>
          <w:tcPr>
            <w:tcW w:w="1440" w:type="dxa"/>
          </w:tcPr>
          <w:p w14:paraId="4F72FC0C" w14:textId="77777777" w:rsidR="002E3C00" w:rsidRDefault="002E3C00" w:rsidP="002E3C00">
            <w:pPr>
              <w:pStyle w:val="TableText"/>
            </w:pPr>
          </w:p>
        </w:tc>
        <w:tc>
          <w:tcPr>
            <w:tcW w:w="1440" w:type="dxa"/>
          </w:tcPr>
          <w:p w14:paraId="093C4A8E" w14:textId="77777777" w:rsidR="002E3C00" w:rsidRDefault="002E3C00" w:rsidP="002E3C00">
            <w:pPr>
              <w:pStyle w:val="TableText"/>
            </w:pPr>
          </w:p>
        </w:tc>
      </w:tr>
      <w:tr w:rsidR="002E3C00" w14:paraId="639D9B42" w14:textId="77777777">
        <w:trPr>
          <w:cantSplit/>
        </w:trPr>
        <w:tc>
          <w:tcPr>
            <w:tcW w:w="2160" w:type="dxa"/>
          </w:tcPr>
          <w:p w14:paraId="79990C61" w14:textId="77777777" w:rsidR="002E3C00" w:rsidRDefault="002E3C00" w:rsidP="002E3C00">
            <w:pPr>
              <w:pStyle w:val="TableText"/>
            </w:pPr>
            <w:r>
              <w:t>Freeze</w:t>
            </w:r>
          </w:p>
        </w:tc>
        <w:tc>
          <w:tcPr>
            <w:tcW w:w="1440" w:type="dxa"/>
          </w:tcPr>
          <w:p w14:paraId="7F7CE07E" w14:textId="77777777" w:rsidR="002E3C00" w:rsidRDefault="002E3C00" w:rsidP="002E3C00">
            <w:pPr>
              <w:pStyle w:val="TableText"/>
            </w:pPr>
          </w:p>
        </w:tc>
        <w:tc>
          <w:tcPr>
            <w:tcW w:w="1440" w:type="dxa"/>
          </w:tcPr>
          <w:p w14:paraId="74BD3A55" w14:textId="77777777" w:rsidR="002E3C00" w:rsidRDefault="002E3C00" w:rsidP="002E3C00">
            <w:pPr>
              <w:pStyle w:val="TableText"/>
            </w:pPr>
          </w:p>
        </w:tc>
        <w:tc>
          <w:tcPr>
            <w:tcW w:w="1440" w:type="dxa"/>
          </w:tcPr>
          <w:p w14:paraId="1A73B2C3" w14:textId="77777777" w:rsidR="002E3C00" w:rsidRDefault="002E3C00" w:rsidP="002E3C00">
            <w:pPr>
              <w:pStyle w:val="TableText"/>
            </w:pPr>
          </w:p>
        </w:tc>
      </w:tr>
      <w:tr w:rsidR="002E3C00" w14:paraId="370ED9E5" w14:textId="77777777">
        <w:trPr>
          <w:cantSplit/>
        </w:trPr>
        <w:tc>
          <w:tcPr>
            <w:tcW w:w="2160" w:type="dxa"/>
          </w:tcPr>
          <w:p w14:paraId="305A2A90" w14:textId="77777777" w:rsidR="002E3C00" w:rsidRDefault="002E3C00" w:rsidP="002E3C00">
            <w:pPr>
              <w:pStyle w:val="TableText"/>
            </w:pPr>
            <w:r>
              <w:t>Deglycerolize</w:t>
            </w:r>
          </w:p>
        </w:tc>
        <w:tc>
          <w:tcPr>
            <w:tcW w:w="1440" w:type="dxa"/>
          </w:tcPr>
          <w:p w14:paraId="0E1FAC42" w14:textId="77777777" w:rsidR="002E3C00" w:rsidRDefault="002E3C00" w:rsidP="002E3C00">
            <w:pPr>
              <w:pStyle w:val="TableText"/>
            </w:pPr>
          </w:p>
        </w:tc>
        <w:tc>
          <w:tcPr>
            <w:tcW w:w="1440" w:type="dxa"/>
          </w:tcPr>
          <w:p w14:paraId="70202090" w14:textId="77777777" w:rsidR="002E3C00" w:rsidRDefault="002E3C00" w:rsidP="002E3C00">
            <w:pPr>
              <w:pStyle w:val="TableText"/>
            </w:pPr>
          </w:p>
        </w:tc>
        <w:tc>
          <w:tcPr>
            <w:tcW w:w="1440" w:type="dxa"/>
          </w:tcPr>
          <w:p w14:paraId="1B8E242F" w14:textId="77777777" w:rsidR="002E3C00" w:rsidRDefault="002E3C00" w:rsidP="002E3C00">
            <w:pPr>
              <w:pStyle w:val="TableText"/>
            </w:pPr>
          </w:p>
        </w:tc>
      </w:tr>
    </w:tbl>
    <w:p w14:paraId="4FC9F038" w14:textId="77777777" w:rsidR="002E3C00" w:rsidRDefault="002E3C00" w:rsidP="002E3C00">
      <w:pPr>
        <w:rPr>
          <w:sz w:val="15"/>
          <w:szCs w:val="15"/>
        </w:rPr>
      </w:pPr>
    </w:p>
    <w:p w14:paraId="11117FDE" w14:textId="77777777" w:rsidR="002E3C00" w:rsidRPr="00600497" w:rsidRDefault="002E3C00" w:rsidP="00925CAD">
      <w:pPr>
        <w:pStyle w:val="ListNumber"/>
        <w:numPr>
          <w:ilvl w:val="0"/>
          <w:numId w:val="18"/>
        </w:numPr>
        <w:tabs>
          <w:tab w:val="clear" w:pos="720"/>
          <w:tab w:val="num" w:pos="360"/>
        </w:tabs>
        <w:ind w:left="360"/>
      </w:pPr>
      <w:r w:rsidRPr="00600497">
        <w:t xml:space="preserve">Capture and save a screen shot of each piece of information. </w:t>
      </w:r>
    </w:p>
    <w:p w14:paraId="67633439" w14:textId="77777777" w:rsidR="00232E43" w:rsidRPr="00FB7F8D" w:rsidRDefault="00232E43" w:rsidP="00925CAD">
      <w:pPr>
        <w:pStyle w:val="ListNumber"/>
        <w:numPr>
          <w:ilvl w:val="0"/>
          <w:numId w:val="18"/>
        </w:numPr>
        <w:tabs>
          <w:tab w:val="clear" w:pos="720"/>
          <w:tab w:val="num" w:pos="360"/>
        </w:tabs>
        <w:ind w:left="360"/>
      </w:pPr>
      <w:bookmarkStart w:id="694" w:name="_Toc114462097"/>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63D760F9" w14:textId="77777777" w:rsidR="002E3C00" w:rsidRDefault="007F0132" w:rsidP="002E3C00">
      <w:pPr>
        <w:pStyle w:val="Heading3"/>
      </w:pPr>
      <w:r>
        <w:br w:type="page"/>
      </w:r>
      <w:bookmarkStart w:id="695" w:name="_Toc163645024"/>
      <w:r w:rsidR="002E3C00">
        <w:lastRenderedPageBreak/>
        <w:t>Order Alerts</w:t>
      </w:r>
      <w:bookmarkEnd w:id="694"/>
      <w:bookmarkEnd w:id="69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Order Alerts</w:instrText>
      </w:r>
      <w:r w:rsidR="00992E88">
        <w:instrText xml:space="preserve">" </w:instrText>
      </w:r>
      <w:r w:rsidR="00992E88">
        <w:fldChar w:fldCharType="end"/>
      </w:r>
    </w:p>
    <w:p w14:paraId="58B00A5F" w14:textId="228942CE" w:rsidR="00283731" w:rsidRDefault="00283731" w:rsidP="00283731">
      <w:pPr>
        <w:pStyle w:val="BodyText"/>
      </w:pPr>
      <w:r>
        <w:t>The user configures diagnostic test or component order alerts that appear at login, and turns them on or off. The alerts notify users when new orders are entered, updated, or cancel</w:t>
      </w:r>
      <w:r w:rsidR="002F7E19">
        <w:t>l</w:t>
      </w:r>
      <w:r>
        <w:t xml:space="preserve">ed in </w:t>
      </w:r>
      <w:r w:rsidRPr="00CA0045">
        <w:rPr>
          <w:bCs/>
        </w:rPr>
        <w:t>VistA</w:t>
      </w:r>
      <w:r>
        <w:rPr>
          <w:bCs/>
        </w:rPr>
        <w:t>.</w:t>
      </w:r>
      <w:r w:rsidR="00250936">
        <w:rPr>
          <w:bCs/>
        </w:rPr>
        <w:t xml:space="preserve"> For more information, see </w:t>
      </w:r>
      <w:r w:rsidR="00EE455E">
        <w:t xml:space="preserve">Appendix </w:t>
      </w:r>
      <w:r w:rsidR="00EE455E">
        <w:rPr>
          <w:noProof/>
        </w:rPr>
        <w:t>G</w:t>
      </w:r>
      <w:r w:rsidR="00EE455E">
        <w:t>: Work Process Flowcharts</w:t>
      </w:r>
      <w:r w:rsidR="00250936">
        <w:rPr>
          <w:bCs/>
        </w:rPr>
        <w:t>.</w:t>
      </w:r>
    </w:p>
    <w:p w14:paraId="748AB726" w14:textId="77777777" w:rsidR="002E3C00" w:rsidRDefault="002E3C00" w:rsidP="002E3C00">
      <w:pPr>
        <w:pStyle w:val="Heading4"/>
        <w:rPr>
          <w:b w:val="0"/>
        </w:rPr>
      </w:pPr>
      <w:r>
        <w:t>User Roles with Access to This Option</w:t>
      </w:r>
      <w:r>
        <w:rPr>
          <w:b w:val="0"/>
        </w:rPr>
        <w:t xml:space="preserve"> </w:t>
      </w:r>
    </w:p>
    <w:p w14:paraId="08A12871" w14:textId="77777777" w:rsidR="002E3C00" w:rsidRPr="008F337A"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29991F70" w14:textId="77777777" w:rsidR="002E3C00" w:rsidRDefault="00B74754" w:rsidP="002E3C00">
      <w:pPr>
        <w:pStyle w:val="Heading4"/>
      </w:pPr>
      <w:r>
        <w:t>Preparation for Testing</w:t>
      </w:r>
    </w:p>
    <w:p w14:paraId="7257E1DA" w14:textId="77777777" w:rsidR="002E3C00" w:rsidRPr="00600497" w:rsidRDefault="002E3C00" w:rsidP="00925CAD">
      <w:pPr>
        <w:pStyle w:val="ListNumber"/>
        <w:numPr>
          <w:ilvl w:val="0"/>
          <w:numId w:val="19"/>
        </w:numPr>
        <w:tabs>
          <w:tab w:val="clear" w:pos="720"/>
          <w:tab w:val="num" w:pos="360"/>
        </w:tabs>
        <w:ind w:left="360"/>
      </w:pPr>
      <w:r w:rsidRPr="00600497">
        <w:t xml:space="preserve">Capture and save a screen shot of each piece of information. </w:t>
      </w:r>
    </w:p>
    <w:p w14:paraId="3080640E" w14:textId="77777777" w:rsidR="00232E43" w:rsidRPr="00FB7F8D" w:rsidRDefault="00232E43" w:rsidP="00925CAD">
      <w:pPr>
        <w:pStyle w:val="ListNumber"/>
        <w:numPr>
          <w:ilvl w:val="0"/>
          <w:numId w:val="19"/>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88B2A4D" w14:textId="77777777" w:rsidR="002E3C00" w:rsidRDefault="007F0132" w:rsidP="002E3C00">
      <w:pPr>
        <w:pStyle w:val="Heading3"/>
      </w:pPr>
      <w:bookmarkStart w:id="696" w:name="_Toc114462098"/>
      <w:r>
        <w:br w:type="page"/>
      </w:r>
      <w:bookmarkStart w:id="697" w:name="_Toc163645025"/>
      <w:r w:rsidR="002E3C00">
        <w:lastRenderedPageBreak/>
        <w:t>Configure Daily QC: Full Service</w:t>
      </w:r>
      <w:bookmarkEnd w:id="691"/>
      <w:bookmarkEnd w:id="692"/>
      <w:bookmarkEnd w:id="696"/>
      <w:bookmarkEnd w:id="69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Daily QC\: Full Service</w:instrText>
      </w:r>
      <w:r w:rsidR="00992E88">
        <w:instrText xml:space="preserve">" </w:instrText>
      </w:r>
      <w:r w:rsidR="00992E88">
        <w:fldChar w:fldCharType="end"/>
      </w:r>
    </w:p>
    <w:p w14:paraId="1DE2B52D" w14:textId="3C94A2A2" w:rsidR="002E3C00" w:rsidRDefault="002E3C00" w:rsidP="002E3C00">
      <w:pPr>
        <w:pStyle w:val="BodyText"/>
      </w:pPr>
      <w:r>
        <w:t>The user sets up the routine reagent racks and QC template for the division before performing daily reagent QC.</w:t>
      </w:r>
      <w:r w:rsidR="00E435F1">
        <w:t xml:space="preserve"> </w:t>
      </w:r>
      <w:r w:rsidR="00250936">
        <w:t xml:space="preserve">For more information, see </w:t>
      </w:r>
      <w:r w:rsidR="00EE455E">
        <w:t xml:space="preserve">Appendix </w:t>
      </w:r>
      <w:r w:rsidR="00EE455E">
        <w:rPr>
          <w:noProof/>
        </w:rPr>
        <w:t>G</w:t>
      </w:r>
      <w:r w:rsidR="00EE455E">
        <w:t>: Work Process Flowcharts</w:t>
      </w:r>
      <w:r w:rsidR="00250936">
        <w:t>.</w:t>
      </w:r>
    </w:p>
    <w:p w14:paraId="1D4D33BA" w14:textId="77777777" w:rsidR="002E3C00" w:rsidRDefault="002E3C00" w:rsidP="002E3C00">
      <w:pPr>
        <w:pStyle w:val="Heading4"/>
        <w:rPr>
          <w:b w:val="0"/>
        </w:rPr>
      </w:pPr>
      <w:r>
        <w:t>User Roles with Access to This Option</w:t>
      </w:r>
      <w:r>
        <w:rPr>
          <w:b w:val="0"/>
        </w:rPr>
        <w:t xml:space="preserve"> </w:t>
      </w:r>
    </w:p>
    <w:p w14:paraId="35C618C6"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0BB1323C" w14:textId="77777777" w:rsidR="002E3C00" w:rsidRDefault="00B74754" w:rsidP="002E3C00">
      <w:pPr>
        <w:pStyle w:val="Heading4"/>
      </w:pPr>
      <w:r>
        <w:t>Preparation for Testing</w:t>
      </w:r>
    </w:p>
    <w:p w14:paraId="27E0D428" w14:textId="77777777" w:rsidR="00717BAF" w:rsidRDefault="002E3C00" w:rsidP="00925CAD">
      <w:pPr>
        <w:pStyle w:val="ListNumber"/>
        <w:numPr>
          <w:ilvl w:val="0"/>
          <w:numId w:val="29"/>
        </w:numPr>
        <w:tabs>
          <w:tab w:val="clear" w:pos="720"/>
          <w:tab w:val="num" w:pos="360"/>
          <w:tab w:val="right" w:leader="underscore" w:pos="9360"/>
        </w:tabs>
        <w:ind w:left="360"/>
      </w:pPr>
      <w:r>
        <w:t>If you perform daily reagent rack quality control using a commercial kit, select the commercial kit template. If not, select the non-commercial k</w:t>
      </w:r>
      <w:r w:rsidR="00717BAF">
        <w:t>it template. Template selected:</w:t>
      </w:r>
      <w:r w:rsidR="00717BAF">
        <w:tab/>
      </w:r>
    </w:p>
    <w:p w14:paraId="7737CA62" w14:textId="77777777" w:rsidR="00717BAF" w:rsidRDefault="002E3C00" w:rsidP="00925CAD">
      <w:pPr>
        <w:pStyle w:val="ListNumber"/>
        <w:numPr>
          <w:ilvl w:val="0"/>
          <w:numId w:val="29"/>
        </w:numPr>
        <w:tabs>
          <w:tab w:val="clear" w:pos="720"/>
          <w:tab w:val="num" w:pos="360"/>
          <w:tab w:val="right" w:leader="underscore" w:pos="9360"/>
        </w:tabs>
        <w:ind w:left="360"/>
      </w:pPr>
      <w:r>
        <w:t>Daily alert time at which users will be prompted to perform QC:</w:t>
      </w:r>
      <w:r w:rsidR="001D1E93">
        <w:tab/>
      </w:r>
    </w:p>
    <w:p w14:paraId="325C1939" w14:textId="77777777" w:rsidR="00717BAF" w:rsidRDefault="002E3C00" w:rsidP="00925CAD">
      <w:pPr>
        <w:pStyle w:val="ListNumber"/>
        <w:numPr>
          <w:ilvl w:val="0"/>
          <w:numId w:val="29"/>
        </w:numPr>
        <w:tabs>
          <w:tab w:val="clear" w:pos="720"/>
          <w:tab w:val="num" w:pos="360"/>
          <w:tab w:val="right" w:leader="underscore" w:pos="9360"/>
        </w:tabs>
        <w:ind w:left="360"/>
      </w:pPr>
      <w:r>
        <w:t>Do you want to use letters or n</w:t>
      </w:r>
      <w:r w:rsidR="00717BAF">
        <w:t>umbers as rack names?</w:t>
      </w:r>
      <w:r w:rsidR="001D1E93">
        <w:tab/>
      </w:r>
    </w:p>
    <w:p w14:paraId="124070DC" w14:textId="77777777" w:rsidR="00717BAF" w:rsidRDefault="002E3C00" w:rsidP="00925CAD">
      <w:pPr>
        <w:pStyle w:val="ListNumber"/>
        <w:numPr>
          <w:ilvl w:val="0"/>
          <w:numId w:val="29"/>
        </w:numPr>
        <w:tabs>
          <w:tab w:val="clear" w:pos="720"/>
          <w:tab w:val="num" w:pos="360"/>
          <w:tab w:val="right" w:leader="underscore" w:pos="9360"/>
        </w:tabs>
        <w:ind w:left="360"/>
      </w:pPr>
      <w:r>
        <w:t xml:space="preserve">Maximum number </w:t>
      </w:r>
      <w:r w:rsidR="00717BAF">
        <w:t>of reagent racks for daily use:</w:t>
      </w:r>
      <w:r w:rsidR="001D1E93">
        <w:tab/>
      </w:r>
    </w:p>
    <w:p w14:paraId="4D365088" w14:textId="77777777" w:rsidR="00717BAF" w:rsidRDefault="00717BAF" w:rsidP="00925CAD">
      <w:pPr>
        <w:pStyle w:val="ListNumber"/>
        <w:numPr>
          <w:ilvl w:val="0"/>
          <w:numId w:val="29"/>
        </w:numPr>
        <w:tabs>
          <w:tab w:val="clear" w:pos="720"/>
          <w:tab w:val="num" w:pos="360"/>
          <w:tab w:val="right" w:leader="underscore" w:pos="9360"/>
        </w:tabs>
        <w:ind w:left="360"/>
      </w:pPr>
      <w:r>
        <w:t>Primary enhancement medium:</w:t>
      </w:r>
      <w:r w:rsidR="001D1E93">
        <w:tab/>
      </w:r>
    </w:p>
    <w:p w14:paraId="37BC5C7B" w14:textId="77777777" w:rsidR="00717BAF" w:rsidRDefault="00717BAF" w:rsidP="00925CAD">
      <w:pPr>
        <w:pStyle w:val="ListNumber"/>
        <w:numPr>
          <w:ilvl w:val="0"/>
          <w:numId w:val="29"/>
        </w:numPr>
        <w:tabs>
          <w:tab w:val="clear" w:pos="720"/>
          <w:tab w:val="num" w:pos="360"/>
          <w:tab w:val="right" w:leader="underscore" w:pos="9360"/>
        </w:tabs>
        <w:ind w:left="360"/>
      </w:pPr>
      <w:r>
        <w:t>Secondary enhancement medium:</w:t>
      </w:r>
      <w:r w:rsidR="001D1E93">
        <w:tab/>
      </w:r>
    </w:p>
    <w:p w14:paraId="5034A3D0" w14:textId="77777777" w:rsidR="00717BAF" w:rsidRDefault="002E3C00" w:rsidP="001D1E93">
      <w:pPr>
        <w:pStyle w:val="BodyText"/>
      </w:pPr>
      <w:r>
        <w:t>The template contains the minimum number of tests required to test the reagents. Select additional tests that are part of your daily reagent rack QC, in accordance with local policies and procedures.</w:t>
      </w:r>
      <w:bookmarkStart w:id="698" w:name="_Toc85895787"/>
      <w:bookmarkStart w:id="699" w:name="_Toc113264244"/>
    </w:p>
    <w:p w14:paraId="0E7D4732" w14:textId="77777777" w:rsidR="00717BAF" w:rsidRDefault="002E3C00" w:rsidP="00925CAD">
      <w:pPr>
        <w:pStyle w:val="ListNumber"/>
        <w:numPr>
          <w:ilvl w:val="0"/>
          <w:numId w:val="29"/>
        </w:numPr>
        <w:tabs>
          <w:tab w:val="clear" w:pos="720"/>
          <w:tab w:val="num" w:pos="360"/>
          <w:tab w:val="right" w:leader="underscore" w:pos="9360"/>
        </w:tabs>
        <w:ind w:left="360"/>
      </w:pPr>
      <w:r>
        <w:t>Capture and save</w:t>
      </w:r>
      <w:r w:rsidRPr="00FB7F8D">
        <w:t xml:space="preserve"> a screen shot of </w:t>
      </w:r>
      <w:r>
        <w:t>each piece of</w:t>
      </w:r>
      <w:r w:rsidRPr="00FB7F8D">
        <w:t xml:space="preserve"> information. </w:t>
      </w:r>
    </w:p>
    <w:p w14:paraId="7720FA77" w14:textId="77777777" w:rsidR="00232E43" w:rsidRPr="00FB7F8D" w:rsidRDefault="00232E43" w:rsidP="00925CAD">
      <w:pPr>
        <w:pStyle w:val="ListNumber"/>
        <w:numPr>
          <w:ilvl w:val="0"/>
          <w:numId w:val="29"/>
        </w:numPr>
        <w:tabs>
          <w:tab w:val="clear" w:pos="720"/>
          <w:tab w:val="num" w:pos="360"/>
          <w:tab w:val="right" w:leader="underscore" w:pos="9360"/>
        </w:tabs>
        <w:ind w:left="360"/>
      </w:pPr>
      <w:r w:rsidRPr="00FB7F8D">
        <w:t>Print</w:t>
      </w:r>
      <w:r>
        <w:t>, sign, date,</w:t>
      </w:r>
      <w:r w:rsidRPr="00FB7F8D">
        <w:t xml:space="preserve"> and save an </w:t>
      </w:r>
      <w:r>
        <w:t>A</w:t>
      </w:r>
      <w:r w:rsidRPr="00FB7F8D">
        <w:t xml:space="preserve">udit </w:t>
      </w:r>
      <w:r>
        <w:t>Trail R</w:t>
      </w:r>
      <w:r w:rsidRPr="00FB7F8D">
        <w:t>eport for your validation record.</w:t>
      </w:r>
    </w:p>
    <w:p w14:paraId="47359500" w14:textId="77777777" w:rsidR="002E3C00" w:rsidRDefault="007F0132" w:rsidP="002E3C00">
      <w:pPr>
        <w:pStyle w:val="Heading3"/>
      </w:pPr>
      <w:bookmarkStart w:id="700" w:name="_Toc114462099"/>
      <w:r>
        <w:br w:type="page"/>
      </w:r>
      <w:bookmarkStart w:id="701" w:name="_Toc163645026"/>
      <w:r w:rsidR="002E3C00">
        <w:lastRenderedPageBreak/>
        <w:t xml:space="preserve">Maintain </w:t>
      </w:r>
      <w:r w:rsidR="002E3C00" w:rsidRPr="00BD1428">
        <w:t>Minimum Levels</w:t>
      </w:r>
      <w:bookmarkEnd w:id="698"/>
      <w:bookmarkEnd w:id="699"/>
      <w:r w:rsidR="002E3C00">
        <w:t>: Full Service</w:t>
      </w:r>
      <w:bookmarkEnd w:id="700"/>
      <w:bookmarkEnd w:id="701"/>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Maintain Minimum Levels\: Full Service</w:instrText>
      </w:r>
      <w:r w:rsidR="00992E88">
        <w:instrText xml:space="preserve">" </w:instrText>
      </w:r>
      <w:r w:rsidR="00992E88">
        <w:fldChar w:fldCharType="end"/>
      </w:r>
    </w:p>
    <w:p w14:paraId="6DA1FEE2" w14:textId="4616A518" w:rsidR="002E3C00" w:rsidRPr="00CF3293" w:rsidRDefault="002E3C00" w:rsidP="002E3C00">
      <w:pPr>
        <w:pStyle w:val="BodyText"/>
        <w:rPr>
          <w:rFonts w:cs="Arial"/>
          <w:snapToGrid w:val="0"/>
          <w:color w:val="000000"/>
          <w:szCs w:val="18"/>
        </w:rPr>
      </w:pPr>
      <w:r>
        <w:t>The user sets minimum stock levels for reagent types used in the division.</w:t>
      </w:r>
      <w:r w:rsidR="00250936">
        <w:t xml:space="preserve"> For more information, see </w:t>
      </w:r>
      <w:r w:rsidR="00EE455E">
        <w:t xml:space="preserve">Appendix </w:t>
      </w:r>
      <w:r w:rsidR="00EE455E">
        <w:rPr>
          <w:noProof/>
        </w:rPr>
        <w:t>G</w:t>
      </w:r>
      <w:r w:rsidR="00EE455E">
        <w:t>: Work Process Flowcharts</w:t>
      </w:r>
      <w:r w:rsidR="00250936">
        <w:t>.</w:t>
      </w:r>
    </w:p>
    <w:p w14:paraId="7ABC14CA" w14:textId="77777777" w:rsidR="002E3C00" w:rsidRDefault="002E3C00" w:rsidP="002E3C00">
      <w:pPr>
        <w:pStyle w:val="Heading4"/>
        <w:rPr>
          <w:b w:val="0"/>
        </w:rPr>
      </w:pPr>
      <w:r>
        <w:t>User Roles with Access to This Option</w:t>
      </w:r>
      <w:r>
        <w:rPr>
          <w:b w:val="0"/>
        </w:rPr>
        <w:t xml:space="preserve"> </w:t>
      </w:r>
    </w:p>
    <w:p w14:paraId="1C7690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p>
    <w:p w14:paraId="0B9D04D4" w14:textId="77777777" w:rsidR="002E3C00" w:rsidRDefault="00B74754" w:rsidP="002E3C00">
      <w:pPr>
        <w:pStyle w:val="Heading4"/>
      </w:pPr>
      <w:r>
        <w:t>Preparation for Testing</w:t>
      </w:r>
    </w:p>
    <w:p w14:paraId="21CEE706" w14:textId="77777777" w:rsidR="002E3C00" w:rsidRDefault="002E3C00" w:rsidP="002E3C00">
      <w:pPr>
        <w:pStyle w:val="BodyText"/>
      </w:pPr>
      <w:r>
        <w:t>You may enter the minimum number of vials for each reagent type that your blood bank stocks to alert staff when it reaches a critical level.</w:t>
      </w:r>
    </w:p>
    <w:p w14:paraId="198198E4" w14:textId="77777777" w:rsidR="002E3C00" w:rsidRPr="00600497" w:rsidRDefault="002E3C00" w:rsidP="00925CAD">
      <w:pPr>
        <w:pStyle w:val="ListNumber"/>
        <w:numPr>
          <w:ilvl w:val="0"/>
          <w:numId w:val="20"/>
        </w:numPr>
      </w:pPr>
      <w:bookmarkStart w:id="702" w:name="_Toc113264245"/>
      <w:r w:rsidRPr="00600497">
        <w:t xml:space="preserve">Capture and save a screen shot of each piece of information. </w:t>
      </w:r>
    </w:p>
    <w:p w14:paraId="1BD30FCA" w14:textId="77777777" w:rsidR="00232E43" w:rsidRPr="00FB7F8D" w:rsidRDefault="00232E43" w:rsidP="00925CAD">
      <w:pPr>
        <w:pStyle w:val="ListNumber"/>
        <w:numPr>
          <w:ilvl w:val="0"/>
          <w:numId w:val="20"/>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0B116B43" w14:textId="77777777" w:rsidR="002E3C00" w:rsidRDefault="009E1D3B" w:rsidP="002E3C00">
      <w:pPr>
        <w:pStyle w:val="Heading3"/>
      </w:pPr>
      <w:bookmarkStart w:id="703" w:name="_Toc114462100"/>
      <w:r>
        <w:br w:type="page"/>
      </w:r>
      <w:bookmarkStart w:id="704" w:name="_Toc163645027"/>
      <w:r w:rsidR="002E3C00" w:rsidRPr="00515B51">
        <w:lastRenderedPageBreak/>
        <w:t>Log In Reagent</w:t>
      </w:r>
      <w:bookmarkEnd w:id="702"/>
      <w:r w:rsidR="002E3C00">
        <w:t>s: Full Service</w:t>
      </w:r>
      <w:bookmarkEnd w:id="703"/>
      <w:bookmarkEnd w:id="70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Log In Reagents\: Full Service</w:instrText>
      </w:r>
      <w:r w:rsidR="00992E88">
        <w:instrText xml:space="preserve">" </w:instrText>
      </w:r>
      <w:r w:rsidR="00992E88">
        <w:fldChar w:fldCharType="end"/>
      </w:r>
    </w:p>
    <w:p w14:paraId="364CA9A1" w14:textId="5895B150" w:rsidR="002E3C00" w:rsidRPr="00FA7E65" w:rsidRDefault="002E3C00" w:rsidP="002E3C00">
      <w:pPr>
        <w:pStyle w:val="BodyText"/>
      </w:pPr>
      <w:r w:rsidRPr="00FA7E65">
        <w:t>A user records the receipt of specific reagents by type. The reagent record includes the date the shipment was received, reagent name, lot number, expiration date, manufacturer, and number of vials received in a shipment.</w:t>
      </w:r>
      <w:r w:rsidR="00250936">
        <w:t xml:space="preserve"> For more information, see </w:t>
      </w:r>
      <w:r w:rsidR="00EE455E">
        <w:t xml:space="preserve">Appendix </w:t>
      </w:r>
      <w:r w:rsidR="00EE455E">
        <w:rPr>
          <w:noProof/>
        </w:rPr>
        <w:t>G</w:t>
      </w:r>
      <w:r w:rsidR="00EE455E">
        <w:t>: Work Process Flowcharts</w:t>
      </w:r>
      <w:r w:rsidR="00250936">
        <w:t>.</w:t>
      </w:r>
    </w:p>
    <w:p w14:paraId="3614597C" w14:textId="77777777" w:rsidR="002E3C00" w:rsidRDefault="002E3C00" w:rsidP="002E3C00">
      <w:pPr>
        <w:pStyle w:val="Heading4"/>
      </w:pPr>
      <w:r>
        <w:t>User Roles with Access to This Option</w:t>
      </w:r>
    </w:p>
    <w:p w14:paraId="45B9B546" w14:textId="77777777" w:rsidR="002E3C00" w:rsidRPr="00FC5C6B" w:rsidRDefault="002E3C00" w:rsidP="002E3C00">
      <w:pPr>
        <w:pStyle w:val="Roles"/>
      </w:pPr>
      <w:r>
        <w:t>All users</w:t>
      </w:r>
    </w:p>
    <w:p w14:paraId="006C265C" w14:textId="77777777" w:rsidR="002E3C00" w:rsidRDefault="00B74754" w:rsidP="002E3C00">
      <w:pPr>
        <w:pStyle w:val="Heading4"/>
      </w:pPr>
      <w:r>
        <w:t>Preparation for Testing</w:t>
      </w:r>
    </w:p>
    <w:p w14:paraId="5008486D" w14:textId="77777777" w:rsidR="002E3C00" w:rsidRPr="00600497" w:rsidRDefault="00387ADD" w:rsidP="00925CAD">
      <w:pPr>
        <w:pStyle w:val="ListNumber"/>
        <w:numPr>
          <w:ilvl w:val="0"/>
          <w:numId w:val="21"/>
        </w:numPr>
        <w:tabs>
          <w:tab w:val="clear" w:pos="720"/>
          <w:tab w:val="num" w:pos="360"/>
        </w:tabs>
        <w:ind w:left="360"/>
      </w:pPr>
      <w:r>
        <w:t>Enter reagent types</w:t>
      </w:r>
      <w:r w:rsidRPr="00600497">
        <w:t xml:space="preserve"> and quantities used</w:t>
      </w:r>
      <w:r w:rsidR="002E3C00" w:rsidRPr="00600497">
        <w:t>.</w:t>
      </w:r>
      <w:r w:rsidRPr="00600497">
        <w:t xml:space="preserve"> (</w:t>
      </w:r>
      <w:r w:rsidR="002E3C00" w:rsidRPr="00600497">
        <w:t xml:space="preserve">For QC validation, </w:t>
      </w:r>
      <w:r w:rsidRPr="00600497">
        <w:t>enter</w:t>
      </w:r>
      <w:r w:rsidR="002E3C00" w:rsidRPr="00600497">
        <w:t xml:space="preserve"> a lot number that was received and found unsatisfactory, and a lot number that expires at 23:59 on the day that you test the reagent rack QC.</w:t>
      </w:r>
      <w:r w:rsidRPr="00600497">
        <w:t>)</w:t>
      </w:r>
    </w:p>
    <w:p w14:paraId="68CF4F7E" w14:textId="77777777" w:rsidR="002E3C00" w:rsidRPr="00600497" w:rsidRDefault="00675FB9" w:rsidP="00925CAD">
      <w:pPr>
        <w:pStyle w:val="ListNumber"/>
        <w:numPr>
          <w:ilvl w:val="0"/>
          <w:numId w:val="21"/>
        </w:numPr>
        <w:tabs>
          <w:tab w:val="clear" w:pos="720"/>
          <w:tab w:val="num" w:pos="360"/>
        </w:tabs>
        <w:ind w:left="360"/>
      </w:pPr>
      <w:r>
        <w:t>C</w:t>
      </w:r>
      <w:r w:rsidR="002E3C00" w:rsidRPr="00600497">
        <w:t xml:space="preserve">apture and save a screen shot of all entries. </w:t>
      </w:r>
    </w:p>
    <w:p w14:paraId="74298E87" w14:textId="77777777" w:rsidR="00232E43" w:rsidRPr="00FB7F8D" w:rsidRDefault="002E3C00" w:rsidP="00925CAD">
      <w:pPr>
        <w:pStyle w:val="ListNumber"/>
        <w:numPr>
          <w:ilvl w:val="0"/>
          <w:numId w:val="21"/>
        </w:numPr>
        <w:tabs>
          <w:tab w:val="clear" w:pos="720"/>
          <w:tab w:val="num" w:pos="360"/>
        </w:tabs>
        <w:ind w:left="360"/>
      </w:pPr>
      <w:r w:rsidRPr="00600497">
        <w:t>Print</w:t>
      </w:r>
      <w:r w:rsidR="009A1A60" w:rsidRPr="00600497">
        <w:t>, sign, date,</w:t>
      </w:r>
      <w:r w:rsidRPr="00600497">
        <w:t xml:space="preserve"> and</w:t>
      </w:r>
      <w:r>
        <w:t xml:space="preserve"> save the </w:t>
      </w:r>
      <w:r w:rsidR="009A1A60">
        <w:t>View/Print Inventory (R</w:t>
      </w:r>
      <w:r>
        <w:t>eagent</w:t>
      </w:r>
      <w:r w:rsidR="009A1A60">
        <w:t>) R</w:t>
      </w:r>
      <w:r>
        <w:t>eport for your validation record.</w:t>
      </w:r>
    </w:p>
    <w:p w14:paraId="794DD79C" w14:textId="77777777" w:rsidR="002E3C00" w:rsidRDefault="007F0132" w:rsidP="002E3C00">
      <w:pPr>
        <w:pStyle w:val="Heading3"/>
      </w:pPr>
      <w:bookmarkStart w:id="705" w:name="_Toc85895788"/>
      <w:bookmarkStart w:id="706" w:name="_Toc113264246"/>
      <w:bookmarkStart w:id="707" w:name="_Toc114462101"/>
      <w:r>
        <w:br w:type="page"/>
      </w:r>
      <w:bookmarkStart w:id="708" w:name="_Toc163645028"/>
      <w:r w:rsidR="002E3C00">
        <w:lastRenderedPageBreak/>
        <w:t>Blood Products</w:t>
      </w:r>
      <w:bookmarkEnd w:id="705"/>
      <w:bookmarkEnd w:id="706"/>
      <w:bookmarkEnd w:id="707"/>
      <w:bookmarkEnd w:id="708"/>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Blood Products</w:instrText>
      </w:r>
      <w:r w:rsidR="00992E88">
        <w:instrText xml:space="preserve">" </w:instrText>
      </w:r>
      <w:r w:rsidR="00992E88">
        <w:fldChar w:fldCharType="end"/>
      </w:r>
    </w:p>
    <w:p w14:paraId="3A558491" w14:textId="0F403E26" w:rsidR="002E3C00" w:rsidRPr="0094769F" w:rsidRDefault="002E3C00" w:rsidP="002E3C00">
      <w:pPr>
        <w:pStyle w:val="BodyText"/>
      </w:pPr>
      <w:r>
        <w:t>The user activates, deactivates, and edits a limited number of variables for an existing blood product</w:t>
      </w:r>
      <w:r w:rsidR="00AE3B37">
        <w:t xml:space="preserve"> site parameter. VBECS provides</w:t>
      </w:r>
      <w:r>
        <w:t xml:space="preserve"> an ISBT 128 Blood Product reference table to facilitate these and other actions.</w:t>
      </w:r>
      <w:r w:rsidR="00E435F1">
        <w:t xml:space="preserve"> </w:t>
      </w:r>
      <w:r w:rsidR="00250936">
        <w:t xml:space="preserve">For more information, see </w:t>
      </w:r>
      <w:r w:rsidR="00EE455E">
        <w:t xml:space="preserve">Appendix </w:t>
      </w:r>
      <w:r w:rsidR="00EE455E">
        <w:rPr>
          <w:noProof/>
        </w:rPr>
        <w:t>G</w:t>
      </w:r>
      <w:r w:rsidR="00EE455E">
        <w:t>: Work Process Flowcharts</w:t>
      </w:r>
      <w:r w:rsidR="00250936">
        <w:t>.</w:t>
      </w:r>
    </w:p>
    <w:p w14:paraId="7DCB831E" w14:textId="77777777" w:rsidR="002E3C00" w:rsidRDefault="002E3C00" w:rsidP="002E3C00">
      <w:pPr>
        <w:pStyle w:val="Heading4"/>
      </w:pPr>
      <w:r>
        <w:t>User Roles with Access to This Option</w:t>
      </w:r>
    </w:p>
    <w:p w14:paraId="03720AF1" w14:textId="77777777" w:rsidR="002E3C00" w:rsidRPr="00FC5C6B" w:rsidRDefault="002E3C00" w:rsidP="002E3C00">
      <w:pPr>
        <w:pStyle w:val="Roles"/>
      </w:pPr>
      <w:r>
        <w:t>All users</w:t>
      </w:r>
    </w:p>
    <w:p w14:paraId="491A6889" w14:textId="77777777" w:rsidR="002E3C00" w:rsidRDefault="00B74754" w:rsidP="002E3C00">
      <w:pPr>
        <w:pStyle w:val="Heading4"/>
      </w:pPr>
      <w:r>
        <w:t>Preparation for Testing</w:t>
      </w:r>
    </w:p>
    <w:p w14:paraId="15293753" w14:textId="77777777" w:rsidR="002E3C00" w:rsidRDefault="002E3C00" w:rsidP="002E3C00">
      <w:pPr>
        <w:pStyle w:val="BodyText"/>
      </w:pPr>
      <w:r>
        <w:t>Activate blood products here or during incoming shipment. It may be helpful to set up your most common products</w:t>
      </w:r>
      <w:r w:rsidR="00CC08BC">
        <w:t xml:space="preserve"> before </w:t>
      </w:r>
      <w:r>
        <w:t>e</w:t>
      </w:r>
      <w:r w:rsidR="002C235F">
        <w:t>ntering blood inventory in</w:t>
      </w:r>
      <w:r>
        <w:t xml:space="preserve"> the system.</w:t>
      </w:r>
    </w:p>
    <w:p w14:paraId="693C1FAD" w14:textId="77777777" w:rsidR="002E3C00" w:rsidRDefault="002C235F" w:rsidP="002E3C00">
      <w:pPr>
        <w:pStyle w:val="BodyText"/>
      </w:pPr>
      <w:r>
        <w:t xml:space="preserve">Healthcare Common Procedure Coding System (HCPCS) </w:t>
      </w:r>
      <w:r w:rsidR="002E3C00">
        <w:t>codes are provided by your hospital’s VistA file</w:t>
      </w:r>
      <w:r w:rsidR="00CC08BC">
        <w:t>. S</w:t>
      </w:r>
      <w:r w:rsidR="002E3C00">
        <w:t>elect the code that is associated with the blood product.</w:t>
      </w:r>
    </w:p>
    <w:p w14:paraId="4298165A" w14:textId="77777777" w:rsidR="00061FCF" w:rsidRPr="00600497" w:rsidRDefault="00061FCF" w:rsidP="00925CAD">
      <w:pPr>
        <w:pStyle w:val="ListNumber"/>
        <w:numPr>
          <w:ilvl w:val="0"/>
          <w:numId w:val="22"/>
        </w:numPr>
      </w:pPr>
      <w:r w:rsidRPr="00600497">
        <w:t>Use the sample worksheet to record information.</w:t>
      </w:r>
    </w:p>
    <w:p w14:paraId="5F9E40C0" w14:textId="77777777" w:rsidR="002E3C00" w:rsidRPr="00600497" w:rsidRDefault="002E3C00" w:rsidP="00925CAD">
      <w:pPr>
        <w:pStyle w:val="ListNumber"/>
        <w:numPr>
          <w:ilvl w:val="0"/>
          <w:numId w:val="22"/>
        </w:numPr>
      </w:pPr>
      <w:r w:rsidRPr="00600497">
        <w:t xml:space="preserve">Capture and save a screen shot of each piece of information before continuing. </w:t>
      </w:r>
    </w:p>
    <w:p w14:paraId="5526FF95" w14:textId="77777777" w:rsidR="00232E43" w:rsidRPr="00FB7F8D" w:rsidRDefault="00232E43" w:rsidP="00925CAD">
      <w:pPr>
        <w:pStyle w:val="ListNumber"/>
        <w:numPr>
          <w:ilvl w:val="0"/>
          <w:numId w:val="22"/>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5427DE4E" w14:textId="3DAFAC1E" w:rsidR="002E3C00" w:rsidRDefault="002E3C00" w:rsidP="002E3C00">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28</w:t>
      </w:r>
      <w:r w:rsidR="004E20BD">
        <w:rPr>
          <w:noProof/>
        </w:rPr>
        <w:fldChar w:fldCharType="end"/>
      </w:r>
      <w:r>
        <w:t>: Sample Blood Products Worksheet</w:t>
      </w:r>
      <w:r w:rsidR="00AD60CF">
        <w:fldChar w:fldCharType="begin"/>
      </w:r>
      <w:r w:rsidR="00F272D5">
        <w:instrText xml:space="preserve"> XE "Tables:</w:instrText>
      </w:r>
      <w:r w:rsidR="00AD60CF" w:rsidRPr="0046419F">
        <w:instrText>Sample Blood Products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AF76D5" w:rsidRPr="00B562A7" w14:paraId="50BF70D9"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vAlign w:val="bottom"/>
          </w:tcPr>
          <w:p w14:paraId="188834C0" w14:textId="77777777" w:rsidR="00AF76D5" w:rsidRPr="00B562A7" w:rsidRDefault="00AF76D5"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vAlign w:val="bottom"/>
          </w:tcPr>
          <w:p w14:paraId="3C5C5822" w14:textId="77777777" w:rsidR="00AF76D5" w:rsidRPr="00B562A7" w:rsidRDefault="00AF76D5"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vAlign w:val="bottom"/>
          </w:tcPr>
          <w:p w14:paraId="3DADD489" w14:textId="77777777" w:rsidR="00AF76D5" w:rsidRPr="00B562A7" w:rsidRDefault="00AF76D5" w:rsidP="009E1D3B">
            <w:pPr>
              <w:pStyle w:val="TableText"/>
              <w:jc w:val="center"/>
              <w:rPr>
                <w:b/>
              </w:rPr>
            </w:pPr>
            <w:r>
              <w:rPr>
                <w:b/>
              </w:rPr>
              <w:t>Product Shippers</w:t>
            </w:r>
          </w:p>
        </w:tc>
      </w:tr>
      <w:tr w:rsidR="00AF76D5" w:rsidRPr="00B562A7" w14:paraId="26541F76" w14:textId="77777777">
        <w:trPr>
          <w:tblHeader/>
        </w:trPr>
        <w:tc>
          <w:tcPr>
            <w:tcW w:w="1224" w:type="dxa"/>
            <w:shd w:val="clear" w:color="auto" w:fill="B3B3B3"/>
            <w:vAlign w:val="bottom"/>
          </w:tcPr>
          <w:p w14:paraId="5B590FF2" w14:textId="77777777" w:rsidR="002E3C00" w:rsidRPr="00B562A7" w:rsidRDefault="002E3C00" w:rsidP="002E3C00">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02C58BF6" w14:textId="77777777" w:rsidR="002E3C00" w:rsidRPr="00B562A7" w:rsidRDefault="002E3C00" w:rsidP="002E3C00">
            <w:pPr>
              <w:pStyle w:val="TableText"/>
              <w:rPr>
                <w:b/>
              </w:rPr>
            </w:pPr>
            <w:r w:rsidRPr="00B562A7">
              <w:rPr>
                <w:b/>
              </w:rPr>
              <w:t>Short Product Name</w:t>
            </w:r>
          </w:p>
        </w:tc>
        <w:tc>
          <w:tcPr>
            <w:tcW w:w="1223" w:type="dxa"/>
            <w:shd w:val="clear" w:color="auto" w:fill="B3B3B3"/>
            <w:vAlign w:val="bottom"/>
          </w:tcPr>
          <w:p w14:paraId="6F97160F" w14:textId="77777777" w:rsidR="002E3C00" w:rsidRPr="00B562A7" w:rsidRDefault="00AF76D5" w:rsidP="002E3C00">
            <w:pPr>
              <w:pStyle w:val="TableText"/>
              <w:rPr>
                <w:b/>
              </w:rPr>
            </w:pPr>
            <w:r>
              <w:rPr>
                <w:b/>
              </w:rPr>
              <w:t>HCPCS C</w:t>
            </w:r>
            <w:r w:rsidR="002E3C00" w:rsidRPr="00B562A7">
              <w:rPr>
                <w:b/>
              </w:rPr>
              <w:t>ode</w:t>
            </w:r>
          </w:p>
        </w:tc>
        <w:tc>
          <w:tcPr>
            <w:tcW w:w="2014" w:type="dxa"/>
            <w:gridSpan w:val="2"/>
            <w:shd w:val="clear" w:color="auto" w:fill="B3B3B3"/>
            <w:vAlign w:val="bottom"/>
          </w:tcPr>
          <w:p w14:paraId="12363869" w14:textId="77777777" w:rsidR="002E3C00" w:rsidRPr="00B562A7" w:rsidRDefault="002E3C00" w:rsidP="002E3C00">
            <w:pPr>
              <w:pStyle w:val="TableText"/>
              <w:rPr>
                <w:b/>
              </w:rPr>
            </w:pPr>
            <w:r w:rsidRPr="00B562A7">
              <w:rPr>
                <w:b/>
              </w:rPr>
              <w:t>Shipper</w:t>
            </w:r>
            <w:r>
              <w:rPr>
                <w:b/>
              </w:rPr>
              <w:t xml:space="preserve"> Name</w:t>
            </w:r>
          </w:p>
        </w:tc>
        <w:tc>
          <w:tcPr>
            <w:tcW w:w="1224" w:type="dxa"/>
            <w:shd w:val="clear" w:color="auto" w:fill="B3B3B3"/>
            <w:vAlign w:val="bottom"/>
          </w:tcPr>
          <w:p w14:paraId="451EE165" w14:textId="77777777" w:rsidR="002E3C00" w:rsidRPr="00B562A7" w:rsidRDefault="002E3C00" w:rsidP="002E3C00">
            <w:pPr>
              <w:pStyle w:val="TableText"/>
              <w:rPr>
                <w:b/>
              </w:rPr>
            </w:pPr>
            <w:r w:rsidRPr="00B562A7">
              <w:rPr>
                <w:b/>
              </w:rPr>
              <w:t xml:space="preserve">FDA </w:t>
            </w:r>
            <w:r w:rsidR="00D54264">
              <w:rPr>
                <w:b/>
              </w:rPr>
              <w:t>Reg. #</w:t>
            </w:r>
          </w:p>
        </w:tc>
        <w:tc>
          <w:tcPr>
            <w:tcW w:w="1223" w:type="dxa"/>
            <w:shd w:val="clear" w:color="auto" w:fill="B3B3B3"/>
            <w:vAlign w:val="bottom"/>
          </w:tcPr>
          <w:p w14:paraId="4CB9C3F2" w14:textId="77777777" w:rsidR="002E3C00" w:rsidRPr="00B562A7" w:rsidRDefault="002E3C00" w:rsidP="002E3C00">
            <w:pPr>
              <w:pStyle w:val="TableText"/>
              <w:rPr>
                <w:b/>
              </w:rPr>
            </w:pPr>
            <w:r w:rsidRPr="00B562A7">
              <w:rPr>
                <w:b/>
              </w:rPr>
              <w:t xml:space="preserve">Cost </w:t>
            </w:r>
            <w:r>
              <w:rPr>
                <w:b/>
              </w:rPr>
              <w:t>($)</w:t>
            </w:r>
          </w:p>
        </w:tc>
        <w:tc>
          <w:tcPr>
            <w:tcW w:w="1223" w:type="dxa"/>
            <w:shd w:val="clear" w:color="auto" w:fill="B3B3B3"/>
            <w:vAlign w:val="bottom"/>
          </w:tcPr>
          <w:p w14:paraId="0D9EF61B" w14:textId="77777777" w:rsidR="002E3C00" w:rsidRPr="00B562A7" w:rsidRDefault="002E3C00" w:rsidP="002E3C00">
            <w:pPr>
              <w:pStyle w:val="TableText"/>
              <w:rPr>
                <w:b/>
              </w:rPr>
            </w:pPr>
            <w:r w:rsidRPr="00B562A7">
              <w:rPr>
                <w:b/>
              </w:rPr>
              <w:t xml:space="preserve">Return </w:t>
            </w:r>
            <w:r>
              <w:rPr>
                <w:b/>
              </w:rPr>
              <w:t>Credit %</w:t>
            </w:r>
          </w:p>
        </w:tc>
      </w:tr>
      <w:tr w:rsidR="00AF76D5" w14:paraId="498DCF79" w14:textId="77777777">
        <w:tc>
          <w:tcPr>
            <w:tcW w:w="1224" w:type="dxa"/>
          </w:tcPr>
          <w:p w14:paraId="0447A772" w14:textId="749CB281" w:rsidR="002E3C00" w:rsidRDefault="0093638C" w:rsidP="002E3C00">
            <w:pPr>
              <w:pStyle w:val="TableText"/>
            </w:pPr>
            <w:r>
              <w:t>E0142</w:t>
            </w:r>
          </w:p>
        </w:tc>
        <w:tc>
          <w:tcPr>
            <w:tcW w:w="1229" w:type="dxa"/>
            <w:gridSpan w:val="2"/>
          </w:tcPr>
          <w:p w14:paraId="4BEF6F05" w14:textId="77777777" w:rsidR="002E3C00" w:rsidRDefault="002E3C00" w:rsidP="002E3C00">
            <w:pPr>
              <w:pStyle w:val="TableText"/>
            </w:pPr>
            <w:r>
              <w:t>RBC</w:t>
            </w:r>
            <w:r w:rsidR="0017175D">
              <w:t xml:space="preserve"> ACD-A</w:t>
            </w:r>
          </w:p>
        </w:tc>
        <w:tc>
          <w:tcPr>
            <w:tcW w:w="1223" w:type="dxa"/>
          </w:tcPr>
          <w:p w14:paraId="3B82EBE8" w14:textId="77777777" w:rsidR="002E3C00" w:rsidRDefault="00D54264" w:rsidP="002E3C00">
            <w:pPr>
              <w:pStyle w:val="TableText"/>
            </w:pPr>
            <w:r>
              <w:t>P2028</w:t>
            </w:r>
          </w:p>
        </w:tc>
        <w:tc>
          <w:tcPr>
            <w:tcW w:w="2014" w:type="dxa"/>
            <w:gridSpan w:val="2"/>
          </w:tcPr>
          <w:p w14:paraId="28A0FC00" w14:textId="77777777" w:rsidR="002E3C00" w:rsidRDefault="00D54264" w:rsidP="002E3C00">
            <w:pPr>
              <w:pStyle w:val="TableText"/>
            </w:pPr>
            <w:r>
              <w:t>Abington Memorial Hospital</w:t>
            </w:r>
          </w:p>
        </w:tc>
        <w:tc>
          <w:tcPr>
            <w:tcW w:w="1224" w:type="dxa"/>
          </w:tcPr>
          <w:p w14:paraId="42F041E0" w14:textId="77777777" w:rsidR="002E3C00" w:rsidRDefault="00D54264" w:rsidP="002E3C00">
            <w:pPr>
              <w:pStyle w:val="TableText"/>
            </w:pPr>
            <w:r>
              <w:t>2577690</w:t>
            </w:r>
          </w:p>
        </w:tc>
        <w:tc>
          <w:tcPr>
            <w:tcW w:w="1223" w:type="dxa"/>
          </w:tcPr>
          <w:p w14:paraId="161BF8DB" w14:textId="77777777" w:rsidR="002E3C00" w:rsidRDefault="002E3C00" w:rsidP="002E3C00">
            <w:pPr>
              <w:pStyle w:val="TableText"/>
            </w:pPr>
            <w:r>
              <w:t>$150.00</w:t>
            </w:r>
          </w:p>
        </w:tc>
        <w:tc>
          <w:tcPr>
            <w:tcW w:w="1223" w:type="dxa"/>
          </w:tcPr>
          <w:p w14:paraId="4A26B22A" w14:textId="77777777" w:rsidR="002E3C00" w:rsidRDefault="002E3C00" w:rsidP="002E3C00">
            <w:pPr>
              <w:pStyle w:val="TableText"/>
            </w:pPr>
            <w:r>
              <w:t>0</w:t>
            </w:r>
          </w:p>
        </w:tc>
      </w:tr>
    </w:tbl>
    <w:p w14:paraId="605D231B" w14:textId="5442E957" w:rsidR="00B24B8C" w:rsidRDefault="00B24B8C" w:rsidP="00B24B8C">
      <w:pPr>
        <w:pStyle w:val="Caption"/>
      </w:pPr>
      <w:bookmarkStart w:id="709" w:name="_Toc85895789"/>
      <w:bookmarkStart w:id="710" w:name="_Toc113264247"/>
      <w:bookmarkStart w:id="711" w:name="_Toc11446210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29</w:t>
      </w:r>
      <w:r w:rsidR="004E20BD">
        <w:rPr>
          <w:noProof/>
        </w:rPr>
        <w:fldChar w:fldCharType="end"/>
      </w:r>
      <w:r>
        <w:t>: Blood Products Worksheet</w:t>
      </w:r>
      <w:r>
        <w:fldChar w:fldCharType="begin"/>
      </w:r>
      <w:r>
        <w:instrText xml:space="preserve"> XE "Tables:</w:instrText>
      </w:r>
      <w:r w:rsidRPr="0046419F">
        <w:instrText>Blood Products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B24B8C" w:rsidRPr="00B562A7" w14:paraId="1FBB39A1"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tcPr>
          <w:p w14:paraId="7018ADF4" w14:textId="77777777" w:rsidR="00B24B8C" w:rsidRPr="00B562A7" w:rsidRDefault="00B24B8C"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tcPr>
          <w:p w14:paraId="7DD66019" w14:textId="77777777" w:rsidR="00B24B8C" w:rsidRPr="00B562A7" w:rsidRDefault="00B24B8C"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tcPr>
          <w:p w14:paraId="2431A608" w14:textId="77777777" w:rsidR="00B24B8C" w:rsidRPr="00B562A7" w:rsidRDefault="00B24B8C" w:rsidP="009E1D3B">
            <w:pPr>
              <w:pStyle w:val="TableText"/>
              <w:jc w:val="center"/>
              <w:rPr>
                <w:b/>
              </w:rPr>
            </w:pPr>
            <w:r>
              <w:rPr>
                <w:b/>
              </w:rPr>
              <w:t>Product Shippers</w:t>
            </w:r>
          </w:p>
        </w:tc>
      </w:tr>
      <w:tr w:rsidR="00B24B8C" w:rsidRPr="00B562A7" w14:paraId="5CD87ECF" w14:textId="77777777">
        <w:trPr>
          <w:tblHeader/>
        </w:trPr>
        <w:tc>
          <w:tcPr>
            <w:tcW w:w="1224" w:type="dxa"/>
            <w:shd w:val="clear" w:color="auto" w:fill="B3B3B3"/>
            <w:vAlign w:val="bottom"/>
          </w:tcPr>
          <w:p w14:paraId="6C9E9C38" w14:textId="77777777" w:rsidR="00B24B8C" w:rsidRPr="00B562A7" w:rsidRDefault="00B24B8C" w:rsidP="001D706D">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1BDBFC2B" w14:textId="77777777" w:rsidR="00B24B8C" w:rsidRPr="00B562A7" w:rsidRDefault="00B24B8C" w:rsidP="001D706D">
            <w:pPr>
              <w:pStyle w:val="TableText"/>
              <w:rPr>
                <w:b/>
              </w:rPr>
            </w:pPr>
            <w:r w:rsidRPr="00B562A7">
              <w:rPr>
                <w:b/>
              </w:rPr>
              <w:t>Short Product Name</w:t>
            </w:r>
          </w:p>
        </w:tc>
        <w:tc>
          <w:tcPr>
            <w:tcW w:w="1223" w:type="dxa"/>
            <w:shd w:val="clear" w:color="auto" w:fill="B3B3B3"/>
            <w:vAlign w:val="bottom"/>
          </w:tcPr>
          <w:p w14:paraId="6165BFC8" w14:textId="77777777" w:rsidR="00B24B8C" w:rsidRPr="00B562A7" w:rsidRDefault="00B24B8C" w:rsidP="001D706D">
            <w:pPr>
              <w:pStyle w:val="TableText"/>
              <w:rPr>
                <w:b/>
              </w:rPr>
            </w:pPr>
            <w:r>
              <w:rPr>
                <w:b/>
              </w:rPr>
              <w:t>HCPCS C</w:t>
            </w:r>
            <w:r w:rsidRPr="00B562A7">
              <w:rPr>
                <w:b/>
              </w:rPr>
              <w:t>ode</w:t>
            </w:r>
          </w:p>
        </w:tc>
        <w:tc>
          <w:tcPr>
            <w:tcW w:w="2014" w:type="dxa"/>
            <w:gridSpan w:val="2"/>
            <w:shd w:val="clear" w:color="auto" w:fill="B3B3B3"/>
            <w:vAlign w:val="bottom"/>
          </w:tcPr>
          <w:p w14:paraId="177B4469" w14:textId="77777777" w:rsidR="00B24B8C" w:rsidRPr="00B562A7" w:rsidRDefault="00B24B8C" w:rsidP="001D706D">
            <w:pPr>
              <w:pStyle w:val="TableText"/>
              <w:rPr>
                <w:b/>
              </w:rPr>
            </w:pPr>
            <w:r w:rsidRPr="00B562A7">
              <w:rPr>
                <w:b/>
              </w:rPr>
              <w:t>Shipper</w:t>
            </w:r>
            <w:r>
              <w:rPr>
                <w:b/>
              </w:rPr>
              <w:t xml:space="preserve"> Name</w:t>
            </w:r>
          </w:p>
        </w:tc>
        <w:tc>
          <w:tcPr>
            <w:tcW w:w="1224" w:type="dxa"/>
            <w:shd w:val="clear" w:color="auto" w:fill="B3B3B3"/>
            <w:vAlign w:val="bottom"/>
          </w:tcPr>
          <w:p w14:paraId="6EFC2112" w14:textId="77777777" w:rsidR="00B24B8C" w:rsidRPr="00B562A7" w:rsidRDefault="00B24B8C" w:rsidP="001D706D">
            <w:pPr>
              <w:pStyle w:val="TableText"/>
              <w:rPr>
                <w:b/>
              </w:rPr>
            </w:pPr>
            <w:r w:rsidRPr="00B562A7">
              <w:rPr>
                <w:b/>
              </w:rPr>
              <w:t xml:space="preserve">FDA </w:t>
            </w:r>
            <w:r>
              <w:rPr>
                <w:b/>
              </w:rPr>
              <w:t>Reg. #</w:t>
            </w:r>
          </w:p>
        </w:tc>
        <w:tc>
          <w:tcPr>
            <w:tcW w:w="1223" w:type="dxa"/>
            <w:shd w:val="clear" w:color="auto" w:fill="B3B3B3"/>
            <w:vAlign w:val="bottom"/>
          </w:tcPr>
          <w:p w14:paraId="598DA0D4" w14:textId="77777777" w:rsidR="00B24B8C" w:rsidRPr="00B562A7" w:rsidRDefault="00B24B8C" w:rsidP="001D706D">
            <w:pPr>
              <w:pStyle w:val="TableText"/>
              <w:rPr>
                <w:b/>
              </w:rPr>
            </w:pPr>
            <w:r w:rsidRPr="00B562A7">
              <w:rPr>
                <w:b/>
              </w:rPr>
              <w:t xml:space="preserve">Cost </w:t>
            </w:r>
            <w:r>
              <w:rPr>
                <w:b/>
              </w:rPr>
              <w:t>($)</w:t>
            </w:r>
          </w:p>
        </w:tc>
        <w:tc>
          <w:tcPr>
            <w:tcW w:w="1223" w:type="dxa"/>
            <w:shd w:val="clear" w:color="auto" w:fill="B3B3B3"/>
            <w:vAlign w:val="bottom"/>
          </w:tcPr>
          <w:p w14:paraId="295FD76F" w14:textId="77777777" w:rsidR="00B24B8C" w:rsidRPr="00B562A7" w:rsidRDefault="00B24B8C" w:rsidP="001D706D">
            <w:pPr>
              <w:pStyle w:val="TableText"/>
              <w:rPr>
                <w:b/>
              </w:rPr>
            </w:pPr>
            <w:r w:rsidRPr="00B562A7">
              <w:rPr>
                <w:b/>
              </w:rPr>
              <w:t xml:space="preserve">Return </w:t>
            </w:r>
            <w:r>
              <w:rPr>
                <w:b/>
              </w:rPr>
              <w:t>Credit %</w:t>
            </w:r>
          </w:p>
        </w:tc>
      </w:tr>
      <w:tr w:rsidR="00B24B8C" w14:paraId="4777899E" w14:textId="77777777">
        <w:tc>
          <w:tcPr>
            <w:tcW w:w="1224" w:type="dxa"/>
          </w:tcPr>
          <w:p w14:paraId="7885C1F5" w14:textId="77777777" w:rsidR="00B24B8C" w:rsidRDefault="00B24B8C" w:rsidP="001D706D">
            <w:pPr>
              <w:pStyle w:val="TableText"/>
            </w:pPr>
          </w:p>
        </w:tc>
        <w:tc>
          <w:tcPr>
            <w:tcW w:w="1229" w:type="dxa"/>
            <w:gridSpan w:val="2"/>
          </w:tcPr>
          <w:p w14:paraId="3E6ED063" w14:textId="77777777" w:rsidR="00B24B8C" w:rsidRDefault="00B24B8C" w:rsidP="001D706D">
            <w:pPr>
              <w:pStyle w:val="TableText"/>
            </w:pPr>
          </w:p>
        </w:tc>
        <w:tc>
          <w:tcPr>
            <w:tcW w:w="1223" w:type="dxa"/>
          </w:tcPr>
          <w:p w14:paraId="3C3D2D86" w14:textId="77777777" w:rsidR="00B24B8C" w:rsidRDefault="00B24B8C" w:rsidP="001D706D">
            <w:pPr>
              <w:pStyle w:val="TableText"/>
            </w:pPr>
          </w:p>
        </w:tc>
        <w:tc>
          <w:tcPr>
            <w:tcW w:w="2014" w:type="dxa"/>
            <w:gridSpan w:val="2"/>
          </w:tcPr>
          <w:p w14:paraId="12083311" w14:textId="77777777" w:rsidR="00B24B8C" w:rsidRDefault="00B24B8C" w:rsidP="001D706D">
            <w:pPr>
              <w:pStyle w:val="TableText"/>
            </w:pPr>
          </w:p>
        </w:tc>
        <w:tc>
          <w:tcPr>
            <w:tcW w:w="1224" w:type="dxa"/>
          </w:tcPr>
          <w:p w14:paraId="5F9BCE4B" w14:textId="77777777" w:rsidR="00B24B8C" w:rsidRDefault="00B24B8C" w:rsidP="001D706D">
            <w:pPr>
              <w:pStyle w:val="TableText"/>
            </w:pPr>
          </w:p>
        </w:tc>
        <w:tc>
          <w:tcPr>
            <w:tcW w:w="1223" w:type="dxa"/>
          </w:tcPr>
          <w:p w14:paraId="7745F925" w14:textId="77777777" w:rsidR="00B24B8C" w:rsidRDefault="00B24B8C" w:rsidP="001D706D">
            <w:pPr>
              <w:pStyle w:val="TableText"/>
            </w:pPr>
          </w:p>
        </w:tc>
        <w:tc>
          <w:tcPr>
            <w:tcW w:w="1223" w:type="dxa"/>
          </w:tcPr>
          <w:p w14:paraId="527401D7" w14:textId="77777777" w:rsidR="00B24B8C" w:rsidRDefault="00B24B8C" w:rsidP="001D706D">
            <w:pPr>
              <w:pStyle w:val="TableText"/>
            </w:pPr>
          </w:p>
        </w:tc>
      </w:tr>
      <w:tr w:rsidR="00B24B8C" w14:paraId="67154AA5" w14:textId="77777777">
        <w:tc>
          <w:tcPr>
            <w:tcW w:w="1224" w:type="dxa"/>
          </w:tcPr>
          <w:p w14:paraId="4FE75D8C" w14:textId="77777777" w:rsidR="00B24B8C" w:rsidRDefault="00B24B8C" w:rsidP="001D706D">
            <w:pPr>
              <w:pStyle w:val="TableText"/>
            </w:pPr>
          </w:p>
        </w:tc>
        <w:tc>
          <w:tcPr>
            <w:tcW w:w="1229" w:type="dxa"/>
            <w:gridSpan w:val="2"/>
          </w:tcPr>
          <w:p w14:paraId="79FC93F4" w14:textId="77777777" w:rsidR="00B24B8C" w:rsidRDefault="00B24B8C" w:rsidP="001D706D">
            <w:pPr>
              <w:pStyle w:val="TableText"/>
            </w:pPr>
          </w:p>
        </w:tc>
        <w:tc>
          <w:tcPr>
            <w:tcW w:w="1223" w:type="dxa"/>
          </w:tcPr>
          <w:p w14:paraId="69C4FE82" w14:textId="77777777" w:rsidR="00B24B8C" w:rsidRDefault="00B24B8C" w:rsidP="001D706D">
            <w:pPr>
              <w:pStyle w:val="TableText"/>
            </w:pPr>
          </w:p>
        </w:tc>
        <w:tc>
          <w:tcPr>
            <w:tcW w:w="2014" w:type="dxa"/>
            <w:gridSpan w:val="2"/>
          </w:tcPr>
          <w:p w14:paraId="4564BFA1" w14:textId="77777777" w:rsidR="00B24B8C" w:rsidRDefault="00B24B8C" w:rsidP="001D706D">
            <w:pPr>
              <w:pStyle w:val="TableText"/>
            </w:pPr>
          </w:p>
        </w:tc>
        <w:tc>
          <w:tcPr>
            <w:tcW w:w="1224" w:type="dxa"/>
          </w:tcPr>
          <w:p w14:paraId="45186DBD" w14:textId="77777777" w:rsidR="00B24B8C" w:rsidRDefault="00B24B8C" w:rsidP="001D706D">
            <w:pPr>
              <w:pStyle w:val="TableText"/>
            </w:pPr>
          </w:p>
        </w:tc>
        <w:tc>
          <w:tcPr>
            <w:tcW w:w="1223" w:type="dxa"/>
          </w:tcPr>
          <w:p w14:paraId="5536B4DD" w14:textId="77777777" w:rsidR="00B24B8C" w:rsidRDefault="00B24B8C" w:rsidP="001D706D">
            <w:pPr>
              <w:pStyle w:val="TableText"/>
            </w:pPr>
          </w:p>
        </w:tc>
        <w:tc>
          <w:tcPr>
            <w:tcW w:w="1223" w:type="dxa"/>
          </w:tcPr>
          <w:p w14:paraId="2EC56DE2" w14:textId="77777777" w:rsidR="00B24B8C" w:rsidRDefault="00B24B8C" w:rsidP="001D706D">
            <w:pPr>
              <w:pStyle w:val="TableText"/>
            </w:pPr>
          </w:p>
        </w:tc>
      </w:tr>
      <w:tr w:rsidR="00B24B8C" w14:paraId="1657ED2E" w14:textId="77777777">
        <w:tc>
          <w:tcPr>
            <w:tcW w:w="1224" w:type="dxa"/>
          </w:tcPr>
          <w:p w14:paraId="36DD8A16" w14:textId="77777777" w:rsidR="00B24B8C" w:rsidRDefault="00B24B8C" w:rsidP="001D706D">
            <w:pPr>
              <w:pStyle w:val="TableText"/>
            </w:pPr>
          </w:p>
        </w:tc>
        <w:tc>
          <w:tcPr>
            <w:tcW w:w="1229" w:type="dxa"/>
            <w:gridSpan w:val="2"/>
          </w:tcPr>
          <w:p w14:paraId="6C074847" w14:textId="77777777" w:rsidR="00B24B8C" w:rsidRDefault="00B24B8C" w:rsidP="001D706D">
            <w:pPr>
              <w:pStyle w:val="TableText"/>
            </w:pPr>
          </w:p>
        </w:tc>
        <w:tc>
          <w:tcPr>
            <w:tcW w:w="1223" w:type="dxa"/>
          </w:tcPr>
          <w:p w14:paraId="6E6CC746" w14:textId="77777777" w:rsidR="00B24B8C" w:rsidRDefault="00B24B8C" w:rsidP="001D706D">
            <w:pPr>
              <w:pStyle w:val="TableText"/>
            </w:pPr>
          </w:p>
        </w:tc>
        <w:tc>
          <w:tcPr>
            <w:tcW w:w="2014" w:type="dxa"/>
            <w:gridSpan w:val="2"/>
          </w:tcPr>
          <w:p w14:paraId="5E25AF74" w14:textId="77777777" w:rsidR="00B24B8C" w:rsidRDefault="00B24B8C" w:rsidP="001D706D">
            <w:pPr>
              <w:pStyle w:val="TableText"/>
            </w:pPr>
          </w:p>
        </w:tc>
        <w:tc>
          <w:tcPr>
            <w:tcW w:w="1224" w:type="dxa"/>
          </w:tcPr>
          <w:p w14:paraId="66C8EC0D" w14:textId="77777777" w:rsidR="00B24B8C" w:rsidRDefault="00B24B8C" w:rsidP="001D706D">
            <w:pPr>
              <w:pStyle w:val="TableText"/>
            </w:pPr>
          </w:p>
        </w:tc>
        <w:tc>
          <w:tcPr>
            <w:tcW w:w="1223" w:type="dxa"/>
          </w:tcPr>
          <w:p w14:paraId="451492AD" w14:textId="77777777" w:rsidR="00B24B8C" w:rsidRDefault="00B24B8C" w:rsidP="001D706D">
            <w:pPr>
              <w:pStyle w:val="TableText"/>
            </w:pPr>
          </w:p>
        </w:tc>
        <w:tc>
          <w:tcPr>
            <w:tcW w:w="1223" w:type="dxa"/>
          </w:tcPr>
          <w:p w14:paraId="414BDC87" w14:textId="77777777" w:rsidR="00B24B8C" w:rsidRDefault="00B24B8C" w:rsidP="001D706D">
            <w:pPr>
              <w:pStyle w:val="TableText"/>
            </w:pPr>
          </w:p>
        </w:tc>
      </w:tr>
      <w:tr w:rsidR="00B24B8C" w14:paraId="6143EDCD" w14:textId="77777777">
        <w:tc>
          <w:tcPr>
            <w:tcW w:w="1224" w:type="dxa"/>
          </w:tcPr>
          <w:p w14:paraId="4632B1C9" w14:textId="77777777" w:rsidR="00B24B8C" w:rsidRDefault="00B24B8C" w:rsidP="001D706D">
            <w:pPr>
              <w:pStyle w:val="TableText"/>
            </w:pPr>
          </w:p>
        </w:tc>
        <w:tc>
          <w:tcPr>
            <w:tcW w:w="1229" w:type="dxa"/>
            <w:gridSpan w:val="2"/>
          </w:tcPr>
          <w:p w14:paraId="21DB4F14" w14:textId="77777777" w:rsidR="00B24B8C" w:rsidRDefault="00B24B8C" w:rsidP="001D706D">
            <w:pPr>
              <w:pStyle w:val="TableText"/>
            </w:pPr>
          </w:p>
        </w:tc>
        <w:tc>
          <w:tcPr>
            <w:tcW w:w="1223" w:type="dxa"/>
          </w:tcPr>
          <w:p w14:paraId="75756AAF" w14:textId="77777777" w:rsidR="00B24B8C" w:rsidRDefault="00B24B8C" w:rsidP="001D706D">
            <w:pPr>
              <w:pStyle w:val="TableText"/>
            </w:pPr>
          </w:p>
        </w:tc>
        <w:tc>
          <w:tcPr>
            <w:tcW w:w="2014" w:type="dxa"/>
            <w:gridSpan w:val="2"/>
          </w:tcPr>
          <w:p w14:paraId="348AB329" w14:textId="77777777" w:rsidR="00B24B8C" w:rsidRDefault="00B24B8C" w:rsidP="001D706D">
            <w:pPr>
              <w:pStyle w:val="TableText"/>
            </w:pPr>
          </w:p>
        </w:tc>
        <w:tc>
          <w:tcPr>
            <w:tcW w:w="1224" w:type="dxa"/>
          </w:tcPr>
          <w:p w14:paraId="480801D6" w14:textId="77777777" w:rsidR="00B24B8C" w:rsidRDefault="00B24B8C" w:rsidP="001D706D">
            <w:pPr>
              <w:pStyle w:val="TableText"/>
            </w:pPr>
          </w:p>
        </w:tc>
        <w:tc>
          <w:tcPr>
            <w:tcW w:w="1223" w:type="dxa"/>
          </w:tcPr>
          <w:p w14:paraId="763B55B1" w14:textId="77777777" w:rsidR="00B24B8C" w:rsidRDefault="00B24B8C" w:rsidP="001D706D">
            <w:pPr>
              <w:pStyle w:val="TableText"/>
            </w:pPr>
          </w:p>
        </w:tc>
        <w:tc>
          <w:tcPr>
            <w:tcW w:w="1223" w:type="dxa"/>
          </w:tcPr>
          <w:p w14:paraId="5D53572B" w14:textId="77777777" w:rsidR="00B24B8C" w:rsidRDefault="00B24B8C" w:rsidP="001D706D">
            <w:pPr>
              <w:pStyle w:val="TableText"/>
            </w:pPr>
          </w:p>
        </w:tc>
      </w:tr>
      <w:tr w:rsidR="00B24B8C" w14:paraId="20C83CD3" w14:textId="77777777">
        <w:tc>
          <w:tcPr>
            <w:tcW w:w="1224" w:type="dxa"/>
          </w:tcPr>
          <w:p w14:paraId="0606C1DE" w14:textId="77777777" w:rsidR="00B24B8C" w:rsidRDefault="00B24B8C" w:rsidP="001D706D">
            <w:pPr>
              <w:pStyle w:val="TableText"/>
            </w:pPr>
          </w:p>
        </w:tc>
        <w:tc>
          <w:tcPr>
            <w:tcW w:w="1229" w:type="dxa"/>
            <w:gridSpan w:val="2"/>
          </w:tcPr>
          <w:p w14:paraId="4C4826CF" w14:textId="77777777" w:rsidR="00B24B8C" w:rsidRDefault="00B24B8C" w:rsidP="001D706D">
            <w:pPr>
              <w:pStyle w:val="TableText"/>
            </w:pPr>
          </w:p>
        </w:tc>
        <w:tc>
          <w:tcPr>
            <w:tcW w:w="1223" w:type="dxa"/>
          </w:tcPr>
          <w:p w14:paraId="07059FC8" w14:textId="77777777" w:rsidR="00B24B8C" w:rsidRDefault="00B24B8C" w:rsidP="001D706D">
            <w:pPr>
              <w:pStyle w:val="TableText"/>
            </w:pPr>
          </w:p>
        </w:tc>
        <w:tc>
          <w:tcPr>
            <w:tcW w:w="2014" w:type="dxa"/>
            <w:gridSpan w:val="2"/>
          </w:tcPr>
          <w:p w14:paraId="7DCF6131" w14:textId="77777777" w:rsidR="00B24B8C" w:rsidRDefault="00B24B8C" w:rsidP="001D706D">
            <w:pPr>
              <w:pStyle w:val="TableText"/>
            </w:pPr>
          </w:p>
        </w:tc>
        <w:tc>
          <w:tcPr>
            <w:tcW w:w="1224" w:type="dxa"/>
          </w:tcPr>
          <w:p w14:paraId="17D09515" w14:textId="77777777" w:rsidR="00B24B8C" w:rsidRDefault="00B24B8C" w:rsidP="001D706D">
            <w:pPr>
              <w:pStyle w:val="TableText"/>
            </w:pPr>
          </w:p>
        </w:tc>
        <w:tc>
          <w:tcPr>
            <w:tcW w:w="1223" w:type="dxa"/>
          </w:tcPr>
          <w:p w14:paraId="37F3F8E8" w14:textId="77777777" w:rsidR="00B24B8C" w:rsidRDefault="00B24B8C" w:rsidP="001D706D">
            <w:pPr>
              <w:pStyle w:val="TableText"/>
            </w:pPr>
          </w:p>
        </w:tc>
        <w:tc>
          <w:tcPr>
            <w:tcW w:w="1223" w:type="dxa"/>
          </w:tcPr>
          <w:p w14:paraId="25A0B18D" w14:textId="77777777" w:rsidR="00B24B8C" w:rsidRDefault="00B24B8C" w:rsidP="001D706D">
            <w:pPr>
              <w:pStyle w:val="TableText"/>
            </w:pPr>
          </w:p>
        </w:tc>
      </w:tr>
      <w:tr w:rsidR="00B24B8C" w14:paraId="3FEEF0D0" w14:textId="77777777">
        <w:tc>
          <w:tcPr>
            <w:tcW w:w="1224" w:type="dxa"/>
          </w:tcPr>
          <w:p w14:paraId="3CD232E2" w14:textId="77777777" w:rsidR="00B24B8C" w:rsidRDefault="00B24B8C" w:rsidP="001D706D">
            <w:pPr>
              <w:pStyle w:val="TableText"/>
            </w:pPr>
          </w:p>
        </w:tc>
        <w:tc>
          <w:tcPr>
            <w:tcW w:w="1229" w:type="dxa"/>
            <w:gridSpan w:val="2"/>
          </w:tcPr>
          <w:p w14:paraId="66F6E5D6" w14:textId="77777777" w:rsidR="00B24B8C" w:rsidRDefault="00B24B8C" w:rsidP="001D706D">
            <w:pPr>
              <w:pStyle w:val="TableText"/>
            </w:pPr>
          </w:p>
        </w:tc>
        <w:tc>
          <w:tcPr>
            <w:tcW w:w="1223" w:type="dxa"/>
          </w:tcPr>
          <w:p w14:paraId="28DC2580" w14:textId="77777777" w:rsidR="00B24B8C" w:rsidRDefault="00B24B8C" w:rsidP="001D706D">
            <w:pPr>
              <w:pStyle w:val="TableText"/>
            </w:pPr>
          </w:p>
        </w:tc>
        <w:tc>
          <w:tcPr>
            <w:tcW w:w="2014" w:type="dxa"/>
            <w:gridSpan w:val="2"/>
          </w:tcPr>
          <w:p w14:paraId="2097626A" w14:textId="77777777" w:rsidR="00B24B8C" w:rsidRDefault="00B24B8C" w:rsidP="001D706D">
            <w:pPr>
              <w:pStyle w:val="TableText"/>
            </w:pPr>
          </w:p>
        </w:tc>
        <w:tc>
          <w:tcPr>
            <w:tcW w:w="1224" w:type="dxa"/>
          </w:tcPr>
          <w:p w14:paraId="6AA737D9" w14:textId="77777777" w:rsidR="00B24B8C" w:rsidRDefault="00B24B8C" w:rsidP="001D706D">
            <w:pPr>
              <w:pStyle w:val="TableText"/>
            </w:pPr>
          </w:p>
        </w:tc>
        <w:tc>
          <w:tcPr>
            <w:tcW w:w="1223" w:type="dxa"/>
          </w:tcPr>
          <w:p w14:paraId="2C167AA4" w14:textId="77777777" w:rsidR="00B24B8C" w:rsidRDefault="00B24B8C" w:rsidP="001D706D">
            <w:pPr>
              <w:pStyle w:val="TableText"/>
            </w:pPr>
          </w:p>
        </w:tc>
        <w:tc>
          <w:tcPr>
            <w:tcW w:w="1223" w:type="dxa"/>
          </w:tcPr>
          <w:p w14:paraId="756BB440" w14:textId="77777777" w:rsidR="00B24B8C" w:rsidRDefault="00B24B8C" w:rsidP="001D706D">
            <w:pPr>
              <w:pStyle w:val="TableText"/>
            </w:pPr>
          </w:p>
        </w:tc>
      </w:tr>
      <w:tr w:rsidR="00B24B8C" w14:paraId="065CFE03" w14:textId="77777777">
        <w:tc>
          <w:tcPr>
            <w:tcW w:w="1224" w:type="dxa"/>
          </w:tcPr>
          <w:p w14:paraId="4C993540" w14:textId="77777777" w:rsidR="00B24B8C" w:rsidRDefault="00B24B8C" w:rsidP="001D706D">
            <w:pPr>
              <w:pStyle w:val="TableText"/>
            </w:pPr>
          </w:p>
        </w:tc>
        <w:tc>
          <w:tcPr>
            <w:tcW w:w="1229" w:type="dxa"/>
            <w:gridSpan w:val="2"/>
          </w:tcPr>
          <w:p w14:paraId="2C9CC25A" w14:textId="77777777" w:rsidR="00B24B8C" w:rsidRDefault="00B24B8C" w:rsidP="001D706D">
            <w:pPr>
              <w:pStyle w:val="TableText"/>
            </w:pPr>
          </w:p>
        </w:tc>
        <w:tc>
          <w:tcPr>
            <w:tcW w:w="1223" w:type="dxa"/>
          </w:tcPr>
          <w:p w14:paraId="14D8B1F7" w14:textId="77777777" w:rsidR="00B24B8C" w:rsidRDefault="00B24B8C" w:rsidP="001D706D">
            <w:pPr>
              <w:pStyle w:val="TableText"/>
            </w:pPr>
          </w:p>
        </w:tc>
        <w:tc>
          <w:tcPr>
            <w:tcW w:w="2014" w:type="dxa"/>
            <w:gridSpan w:val="2"/>
          </w:tcPr>
          <w:p w14:paraId="58301E35" w14:textId="77777777" w:rsidR="00B24B8C" w:rsidRDefault="00B24B8C" w:rsidP="001D706D">
            <w:pPr>
              <w:pStyle w:val="TableText"/>
            </w:pPr>
          </w:p>
        </w:tc>
        <w:tc>
          <w:tcPr>
            <w:tcW w:w="1224" w:type="dxa"/>
          </w:tcPr>
          <w:p w14:paraId="4903AA0D" w14:textId="77777777" w:rsidR="00B24B8C" w:rsidRDefault="00B24B8C" w:rsidP="001D706D">
            <w:pPr>
              <w:pStyle w:val="TableText"/>
            </w:pPr>
          </w:p>
        </w:tc>
        <w:tc>
          <w:tcPr>
            <w:tcW w:w="1223" w:type="dxa"/>
          </w:tcPr>
          <w:p w14:paraId="2C9F838C" w14:textId="77777777" w:rsidR="00B24B8C" w:rsidRDefault="00B24B8C" w:rsidP="001D706D">
            <w:pPr>
              <w:pStyle w:val="TableText"/>
            </w:pPr>
          </w:p>
        </w:tc>
        <w:tc>
          <w:tcPr>
            <w:tcW w:w="1223" w:type="dxa"/>
          </w:tcPr>
          <w:p w14:paraId="7E866EFE" w14:textId="77777777" w:rsidR="00B24B8C" w:rsidRDefault="00B24B8C" w:rsidP="001D706D">
            <w:pPr>
              <w:pStyle w:val="TableText"/>
            </w:pPr>
          </w:p>
        </w:tc>
      </w:tr>
    </w:tbl>
    <w:p w14:paraId="0C9DB6C3" w14:textId="77777777" w:rsidR="002E3C00" w:rsidRDefault="007F0132" w:rsidP="002E3C00">
      <w:pPr>
        <w:pStyle w:val="Heading3"/>
      </w:pPr>
      <w:r>
        <w:br w:type="page"/>
      </w:r>
      <w:bookmarkStart w:id="712" w:name="_Toc163645029"/>
      <w:r w:rsidR="002E3C00">
        <w:lastRenderedPageBreak/>
        <w:t>Local Facilities</w:t>
      </w:r>
      <w:bookmarkEnd w:id="709"/>
      <w:bookmarkEnd w:id="710"/>
      <w:bookmarkEnd w:id="711"/>
      <w:bookmarkEnd w:id="71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Local Facilities</w:instrText>
      </w:r>
      <w:r w:rsidR="00992E88">
        <w:instrText xml:space="preserve">" </w:instrText>
      </w:r>
      <w:r w:rsidR="00992E88">
        <w:fldChar w:fldCharType="end"/>
      </w:r>
    </w:p>
    <w:p w14:paraId="197918DB" w14:textId="686F6D75" w:rsidR="002E3C00" w:rsidRDefault="002E3C00" w:rsidP="002E3C00">
      <w:pPr>
        <w:pStyle w:val="BodyText"/>
      </w:pPr>
      <w:r>
        <w:t>The user customizes collection facility information.</w:t>
      </w:r>
      <w:r w:rsidR="008D2779">
        <w:t xml:space="preserve"> For more information, see </w:t>
      </w:r>
      <w:r w:rsidR="00EE455E">
        <w:t xml:space="preserve">Appendix </w:t>
      </w:r>
      <w:r w:rsidR="00EE455E">
        <w:rPr>
          <w:noProof/>
        </w:rPr>
        <w:t>G</w:t>
      </w:r>
      <w:r w:rsidR="00EE455E">
        <w:t>: Work Process Flowcharts</w:t>
      </w:r>
      <w:r w:rsidR="008D2779">
        <w:t>.</w:t>
      </w:r>
    </w:p>
    <w:p w14:paraId="55BB3E02" w14:textId="77777777" w:rsidR="002E3C00" w:rsidRDefault="002E3C00" w:rsidP="002E3C00">
      <w:pPr>
        <w:pStyle w:val="Heading4"/>
      </w:pPr>
      <w:r>
        <w:t>User Roles with Access to This Option</w:t>
      </w:r>
    </w:p>
    <w:p w14:paraId="0B46B244" w14:textId="77777777" w:rsidR="002E3C00" w:rsidRDefault="002E3C00" w:rsidP="002E3C00">
      <w:pPr>
        <w:pStyle w:val="Roles"/>
      </w:pPr>
      <w:r>
        <w:t>All users (activate a facility)</w:t>
      </w:r>
    </w:p>
    <w:p w14:paraId="32317E85" w14:textId="77777777" w:rsidR="002E3C00" w:rsidRPr="00FC5C6B"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(add a facility)</w:t>
      </w:r>
    </w:p>
    <w:p w14:paraId="2FCF876A" w14:textId="77777777" w:rsidR="002E3C00" w:rsidRDefault="00B74754" w:rsidP="002E3C00">
      <w:pPr>
        <w:pStyle w:val="Heading4"/>
      </w:pPr>
      <w:r>
        <w:t>Preparation for Testing</w:t>
      </w:r>
    </w:p>
    <w:p w14:paraId="478AB1D8" w14:textId="77777777" w:rsidR="00061FCF" w:rsidRPr="00600497" w:rsidRDefault="00061FCF" w:rsidP="00925CAD">
      <w:pPr>
        <w:pStyle w:val="ListNumber"/>
        <w:numPr>
          <w:ilvl w:val="0"/>
          <w:numId w:val="23"/>
        </w:numPr>
        <w:tabs>
          <w:tab w:val="clear" w:pos="720"/>
          <w:tab w:val="num" w:pos="360"/>
        </w:tabs>
        <w:ind w:left="360"/>
      </w:pPr>
      <w:r w:rsidRPr="00600497">
        <w:t>Use the sample worksheet to record information.</w:t>
      </w:r>
    </w:p>
    <w:p w14:paraId="2ED5781F" w14:textId="77777777" w:rsidR="002E3C00" w:rsidRPr="00600497" w:rsidRDefault="002E3C00" w:rsidP="00925CAD">
      <w:pPr>
        <w:pStyle w:val="ListNumber"/>
        <w:numPr>
          <w:ilvl w:val="0"/>
          <w:numId w:val="23"/>
        </w:numPr>
        <w:tabs>
          <w:tab w:val="clear" w:pos="720"/>
          <w:tab w:val="num" w:pos="360"/>
        </w:tabs>
        <w:ind w:left="360"/>
      </w:pPr>
      <w:r w:rsidRPr="00600497">
        <w:t xml:space="preserve">Capture and save a screen shot of each piece of information. </w:t>
      </w:r>
    </w:p>
    <w:p w14:paraId="4E6E1022" w14:textId="77777777" w:rsidR="00232E43" w:rsidRPr="00FB7F8D" w:rsidRDefault="00232E43" w:rsidP="00925CAD">
      <w:pPr>
        <w:pStyle w:val="ListNumber"/>
        <w:numPr>
          <w:ilvl w:val="0"/>
          <w:numId w:val="23"/>
        </w:numPr>
        <w:tabs>
          <w:tab w:val="clear" w:pos="720"/>
          <w:tab w:val="num" w:pos="360"/>
        </w:tabs>
        <w:ind w:left="360"/>
      </w:pPr>
      <w:r w:rsidRPr="00600497">
        <w:t>Print, sign, date, and save an Audit Trail Report for your v</w:t>
      </w:r>
      <w:r w:rsidRPr="00FB7F8D">
        <w:t>alidation record.</w:t>
      </w:r>
    </w:p>
    <w:p w14:paraId="6F6DBE24" w14:textId="78DE0A0B" w:rsidR="002E3C00" w:rsidRDefault="002E3C00" w:rsidP="002E3C00">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30</w:t>
      </w:r>
      <w:r w:rsidR="004E20BD">
        <w:rPr>
          <w:noProof/>
        </w:rPr>
        <w:fldChar w:fldCharType="end"/>
      </w:r>
      <w:r>
        <w:t>: Sample Local Facilities Worksheet</w:t>
      </w:r>
      <w:r w:rsidR="00AD60CF">
        <w:fldChar w:fldCharType="begin"/>
      </w:r>
      <w:r w:rsidR="00292A7B">
        <w:instrText xml:space="preserve"> XE "Tables:</w:instrText>
      </w:r>
      <w:r w:rsidR="00AD60CF" w:rsidRPr="0046419F">
        <w:instrText>Sample Local Facilities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400E39" w:rsidRPr="00B562A7" w14:paraId="10F6FA58" w14:textId="77777777">
        <w:trPr>
          <w:tblHeader/>
        </w:trPr>
        <w:tc>
          <w:tcPr>
            <w:tcW w:w="1440" w:type="dxa"/>
            <w:vMerge w:val="restart"/>
            <w:shd w:val="clear" w:color="auto" w:fill="B3B3B3"/>
            <w:vAlign w:val="bottom"/>
          </w:tcPr>
          <w:p w14:paraId="60246A74" w14:textId="77777777" w:rsidR="00400E39" w:rsidRPr="00B562A7" w:rsidRDefault="00400E39" w:rsidP="002E3C00">
            <w:pPr>
              <w:pStyle w:val="TableText"/>
              <w:rPr>
                <w:b/>
              </w:rPr>
            </w:pPr>
            <w:r>
              <w:rPr>
                <w:b/>
              </w:rPr>
              <w:t>FDA Reg. No.</w:t>
            </w:r>
          </w:p>
        </w:tc>
        <w:tc>
          <w:tcPr>
            <w:tcW w:w="2160" w:type="dxa"/>
            <w:vMerge w:val="restart"/>
            <w:shd w:val="clear" w:color="auto" w:fill="B3B3B3"/>
            <w:vAlign w:val="bottom"/>
          </w:tcPr>
          <w:p w14:paraId="7014DC40" w14:textId="77777777" w:rsidR="00400E39" w:rsidRPr="00B562A7" w:rsidRDefault="00400E39" w:rsidP="002E3C00">
            <w:pPr>
              <w:pStyle w:val="TableText"/>
              <w:rPr>
                <w:b/>
              </w:rPr>
            </w:pPr>
            <w:r>
              <w:rPr>
                <w:b/>
              </w:rPr>
              <w:t>Facility Name</w:t>
            </w:r>
          </w:p>
        </w:tc>
        <w:tc>
          <w:tcPr>
            <w:tcW w:w="1440" w:type="dxa"/>
            <w:vMerge w:val="restart"/>
            <w:shd w:val="clear" w:color="auto" w:fill="B3B3B3"/>
            <w:vAlign w:val="bottom"/>
          </w:tcPr>
          <w:p w14:paraId="6B52639B" w14:textId="77777777" w:rsidR="00400E39" w:rsidRPr="00B562A7" w:rsidRDefault="00400E39" w:rsidP="002E3C00">
            <w:pPr>
              <w:pStyle w:val="TableText"/>
              <w:rPr>
                <w:b/>
              </w:rPr>
            </w:pPr>
            <w:r>
              <w:rPr>
                <w:b/>
              </w:rPr>
              <w:t>ICCBBA Reg. No.</w:t>
            </w:r>
          </w:p>
        </w:tc>
        <w:tc>
          <w:tcPr>
            <w:tcW w:w="2880" w:type="dxa"/>
            <w:gridSpan w:val="2"/>
            <w:shd w:val="clear" w:color="auto" w:fill="B3B3B3"/>
            <w:vAlign w:val="bottom"/>
          </w:tcPr>
          <w:p w14:paraId="52C421ED" w14:textId="77777777" w:rsidR="00400E39" w:rsidRPr="00B562A7" w:rsidRDefault="00400E39" w:rsidP="001E4018">
            <w:pPr>
              <w:pStyle w:val="TableText"/>
              <w:jc w:val="center"/>
              <w:rPr>
                <w:b/>
              </w:rPr>
            </w:pPr>
            <w:r>
              <w:rPr>
                <w:b/>
              </w:rPr>
              <w:t>Facility Type</w:t>
            </w:r>
          </w:p>
        </w:tc>
        <w:tc>
          <w:tcPr>
            <w:tcW w:w="1440" w:type="dxa"/>
            <w:vMerge w:val="restart"/>
            <w:shd w:val="clear" w:color="auto" w:fill="B3B3B3"/>
            <w:vAlign w:val="bottom"/>
          </w:tcPr>
          <w:p w14:paraId="49565B3C" w14:textId="77777777" w:rsidR="00400E39" w:rsidRPr="00B562A7" w:rsidRDefault="00400E39" w:rsidP="002E3C00">
            <w:pPr>
              <w:pStyle w:val="TableText"/>
              <w:rPr>
                <w:b/>
              </w:rPr>
            </w:pPr>
            <w:r>
              <w:rPr>
                <w:b/>
              </w:rPr>
              <w:t>Active Facility?</w:t>
            </w:r>
          </w:p>
        </w:tc>
      </w:tr>
      <w:tr w:rsidR="00400E39" w:rsidRPr="00B562A7" w14:paraId="7C445CC1" w14:textId="77777777">
        <w:trPr>
          <w:tblHeader/>
        </w:trPr>
        <w:tc>
          <w:tcPr>
            <w:tcW w:w="1440" w:type="dxa"/>
            <w:vMerge/>
            <w:shd w:val="clear" w:color="auto" w:fill="B3B3B3"/>
          </w:tcPr>
          <w:p w14:paraId="6DEECADF" w14:textId="77777777" w:rsidR="00400E39" w:rsidRPr="00B562A7" w:rsidRDefault="00400E39" w:rsidP="002E3C00">
            <w:pPr>
              <w:pStyle w:val="TableText"/>
              <w:rPr>
                <w:b/>
              </w:rPr>
            </w:pPr>
          </w:p>
        </w:tc>
        <w:tc>
          <w:tcPr>
            <w:tcW w:w="2160" w:type="dxa"/>
            <w:vMerge/>
            <w:shd w:val="clear" w:color="auto" w:fill="B3B3B3"/>
          </w:tcPr>
          <w:p w14:paraId="7CE9C318" w14:textId="77777777" w:rsidR="00400E39" w:rsidRPr="00B562A7" w:rsidRDefault="00400E39" w:rsidP="002E3C00">
            <w:pPr>
              <w:pStyle w:val="TableText"/>
              <w:rPr>
                <w:b/>
              </w:rPr>
            </w:pPr>
          </w:p>
        </w:tc>
        <w:tc>
          <w:tcPr>
            <w:tcW w:w="1440" w:type="dxa"/>
            <w:vMerge/>
            <w:shd w:val="clear" w:color="auto" w:fill="B3B3B3"/>
          </w:tcPr>
          <w:p w14:paraId="2EEE7A1D" w14:textId="77777777" w:rsidR="00400E39" w:rsidRPr="00B562A7" w:rsidRDefault="00400E39" w:rsidP="002E3C00">
            <w:pPr>
              <w:pStyle w:val="TableText"/>
              <w:rPr>
                <w:b/>
              </w:rPr>
            </w:pPr>
          </w:p>
        </w:tc>
        <w:tc>
          <w:tcPr>
            <w:tcW w:w="1440" w:type="dxa"/>
            <w:shd w:val="clear" w:color="auto" w:fill="B3B3B3"/>
            <w:vAlign w:val="bottom"/>
          </w:tcPr>
          <w:p w14:paraId="0DCF70E5" w14:textId="77777777" w:rsidR="00400E39" w:rsidRPr="00B562A7" w:rsidRDefault="00400E39" w:rsidP="002E3C00">
            <w:pPr>
              <w:pStyle w:val="TableText"/>
              <w:rPr>
                <w:b/>
              </w:rPr>
            </w:pPr>
            <w:r>
              <w:rPr>
                <w:b/>
              </w:rPr>
              <w:t>Collection Facility?</w:t>
            </w:r>
          </w:p>
        </w:tc>
        <w:tc>
          <w:tcPr>
            <w:tcW w:w="1440" w:type="dxa"/>
            <w:shd w:val="clear" w:color="auto" w:fill="B3B3B3"/>
            <w:vAlign w:val="bottom"/>
          </w:tcPr>
          <w:p w14:paraId="6A2ACA2B" w14:textId="77777777" w:rsidR="00400E39" w:rsidRPr="00B562A7" w:rsidRDefault="00400E39" w:rsidP="002E3C00">
            <w:pPr>
              <w:pStyle w:val="TableText"/>
              <w:rPr>
                <w:b/>
              </w:rPr>
            </w:pPr>
            <w:r>
              <w:rPr>
                <w:b/>
              </w:rPr>
              <w:t>Testing Facility?</w:t>
            </w:r>
          </w:p>
        </w:tc>
        <w:tc>
          <w:tcPr>
            <w:tcW w:w="1440" w:type="dxa"/>
            <w:vMerge/>
            <w:shd w:val="clear" w:color="auto" w:fill="B3B3B3"/>
          </w:tcPr>
          <w:p w14:paraId="069AD0AE" w14:textId="77777777" w:rsidR="00400E39" w:rsidRPr="00B562A7" w:rsidRDefault="00400E39" w:rsidP="002E3C00">
            <w:pPr>
              <w:pStyle w:val="TableText"/>
              <w:rPr>
                <w:b/>
              </w:rPr>
            </w:pPr>
          </w:p>
        </w:tc>
      </w:tr>
      <w:tr w:rsidR="00400E39" w14:paraId="32A79386" w14:textId="77777777">
        <w:tc>
          <w:tcPr>
            <w:tcW w:w="1440" w:type="dxa"/>
          </w:tcPr>
          <w:p w14:paraId="65A74522" w14:textId="77777777" w:rsidR="00400E39" w:rsidRDefault="009E20D1" w:rsidP="002E3C00">
            <w:pPr>
              <w:pStyle w:val="TableText"/>
            </w:pPr>
            <w:r>
              <w:t>2577690</w:t>
            </w:r>
          </w:p>
        </w:tc>
        <w:tc>
          <w:tcPr>
            <w:tcW w:w="2160" w:type="dxa"/>
          </w:tcPr>
          <w:p w14:paraId="5D140E47" w14:textId="77777777" w:rsidR="00400E39" w:rsidRDefault="009E20D1" w:rsidP="002E3C00">
            <w:pPr>
              <w:pStyle w:val="TableText"/>
            </w:pPr>
            <w:r>
              <w:t>Abington Memorial Hospital</w:t>
            </w:r>
          </w:p>
        </w:tc>
        <w:tc>
          <w:tcPr>
            <w:tcW w:w="1440" w:type="dxa"/>
          </w:tcPr>
          <w:p w14:paraId="6574AD55" w14:textId="77777777" w:rsidR="00400E39" w:rsidRDefault="009E20D1" w:rsidP="002E3C00">
            <w:pPr>
              <w:pStyle w:val="TableText"/>
            </w:pPr>
            <w:r>
              <w:t>W0002</w:t>
            </w:r>
          </w:p>
        </w:tc>
        <w:tc>
          <w:tcPr>
            <w:tcW w:w="1440" w:type="dxa"/>
          </w:tcPr>
          <w:p w14:paraId="482A732A" w14:textId="77777777" w:rsidR="00400E39" w:rsidRDefault="009E20D1" w:rsidP="002E3C00">
            <w:pPr>
              <w:pStyle w:val="TableText"/>
            </w:pPr>
            <w:r>
              <w:sym w:font="Wingdings" w:char="F0FC"/>
            </w:r>
          </w:p>
        </w:tc>
        <w:tc>
          <w:tcPr>
            <w:tcW w:w="1440" w:type="dxa"/>
          </w:tcPr>
          <w:p w14:paraId="1F90F192" w14:textId="77777777" w:rsidR="00400E39" w:rsidRDefault="00400E39" w:rsidP="002E3C00">
            <w:pPr>
              <w:pStyle w:val="TableText"/>
            </w:pPr>
          </w:p>
        </w:tc>
        <w:tc>
          <w:tcPr>
            <w:tcW w:w="1440" w:type="dxa"/>
          </w:tcPr>
          <w:p w14:paraId="16902351" w14:textId="77777777" w:rsidR="00400E39" w:rsidRDefault="009E20D1" w:rsidP="002E3C00">
            <w:pPr>
              <w:pStyle w:val="TableText"/>
            </w:pPr>
            <w:r>
              <w:sym w:font="Wingdings" w:char="F0FC"/>
            </w:r>
          </w:p>
        </w:tc>
      </w:tr>
    </w:tbl>
    <w:p w14:paraId="61D33EE3" w14:textId="3018B5F2" w:rsidR="00B24B8C" w:rsidRDefault="00B24B8C" w:rsidP="00B24B8C">
      <w:pPr>
        <w:pStyle w:val="Caption"/>
      </w:pPr>
      <w:bookmarkStart w:id="713" w:name="_Toc85895790"/>
      <w:bookmarkStart w:id="714" w:name="_Toc113264248"/>
      <w:bookmarkStart w:id="715" w:name="_Toc114462103"/>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31</w:t>
      </w:r>
      <w:r w:rsidR="004E20BD">
        <w:rPr>
          <w:noProof/>
        </w:rPr>
        <w:fldChar w:fldCharType="end"/>
      </w:r>
      <w:r>
        <w:t>: Local Facilities Worksheet</w:t>
      </w:r>
      <w:r>
        <w:fldChar w:fldCharType="begin"/>
      </w:r>
      <w:r>
        <w:instrText xml:space="preserve"> XE "Tables:</w:instrText>
      </w:r>
      <w:r w:rsidRPr="0046419F">
        <w:instrText>Local Facilities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B24B8C" w:rsidRPr="00B562A7" w14:paraId="5B602E98" w14:textId="77777777">
        <w:trPr>
          <w:tblHeader/>
        </w:trPr>
        <w:tc>
          <w:tcPr>
            <w:tcW w:w="1440" w:type="dxa"/>
            <w:vMerge w:val="restart"/>
            <w:shd w:val="clear" w:color="auto" w:fill="B3B3B3"/>
            <w:vAlign w:val="bottom"/>
          </w:tcPr>
          <w:p w14:paraId="0020880D" w14:textId="77777777" w:rsidR="00B24B8C" w:rsidRPr="00B562A7" w:rsidRDefault="00B24B8C" w:rsidP="001D706D">
            <w:pPr>
              <w:pStyle w:val="TableText"/>
              <w:rPr>
                <w:b/>
              </w:rPr>
            </w:pPr>
            <w:r>
              <w:rPr>
                <w:b/>
              </w:rPr>
              <w:t>FDA Reg. No.</w:t>
            </w:r>
          </w:p>
        </w:tc>
        <w:tc>
          <w:tcPr>
            <w:tcW w:w="2160" w:type="dxa"/>
            <w:vMerge w:val="restart"/>
            <w:shd w:val="clear" w:color="auto" w:fill="B3B3B3"/>
            <w:vAlign w:val="bottom"/>
          </w:tcPr>
          <w:p w14:paraId="7B0FF851" w14:textId="77777777" w:rsidR="00B24B8C" w:rsidRPr="00B562A7" w:rsidRDefault="00B24B8C" w:rsidP="001D706D">
            <w:pPr>
              <w:pStyle w:val="TableText"/>
              <w:rPr>
                <w:b/>
              </w:rPr>
            </w:pPr>
            <w:r>
              <w:rPr>
                <w:b/>
              </w:rPr>
              <w:t>Facility Name</w:t>
            </w:r>
          </w:p>
        </w:tc>
        <w:tc>
          <w:tcPr>
            <w:tcW w:w="1440" w:type="dxa"/>
            <w:vMerge w:val="restart"/>
            <w:shd w:val="clear" w:color="auto" w:fill="B3B3B3"/>
            <w:vAlign w:val="bottom"/>
          </w:tcPr>
          <w:p w14:paraId="2EB631F7" w14:textId="77777777" w:rsidR="00B24B8C" w:rsidRPr="00B562A7" w:rsidRDefault="00B24B8C" w:rsidP="001D706D">
            <w:pPr>
              <w:pStyle w:val="TableText"/>
              <w:rPr>
                <w:b/>
              </w:rPr>
            </w:pPr>
            <w:r>
              <w:rPr>
                <w:b/>
              </w:rPr>
              <w:t>ICCBBA Reg. No.</w:t>
            </w:r>
          </w:p>
        </w:tc>
        <w:tc>
          <w:tcPr>
            <w:tcW w:w="1440" w:type="dxa"/>
            <w:gridSpan w:val="2"/>
            <w:shd w:val="clear" w:color="auto" w:fill="B3B3B3"/>
            <w:vAlign w:val="bottom"/>
          </w:tcPr>
          <w:p w14:paraId="1EA7A03B" w14:textId="77777777" w:rsidR="00B24B8C" w:rsidRPr="00B562A7" w:rsidRDefault="00B24B8C" w:rsidP="001E4018">
            <w:pPr>
              <w:pStyle w:val="TableText"/>
              <w:jc w:val="center"/>
              <w:rPr>
                <w:b/>
              </w:rPr>
            </w:pPr>
            <w:r>
              <w:rPr>
                <w:b/>
              </w:rPr>
              <w:t>Facility Type</w:t>
            </w:r>
          </w:p>
        </w:tc>
        <w:tc>
          <w:tcPr>
            <w:tcW w:w="1440" w:type="dxa"/>
            <w:vMerge w:val="restart"/>
            <w:shd w:val="clear" w:color="auto" w:fill="B3B3B3"/>
            <w:vAlign w:val="bottom"/>
          </w:tcPr>
          <w:p w14:paraId="1FBAC68F" w14:textId="77777777" w:rsidR="00B24B8C" w:rsidRPr="00B562A7" w:rsidRDefault="00B24B8C" w:rsidP="001D706D">
            <w:pPr>
              <w:pStyle w:val="TableText"/>
              <w:rPr>
                <w:b/>
              </w:rPr>
            </w:pPr>
            <w:r>
              <w:rPr>
                <w:b/>
              </w:rPr>
              <w:t>Active Facility?</w:t>
            </w:r>
          </w:p>
        </w:tc>
      </w:tr>
      <w:tr w:rsidR="00B24B8C" w:rsidRPr="00B562A7" w14:paraId="228D1FD3" w14:textId="77777777">
        <w:trPr>
          <w:tblHeader/>
        </w:trPr>
        <w:tc>
          <w:tcPr>
            <w:tcW w:w="1440" w:type="dxa"/>
            <w:vMerge/>
            <w:shd w:val="clear" w:color="auto" w:fill="B3B3B3"/>
          </w:tcPr>
          <w:p w14:paraId="13E86479" w14:textId="77777777" w:rsidR="00B24B8C" w:rsidRPr="00B562A7" w:rsidRDefault="00B24B8C" w:rsidP="001D706D">
            <w:pPr>
              <w:pStyle w:val="TableText"/>
              <w:rPr>
                <w:b/>
              </w:rPr>
            </w:pPr>
          </w:p>
        </w:tc>
        <w:tc>
          <w:tcPr>
            <w:tcW w:w="2160" w:type="dxa"/>
            <w:vMerge/>
            <w:shd w:val="clear" w:color="auto" w:fill="B3B3B3"/>
          </w:tcPr>
          <w:p w14:paraId="556334F9" w14:textId="77777777" w:rsidR="00B24B8C" w:rsidRPr="00B562A7" w:rsidRDefault="00B24B8C" w:rsidP="001D706D">
            <w:pPr>
              <w:pStyle w:val="TableText"/>
              <w:rPr>
                <w:b/>
              </w:rPr>
            </w:pPr>
          </w:p>
        </w:tc>
        <w:tc>
          <w:tcPr>
            <w:tcW w:w="1440" w:type="dxa"/>
            <w:vMerge/>
            <w:shd w:val="clear" w:color="auto" w:fill="B3B3B3"/>
          </w:tcPr>
          <w:p w14:paraId="59F40514" w14:textId="77777777" w:rsidR="00B24B8C" w:rsidRPr="00B562A7" w:rsidRDefault="00B24B8C" w:rsidP="001D706D">
            <w:pPr>
              <w:pStyle w:val="TableText"/>
              <w:rPr>
                <w:b/>
              </w:rPr>
            </w:pPr>
          </w:p>
        </w:tc>
        <w:tc>
          <w:tcPr>
            <w:tcW w:w="1440" w:type="dxa"/>
            <w:shd w:val="clear" w:color="auto" w:fill="B3B3B3"/>
          </w:tcPr>
          <w:p w14:paraId="0173BB31" w14:textId="77777777" w:rsidR="00B24B8C" w:rsidRPr="00B562A7" w:rsidRDefault="00B24B8C" w:rsidP="001D706D">
            <w:pPr>
              <w:pStyle w:val="TableText"/>
              <w:rPr>
                <w:b/>
              </w:rPr>
            </w:pPr>
            <w:r>
              <w:rPr>
                <w:b/>
              </w:rPr>
              <w:t>Collection Facility?</w:t>
            </w:r>
          </w:p>
        </w:tc>
        <w:tc>
          <w:tcPr>
            <w:tcW w:w="1440" w:type="dxa"/>
            <w:shd w:val="clear" w:color="auto" w:fill="B3B3B3"/>
          </w:tcPr>
          <w:p w14:paraId="4FE101FE" w14:textId="77777777" w:rsidR="00B24B8C" w:rsidRPr="00B562A7" w:rsidRDefault="00B24B8C" w:rsidP="001D706D">
            <w:pPr>
              <w:pStyle w:val="TableText"/>
              <w:rPr>
                <w:b/>
              </w:rPr>
            </w:pPr>
            <w:r>
              <w:rPr>
                <w:b/>
              </w:rPr>
              <w:t>Testing Facility?</w:t>
            </w:r>
          </w:p>
        </w:tc>
        <w:tc>
          <w:tcPr>
            <w:tcW w:w="1440" w:type="dxa"/>
            <w:vMerge/>
            <w:shd w:val="clear" w:color="auto" w:fill="B3B3B3"/>
          </w:tcPr>
          <w:p w14:paraId="06165A26" w14:textId="77777777" w:rsidR="00B24B8C" w:rsidRPr="00B562A7" w:rsidRDefault="00B24B8C" w:rsidP="001D706D">
            <w:pPr>
              <w:pStyle w:val="TableText"/>
              <w:rPr>
                <w:b/>
              </w:rPr>
            </w:pPr>
          </w:p>
        </w:tc>
      </w:tr>
      <w:tr w:rsidR="00B24B8C" w14:paraId="111E4BFC" w14:textId="77777777">
        <w:tc>
          <w:tcPr>
            <w:tcW w:w="1440" w:type="dxa"/>
          </w:tcPr>
          <w:p w14:paraId="1B0AA816" w14:textId="77777777" w:rsidR="00B24B8C" w:rsidRDefault="00B24B8C" w:rsidP="001D706D">
            <w:pPr>
              <w:pStyle w:val="TableText"/>
            </w:pPr>
          </w:p>
        </w:tc>
        <w:tc>
          <w:tcPr>
            <w:tcW w:w="2160" w:type="dxa"/>
          </w:tcPr>
          <w:p w14:paraId="02DF23F2" w14:textId="77777777" w:rsidR="00B24B8C" w:rsidRDefault="00B24B8C" w:rsidP="001D706D">
            <w:pPr>
              <w:pStyle w:val="TableText"/>
            </w:pPr>
          </w:p>
        </w:tc>
        <w:tc>
          <w:tcPr>
            <w:tcW w:w="1440" w:type="dxa"/>
          </w:tcPr>
          <w:p w14:paraId="4572A71F" w14:textId="77777777" w:rsidR="00B24B8C" w:rsidRDefault="00B24B8C" w:rsidP="001D706D">
            <w:pPr>
              <w:pStyle w:val="TableText"/>
            </w:pPr>
          </w:p>
        </w:tc>
        <w:tc>
          <w:tcPr>
            <w:tcW w:w="1440" w:type="dxa"/>
          </w:tcPr>
          <w:p w14:paraId="5A82308C" w14:textId="77777777" w:rsidR="00B24B8C" w:rsidRDefault="00B24B8C" w:rsidP="001D706D">
            <w:pPr>
              <w:pStyle w:val="TableText"/>
            </w:pPr>
          </w:p>
        </w:tc>
        <w:tc>
          <w:tcPr>
            <w:tcW w:w="1440" w:type="dxa"/>
          </w:tcPr>
          <w:p w14:paraId="4F8D44FF" w14:textId="77777777" w:rsidR="00B24B8C" w:rsidRDefault="00B24B8C" w:rsidP="001D706D">
            <w:pPr>
              <w:pStyle w:val="TableText"/>
            </w:pPr>
          </w:p>
        </w:tc>
        <w:tc>
          <w:tcPr>
            <w:tcW w:w="1440" w:type="dxa"/>
          </w:tcPr>
          <w:p w14:paraId="799CD82E" w14:textId="77777777" w:rsidR="00B24B8C" w:rsidRDefault="00B24B8C" w:rsidP="001D706D">
            <w:pPr>
              <w:pStyle w:val="TableText"/>
            </w:pPr>
          </w:p>
        </w:tc>
      </w:tr>
      <w:tr w:rsidR="00B24B8C" w14:paraId="22E7CDCA" w14:textId="77777777">
        <w:tc>
          <w:tcPr>
            <w:tcW w:w="1440" w:type="dxa"/>
          </w:tcPr>
          <w:p w14:paraId="5255ABFB" w14:textId="77777777" w:rsidR="00B24B8C" w:rsidRDefault="00B24B8C" w:rsidP="001D706D">
            <w:pPr>
              <w:pStyle w:val="TableText"/>
            </w:pPr>
          </w:p>
        </w:tc>
        <w:tc>
          <w:tcPr>
            <w:tcW w:w="2160" w:type="dxa"/>
          </w:tcPr>
          <w:p w14:paraId="3BB3A72F" w14:textId="77777777" w:rsidR="00B24B8C" w:rsidRDefault="00B24B8C" w:rsidP="001D706D">
            <w:pPr>
              <w:pStyle w:val="TableText"/>
            </w:pPr>
          </w:p>
        </w:tc>
        <w:tc>
          <w:tcPr>
            <w:tcW w:w="1440" w:type="dxa"/>
          </w:tcPr>
          <w:p w14:paraId="7621783C" w14:textId="77777777" w:rsidR="00B24B8C" w:rsidRDefault="00B24B8C" w:rsidP="001D706D">
            <w:pPr>
              <w:pStyle w:val="TableText"/>
            </w:pPr>
          </w:p>
        </w:tc>
        <w:tc>
          <w:tcPr>
            <w:tcW w:w="1440" w:type="dxa"/>
          </w:tcPr>
          <w:p w14:paraId="7D0E7E8B" w14:textId="77777777" w:rsidR="00B24B8C" w:rsidRDefault="00B24B8C" w:rsidP="001D706D">
            <w:pPr>
              <w:pStyle w:val="TableText"/>
            </w:pPr>
          </w:p>
        </w:tc>
        <w:tc>
          <w:tcPr>
            <w:tcW w:w="1440" w:type="dxa"/>
          </w:tcPr>
          <w:p w14:paraId="3019984D" w14:textId="77777777" w:rsidR="00B24B8C" w:rsidRDefault="00B24B8C" w:rsidP="001D706D">
            <w:pPr>
              <w:pStyle w:val="TableText"/>
            </w:pPr>
          </w:p>
        </w:tc>
        <w:tc>
          <w:tcPr>
            <w:tcW w:w="1440" w:type="dxa"/>
          </w:tcPr>
          <w:p w14:paraId="60F49AE9" w14:textId="77777777" w:rsidR="00B24B8C" w:rsidRDefault="00B24B8C" w:rsidP="001D706D">
            <w:pPr>
              <w:pStyle w:val="TableText"/>
            </w:pPr>
          </w:p>
        </w:tc>
      </w:tr>
      <w:tr w:rsidR="00B24B8C" w14:paraId="024D7CAB" w14:textId="77777777">
        <w:tc>
          <w:tcPr>
            <w:tcW w:w="1440" w:type="dxa"/>
          </w:tcPr>
          <w:p w14:paraId="31CE7C80" w14:textId="77777777" w:rsidR="00B24B8C" w:rsidRDefault="00B24B8C" w:rsidP="001D706D">
            <w:pPr>
              <w:pStyle w:val="TableText"/>
            </w:pPr>
          </w:p>
        </w:tc>
        <w:tc>
          <w:tcPr>
            <w:tcW w:w="2160" w:type="dxa"/>
          </w:tcPr>
          <w:p w14:paraId="598B043A" w14:textId="77777777" w:rsidR="00B24B8C" w:rsidRDefault="00B24B8C" w:rsidP="001D706D">
            <w:pPr>
              <w:pStyle w:val="TableText"/>
            </w:pPr>
          </w:p>
        </w:tc>
        <w:tc>
          <w:tcPr>
            <w:tcW w:w="1440" w:type="dxa"/>
          </w:tcPr>
          <w:p w14:paraId="452E1B15" w14:textId="77777777" w:rsidR="00B24B8C" w:rsidRDefault="00B24B8C" w:rsidP="001D706D">
            <w:pPr>
              <w:pStyle w:val="TableText"/>
            </w:pPr>
          </w:p>
        </w:tc>
        <w:tc>
          <w:tcPr>
            <w:tcW w:w="1440" w:type="dxa"/>
          </w:tcPr>
          <w:p w14:paraId="14D1D1B1" w14:textId="77777777" w:rsidR="00B24B8C" w:rsidRDefault="00B24B8C" w:rsidP="001D706D">
            <w:pPr>
              <w:pStyle w:val="TableText"/>
            </w:pPr>
          </w:p>
        </w:tc>
        <w:tc>
          <w:tcPr>
            <w:tcW w:w="1440" w:type="dxa"/>
          </w:tcPr>
          <w:p w14:paraId="50663DB4" w14:textId="77777777" w:rsidR="00B24B8C" w:rsidRDefault="00B24B8C" w:rsidP="001D706D">
            <w:pPr>
              <w:pStyle w:val="TableText"/>
            </w:pPr>
          </w:p>
        </w:tc>
        <w:tc>
          <w:tcPr>
            <w:tcW w:w="1440" w:type="dxa"/>
          </w:tcPr>
          <w:p w14:paraId="7D5A0A63" w14:textId="77777777" w:rsidR="00B24B8C" w:rsidRDefault="00B24B8C" w:rsidP="001D706D">
            <w:pPr>
              <w:pStyle w:val="TableText"/>
            </w:pPr>
          </w:p>
        </w:tc>
      </w:tr>
      <w:tr w:rsidR="00B24B8C" w14:paraId="7724B31F" w14:textId="77777777">
        <w:tc>
          <w:tcPr>
            <w:tcW w:w="1440" w:type="dxa"/>
          </w:tcPr>
          <w:p w14:paraId="71B4539B" w14:textId="77777777" w:rsidR="00B24B8C" w:rsidRDefault="00B24B8C" w:rsidP="001D706D">
            <w:pPr>
              <w:pStyle w:val="TableText"/>
            </w:pPr>
          </w:p>
        </w:tc>
        <w:tc>
          <w:tcPr>
            <w:tcW w:w="2160" w:type="dxa"/>
          </w:tcPr>
          <w:p w14:paraId="2DF856F3" w14:textId="77777777" w:rsidR="00B24B8C" w:rsidRDefault="00B24B8C" w:rsidP="001D706D">
            <w:pPr>
              <w:pStyle w:val="TableText"/>
            </w:pPr>
          </w:p>
        </w:tc>
        <w:tc>
          <w:tcPr>
            <w:tcW w:w="1440" w:type="dxa"/>
          </w:tcPr>
          <w:p w14:paraId="2B2C7993" w14:textId="77777777" w:rsidR="00B24B8C" w:rsidRDefault="00B24B8C" w:rsidP="001D706D">
            <w:pPr>
              <w:pStyle w:val="TableText"/>
            </w:pPr>
          </w:p>
        </w:tc>
        <w:tc>
          <w:tcPr>
            <w:tcW w:w="1440" w:type="dxa"/>
          </w:tcPr>
          <w:p w14:paraId="6440D950" w14:textId="77777777" w:rsidR="00B24B8C" w:rsidRDefault="00B24B8C" w:rsidP="001D706D">
            <w:pPr>
              <w:pStyle w:val="TableText"/>
            </w:pPr>
          </w:p>
        </w:tc>
        <w:tc>
          <w:tcPr>
            <w:tcW w:w="1440" w:type="dxa"/>
          </w:tcPr>
          <w:p w14:paraId="26DDB4E5" w14:textId="77777777" w:rsidR="00B24B8C" w:rsidRDefault="00B24B8C" w:rsidP="001D706D">
            <w:pPr>
              <w:pStyle w:val="TableText"/>
            </w:pPr>
          </w:p>
        </w:tc>
        <w:tc>
          <w:tcPr>
            <w:tcW w:w="1440" w:type="dxa"/>
          </w:tcPr>
          <w:p w14:paraId="22717F13" w14:textId="77777777" w:rsidR="00B24B8C" w:rsidRDefault="00B24B8C" w:rsidP="001D706D">
            <w:pPr>
              <w:pStyle w:val="TableText"/>
            </w:pPr>
          </w:p>
        </w:tc>
      </w:tr>
      <w:tr w:rsidR="00B24B8C" w14:paraId="54A14584" w14:textId="77777777">
        <w:tc>
          <w:tcPr>
            <w:tcW w:w="1440" w:type="dxa"/>
          </w:tcPr>
          <w:p w14:paraId="55F8A771" w14:textId="77777777" w:rsidR="00B24B8C" w:rsidRDefault="00B24B8C" w:rsidP="001D706D">
            <w:pPr>
              <w:pStyle w:val="TableText"/>
            </w:pPr>
          </w:p>
        </w:tc>
        <w:tc>
          <w:tcPr>
            <w:tcW w:w="2160" w:type="dxa"/>
          </w:tcPr>
          <w:p w14:paraId="3F3C8B91" w14:textId="77777777" w:rsidR="00B24B8C" w:rsidRDefault="00B24B8C" w:rsidP="001D706D">
            <w:pPr>
              <w:pStyle w:val="TableText"/>
            </w:pPr>
          </w:p>
        </w:tc>
        <w:tc>
          <w:tcPr>
            <w:tcW w:w="1440" w:type="dxa"/>
          </w:tcPr>
          <w:p w14:paraId="10C31AA3" w14:textId="77777777" w:rsidR="00B24B8C" w:rsidRDefault="00B24B8C" w:rsidP="001D706D">
            <w:pPr>
              <w:pStyle w:val="TableText"/>
            </w:pPr>
          </w:p>
        </w:tc>
        <w:tc>
          <w:tcPr>
            <w:tcW w:w="1440" w:type="dxa"/>
          </w:tcPr>
          <w:p w14:paraId="27E19457" w14:textId="77777777" w:rsidR="00B24B8C" w:rsidRDefault="00B24B8C" w:rsidP="001D706D">
            <w:pPr>
              <w:pStyle w:val="TableText"/>
            </w:pPr>
          </w:p>
        </w:tc>
        <w:tc>
          <w:tcPr>
            <w:tcW w:w="1440" w:type="dxa"/>
          </w:tcPr>
          <w:p w14:paraId="14049F21" w14:textId="77777777" w:rsidR="00B24B8C" w:rsidRDefault="00B24B8C" w:rsidP="001D706D">
            <w:pPr>
              <w:pStyle w:val="TableText"/>
            </w:pPr>
          </w:p>
        </w:tc>
        <w:tc>
          <w:tcPr>
            <w:tcW w:w="1440" w:type="dxa"/>
          </w:tcPr>
          <w:p w14:paraId="10598072" w14:textId="77777777" w:rsidR="00B24B8C" w:rsidRDefault="00B24B8C" w:rsidP="001D706D">
            <w:pPr>
              <w:pStyle w:val="TableText"/>
            </w:pPr>
          </w:p>
        </w:tc>
      </w:tr>
      <w:tr w:rsidR="00B24B8C" w14:paraId="54E81E91" w14:textId="77777777">
        <w:tc>
          <w:tcPr>
            <w:tcW w:w="1440" w:type="dxa"/>
          </w:tcPr>
          <w:p w14:paraId="49F4CA52" w14:textId="77777777" w:rsidR="00B24B8C" w:rsidRDefault="00B24B8C" w:rsidP="001D706D">
            <w:pPr>
              <w:pStyle w:val="TableText"/>
            </w:pPr>
          </w:p>
        </w:tc>
        <w:tc>
          <w:tcPr>
            <w:tcW w:w="2160" w:type="dxa"/>
          </w:tcPr>
          <w:p w14:paraId="4F027ECF" w14:textId="77777777" w:rsidR="00B24B8C" w:rsidRDefault="00B24B8C" w:rsidP="001D706D">
            <w:pPr>
              <w:pStyle w:val="TableText"/>
            </w:pPr>
          </w:p>
        </w:tc>
        <w:tc>
          <w:tcPr>
            <w:tcW w:w="1440" w:type="dxa"/>
          </w:tcPr>
          <w:p w14:paraId="2DC7AEEE" w14:textId="77777777" w:rsidR="00B24B8C" w:rsidRDefault="00B24B8C" w:rsidP="001D706D">
            <w:pPr>
              <w:pStyle w:val="TableText"/>
            </w:pPr>
          </w:p>
        </w:tc>
        <w:tc>
          <w:tcPr>
            <w:tcW w:w="1440" w:type="dxa"/>
          </w:tcPr>
          <w:p w14:paraId="608EB13B" w14:textId="77777777" w:rsidR="00B24B8C" w:rsidRDefault="00B24B8C" w:rsidP="001D706D">
            <w:pPr>
              <w:pStyle w:val="TableText"/>
            </w:pPr>
          </w:p>
        </w:tc>
        <w:tc>
          <w:tcPr>
            <w:tcW w:w="1440" w:type="dxa"/>
          </w:tcPr>
          <w:p w14:paraId="5D321D4B" w14:textId="77777777" w:rsidR="00B24B8C" w:rsidRDefault="00B24B8C" w:rsidP="001D706D">
            <w:pPr>
              <w:pStyle w:val="TableText"/>
            </w:pPr>
          </w:p>
        </w:tc>
        <w:tc>
          <w:tcPr>
            <w:tcW w:w="1440" w:type="dxa"/>
          </w:tcPr>
          <w:p w14:paraId="669A9F8F" w14:textId="77777777" w:rsidR="00B24B8C" w:rsidRDefault="00B24B8C" w:rsidP="001D706D">
            <w:pPr>
              <w:pStyle w:val="TableText"/>
            </w:pPr>
          </w:p>
        </w:tc>
      </w:tr>
      <w:tr w:rsidR="00B24B8C" w14:paraId="1377B9AE" w14:textId="77777777">
        <w:tc>
          <w:tcPr>
            <w:tcW w:w="1440" w:type="dxa"/>
          </w:tcPr>
          <w:p w14:paraId="67E996E9" w14:textId="77777777" w:rsidR="00B24B8C" w:rsidRDefault="00B24B8C" w:rsidP="001D706D">
            <w:pPr>
              <w:pStyle w:val="TableText"/>
            </w:pPr>
          </w:p>
        </w:tc>
        <w:tc>
          <w:tcPr>
            <w:tcW w:w="2160" w:type="dxa"/>
          </w:tcPr>
          <w:p w14:paraId="074F5A9D" w14:textId="77777777" w:rsidR="00B24B8C" w:rsidRDefault="00B24B8C" w:rsidP="001D706D">
            <w:pPr>
              <w:pStyle w:val="TableText"/>
            </w:pPr>
          </w:p>
        </w:tc>
        <w:tc>
          <w:tcPr>
            <w:tcW w:w="1440" w:type="dxa"/>
          </w:tcPr>
          <w:p w14:paraId="0A53F714" w14:textId="77777777" w:rsidR="00B24B8C" w:rsidRDefault="00B24B8C" w:rsidP="001D706D">
            <w:pPr>
              <w:pStyle w:val="TableText"/>
            </w:pPr>
          </w:p>
        </w:tc>
        <w:tc>
          <w:tcPr>
            <w:tcW w:w="1440" w:type="dxa"/>
          </w:tcPr>
          <w:p w14:paraId="523A7D07" w14:textId="77777777" w:rsidR="00B24B8C" w:rsidRDefault="00B24B8C" w:rsidP="001D706D">
            <w:pPr>
              <w:pStyle w:val="TableText"/>
            </w:pPr>
          </w:p>
        </w:tc>
        <w:tc>
          <w:tcPr>
            <w:tcW w:w="1440" w:type="dxa"/>
          </w:tcPr>
          <w:p w14:paraId="28DB4951" w14:textId="77777777" w:rsidR="00B24B8C" w:rsidRDefault="00B24B8C" w:rsidP="001D706D">
            <w:pPr>
              <w:pStyle w:val="TableText"/>
            </w:pPr>
          </w:p>
        </w:tc>
        <w:tc>
          <w:tcPr>
            <w:tcW w:w="1440" w:type="dxa"/>
          </w:tcPr>
          <w:p w14:paraId="7F985EBF" w14:textId="77777777" w:rsidR="00B24B8C" w:rsidRDefault="00B24B8C" w:rsidP="001D706D">
            <w:pPr>
              <w:pStyle w:val="TableText"/>
            </w:pPr>
          </w:p>
        </w:tc>
      </w:tr>
    </w:tbl>
    <w:p w14:paraId="6CAC66D1" w14:textId="77777777" w:rsidR="002E3C00" w:rsidRDefault="0050722E" w:rsidP="005129E1">
      <w:pPr>
        <w:pStyle w:val="Heading3"/>
      </w:pPr>
      <w:r>
        <w:br w:type="page"/>
      </w:r>
      <w:bookmarkStart w:id="716" w:name="_Toc163645030"/>
      <w:r w:rsidR="002E3C00">
        <w:lastRenderedPageBreak/>
        <w:t>Component Classes</w:t>
      </w:r>
      <w:bookmarkEnd w:id="713"/>
      <w:bookmarkEnd w:id="714"/>
      <w:bookmarkEnd w:id="715"/>
      <w:bookmarkEnd w:id="71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Component Classes</w:instrText>
      </w:r>
      <w:r w:rsidR="00992E88">
        <w:instrText xml:space="preserve">" </w:instrText>
      </w:r>
      <w:r w:rsidR="00992E88">
        <w:fldChar w:fldCharType="end"/>
      </w:r>
    </w:p>
    <w:p w14:paraId="2CF13F76" w14:textId="75183D1F" w:rsidR="002E3C00" w:rsidRDefault="002E3C00" w:rsidP="002E3C00">
      <w:pPr>
        <w:pStyle w:val="BodyText"/>
      </w:pPr>
      <w:r>
        <w:t>The user configures the component class parameters for the selected division.</w:t>
      </w:r>
      <w:r w:rsidR="008D2779">
        <w:t xml:space="preserve"> For more information, see </w:t>
      </w:r>
      <w:r w:rsidR="00EE455E">
        <w:t xml:space="preserve">Appendix </w:t>
      </w:r>
      <w:r w:rsidR="00EE455E">
        <w:rPr>
          <w:noProof/>
        </w:rPr>
        <w:t>G</w:t>
      </w:r>
      <w:r w:rsidR="00EE455E">
        <w:t>: Work Process Flowcharts</w:t>
      </w:r>
      <w:r w:rsidR="008D2779">
        <w:t>.</w:t>
      </w:r>
    </w:p>
    <w:p w14:paraId="3E1C5C1F" w14:textId="77777777" w:rsidR="002E3C00" w:rsidRDefault="002E3C00" w:rsidP="002E3C00">
      <w:pPr>
        <w:pStyle w:val="Heading4"/>
        <w:rPr>
          <w:b w:val="0"/>
        </w:rPr>
      </w:pPr>
      <w:r>
        <w:t>User Roles with Access to This Option</w:t>
      </w:r>
      <w:r>
        <w:rPr>
          <w:b w:val="0"/>
        </w:rPr>
        <w:t xml:space="preserve"> </w:t>
      </w:r>
    </w:p>
    <w:p w14:paraId="6106EB5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17EB5BA" w14:textId="77777777" w:rsidR="002E3C00" w:rsidRDefault="00B74754" w:rsidP="002E3C00">
      <w:pPr>
        <w:pStyle w:val="Heading4"/>
      </w:pPr>
      <w:r>
        <w:t>Preparation for Testing</w:t>
      </w:r>
    </w:p>
    <w:p w14:paraId="550E93F5" w14:textId="77777777" w:rsidR="00061FCF" w:rsidRPr="00600497" w:rsidRDefault="00061FCF" w:rsidP="00925CAD">
      <w:pPr>
        <w:pStyle w:val="ListNumber"/>
        <w:numPr>
          <w:ilvl w:val="0"/>
          <w:numId w:val="24"/>
        </w:numPr>
        <w:tabs>
          <w:tab w:val="clear" w:pos="720"/>
          <w:tab w:val="num" w:pos="360"/>
        </w:tabs>
        <w:ind w:left="360"/>
      </w:pPr>
      <w:r w:rsidRPr="00600497">
        <w:t>Use the sample worksheet to record information.</w:t>
      </w:r>
    </w:p>
    <w:p w14:paraId="2B4F13B8" w14:textId="77777777" w:rsidR="002E3C00" w:rsidRPr="00600497" w:rsidRDefault="002E3C00" w:rsidP="00925CAD">
      <w:pPr>
        <w:pStyle w:val="ListNumber"/>
        <w:numPr>
          <w:ilvl w:val="0"/>
          <w:numId w:val="24"/>
        </w:numPr>
        <w:tabs>
          <w:tab w:val="clear" w:pos="720"/>
          <w:tab w:val="num" w:pos="360"/>
        </w:tabs>
        <w:ind w:left="360"/>
      </w:pPr>
      <w:r w:rsidRPr="00600497">
        <w:t xml:space="preserve">Capture and save a screen shot of each piece of information. </w:t>
      </w:r>
    </w:p>
    <w:p w14:paraId="13B43B09" w14:textId="77777777" w:rsidR="00232E43" w:rsidRPr="00FB7F8D" w:rsidRDefault="00232E43" w:rsidP="00925CAD">
      <w:pPr>
        <w:pStyle w:val="ListNumber"/>
        <w:numPr>
          <w:ilvl w:val="0"/>
          <w:numId w:val="24"/>
        </w:numPr>
        <w:tabs>
          <w:tab w:val="clear" w:pos="720"/>
          <w:tab w:val="num" w:pos="360"/>
        </w:tabs>
        <w:ind w:left="360"/>
      </w:pPr>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04497CCC" w14:textId="501EE094" w:rsidR="002E3C00" w:rsidRDefault="002E3C00" w:rsidP="002E3C00">
      <w:pPr>
        <w:pStyle w:val="Caption"/>
        <w:rPr>
          <w:sz w:val="15"/>
          <w:szCs w:val="15"/>
        </w:rPr>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32</w:t>
      </w:r>
      <w:r w:rsidR="004E20BD">
        <w:rPr>
          <w:noProof/>
        </w:rPr>
        <w:fldChar w:fldCharType="end"/>
      </w:r>
      <w:r>
        <w:t>: Component Class Requirements</w:t>
      </w:r>
      <w:r w:rsidR="00061FCF">
        <w:t xml:space="preserve"> Worksheet</w:t>
      </w:r>
      <w:r w:rsidR="00AD60CF">
        <w:fldChar w:fldCharType="begin"/>
      </w:r>
      <w:r w:rsidR="00292A7B">
        <w:instrText xml:space="preserve"> XE "Tables:</w:instrText>
      </w:r>
      <w:r w:rsidR="00AD60CF" w:rsidRPr="0046419F">
        <w:instrText>Component Class Requirements Worksheet</w:instrText>
      </w:r>
      <w:r w:rsidR="00AD60CF">
        <w:instrText xml:space="preserve">" </w:instrText>
      </w:r>
      <w:r w:rsidR="00AD60CF">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1689"/>
        <w:gridCol w:w="1440"/>
        <w:gridCol w:w="1620"/>
        <w:gridCol w:w="1136"/>
        <w:gridCol w:w="1672"/>
      </w:tblGrid>
      <w:tr w:rsidR="000A4CE0" w:rsidRPr="007121BA" w14:paraId="60C923E3" w14:textId="77777777">
        <w:trPr>
          <w:tblHeader/>
        </w:trPr>
        <w:tc>
          <w:tcPr>
            <w:tcW w:w="2019" w:type="dxa"/>
            <w:shd w:val="clear" w:color="auto" w:fill="B3B3B3"/>
            <w:vAlign w:val="bottom"/>
          </w:tcPr>
          <w:p w14:paraId="12455E40" w14:textId="77777777" w:rsidR="000A4CE0" w:rsidRPr="007121BA" w:rsidRDefault="000A4CE0" w:rsidP="002E3C00">
            <w:pPr>
              <w:pStyle w:val="TableText"/>
              <w:rPr>
                <w:b/>
              </w:rPr>
            </w:pPr>
            <w:r w:rsidRPr="007121BA">
              <w:rPr>
                <w:b/>
              </w:rPr>
              <w:t>Component Class</w:t>
            </w:r>
          </w:p>
        </w:tc>
        <w:tc>
          <w:tcPr>
            <w:tcW w:w="1689" w:type="dxa"/>
            <w:shd w:val="clear" w:color="auto" w:fill="B3B3B3"/>
            <w:vAlign w:val="bottom"/>
          </w:tcPr>
          <w:p w14:paraId="0A3D8350" w14:textId="77777777" w:rsidR="000A4CE0" w:rsidRPr="007121BA" w:rsidRDefault="000A4CE0" w:rsidP="002E3C00">
            <w:pPr>
              <w:pStyle w:val="TableText"/>
              <w:rPr>
                <w:b/>
              </w:rPr>
            </w:pPr>
            <w:r>
              <w:rPr>
                <w:b/>
              </w:rPr>
              <w:t>R</w:t>
            </w:r>
            <w:r w:rsidR="000C4296">
              <w:rPr>
                <w:b/>
              </w:rPr>
              <w:t xml:space="preserve">equire Current Specimen </w:t>
            </w:r>
            <w:r>
              <w:rPr>
                <w:b/>
              </w:rPr>
              <w:t>ABO/Rh Results?</w:t>
            </w:r>
          </w:p>
        </w:tc>
        <w:tc>
          <w:tcPr>
            <w:tcW w:w="1440" w:type="dxa"/>
            <w:shd w:val="clear" w:color="auto" w:fill="B3B3B3"/>
            <w:vAlign w:val="bottom"/>
          </w:tcPr>
          <w:p w14:paraId="74E3412B" w14:textId="77777777" w:rsidR="000A4CE0" w:rsidRPr="007121BA" w:rsidRDefault="000A4CE0" w:rsidP="002E3C00">
            <w:pPr>
              <w:pStyle w:val="TableText"/>
              <w:rPr>
                <w:b/>
              </w:rPr>
            </w:pPr>
            <w:r w:rsidRPr="007121BA">
              <w:rPr>
                <w:b/>
              </w:rPr>
              <w:t xml:space="preserve">Maximum </w:t>
            </w:r>
            <w:r>
              <w:rPr>
                <w:b/>
              </w:rPr>
              <w:t>T</w:t>
            </w:r>
            <w:r w:rsidRPr="007121BA">
              <w:rPr>
                <w:b/>
              </w:rPr>
              <w:t xml:space="preserve">ransfusion </w:t>
            </w:r>
            <w:r>
              <w:rPr>
                <w:b/>
              </w:rPr>
              <w:t>Time</w:t>
            </w:r>
            <w:r>
              <w:rPr>
                <w:rStyle w:val="FootnoteReference"/>
                <w:b/>
              </w:rPr>
              <w:footnoteReference w:id="9"/>
            </w:r>
          </w:p>
        </w:tc>
        <w:tc>
          <w:tcPr>
            <w:tcW w:w="1620" w:type="dxa"/>
            <w:shd w:val="clear" w:color="auto" w:fill="B3B3B3"/>
            <w:vAlign w:val="bottom"/>
          </w:tcPr>
          <w:p w14:paraId="4D47F5CC" w14:textId="77777777" w:rsidR="000A4CE0" w:rsidRPr="007121BA" w:rsidRDefault="000A4CE0" w:rsidP="002E3C00">
            <w:pPr>
              <w:pStyle w:val="TableText"/>
              <w:rPr>
                <w:b/>
              </w:rPr>
            </w:pPr>
            <w:r>
              <w:rPr>
                <w:b/>
              </w:rPr>
              <w:t>Laboratory Test Name</w:t>
            </w:r>
          </w:p>
        </w:tc>
        <w:tc>
          <w:tcPr>
            <w:tcW w:w="1136" w:type="dxa"/>
            <w:shd w:val="clear" w:color="auto" w:fill="B3B3B3"/>
            <w:vAlign w:val="bottom"/>
          </w:tcPr>
          <w:p w14:paraId="5CAD7198" w14:textId="77777777" w:rsidR="000A4CE0" w:rsidRPr="007121BA" w:rsidRDefault="000A4CE0" w:rsidP="002E3C00">
            <w:pPr>
              <w:pStyle w:val="TableText"/>
              <w:rPr>
                <w:b/>
              </w:rPr>
            </w:pPr>
            <w:r>
              <w:rPr>
                <w:b/>
              </w:rPr>
              <w:t>Specimen Type</w:t>
            </w:r>
          </w:p>
        </w:tc>
        <w:tc>
          <w:tcPr>
            <w:tcW w:w="1672" w:type="dxa"/>
            <w:shd w:val="clear" w:color="auto" w:fill="B3B3B3"/>
            <w:vAlign w:val="bottom"/>
          </w:tcPr>
          <w:p w14:paraId="04EBAFEF" w14:textId="77777777" w:rsidR="000A4CE0" w:rsidRPr="007121BA" w:rsidRDefault="000A4CE0" w:rsidP="002E3C00">
            <w:pPr>
              <w:pStyle w:val="TableText"/>
              <w:rPr>
                <w:b/>
              </w:rPr>
            </w:pPr>
            <w:r>
              <w:rPr>
                <w:b/>
              </w:rPr>
              <w:t>Threshold Result</w:t>
            </w:r>
          </w:p>
        </w:tc>
      </w:tr>
      <w:tr w:rsidR="000A4CE0" w:rsidRPr="009B35EA" w14:paraId="166954CE" w14:textId="77777777">
        <w:tc>
          <w:tcPr>
            <w:tcW w:w="2019" w:type="dxa"/>
          </w:tcPr>
          <w:p w14:paraId="1F72A0EC" w14:textId="77777777" w:rsidR="000A4CE0" w:rsidRPr="009B35EA" w:rsidRDefault="000A4CE0" w:rsidP="002E3C00">
            <w:pPr>
              <w:pStyle w:val="TableText"/>
            </w:pPr>
            <w:r>
              <w:t>RED BLOOD CELLS</w:t>
            </w:r>
          </w:p>
        </w:tc>
        <w:tc>
          <w:tcPr>
            <w:tcW w:w="1689" w:type="dxa"/>
          </w:tcPr>
          <w:p w14:paraId="0B942EF7" w14:textId="77777777" w:rsidR="000A4CE0" w:rsidRPr="009B35EA" w:rsidRDefault="000A4CE0" w:rsidP="002E3C00">
            <w:pPr>
              <w:pStyle w:val="TableText"/>
            </w:pPr>
            <w:r>
              <w:sym w:font="Wingdings" w:char="F0FC"/>
            </w:r>
            <w:r>
              <w:t xml:space="preserve"> (uneditable)</w:t>
            </w:r>
          </w:p>
        </w:tc>
        <w:tc>
          <w:tcPr>
            <w:tcW w:w="1440" w:type="dxa"/>
          </w:tcPr>
          <w:p w14:paraId="4EDA7A2B" w14:textId="77777777" w:rsidR="000A4CE0" w:rsidRPr="009B35EA" w:rsidRDefault="000A4CE0" w:rsidP="002E3C00">
            <w:pPr>
              <w:pStyle w:val="TableText"/>
            </w:pPr>
          </w:p>
        </w:tc>
        <w:tc>
          <w:tcPr>
            <w:tcW w:w="1620" w:type="dxa"/>
          </w:tcPr>
          <w:p w14:paraId="2E8DA58E" w14:textId="77777777" w:rsidR="000A4CE0" w:rsidRPr="009B35EA" w:rsidRDefault="000A4CE0" w:rsidP="002E3C00">
            <w:pPr>
              <w:pStyle w:val="TableText"/>
            </w:pPr>
          </w:p>
        </w:tc>
        <w:tc>
          <w:tcPr>
            <w:tcW w:w="1136" w:type="dxa"/>
          </w:tcPr>
          <w:p w14:paraId="0B14FB93" w14:textId="77777777" w:rsidR="000A4CE0" w:rsidRPr="009B35EA" w:rsidRDefault="000A4CE0" w:rsidP="002E3C00">
            <w:pPr>
              <w:pStyle w:val="TableText"/>
            </w:pPr>
          </w:p>
        </w:tc>
        <w:tc>
          <w:tcPr>
            <w:tcW w:w="1672" w:type="dxa"/>
          </w:tcPr>
          <w:p w14:paraId="3F03F8B7" w14:textId="77777777" w:rsidR="000A4CE0" w:rsidRPr="009B35EA" w:rsidRDefault="000A4CE0" w:rsidP="002E3C00">
            <w:pPr>
              <w:pStyle w:val="TableText"/>
            </w:pPr>
          </w:p>
        </w:tc>
      </w:tr>
      <w:tr w:rsidR="000A4CE0" w:rsidRPr="009B35EA" w14:paraId="4635BF1A" w14:textId="77777777">
        <w:tc>
          <w:tcPr>
            <w:tcW w:w="2019" w:type="dxa"/>
          </w:tcPr>
          <w:p w14:paraId="61E731E2" w14:textId="77777777" w:rsidR="000A4CE0" w:rsidRPr="009B35EA" w:rsidRDefault="000A4CE0" w:rsidP="002E3C00">
            <w:pPr>
              <w:pStyle w:val="TableText"/>
            </w:pPr>
            <w:r>
              <w:t>FRESH FROZEN PLASMA</w:t>
            </w:r>
          </w:p>
        </w:tc>
        <w:tc>
          <w:tcPr>
            <w:tcW w:w="1689" w:type="dxa"/>
          </w:tcPr>
          <w:p w14:paraId="7D719D24" w14:textId="77777777" w:rsidR="000A4CE0" w:rsidRPr="009B35EA" w:rsidRDefault="000A4CE0" w:rsidP="002E3C00">
            <w:pPr>
              <w:pStyle w:val="TableText"/>
            </w:pPr>
          </w:p>
        </w:tc>
        <w:tc>
          <w:tcPr>
            <w:tcW w:w="1440" w:type="dxa"/>
          </w:tcPr>
          <w:p w14:paraId="0AA65974" w14:textId="77777777" w:rsidR="000A4CE0" w:rsidRPr="009B35EA" w:rsidRDefault="000A4CE0" w:rsidP="002E3C00">
            <w:pPr>
              <w:pStyle w:val="TableText"/>
            </w:pPr>
          </w:p>
        </w:tc>
        <w:tc>
          <w:tcPr>
            <w:tcW w:w="1620" w:type="dxa"/>
          </w:tcPr>
          <w:p w14:paraId="2AC275DB" w14:textId="77777777" w:rsidR="000A4CE0" w:rsidRPr="009B35EA" w:rsidRDefault="000A4CE0" w:rsidP="002E3C00">
            <w:pPr>
              <w:pStyle w:val="TableText"/>
            </w:pPr>
          </w:p>
        </w:tc>
        <w:tc>
          <w:tcPr>
            <w:tcW w:w="1136" w:type="dxa"/>
          </w:tcPr>
          <w:p w14:paraId="01302DAD" w14:textId="77777777" w:rsidR="000A4CE0" w:rsidRPr="009B35EA" w:rsidRDefault="000A4CE0" w:rsidP="002E3C00">
            <w:pPr>
              <w:pStyle w:val="TableText"/>
            </w:pPr>
          </w:p>
        </w:tc>
        <w:tc>
          <w:tcPr>
            <w:tcW w:w="1672" w:type="dxa"/>
          </w:tcPr>
          <w:p w14:paraId="3054F487" w14:textId="77777777" w:rsidR="000A4CE0" w:rsidRPr="009B35EA" w:rsidRDefault="000A4CE0" w:rsidP="002E3C00">
            <w:pPr>
              <w:pStyle w:val="TableText"/>
            </w:pPr>
          </w:p>
        </w:tc>
      </w:tr>
      <w:tr w:rsidR="000A4CE0" w:rsidRPr="009B35EA" w14:paraId="1A9F7FBA" w14:textId="77777777">
        <w:tc>
          <w:tcPr>
            <w:tcW w:w="2019" w:type="dxa"/>
          </w:tcPr>
          <w:p w14:paraId="16F1288B" w14:textId="77777777" w:rsidR="000A4CE0" w:rsidRDefault="000A4CE0" w:rsidP="002E3C00">
            <w:pPr>
              <w:pStyle w:val="TableText"/>
            </w:pPr>
            <w:r>
              <w:t>PLATELETS</w:t>
            </w:r>
          </w:p>
        </w:tc>
        <w:tc>
          <w:tcPr>
            <w:tcW w:w="1689" w:type="dxa"/>
          </w:tcPr>
          <w:p w14:paraId="3CAD216E" w14:textId="77777777" w:rsidR="000A4CE0" w:rsidRDefault="000A4CE0" w:rsidP="002E3C00">
            <w:pPr>
              <w:pStyle w:val="TableText"/>
            </w:pPr>
          </w:p>
        </w:tc>
        <w:tc>
          <w:tcPr>
            <w:tcW w:w="1440" w:type="dxa"/>
          </w:tcPr>
          <w:p w14:paraId="58E856FF" w14:textId="77777777" w:rsidR="000A4CE0" w:rsidRPr="009B35EA" w:rsidRDefault="000A4CE0" w:rsidP="002E3C00">
            <w:pPr>
              <w:pStyle w:val="TableText"/>
            </w:pPr>
          </w:p>
        </w:tc>
        <w:tc>
          <w:tcPr>
            <w:tcW w:w="1620" w:type="dxa"/>
          </w:tcPr>
          <w:p w14:paraId="645E4CE6" w14:textId="77777777" w:rsidR="000A4CE0" w:rsidRPr="009B35EA" w:rsidRDefault="000A4CE0" w:rsidP="002E3C00">
            <w:pPr>
              <w:pStyle w:val="TableText"/>
            </w:pPr>
          </w:p>
        </w:tc>
        <w:tc>
          <w:tcPr>
            <w:tcW w:w="1136" w:type="dxa"/>
          </w:tcPr>
          <w:p w14:paraId="10B912B6" w14:textId="77777777" w:rsidR="000A4CE0" w:rsidRPr="009B35EA" w:rsidRDefault="000A4CE0" w:rsidP="002E3C00">
            <w:pPr>
              <w:pStyle w:val="TableText"/>
            </w:pPr>
          </w:p>
        </w:tc>
        <w:tc>
          <w:tcPr>
            <w:tcW w:w="1672" w:type="dxa"/>
          </w:tcPr>
          <w:p w14:paraId="270F8CF6" w14:textId="77777777" w:rsidR="000A4CE0" w:rsidRPr="009B35EA" w:rsidRDefault="000A4CE0" w:rsidP="002E3C00">
            <w:pPr>
              <w:pStyle w:val="TableText"/>
            </w:pPr>
          </w:p>
        </w:tc>
      </w:tr>
      <w:tr w:rsidR="000A4CE0" w:rsidRPr="009B35EA" w14:paraId="1B3C8D36" w14:textId="77777777">
        <w:tc>
          <w:tcPr>
            <w:tcW w:w="2019" w:type="dxa"/>
          </w:tcPr>
          <w:p w14:paraId="73F3CB8C" w14:textId="77777777" w:rsidR="000A4CE0" w:rsidRPr="009B35EA" w:rsidRDefault="000A4CE0" w:rsidP="002E3C00">
            <w:pPr>
              <w:pStyle w:val="TableText"/>
            </w:pPr>
            <w:r>
              <w:t>CRYOPRECIPITATE</w:t>
            </w:r>
          </w:p>
        </w:tc>
        <w:tc>
          <w:tcPr>
            <w:tcW w:w="1689" w:type="dxa"/>
          </w:tcPr>
          <w:p w14:paraId="6AD4B6EA" w14:textId="77777777" w:rsidR="000A4CE0" w:rsidRPr="009B35EA" w:rsidRDefault="000A4CE0" w:rsidP="002E3C00">
            <w:pPr>
              <w:pStyle w:val="TableText"/>
            </w:pPr>
          </w:p>
        </w:tc>
        <w:tc>
          <w:tcPr>
            <w:tcW w:w="1440" w:type="dxa"/>
          </w:tcPr>
          <w:p w14:paraId="7D7A0EFD" w14:textId="77777777" w:rsidR="000A4CE0" w:rsidRPr="009B35EA" w:rsidRDefault="000A4CE0" w:rsidP="002E3C00">
            <w:pPr>
              <w:pStyle w:val="TableText"/>
            </w:pPr>
          </w:p>
        </w:tc>
        <w:tc>
          <w:tcPr>
            <w:tcW w:w="1620" w:type="dxa"/>
          </w:tcPr>
          <w:p w14:paraId="4E9DF3F9" w14:textId="77777777" w:rsidR="000A4CE0" w:rsidRPr="009B35EA" w:rsidRDefault="000A4CE0" w:rsidP="002E3C00">
            <w:pPr>
              <w:pStyle w:val="TableText"/>
            </w:pPr>
          </w:p>
        </w:tc>
        <w:tc>
          <w:tcPr>
            <w:tcW w:w="1136" w:type="dxa"/>
          </w:tcPr>
          <w:p w14:paraId="1CA57F3C" w14:textId="77777777" w:rsidR="000A4CE0" w:rsidRPr="009B35EA" w:rsidRDefault="000A4CE0" w:rsidP="002E3C00">
            <w:pPr>
              <w:pStyle w:val="TableText"/>
            </w:pPr>
          </w:p>
        </w:tc>
        <w:tc>
          <w:tcPr>
            <w:tcW w:w="1672" w:type="dxa"/>
          </w:tcPr>
          <w:p w14:paraId="140EEA3B" w14:textId="77777777" w:rsidR="000A4CE0" w:rsidRPr="009B35EA" w:rsidRDefault="000A4CE0" w:rsidP="002E3C00">
            <w:pPr>
              <w:pStyle w:val="TableText"/>
            </w:pPr>
          </w:p>
        </w:tc>
      </w:tr>
      <w:tr w:rsidR="000A4CE0" w:rsidRPr="009B35EA" w14:paraId="3DC32E95" w14:textId="77777777">
        <w:tc>
          <w:tcPr>
            <w:tcW w:w="2019" w:type="dxa"/>
          </w:tcPr>
          <w:p w14:paraId="7D0217CC" w14:textId="77777777" w:rsidR="000A4CE0" w:rsidRPr="009B35EA" w:rsidRDefault="000A4CE0" w:rsidP="002E3C00">
            <w:pPr>
              <w:pStyle w:val="TableText"/>
            </w:pPr>
            <w:r>
              <w:t>WHOLE BLOOD</w:t>
            </w:r>
          </w:p>
        </w:tc>
        <w:tc>
          <w:tcPr>
            <w:tcW w:w="1689" w:type="dxa"/>
          </w:tcPr>
          <w:p w14:paraId="5457DC61" w14:textId="77777777" w:rsidR="000A4CE0" w:rsidRPr="009B35EA" w:rsidRDefault="000A4CE0" w:rsidP="002E3C00">
            <w:pPr>
              <w:pStyle w:val="TableText"/>
            </w:pPr>
            <w:r>
              <w:sym w:font="Wingdings" w:char="F0FC"/>
            </w:r>
            <w:r>
              <w:t xml:space="preserve"> (uneditable)</w:t>
            </w:r>
          </w:p>
        </w:tc>
        <w:tc>
          <w:tcPr>
            <w:tcW w:w="1440" w:type="dxa"/>
          </w:tcPr>
          <w:p w14:paraId="49AE4509" w14:textId="77777777" w:rsidR="000A4CE0" w:rsidRPr="009B35EA" w:rsidRDefault="000A4CE0" w:rsidP="002E3C00">
            <w:pPr>
              <w:pStyle w:val="TableText"/>
            </w:pPr>
          </w:p>
        </w:tc>
        <w:tc>
          <w:tcPr>
            <w:tcW w:w="1620" w:type="dxa"/>
          </w:tcPr>
          <w:p w14:paraId="3D9B5545" w14:textId="77777777" w:rsidR="000A4CE0" w:rsidRPr="009B35EA" w:rsidRDefault="000A4CE0" w:rsidP="002E3C00">
            <w:pPr>
              <w:pStyle w:val="TableText"/>
            </w:pPr>
          </w:p>
        </w:tc>
        <w:tc>
          <w:tcPr>
            <w:tcW w:w="1136" w:type="dxa"/>
          </w:tcPr>
          <w:p w14:paraId="0B22FA3B" w14:textId="77777777" w:rsidR="000A4CE0" w:rsidRPr="009B35EA" w:rsidRDefault="000A4CE0" w:rsidP="002E3C00">
            <w:pPr>
              <w:pStyle w:val="TableText"/>
            </w:pPr>
          </w:p>
        </w:tc>
        <w:tc>
          <w:tcPr>
            <w:tcW w:w="1672" w:type="dxa"/>
          </w:tcPr>
          <w:p w14:paraId="57E66BD2" w14:textId="77777777" w:rsidR="000A4CE0" w:rsidRPr="009B35EA" w:rsidRDefault="000A4CE0" w:rsidP="002E3C00">
            <w:pPr>
              <w:pStyle w:val="TableText"/>
            </w:pPr>
          </w:p>
        </w:tc>
      </w:tr>
      <w:tr w:rsidR="000A4CE0" w:rsidRPr="009B35EA" w14:paraId="0887783C" w14:textId="77777777">
        <w:tc>
          <w:tcPr>
            <w:tcW w:w="2019" w:type="dxa"/>
          </w:tcPr>
          <w:p w14:paraId="03DED510" w14:textId="77777777" w:rsidR="000A4CE0" w:rsidRPr="009B35EA" w:rsidRDefault="000A4CE0" w:rsidP="002E3C00">
            <w:pPr>
              <w:pStyle w:val="TableText"/>
            </w:pPr>
            <w:r>
              <w:t>OTHER</w:t>
            </w:r>
          </w:p>
        </w:tc>
        <w:tc>
          <w:tcPr>
            <w:tcW w:w="1689" w:type="dxa"/>
          </w:tcPr>
          <w:p w14:paraId="16A06C81" w14:textId="77777777" w:rsidR="000A4CE0" w:rsidRPr="009B35EA" w:rsidRDefault="000A4CE0" w:rsidP="002E3C00">
            <w:pPr>
              <w:pStyle w:val="TableText"/>
            </w:pPr>
          </w:p>
        </w:tc>
        <w:tc>
          <w:tcPr>
            <w:tcW w:w="1440" w:type="dxa"/>
          </w:tcPr>
          <w:p w14:paraId="236F525A" w14:textId="77777777" w:rsidR="000A4CE0" w:rsidRPr="009B35EA" w:rsidRDefault="000A4CE0" w:rsidP="002E3C00">
            <w:pPr>
              <w:pStyle w:val="TableText"/>
            </w:pPr>
          </w:p>
        </w:tc>
        <w:tc>
          <w:tcPr>
            <w:tcW w:w="1620" w:type="dxa"/>
          </w:tcPr>
          <w:p w14:paraId="00B71719" w14:textId="77777777" w:rsidR="000A4CE0" w:rsidRPr="009B35EA" w:rsidRDefault="000A4CE0" w:rsidP="002E3C00">
            <w:pPr>
              <w:pStyle w:val="TableText"/>
            </w:pPr>
          </w:p>
        </w:tc>
        <w:tc>
          <w:tcPr>
            <w:tcW w:w="1136" w:type="dxa"/>
          </w:tcPr>
          <w:p w14:paraId="0AFDC9BD" w14:textId="77777777" w:rsidR="000A4CE0" w:rsidRPr="009B35EA" w:rsidRDefault="000A4CE0" w:rsidP="002E3C00">
            <w:pPr>
              <w:pStyle w:val="TableText"/>
            </w:pPr>
          </w:p>
        </w:tc>
        <w:tc>
          <w:tcPr>
            <w:tcW w:w="1672" w:type="dxa"/>
          </w:tcPr>
          <w:p w14:paraId="45311F38" w14:textId="77777777" w:rsidR="000A4CE0" w:rsidRPr="009B35EA" w:rsidRDefault="000A4CE0" w:rsidP="002E3C00">
            <w:pPr>
              <w:pStyle w:val="TableText"/>
            </w:pPr>
          </w:p>
        </w:tc>
      </w:tr>
    </w:tbl>
    <w:p w14:paraId="65C9CFE8" w14:textId="77777777" w:rsidR="002E3C00" w:rsidRDefault="003E754E" w:rsidP="002E3C00">
      <w:pPr>
        <w:pStyle w:val="Heading3"/>
      </w:pPr>
      <w:bookmarkStart w:id="717" w:name="_Toc85895792"/>
      <w:bookmarkStart w:id="718" w:name="_Toc113264250"/>
      <w:bookmarkStart w:id="719" w:name="_Toc114462104"/>
      <w:bookmarkStart w:id="720" w:name="_Toc85895791"/>
      <w:bookmarkStart w:id="721" w:name="_Toc113264249"/>
      <w:r>
        <w:br w:type="page"/>
      </w:r>
      <w:bookmarkStart w:id="722" w:name="_Toc163645031"/>
      <w:r w:rsidR="002E3C00" w:rsidRPr="008F671D">
        <w:lastRenderedPageBreak/>
        <w:t>Transfusion Complication</w:t>
      </w:r>
      <w:bookmarkEnd w:id="717"/>
      <w:bookmarkEnd w:id="718"/>
      <w:r w:rsidR="002E3C00" w:rsidRPr="008F671D">
        <w:t>s</w:t>
      </w:r>
      <w:bookmarkEnd w:id="719"/>
      <w:bookmarkEnd w:id="72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Complications</w:instrText>
      </w:r>
      <w:r w:rsidR="00992E88">
        <w:instrText xml:space="preserve">" </w:instrText>
      </w:r>
      <w:r w:rsidR="00992E88">
        <w:fldChar w:fldCharType="end"/>
      </w:r>
    </w:p>
    <w:p w14:paraId="0A39D459" w14:textId="06EA4444" w:rsidR="002E3C00" w:rsidRPr="00CA68EE" w:rsidRDefault="002E3C00" w:rsidP="00E10142">
      <w:pPr>
        <w:pStyle w:val="BodyText"/>
      </w:pPr>
      <w:r>
        <w:t>The user defines Laboratory tests and threshold values used to generate a report listing patients transfused within a specified period who may have developed a transfusion-associated disease.</w:t>
      </w:r>
      <w:r w:rsidR="008D2779">
        <w:t xml:space="preserve"> For more information, see </w:t>
      </w:r>
      <w:r w:rsidR="00EE455E">
        <w:t xml:space="preserve">Appendix </w:t>
      </w:r>
      <w:r w:rsidR="00EE455E">
        <w:rPr>
          <w:noProof/>
        </w:rPr>
        <w:t>G</w:t>
      </w:r>
      <w:r w:rsidR="00EE455E">
        <w:t>: Work Process Flowcharts</w:t>
      </w:r>
      <w:r w:rsidR="008D2779">
        <w:t>.</w:t>
      </w:r>
    </w:p>
    <w:p w14:paraId="6793FE5F" w14:textId="77777777" w:rsidR="002E3C00" w:rsidRDefault="002E3C00" w:rsidP="002E3C00">
      <w:pPr>
        <w:pStyle w:val="Heading4"/>
        <w:rPr>
          <w:b w:val="0"/>
        </w:rPr>
      </w:pPr>
      <w:r>
        <w:t>User Roles with Access to This Option</w:t>
      </w:r>
      <w:r>
        <w:rPr>
          <w:b w:val="0"/>
        </w:rPr>
        <w:t xml:space="preserve"> </w:t>
      </w:r>
    </w:p>
    <w:p w14:paraId="33926A8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130D01ED" w14:textId="77777777" w:rsidR="002E3C00" w:rsidRDefault="00B74754" w:rsidP="002E3C00">
      <w:pPr>
        <w:pStyle w:val="Heading4"/>
      </w:pPr>
      <w:r>
        <w:t>Preparation for Testing</w:t>
      </w:r>
    </w:p>
    <w:p w14:paraId="750FAEDF" w14:textId="77777777" w:rsidR="00061FCF" w:rsidRPr="00600497" w:rsidRDefault="00061FCF" w:rsidP="00925CAD">
      <w:pPr>
        <w:pStyle w:val="ListNumber"/>
        <w:numPr>
          <w:ilvl w:val="0"/>
          <w:numId w:val="25"/>
        </w:numPr>
        <w:tabs>
          <w:tab w:val="clear" w:pos="720"/>
          <w:tab w:val="num" w:pos="360"/>
        </w:tabs>
        <w:ind w:left="360"/>
      </w:pPr>
      <w:r>
        <w:t>Use t</w:t>
      </w:r>
      <w:r w:rsidRPr="00600497">
        <w:t>he sample worksheet to record information.</w:t>
      </w:r>
    </w:p>
    <w:p w14:paraId="75B48FAE" w14:textId="77777777" w:rsidR="002E3C00" w:rsidRPr="00600497" w:rsidRDefault="002E3C00" w:rsidP="00925CAD">
      <w:pPr>
        <w:pStyle w:val="ListNumber"/>
        <w:numPr>
          <w:ilvl w:val="0"/>
          <w:numId w:val="25"/>
        </w:numPr>
        <w:tabs>
          <w:tab w:val="clear" w:pos="720"/>
          <w:tab w:val="num" w:pos="360"/>
        </w:tabs>
        <w:ind w:left="360"/>
      </w:pPr>
      <w:r w:rsidRPr="00600497">
        <w:t>Capture and save a screen shot of all entries.</w:t>
      </w:r>
    </w:p>
    <w:p w14:paraId="2AF8EAFE" w14:textId="77777777" w:rsidR="00232E43" w:rsidRPr="00FB7F8D" w:rsidRDefault="00232E43" w:rsidP="00925CAD">
      <w:pPr>
        <w:pStyle w:val="ListNumber"/>
        <w:numPr>
          <w:ilvl w:val="0"/>
          <w:numId w:val="25"/>
        </w:numPr>
        <w:tabs>
          <w:tab w:val="clear" w:pos="720"/>
          <w:tab w:val="num" w:pos="360"/>
        </w:tabs>
        <w:ind w:left="360"/>
      </w:pPr>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A5BD197" w14:textId="6936173B" w:rsidR="00061FCF" w:rsidRDefault="00061FCF" w:rsidP="00061FCF">
      <w:pPr>
        <w:pStyle w:val="Caption"/>
        <w:rPr>
          <w:sz w:val="15"/>
          <w:szCs w:val="15"/>
        </w:rPr>
      </w:pPr>
      <w:bookmarkStart w:id="723" w:name="_Toc11446210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33</w:t>
      </w:r>
      <w:r w:rsidR="004E20BD">
        <w:rPr>
          <w:noProof/>
        </w:rPr>
        <w:fldChar w:fldCharType="end"/>
      </w:r>
      <w:r>
        <w:t>: Transfusion Complications Worksheet</w:t>
      </w:r>
      <w:r w:rsidR="00AD60CF">
        <w:fldChar w:fldCharType="begin"/>
      </w:r>
      <w:r w:rsidR="00292A7B">
        <w:instrText xml:space="preserve"> XE "Tables:</w:instrText>
      </w:r>
      <w:r w:rsidR="00AD60CF" w:rsidRPr="0046419F">
        <w:instrText>Transfusion Complications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1A5A46" w:rsidRPr="007121BA" w14:paraId="5115ECC0" w14:textId="77777777">
        <w:trPr>
          <w:tblHeader/>
        </w:trPr>
        <w:tc>
          <w:tcPr>
            <w:tcW w:w="2088" w:type="dxa"/>
            <w:shd w:val="clear" w:color="auto" w:fill="B3B3B3"/>
            <w:vAlign w:val="bottom"/>
          </w:tcPr>
          <w:p w14:paraId="1F8453FE" w14:textId="77777777" w:rsidR="001A5A46" w:rsidRPr="007121BA" w:rsidRDefault="001A5A46" w:rsidP="005129E1">
            <w:pPr>
              <w:pStyle w:val="TableText"/>
              <w:rPr>
                <w:b/>
              </w:rPr>
            </w:pPr>
            <w:r>
              <w:rPr>
                <w:b/>
              </w:rPr>
              <w:t>Laboratory Test Name</w:t>
            </w:r>
          </w:p>
        </w:tc>
        <w:tc>
          <w:tcPr>
            <w:tcW w:w="2088" w:type="dxa"/>
            <w:shd w:val="clear" w:color="auto" w:fill="B3B3B3"/>
            <w:vAlign w:val="bottom"/>
          </w:tcPr>
          <w:p w14:paraId="3296EB5A" w14:textId="77777777" w:rsidR="001A5A46" w:rsidRPr="007121BA" w:rsidRDefault="001A5A46" w:rsidP="005129E1">
            <w:pPr>
              <w:pStyle w:val="TableText"/>
              <w:rPr>
                <w:b/>
              </w:rPr>
            </w:pPr>
            <w:r>
              <w:rPr>
                <w:b/>
              </w:rPr>
              <w:t>Specimen Type</w:t>
            </w:r>
          </w:p>
        </w:tc>
        <w:tc>
          <w:tcPr>
            <w:tcW w:w="2088" w:type="dxa"/>
            <w:shd w:val="clear" w:color="auto" w:fill="B3B3B3"/>
            <w:vAlign w:val="bottom"/>
          </w:tcPr>
          <w:p w14:paraId="62CF9863" w14:textId="77777777" w:rsidR="001A5A46" w:rsidRPr="007121BA" w:rsidRDefault="001A5A46" w:rsidP="005129E1">
            <w:pPr>
              <w:pStyle w:val="TableText"/>
              <w:rPr>
                <w:b/>
              </w:rPr>
            </w:pPr>
            <w:r>
              <w:rPr>
                <w:b/>
              </w:rPr>
              <w:t>Threshold Result</w:t>
            </w:r>
          </w:p>
        </w:tc>
      </w:tr>
      <w:tr w:rsidR="001A5A46" w:rsidRPr="009B35EA" w14:paraId="09B1F63C" w14:textId="77777777">
        <w:tc>
          <w:tcPr>
            <w:tcW w:w="2088" w:type="dxa"/>
          </w:tcPr>
          <w:p w14:paraId="512852F9" w14:textId="77777777" w:rsidR="001A5A46" w:rsidRPr="009B35EA" w:rsidRDefault="001A5A46" w:rsidP="005129E1">
            <w:pPr>
              <w:pStyle w:val="TableText"/>
            </w:pPr>
          </w:p>
        </w:tc>
        <w:tc>
          <w:tcPr>
            <w:tcW w:w="2088" w:type="dxa"/>
          </w:tcPr>
          <w:p w14:paraId="1303F067" w14:textId="77777777" w:rsidR="001A5A46" w:rsidRPr="009B35EA" w:rsidRDefault="001A5A46" w:rsidP="005129E1">
            <w:pPr>
              <w:pStyle w:val="TableText"/>
            </w:pPr>
          </w:p>
        </w:tc>
        <w:tc>
          <w:tcPr>
            <w:tcW w:w="2088" w:type="dxa"/>
          </w:tcPr>
          <w:p w14:paraId="192A6002" w14:textId="77777777" w:rsidR="001A5A46" w:rsidRPr="009B35EA" w:rsidRDefault="001A5A46" w:rsidP="005129E1">
            <w:pPr>
              <w:pStyle w:val="TableText"/>
            </w:pPr>
          </w:p>
        </w:tc>
      </w:tr>
      <w:tr w:rsidR="001A5A46" w:rsidRPr="009B35EA" w14:paraId="38F89BA3" w14:textId="77777777">
        <w:tc>
          <w:tcPr>
            <w:tcW w:w="2088" w:type="dxa"/>
          </w:tcPr>
          <w:p w14:paraId="0B40168B" w14:textId="77777777" w:rsidR="001A5A46" w:rsidRPr="009B35EA" w:rsidRDefault="001A5A46" w:rsidP="005129E1">
            <w:pPr>
              <w:pStyle w:val="TableText"/>
            </w:pPr>
          </w:p>
        </w:tc>
        <w:tc>
          <w:tcPr>
            <w:tcW w:w="2088" w:type="dxa"/>
          </w:tcPr>
          <w:p w14:paraId="34AD958F" w14:textId="77777777" w:rsidR="001A5A46" w:rsidRPr="009B35EA" w:rsidRDefault="001A5A46" w:rsidP="005129E1">
            <w:pPr>
              <w:pStyle w:val="TableText"/>
            </w:pPr>
          </w:p>
        </w:tc>
        <w:tc>
          <w:tcPr>
            <w:tcW w:w="2088" w:type="dxa"/>
          </w:tcPr>
          <w:p w14:paraId="024F583C" w14:textId="77777777" w:rsidR="001A5A46" w:rsidRPr="009B35EA" w:rsidRDefault="001A5A46" w:rsidP="005129E1">
            <w:pPr>
              <w:pStyle w:val="TableText"/>
            </w:pPr>
          </w:p>
        </w:tc>
      </w:tr>
      <w:tr w:rsidR="001A5A46" w:rsidRPr="009B35EA" w14:paraId="13498A20" w14:textId="77777777">
        <w:tc>
          <w:tcPr>
            <w:tcW w:w="2088" w:type="dxa"/>
          </w:tcPr>
          <w:p w14:paraId="34778BA4" w14:textId="77777777" w:rsidR="001A5A46" w:rsidRPr="009B35EA" w:rsidRDefault="001A5A46" w:rsidP="005129E1">
            <w:pPr>
              <w:pStyle w:val="TableText"/>
            </w:pPr>
          </w:p>
        </w:tc>
        <w:tc>
          <w:tcPr>
            <w:tcW w:w="2088" w:type="dxa"/>
          </w:tcPr>
          <w:p w14:paraId="6934F1BC" w14:textId="77777777" w:rsidR="001A5A46" w:rsidRPr="009B35EA" w:rsidRDefault="001A5A46" w:rsidP="005129E1">
            <w:pPr>
              <w:pStyle w:val="TableText"/>
            </w:pPr>
          </w:p>
        </w:tc>
        <w:tc>
          <w:tcPr>
            <w:tcW w:w="2088" w:type="dxa"/>
          </w:tcPr>
          <w:p w14:paraId="2F2AAD5D" w14:textId="77777777" w:rsidR="001A5A46" w:rsidRPr="009B35EA" w:rsidRDefault="001A5A46" w:rsidP="005129E1">
            <w:pPr>
              <w:pStyle w:val="TableText"/>
            </w:pPr>
          </w:p>
        </w:tc>
      </w:tr>
      <w:tr w:rsidR="001A5A46" w:rsidRPr="009B35EA" w14:paraId="2C6D59BD" w14:textId="77777777">
        <w:tc>
          <w:tcPr>
            <w:tcW w:w="2088" w:type="dxa"/>
          </w:tcPr>
          <w:p w14:paraId="0744B017" w14:textId="77777777" w:rsidR="001A5A46" w:rsidRPr="009B35EA" w:rsidRDefault="001A5A46" w:rsidP="005129E1">
            <w:pPr>
              <w:pStyle w:val="TableText"/>
            </w:pPr>
          </w:p>
        </w:tc>
        <w:tc>
          <w:tcPr>
            <w:tcW w:w="2088" w:type="dxa"/>
          </w:tcPr>
          <w:p w14:paraId="71241A40" w14:textId="77777777" w:rsidR="001A5A46" w:rsidRPr="009B35EA" w:rsidRDefault="001A5A46" w:rsidP="005129E1">
            <w:pPr>
              <w:pStyle w:val="TableText"/>
            </w:pPr>
          </w:p>
        </w:tc>
        <w:tc>
          <w:tcPr>
            <w:tcW w:w="2088" w:type="dxa"/>
          </w:tcPr>
          <w:p w14:paraId="110FF66C" w14:textId="77777777" w:rsidR="001A5A46" w:rsidRPr="009B35EA" w:rsidRDefault="001A5A46" w:rsidP="005129E1">
            <w:pPr>
              <w:pStyle w:val="TableText"/>
            </w:pPr>
          </w:p>
        </w:tc>
      </w:tr>
      <w:tr w:rsidR="001A5A46" w:rsidRPr="009B35EA" w14:paraId="022B3A67" w14:textId="77777777">
        <w:tc>
          <w:tcPr>
            <w:tcW w:w="2088" w:type="dxa"/>
          </w:tcPr>
          <w:p w14:paraId="7A186C97" w14:textId="77777777" w:rsidR="001A5A46" w:rsidRPr="009B35EA" w:rsidRDefault="001A5A46" w:rsidP="005129E1">
            <w:pPr>
              <w:pStyle w:val="TableText"/>
            </w:pPr>
          </w:p>
        </w:tc>
        <w:tc>
          <w:tcPr>
            <w:tcW w:w="2088" w:type="dxa"/>
          </w:tcPr>
          <w:p w14:paraId="160AE142" w14:textId="77777777" w:rsidR="001A5A46" w:rsidRPr="009B35EA" w:rsidRDefault="001A5A46" w:rsidP="005129E1">
            <w:pPr>
              <w:pStyle w:val="TableText"/>
            </w:pPr>
          </w:p>
        </w:tc>
        <w:tc>
          <w:tcPr>
            <w:tcW w:w="2088" w:type="dxa"/>
          </w:tcPr>
          <w:p w14:paraId="3A7052F4" w14:textId="77777777" w:rsidR="001A5A46" w:rsidRPr="009B35EA" w:rsidRDefault="001A5A46" w:rsidP="005129E1">
            <w:pPr>
              <w:pStyle w:val="TableText"/>
            </w:pPr>
          </w:p>
        </w:tc>
      </w:tr>
      <w:tr w:rsidR="001A5A46" w:rsidRPr="009B35EA" w14:paraId="2BAC9291" w14:textId="77777777">
        <w:tc>
          <w:tcPr>
            <w:tcW w:w="2088" w:type="dxa"/>
          </w:tcPr>
          <w:p w14:paraId="4F6C3A23" w14:textId="77777777" w:rsidR="001A5A46" w:rsidRPr="009B35EA" w:rsidRDefault="001A5A46" w:rsidP="005129E1">
            <w:pPr>
              <w:pStyle w:val="TableText"/>
            </w:pPr>
          </w:p>
        </w:tc>
        <w:tc>
          <w:tcPr>
            <w:tcW w:w="2088" w:type="dxa"/>
          </w:tcPr>
          <w:p w14:paraId="05FF3DD1" w14:textId="77777777" w:rsidR="001A5A46" w:rsidRPr="009B35EA" w:rsidRDefault="001A5A46" w:rsidP="005129E1">
            <w:pPr>
              <w:pStyle w:val="TableText"/>
            </w:pPr>
          </w:p>
        </w:tc>
        <w:tc>
          <w:tcPr>
            <w:tcW w:w="2088" w:type="dxa"/>
          </w:tcPr>
          <w:p w14:paraId="2BF33107" w14:textId="77777777" w:rsidR="001A5A46" w:rsidRPr="009B35EA" w:rsidRDefault="001A5A46" w:rsidP="005129E1">
            <w:pPr>
              <w:pStyle w:val="TableText"/>
            </w:pPr>
          </w:p>
        </w:tc>
      </w:tr>
    </w:tbl>
    <w:p w14:paraId="348192B6" w14:textId="77777777" w:rsidR="002E3C00" w:rsidRDefault="007F0132" w:rsidP="005129E1">
      <w:pPr>
        <w:pStyle w:val="Heading3"/>
      </w:pPr>
      <w:r>
        <w:br w:type="page"/>
      </w:r>
      <w:bookmarkStart w:id="724" w:name="_Toc163645032"/>
      <w:r w:rsidR="002E3C00" w:rsidRPr="008F671D">
        <w:lastRenderedPageBreak/>
        <w:t xml:space="preserve">Transfusion </w:t>
      </w:r>
      <w:bookmarkEnd w:id="720"/>
      <w:r w:rsidR="002E3C00" w:rsidRPr="008F671D">
        <w:t>Effectiveness</w:t>
      </w:r>
      <w:bookmarkEnd w:id="721"/>
      <w:bookmarkEnd w:id="723"/>
      <w:bookmarkEnd w:id="72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Effectiveness</w:instrText>
      </w:r>
      <w:r w:rsidR="00992E88">
        <w:instrText xml:space="preserve">" </w:instrText>
      </w:r>
      <w:r w:rsidR="00992E88">
        <w:fldChar w:fldCharType="end"/>
      </w:r>
    </w:p>
    <w:p w14:paraId="69E613B3" w14:textId="355299BB" w:rsidR="002E3C00" w:rsidRPr="00BA1922" w:rsidRDefault="002E3C00" w:rsidP="002E3C00">
      <w:pPr>
        <w:pStyle w:val="BodyText"/>
      </w:pPr>
      <w:r>
        <w:t xml:space="preserve">The user defines Laboratory tests to monitor the effectiveness of transfusions. </w:t>
      </w:r>
      <w:r w:rsidR="008D2779">
        <w:t xml:space="preserve">For more information, see </w:t>
      </w:r>
      <w:r w:rsidR="00EE455E">
        <w:t xml:space="preserve">Appendix </w:t>
      </w:r>
      <w:r w:rsidR="00EE455E">
        <w:rPr>
          <w:noProof/>
        </w:rPr>
        <w:t>G</w:t>
      </w:r>
      <w:r w:rsidR="00EE455E">
        <w:t>: Work Process Flowcharts</w:t>
      </w:r>
      <w:r w:rsidR="008D2779">
        <w:t>.</w:t>
      </w:r>
    </w:p>
    <w:p w14:paraId="3A8EB416" w14:textId="77777777" w:rsidR="002E3C00" w:rsidRDefault="002E3C00" w:rsidP="002E3C00">
      <w:pPr>
        <w:pStyle w:val="Heading4"/>
        <w:rPr>
          <w:b w:val="0"/>
        </w:rPr>
      </w:pPr>
      <w:r>
        <w:t>User Roles with Access to This Option</w:t>
      </w:r>
      <w:r>
        <w:rPr>
          <w:b w:val="0"/>
        </w:rPr>
        <w:t xml:space="preserve"> </w:t>
      </w:r>
    </w:p>
    <w:p w14:paraId="0F9F85B7"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sidRPr="00FD030D">
        <w:t xml:space="preserve"> </w:t>
      </w:r>
    </w:p>
    <w:p w14:paraId="75D96929" w14:textId="77777777" w:rsidR="002E3C00" w:rsidRDefault="00B74754" w:rsidP="002E3C00">
      <w:pPr>
        <w:pStyle w:val="Heading4"/>
      </w:pPr>
      <w:r>
        <w:t>Preparation for Testing</w:t>
      </w:r>
    </w:p>
    <w:p w14:paraId="30A44620" w14:textId="77777777" w:rsidR="005243DA" w:rsidRPr="00600497" w:rsidRDefault="005243DA" w:rsidP="00925CAD">
      <w:pPr>
        <w:pStyle w:val="ListNumber"/>
        <w:numPr>
          <w:ilvl w:val="0"/>
          <w:numId w:val="26"/>
        </w:numPr>
        <w:tabs>
          <w:tab w:val="clear" w:pos="720"/>
          <w:tab w:val="num" w:pos="360"/>
        </w:tabs>
        <w:ind w:left="360"/>
      </w:pPr>
      <w:bookmarkStart w:id="725" w:name="_Toc85895793"/>
      <w:bookmarkStart w:id="726" w:name="_Toc113264251"/>
      <w:r>
        <w:t>Use the sa</w:t>
      </w:r>
      <w:r w:rsidRPr="00600497">
        <w:t>mple worksheet to record information.</w:t>
      </w:r>
    </w:p>
    <w:p w14:paraId="292319C2" w14:textId="77777777" w:rsidR="002E3C00" w:rsidRPr="00600497" w:rsidRDefault="002E3C00" w:rsidP="00925CAD">
      <w:pPr>
        <w:pStyle w:val="ListNumber"/>
        <w:numPr>
          <w:ilvl w:val="0"/>
          <w:numId w:val="26"/>
        </w:numPr>
        <w:tabs>
          <w:tab w:val="clear" w:pos="720"/>
          <w:tab w:val="num" w:pos="360"/>
        </w:tabs>
        <w:ind w:left="360"/>
      </w:pPr>
      <w:r w:rsidRPr="00600497">
        <w:t>Capture and save a screen shot of all entries.</w:t>
      </w:r>
    </w:p>
    <w:p w14:paraId="42A0030A" w14:textId="77777777" w:rsidR="00232E43" w:rsidRPr="00FB7F8D" w:rsidRDefault="00232E43" w:rsidP="00925CAD">
      <w:pPr>
        <w:pStyle w:val="ListNumber"/>
        <w:numPr>
          <w:ilvl w:val="0"/>
          <w:numId w:val="26"/>
        </w:numPr>
        <w:tabs>
          <w:tab w:val="clear" w:pos="720"/>
          <w:tab w:val="num" w:pos="360"/>
        </w:tabs>
        <w:ind w:left="360"/>
      </w:pPr>
      <w:r w:rsidRPr="00600497">
        <w:t>Print, si</w:t>
      </w:r>
      <w:r>
        <w:t>gn, date,</w:t>
      </w:r>
      <w:r w:rsidRPr="00FB7F8D">
        <w:t xml:space="preserve"> and save an </w:t>
      </w:r>
      <w:r>
        <w:t>A</w:t>
      </w:r>
      <w:r w:rsidRPr="00FB7F8D">
        <w:t xml:space="preserve">udit </w:t>
      </w:r>
      <w:r>
        <w:t>Trail R</w:t>
      </w:r>
      <w:r w:rsidRPr="00FB7F8D">
        <w:t>eport for your validation record.</w:t>
      </w:r>
    </w:p>
    <w:p w14:paraId="0FA16F20" w14:textId="024B8491" w:rsidR="00061FCF" w:rsidRDefault="00061FCF" w:rsidP="00061FCF">
      <w:pPr>
        <w:pStyle w:val="Caption"/>
      </w:pPr>
      <w:bookmarkStart w:id="727" w:name="_Toc11446210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34</w:t>
      </w:r>
      <w:r w:rsidR="004E20BD">
        <w:rPr>
          <w:noProof/>
        </w:rPr>
        <w:fldChar w:fldCharType="end"/>
      </w:r>
      <w:r>
        <w:t>: Transfusion Effectiveness Worksheet</w:t>
      </w:r>
      <w:r w:rsidR="00AD60CF">
        <w:fldChar w:fldCharType="begin"/>
      </w:r>
      <w:r w:rsidR="00292A7B">
        <w:instrText xml:space="preserve"> XE "Tables:</w:instrText>
      </w:r>
      <w:r w:rsidR="00AD60CF" w:rsidRPr="0046419F">
        <w:instrText>Transfusion Effectiveness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3D7F63" w:rsidRPr="007121BA" w14:paraId="03B2ABD8" w14:textId="77777777">
        <w:trPr>
          <w:tblHeader/>
        </w:trPr>
        <w:tc>
          <w:tcPr>
            <w:tcW w:w="2088" w:type="dxa"/>
            <w:shd w:val="clear" w:color="auto" w:fill="B3B3B3"/>
            <w:vAlign w:val="bottom"/>
          </w:tcPr>
          <w:p w14:paraId="3F30E5F5" w14:textId="77777777" w:rsidR="003D7F63" w:rsidRPr="007121BA" w:rsidRDefault="003D7F63" w:rsidP="005129E1">
            <w:pPr>
              <w:pStyle w:val="TableText"/>
              <w:rPr>
                <w:b/>
              </w:rPr>
            </w:pPr>
            <w:r>
              <w:rPr>
                <w:b/>
              </w:rPr>
              <w:t>Laboratory Test Name</w:t>
            </w:r>
          </w:p>
        </w:tc>
        <w:tc>
          <w:tcPr>
            <w:tcW w:w="2088" w:type="dxa"/>
            <w:shd w:val="clear" w:color="auto" w:fill="B3B3B3"/>
            <w:vAlign w:val="bottom"/>
          </w:tcPr>
          <w:p w14:paraId="51F2BED8" w14:textId="77777777" w:rsidR="003D7F63" w:rsidRPr="007121BA" w:rsidRDefault="003D7F63" w:rsidP="005129E1">
            <w:pPr>
              <w:pStyle w:val="TableText"/>
              <w:rPr>
                <w:b/>
              </w:rPr>
            </w:pPr>
            <w:r>
              <w:rPr>
                <w:b/>
              </w:rPr>
              <w:t>Specimen Type</w:t>
            </w:r>
          </w:p>
        </w:tc>
        <w:tc>
          <w:tcPr>
            <w:tcW w:w="2088" w:type="dxa"/>
            <w:shd w:val="clear" w:color="auto" w:fill="B3B3B3"/>
            <w:vAlign w:val="bottom"/>
          </w:tcPr>
          <w:p w14:paraId="68905250" w14:textId="77777777" w:rsidR="003D7F63" w:rsidRPr="007121BA" w:rsidRDefault="003D7F63" w:rsidP="005129E1">
            <w:pPr>
              <w:pStyle w:val="TableText"/>
              <w:rPr>
                <w:b/>
              </w:rPr>
            </w:pPr>
            <w:r>
              <w:rPr>
                <w:b/>
              </w:rPr>
              <w:t>Threshold Result</w:t>
            </w:r>
          </w:p>
        </w:tc>
      </w:tr>
      <w:tr w:rsidR="003D7F63" w:rsidRPr="009B35EA" w14:paraId="04045009" w14:textId="77777777">
        <w:tc>
          <w:tcPr>
            <w:tcW w:w="2088" w:type="dxa"/>
          </w:tcPr>
          <w:p w14:paraId="78773CB5" w14:textId="77777777" w:rsidR="003D7F63" w:rsidRPr="009B35EA" w:rsidRDefault="003D7F63" w:rsidP="005129E1">
            <w:pPr>
              <w:pStyle w:val="TableText"/>
            </w:pPr>
          </w:p>
        </w:tc>
        <w:tc>
          <w:tcPr>
            <w:tcW w:w="2088" w:type="dxa"/>
          </w:tcPr>
          <w:p w14:paraId="1160D149" w14:textId="77777777" w:rsidR="003D7F63" w:rsidRPr="009B35EA" w:rsidRDefault="003D7F63" w:rsidP="005129E1">
            <w:pPr>
              <w:pStyle w:val="TableText"/>
            </w:pPr>
          </w:p>
        </w:tc>
        <w:tc>
          <w:tcPr>
            <w:tcW w:w="2088" w:type="dxa"/>
          </w:tcPr>
          <w:p w14:paraId="4A4995CA" w14:textId="77777777" w:rsidR="003D7F63" w:rsidRPr="009B35EA" w:rsidRDefault="003D7F63" w:rsidP="005129E1">
            <w:pPr>
              <w:pStyle w:val="TableText"/>
            </w:pPr>
          </w:p>
        </w:tc>
      </w:tr>
      <w:tr w:rsidR="003D7F63" w:rsidRPr="009B35EA" w14:paraId="0FD52F18" w14:textId="77777777">
        <w:tc>
          <w:tcPr>
            <w:tcW w:w="2088" w:type="dxa"/>
          </w:tcPr>
          <w:p w14:paraId="347F2118" w14:textId="77777777" w:rsidR="003D7F63" w:rsidRPr="009B35EA" w:rsidRDefault="003D7F63" w:rsidP="005129E1">
            <w:pPr>
              <w:pStyle w:val="TableText"/>
            </w:pPr>
          </w:p>
        </w:tc>
        <w:tc>
          <w:tcPr>
            <w:tcW w:w="2088" w:type="dxa"/>
          </w:tcPr>
          <w:p w14:paraId="0C255590" w14:textId="77777777" w:rsidR="003D7F63" w:rsidRPr="009B35EA" w:rsidRDefault="003D7F63" w:rsidP="005129E1">
            <w:pPr>
              <w:pStyle w:val="TableText"/>
            </w:pPr>
          </w:p>
        </w:tc>
        <w:tc>
          <w:tcPr>
            <w:tcW w:w="2088" w:type="dxa"/>
          </w:tcPr>
          <w:p w14:paraId="0F501F80" w14:textId="77777777" w:rsidR="003D7F63" w:rsidRPr="009B35EA" w:rsidRDefault="003D7F63" w:rsidP="005129E1">
            <w:pPr>
              <w:pStyle w:val="TableText"/>
            </w:pPr>
          </w:p>
        </w:tc>
      </w:tr>
      <w:tr w:rsidR="003D7F63" w:rsidRPr="009B35EA" w14:paraId="5A49B314" w14:textId="77777777">
        <w:tc>
          <w:tcPr>
            <w:tcW w:w="2088" w:type="dxa"/>
          </w:tcPr>
          <w:p w14:paraId="007C6B0A" w14:textId="77777777" w:rsidR="003D7F63" w:rsidRPr="009B35EA" w:rsidRDefault="003D7F63" w:rsidP="005129E1">
            <w:pPr>
              <w:pStyle w:val="TableText"/>
            </w:pPr>
          </w:p>
        </w:tc>
        <w:tc>
          <w:tcPr>
            <w:tcW w:w="2088" w:type="dxa"/>
          </w:tcPr>
          <w:p w14:paraId="4022FE67" w14:textId="77777777" w:rsidR="003D7F63" w:rsidRPr="009B35EA" w:rsidRDefault="003D7F63" w:rsidP="005129E1">
            <w:pPr>
              <w:pStyle w:val="TableText"/>
            </w:pPr>
          </w:p>
        </w:tc>
        <w:tc>
          <w:tcPr>
            <w:tcW w:w="2088" w:type="dxa"/>
          </w:tcPr>
          <w:p w14:paraId="19868FDC" w14:textId="77777777" w:rsidR="003D7F63" w:rsidRPr="009B35EA" w:rsidRDefault="003D7F63" w:rsidP="005129E1">
            <w:pPr>
              <w:pStyle w:val="TableText"/>
            </w:pPr>
          </w:p>
        </w:tc>
      </w:tr>
      <w:tr w:rsidR="003D7F63" w:rsidRPr="009B35EA" w14:paraId="2A51DBD1" w14:textId="77777777">
        <w:tc>
          <w:tcPr>
            <w:tcW w:w="2088" w:type="dxa"/>
          </w:tcPr>
          <w:p w14:paraId="5867DD08" w14:textId="77777777" w:rsidR="003D7F63" w:rsidRPr="009B35EA" w:rsidRDefault="003D7F63" w:rsidP="005129E1">
            <w:pPr>
              <w:pStyle w:val="TableText"/>
            </w:pPr>
          </w:p>
        </w:tc>
        <w:tc>
          <w:tcPr>
            <w:tcW w:w="2088" w:type="dxa"/>
          </w:tcPr>
          <w:p w14:paraId="239762C9" w14:textId="77777777" w:rsidR="003D7F63" w:rsidRPr="009B35EA" w:rsidRDefault="003D7F63" w:rsidP="005129E1">
            <w:pPr>
              <w:pStyle w:val="TableText"/>
            </w:pPr>
          </w:p>
        </w:tc>
        <w:tc>
          <w:tcPr>
            <w:tcW w:w="2088" w:type="dxa"/>
          </w:tcPr>
          <w:p w14:paraId="01B57B8F" w14:textId="77777777" w:rsidR="003D7F63" w:rsidRPr="009B35EA" w:rsidRDefault="003D7F63" w:rsidP="005129E1">
            <w:pPr>
              <w:pStyle w:val="TableText"/>
            </w:pPr>
          </w:p>
        </w:tc>
      </w:tr>
      <w:tr w:rsidR="003D7F63" w:rsidRPr="009B35EA" w14:paraId="420C2F35" w14:textId="77777777">
        <w:tc>
          <w:tcPr>
            <w:tcW w:w="2088" w:type="dxa"/>
          </w:tcPr>
          <w:p w14:paraId="216AA39E" w14:textId="77777777" w:rsidR="003D7F63" w:rsidRPr="009B35EA" w:rsidRDefault="003D7F63" w:rsidP="005129E1">
            <w:pPr>
              <w:pStyle w:val="TableText"/>
            </w:pPr>
          </w:p>
        </w:tc>
        <w:tc>
          <w:tcPr>
            <w:tcW w:w="2088" w:type="dxa"/>
          </w:tcPr>
          <w:p w14:paraId="1313A1D8" w14:textId="77777777" w:rsidR="003D7F63" w:rsidRPr="009B35EA" w:rsidRDefault="003D7F63" w:rsidP="005129E1">
            <w:pPr>
              <w:pStyle w:val="TableText"/>
            </w:pPr>
          </w:p>
        </w:tc>
        <w:tc>
          <w:tcPr>
            <w:tcW w:w="2088" w:type="dxa"/>
          </w:tcPr>
          <w:p w14:paraId="73348CD8" w14:textId="77777777" w:rsidR="003D7F63" w:rsidRPr="009B35EA" w:rsidRDefault="003D7F63" w:rsidP="005129E1">
            <w:pPr>
              <w:pStyle w:val="TableText"/>
            </w:pPr>
          </w:p>
        </w:tc>
      </w:tr>
      <w:tr w:rsidR="003D7F63" w:rsidRPr="009B35EA" w14:paraId="53E35225" w14:textId="77777777">
        <w:tc>
          <w:tcPr>
            <w:tcW w:w="2088" w:type="dxa"/>
          </w:tcPr>
          <w:p w14:paraId="687BDE17" w14:textId="77777777" w:rsidR="003D7F63" w:rsidRPr="009B35EA" w:rsidRDefault="003D7F63" w:rsidP="005129E1">
            <w:pPr>
              <w:pStyle w:val="TableText"/>
            </w:pPr>
          </w:p>
        </w:tc>
        <w:tc>
          <w:tcPr>
            <w:tcW w:w="2088" w:type="dxa"/>
          </w:tcPr>
          <w:p w14:paraId="73041063" w14:textId="77777777" w:rsidR="003D7F63" w:rsidRPr="009B35EA" w:rsidRDefault="003D7F63" w:rsidP="005129E1">
            <w:pPr>
              <w:pStyle w:val="TableText"/>
            </w:pPr>
          </w:p>
        </w:tc>
        <w:tc>
          <w:tcPr>
            <w:tcW w:w="2088" w:type="dxa"/>
          </w:tcPr>
          <w:p w14:paraId="7DF5A5B7" w14:textId="77777777" w:rsidR="003D7F63" w:rsidRPr="009B35EA" w:rsidRDefault="003D7F63" w:rsidP="005129E1">
            <w:pPr>
              <w:pStyle w:val="TableText"/>
            </w:pPr>
          </w:p>
        </w:tc>
      </w:tr>
    </w:tbl>
    <w:p w14:paraId="09BB7AFD" w14:textId="77777777" w:rsidR="002E3C00" w:rsidRDefault="003E754E" w:rsidP="005129E1">
      <w:pPr>
        <w:pStyle w:val="Heading3"/>
        <w:rPr>
          <w:snapToGrid w:val="0"/>
        </w:rPr>
      </w:pPr>
      <w:r>
        <w:rPr>
          <w:snapToGrid w:val="0"/>
        </w:rPr>
        <w:br w:type="page"/>
      </w:r>
      <w:bookmarkStart w:id="728" w:name="_Toc163645033"/>
      <w:r w:rsidR="002E3C00">
        <w:rPr>
          <w:snapToGrid w:val="0"/>
        </w:rPr>
        <w:lastRenderedPageBreak/>
        <w:t>Workload Codes</w:t>
      </w:r>
      <w:bookmarkEnd w:id="725"/>
      <w:bookmarkEnd w:id="726"/>
      <w:bookmarkEnd w:id="727"/>
      <w:bookmarkEnd w:id="728"/>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Workload Codes</w:instrText>
      </w:r>
      <w:r w:rsidR="00992E88">
        <w:instrText xml:space="preserve">" </w:instrText>
      </w:r>
      <w:r w:rsidR="00992E88">
        <w:rPr>
          <w:snapToGrid w:val="0"/>
        </w:rPr>
        <w:fldChar w:fldCharType="end"/>
      </w:r>
    </w:p>
    <w:p w14:paraId="7869F2AE" w14:textId="1DBA8653" w:rsidR="002E3C00" w:rsidRDefault="002E3C00" w:rsidP="002E3C00">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t>
      </w:r>
      <w:r w:rsidR="003E1A15">
        <w:t>used</w:t>
      </w:r>
      <w:r>
        <w:t xml:space="preserve"> when compiling and storing data to provide workload-related reports to </w:t>
      </w:r>
      <w:r w:rsidRPr="00CA0045">
        <w:rPr>
          <w:bCs/>
        </w:rPr>
        <w:t>VistA</w:t>
      </w:r>
      <w:r>
        <w:t>.</w:t>
      </w:r>
      <w:r w:rsidR="008D2779">
        <w:t xml:space="preserve"> For more information, see </w:t>
      </w:r>
      <w:r w:rsidR="00EE455E">
        <w:t xml:space="preserve">Appendix </w:t>
      </w:r>
      <w:r w:rsidR="00EE455E">
        <w:rPr>
          <w:noProof/>
        </w:rPr>
        <w:t>G</w:t>
      </w:r>
      <w:r w:rsidR="00EE455E">
        <w:t>: Work Process Flowcharts</w:t>
      </w:r>
      <w:r w:rsidR="008D2779">
        <w:t>.</w:t>
      </w:r>
    </w:p>
    <w:p w14:paraId="138FF4F3" w14:textId="77777777" w:rsidR="002E3C00" w:rsidRDefault="002E3C00" w:rsidP="002E3C00">
      <w:pPr>
        <w:pStyle w:val="Heading4"/>
        <w:rPr>
          <w:b w:val="0"/>
        </w:rPr>
      </w:pPr>
      <w:r>
        <w:t>User Roles with Access to This Option</w:t>
      </w:r>
      <w:r>
        <w:rPr>
          <w:b w:val="0"/>
        </w:rPr>
        <w:t xml:space="preserve"> </w:t>
      </w:r>
    </w:p>
    <w:p w14:paraId="14B4CBF2"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700C932" w14:textId="77777777" w:rsidR="002E3C00" w:rsidRDefault="00B74754" w:rsidP="002E3C00">
      <w:pPr>
        <w:pStyle w:val="Heading4"/>
      </w:pPr>
      <w:r>
        <w:t>Preparation for Testing</w:t>
      </w:r>
    </w:p>
    <w:p w14:paraId="74336B89"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73B16805" w14:textId="77777777" w:rsidR="002E3C00" w:rsidRDefault="002E3C00" w:rsidP="002E3C00">
      <w:pPr>
        <w:pStyle w:val="Heading3"/>
      </w:pPr>
      <w:bookmarkStart w:id="729" w:name="_Toc85895794"/>
      <w:bookmarkStart w:id="730" w:name="_Toc113264252"/>
      <w:bookmarkStart w:id="731" w:name="_Toc114462107"/>
      <w:bookmarkStart w:id="732" w:name="_Toc163645034"/>
      <w:r>
        <w:rPr>
          <w:snapToGrid w:val="0"/>
        </w:rPr>
        <w:t xml:space="preserve">Canned </w:t>
      </w:r>
      <w:r>
        <w:t>Comments</w:t>
      </w:r>
      <w:bookmarkEnd w:id="729"/>
      <w:bookmarkEnd w:id="730"/>
      <w:bookmarkEnd w:id="731"/>
      <w:bookmarkEnd w:id="73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 xml:space="preserve">Canned </w:instrText>
      </w:r>
      <w:r w:rsidR="00992E88" w:rsidRPr="00B0596E">
        <w:instrText>Comments</w:instrText>
      </w:r>
      <w:r w:rsidR="00992E88">
        <w:instrText xml:space="preserve">" </w:instrText>
      </w:r>
      <w:r w:rsidR="00992E88">
        <w:fldChar w:fldCharType="end"/>
      </w:r>
    </w:p>
    <w:p w14:paraId="77F06E64" w14:textId="35D7DADF" w:rsidR="007B6183" w:rsidRPr="007B6183" w:rsidRDefault="007B6183" w:rsidP="007B6183">
      <w:pPr>
        <w:pStyle w:val="BodyText"/>
      </w:pPr>
      <w:r>
        <w:t>The user defines canned comments</w:t>
      </w:r>
      <w:r w:rsidR="008A1C39">
        <w:t>,</w:t>
      </w:r>
      <w:r>
        <w:t xml:space="preserve"> </w:t>
      </w:r>
      <w:r w:rsidR="008A1C39">
        <w:t xml:space="preserve">by category, </w:t>
      </w:r>
      <w:r>
        <w:t>for a division.</w:t>
      </w:r>
      <w:r w:rsidR="00250936">
        <w:t xml:space="preserve"> For more information, see </w:t>
      </w:r>
      <w:r w:rsidR="00EE455E">
        <w:t xml:space="preserve">Appendix </w:t>
      </w:r>
      <w:r w:rsidR="00EE455E">
        <w:rPr>
          <w:noProof/>
        </w:rPr>
        <w:t>G</w:t>
      </w:r>
      <w:r w:rsidR="00EE455E">
        <w:t>: Work Process Flowcharts</w:t>
      </w:r>
      <w:r w:rsidR="00250936">
        <w:t>.</w:t>
      </w:r>
    </w:p>
    <w:p w14:paraId="5DC7E5CB" w14:textId="77777777" w:rsidR="002E3C00" w:rsidRDefault="002E3C00" w:rsidP="002E3C00">
      <w:pPr>
        <w:pStyle w:val="Heading4"/>
        <w:rPr>
          <w:b w:val="0"/>
        </w:rPr>
      </w:pPr>
      <w:r>
        <w:t>User Roles with Access to This Option</w:t>
      </w:r>
      <w:r>
        <w:rPr>
          <w:b w:val="0"/>
        </w:rPr>
        <w:t xml:space="preserve"> </w:t>
      </w:r>
    </w:p>
    <w:p w14:paraId="58C77323"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7698F01C" w14:textId="77777777" w:rsidR="002E3C00" w:rsidRDefault="00B74754" w:rsidP="002E3C00">
      <w:pPr>
        <w:pStyle w:val="Heading4"/>
      </w:pPr>
      <w:r>
        <w:t>Preparation for Testing</w:t>
      </w:r>
    </w:p>
    <w:p w14:paraId="64405FAD"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14A35348" w14:textId="77777777" w:rsidR="002E3C00" w:rsidRDefault="002E3C00" w:rsidP="002E3C00">
      <w:pPr>
        <w:pStyle w:val="Heading3"/>
      </w:pPr>
      <w:bookmarkStart w:id="733" w:name="_Toc85895795"/>
      <w:bookmarkStart w:id="734" w:name="_Toc113264253"/>
      <w:bookmarkStart w:id="735" w:name="_Toc114462108"/>
      <w:bookmarkStart w:id="736" w:name="_Toc163645035"/>
      <w:r>
        <w:t>MSBOS</w:t>
      </w:r>
      <w:bookmarkEnd w:id="733"/>
      <w:bookmarkEnd w:id="734"/>
      <w:bookmarkEnd w:id="735"/>
      <w:bookmarkEnd w:id="73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MSBOS</w:instrText>
      </w:r>
      <w:r w:rsidR="00992E88">
        <w:instrText xml:space="preserve">" </w:instrText>
      </w:r>
      <w:r w:rsidR="00992E88">
        <w:fldChar w:fldCharType="end"/>
      </w:r>
    </w:p>
    <w:p w14:paraId="58BEA60E" w14:textId="53F9ECEE" w:rsidR="002E3C00" w:rsidRPr="006D697F" w:rsidRDefault="002E3C00" w:rsidP="00DD75E5">
      <w:pPr>
        <w:pStyle w:val="BodyText"/>
      </w:pPr>
      <w:r>
        <w:t>The user defines parameters for comparing blood component orders placed by a clinician with the Maximum Surgical Blood Ordering Schedule (MSBOS).</w:t>
      </w:r>
      <w:r w:rsidR="00250936">
        <w:t xml:space="preserve"> For more information, see </w:t>
      </w:r>
      <w:r w:rsidR="00EE455E">
        <w:t xml:space="preserve">Appendix </w:t>
      </w:r>
      <w:r w:rsidR="00EE455E">
        <w:rPr>
          <w:noProof/>
        </w:rPr>
        <w:t>G</w:t>
      </w:r>
      <w:r w:rsidR="00EE455E">
        <w:t>: Work Process Flowcharts</w:t>
      </w:r>
      <w:r w:rsidR="00250936">
        <w:t>.</w:t>
      </w:r>
    </w:p>
    <w:p w14:paraId="24F54A11" w14:textId="77777777" w:rsidR="002E3C00" w:rsidRDefault="002E3C00" w:rsidP="002E3C00">
      <w:pPr>
        <w:pStyle w:val="Heading4"/>
        <w:rPr>
          <w:b w:val="0"/>
        </w:rPr>
      </w:pPr>
      <w:r>
        <w:t>User Roles with Access to This Option</w:t>
      </w:r>
      <w:r>
        <w:rPr>
          <w:b w:val="0"/>
        </w:rPr>
        <w:t xml:space="preserve"> </w:t>
      </w:r>
    </w:p>
    <w:p w14:paraId="712745FD"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w:t>
      </w:r>
    </w:p>
    <w:p w14:paraId="0AB4F69F" w14:textId="77777777" w:rsidR="002E3C00" w:rsidRDefault="00B74754" w:rsidP="002E3C00">
      <w:pPr>
        <w:pStyle w:val="Heading4"/>
      </w:pPr>
      <w:r>
        <w:t>Preparation for Testing</w:t>
      </w:r>
    </w:p>
    <w:p w14:paraId="5B65E10A"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6E772E12" w14:textId="77777777" w:rsidR="002E3C00" w:rsidRDefault="002E3C00" w:rsidP="002E3C00">
      <w:pPr>
        <w:pStyle w:val="Heading3"/>
        <w:rPr>
          <w:snapToGrid w:val="0"/>
        </w:rPr>
      </w:pPr>
      <w:bookmarkStart w:id="737" w:name="_Toc85895796"/>
      <w:bookmarkStart w:id="738" w:name="_Toc113264254"/>
      <w:bookmarkStart w:id="739" w:name="_Toc114462109"/>
      <w:bookmarkStart w:id="740" w:name="_Toc163645036"/>
      <w:r>
        <w:rPr>
          <w:snapToGrid w:val="0"/>
        </w:rPr>
        <w:t>Edit Invoice Text</w:t>
      </w:r>
      <w:bookmarkEnd w:id="737"/>
      <w:bookmarkEnd w:id="738"/>
      <w:bookmarkEnd w:id="739"/>
      <w:bookmarkEnd w:id="740"/>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Edit Invoice Text</w:instrText>
      </w:r>
      <w:r w:rsidR="00992E88">
        <w:instrText xml:space="preserve">" </w:instrText>
      </w:r>
      <w:r w:rsidR="00992E88">
        <w:rPr>
          <w:snapToGrid w:val="0"/>
        </w:rPr>
        <w:fldChar w:fldCharType="end"/>
      </w:r>
    </w:p>
    <w:p w14:paraId="6D2F68E4" w14:textId="77777777" w:rsidR="002E3C00" w:rsidRPr="00E0423B" w:rsidRDefault="002E3C00" w:rsidP="002E3C00">
      <w:pPr>
        <w:pStyle w:val="BodyText"/>
      </w:pPr>
      <w:r>
        <w:t xml:space="preserve">The user may edit the explanatory text above the signature on the last page of a shipping invoice. </w:t>
      </w:r>
    </w:p>
    <w:p w14:paraId="4ED7D283" w14:textId="77777777" w:rsidR="002E3C00" w:rsidRDefault="002E3C00" w:rsidP="002E3C00">
      <w:pPr>
        <w:pStyle w:val="Heading4"/>
        <w:rPr>
          <w:b w:val="0"/>
        </w:rPr>
      </w:pPr>
      <w:r>
        <w:t>User Roles with Access to This Option</w:t>
      </w:r>
      <w:r>
        <w:rPr>
          <w:b w:val="0"/>
        </w:rPr>
        <w:t xml:space="preserve"> </w:t>
      </w:r>
    </w:p>
    <w:p w14:paraId="48B3C3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36AA17B" w14:textId="77777777" w:rsidR="002E3C00" w:rsidRDefault="00B74754" w:rsidP="002E3C00">
      <w:pPr>
        <w:pStyle w:val="Heading4"/>
      </w:pPr>
      <w:r>
        <w:t>Preparation for Testing</w:t>
      </w:r>
    </w:p>
    <w:p w14:paraId="1CC1ACA6"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4D09224A" w14:textId="77777777" w:rsidR="002E3C00" w:rsidRDefault="001D3D7A" w:rsidP="002E3C00">
      <w:pPr>
        <w:pStyle w:val="Heading3"/>
        <w:rPr>
          <w:snapToGrid w:val="0"/>
        </w:rPr>
      </w:pPr>
      <w:bookmarkStart w:id="741" w:name="_Toc85895797"/>
      <w:bookmarkStart w:id="742" w:name="_Toc113264255"/>
      <w:bookmarkStart w:id="743" w:name="_Toc114462110"/>
      <w:r>
        <w:rPr>
          <w:snapToGrid w:val="0"/>
        </w:rPr>
        <w:br w:type="page"/>
      </w:r>
      <w:bookmarkStart w:id="744" w:name="_Toc163645037"/>
      <w:r w:rsidR="002E3C00">
        <w:rPr>
          <w:snapToGrid w:val="0"/>
        </w:rPr>
        <w:lastRenderedPageBreak/>
        <w:t>Antibodies</w:t>
      </w:r>
      <w:bookmarkEnd w:id="741"/>
      <w:bookmarkEnd w:id="742"/>
      <w:bookmarkEnd w:id="743"/>
      <w:bookmarkEnd w:id="744"/>
      <w:r w:rsidR="00E21F36">
        <w:rPr>
          <w:snapToGrid w:val="0"/>
        </w:rPr>
        <w:fldChar w:fldCharType="begin"/>
      </w:r>
      <w:r w:rsidR="00E21F36">
        <w:instrText xml:space="preserve"> XE " System Validation:</w:instrText>
      </w:r>
      <w:r w:rsidR="00E21F36" w:rsidRPr="0081226B">
        <w:rPr>
          <w:snapToGrid w:val="0"/>
        </w:rPr>
        <w:instrText>Antibodies</w:instrText>
      </w:r>
      <w:r w:rsidR="00E21F36">
        <w:instrText xml:space="preserve">" </w:instrText>
      </w:r>
      <w:r w:rsidR="00E21F36">
        <w:rPr>
          <w:snapToGrid w:val="0"/>
        </w:rPr>
        <w:fldChar w:fldCharType="end"/>
      </w:r>
    </w:p>
    <w:p w14:paraId="72753D62" w14:textId="0E3F45FB" w:rsidR="002E3C00" w:rsidRDefault="002E3C00" w:rsidP="002E3C00">
      <w:pPr>
        <w:pStyle w:val="BodyText"/>
      </w:pPr>
      <w:r>
        <w:t xml:space="preserve">The user </w:t>
      </w:r>
      <w:r w:rsidR="00E15B34">
        <w:t xml:space="preserve">may </w:t>
      </w:r>
      <w:r>
        <w:t>edit certain fields in the supplied antibody table</w:t>
      </w:r>
      <w:r w:rsidR="00191728">
        <w:t xml:space="preserve"> (</w:t>
      </w:r>
      <w:r w:rsidR="00EE455E">
        <w:t xml:space="preserve">Table </w:t>
      </w:r>
      <w:r w:rsidR="00EE455E">
        <w:rPr>
          <w:noProof/>
        </w:rPr>
        <w:t>14</w:t>
      </w:r>
      <w:r w:rsidR="00191728">
        <w:t>).</w:t>
      </w:r>
      <w:r w:rsidR="0063037F">
        <w:t xml:space="preserve"> Use</w:t>
      </w:r>
      <w:r w:rsidR="00191728">
        <w:t xml:space="preserve"> </w:t>
      </w:r>
      <w:r w:rsidR="00EE455E">
        <w:t xml:space="preserve">Table </w:t>
      </w:r>
      <w:r w:rsidR="00EE455E">
        <w:rPr>
          <w:noProof/>
        </w:rPr>
        <w:t>35</w:t>
      </w:r>
      <w:r w:rsidR="0063037F">
        <w:t xml:space="preserve"> (</w:t>
      </w:r>
      <w:r w:rsidR="00191728">
        <w:t xml:space="preserve">extracted from </w:t>
      </w:r>
      <w:r w:rsidR="00EE455E">
        <w:t xml:space="preserve">Table </w:t>
      </w:r>
      <w:r w:rsidR="00EE455E">
        <w:rPr>
          <w:noProof/>
        </w:rPr>
        <w:t>14</w:t>
      </w:r>
      <w:r w:rsidR="0063037F">
        <w:t>) to document local decisions on antigen-negative settings.</w:t>
      </w:r>
      <w:r w:rsidR="003C6D47">
        <w:t xml:space="preserve"> </w:t>
      </w:r>
      <w:r w:rsidR="008D2779">
        <w:t xml:space="preserve">For more information, see </w:t>
      </w:r>
      <w:r w:rsidR="00EE455E">
        <w:t xml:space="preserve">Appendix </w:t>
      </w:r>
      <w:r w:rsidR="00EE455E">
        <w:rPr>
          <w:noProof/>
        </w:rPr>
        <w:t>G</w:t>
      </w:r>
      <w:r w:rsidR="00EE455E">
        <w:t>: Work Process Flowcharts</w:t>
      </w:r>
      <w:r w:rsidR="008D2779">
        <w:t>.</w:t>
      </w:r>
      <w:r w:rsidR="00432FCC" w:rsidRPr="00E15B34">
        <w:rPr>
          <w:vanish/>
        </w:rPr>
        <w:t>(DR 2,617)</w:t>
      </w:r>
    </w:p>
    <w:p w14:paraId="16C0C3E7" w14:textId="78757BE9" w:rsidR="00E15B34" w:rsidRDefault="00E15B34" w:rsidP="00E15B34">
      <w:pPr>
        <w:pStyle w:val="Caption"/>
      </w:pPr>
      <w:bookmarkStart w:id="745" w:name="_Ref16942152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35</w:t>
      </w:r>
      <w:r w:rsidR="004E20BD">
        <w:rPr>
          <w:noProof/>
        </w:rPr>
        <w:fldChar w:fldCharType="end"/>
      </w:r>
      <w:bookmarkEnd w:id="745"/>
      <w:r>
        <w:t>: User-Defined Antigen Negative Requirements</w:t>
      </w:r>
      <w:r w:rsidR="00812371">
        <w:fldChar w:fldCharType="begin"/>
      </w:r>
      <w:r w:rsidR="00812371">
        <w:instrText xml:space="preserve"> XE "Tables:User-Defined Antigen Negative Requirements" </w:instrText>
      </w:r>
      <w:r w:rsidR="00812371">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0"/>
        <w:gridCol w:w="1331"/>
        <w:gridCol w:w="1053"/>
        <w:gridCol w:w="1331"/>
        <w:gridCol w:w="4315"/>
      </w:tblGrid>
      <w:tr w:rsidR="004E75A5" w:rsidRPr="004E75A5" w14:paraId="2C39DC9A" w14:textId="77777777">
        <w:trPr>
          <w:tblHeader/>
        </w:trPr>
        <w:tc>
          <w:tcPr>
            <w:tcW w:w="2661" w:type="dxa"/>
            <w:gridSpan w:val="2"/>
            <w:tcBorders>
              <w:bottom w:val="single" w:sz="4" w:space="0" w:color="auto"/>
            </w:tcBorders>
            <w:shd w:val="clear" w:color="auto" w:fill="B3B3B3"/>
            <w:vAlign w:val="bottom"/>
          </w:tcPr>
          <w:p w14:paraId="7C282C96" w14:textId="77777777" w:rsidR="004E75A5" w:rsidRPr="004E75A5" w:rsidRDefault="004E75A5" w:rsidP="004E75A5">
            <w:pPr>
              <w:pStyle w:val="TableText"/>
              <w:jc w:val="center"/>
              <w:rPr>
                <w:b/>
              </w:rPr>
            </w:pPr>
            <w:r w:rsidRPr="004E75A5">
              <w:rPr>
                <w:b/>
              </w:rPr>
              <w:t>Antibody Name</w:t>
            </w:r>
          </w:p>
        </w:tc>
        <w:tc>
          <w:tcPr>
            <w:tcW w:w="1053" w:type="dxa"/>
            <w:vMerge w:val="restart"/>
            <w:shd w:val="clear" w:color="auto" w:fill="B3B3B3"/>
            <w:vAlign w:val="bottom"/>
          </w:tcPr>
          <w:p w14:paraId="2C43751F" w14:textId="77777777" w:rsidR="004E75A5" w:rsidRPr="004E75A5" w:rsidRDefault="004E75A5" w:rsidP="00432FCC">
            <w:pPr>
              <w:pStyle w:val="TableText"/>
              <w:rPr>
                <w:b/>
                <w:bCs/>
              </w:rPr>
            </w:pPr>
            <w:r w:rsidRPr="004E75A5">
              <w:rPr>
                <w:b/>
                <w:bCs/>
              </w:rPr>
              <w:t>Clinically Significant?</w:t>
            </w:r>
          </w:p>
        </w:tc>
        <w:tc>
          <w:tcPr>
            <w:tcW w:w="1331" w:type="dxa"/>
            <w:vMerge w:val="restart"/>
            <w:shd w:val="clear" w:color="auto" w:fill="B3B3B3"/>
            <w:vAlign w:val="bottom"/>
          </w:tcPr>
          <w:p w14:paraId="32F0FF34" w14:textId="77777777" w:rsidR="004E75A5" w:rsidRPr="004E75A5" w:rsidRDefault="004E75A5" w:rsidP="00432FCC">
            <w:pPr>
              <w:pStyle w:val="TableText"/>
              <w:rPr>
                <w:b/>
              </w:rPr>
            </w:pPr>
            <w:r w:rsidRPr="004E75A5">
              <w:rPr>
                <w:b/>
              </w:rPr>
              <w:t>VBECS Antigen Negative Setting Default</w:t>
            </w:r>
          </w:p>
        </w:tc>
        <w:tc>
          <w:tcPr>
            <w:tcW w:w="4315" w:type="dxa"/>
            <w:vMerge w:val="restart"/>
            <w:shd w:val="clear" w:color="auto" w:fill="B3B3B3"/>
            <w:vAlign w:val="bottom"/>
          </w:tcPr>
          <w:p w14:paraId="627B38AB" w14:textId="77777777" w:rsidR="004E75A5" w:rsidRPr="004E75A5" w:rsidRDefault="004E75A5" w:rsidP="00432FCC">
            <w:pPr>
              <w:pStyle w:val="TableText"/>
              <w:rPr>
                <w:rFonts w:eastAsia="Symbol"/>
                <w:b/>
              </w:rPr>
            </w:pPr>
            <w:r w:rsidRPr="004E75A5">
              <w:rPr>
                <w:rFonts w:eastAsia="Symbol"/>
                <w:b/>
              </w:rPr>
              <w:t>Local comments and decisions on antigen-negative settings.</w:t>
            </w:r>
          </w:p>
        </w:tc>
      </w:tr>
      <w:tr w:rsidR="004E75A5" w:rsidRPr="004E75A5" w14:paraId="5A60FF33" w14:textId="77777777">
        <w:trPr>
          <w:tblHeader/>
        </w:trPr>
        <w:tc>
          <w:tcPr>
            <w:tcW w:w="1330" w:type="dxa"/>
            <w:shd w:val="clear" w:color="auto" w:fill="B3B3B3"/>
            <w:vAlign w:val="bottom"/>
          </w:tcPr>
          <w:p w14:paraId="42D0C9AD" w14:textId="77777777" w:rsidR="004E75A5" w:rsidRPr="004E75A5" w:rsidRDefault="004E75A5" w:rsidP="00432FCC">
            <w:pPr>
              <w:pStyle w:val="TableText"/>
              <w:rPr>
                <w:b/>
              </w:rPr>
            </w:pPr>
            <w:r w:rsidRPr="004E75A5">
              <w:rPr>
                <w:b/>
              </w:rPr>
              <w:t>VBECS</w:t>
            </w:r>
          </w:p>
        </w:tc>
        <w:tc>
          <w:tcPr>
            <w:tcW w:w="1331" w:type="dxa"/>
            <w:shd w:val="clear" w:color="auto" w:fill="B3B3B3"/>
            <w:vAlign w:val="bottom"/>
          </w:tcPr>
          <w:p w14:paraId="5ED5C17F" w14:textId="77777777" w:rsidR="004E75A5" w:rsidRPr="004E75A5" w:rsidRDefault="004E75A5" w:rsidP="00432FCC">
            <w:pPr>
              <w:pStyle w:val="TableText"/>
              <w:rPr>
                <w:b/>
              </w:rPr>
            </w:pPr>
            <w:r w:rsidRPr="004E75A5">
              <w:rPr>
                <w:b/>
              </w:rPr>
              <w:t>VistA</w:t>
            </w:r>
          </w:p>
        </w:tc>
        <w:tc>
          <w:tcPr>
            <w:tcW w:w="1053" w:type="dxa"/>
            <w:vMerge/>
            <w:shd w:val="clear" w:color="auto" w:fill="auto"/>
            <w:vAlign w:val="bottom"/>
          </w:tcPr>
          <w:p w14:paraId="496D0233" w14:textId="77777777" w:rsidR="004E75A5" w:rsidRPr="004E75A5" w:rsidRDefault="004E75A5" w:rsidP="00432FCC">
            <w:pPr>
              <w:pStyle w:val="TableText"/>
              <w:rPr>
                <w:b/>
                <w:bCs/>
              </w:rPr>
            </w:pPr>
          </w:p>
        </w:tc>
        <w:tc>
          <w:tcPr>
            <w:tcW w:w="1331" w:type="dxa"/>
            <w:vMerge/>
            <w:shd w:val="clear" w:color="auto" w:fill="auto"/>
            <w:vAlign w:val="bottom"/>
          </w:tcPr>
          <w:p w14:paraId="75FA28EE" w14:textId="77777777" w:rsidR="004E75A5" w:rsidRPr="004E75A5" w:rsidRDefault="004E75A5" w:rsidP="00432FCC">
            <w:pPr>
              <w:pStyle w:val="TableText"/>
              <w:rPr>
                <w:b/>
              </w:rPr>
            </w:pPr>
          </w:p>
        </w:tc>
        <w:tc>
          <w:tcPr>
            <w:tcW w:w="4315" w:type="dxa"/>
            <w:vMerge/>
            <w:shd w:val="clear" w:color="auto" w:fill="auto"/>
            <w:vAlign w:val="bottom"/>
          </w:tcPr>
          <w:p w14:paraId="19011A77" w14:textId="77777777" w:rsidR="004E75A5" w:rsidRPr="004E75A5" w:rsidRDefault="004E75A5" w:rsidP="00432FCC">
            <w:pPr>
              <w:pStyle w:val="TableText"/>
              <w:rPr>
                <w:rFonts w:eastAsia="Symbol"/>
                <w:b/>
              </w:rPr>
            </w:pPr>
          </w:p>
        </w:tc>
      </w:tr>
      <w:tr w:rsidR="00432FCC" w14:paraId="1FE49D31" w14:textId="77777777">
        <w:tc>
          <w:tcPr>
            <w:tcW w:w="1330" w:type="dxa"/>
            <w:shd w:val="clear" w:color="auto" w:fill="auto"/>
            <w:vAlign w:val="center"/>
          </w:tcPr>
          <w:p w14:paraId="562B3BAA" w14:textId="77777777" w:rsidR="00432FCC" w:rsidRDefault="00432FCC" w:rsidP="00432FCC">
            <w:pPr>
              <w:pStyle w:val="TableText"/>
              <w:rPr>
                <w:rFonts w:eastAsia="Symbol"/>
              </w:rPr>
            </w:pPr>
            <w:r>
              <w:t>Anti-Kp(a)</w:t>
            </w:r>
          </w:p>
        </w:tc>
        <w:tc>
          <w:tcPr>
            <w:tcW w:w="1331" w:type="dxa"/>
            <w:shd w:val="clear" w:color="auto" w:fill="auto"/>
            <w:vAlign w:val="center"/>
          </w:tcPr>
          <w:p w14:paraId="539CD76D" w14:textId="77777777" w:rsidR="00432FCC" w:rsidRDefault="00432FCC" w:rsidP="00432FCC">
            <w:pPr>
              <w:pStyle w:val="TableText"/>
              <w:rPr>
                <w:rFonts w:eastAsia="Symbol"/>
              </w:rPr>
            </w:pPr>
            <w:r>
              <w:t>Anti-Kp(a)</w:t>
            </w:r>
          </w:p>
        </w:tc>
        <w:tc>
          <w:tcPr>
            <w:tcW w:w="1053" w:type="dxa"/>
            <w:shd w:val="clear" w:color="auto" w:fill="auto"/>
            <w:vAlign w:val="center"/>
          </w:tcPr>
          <w:p w14:paraId="4301554D" w14:textId="77777777" w:rsidR="00432FCC" w:rsidRDefault="00432FCC" w:rsidP="00432FCC">
            <w:pPr>
              <w:pStyle w:val="TableText"/>
              <w:rPr>
                <w:b/>
                <w:bCs/>
              </w:rPr>
            </w:pPr>
            <w:r>
              <w:rPr>
                <w:bCs/>
              </w:rPr>
              <w:t>Yes</w:t>
            </w:r>
          </w:p>
        </w:tc>
        <w:tc>
          <w:tcPr>
            <w:tcW w:w="1331" w:type="dxa"/>
            <w:shd w:val="clear" w:color="auto" w:fill="auto"/>
            <w:vAlign w:val="center"/>
          </w:tcPr>
          <w:p w14:paraId="2532499C" w14:textId="77777777" w:rsidR="00432FCC" w:rsidRDefault="00432FCC" w:rsidP="00432FCC">
            <w:pPr>
              <w:pStyle w:val="TableText"/>
              <w:rPr>
                <w:rFonts w:eastAsia="Symbol"/>
              </w:rPr>
            </w:pPr>
            <w:r>
              <w:t>No</w:t>
            </w:r>
          </w:p>
        </w:tc>
        <w:tc>
          <w:tcPr>
            <w:tcW w:w="4315" w:type="dxa"/>
            <w:shd w:val="clear" w:color="auto" w:fill="auto"/>
            <w:vAlign w:val="center"/>
          </w:tcPr>
          <w:p w14:paraId="153EA8F6" w14:textId="77777777" w:rsidR="00432FCC" w:rsidRDefault="00432FCC" w:rsidP="00432FCC">
            <w:pPr>
              <w:pStyle w:val="TableText"/>
              <w:rPr>
                <w:rFonts w:eastAsia="Symbol"/>
              </w:rPr>
            </w:pPr>
          </w:p>
        </w:tc>
      </w:tr>
      <w:tr w:rsidR="00432FCC" w14:paraId="7040FE4C" w14:textId="77777777">
        <w:tc>
          <w:tcPr>
            <w:tcW w:w="1330" w:type="dxa"/>
            <w:shd w:val="clear" w:color="auto" w:fill="auto"/>
            <w:vAlign w:val="center"/>
          </w:tcPr>
          <w:p w14:paraId="206F20A4" w14:textId="77777777" w:rsidR="00432FCC" w:rsidRDefault="00432FCC" w:rsidP="00432FCC">
            <w:pPr>
              <w:pStyle w:val="TableText"/>
              <w:rPr>
                <w:rFonts w:eastAsia="Symbol"/>
              </w:rPr>
            </w:pPr>
            <w:r>
              <w:t>Anti-Kp(b)</w:t>
            </w:r>
          </w:p>
        </w:tc>
        <w:tc>
          <w:tcPr>
            <w:tcW w:w="1331" w:type="dxa"/>
            <w:shd w:val="clear" w:color="auto" w:fill="auto"/>
            <w:vAlign w:val="center"/>
          </w:tcPr>
          <w:p w14:paraId="62440420" w14:textId="77777777" w:rsidR="00432FCC" w:rsidRDefault="00432FCC" w:rsidP="00432FCC">
            <w:pPr>
              <w:pStyle w:val="TableText"/>
              <w:rPr>
                <w:rFonts w:eastAsia="Symbol"/>
              </w:rPr>
            </w:pPr>
            <w:r>
              <w:t>Anti-Kp(b)</w:t>
            </w:r>
          </w:p>
        </w:tc>
        <w:tc>
          <w:tcPr>
            <w:tcW w:w="1053" w:type="dxa"/>
            <w:shd w:val="clear" w:color="auto" w:fill="auto"/>
            <w:vAlign w:val="center"/>
          </w:tcPr>
          <w:p w14:paraId="665F2394" w14:textId="77777777" w:rsidR="00432FCC" w:rsidRDefault="00432FCC" w:rsidP="00432FCC">
            <w:pPr>
              <w:pStyle w:val="TableText"/>
              <w:rPr>
                <w:b/>
                <w:bCs/>
              </w:rPr>
            </w:pPr>
            <w:r>
              <w:rPr>
                <w:bCs/>
              </w:rPr>
              <w:t>Yes</w:t>
            </w:r>
          </w:p>
        </w:tc>
        <w:tc>
          <w:tcPr>
            <w:tcW w:w="1331" w:type="dxa"/>
            <w:shd w:val="clear" w:color="auto" w:fill="auto"/>
            <w:vAlign w:val="center"/>
          </w:tcPr>
          <w:p w14:paraId="6AE4CA71" w14:textId="77777777" w:rsidR="00432FCC" w:rsidRDefault="00432FCC" w:rsidP="00432FCC">
            <w:pPr>
              <w:pStyle w:val="TableText"/>
              <w:rPr>
                <w:rFonts w:eastAsia="Symbol"/>
              </w:rPr>
            </w:pPr>
            <w:r>
              <w:t>No</w:t>
            </w:r>
          </w:p>
        </w:tc>
        <w:tc>
          <w:tcPr>
            <w:tcW w:w="4315" w:type="dxa"/>
            <w:shd w:val="clear" w:color="auto" w:fill="auto"/>
            <w:vAlign w:val="center"/>
          </w:tcPr>
          <w:p w14:paraId="66373D8C" w14:textId="77777777" w:rsidR="00432FCC" w:rsidRDefault="00432FCC" w:rsidP="00432FCC">
            <w:pPr>
              <w:pStyle w:val="TableText"/>
              <w:rPr>
                <w:rFonts w:eastAsia="Symbol"/>
              </w:rPr>
            </w:pPr>
          </w:p>
        </w:tc>
      </w:tr>
      <w:tr w:rsidR="00432FCC" w14:paraId="4833EEB3" w14:textId="77777777">
        <w:tc>
          <w:tcPr>
            <w:tcW w:w="1330" w:type="dxa"/>
            <w:shd w:val="clear" w:color="auto" w:fill="auto"/>
            <w:vAlign w:val="center"/>
          </w:tcPr>
          <w:p w14:paraId="08688CAB" w14:textId="77777777" w:rsidR="00432FCC" w:rsidRDefault="00432FCC" w:rsidP="00432FCC">
            <w:pPr>
              <w:pStyle w:val="TableText"/>
              <w:rPr>
                <w:rFonts w:eastAsia="Symbol"/>
              </w:rPr>
            </w:pPr>
            <w:r>
              <w:t>Anti-M</w:t>
            </w:r>
          </w:p>
        </w:tc>
        <w:tc>
          <w:tcPr>
            <w:tcW w:w="1331" w:type="dxa"/>
            <w:shd w:val="clear" w:color="auto" w:fill="auto"/>
            <w:vAlign w:val="center"/>
          </w:tcPr>
          <w:p w14:paraId="2DE934B2" w14:textId="77777777" w:rsidR="00432FCC" w:rsidRDefault="00432FCC" w:rsidP="00432FCC">
            <w:pPr>
              <w:pStyle w:val="TableText"/>
            </w:pPr>
            <w:r>
              <w:t>Anti-M</w:t>
            </w:r>
          </w:p>
        </w:tc>
        <w:tc>
          <w:tcPr>
            <w:tcW w:w="1053" w:type="dxa"/>
            <w:shd w:val="clear" w:color="auto" w:fill="auto"/>
            <w:vAlign w:val="center"/>
          </w:tcPr>
          <w:p w14:paraId="66974975" w14:textId="77777777" w:rsidR="00432FCC" w:rsidRDefault="00432FCC" w:rsidP="00432FCC">
            <w:pPr>
              <w:pStyle w:val="TableText"/>
            </w:pPr>
            <w:r>
              <w:t>No</w:t>
            </w:r>
          </w:p>
        </w:tc>
        <w:tc>
          <w:tcPr>
            <w:tcW w:w="1331" w:type="dxa"/>
            <w:shd w:val="clear" w:color="auto" w:fill="auto"/>
            <w:vAlign w:val="center"/>
          </w:tcPr>
          <w:p w14:paraId="54EA0191" w14:textId="77777777" w:rsidR="00432FCC" w:rsidRDefault="00432FCC" w:rsidP="00432FCC">
            <w:pPr>
              <w:pStyle w:val="TableText"/>
              <w:rPr>
                <w:rFonts w:eastAsia="Symbol"/>
              </w:rPr>
            </w:pPr>
            <w:r>
              <w:t>No</w:t>
            </w:r>
          </w:p>
        </w:tc>
        <w:tc>
          <w:tcPr>
            <w:tcW w:w="4315" w:type="dxa"/>
            <w:shd w:val="clear" w:color="auto" w:fill="auto"/>
            <w:vAlign w:val="center"/>
          </w:tcPr>
          <w:p w14:paraId="304AFF61" w14:textId="77777777" w:rsidR="00432FCC" w:rsidRDefault="00432FCC" w:rsidP="00432FCC">
            <w:pPr>
              <w:pStyle w:val="TableText"/>
              <w:rPr>
                <w:rFonts w:eastAsia="Symbol"/>
              </w:rPr>
            </w:pPr>
          </w:p>
        </w:tc>
      </w:tr>
      <w:tr w:rsidR="00432FCC" w14:paraId="14F1B003" w14:textId="77777777">
        <w:tc>
          <w:tcPr>
            <w:tcW w:w="1330" w:type="dxa"/>
            <w:shd w:val="clear" w:color="auto" w:fill="auto"/>
            <w:vAlign w:val="center"/>
          </w:tcPr>
          <w:p w14:paraId="0B59274A" w14:textId="77777777" w:rsidR="00432FCC" w:rsidRDefault="00432FCC" w:rsidP="00432FCC">
            <w:pPr>
              <w:pStyle w:val="TableText"/>
              <w:rPr>
                <w:rFonts w:eastAsia="Symbol"/>
              </w:rPr>
            </w:pPr>
            <w:r>
              <w:t>Anti-N</w:t>
            </w:r>
          </w:p>
        </w:tc>
        <w:tc>
          <w:tcPr>
            <w:tcW w:w="1331" w:type="dxa"/>
            <w:shd w:val="clear" w:color="auto" w:fill="auto"/>
            <w:vAlign w:val="center"/>
          </w:tcPr>
          <w:p w14:paraId="764508B0" w14:textId="77777777" w:rsidR="00432FCC" w:rsidRDefault="00432FCC" w:rsidP="00432FCC">
            <w:pPr>
              <w:pStyle w:val="TableText"/>
            </w:pPr>
            <w:r>
              <w:t>Anti-N</w:t>
            </w:r>
          </w:p>
        </w:tc>
        <w:tc>
          <w:tcPr>
            <w:tcW w:w="1053" w:type="dxa"/>
            <w:shd w:val="clear" w:color="auto" w:fill="auto"/>
            <w:vAlign w:val="center"/>
          </w:tcPr>
          <w:p w14:paraId="516B3ABA" w14:textId="77777777" w:rsidR="00432FCC" w:rsidRDefault="00432FCC" w:rsidP="00432FCC">
            <w:pPr>
              <w:pStyle w:val="TableText"/>
            </w:pPr>
            <w:r>
              <w:t>No</w:t>
            </w:r>
          </w:p>
        </w:tc>
        <w:tc>
          <w:tcPr>
            <w:tcW w:w="1331" w:type="dxa"/>
            <w:shd w:val="clear" w:color="auto" w:fill="auto"/>
            <w:vAlign w:val="center"/>
          </w:tcPr>
          <w:p w14:paraId="19B8D5E7" w14:textId="77777777" w:rsidR="00432FCC" w:rsidRDefault="00432FCC" w:rsidP="00432FCC">
            <w:pPr>
              <w:pStyle w:val="TableText"/>
              <w:rPr>
                <w:rFonts w:eastAsia="Symbol"/>
              </w:rPr>
            </w:pPr>
            <w:r>
              <w:t>No</w:t>
            </w:r>
          </w:p>
        </w:tc>
        <w:tc>
          <w:tcPr>
            <w:tcW w:w="4315" w:type="dxa"/>
            <w:shd w:val="clear" w:color="auto" w:fill="auto"/>
            <w:vAlign w:val="center"/>
          </w:tcPr>
          <w:p w14:paraId="62F2BAB5" w14:textId="77777777" w:rsidR="00432FCC" w:rsidRDefault="00432FCC" w:rsidP="00432FCC">
            <w:pPr>
              <w:pStyle w:val="TableText"/>
              <w:rPr>
                <w:rFonts w:eastAsia="Symbol"/>
              </w:rPr>
            </w:pPr>
          </w:p>
        </w:tc>
      </w:tr>
      <w:tr w:rsidR="00432FCC" w14:paraId="4831F528" w14:textId="77777777">
        <w:tc>
          <w:tcPr>
            <w:tcW w:w="1330" w:type="dxa"/>
            <w:shd w:val="clear" w:color="auto" w:fill="auto"/>
            <w:vAlign w:val="center"/>
          </w:tcPr>
          <w:p w14:paraId="16FA190B" w14:textId="77777777" w:rsidR="00432FCC" w:rsidRDefault="00432FCC" w:rsidP="00432FCC">
            <w:pPr>
              <w:pStyle w:val="TableText"/>
              <w:rPr>
                <w:rFonts w:eastAsia="Symbol"/>
              </w:rPr>
            </w:pPr>
            <w:r>
              <w:t>Anti-U</w:t>
            </w:r>
          </w:p>
        </w:tc>
        <w:tc>
          <w:tcPr>
            <w:tcW w:w="1331" w:type="dxa"/>
            <w:shd w:val="clear" w:color="auto" w:fill="auto"/>
            <w:vAlign w:val="center"/>
          </w:tcPr>
          <w:p w14:paraId="139F6615" w14:textId="77777777" w:rsidR="00432FCC" w:rsidRDefault="00432FCC" w:rsidP="00432FCC">
            <w:pPr>
              <w:pStyle w:val="TableText"/>
              <w:rPr>
                <w:b/>
                <w:bCs/>
              </w:rPr>
            </w:pPr>
            <w:r>
              <w:t>Anti-U</w:t>
            </w:r>
          </w:p>
        </w:tc>
        <w:tc>
          <w:tcPr>
            <w:tcW w:w="1053" w:type="dxa"/>
            <w:shd w:val="clear" w:color="auto" w:fill="auto"/>
            <w:vAlign w:val="center"/>
          </w:tcPr>
          <w:p w14:paraId="651BF81D" w14:textId="77777777" w:rsidR="00432FCC" w:rsidRDefault="00432FCC" w:rsidP="00432FCC">
            <w:pPr>
              <w:pStyle w:val="TableText"/>
              <w:rPr>
                <w:b/>
                <w:bCs/>
              </w:rPr>
            </w:pPr>
            <w:r>
              <w:rPr>
                <w:bCs/>
              </w:rPr>
              <w:t>Yes</w:t>
            </w:r>
          </w:p>
        </w:tc>
        <w:tc>
          <w:tcPr>
            <w:tcW w:w="1331" w:type="dxa"/>
            <w:shd w:val="clear" w:color="auto" w:fill="auto"/>
            <w:vAlign w:val="center"/>
          </w:tcPr>
          <w:p w14:paraId="7D0A4B1F" w14:textId="77777777" w:rsidR="00432FCC" w:rsidRDefault="00432FCC" w:rsidP="00432FCC">
            <w:pPr>
              <w:pStyle w:val="TableText"/>
              <w:rPr>
                <w:rFonts w:eastAsia="Symbol"/>
              </w:rPr>
            </w:pPr>
            <w:r>
              <w:t>No</w:t>
            </w:r>
          </w:p>
        </w:tc>
        <w:tc>
          <w:tcPr>
            <w:tcW w:w="4315" w:type="dxa"/>
            <w:shd w:val="clear" w:color="auto" w:fill="auto"/>
            <w:vAlign w:val="center"/>
          </w:tcPr>
          <w:p w14:paraId="0EF0D542" w14:textId="77777777" w:rsidR="00432FCC" w:rsidRDefault="00432FCC" w:rsidP="00432FCC">
            <w:pPr>
              <w:pStyle w:val="TableText"/>
              <w:rPr>
                <w:rFonts w:eastAsia="Symbol"/>
              </w:rPr>
            </w:pPr>
          </w:p>
        </w:tc>
      </w:tr>
      <w:tr w:rsidR="00432FCC" w14:paraId="2F4864A6" w14:textId="77777777">
        <w:tc>
          <w:tcPr>
            <w:tcW w:w="1330" w:type="dxa"/>
            <w:shd w:val="clear" w:color="auto" w:fill="auto"/>
            <w:vAlign w:val="center"/>
          </w:tcPr>
          <w:p w14:paraId="3F96D181" w14:textId="77777777" w:rsidR="00432FCC" w:rsidRDefault="00432FCC" w:rsidP="00432FCC">
            <w:pPr>
              <w:pStyle w:val="TableText"/>
              <w:rPr>
                <w:rFonts w:eastAsia="Symbol"/>
              </w:rPr>
            </w:pPr>
            <w:r>
              <w:t>Anti-P1</w:t>
            </w:r>
          </w:p>
        </w:tc>
        <w:tc>
          <w:tcPr>
            <w:tcW w:w="1331" w:type="dxa"/>
            <w:shd w:val="clear" w:color="auto" w:fill="auto"/>
            <w:vAlign w:val="center"/>
          </w:tcPr>
          <w:p w14:paraId="17F010C4" w14:textId="77777777" w:rsidR="00432FCC" w:rsidRDefault="00432FCC" w:rsidP="00432FCC">
            <w:pPr>
              <w:pStyle w:val="TableText"/>
            </w:pPr>
            <w:r>
              <w:t>Anti-P1</w:t>
            </w:r>
          </w:p>
        </w:tc>
        <w:tc>
          <w:tcPr>
            <w:tcW w:w="1053" w:type="dxa"/>
            <w:shd w:val="clear" w:color="auto" w:fill="auto"/>
            <w:vAlign w:val="center"/>
          </w:tcPr>
          <w:p w14:paraId="6FBFECF1" w14:textId="77777777" w:rsidR="00432FCC" w:rsidRDefault="00432FCC" w:rsidP="00432FCC">
            <w:pPr>
              <w:pStyle w:val="TableText"/>
            </w:pPr>
            <w:r>
              <w:t>No</w:t>
            </w:r>
          </w:p>
        </w:tc>
        <w:tc>
          <w:tcPr>
            <w:tcW w:w="1331" w:type="dxa"/>
            <w:shd w:val="clear" w:color="auto" w:fill="auto"/>
            <w:vAlign w:val="center"/>
          </w:tcPr>
          <w:p w14:paraId="30F1CD2B" w14:textId="77777777" w:rsidR="00432FCC" w:rsidRDefault="00432FCC" w:rsidP="00432FCC">
            <w:pPr>
              <w:pStyle w:val="TableText"/>
              <w:rPr>
                <w:rFonts w:eastAsia="Symbol"/>
              </w:rPr>
            </w:pPr>
            <w:r>
              <w:t>No</w:t>
            </w:r>
          </w:p>
        </w:tc>
        <w:tc>
          <w:tcPr>
            <w:tcW w:w="4315" w:type="dxa"/>
            <w:shd w:val="clear" w:color="auto" w:fill="auto"/>
            <w:vAlign w:val="center"/>
          </w:tcPr>
          <w:p w14:paraId="4758A896" w14:textId="77777777" w:rsidR="00432FCC" w:rsidRDefault="00432FCC" w:rsidP="00432FCC">
            <w:pPr>
              <w:pStyle w:val="TableText"/>
              <w:rPr>
                <w:rFonts w:eastAsia="Symbol"/>
              </w:rPr>
            </w:pPr>
          </w:p>
        </w:tc>
      </w:tr>
      <w:tr w:rsidR="00432FCC" w14:paraId="27116DB1" w14:textId="77777777">
        <w:tc>
          <w:tcPr>
            <w:tcW w:w="1330" w:type="dxa"/>
            <w:shd w:val="clear" w:color="auto" w:fill="auto"/>
            <w:vAlign w:val="center"/>
          </w:tcPr>
          <w:p w14:paraId="074A0C33" w14:textId="77777777" w:rsidR="00432FCC" w:rsidRDefault="00432FCC" w:rsidP="00432FCC">
            <w:pPr>
              <w:pStyle w:val="TableText"/>
              <w:rPr>
                <w:rFonts w:eastAsia="Symbol"/>
              </w:rPr>
            </w:pPr>
            <w:r>
              <w:t>Anti-Le(a)</w:t>
            </w:r>
          </w:p>
        </w:tc>
        <w:tc>
          <w:tcPr>
            <w:tcW w:w="1331" w:type="dxa"/>
            <w:shd w:val="clear" w:color="auto" w:fill="auto"/>
            <w:vAlign w:val="center"/>
          </w:tcPr>
          <w:p w14:paraId="3EC2B67A" w14:textId="77777777" w:rsidR="00432FCC" w:rsidRDefault="00432FCC" w:rsidP="00432FCC">
            <w:pPr>
              <w:pStyle w:val="TableText"/>
              <w:rPr>
                <w:rFonts w:eastAsia="Symbol"/>
              </w:rPr>
            </w:pPr>
            <w:r>
              <w:t>Anti-Le(a)</w:t>
            </w:r>
          </w:p>
        </w:tc>
        <w:tc>
          <w:tcPr>
            <w:tcW w:w="1053" w:type="dxa"/>
            <w:shd w:val="clear" w:color="auto" w:fill="auto"/>
            <w:vAlign w:val="center"/>
          </w:tcPr>
          <w:p w14:paraId="4EDF37C4" w14:textId="77777777" w:rsidR="00432FCC" w:rsidRDefault="00432FCC" w:rsidP="00432FCC">
            <w:pPr>
              <w:pStyle w:val="TableText"/>
            </w:pPr>
            <w:r>
              <w:t>No</w:t>
            </w:r>
          </w:p>
        </w:tc>
        <w:tc>
          <w:tcPr>
            <w:tcW w:w="1331" w:type="dxa"/>
            <w:shd w:val="clear" w:color="auto" w:fill="auto"/>
            <w:vAlign w:val="center"/>
          </w:tcPr>
          <w:p w14:paraId="646B450D" w14:textId="77777777" w:rsidR="00432FCC" w:rsidRDefault="00432FCC" w:rsidP="00432FCC">
            <w:pPr>
              <w:pStyle w:val="TableText"/>
              <w:rPr>
                <w:rFonts w:eastAsia="Symbol"/>
              </w:rPr>
            </w:pPr>
            <w:r>
              <w:t>No</w:t>
            </w:r>
          </w:p>
        </w:tc>
        <w:tc>
          <w:tcPr>
            <w:tcW w:w="4315" w:type="dxa"/>
            <w:shd w:val="clear" w:color="auto" w:fill="auto"/>
            <w:vAlign w:val="center"/>
          </w:tcPr>
          <w:p w14:paraId="0244DE51" w14:textId="77777777" w:rsidR="00432FCC" w:rsidRDefault="00432FCC" w:rsidP="00432FCC">
            <w:pPr>
              <w:pStyle w:val="TableText"/>
              <w:rPr>
                <w:rFonts w:eastAsia="Symbol"/>
              </w:rPr>
            </w:pPr>
          </w:p>
        </w:tc>
      </w:tr>
      <w:tr w:rsidR="00432FCC" w14:paraId="0377B19B" w14:textId="77777777">
        <w:tc>
          <w:tcPr>
            <w:tcW w:w="1330" w:type="dxa"/>
            <w:shd w:val="clear" w:color="auto" w:fill="auto"/>
            <w:vAlign w:val="center"/>
          </w:tcPr>
          <w:p w14:paraId="62A9F5D8" w14:textId="77777777" w:rsidR="00432FCC" w:rsidRDefault="00432FCC" w:rsidP="00432FCC">
            <w:pPr>
              <w:pStyle w:val="TableText"/>
              <w:rPr>
                <w:rFonts w:eastAsia="Symbol"/>
              </w:rPr>
            </w:pPr>
            <w:r>
              <w:t>Anti-Le(b)</w:t>
            </w:r>
          </w:p>
        </w:tc>
        <w:tc>
          <w:tcPr>
            <w:tcW w:w="1331" w:type="dxa"/>
            <w:shd w:val="clear" w:color="auto" w:fill="auto"/>
            <w:vAlign w:val="center"/>
          </w:tcPr>
          <w:p w14:paraId="2D494872" w14:textId="77777777" w:rsidR="00432FCC" w:rsidRDefault="00432FCC" w:rsidP="00432FCC">
            <w:pPr>
              <w:pStyle w:val="TableText"/>
              <w:rPr>
                <w:rFonts w:eastAsia="Symbol"/>
              </w:rPr>
            </w:pPr>
            <w:r>
              <w:t>Anti-Le(b)</w:t>
            </w:r>
          </w:p>
        </w:tc>
        <w:tc>
          <w:tcPr>
            <w:tcW w:w="1053" w:type="dxa"/>
            <w:shd w:val="clear" w:color="auto" w:fill="auto"/>
            <w:vAlign w:val="center"/>
          </w:tcPr>
          <w:p w14:paraId="6F6D033F" w14:textId="77777777" w:rsidR="00432FCC" w:rsidRDefault="00432FCC" w:rsidP="00432FCC">
            <w:pPr>
              <w:pStyle w:val="TableText"/>
            </w:pPr>
            <w:r>
              <w:t>No</w:t>
            </w:r>
          </w:p>
        </w:tc>
        <w:tc>
          <w:tcPr>
            <w:tcW w:w="1331" w:type="dxa"/>
            <w:shd w:val="clear" w:color="auto" w:fill="auto"/>
            <w:vAlign w:val="center"/>
          </w:tcPr>
          <w:p w14:paraId="44226CD1" w14:textId="77777777" w:rsidR="00432FCC" w:rsidRDefault="00432FCC" w:rsidP="00432FCC">
            <w:pPr>
              <w:pStyle w:val="TableText"/>
              <w:rPr>
                <w:rFonts w:eastAsia="Symbol"/>
              </w:rPr>
            </w:pPr>
            <w:r>
              <w:t>No</w:t>
            </w:r>
          </w:p>
        </w:tc>
        <w:tc>
          <w:tcPr>
            <w:tcW w:w="4315" w:type="dxa"/>
            <w:shd w:val="clear" w:color="auto" w:fill="auto"/>
            <w:vAlign w:val="center"/>
          </w:tcPr>
          <w:p w14:paraId="77B55B2C" w14:textId="77777777" w:rsidR="00432FCC" w:rsidRDefault="00432FCC" w:rsidP="00432FCC">
            <w:pPr>
              <w:pStyle w:val="TableText"/>
              <w:rPr>
                <w:rFonts w:eastAsia="Symbol"/>
              </w:rPr>
            </w:pPr>
          </w:p>
        </w:tc>
      </w:tr>
      <w:tr w:rsidR="00432FCC" w14:paraId="29A0A11C" w14:textId="77777777">
        <w:tc>
          <w:tcPr>
            <w:tcW w:w="1330" w:type="dxa"/>
            <w:shd w:val="clear" w:color="auto" w:fill="auto"/>
            <w:vAlign w:val="center"/>
          </w:tcPr>
          <w:p w14:paraId="21E53C49" w14:textId="77777777" w:rsidR="00432FCC" w:rsidRDefault="00432FCC" w:rsidP="00432FCC">
            <w:pPr>
              <w:pStyle w:val="TableText"/>
              <w:rPr>
                <w:rFonts w:eastAsia="Symbol"/>
              </w:rPr>
            </w:pPr>
            <w:r>
              <w:t>Anti-Js(a)</w:t>
            </w:r>
          </w:p>
        </w:tc>
        <w:tc>
          <w:tcPr>
            <w:tcW w:w="1331" w:type="dxa"/>
            <w:shd w:val="clear" w:color="auto" w:fill="auto"/>
            <w:vAlign w:val="center"/>
          </w:tcPr>
          <w:p w14:paraId="7246801A" w14:textId="77777777" w:rsidR="00432FCC" w:rsidRDefault="00432FCC" w:rsidP="00432FCC">
            <w:pPr>
              <w:pStyle w:val="TableText"/>
              <w:rPr>
                <w:rFonts w:eastAsia="Symbol"/>
              </w:rPr>
            </w:pPr>
            <w:r>
              <w:t>Anti-Js(a)</w:t>
            </w:r>
          </w:p>
        </w:tc>
        <w:tc>
          <w:tcPr>
            <w:tcW w:w="1053" w:type="dxa"/>
            <w:shd w:val="clear" w:color="auto" w:fill="auto"/>
            <w:vAlign w:val="center"/>
          </w:tcPr>
          <w:p w14:paraId="15AD5F82" w14:textId="77777777" w:rsidR="00432FCC" w:rsidRDefault="00432FCC" w:rsidP="00432FCC">
            <w:pPr>
              <w:pStyle w:val="TableText"/>
              <w:rPr>
                <w:b/>
                <w:bCs/>
              </w:rPr>
            </w:pPr>
            <w:r>
              <w:rPr>
                <w:bCs/>
              </w:rPr>
              <w:t>Yes</w:t>
            </w:r>
          </w:p>
        </w:tc>
        <w:tc>
          <w:tcPr>
            <w:tcW w:w="1331" w:type="dxa"/>
            <w:shd w:val="clear" w:color="auto" w:fill="auto"/>
            <w:vAlign w:val="center"/>
          </w:tcPr>
          <w:p w14:paraId="3735ADA8" w14:textId="77777777" w:rsidR="00432FCC" w:rsidRDefault="00432FCC" w:rsidP="00432FCC">
            <w:pPr>
              <w:pStyle w:val="TableText"/>
              <w:rPr>
                <w:rFonts w:eastAsia="Symbol"/>
              </w:rPr>
            </w:pPr>
            <w:r>
              <w:t>No</w:t>
            </w:r>
          </w:p>
        </w:tc>
        <w:tc>
          <w:tcPr>
            <w:tcW w:w="4315" w:type="dxa"/>
            <w:shd w:val="clear" w:color="auto" w:fill="auto"/>
            <w:vAlign w:val="center"/>
          </w:tcPr>
          <w:p w14:paraId="2153DF0C" w14:textId="77777777" w:rsidR="00432FCC" w:rsidRDefault="00432FCC" w:rsidP="00432FCC">
            <w:pPr>
              <w:pStyle w:val="TableText"/>
              <w:rPr>
                <w:rFonts w:eastAsia="Symbol"/>
              </w:rPr>
            </w:pPr>
          </w:p>
        </w:tc>
      </w:tr>
      <w:tr w:rsidR="00432FCC" w14:paraId="64BAEDB1" w14:textId="77777777">
        <w:tc>
          <w:tcPr>
            <w:tcW w:w="1330" w:type="dxa"/>
            <w:shd w:val="clear" w:color="auto" w:fill="auto"/>
            <w:vAlign w:val="center"/>
          </w:tcPr>
          <w:p w14:paraId="1251692B" w14:textId="77777777" w:rsidR="00432FCC" w:rsidRDefault="00432FCC" w:rsidP="00432FCC">
            <w:pPr>
              <w:pStyle w:val="TableText"/>
              <w:rPr>
                <w:rFonts w:eastAsia="Symbol"/>
              </w:rPr>
            </w:pPr>
            <w:r>
              <w:t>Anti-Js(b)</w:t>
            </w:r>
          </w:p>
        </w:tc>
        <w:tc>
          <w:tcPr>
            <w:tcW w:w="1331" w:type="dxa"/>
            <w:shd w:val="clear" w:color="auto" w:fill="auto"/>
            <w:vAlign w:val="center"/>
          </w:tcPr>
          <w:p w14:paraId="583C60B9" w14:textId="77777777" w:rsidR="00432FCC" w:rsidRDefault="00432FCC" w:rsidP="00432FCC">
            <w:pPr>
              <w:pStyle w:val="TableText"/>
              <w:rPr>
                <w:rFonts w:eastAsia="Symbol"/>
              </w:rPr>
            </w:pPr>
            <w:r>
              <w:t>Anti-Js(b)</w:t>
            </w:r>
          </w:p>
        </w:tc>
        <w:tc>
          <w:tcPr>
            <w:tcW w:w="1053" w:type="dxa"/>
            <w:shd w:val="clear" w:color="auto" w:fill="auto"/>
            <w:vAlign w:val="center"/>
          </w:tcPr>
          <w:p w14:paraId="1F578BB3" w14:textId="77777777" w:rsidR="00432FCC" w:rsidRDefault="00432FCC" w:rsidP="00432FCC">
            <w:pPr>
              <w:pStyle w:val="TableText"/>
              <w:rPr>
                <w:b/>
                <w:bCs/>
              </w:rPr>
            </w:pPr>
            <w:r>
              <w:rPr>
                <w:bCs/>
              </w:rPr>
              <w:t>Yes</w:t>
            </w:r>
          </w:p>
        </w:tc>
        <w:tc>
          <w:tcPr>
            <w:tcW w:w="1331" w:type="dxa"/>
            <w:shd w:val="clear" w:color="auto" w:fill="auto"/>
            <w:vAlign w:val="center"/>
          </w:tcPr>
          <w:p w14:paraId="7C971A7B" w14:textId="77777777" w:rsidR="00432FCC" w:rsidRDefault="00432FCC" w:rsidP="00432FCC">
            <w:pPr>
              <w:pStyle w:val="TableText"/>
              <w:rPr>
                <w:rFonts w:eastAsia="Symbol"/>
              </w:rPr>
            </w:pPr>
            <w:r>
              <w:t>No</w:t>
            </w:r>
          </w:p>
        </w:tc>
        <w:tc>
          <w:tcPr>
            <w:tcW w:w="4315" w:type="dxa"/>
            <w:shd w:val="clear" w:color="auto" w:fill="auto"/>
            <w:vAlign w:val="center"/>
          </w:tcPr>
          <w:p w14:paraId="4BDFD353" w14:textId="77777777" w:rsidR="00432FCC" w:rsidRDefault="00432FCC" w:rsidP="00432FCC">
            <w:pPr>
              <w:pStyle w:val="TableText"/>
              <w:rPr>
                <w:rFonts w:eastAsia="Symbol"/>
              </w:rPr>
            </w:pPr>
          </w:p>
        </w:tc>
      </w:tr>
      <w:tr w:rsidR="00432FCC" w14:paraId="5D943A75" w14:textId="77777777">
        <w:tc>
          <w:tcPr>
            <w:tcW w:w="1330" w:type="dxa"/>
            <w:shd w:val="clear" w:color="auto" w:fill="auto"/>
            <w:vAlign w:val="center"/>
          </w:tcPr>
          <w:p w14:paraId="723D97A2" w14:textId="77777777" w:rsidR="00432FCC" w:rsidRDefault="00432FCC" w:rsidP="00432FCC">
            <w:pPr>
              <w:pStyle w:val="TableText"/>
              <w:rPr>
                <w:rFonts w:eastAsia="Symbol"/>
              </w:rPr>
            </w:pPr>
            <w:r>
              <w:t>Anti-Lu(a)</w:t>
            </w:r>
          </w:p>
        </w:tc>
        <w:tc>
          <w:tcPr>
            <w:tcW w:w="1331" w:type="dxa"/>
            <w:shd w:val="clear" w:color="auto" w:fill="auto"/>
            <w:vAlign w:val="center"/>
          </w:tcPr>
          <w:p w14:paraId="3FEF171D" w14:textId="77777777" w:rsidR="00432FCC" w:rsidRDefault="00432FCC" w:rsidP="00432FCC">
            <w:pPr>
              <w:pStyle w:val="TableText"/>
            </w:pPr>
            <w:r>
              <w:t>Anti-Lu(a)</w:t>
            </w:r>
          </w:p>
        </w:tc>
        <w:tc>
          <w:tcPr>
            <w:tcW w:w="1053" w:type="dxa"/>
            <w:shd w:val="clear" w:color="auto" w:fill="auto"/>
            <w:vAlign w:val="center"/>
          </w:tcPr>
          <w:p w14:paraId="525697B7" w14:textId="77777777" w:rsidR="00432FCC" w:rsidRDefault="00432FCC" w:rsidP="00432FCC">
            <w:pPr>
              <w:pStyle w:val="TableText"/>
            </w:pPr>
            <w:r>
              <w:t>No</w:t>
            </w:r>
          </w:p>
        </w:tc>
        <w:tc>
          <w:tcPr>
            <w:tcW w:w="1331" w:type="dxa"/>
            <w:shd w:val="clear" w:color="auto" w:fill="auto"/>
            <w:vAlign w:val="center"/>
          </w:tcPr>
          <w:p w14:paraId="5F071BB3" w14:textId="77777777" w:rsidR="00432FCC" w:rsidRDefault="00432FCC" w:rsidP="00432FCC">
            <w:pPr>
              <w:pStyle w:val="TableText"/>
              <w:rPr>
                <w:rFonts w:eastAsia="Symbol"/>
              </w:rPr>
            </w:pPr>
            <w:r>
              <w:t>No</w:t>
            </w:r>
          </w:p>
        </w:tc>
        <w:tc>
          <w:tcPr>
            <w:tcW w:w="4315" w:type="dxa"/>
            <w:shd w:val="clear" w:color="auto" w:fill="auto"/>
            <w:vAlign w:val="center"/>
          </w:tcPr>
          <w:p w14:paraId="2EBE8229" w14:textId="77777777" w:rsidR="00432FCC" w:rsidRDefault="00432FCC" w:rsidP="00432FCC">
            <w:pPr>
              <w:pStyle w:val="TableText"/>
              <w:rPr>
                <w:rFonts w:eastAsia="Symbol"/>
              </w:rPr>
            </w:pPr>
          </w:p>
        </w:tc>
      </w:tr>
      <w:tr w:rsidR="00432FCC" w14:paraId="15EE9629" w14:textId="77777777">
        <w:tc>
          <w:tcPr>
            <w:tcW w:w="1330" w:type="dxa"/>
            <w:shd w:val="clear" w:color="auto" w:fill="auto"/>
            <w:vAlign w:val="center"/>
          </w:tcPr>
          <w:p w14:paraId="1A9372FF" w14:textId="77777777" w:rsidR="00432FCC" w:rsidRDefault="00432FCC" w:rsidP="00432FCC">
            <w:pPr>
              <w:pStyle w:val="TableText"/>
              <w:rPr>
                <w:rFonts w:eastAsia="Symbol"/>
              </w:rPr>
            </w:pPr>
            <w:r>
              <w:t>Anti-Lu(b)</w:t>
            </w:r>
          </w:p>
        </w:tc>
        <w:tc>
          <w:tcPr>
            <w:tcW w:w="1331" w:type="dxa"/>
            <w:shd w:val="clear" w:color="auto" w:fill="auto"/>
            <w:vAlign w:val="center"/>
          </w:tcPr>
          <w:p w14:paraId="25AF67F8" w14:textId="77777777" w:rsidR="00432FCC" w:rsidRDefault="00432FCC" w:rsidP="00432FCC">
            <w:pPr>
              <w:pStyle w:val="TableText"/>
            </w:pPr>
            <w:r>
              <w:t>Anti-Lu(b)</w:t>
            </w:r>
          </w:p>
        </w:tc>
        <w:tc>
          <w:tcPr>
            <w:tcW w:w="1053" w:type="dxa"/>
            <w:shd w:val="clear" w:color="auto" w:fill="auto"/>
            <w:vAlign w:val="center"/>
          </w:tcPr>
          <w:p w14:paraId="55346BEF" w14:textId="77777777" w:rsidR="00432FCC" w:rsidRDefault="00432FCC" w:rsidP="00432FCC">
            <w:pPr>
              <w:pStyle w:val="TableText"/>
            </w:pPr>
            <w:r>
              <w:t>No</w:t>
            </w:r>
          </w:p>
        </w:tc>
        <w:tc>
          <w:tcPr>
            <w:tcW w:w="1331" w:type="dxa"/>
            <w:shd w:val="clear" w:color="auto" w:fill="auto"/>
            <w:vAlign w:val="center"/>
          </w:tcPr>
          <w:p w14:paraId="571D9DAB" w14:textId="77777777" w:rsidR="00432FCC" w:rsidRDefault="00432FCC" w:rsidP="00432FCC">
            <w:pPr>
              <w:pStyle w:val="TableText"/>
              <w:rPr>
                <w:rFonts w:eastAsia="Symbol"/>
              </w:rPr>
            </w:pPr>
            <w:r>
              <w:t>No</w:t>
            </w:r>
          </w:p>
        </w:tc>
        <w:tc>
          <w:tcPr>
            <w:tcW w:w="4315" w:type="dxa"/>
            <w:shd w:val="clear" w:color="auto" w:fill="auto"/>
            <w:vAlign w:val="center"/>
          </w:tcPr>
          <w:p w14:paraId="26368DE7" w14:textId="77777777" w:rsidR="00432FCC" w:rsidRDefault="00432FCC" w:rsidP="00432FCC">
            <w:pPr>
              <w:pStyle w:val="TableText"/>
              <w:rPr>
                <w:rFonts w:eastAsia="Symbol"/>
              </w:rPr>
            </w:pPr>
          </w:p>
        </w:tc>
      </w:tr>
      <w:tr w:rsidR="00432FCC" w14:paraId="0561D482" w14:textId="77777777">
        <w:tc>
          <w:tcPr>
            <w:tcW w:w="1330" w:type="dxa"/>
            <w:shd w:val="clear" w:color="auto" w:fill="auto"/>
            <w:vAlign w:val="center"/>
          </w:tcPr>
          <w:p w14:paraId="7D03620E" w14:textId="77777777" w:rsidR="00432FCC" w:rsidRDefault="00432FCC" w:rsidP="00432FCC">
            <w:pPr>
              <w:pStyle w:val="TableText"/>
              <w:rPr>
                <w:rFonts w:eastAsia="Symbol"/>
              </w:rPr>
            </w:pPr>
            <w:r>
              <w:t>Anti-Lu3</w:t>
            </w:r>
          </w:p>
        </w:tc>
        <w:tc>
          <w:tcPr>
            <w:tcW w:w="1331" w:type="dxa"/>
            <w:shd w:val="clear" w:color="auto" w:fill="auto"/>
            <w:vAlign w:val="center"/>
          </w:tcPr>
          <w:p w14:paraId="05D5B803" w14:textId="77777777" w:rsidR="00432FCC" w:rsidRPr="006E05B3" w:rsidRDefault="00432FCC" w:rsidP="00432FCC">
            <w:pPr>
              <w:pStyle w:val="TableText"/>
              <w:rPr>
                <w:b/>
                <w:lang w:val="fr-FR"/>
              </w:rPr>
            </w:pPr>
            <w:r w:rsidRPr="006E05B3">
              <w:rPr>
                <w:lang w:val="fr-FR"/>
              </w:rPr>
              <w:t>Anti-Lu(a)Lu(b)</w:t>
            </w:r>
          </w:p>
        </w:tc>
        <w:tc>
          <w:tcPr>
            <w:tcW w:w="1053" w:type="dxa"/>
            <w:shd w:val="clear" w:color="auto" w:fill="auto"/>
            <w:vAlign w:val="center"/>
          </w:tcPr>
          <w:p w14:paraId="7301078E" w14:textId="77777777" w:rsidR="00432FCC" w:rsidRDefault="00432FCC" w:rsidP="00432FCC">
            <w:pPr>
              <w:pStyle w:val="TableText"/>
              <w:rPr>
                <w:b/>
              </w:rPr>
            </w:pPr>
            <w:r>
              <w:t>No</w:t>
            </w:r>
          </w:p>
        </w:tc>
        <w:tc>
          <w:tcPr>
            <w:tcW w:w="1331" w:type="dxa"/>
            <w:shd w:val="clear" w:color="auto" w:fill="auto"/>
            <w:vAlign w:val="center"/>
          </w:tcPr>
          <w:p w14:paraId="098BC2D5" w14:textId="77777777" w:rsidR="00432FCC" w:rsidRDefault="00432FCC" w:rsidP="00432FCC">
            <w:pPr>
              <w:pStyle w:val="TableText"/>
              <w:rPr>
                <w:rFonts w:eastAsia="Symbol"/>
              </w:rPr>
            </w:pPr>
            <w:r>
              <w:t>No</w:t>
            </w:r>
          </w:p>
        </w:tc>
        <w:tc>
          <w:tcPr>
            <w:tcW w:w="4315" w:type="dxa"/>
            <w:shd w:val="clear" w:color="auto" w:fill="auto"/>
            <w:vAlign w:val="center"/>
          </w:tcPr>
          <w:p w14:paraId="51BE1CC0" w14:textId="77777777" w:rsidR="00432FCC" w:rsidRDefault="00432FCC" w:rsidP="00432FCC">
            <w:pPr>
              <w:pStyle w:val="TableText"/>
              <w:rPr>
                <w:rFonts w:eastAsia="Symbol"/>
              </w:rPr>
            </w:pPr>
          </w:p>
        </w:tc>
      </w:tr>
      <w:tr w:rsidR="00432FCC" w14:paraId="77E2EC5E" w14:textId="77777777">
        <w:tc>
          <w:tcPr>
            <w:tcW w:w="1330" w:type="dxa"/>
            <w:shd w:val="clear" w:color="auto" w:fill="auto"/>
            <w:vAlign w:val="center"/>
          </w:tcPr>
          <w:p w14:paraId="15224224" w14:textId="77777777" w:rsidR="00432FCC" w:rsidRDefault="00432FCC" w:rsidP="00432FCC">
            <w:pPr>
              <w:pStyle w:val="TableText"/>
              <w:rPr>
                <w:rFonts w:eastAsia="Symbol"/>
              </w:rPr>
            </w:pPr>
            <w:r>
              <w:t>Anti-C(w)</w:t>
            </w:r>
          </w:p>
        </w:tc>
        <w:tc>
          <w:tcPr>
            <w:tcW w:w="1331" w:type="dxa"/>
            <w:shd w:val="clear" w:color="auto" w:fill="auto"/>
            <w:vAlign w:val="center"/>
          </w:tcPr>
          <w:p w14:paraId="5E501A6B" w14:textId="77777777" w:rsidR="00432FCC" w:rsidRDefault="00432FCC" w:rsidP="00432FCC">
            <w:pPr>
              <w:pStyle w:val="TableText"/>
            </w:pPr>
            <w:r>
              <w:t>Anti-Cw</w:t>
            </w:r>
          </w:p>
        </w:tc>
        <w:tc>
          <w:tcPr>
            <w:tcW w:w="1053" w:type="dxa"/>
            <w:shd w:val="clear" w:color="auto" w:fill="auto"/>
            <w:vAlign w:val="center"/>
          </w:tcPr>
          <w:p w14:paraId="421275AE" w14:textId="77777777" w:rsidR="00432FCC" w:rsidRDefault="00432FCC" w:rsidP="00432FCC">
            <w:pPr>
              <w:pStyle w:val="TableText"/>
            </w:pPr>
            <w:r>
              <w:rPr>
                <w:bCs/>
              </w:rPr>
              <w:t>Yes</w:t>
            </w:r>
          </w:p>
        </w:tc>
        <w:tc>
          <w:tcPr>
            <w:tcW w:w="1331" w:type="dxa"/>
            <w:shd w:val="clear" w:color="auto" w:fill="auto"/>
            <w:vAlign w:val="center"/>
          </w:tcPr>
          <w:p w14:paraId="593962E2" w14:textId="77777777" w:rsidR="00432FCC" w:rsidRDefault="00432FCC" w:rsidP="00432FCC">
            <w:pPr>
              <w:pStyle w:val="TableText"/>
              <w:rPr>
                <w:rFonts w:eastAsia="Symbol"/>
              </w:rPr>
            </w:pPr>
            <w:r>
              <w:t>No</w:t>
            </w:r>
          </w:p>
        </w:tc>
        <w:tc>
          <w:tcPr>
            <w:tcW w:w="4315" w:type="dxa"/>
            <w:shd w:val="clear" w:color="auto" w:fill="auto"/>
            <w:vAlign w:val="center"/>
          </w:tcPr>
          <w:p w14:paraId="09936DAB" w14:textId="77777777" w:rsidR="00432FCC" w:rsidRDefault="00432FCC" w:rsidP="00432FCC">
            <w:pPr>
              <w:pStyle w:val="TableText"/>
              <w:rPr>
                <w:rFonts w:eastAsia="Symbol"/>
              </w:rPr>
            </w:pPr>
          </w:p>
        </w:tc>
      </w:tr>
      <w:tr w:rsidR="00432FCC" w14:paraId="2E180A18" w14:textId="77777777">
        <w:tc>
          <w:tcPr>
            <w:tcW w:w="1330" w:type="dxa"/>
            <w:shd w:val="clear" w:color="auto" w:fill="auto"/>
            <w:vAlign w:val="center"/>
          </w:tcPr>
          <w:p w14:paraId="5792DBA4" w14:textId="77777777" w:rsidR="00432FCC" w:rsidRDefault="00432FCC" w:rsidP="00432FCC">
            <w:pPr>
              <w:pStyle w:val="TableText"/>
              <w:rPr>
                <w:rFonts w:eastAsia="Symbol"/>
              </w:rPr>
            </w:pPr>
            <w:r>
              <w:t>Anti-C(x)</w:t>
            </w:r>
          </w:p>
        </w:tc>
        <w:tc>
          <w:tcPr>
            <w:tcW w:w="1331" w:type="dxa"/>
            <w:shd w:val="clear" w:color="auto" w:fill="auto"/>
            <w:vAlign w:val="center"/>
          </w:tcPr>
          <w:p w14:paraId="38010868" w14:textId="77777777" w:rsidR="00432FCC" w:rsidRDefault="00432FCC" w:rsidP="00432FCC">
            <w:pPr>
              <w:pStyle w:val="TableText"/>
              <w:rPr>
                <w:rFonts w:eastAsia="Symbol"/>
              </w:rPr>
            </w:pPr>
            <w:r>
              <w:t>Anti-Cx</w:t>
            </w:r>
          </w:p>
        </w:tc>
        <w:tc>
          <w:tcPr>
            <w:tcW w:w="1053" w:type="dxa"/>
            <w:shd w:val="clear" w:color="auto" w:fill="auto"/>
            <w:vAlign w:val="center"/>
          </w:tcPr>
          <w:p w14:paraId="1AAC51DA" w14:textId="77777777" w:rsidR="00432FCC" w:rsidRDefault="00432FCC" w:rsidP="00432FCC">
            <w:pPr>
              <w:pStyle w:val="TableText"/>
            </w:pPr>
            <w:r>
              <w:rPr>
                <w:bCs/>
              </w:rPr>
              <w:t>Yes</w:t>
            </w:r>
          </w:p>
        </w:tc>
        <w:tc>
          <w:tcPr>
            <w:tcW w:w="1331" w:type="dxa"/>
            <w:shd w:val="clear" w:color="auto" w:fill="auto"/>
            <w:vAlign w:val="center"/>
          </w:tcPr>
          <w:p w14:paraId="5FCCEA64" w14:textId="77777777" w:rsidR="00432FCC" w:rsidRDefault="00432FCC" w:rsidP="00432FCC">
            <w:pPr>
              <w:pStyle w:val="TableText"/>
              <w:rPr>
                <w:rFonts w:eastAsia="Symbol"/>
              </w:rPr>
            </w:pPr>
            <w:r>
              <w:t>No</w:t>
            </w:r>
          </w:p>
        </w:tc>
        <w:tc>
          <w:tcPr>
            <w:tcW w:w="4315" w:type="dxa"/>
            <w:shd w:val="clear" w:color="auto" w:fill="auto"/>
            <w:vAlign w:val="center"/>
          </w:tcPr>
          <w:p w14:paraId="5348E222" w14:textId="77777777" w:rsidR="00432FCC" w:rsidRDefault="00432FCC" w:rsidP="00432FCC">
            <w:pPr>
              <w:pStyle w:val="TableText"/>
              <w:rPr>
                <w:rFonts w:eastAsia="Symbol"/>
              </w:rPr>
            </w:pPr>
          </w:p>
        </w:tc>
      </w:tr>
      <w:tr w:rsidR="00432FCC" w14:paraId="24906BEA" w14:textId="77777777">
        <w:tc>
          <w:tcPr>
            <w:tcW w:w="1330" w:type="dxa"/>
            <w:shd w:val="clear" w:color="auto" w:fill="auto"/>
            <w:vAlign w:val="center"/>
          </w:tcPr>
          <w:p w14:paraId="6B480917" w14:textId="77777777" w:rsidR="00432FCC" w:rsidRDefault="00432FCC" w:rsidP="00432FCC">
            <w:pPr>
              <w:pStyle w:val="TableText"/>
              <w:rPr>
                <w:rFonts w:eastAsia="Symbol"/>
              </w:rPr>
            </w:pPr>
            <w:r>
              <w:t>Anti-E(w)</w:t>
            </w:r>
          </w:p>
        </w:tc>
        <w:tc>
          <w:tcPr>
            <w:tcW w:w="1331" w:type="dxa"/>
            <w:shd w:val="clear" w:color="auto" w:fill="auto"/>
            <w:vAlign w:val="center"/>
          </w:tcPr>
          <w:p w14:paraId="4591B768" w14:textId="77777777" w:rsidR="00432FCC" w:rsidRDefault="00432FCC" w:rsidP="00432FCC">
            <w:pPr>
              <w:pStyle w:val="TableText"/>
              <w:rPr>
                <w:rFonts w:eastAsia="Symbol"/>
              </w:rPr>
            </w:pPr>
            <w:r>
              <w:t>Anti-E(w)</w:t>
            </w:r>
          </w:p>
        </w:tc>
        <w:tc>
          <w:tcPr>
            <w:tcW w:w="1053" w:type="dxa"/>
            <w:shd w:val="clear" w:color="auto" w:fill="auto"/>
            <w:vAlign w:val="center"/>
          </w:tcPr>
          <w:p w14:paraId="0235FAF5" w14:textId="77777777" w:rsidR="00432FCC" w:rsidRDefault="00432FCC" w:rsidP="00432FCC">
            <w:pPr>
              <w:pStyle w:val="TableText"/>
            </w:pPr>
            <w:r>
              <w:rPr>
                <w:bCs/>
              </w:rPr>
              <w:t>Yes</w:t>
            </w:r>
          </w:p>
        </w:tc>
        <w:tc>
          <w:tcPr>
            <w:tcW w:w="1331" w:type="dxa"/>
            <w:shd w:val="clear" w:color="auto" w:fill="auto"/>
            <w:vAlign w:val="center"/>
          </w:tcPr>
          <w:p w14:paraId="6BE94B3D" w14:textId="77777777" w:rsidR="00432FCC" w:rsidRDefault="00432FCC" w:rsidP="00432FCC">
            <w:pPr>
              <w:pStyle w:val="TableText"/>
              <w:rPr>
                <w:rFonts w:eastAsia="Symbol"/>
              </w:rPr>
            </w:pPr>
            <w:r>
              <w:t>No</w:t>
            </w:r>
          </w:p>
        </w:tc>
        <w:tc>
          <w:tcPr>
            <w:tcW w:w="4315" w:type="dxa"/>
            <w:shd w:val="clear" w:color="auto" w:fill="auto"/>
            <w:vAlign w:val="center"/>
          </w:tcPr>
          <w:p w14:paraId="6FF852E1" w14:textId="77777777" w:rsidR="00432FCC" w:rsidRDefault="00432FCC" w:rsidP="00432FCC">
            <w:pPr>
              <w:pStyle w:val="TableText"/>
              <w:rPr>
                <w:rFonts w:eastAsia="Symbol"/>
              </w:rPr>
            </w:pPr>
          </w:p>
        </w:tc>
      </w:tr>
      <w:tr w:rsidR="00432FCC" w14:paraId="244FDE05" w14:textId="77777777">
        <w:tc>
          <w:tcPr>
            <w:tcW w:w="1330" w:type="dxa"/>
            <w:shd w:val="clear" w:color="auto" w:fill="auto"/>
            <w:vAlign w:val="center"/>
          </w:tcPr>
          <w:p w14:paraId="5388B252" w14:textId="77777777" w:rsidR="00432FCC" w:rsidRDefault="00432FCC" w:rsidP="00432FCC">
            <w:pPr>
              <w:pStyle w:val="TableText"/>
              <w:rPr>
                <w:rFonts w:eastAsia="Symbol"/>
              </w:rPr>
            </w:pPr>
            <w:r>
              <w:t>Anti-V</w:t>
            </w:r>
          </w:p>
        </w:tc>
        <w:tc>
          <w:tcPr>
            <w:tcW w:w="1331" w:type="dxa"/>
            <w:shd w:val="clear" w:color="auto" w:fill="auto"/>
            <w:vAlign w:val="center"/>
          </w:tcPr>
          <w:p w14:paraId="3E2DC41D" w14:textId="77777777" w:rsidR="00432FCC" w:rsidRDefault="00432FCC" w:rsidP="00432FCC">
            <w:pPr>
              <w:pStyle w:val="TableText"/>
            </w:pPr>
            <w:r>
              <w:t>Anti-V</w:t>
            </w:r>
          </w:p>
        </w:tc>
        <w:tc>
          <w:tcPr>
            <w:tcW w:w="1053" w:type="dxa"/>
            <w:shd w:val="clear" w:color="auto" w:fill="auto"/>
            <w:vAlign w:val="center"/>
          </w:tcPr>
          <w:p w14:paraId="7CC95B95" w14:textId="77777777" w:rsidR="00432FCC" w:rsidRDefault="00432FCC" w:rsidP="00432FCC">
            <w:pPr>
              <w:pStyle w:val="TableText"/>
            </w:pPr>
            <w:r>
              <w:rPr>
                <w:bCs/>
              </w:rPr>
              <w:t>Yes</w:t>
            </w:r>
          </w:p>
        </w:tc>
        <w:tc>
          <w:tcPr>
            <w:tcW w:w="1331" w:type="dxa"/>
            <w:shd w:val="clear" w:color="auto" w:fill="auto"/>
            <w:vAlign w:val="center"/>
          </w:tcPr>
          <w:p w14:paraId="53CB552B" w14:textId="77777777" w:rsidR="00432FCC" w:rsidRDefault="00432FCC" w:rsidP="00432FCC">
            <w:pPr>
              <w:pStyle w:val="TableText"/>
              <w:rPr>
                <w:rFonts w:eastAsia="Symbol"/>
              </w:rPr>
            </w:pPr>
            <w:r>
              <w:t>No</w:t>
            </w:r>
          </w:p>
        </w:tc>
        <w:tc>
          <w:tcPr>
            <w:tcW w:w="4315" w:type="dxa"/>
            <w:shd w:val="clear" w:color="auto" w:fill="auto"/>
            <w:vAlign w:val="center"/>
          </w:tcPr>
          <w:p w14:paraId="3A8F3E25" w14:textId="77777777" w:rsidR="00432FCC" w:rsidRDefault="00432FCC" w:rsidP="00432FCC">
            <w:pPr>
              <w:pStyle w:val="TableText"/>
              <w:rPr>
                <w:rFonts w:eastAsia="Symbol"/>
              </w:rPr>
            </w:pPr>
          </w:p>
        </w:tc>
      </w:tr>
      <w:tr w:rsidR="00432FCC" w14:paraId="29DAB553" w14:textId="77777777">
        <w:tc>
          <w:tcPr>
            <w:tcW w:w="1330" w:type="dxa"/>
            <w:shd w:val="clear" w:color="auto" w:fill="auto"/>
            <w:vAlign w:val="center"/>
          </w:tcPr>
          <w:p w14:paraId="270531B8" w14:textId="77777777" w:rsidR="00432FCC" w:rsidRDefault="00432FCC" w:rsidP="00432FCC">
            <w:pPr>
              <w:pStyle w:val="TableText"/>
              <w:rPr>
                <w:rFonts w:eastAsia="Symbol"/>
              </w:rPr>
            </w:pPr>
            <w:r>
              <w:t>Anti-Xg(a)</w:t>
            </w:r>
          </w:p>
        </w:tc>
        <w:tc>
          <w:tcPr>
            <w:tcW w:w="1331" w:type="dxa"/>
            <w:shd w:val="clear" w:color="auto" w:fill="auto"/>
            <w:vAlign w:val="center"/>
          </w:tcPr>
          <w:p w14:paraId="0D5139C3" w14:textId="77777777" w:rsidR="00432FCC" w:rsidRDefault="00432FCC" w:rsidP="00432FCC">
            <w:pPr>
              <w:pStyle w:val="TableText"/>
            </w:pPr>
            <w:r>
              <w:t>Anti-Xg(a)</w:t>
            </w:r>
          </w:p>
        </w:tc>
        <w:tc>
          <w:tcPr>
            <w:tcW w:w="1053" w:type="dxa"/>
            <w:shd w:val="clear" w:color="auto" w:fill="auto"/>
            <w:vAlign w:val="center"/>
          </w:tcPr>
          <w:p w14:paraId="0021A01F" w14:textId="77777777" w:rsidR="00432FCC" w:rsidRDefault="00432FCC" w:rsidP="00432FCC">
            <w:pPr>
              <w:pStyle w:val="TableText"/>
            </w:pPr>
            <w:r>
              <w:t>No</w:t>
            </w:r>
          </w:p>
        </w:tc>
        <w:tc>
          <w:tcPr>
            <w:tcW w:w="1331" w:type="dxa"/>
            <w:shd w:val="clear" w:color="auto" w:fill="auto"/>
            <w:vAlign w:val="center"/>
          </w:tcPr>
          <w:p w14:paraId="2508742B" w14:textId="77777777" w:rsidR="00432FCC" w:rsidRDefault="00432FCC" w:rsidP="00432FCC">
            <w:pPr>
              <w:pStyle w:val="TableText"/>
              <w:rPr>
                <w:rFonts w:eastAsia="Symbol"/>
              </w:rPr>
            </w:pPr>
            <w:r>
              <w:t>No</w:t>
            </w:r>
          </w:p>
        </w:tc>
        <w:tc>
          <w:tcPr>
            <w:tcW w:w="4315" w:type="dxa"/>
            <w:shd w:val="clear" w:color="auto" w:fill="auto"/>
            <w:vAlign w:val="center"/>
          </w:tcPr>
          <w:p w14:paraId="505D6439" w14:textId="77777777" w:rsidR="00432FCC" w:rsidRDefault="00432FCC" w:rsidP="00432FCC">
            <w:pPr>
              <w:pStyle w:val="TableText"/>
              <w:rPr>
                <w:rFonts w:eastAsia="Symbol"/>
              </w:rPr>
            </w:pPr>
          </w:p>
        </w:tc>
      </w:tr>
      <w:tr w:rsidR="00432FCC" w14:paraId="3C608747" w14:textId="77777777">
        <w:tc>
          <w:tcPr>
            <w:tcW w:w="1330" w:type="dxa"/>
            <w:shd w:val="clear" w:color="auto" w:fill="auto"/>
            <w:vAlign w:val="center"/>
          </w:tcPr>
          <w:p w14:paraId="466B0A18" w14:textId="77777777" w:rsidR="00432FCC" w:rsidRDefault="00432FCC" w:rsidP="00432FCC">
            <w:pPr>
              <w:pStyle w:val="TableText"/>
              <w:rPr>
                <w:rFonts w:eastAsia="Symbol"/>
              </w:rPr>
            </w:pPr>
            <w:r>
              <w:t>Anti-M(g)</w:t>
            </w:r>
          </w:p>
        </w:tc>
        <w:tc>
          <w:tcPr>
            <w:tcW w:w="1331" w:type="dxa"/>
            <w:shd w:val="clear" w:color="auto" w:fill="auto"/>
            <w:vAlign w:val="center"/>
          </w:tcPr>
          <w:p w14:paraId="136F0580" w14:textId="77777777" w:rsidR="00432FCC" w:rsidRDefault="00432FCC" w:rsidP="00432FCC">
            <w:pPr>
              <w:pStyle w:val="TableText"/>
            </w:pPr>
            <w:r>
              <w:t>Anti-M(g)</w:t>
            </w:r>
          </w:p>
        </w:tc>
        <w:tc>
          <w:tcPr>
            <w:tcW w:w="1053" w:type="dxa"/>
            <w:shd w:val="clear" w:color="auto" w:fill="auto"/>
            <w:vAlign w:val="center"/>
          </w:tcPr>
          <w:p w14:paraId="2532BD9E" w14:textId="77777777" w:rsidR="00432FCC" w:rsidRDefault="00432FCC" w:rsidP="00432FCC">
            <w:pPr>
              <w:pStyle w:val="TableText"/>
            </w:pPr>
            <w:r>
              <w:t>No</w:t>
            </w:r>
          </w:p>
        </w:tc>
        <w:tc>
          <w:tcPr>
            <w:tcW w:w="1331" w:type="dxa"/>
            <w:shd w:val="clear" w:color="auto" w:fill="auto"/>
            <w:vAlign w:val="center"/>
          </w:tcPr>
          <w:p w14:paraId="26A12021" w14:textId="77777777" w:rsidR="00432FCC" w:rsidRDefault="00432FCC" w:rsidP="00432FCC">
            <w:pPr>
              <w:pStyle w:val="TableText"/>
              <w:rPr>
                <w:rFonts w:eastAsia="Symbol"/>
              </w:rPr>
            </w:pPr>
            <w:r>
              <w:t>No</w:t>
            </w:r>
          </w:p>
        </w:tc>
        <w:tc>
          <w:tcPr>
            <w:tcW w:w="4315" w:type="dxa"/>
            <w:shd w:val="clear" w:color="auto" w:fill="auto"/>
            <w:vAlign w:val="center"/>
          </w:tcPr>
          <w:p w14:paraId="0E5A61A4" w14:textId="77777777" w:rsidR="00432FCC" w:rsidRDefault="00432FCC" w:rsidP="00432FCC">
            <w:pPr>
              <w:pStyle w:val="TableText"/>
              <w:rPr>
                <w:rFonts w:eastAsia="Symbol"/>
              </w:rPr>
            </w:pPr>
          </w:p>
        </w:tc>
      </w:tr>
      <w:tr w:rsidR="00432FCC" w14:paraId="6C5353FE" w14:textId="77777777">
        <w:tc>
          <w:tcPr>
            <w:tcW w:w="1330" w:type="dxa"/>
            <w:shd w:val="clear" w:color="auto" w:fill="auto"/>
            <w:vAlign w:val="center"/>
          </w:tcPr>
          <w:p w14:paraId="5E327932" w14:textId="77777777" w:rsidR="00432FCC" w:rsidRDefault="00432FCC" w:rsidP="00432FCC">
            <w:pPr>
              <w:pStyle w:val="TableText"/>
              <w:rPr>
                <w:rFonts w:eastAsia="Symbol"/>
              </w:rPr>
            </w:pPr>
            <w:r>
              <w:t>Anti-Mi(a)</w:t>
            </w:r>
          </w:p>
        </w:tc>
        <w:tc>
          <w:tcPr>
            <w:tcW w:w="1331" w:type="dxa"/>
            <w:shd w:val="clear" w:color="auto" w:fill="auto"/>
            <w:vAlign w:val="center"/>
          </w:tcPr>
          <w:p w14:paraId="51605B2A" w14:textId="77777777" w:rsidR="00432FCC" w:rsidRDefault="00432FCC" w:rsidP="00432FCC">
            <w:pPr>
              <w:pStyle w:val="TableText"/>
            </w:pPr>
            <w:r>
              <w:t>Anti-Mi(a)</w:t>
            </w:r>
          </w:p>
        </w:tc>
        <w:tc>
          <w:tcPr>
            <w:tcW w:w="1053" w:type="dxa"/>
            <w:shd w:val="clear" w:color="auto" w:fill="auto"/>
            <w:vAlign w:val="center"/>
          </w:tcPr>
          <w:p w14:paraId="78963897" w14:textId="77777777" w:rsidR="00432FCC" w:rsidRDefault="00432FCC" w:rsidP="00432FCC">
            <w:pPr>
              <w:pStyle w:val="TableText"/>
            </w:pPr>
            <w:r>
              <w:t>No</w:t>
            </w:r>
          </w:p>
        </w:tc>
        <w:tc>
          <w:tcPr>
            <w:tcW w:w="1331" w:type="dxa"/>
            <w:shd w:val="clear" w:color="auto" w:fill="auto"/>
            <w:vAlign w:val="center"/>
          </w:tcPr>
          <w:p w14:paraId="3605ECFF" w14:textId="77777777" w:rsidR="00432FCC" w:rsidRDefault="00432FCC" w:rsidP="00432FCC">
            <w:pPr>
              <w:pStyle w:val="TableText"/>
              <w:rPr>
                <w:rFonts w:eastAsia="Symbol"/>
              </w:rPr>
            </w:pPr>
            <w:r>
              <w:t>No</w:t>
            </w:r>
          </w:p>
        </w:tc>
        <w:tc>
          <w:tcPr>
            <w:tcW w:w="4315" w:type="dxa"/>
            <w:shd w:val="clear" w:color="auto" w:fill="auto"/>
            <w:vAlign w:val="center"/>
          </w:tcPr>
          <w:p w14:paraId="1C61BB18" w14:textId="77777777" w:rsidR="00432FCC" w:rsidRDefault="00432FCC" w:rsidP="00432FCC">
            <w:pPr>
              <w:pStyle w:val="TableText"/>
              <w:rPr>
                <w:rFonts w:eastAsia="Symbol"/>
              </w:rPr>
            </w:pPr>
          </w:p>
        </w:tc>
      </w:tr>
      <w:tr w:rsidR="00432FCC" w14:paraId="237BBAA0" w14:textId="77777777">
        <w:tc>
          <w:tcPr>
            <w:tcW w:w="1330" w:type="dxa"/>
            <w:shd w:val="clear" w:color="auto" w:fill="auto"/>
            <w:vAlign w:val="center"/>
          </w:tcPr>
          <w:p w14:paraId="53CA3407" w14:textId="77777777" w:rsidR="00432FCC" w:rsidRDefault="00432FCC" w:rsidP="00432FCC">
            <w:pPr>
              <w:pStyle w:val="TableText"/>
              <w:rPr>
                <w:rFonts w:eastAsia="Symbol"/>
              </w:rPr>
            </w:pPr>
            <w:r>
              <w:t>Anti-P</w:t>
            </w:r>
          </w:p>
        </w:tc>
        <w:tc>
          <w:tcPr>
            <w:tcW w:w="1331" w:type="dxa"/>
            <w:shd w:val="clear" w:color="auto" w:fill="auto"/>
            <w:vAlign w:val="center"/>
          </w:tcPr>
          <w:p w14:paraId="0F3ADB05" w14:textId="77777777" w:rsidR="00432FCC" w:rsidRDefault="00432FCC" w:rsidP="00432FCC">
            <w:pPr>
              <w:pStyle w:val="TableText"/>
            </w:pPr>
            <w:r>
              <w:t>Anti-P</w:t>
            </w:r>
          </w:p>
        </w:tc>
        <w:tc>
          <w:tcPr>
            <w:tcW w:w="1053" w:type="dxa"/>
            <w:shd w:val="clear" w:color="auto" w:fill="auto"/>
            <w:vAlign w:val="center"/>
          </w:tcPr>
          <w:p w14:paraId="5FF10690" w14:textId="77777777" w:rsidR="00432FCC" w:rsidRDefault="00432FCC" w:rsidP="00432FCC">
            <w:pPr>
              <w:pStyle w:val="TableText"/>
            </w:pPr>
            <w:r>
              <w:t>No</w:t>
            </w:r>
          </w:p>
        </w:tc>
        <w:tc>
          <w:tcPr>
            <w:tcW w:w="1331" w:type="dxa"/>
            <w:shd w:val="clear" w:color="auto" w:fill="auto"/>
            <w:vAlign w:val="center"/>
          </w:tcPr>
          <w:p w14:paraId="3C95A18C" w14:textId="77777777" w:rsidR="00432FCC" w:rsidRDefault="00432FCC" w:rsidP="00432FCC">
            <w:pPr>
              <w:pStyle w:val="TableText"/>
              <w:rPr>
                <w:rFonts w:eastAsia="Symbol"/>
              </w:rPr>
            </w:pPr>
            <w:r>
              <w:t>No</w:t>
            </w:r>
          </w:p>
        </w:tc>
        <w:tc>
          <w:tcPr>
            <w:tcW w:w="4315" w:type="dxa"/>
            <w:shd w:val="clear" w:color="auto" w:fill="auto"/>
            <w:vAlign w:val="center"/>
          </w:tcPr>
          <w:p w14:paraId="53634C87" w14:textId="77777777" w:rsidR="00432FCC" w:rsidRDefault="00432FCC" w:rsidP="00432FCC">
            <w:pPr>
              <w:pStyle w:val="TableText"/>
              <w:rPr>
                <w:rFonts w:eastAsia="Symbol"/>
              </w:rPr>
            </w:pPr>
          </w:p>
        </w:tc>
      </w:tr>
      <w:tr w:rsidR="00432FCC" w14:paraId="20928266" w14:textId="77777777">
        <w:tc>
          <w:tcPr>
            <w:tcW w:w="1330" w:type="dxa"/>
            <w:shd w:val="clear" w:color="auto" w:fill="auto"/>
            <w:vAlign w:val="center"/>
          </w:tcPr>
          <w:p w14:paraId="5CB34EF6" w14:textId="77777777" w:rsidR="00432FCC" w:rsidRDefault="00432FCC" w:rsidP="00432FCC">
            <w:pPr>
              <w:pStyle w:val="TableText"/>
              <w:rPr>
                <w:rFonts w:eastAsia="Symbol"/>
              </w:rPr>
            </w:pPr>
            <w:r>
              <w:t>Anti-A1</w:t>
            </w:r>
          </w:p>
        </w:tc>
        <w:tc>
          <w:tcPr>
            <w:tcW w:w="1331" w:type="dxa"/>
            <w:shd w:val="clear" w:color="auto" w:fill="auto"/>
            <w:vAlign w:val="center"/>
          </w:tcPr>
          <w:p w14:paraId="65E90E1A" w14:textId="77777777" w:rsidR="00432FCC" w:rsidRDefault="00432FCC" w:rsidP="00432FCC">
            <w:pPr>
              <w:pStyle w:val="TableText"/>
            </w:pPr>
            <w:r>
              <w:t>Anti-A-1</w:t>
            </w:r>
          </w:p>
        </w:tc>
        <w:tc>
          <w:tcPr>
            <w:tcW w:w="1053" w:type="dxa"/>
            <w:shd w:val="clear" w:color="auto" w:fill="auto"/>
            <w:vAlign w:val="center"/>
          </w:tcPr>
          <w:p w14:paraId="38CEFA60" w14:textId="77777777" w:rsidR="00432FCC" w:rsidRDefault="00432FCC" w:rsidP="00432FCC">
            <w:pPr>
              <w:pStyle w:val="TableText"/>
            </w:pPr>
            <w:r>
              <w:t>No</w:t>
            </w:r>
          </w:p>
        </w:tc>
        <w:tc>
          <w:tcPr>
            <w:tcW w:w="1331" w:type="dxa"/>
            <w:shd w:val="clear" w:color="auto" w:fill="auto"/>
            <w:vAlign w:val="center"/>
          </w:tcPr>
          <w:p w14:paraId="7768032C" w14:textId="77777777" w:rsidR="00432FCC" w:rsidRDefault="00432FCC" w:rsidP="00432FCC">
            <w:pPr>
              <w:pStyle w:val="TableText"/>
              <w:rPr>
                <w:rFonts w:eastAsia="Symbol"/>
              </w:rPr>
            </w:pPr>
            <w:r>
              <w:t>No</w:t>
            </w:r>
          </w:p>
        </w:tc>
        <w:tc>
          <w:tcPr>
            <w:tcW w:w="4315" w:type="dxa"/>
            <w:shd w:val="clear" w:color="auto" w:fill="auto"/>
            <w:vAlign w:val="center"/>
          </w:tcPr>
          <w:p w14:paraId="6C4EA811" w14:textId="77777777" w:rsidR="00432FCC" w:rsidRDefault="00432FCC" w:rsidP="00432FCC">
            <w:pPr>
              <w:pStyle w:val="TableText"/>
              <w:rPr>
                <w:rFonts w:eastAsia="Symbol"/>
              </w:rPr>
            </w:pPr>
          </w:p>
        </w:tc>
      </w:tr>
      <w:tr w:rsidR="00432FCC" w14:paraId="3A09738E" w14:textId="77777777">
        <w:tc>
          <w:tcPr>
            <w:tcW w:w="1330" w:type="dxa"/>
            <w:shd w:val="clear" w:color="auto" w:fill="auto"/>
            <w:vAlign w:val="center"/>
          </w:tcPr>
          <w:p w14:paraId="2FA13E06" w14:textId="77777777" w:rsidR="00432FCC" w:rsidRDefault="00432FCC" w:rsidP="00432FCC">
            <w:pPr>
              <w:pStyle w:val="TableText"/>
              <w:rPr>
                <w:rFonts w:eastAsia="Symbol"/>
              </w:rPr>
            </w:pPr>
            <w:r>
              <w:t>Anti-H</w:t>
            </w:r>
          </w:p>
        </w:tc>
        <w:tc>
          <w:tcPr>
            <w:tcW w:w="1331" w:type="dxa"/>
            <w:shd w:val="clear" w:color="auto" w:fill="auto"/>
            <w:vAlign w:val="center"/>
          </w:tcPr>
          <w:p w14:paraId="57D54425" w14:textId="77777777" w:rsidR="00432FCC" w:rsidRDefault="00432FCC" w:rsidP="00432FCC">
            <w:pPr>
              <w:pStyle w:val="TableText"/>
              <w:rPr>
                <w:rFonts w:eastAsia="Symbol"/>
              </w:rPr>
            </w:pPr>
            <w:r>
              <w:t>Anti-H</w:t>
            </w:r>
          </w:p>
        </w:tc>
        <w:tc>
          <w:tcPr>
            <w:tcW w:w="1053" w:type="dxa"/>
            <w:shd w:val="clear" w:color="auto" w:fill="auto"/>
            <w:vAlign w:val="center"/>
          </w:tcPr>
          <w:p w14:paraId="2BA422B9" w14:textId="77777777" w:rsidR="00432FCC" w:rsidRDefault="00432FCC" w:rsidP="00432FCC">
            <w:pPr>
              <w:pStyle w:val="TableText"/>
            </w:pPr>
            <w:r>
              <w:t>No</w:t>
            </w:r>
          </w:p>
        </w:tc>
        <w:tc>
          <w:tcPr>
            <w:tcW w:w="1331" w:type="dxa"/>
            <w:shd w:val="clear" w:color="auto" w:fill="auto"/>
            <w:vAlign w:val="center"/>
          </w:tcPr>
          <w:p w14:paraId="52D4E088" w14:textId="77777777" w:rsidR="00432FCC" w:rsidRDefault="00432FCC" w:rsidP="00432FCC">
            <w:pPr>
              <w:pStyle w:val="TableText"/>
              <w:rPr>
                <w:rFonts w:eastAsia="Symbol"/>
              </w:rPr>
            </w:pPr>
            <w:r>
              <w:t>No</w:t>
            </w:r>
          </w:p>
        </w:tc>
        <w:tc>
          <w:tcPr>
            <w:tcW w:w="4315" w:type="dxa"/>
            <w:shd w:val="clear" w:color="auto" w:fill="auto"/>
            <w:vAlign w:val="center"/>
          </w:tcPr>
          <w:p w14:paraId="4BB6ACA1" w14:textId="77777777" w:rsidR="00432FCC" w:rsidRDefault="00432FCC" w:rsidP="00432FCC">
            <w:pPr>
              <w:pStyle w:val="TableText"/>
              <w:rPr>
                <w:rFonts w:eastAsia="Symbol"/>
              </w:rPr>
            </w:pPr>
          </w:p>
        </w:tc>
      </w:tr>
      <w:tr w:rsidR="00432FCC" w14:paraId="268810BC" w14:textId="77777777">
        <w:tc>
          <w:tcPr>
            <w:tcW w:w="1330" w:type="dxa"/>
            <w:shd w:val="clear" w:color="auto" w:fill="auto"/>
            <w:vAlign w:val="center"/>
          </w:tcPr>
          <w:p w14:paraId="17A2EAFA" w14:textId="77777777" w:rsidR="00432FCC" w:rsidRDefault="00432FCC" w:rsidP="00432FCC">
            <w:pPr>
              <w:pStyle w:val="TableText"/>
              <w:rPr>
                <w:rFonts w:eastAsia="Symbol"/>
              </w:rPr>
            </w:pPr>
            <w:r>
              <w:t>Anti-Le(ab)</w:t>
            </w:r>
          </w:p>
        </w:tc>
        <w:tc>
          <w:tcPr>
            <w:tcW w:w="1331" w:type="dxa"/>
            <w:shd w:val="clear" w:color="auto" w:fill="auto"/>
            <w:vAlign w:val="center"/>
          </w:tcPr>
          <w:p w14:paraId="601D2ADF" w14:textId="77777777" w:rsidR="00432FCC" w:rsidRDefault="00432FCC" w:rsidP="00432FCC">
            <w:pPr>
              <w:pStyle w:val="TableText"/>
            </w:pPr>
            <w:r>
              <w:t>Anti-Le(x)</w:t>
            </w:r>
          </w:p>
        </w:tc>
        <w:tc>
          <w:tcPr>
            <w:tcW w:w="1053" w:type="dxa"/>
            <w:shd w:val="clear" w:color="auto" w:fill="auto"/>
            <w:vAlign w:val="center"/>
          </w:tcPr>
          <w:p w14:paraId="5A0293BD" w14:textId="77777777" w:rsidR="00432FCC" w:rsidRDefault="00432FCC" w:rsidP="00432FCC">
            <w:pPr>
              <w:pStyle w:val="TableText"/>
            </w:pPr>
            <w:r>
              <w:t>No</w:t>
            </w:r>
          </w:p>
        </w:tc>
        <w:tc>
          <w:tcPr>
            <w:tcW w:w="1331" w:type="dxa"/>
            <w:shd w:val="clear" w:color="auto" w:fill="auto"/>
            <w:vAlign w:val="center"/>
          </w:tcPr>
          <w:p w14:paraId="2FEA94A0" w14:textId="77777777" w:rsidR="00432FCC" w:rsidRDefault="00432FCC" w:rsidP="00432FCC">
            <w:pPr>
              <w:pStyle w:val="TableText"/>
              <w:rPr>
                <w:rFonts w:eastAsia="Symbol"/>
              </w:rPr>
            </w:pPr>
            <w:r>
              <w:t>No</w:t>
            </w:r>
          </w:p>
        </w:tc>
        <w:tc>
          <w:tcPr>
            <w:tcW w:w="4315" w:type="dxa"/>
            <w:shd w:val="clear" w:color="auto" w:fill="auto"/>
            <w:vAlign w:val="center"/>
          </w:tcPr>
          <w:p w14:paraId="5554853B" w14:textId="77777777" w:rsidR="00432FCC" w:rsidRDefault="00432FCC" w:rsidP="00432FCC">
            <w:pPr>
              <w:pStyle w:val="TableText"/>
              <w:rPr>
                <w:rFonts w:eastAsia="Symbol"/>
              </w:rPr>
            </w:pPr>
          </w:p>
        </w:tc>
      </w:tr>
      <w:tr w:rsidR="00432FCC" w14:paraId="31F6FEE5" w14:textId="77777777">
        <w:tc>
          <w:tcPr>
            <w:tcW w:w="1330" w:type="dxa"/>
            <w:shd w:val="clear" w:color="auto" w:fill="auto"/>
            <w:vAlign w:val="center"/>
          </w:tcPr>
          <w:p w14:paraId="4CF6D024" w14:textId="77777777" w:rsidR="00432FCC" w:rsidRDefault="00432FCC" w:rsidP="00432FCC">
            <w:pPr>
              <w:pStyle w:val="TableText"/>
              <w:rPr>
                <w:rFonts w:eastAsia="Symbol"/>
              </w:rPr>
            </w:pPr>
            <w:r>
              <w:t>Anti-Di(a)</w:t>
            </w:r>
          </w:p>
        </w:tc>
        <w:tc>
          <w:tcPr>
            <w:tcW w:w="1331" w:type="dxa"/>
            <w:shd w:val="clear" w:color="auto" w:fill="auto"/>
            <w:vAlign w:val="center"/>
          </w:tcPr>
          <w:p w14:paraId="339BD8BC" w14:textId="77777777" w:rsidR="00432FCC" w:rsidRDefault="00432FCC" w:rsidP="00432FCC">
            <w:pPr>
              <w:pStyle w:val="TableText"/>
              <w:rPr>
                <w:rFonts w:eastAsia="Symbol"/>
              </w:rPr>
            </w:pPr>
            <w:r>
              <w:t>Anti-Di(a)</w:t>
            </w:r>
          </w:p>
        </w:tc>
        <w:tc>
          <w:tcPr>
            <w:tcW w:w="1053" w:type="dxa"/>
            <w:shd w:val="clear" w:color="auto" w:fill="auto"/>
            <w:vAlign w:val="center"/>
          </w:tcPr>
          <w:p w14:paraId="7CD66E19" w14:textId="77777777" w:rsidR="00432FCC" w:rsidRDefault="00432FCC" w:rsidP="00432FCC">
            <w:pPr>
              <w:pStyle w:val="TableText"/>
            </w:pPr>
            <w:r>
              <w:t>No</w:t>
            </w:r>
          </w:p>
        </w:tc>
        <w:tc>
          <w:tcPr>
            <w:tcW w:w="1331" w:type="dxa"/>
            <w:shd w:val="clear" w:color="auto" w:fill="auto"/>
            <w:vAlign w:val="center"/>
          </w:tcPr>
          <w:p w14:paraId="494AB210" w14:textId="77777777" w:rsidR="00432FCC" w:rsidRDefault="00432FCC" w:rsidP="00432FCC">
            <w:pPr>
              <w:pStyle w:val="TableText"/>
              <w:rPr>
                <w:rFonts w:eastAsia="Symbol"/>
              </w:rPr>
            </w:pPr>
            <w:r>
              <w:t>No</w:t>
            </w:r>
          </w:p>
        </w:tc>
        <w:tc>
          <w:tcPr>
            <w:tcW w:w="4315" w:type="dxa"/>
            <w:shd w:val="clear" w:color="auto" w:fill="auto"/>
            <w:vAlign w:val="center"/>
          </w:tcPr>
          <w:p w14:paraId="519DE8C0" w14:textId="77777777" w:rsidR="00432FCC" w:rsidRDefault="00432FCC" w:rsidP="00432FCC">
            <w:pPr>
              <w:pStyle w:val="TableText"/>
              <w:rPr>
                <w:rFonts w:eastAsia="Symbol"/>
              </w:rPr>
            </w:pPr>
          </w:p>
        </w:tc>
      </w:tr>
      <w:tr w:rsidR="00432FCC" w14:paraId="54C2C607" w14:textId="77777777">
        <w:tc>
          <w:tcPr>
            <w:tcW w:w="1330" w:type="dxa"/>
            <w:shd w:val="clear" w:color="auto" w:fill="auto"/>
            <w:vAlign w:val="center"/>
          </w:tcPr>
          <w:p w14:paraId="6B9D554E" w14:textId="77777777" w:rsidR="00432FCC" w:rsidRDefault="00432FCC" w:rsidP="00432FCC">
            <w:pPr>
              <w:pStyle w:val="TableText"/>
              <w:rPr>
                <w:rFonts w:eastAsia="Symbol"/>
              </w:rPr>
            </w:pPr>
            <w:r>
              <w:t>Anti-Di(b)</w:t>
            </w:r>
          </w:p>
        </w:tc>
        <w:tc>
          <w:tcPr>
            <w:tcW w:w="1331" w:type="dxa"/>
            <w:shd w:val="clear" w:color="auto" w:fill="auto"/>
            <w:vAlign w:val="center"/>
          </w:tcPr>
          <w:p w14:paraId="0DDE816F" w14:textId="77777777" w:rsidR="00432FCC" w:rsidRDefault="00432FCC" w:rsidP="00432FCC">
            <w:pPr>
              <w:pStyle w:val="TableText"/>
              <w:rPr>
                <w:rFonts w:eastAsia="Symbol"/>
              </w:rPr>
            </w:pPr>
            <w:r>
              <w:t>Anti-Di(b)</w:t>
            </w:r>
          </w:p>
        </w:tc>
        <w:tc>
          <w:tcPr>
            <w:tcW w:w="1053" w:type="dxa"/>
            <w:shd w:val="clear" w:color="auto" w:fill="auto"/>
            <w:vAlign w:val="center"/>
          </w:tcPr>
          <w:p w14:paraId="2C18289C" w14:textId="77777777" w:rsidR="00432FCC" w:rsidRDefault="00432FCC" w:rsidP="00432FCC">
            <w:pPr>
              <w:pStyle w:val="TableText"/>
            </w:pPr>
            <w:r>
              <w:t>No</w:t>
            </w:r>
          </w:p>
        </w:tc>
        <w:tc>
          <w:tcPr>
            <w:tcW w:w="1331" w:type="dxa"/>
            <w:shd w:val="clear" w:color="auto" w:fill="auto"/>
            <w:vAlign w:val="center"/>
          </w:tcPr>
          <w:p w14:paraId="35DAC5BC" w14:textId="77777777" w:rsidR="00432FCC" w:rsidRDefault="00432FCC" w:rsidP="00432FCC">
            <w:pPr>
              <w:pStyle w:val="TableText"/>
              <w:rPr>
                <w:rFonts w:eastAsia="Symbol"/>
              </w:rPr>
            </w:pPr>
            <w:r>
              <w:t>No</w:t>
            </w:r>
          </w:p>
        </w:tc>
        <w:tc>
          <w:tcPr>
            <w:tcW w:w="4315" w:type="dxa"/>
            <w:shd w:val="clear" w:color="auto" w:fill="auto"/>
            <w:vAlign w:val="center"/>
          </w:tcPr>
          <w:p w14:paraId="24E087B4" w14:textId="77777777" w:rsidR="00432FCC" w:rsidRDefault="00432FCC" w:rsidP="00432FCC">
            <w:pPr>
              <w:pStyle w:val="TableText"/>
              <w:rPr>
                <w:rFonts w:eastAsia="Symbol"/>
              </w:rPr>
            </w:pPr>
          </w:p>
        </w:tc>
      </w:tr>
      <w:tr w:rsidR="00432FCC" w14:paraId="74E34594" w14:textId="77777777">
        <w:tc>
          <w:tcPr>
            <w:tcW w:w="1330" w:type="dxa"/>
            <w:shd w:val="clear" w:color="auto" w:fill="auto"/>
            <w:vAlign w:val="center"/>
          </w:tcPr>
          <w:p w14:paraId="4F33D8E1" w14:textId="77777777" w:rsidR="00432FCC" w:rsidRDefault="00432FCC" w:rsidP="00432FCC">
            <w:pPr>
              <w:pStyle w:val="TableText"/>
              <w:rPr>
                <w:rFonts w:eastAsia="Symbol"/>
              </w:rPr>
            </w:pPr>
            <w:r>
              <w:t>Anti-Do(a)</w:t>
            </w:r>
          </w:p>
        </w:tc>
        <w:tc>
          <w:tcPr>
            <w:tcW w:w="1331" w:type="dxa"/>
            <w:shd w:val="clear" w:color="auto" w:fill="auto"/>
            <w:vAlign w:val="center"/>
          </w:tcPr>
          <w:p w14:paraId="1313FD84" w14:textId="77777777" w:rsidR="00432FCC" w:rsidRDefault="00432FCC" w:rsidP="00432FCC">
            <w:pPr>
              <w:pStyle w:val="TableText"/>
              <w:rPr>
                <w:rFonts w:eastAsia="Symbol"/>
              </w:rPr>
            </w:pPr>
            <w:r>
              <w:t>Anti-Do(a)</w:t>
            </w:r>
          </w:p>
        </w:tc>
        <w:tc>
          <w:tcPr>
            <w:tcW w:w="1053" w:type="dxa"/>
            <w:shd w:val="clear" w:color="auto" w:fill="auto"/>
            <w:vAlign w:val="center"/>
          </w:tcPr>
          <w:p w14:paraId="00F17943" w14:textId="77777777" w:rsidR="00432FCC" w:rsidRDefault="00432FCC" w:rsidP="00432FCC">
            <w:pPr>
              <w:pStyle w:val="TableText"/>
            </w:pPr>
            <w:r>
              <w:t>No</w:t>
            </w:r>
          </w:p>
        </w:tc>
        <w:tc>
          <w:tcPr>
            <w:tcW w:w="1331" w:type="dxa"/>
            <w:shd w:val="clear" w:color="auto" w:fill="auto"/>
            <w:vAlign w:val="center"/>
          </w:tcPr>
          <w:p w14:paraId="4AC5BDAE" w14:textId="77777777" w:rsidR="00432FCC" w:rsidRDefault="00432FCC" w:rsidP="00432FCC">
            <w:pPr>
              <w:pStyle w:val="TableText"/>
              <w:rPr>
                <w:rFonts w:eastAsia="Symbol"/>
              </w:rPr>
            </w:pPr>
            <w:r>
              <w:t>No</w:t>
            </w:r>
          </w:p>
        </w:tc>
        <w:tc>
          <w:tcPr>
            <w:tcW w:w="4315" w:type="dxa"/>
            <w:shd w:val="clear" w:color="auto" w:fill="auto"/>
            <w:vAlign w:val="center"/>
          </w:tcPr>
          <w:p w14:paraId="1F0A9AD9" w14:textId="77777777" w:rsidR="00432FCC" w:rsidRDefault="00432FCC" w:rsidP="00432FCC">
            <w:pPr>
              <w:pStyle w:val="TableText"/>
            </w:pPr>
          </w:p>
        </w:tc>
      </w:tr>
      <w:tr w:rsidR="00432FCC" w14:paraId="263040EC" w14:textId="77777777">
        <w:tc>
          <w:tcPr>
            <w:tcW w:w="1330" w:type="dxa"/>
            <w:shd w:val="clear" w:color="auto" w:fill="auto"/>
            <w:vAlign w:val="center"/>
          </w:tcPr>
          <w:p w14:paraId="4DF13B4C" w14:textId="77777777" w:rsidR="00432FCC" w:rsidRDefault="00432FCC" w:rsidP="00432FCC">
            <w:pPr>
              <w:pStyle w:val="TableText"/>
              <w:rPr>
                <w:rFonts w:eastAsia="Symbol"/>
              </w:rPr>
            </w:pPr>
            <w:r>
              <w:t>Anti-Do(b)</w:t>
            </w:r>
          </w:p>
        </w:tc>
        <w:tc>
          <w:tcPr>
            <w:tcW w:w="1331" w:type="dxa"/>
            <w:shd w:val="clear" w:color="auto" w:fill="auto"/>
            <w:vAlign w:val="center"/>
          </w:tcPr>
          <w:p w14:paraId="3A7CA841" w14:textId="77777777" w:rsidR="00432FCC" w:rsidRDefault="00432FCC" w:rsidP="00432FCC">
            <w:pPr>
              <w:pStyle w:val="TableText"/>
              <w:rPr>
                <w:rFonts w:eastAsia="Symbol"/>
              </w:rPr>
            </w:pPr>
            <w:r>
              <w:t>None</w:t>
            </w:r>
          </w:p>
        </w:tc>
        <w:tc>
          <w:tcPr>
            <w:tcW w:w="1053" w:type="dxa"/>
            <w:shd w:val="clear" w:color="auto" w:fill="auto"/>
            <w:vAlign w:val="center"/>
          </w:tcPr>
          <w:p w14:paraId="5B4F90B1" w14:textId="77777777" w:rsidR="00432FCC" w:rsidRDefault="00432FCC" w:rsidP="00432FCC">
            <w:pPr>
              <w:pStyle w:val="TableText"/>
            </w:pPr>
            <w:r>
              <w:t>No</w:t>
            </w:r>
          </w:p>
        </w:tc>
        <w:tc>
          <w:tcPr>
            <w:tcW w:w="1331" w:type="dxa"/>
            <w:shd w:val="clear" w:color="auto" w:fill="auto"/>
            <w:vAlign w:val="center"/>
          </w:tcPr>
          <w:p w14:paraId="166EB04B" w14:textId="77777777" w:rsidR="00432FCC" w:rsidRDefault="00432FCC" w:rsidP="00432FCC">
            <w:pPr>
              <w:pStyle w:val="TableText"/>
              <w:rPr>
                <w:rFonts w:eastAsia="Symbol"/>
              </w:rPr>
            </w:pPr>
            <w:r>
              <w:t>No</w:t>
            </w:r>
          </w:p>
        </w:tc>
        <w:tc>
          <w:tcPr>
            <w:tcW w:w="4315" w:type="dxa"/>
            <w:shd w:val="clear" w:color="auto" w:fill="auto"/>
            <w:vAlign w:val="center"/>
          </w:tcPr>
          <w:p w14:paraId="2F6DE67E" w14:textId="77777777" w:rsidR="00432FCC" w:rsidRDefault="00432FCC" w:rsidP="00432FCC">
            <w:pPr>
              <w:pStyle w:val="TableText"/>
            </w:pPr>
          </w:p>
        </w:tc>
      </w:tr>
      <w:tr w:rsidR="00432FCC" w14:paraId="3783B6D0" w14:textId="77777777">
        <w:tc>
          <w:tcPr>
            <w:tcW w:w="1330" w:type="dxa"/>
            <w:shd w:val="clear" w:color="auto" w:fill="auto"/>
            <w:vAlign w:val="center"/>
          </w:tcPr>
          <w:p w14:paraId="24376CB6" w14:textId="77777777" w:rsidR="00432FCC" w:rsidRDefault="00432FCC" w:rsidP="00432FCC">
            <w:pPr>
              <w:pStyle w:val="TableText"/>
              <w:rPr>
                <w:rFonts w:eastAsia="Symbol"/>
              </w:rPr>
            </w:pPr>
            <w:r>
              <w:t>Anti-Co(a)</w:t>
            </w:r>
          </w:p>
        </w:tc>
        <w:tc>
          <w:tcPr>
            <w:tcW w:w="1331" w:type="dxa"/>
            <w:shd w:val="clear" w:color="auto" w:fill="auto"/>
            <w:vAlign w:val="center"/>
          </w:tcPr>
          <w:p w14:paraId="7D5246D3" w14:textId="77777777" w:rsidR="00432FCC" w:rsidRDefault="00432FCC" w:rsidP="00432FCC">
            <w:pPr>
              <w:pStyle w:val="TableText"/>
              <w:rPr>
                <w:rFonts w:eastAsia="Symbol"/>
              </w:rPr>
            </w:pPr>
            <w:r>
              <w:t>None</w:t>
            </w:r>
          </w:p>
        </w:tc>
        <w:tc>
          <w:tcPr>
            <w:tcW w:w="1053" w:type="dxa"/>
            <w:shd w:val="clear" w:color="auto" w:fill="auto"/>
            <w:vAlign w:val="center"/>
          </w:tcPr>
          <w:p w14:paraId="5873FC25" w14:textId="77777777" w:rsidR="00432FCC" w:rsidRDefault="00432FCC" w:rsidP="00432FCC">
            <w:pPr>
              <w:pStyle w:val="TableText"/>
            </w:pPr>
            <w:r>
              <w:t>No</w:t>
            </w:r>
          </w:p>
        </w:tc>
        <w:tc>
          <w:tcPr>
            <w:tcW w:w="1331" w:type="dxa"/>
            <w:shd w:val="clear" w:color="auto" w:fill="auto"/>
            <w:vAlign w:val="center"/>
          </w:tcPr>
          <w:p w14:paraId="749CFC11" w14:textId="77777777" w:rsidR="00432FCC" w:rsidRDefault="00432FCC" w:rsidP="00432FCC">
            <w:pPr>
              <w:pStyle w:val="TableText"/>
              <w:rPr>
                <w:rFonts w:eastAsia="Symbol"/>
              </w:rPr>
            </w:pPr>
            <w:r>
              <w:t>No</w:t>
            </w:r>
          </w:p>
        </w:tc>
        <w:tc>
          <w:tcPr>
            <w:tcW w:w="4315" w:type="dxa"/>
            <w:shd w:val="clear" w:color="auto" w:fill="auto"/>
            <w:vAlign w:val="center"/>
          </w:tcPr>
          <w:p w14:paraId="457F1635" w14:textId="77777777" w:rsidR="00432FCC" w:rsidRDefault="00432FCC" w:rsidP="00432FCC">
            <w:pPr>
              <w:pStyle w:val="TableText"/>
            </w:pPr>
          </w:p>
        </w:tc>
      </w:tr>
      <w:tr w:rsidR="00432FCC" w14:paraId="74C605E6" w14:textId="77777777">
        <w:tc>
          <w:tcPr>
            <w:tcW w:w="1330" w:type="dxa"/>
            <w:shd w:val="clear" w:color="auto" w:fill="auto"/>
            <w:vAlign w:val="center"/>
          </w:tcPr>
          <w:p w14:paraId="53090EF2" w14:textId="77777777" w:rsidR="00432FCC" w:rsidRDefault="00432FCC" w:rsidP="00432FCC">
            <w:pPr>
              <w:pStyle w:val="TableText"/>
              <w:rPr>
                <w:rFonts w:eastAsia="Symbol"/>
              </w:rPr>
            </w:pPr>
            <w:r>
              <w:t>Anti-Co(b)</w:t>
            </w:r>
          </w:p>
        </w:tc>
        <w:tc>
          <w:tcPr>
            <w:tcW w:w="1331" w:type="dxa"/>
            <w:shd w:val="clear" w:color="auto" w:fill="auto"/>
            <w:vAlign w:val="center"/>
          </w:tcPr>
          <w:p w14:paraId="1D8F3B66" w14:textId="77777777" w:rsidR="00432FCC" w:rsidRDefault="00432FCC" w:rsidP="00432FCC">
            <w:pPr>
              <w:pStyle w:val="TableText"/>
              <w:rPr>
                <w:rFonts w:eastAsia="Symbol"/>
              </w:rPr>
            </w:pPr>
            <w:r>
              <w:t>None</w:t>
            </w:r>
          </w:p>
        </w:tc>
        <w:tc>
          <w:tcPr>
            <w:tcW w:w="1053" w:type="dxa"/>
            <w:shd w:val="clear" w:color="auto" w:fill="auto"/>
            <w:vAlign w:val="center"/>
          </w:tcPr>
          <w:p w14:paraId="1AE67799" w14:textId="77777777" w:rsidR="00432FCC" w:rsidRDefault="00432FCC" w:rsidP="00432FCC">
            <w:pPr>
              <w:pStyle w:val="TableText"/>
            </w:pPr>
            <w:r>
              <w:t>No</w:t>
            </w:r>
          </w:p>
        </w:tc>
        <w:tc>
          <w:tcPr>
            <w:tcW w:w="1331" w:type="dxa"/>
            <w:shd w:val="clear" w:color="auto" w:fill="auto"/>
            <w:vAlign w:val="center"/>
          </w:tcPr>
          <w:p w14:paraId="1686DD42" w14:textId="77777777" w:rsidR="00432FCC" w:rsidRDefault="00432FCC" w:rsidP="00432FCC">
            <w:pPr>
              <w:pStyle w:val="TableText"/>
              <w:rPr>
                <w:rFonts w:eastAsia="Symbol"/>
              </w:rPr>
            </w:pPr>
            <w:r>
              <w:t>No</w:t>
            </w:r>
          </w:p>
        </w:tc>
        <w:tc>
          <w:tcPr>
            <w:tcW w:w="4315" w:type="dxa"/>
            <w:shd w:val="clear" w:color="auto" w:fill="auto"/>
            <w:vAlign w:val="center"/>
          </w:tcPr>
          <w:p w14:paraId="4EE2FB0D" w14:textId="77777777" w:rsidR="00432FCC" w:rsidRDefault="00432FCC" w:rsidP="00432FCC">
            <w:pPr>
              <w:pStyle w:val="TableText"/>
            </w:pPr>
          </w:p>
        </w:tc>
      </w:tr>
      <w:tr w:rsidR="00432FCC" w14:paraId="3DD97EE7" w14:textId="77777777">
        <w:tc>
          <w:tcPr>
            <w:tcW w:w="1330" w:type="dxa"/>
            <w:shd w:val="clear" w:color="auto" w:fill="auto"/>
            <w:vAlign w:val="center"/>
          </w:tcPr>
          <w:p w14:paraId="6BDD4323" w14:textId="77777777" w:rsidR="00432FCC" w:rsidRDefault="00432FCC" w:rsidP="00432FCC">
            <w:pPr>
              <w:pStyle w:val="TableText"/>
              <w:rPr>
                <w:rFonts w:eastAsia="Symbol"/>
              </w:rPr>
            </w:pPr>
            <w:r>
              <w:t>Anti-LW(a)</w:t>
            </w:r>
          </w:p>
        </w:tc>
        <w:tc>
          <w:tcPr>
            <w:tcW w:w="1331" w:type="dxa"/>
            <w:shd w:val="clear" w:color="auto" w:fill="auto"/>
            <w:vAlign w:val="center"/>
          </w:tcPr>
          <w:p w14:paraId="226575DA" w14:textId="77777777" w:rsidR="00432FCC" w:rsidRDefault="00432FCC" w:rsidP="00432FCC">
            <w:pPr>
              <w:pStyle w:val="TableText"/>
            </w:pPr>
            <w:r>
              <w:t>None</w:t>
            </w:r>
          </w:p>
        </w:tc>
        <w:tc>
          <w:tcPr>
            <w:tcW w:w="1053" w:type="dxa"/>
            <w:shd w:val="clear" w:color="auto" w:fill="auto"/>
            <w:vAlign w:val="center"/>
          </w:tcPr>
          <w:p w14:paraId="2966E179" w14:textId="77777777" w:rsidR="00432FCC" w:rsidRDefault="00432FCC" w:rsidP="00432FCC">
            <w:pPr>
              <w:pStyle w:val="TableText"/>
            </w:pPr>
            <w:r>
              <w:t>No</w:t>
            </w:r>
          </w:p>
        </w:tc>
        <w:tc>
          <w:tcPr>
            <w:tcW w:w="1331" w:type="dxa"/>
            <w:shd w:val="clear" w:color="auto" w:fill="auto"/>
            <w:vAlign w:val="center"/>
          </w:tcPr>
          <w:p w14:paraId="6AE4980D" w14:textId="77777777" w:rsidR="00432FCC" w:rsidRDefault="00432FCC" w:rsidP="00432FCC">
            <w:pPr>
              <w:pStyle w:val="TableText"/>
              <w:rPr>
                <w:rFonts w:eastAsia="Symbol"/>
              </w:rPr>
            </w:pPr>
            <w:r>
              <w:t>No</w:t>
            </w:r>
          </w:p>
        </w:tc>
        <w:tc>
          <w:tcPr>
            <w:tcW w:w="4315" w:type="dxa"/>
            <w:shd w:val="clear" w:color="auto" w:fill="auto"/>
            <w:vAlign w:val="center"/>
          </w:tcPr>
          <w:p w14:paraId="5EAA144C" w14:textId="77777777" w:rsidR="00432FCC" w:rsidRDefault="00432FCC" w:rsidP="00432FCC">
            <w:pPr>
              <w:pStyle w:val="TableText"/>
            </w:pPr>
          </w:p>
        </w:tc>
      </w:tr>
      <w:tr w:rsidR="00432FCC" w14:paraId="7B3B9739" w14:textId="77777777">
        <w:tc>
          <w:tcPr>
            <w:tcW w:w="1330" w:type="dxa"/>
            <w:shd w:val="clear" w:color="auto" w:fill="auto"/>
            <w:vAlign w:val="center"/>
          </w:tcPr>
          <w:p w14:paraId="5BE62ED8" w14:textId="77777777" w:rsidR="00432FCC" w:rsidRDefault="00432FCC" w:rsidP="00432FCC">
            <w:pPr>
              <w:pStyle w:val="TableText"/>
              <w:rPr>
                <w:rFonts w:eastAsia="Symbol"/>
              </w:rPr>
            </w:pPr>
            <w:r>
              <w:t>Anti-LW(b)</w:t>
            </w:r>
          </w:p>
        </w:tc>
        <w:tc>
          <w:tcPr>
            <w:tcW w:w="1331" w:type="dxa"/>
            <w:shd w:val="clear" w:color="auto" w:fill="auto"/>
            <w:vAlign w:val="center"/>
          </w:tcPr>
          <w:p w14:paraId="28A006E3" w14:textId="77777777" w:rsidR="00432FCC" w:rsidRDefault="00432FCC" w:rsidP="00432FCC">
            <w:pPr>
              <w:pStyle w:val="TableText"/>
            </w:pPr>
            <w:r>
              <w:t>None</w:t>
            </w:r>
          </w:p>
        </w:tc>
        <w:tc>
          <w:tcPr>
            <w:tcW w:w="1053" w:type="dxa"/>
            <w:shd w:val="clear" w:color="auto" w:fill="auto"/>
            <w:vAlign w:val="center"/>
          </w:tcPr>
          <w:p w14:paraId="1E34F3F4" w14:textId="77777777" w:rsidR="00432FCC" w:rsidRDefault="00432FCC" w:rsidP="00432FCC">
            <w:pPr>
              <w:pStyle w:val="TableText"/>
            </w:pPr>
            <w:r>
              <w:t>No</w:t>
            </w:r>
          </w:p>
        </w:tc>
        <w:tc>
          <w:tcPr>
            <w:tcW w:w="1331" w:type="dxa"/>
            <w:shd w:val="clear" w:color="auto" w:fill="auto"/>
            <w:vAlign w:val="center"/>
          </w:tcPr>
          <w:p w14:paraId="707FA809" w14:textId="77777777" w:rsidR="00432FCC" w:rsidRDefault="00432FCC" w:rsidP="00432FCC">
            <w:pPr>
              <w:pStyle w:val="TableText"/>
              <w:rPr>
                <w:rFonts w:eastAsia="Symbol"/>
              </w:rPr>
            </w:pPr>
            <w:r>
              <w:t>No</w:t>
            </w:r>
          </w:p>
        </w:tc>
        <w:tc>
          <w:tcPr>
            <w:tcW w:w="4315" w:type="dxa"/>
            <w:shd w:val="clear" w:color="auto" w:fill="auto"/>
            <w:vAlign w:val="center"/>
          </w:tcPr>
          <w:p w14:paraId="6C5E5DA6" w14:textId="77777777" w:rsidR="00432FCC" w:rsidRDefault="00432FCC" w:rsidP="00432FCC">
            <w:pPr>
              <w:pStyle w:val="TableText"/>
            </w:pPr>
          </w:p>
        </w:tc>
      </w:tr>
      <w:tr w:rsidR="00432FCC" w14:paraId="562D0A79" w14:textId="77777777">
        <w:tc>
          <w:tcPr>
            <w:tcW w:w="1330" w:type="dxa"/>
            <w:shd w:val="clear" w:color="auto" w:fill="auto"/>
            <w:vAlign w:val="center"/>
          </w:tcPr>
          <w:p w14:paraId="38255188" w14:textId="77777777" w:rsidR="00432FCC" w:rsidRDefault="00432FCC" w:rsidP="00432FCC">
            <w:pPr>
              <w:pStyle w:val="TableText"/>
              <w:rPr>
                <w:rFonts w:eastAsia="Symbol"/>
              </w:rPr>
            </w:pPr>
            <w:r>
              <w:t>Anti-Sc1</w:t>
            </w:r>
          </w:p>
        </w:tc>
        <w:tc>
          <w:tcPr>
            <w:tcW w:w="1331" w:type="dxa"/>
            <w:shd w:val="clear" w:color="auto" w:fill="auto"/>
            <w:vAlign w:val="center"/>
          </w:tcPr>
          <w:p w14:paraId="0AB59092" w14:textId="77777777" w:rsidR="00432FCC" w:rsidRDefault="00432FCC" w:rsidP="00432FCC">
            <w:pPr>
              <w:pStyle w:val="TableText"/>
              <w:rPr>
                <w:rFonts w:eastAsia="Symbol"/>
              </w:rPr>
            </w:pPr>
            <w:r>
              <w:t>None</w:t>
            </w:r>
          </w:p>
        </w:tc>
        <w:tc>
          <w:tcPr>
            <w:tcW w:w="1053" w:type="dxa"/>
            <w:shd w:val="clear" w:color="auto" w:fill="auto"/>
            <w:vAlign w:val="center"/>
          </w:tcPr>
          <w:p w14:paraId="7277F36C" w14:textId="77777777" w:rsidR="00432FCC" w:rsidRDefault="00432FCC" w:rsidP="00432FCC">
            <w:pPr>
              <w:pStyle w:val="TableText"/>
            </w:pPr>
            <w:r>
              <w:t>No</w:t>
            </w:r>
          </w:p>
        </w:tc>
        <w:tc>
          <w:tcPr>
            <w:tcW w:w="1331" w:type="dxa"/>
            <w:shd w:val="clear" w:color="auto" w:fill="auto"/>
            <w:vAlign w:val="center"/>
          </w:tcPr>
          <w:p w14:paraId="7EC273E3" w14:textId="77777777" w:rsidR="00432FCC" w:rsidRDefault="00432FCC" w:rsidP="00432FCC">
            <w:pPr>
              <w:pStyle w:val="TableText"/>
              <w:rPr>
                <w:rFonts w:eastAsia="Symbol"/>
              </w:rPr>
            </w:pPr>
            <w:r>
              <w:t>No</w:t>
            </w:r>
          </w:p>
        </w:tc>
        <w:tc>
          <w:tcPr>
            <w:tcW w:w="4315" w:type="dxa"/>
            <w:shd w:val="clear" w:color="auto" w:fill="auto"/>
            <w:vAlign w:val="center"/>
          </w:tcPr>
          <w:p w14:paraId="04E4BCD6" w14:textId="77777777" w:rsidR="00432FCC" w:rsidRDefault="00432FCC" w:rsidP="00432FCC">
            <w:pPr>
              <w:pStyle w:val="TableText"/>
              <w:rPr>
                <w:rFonts w:eastAsia="Symbol"/>
              </w:rPr>
            </w:pPr>
          </w:p>
        </w:tc>
      </w:tr>
      <w:tr w:rsidR="00432FCC" w14:paraId="5D907C98" w14:textId="77777777">
        <w:tc>
          <w:tcPr>
            <w:tcW w:w="1330" w:type="dxa"/>
            <w:shd w:val="clear" w:color="auto" w:fill="auto"/>
            <w:vAlign w:val="center"/>
          </w:tcPr>
          <w:p w14:paraId="18F7AEA8" w14:textId="77777777" w:rsidR="00432FCC" w:rsidRDefault="00432FCC" w:rsidP="00432FCC">
            <w:pPr>
              <w:pStyle w:val="TableText"/>
              <w:rPr>
                <w:rFonts w:eastAsia="Symbol"/>
              </w:rPr>
            </w:pPr>
            <w:r>
              <w:t>Anti-Sc2</w:t>
            </w:r>
          </w:p>
        </w:tc>
        <w:tc>
          <w:tcPr>
            <w:tcW w:w="1331" w:type="dxa"/>
            <w:shd w:val="clear" w:color="auto" w:fill="auto"/>
            <w:vAlign w:val="center"/>
          </w:tcPr>
          <w:p w14:paraId="70F42FAE" w14:textId="77777777" w:rsidR="00432FCC" w:rsidRDefault="00432FCC" w:rsidP="00432FCC">
            <w:pPr>
              <w:pStyle w:val="TableText"/>
              <w:rPr>
                <w:rFonts w:eastAsia="Symbol"/>
              </w:rPr>
            </w:pPr>
            <w:r>
              <w:t>None</w:t>
            </w:r>
          </w:p>
        </w:tc>
        <w:tc>
          <w:tcPr>
            <w:tcW w:w="1053" w:type="dxa"/>
            <w:shd w:val="clear" w:color="auto" w:fill="auto"/>
            <w:vAlign w:val="center"/>
          </w:tcPr>
          <w:p w14:paraId="62D61F71" w14:textId="77777777" w:rsidR="00432FCC" w:rsidRDefault="00432FCC" w:rsidP="00432FCC">
            <w:pPr>
              <w:pStyle w:val="TableText"/>
            </w:pPr>
            <w:r>
              <w:t>No</w:t>
            </w:r>
          </w:p>
        </w:tc>
        <w:tc>
          <w:tcPr>
            <w:tcW w:w="1331" w:type="dxa"/>
            <w:shd w:val="clear" w:color="auto" w:fill="auto"/>
            <w:vAlign w:val="center"/>
          </w:tcPr>
          <w:p w14:paraId="4B812E5B" w14:textId="77777777" w:rsidR="00432FCC" w:rsidRDefault="00432FCC" w:rsidP="00432FCC">
            <w:pPr>
              <w:pStyle w:val="TableText"/>
              <w:rPr>
                <w:rFonts w:eastAsia="Symbol"/>
              </w:rPr>
            </w:pPr>
            <w:r>
              <w:t>No</w:t>
            </w:r>
          </w:p>
        </w:tc>
        <w:tc>
          <w:tcPr>
            <w:tcW w:w="4315" w:type="dxa"/>
            <w:shd w:val="clear" w:color="auto" w:fill="auto"/>
            <w:vAlign w:val="center"/>
          </w:tcPr>
          <w:p w14:paraId="35DC4003" w14:textId="77777777" w:rsidR="00432FCC" w:rsidRDefault="00432FCC" w:rsidP="00432FCC">
            <w:pPr>
              <w:pStyle w:val="TableText"/>
              <w:rPr>
                <w:rFonts w:eastAsia="Symbol"/>
              </w:rPr>
            </w:pPr>
          </w:p>
        </w:tc>
      </w:tr>
      <w:tr w:rsidR="00432FCC" w14:paraId="516C89D1" w14:textId="77777777">
        <w:tc>
          <w:tcPr>
            <w:tcW w:w="1330" w:type="dxa"/>
            <w:shd w:val="clear" w:color="auto" w:fill="auto"/>
            <w:vAlign w:val="center"/>
          </w:tcPr>
          <w:p w14:paraId="0B08B454" w14:textId="77777777" w:rsidR="00432FCC" w:rsidRDefault="00432FCC" w:rsidP="00432FCC">
            <w:pPr>
              <w:pStyle w:val="TableText"/>
              <w:rPr>
                <w:rFonts w:eastAsia="Symbol"/>
              </w:rPr>
            </w:pPr>
            <w:r>
              <w:t>Anti-Sd(a)</w:t>
            </w:r>
          </w:p>
        </w:tc>
        <w:tc>
          <w:tcPr>
            <w:tcW w:w="1331" w:type="dxa"/>
            <w:shd w:val="clear" w:color="auto" w:fill="auto"/>
            <w:vAlign w:val="center"/>
          </w:tcPr>
          <w:p w14:paraId="67FABD93" w14:textId="77777777" w:rsidR="00432FCC" w:rsidRDefault="00432FCC" w:rsidP="00432FCC">
            <w:pPr>
              <w:pStyle w:val="TableText"/>
              <w:rPr>
                <w:rFonts w:eastAsia="Symbol"/>
              </w:rPr>
            </w:pPr>
            <w:r>
              <w:t>None</w:t>
            </w:r>
          </w:p>
        </w:tc>
        <w:tc>
          <w:tcPr>
            <w:tcW w:w="1053" w:type="dxa"/>
            <w:shd w:val="clear" w:color="auto" w:fill="auto"/>
            <w:vAlign w:val="center"/>
          </w:tcPr>
          <w:p w14:paraId="1947A00C" w14:textId="77777777" w:rsidR="00432FCC" w:rsidRDefault="00432FCC" w:rsidP="00432FCC">
            <w:pPr>
              <w:pStyle w:val="TableText"/>
            </w:pPr>
            <w:r>
              <w:t>No</w:t>
            </w:r>
          </w:p>
        </w:tc>
        <w:tc>
          <w:tcPr>
            <w:tcW w:w="1331" w:type="dxa"/>
            <w:shd w:val="clear" w:color="auto" w:fill="auto"/>
            <w:vAlign w:val="center"/>
          </w:tcPr>
          <w:p w14:paraId="6BD3B88F" w14:textId="77777777" w:rsidR="00432FCC" w:rsidRDefault="00432FCC" w:rsidP="00432FCC">
            <w:pPr>
              <w:pStyle w:val="TableText"/>
              <w:rPr>
                <w:rFonts w:eastAsia="Symbol"/>
              </w:rPr>
            </w:pPr>
            <w:r>
              <w:t>No</w:t>
            </w:r>
          </w:p>
        </w:tc>
        <w:tc>
          <w:tcPr>
            <w:tcW w:w="4315" w:type="dxa"/>
            <w:shd w:val="clear" w:color="auto" w:fill="auto"/>
            <w:vAlign w:val="center"/>
          </w:tcPr>
          <w:p w14:paraId="345C3BBD" w14:textId="77777777" w:rsidR="00432FCC" w:rsidRDefault="00432FCC" w:rsidP="00432FCC">
            <w:pPr>
              <w:pStyle w:val="TableText"/>
              <w:rPr>
                <w:rFonts w:eastAsia="Symbol"/>
              </w:rPr>
            </w:pPr>
          </w:p>
        </w:tc>
      </w:tr>
      <w:tr w:rsidR="00432FCC" w14:paraId="3025134C" w14:textId="77777777">
        <w:tc>
          <w:tcPr>
            <w:tcW w:w="1330" w:type="dxa"/>
            <w:shd w:val="clear" w:color="auto" w:fill="auto"/>
            <w:vAlign w:val="center"/>
          </w:tcPr>
          <w:p w14:paraId="4BEFEDB1" w14:textId="77777777" w:rsidR="00432FCC" w:rsidRDefault="00432FCC" w:rsidP="00432FCC">
            <w:pPr>
              <w:pStyle w:val="TableText"/>
              <w:rPr>
                <w:rFonts w:eastAsia="Symbol"/>
              </w:rPr>
            </w:pPr>
            <w:r>
              <w:t>Anti-Au(a)</w:t>
            </w:r>
          </w:p>
        </w:tc>
        <w:tc>
          <w:tcPr>
            <w:tcW w:w="1331" w:type="dxa"/>
            <w:shd w:val="clear" w:color="auto" w:fill="auto"/>
            <w:vAlign w:val="center"/>
          </w:tcPr>
          <w:p w14:paraId="4E7E862D" w14:textId="77777777" w:rsidR="00432FCC" w:rsidRDefault="00432FCC" w:rsidP="00432FCC">
            <w:pPr>
              <w:pStyle w:val="TableText"/>
              <w:rPr>
                <w:rFonts w:eastAsia="Symbol"/>
              </w:rPr>
            </w:pPr>
            <w:r>
              <w:t>Anti-Au(a)</w:t>
            </w:r>
          </w:p>
        </w:tc>
        <w:tc>
          <w:tcPr>
            <w:tcW w:w="1053" w:type="dxa"/>
            <w:shd w:val="clear" w:color="auto" w:fill="auto"/>
            <w:vAlign w:val="center"/>
          </w:tcPr>
          <w:p w14:paraId="66EE553F" w14:textId="77777777" w:rsidR="00432FCC" w:rsidRDefault="00432FCC" w:rsidP="00432FCC">
            <w:pPr>
              <w:pStyle w:val="TableText"/>
            </w:pPr>
            <w:r>
              <w:t>No</w:t>
            </w:r>
          </w:p>
        </w:tc>
        <w:tc>
          <w:tcPr>
            <w:tcW w:w="1331" w:type="dxa"/>
            <w:shd w:val="clear" w:color="auto" w:fill="auto"/>
            <w:vAlign w:val="center"/>
          </w:tcPr>
          <w:p w14:paraId="6049371D" w14:textId="77777777" w:rsidR="00432FCC" w:rsidRDefault="00432FCC" w:rsidP="00432FCC">
            <w:pPr>
              <w:pStyle w:val="TableText"/>
              <w:rPr>
                <w:rFonts w:eastAsia="Symbol"/>
              </w:rPr>
            </w:pPr>
            <w:r>
              <w:t>No</w:t>
            </w:r>
          </w:p>
        </w:tc>
        <w:tc>
          <w:tcPr>
            <w:tcW w:w="4315" w:type="dxa"/>
            <w:shd w:val="clear" w:color="auto" w:fill="auto"/>
            <w:vAlign w:val="center"/>
          </w:tcPr>
          <w:p w14:paraId="73D43C95" w14:textId="77777777" w:rsidR="00432FCC" w:rsidRDefault="00432FCC" w:rsidP="00432FCC">
            <w:pPr>
              <w:pStyle w:val="TableText"/>
            </w:pPr>
          </w:p>
        </w:tc>
      </w:tr>
      <w:tr w:rsidR="00432FCC" w14:paraId="322CE894" w14:textId="77777777">
        <w:tc>
          <w:tcPr>
            <w:tcW w:w="1330" w:type="dxa"/>
            <w:shd w:val="clear" w:color="auto" w:fill="auto"/>
            <w:vAlign w:val="center"/>
          </w:tcPr>
          <w:p w14:paraId="19620522" w14:textId="77777777" w:rsidR="00432FCC" w:rsidRDefault="00432FCC" w:rsidP="00432FCC">
            <w:pPr>
              <w:pStyle w:val="TableText"/>
            </w:pPr>
            <w:r>
              <w:t>Anti-Au(b)</w:t>
            </w:r>
          </w:p>
        </w:tc>
        <w:tc>
          <w:tcPr>
            <w:tcW w:w="1331" w:type="dxa"/>
            <w:shd w:val="clear" w:color="auto" w:fill="auto"/>
            <w:vAlign w:val="center"/>
          </w:tcPr>
          <w:p w14:paraId="606B9781" w14:textId="77777777" w:rsidR="00432FCC" w:rsidRDefault="00432FCC" w:rsidP="00432FCC">
            <w:pPr>
              <w:pStyle w:val="TableText"/>
              <w:rPr>
                <w:rFonts w:eastAsia="Symbol"/>
              </w:rPr>
            </w:pPr>
            <w:r>
              <w:t>None</w:t>
            </w:r>
          </w:p>
        </w:tc>
        <w:tc>
          <w:tcPr>
            <w:tcW w:w="1053" w:type="dxa"/>
            <w:shd w:val="clear" w:color="auto" w:fill="auto"/>
            <w:vAlign w:val="center"/>
          </w:tcPr>
          <w:p w14:paraId="1AA02BDF" w14:textId="77777777" w:rsidR="00432FCC" w:rsidRDefault="00432FCC" w:rsidP="00432FCC">
            <w:pPr>
              <w:pStyle w:val="TableText"/>
            </w:pPr>
            <w:r>
              <w:t>No</w:t>
            </w:r>
          </w:p>
        </w:tc>
        <w:tc>
          <w:tcPr>
            <w:tcW w:w="1331" w:type="dxa"/>
            <w:shd w:val="clear" w:color="auto" w:fill="auto"/>
            <w:vAlign w:val="center"/>
          </w:tcPr>
          <w:p w14:paraId="0DBFD518" w14:textId="77777777" w:rsidR="00432FCC" w:rsidRDefault="00432FCC" w:rsidP="00432FCC">
            <w:pPr>
              <w:pStyle w:val="TableText"/>
            </w:pPr>
            <w:r>
              <w:t>No</w:t>
            </w:r>
          </w:p>
        </w:tc>
        <w:tc>
          <w:tcPr>
            <w:tcW w:w="4315" w:type="dxa"/>
            <w:shd w:val="clear" w:color="auto" w:fill="auto"/>
            <w:vAlign w:val="center"/>
          </w:tcPr>
          <w:p w14:paraId="135EAD59" w14:textId="77777777" w:rsidR="00432FCC" w:rsidRDefault="00432FCC" w:rsidP="00432FCC">
            <w:pPr>
              <w:pStyle w:val="TableText"/>
            </w:pPr>
          </w:p>
        </w:tc>
      </w:tr>
      <w:tr w:rsidR="00432FCC" w14:paraId="5FDECAC2" w14:textId="77777777">
        <w:tc>
          <w:tcPr>
            <w:tcW w:w="1330" w:type="dxa"/>
            <w:shd w:val="clear" w:color="auto" w:fill="auto"/>
            <w:vAlign w:val="center"/>
          </w:tcPr>
          <w:p w14:paraId="7FE346E9" w14:textId="77777777" w:rsidR="00432FCC" w:rsidRDefault="00432FCC" w:rsidP="00432FCC">
            <w:pPr>
              <w:pStyle w:val="TableText"/>
              <w:rPr>
                <w:rFonts w:eastAsia="Symbol"/>
              </w:rPr>
            </w:pPr>
            <w:r>
              <w:t>Anti-Ch</w:t>
            </w:r>
          </w:p>
        </w:tc>
        <w:tc>
          <w:tcPr>
            <w:tcW w:w="1331" w:type="dxa"/>
            <w:shd w:val="clear" w:color="auto" w:fill="auto"/>
            <w:vAlign w:val="center"/>
          </w:tcPr>
          <w:p w14:paraId="4D244DFB" w14:textId="77777777" w:rsidR="00432FCC" w:rsidRDefault="00432FCC" w:rsidP="00432FCC">
            <w:pPr>
              <w:pStyle w:val="TableText"/>
              <w:rPr>
                <w:rFonts w:eastAsia="Symbol"/>
              </w:rPr>
            </w:pPr>
            <w:r>
              <w:t>None</w:t>
            </w:r>
          </w:p>
        </w:tc>
        <w:tc>
          <w:tcPr>
            <w:tcW w:w="1053" w:type="dxa"/>
            <w:shd w:val="clear" w:color="auto" w:fill="auto"/>
            <w:vAlign w:val="center"/>
          </w:tcPr>
          <w:p w14:paraId="04D08169" w14:textId="77777777" w:rsidR="00432FCC" w:rsidRDefault="00432FCC" w:rsidP="00432FCC">
            <w:pPr>
              <w:pStyle w:val="TableText"/>
            </w:pPr>
            <w:r>
              <w:t>No</w:t>
            </w:r>
          </w:p>
        </w:tc>
        <w:tc>
          <w:tcPr>
            <w:tcW w:w="1331" w:type="dxa"/>
            <w:shd w:val="clear" w:color="auto" w:fill="auto"/>
            <w:vAlign w:val="center"/>
          </w:tcPr>
          <w:p w14:paraId="4E0149D9" w14:textId="77777777" w:rsidR="00432FCC" w:rsidRDefault="00432FCC" w:rsidP="00432FCC">
            <w:pPr>
              <w:pStyle w:val="TableText"/>
              <w:rPr>
                <w:rFonts w:eastAsia="Symbol"/>
              </w:rPr>
            </w:pPr>
            <w:r>
              <w:t>No</w:t>
            </w:r>
          </w:p>
        </w:tc>
        <w:tc>
          <w:tcPr>
            <w:tcW w:w="4315" w:type="dxa"/>
            <w:shd w:val="clear" w:color="auto" w:fill="auto"/>
            <w:vAlign w:val="center"/>
          </w:tcPr>
          <w:p w14:paraId="227AE639" w14:textId="77777777" w:rsidR="00432FCC" w:rsidRDefault="00432FCC" w:rsidP="00432FCC">
            <w:pPr>
              <w:pStyle w:val="TableText"/>
            </w:pPr>
          </w:p>
        </w:tc>
      </w:tr>
      <w:tr w:rsidR="00432FCC" w14:paraId="1394641F" w14:textId="77777777">
        <w:tc>
          <w:tcPr>
            <w:tcW w:w="1330" w:type="dxa"/>
            <w:shd w:val="clear" w:color="auto" w:fill="auto"/>
            <w:vAlign w:val="center"/>
          </w:tcPr>
          <w:p w14:paraId="01155B35" w14:textId="77777777" w:rsidR="00432FCC" w:rsidRDefault="00432FCC" w:rsidP="00432FCC">
            <w:pPr>
              <w:pStyle w:val="TableText"/>
              <w:rPr>
                <w:rFonts w:eastAsia="Symbol"/>
              </w:rPr>
            </w:pPr>
            <w:r>
              <w:t>Anti-Rg</w:t>
            </w:r>
          </w:p>
        </w:tc>
        <w:tc>
          <w:tcPr>
            <w:tcW w:w="1331" w:type="dxa"/>
            <w:shd w:val="clear" w:color="auto" w:fill="auto"/>
            <w:vAlign w:val="center"/>
          </w:tcPr>
          <w:p w14:paraId="2B58B4DB" w14:textId="77777777" w:rsidR="00432FCC" w:rsidRDefault="00432FCC" w:rsidP="00432FCC">
            <w:pPr>
              <w:pStyle w:val="TableText"/>
              <w:rPr>
                <w:rFonts w:eastAsia="Symbol"/>
              </w:rPr>
            </w:pPr>
            <w:r>
              <w:t>None</w:t>
            </w:r>
          </w:p>
        </w:tc>
        <w:tc>
          <w:tcPr>
            <w:tcW w:w="1053" w:type="dxa"/>
            <w:shd w:val="clear" w:color="auto" w:fill="auto"/>
            <w:vAlign w:val="center"/>
          </w:tcPr>
          <w:p w14:paraId="051EFCAC" w14:textId="77777777" w:rsidR="00432FCC" w:rsidRDefault="00432FCC" w:rsidP="00432FCC">
            <w:pPr>
              <w:pStyle w:val="TableText"/>
            </w:pPr>
            <w:r>
              <w:t>No</w:t>
            </w:r>
          </w:p>
        </w:tc>
        <w:tc>
          <w:tcPr>
            <w:tcW w:w="1331" w:type="dxa"/>
            <w:shd w:val="clear" w:color="auto" w:fill="auto"/>
            <w:vAlign w:val="center"/>
          </w:tcPr>
          <w:p w14:paraId="10CFF990" w14:textId="77777777" w:rsidR="00432FCC" w:rsidRDefault="00432FCC" w:rsidP="00432FCC">
            <w:pPr>
              <w:pStyle w:val="TableText"/>
              <w:rPr>
                <w:rFonts w:eastAsia="Symbol"/>
              </w:rPr>
            </w:pPr>
            <w:r>
              <w:t>No</w:t>
            </w:r>
          </w:p>
        </w:tc>
        <w:tc>
          <w:tcPr>
            <w:tcW w:w="4315" w:type="dxa"/>
            <w:shd w:val="clear" w:color="auto" w:fill="auto"/>
            <w:vAlign w:val="center"/>
          </w:tcPr>
          <w:p w14:paraId="15A5C572" w14:textId="77777777" w:rsidR="00432FCC" w:rsidRDefault="00432FCC" w:rsidP="00432FCC">
            <w:pPr>
              <w:pStyle w:val="TableText"/>
            </w:pPr>
          </w:p>
        </w:tc>
      </w:tr>
      <w:tr w:rsidR="00432FCC" w14:paraId="60B75C7E" w14:textId="77777777">
        <w:tc>
          <w:tcPr>
            <w:tcW w:w="1330" w:type="dxa"/>
            <w:shd w:val="clear" w:color="auto" w:fill="auto"/>
            <w:vAlign w:val="center"/>
          </w:tcPr>
          <w:p w14:paraId="3ED1AFD9" w14:textId="77777777" w:rsidR="00432FCC" w:rsidRDefault="00432FCC" w:rsidP="00432FCC">
            <w:pPr>
              <w:pStyle w:val="TableText"/>
              <w:rPr>
                <w:rFonts w:eastAsia="Symbol"/>
              </w:rPr>
            </w:pPr>
            <w:r>
              <w:t>Anti-Cs(a)</w:t>
            </w:r>
          </w:p>
        </w:tc>
        <w:tc>
          <w:tcPr>
            <w:tcW w:w="1331" w:type="dxa"/>
            <w:shd w:val="clear" w:color="auto" w:fill="auto"/>
            <w:vAlign w:val="center"/>
          </w:tcPr>
          <w:p w14:paraId="0D53EAF8" w14:textId="77777777" w:rsidR="00432FCC" w:rsidRDefault="00432FCC" w:rsidP="00432FCC">
            <w:pPr>
              <w:pStyle w:val="TableText"/>
              <w:rPr>
                <w:rFonts w:eastAsia="Symbol"/>
              </w:rPr>
            </w:pPr>
            <w:r>
              <w:t>None</w:t>
            </w:r>
          </w:p>
        </w:tc>
        <w:tc>
          <w:tcPr>
            <w:tcW w:w="1053" w:type="dxa"/>
            <w:shd w:val="clear" w:color="auto" w:fill="auto"/>
            <w:vAlign w:val="center"/>
          </w:tcPr>
          <w:p w14:paraId="6769E0B1" w14:textId="77777777" w:rsidR="00432FCC" w:rsidRDefault="00432FCC" w:rsidP="00432FCC">
            <w:pPr>
              <w:pStyle w:val="TableText"/>
            </w:pPr>
            <w:r>
              <w:t>No</w:t>
            </w:r>
          </w:p>
        </w:tc>
        <w:tc>
          <w:tcPr>
            <w:tcW w:w="1331" w:type="dxa"/>
            <w:shd w:val="clear" w:color="auto" w:fill="auto"/>
            <w:vAlign w:val="center"/>
          </w:tcPr>
          <w:p w14:paraId="63DDD3C5" w14:textId="77777777" w:rsidR="00432FCC" w:rsidRDefault="00432FCC" w:rsidP="00432FCC">
            <w:pPr>
              <w:pStyle w:val="TableText"/>
              <w:rPr>
                <w:rFonts w:eastAsia="Symbol"/>
              </w:rPr>
            </w:pPr>
            <w:r>
              <w:t>No</w:t>
            </w:r>
          </w:p>
        </w:tc>
        <w:tc>
          <w:tcPr>
            <w:tcW w:w="4315" w:type="dxa"/>
            <w:shd w:val="clear" w:color="auto" w:fill="auto"/>
            <w:vAlign w:val="center"/>
          </w:tcPr>
          <w:p w14:paraId="501214DE" w14:textId="77777777" w:rsidR="00432FCC" w:rsidRDefault="00432FCC" w:rsidP="00432FCC">
            <w:pPr>
              <w:pStyle w:val="TableText"/>
            </w:pPr>
          </w:p>
        </w:tc>
      </w:tr>
      <w:tr w:rsidR="00432FCC" w14:paraId="71827A4C" w14:textId="77777777">
        <w:tc>
          <w:tcPr>
            <w:tcW w:w="1330" w:type="dxa"/>
            <w:shd w:val="clear" w:color="auto" w:fill="auto"/>
            <w:vAlign w:val="center"/>
          </w:tcPr>
          <w:p w14:paraId="7564316D" w14:textId="77777777" w:rsidR="00432FCC" w:rsidRDefault="00432FCC" w:rsidP="00432FCC">
            <w:pPr>
              <w:pStyle w:val="TableText"/>
              <w:rPr>
                <w:rFonts w:eastAsia="Symbol"/>
              </w:rPr>
            </w:pPr>
            <w:r>
              <w:t>Anti-Yk(a)</w:t>
            </w:r>
          </w:p>
        </w:tc>
        <w:tc>
          <w:tcPr>
            <w:tcW w:w="1331" w:type="dxa"/>
            <w:shd w:val="clear" w:color="auto" w:fill="auto"/>
            <w:vAlign w:val="center"/>
          </w:tcPr>
          <w:p w14:paraId="1FC912C5" w14:textId="77777777" w:rsidR="00432FCC" w:rsidRDefault="00432FCC" w:rsidP="00432FCC">
            <w:pPr>
              <w:pStyle w:val="TableText"/>
              <w:rPr>
                <w:rFonts w:eastAsia="Symbol"/>
              </w:rPr>
            </w:pPr>
            <w:r>
              <w:t>None</w:t>
            </w:r>
          </w:p>
        </w:tc>
        <w:tc>
          <w:tcPr>
            <w:tcW w:w="1053" w:type="dxa"/>
            <w:shd w:val="clear" w:color="auto" w:fill="auto"/>
            <w:vAlign w:val="center"/>
          </w:tcPr>
          <w:p w14:paraId="7FE1BFE4" w14:textId="77777777" w:rsidR="00432FCC" w:rsidRDefault="00432FCC" w:rsidP="00432FCC">
            <w:pPr>
              <w:pStyle w:val="TableText"/>
            </w:pPr>
            <w:r>
              <w:t>No</w:t>
            </w:r>
          </w:p>
        </w:tc>
        <w:tc>
          <w:tcPr>
            <w:tcW w:w="1331" w:type="dxa"/>
            <w:shd w:val="clear" w:color="auto" w:fill="auto"/>
            <w:vAlign w:val="center"/>
          </w:tcPr>
          <w:p w14:paraId="128B941A" w14:textId="77777777" w:rsidR="00432FCC" w:rsidRDefault="00432FCC" w:rsidP="00432FCC">
            <w:pPr>
              <w:pStyle w:val="TableText"/>
              <w:rPr>
                <w:rFonts w:eastAsia="Symbol"/>
              </w:rPr>
            </w:pPr>
            <w:r>
              <w:t>No</w:t>
            </w:r>
          </w:p>
        </w:tc>
        <w:tc>
          <w:tcPr>
            <w:tcW w:w="4315" w:type="dxa"/>
            <w:shd w:val="clear" w:color="auto" w:fill="auto"/>
            <w:vAlign w:val="center"/>
          </w:tcPr>
          <w:p w14:paraId="0FBD701B" w14:textId="77777777" w:rsidR="00432FCC" w:rsidRDefault="00432FCC" w:rsidP="00432FCC">
            <w:pPr>
              <w:pStyle w:val="TableText"/>
            </w:pPr>
          </w:p>
        </w:tc>
      </w:tr>
      <w:tr w:rsidR="00432FCC" w14:paraId="6C764451" w14:textId="77777777">
        <w:tc>
          <w:tcPr>
            <w:tcW w:w="1330" w:type="dxa"/>
            <w:shd w:val="clear" w:color="auto" w:fill="auto"/>
            <w:vAlign w:val="center"/>
          </w:tcPr>
          <w:p w14:paraId="359AA22E" w14:textId="77777777" w:rsidR="00432FCC" w:rsidRDefault="00432FCC" w:rsidP="00432FCC">
            <w:pPr>
              <w:pStyle w:val="TableText"/>
              <w:rPr>
                <w:rFonts w:eastAsia="Symbol"/>
              </w:rPr>
            </w:pPr>
            <w:r>
              <w:t>Anti-Kn(a)</w:t>
            </w:r>
          </w:p>
        </w:tc>
        <w:tc>
          <w:tcPr>
            <w:tcW w:w="1331" w:type="dxa"/>
            <w:shd w:val="clear" w:color="auto" w:fill="auto"/>
            <w:vAlign w:val="center"/>
          </w:tcPr>
          <w:p w14:paraId="084CA032" w14:textId="77777777" w:rsidR="00432FCC" w:rsidRDefault="00432FCC" w:rsidP="00432FCC">
            <w:pPr>
              <w:pStyle w:val="TableText"/>
              <w:rPr>
                <w:rFonts w:eastAsia="Symbol"/>
              </w:rPr>
            </w:pPr>
            <w:r>
              <w:t>None</w:t>
            </w:r>
          </w:p>
        </w:tc>
        <w:tc>
          <w:tcPr>
            <w:tcW w:w="1053" w:type="dxa"/>
            <w:shd w:val="clear" w:color="auto" w:fill="auto"/>
            <w:vAlign w:val="center"/>
          </w:tcPr>
          <w:p w14:paraId="7EAA5DB3" w14:textId="77777777" w:rsidR="00432FCC" w:rsidRDefault="00432FCC" w:rsidP="00432FCC">
            <w:pPr>
              <w:pStyle w:val="TableText"/>
            </w:pPr>
            <w:r>
              <w:t>No</w:t>
            </w:r>
          </w:p>
        </w:tc>
        <w:tc>
          <w:tcPr>
            <w:tcW w:w="1331" w:type="dxa"/>
            <w:shd w:val="clear" w:color="auto" w:fill="auto"/>
            <w:vAlign w:val="center"/>
          </w:tcPr>
          <w:p w14:paraId="68D99D6D" w14:textId="77777777" w:rsidR="00432FCC" w:rsidRDefault="00432FCC" w:rsidP="00432FCC">
            <w:pPr>
              <w:pStyle w:val="TableText"/>
              <w:rPr>
                <w:rFonts w:eastAsia="Symbol"/>
              </w:rPr>
            </w:pPr>
            <w:r>
              <w:t>No</w:t>
            </w:r>
          </w:p>
        </w:tc>
        <w:tc>
          <w:tcPr>
            <w:tcW w:w="4315" w:type="dxa"/>
            <w:shd w:val="clear" w:color="auto" w:fill="auto"/>
            <w:vAlign w:val="center"/>
          </w:tcPr>
          <w:p w14:paraId="7F79531C" w14:textId="77777777" w:rsidR="00432FCC" w:rsidRDefault="00432FCC" w:rsidP="00432FCC">
            <w:pPr>
              <w:pStyle w:val="TableText"/>
            </w:pPr>
          </w:p>
        </w:tc>
      </w:tr>
      <w:tr w:rsidR="00432FCC" w14:paraId="58863466" w14:textId="77777777">
        <w:tc>
          <w:tcPr>
            <w:tcW w:w="1330" w:type="dxa"/>
            <w:shd w:val="clear" w:color="auto" w:fill="auto"/>
            <w:vAlign w:val="center"/>
          </w:tcPr>
          <w:p w14:paraId="1027CE0A" w14:textId="77777777" w:rsidR="00432FCC" w:rsidRDefault="00432FCC" w:rsidP="00432FCC">
            <w:pPr>
              <w:pStyle w:val="TableText"/>
              <w:rPr>
                <w:rFonts w:eastAsia="Symbol"/>
              </w:rPr>
            </w:pPr>
            <w:r>
              <w:t>Anti-McC(a)</w:t>
            </w:r>
          </w:p>
        </w:tc>
        <w:tc>
          <w:tcPr>
            <w:tcW w:w="1331" w:type="dxa"/>
            <w:shd w:val="clear" w:color="auto" w:fill="auto"/>
            <w:vAlign w:val="center"/>
          </w:tcPr>
          <w:p w14:paraId="62181DC9" w14:textId="77777777" w:rsidR="00432FCC" w:rsidRDefault="00432FCC" w:rsidP="00432FCC">
            <w:pPr>
              <w:pStyle w:val="TableText"/>
            </w:pPr>
            <w:r>
              <w:t>None</w:t>
            </w:r>
          </w:p>
        </w:tc>
        <w:tc>
          <w:tcPr>
            <w:tcW w:w="1053" w:type="dxa"/>
            <w:shd w:val="clear" w:color="auto" w:fill="auto"/>
            <w:vAlign w:val="center"/>
          </w:tcPr>
          <w:p w14:paraId="523BA526" w14:textId="77777777" w:rsidR="00432FCC" w:rsidRDefault="00432FCC" w:rsidP="00432FCC">
            <w:pPr>
              <w:pStyle w:val="TableText"/>
            </w:pPr>
            <w:r>
              <w:t>No</w:t>
            </w:r>
          </w:p>
        </w:tc>
        <w:tc>
          <w:tcPr>
            <w:tcW w:w="1331" w:type="dxa"/>
            <w:shd w:val="clear" w:color="auto" w:fill="auto"/>
            <w:vAlign w:val="center"/>
          </w:tcPr>
          <w:p w14:paraId="553B89AE" w14:textId="77777777" w:rsidR="00432FCC" w:rsidRDefault="00432FCC" w:rsidP="00432FCC">
            <w:pPr>
              <w:pStyle w:val="TableText"/>
              <w:rPr>
                <w:rFonts w:eastAsia="Symbol"/>
              </w:rPr>
            </w:pPr>
            <w:r>
              <w:t>No</w:t>
            </w:r>
          </w:p>
        </w:tc>
        <w:tc>
          <w:tcPr>
            <w:tcW w:w="4315" w:type="dxa"/>
            <w:shd w:val="clear" w:color="auto" w:fill="auto"/>
            <w:vAlign w:val="center"/>
          </w:tcPr>
          <w:p w14:paraId="681DC11C" w14:textId="77777777" w:rsidR="00432FCC" w:rsidRDefault="00432FCC" w:rsidP="00432FCC">
            <w:pPr>
              <w:pStyle w:val="TableText"/>
            </w:pPr>
          </w:p>
        </w:tc>
      </w:tr>
      <w:tr w:rsidR="00432FCC" w14:paraId="19209105" w14:textId="77777777">
        <w:tc>
          <w:tcPr>
            <w:tcW w:w="1330" w:type="dxa"/>
            <w:shd w:val="clear" w:color="auto" w:fill="auto"/>
            <w:vAlign w:val="center"/>
          </w:tcPr>
          <w:p w14:paraId="2F95161B" w14:textId="77777777" w:rsidR="00432FCC" w:rsidRDefault="00432FCC" w:rsidP="00432FCC">
            <w:pPr>
              <w:pStyle w:val="TableText"/>
              <w:rPr>
                <w:rFonts w:eastAsia="Symbol"/>
              </w:rPr>
            </w:pPr>
            <w:r>
              <w:t>Anti-JMH</w:t>
            </w:r>
          </w:p>
        </w:tc>
        <w:tc>
          <w:tcPr>
            <w:tcW w:w="1331" w:type="dxa"/>
            <w:shd w:val="clear" w:color="auto" w:fill="auto"/>
            <w:vAlign w:val="center"/>
          </w:tcPr>
          <w:p w14:paraId="057DD69D" w14:textId="77777777" w:rsidR="00432FCC" w:rsidRDefault="00432FCC" w:rsidP="00432FCC">
            <w:pPr>
              <w:pStyle w:val="TableText"/>
            </w:pPr>
            <w:r>
              <w:t>None</w:t>
            </w:r>
          </w:p>
        </w:tc>
        <w:tc>
          <w:tcPr>
            <w:tcW w:w="1053" w:type="dxa"/>
            <w:shd w:val="clear" w:color="auto" w:fill="auto"/>
            <w:vAlign w:val="center"/>
          </w:tcPr>
          <w:p w14:paraId="479EFF7B" w14:textId="77777777" w:rsidR="00432FCC" w:rsidRDefault="00432FCC" w:rsidP="00432FCC">
            <w:pPr>
              <w:pStyle w:val="TableText"/>
            </w:pPr>
            <w:r>
              <w:t>No</w:t>
            </w:r>
          </w:p>
        </w:tc>
        <w:tc>
          <w:tcPr>
            <w:tcW w:w="1331" w:type="dxa"/>
            <w:shd w:val="clear" w:color="auto" w:fill="auto"/>
            <w:vAlign w:val="center"/>
          </w:tcPr>
          <w:p w14:paraId="39BBDF3C" w14:textId="77777777" w:rsidR="00432FCC" w:rsidRDefault="00432FCC" w:rsidP="00432FCC">
            <w:pPr>
              <w:pStyle w:val="TableText"/>
              <w:rPr>
                <w:rFonts w:eastAsia="Symbol"/>
              </w:rPr>
            </w:pPr>
            <w:r>
              <w:t>No</w:t>
            </w:r>
          </w:p>
        </w:tc>
        <w:tc>
          <w:tcPr>
            <w:tcW w:w="4315" w:type="dxa"/>
            <w:shd w:val="clear" w:color="auto" w:fill="auto"/>
            <w:vAlign w:val="center"/>
          </w:tcPr>
          <w:p w14:paraId="776FDA8F" w14:textId="77777777" w:rsidR="00432FCC" w:rsidRDefault="00432FCC" w:rsidP="00432FCC">
            <w:pPr>
              <w:pStyle w:val="TableText"/>
            </w:pPr>
          </w:p>
        </w:tc>
      </w:tr>
      <w:tr w:rsidR="00432FCC" w14:paraId="1471BF81" w14:textId="77777777">
        <w:tc>
          <w:tcPr>
            <w:tcW w:w="1330" w:type="dxa"/>
            <w:shd w:val="clear" w:color="auto" w:fill="auto"/>
            <w:vAlign w:val="center"/>
          </w:tcPr>
          <w:p w14:paraId="1168240B" w14:textId="77777777" w:rsidR="00432FCC" w:rsidRDefault="00432FCC" w:rsidP="00432FCC">
            <w:pPr>
              <w:pStyle w:val="TableText"/>
              <w:rPr>
                <w:rFonts w:eastAsia="Symbol"/>
              </w:rPr>
            </w:pPr>
            <w:r>
              <w:t>Anti-Yt(a)</w:t>
            </w:r>
          </w:p>
        </w:tc>
        <w:tc>
          <w:tcPr>
            <w:tcW w:w="1331" w:type="dxa"/>
            <w:shd w:val="clear" w:color="auto" w:fill="auto"/>
            <w:vAlign w:val="center"/>
          </w:tcPr>
          <w:p w14:paraId="633B6873" w14:textId="77777777" w:rsidR="00432FCC" w:rsidRDefault="00432FCC" w:rsidP="00432FCC">
            <w:pPr>
              <w:pStyle w:val="TableText"/>
              <w:rPr>
                <w:rFonts w:eastAsia="Symbol"/>
              </w:rPr>
            </w:pPr>
            <w:r>
              <w:t>None</w:t>
            </w:r>
          </w:p>
        </w:tc>
        <w:tc>
          <w:tcPr>
            <w:tcW w:w="1053" w:type="dxa"/>
            <w:shd w:val="clear" w:color="auto" w:fill="auto"/>
            <w:vAlign w:val="center"/>
          </w:tcPr>
          <w:p w14:paraId="7922F54A" w14:textId="77777777" w:rsidR="00432FCC" w:rsidRDefault="00432FCC" w:rsidP="00432FCC">
            <w:pPr>
              <w:pStyle w:val="TableText"/>
            </w:pPr>
            <w:r>
              <w:t>No</w:t>
            </w:r>
          </w:p>
        </w:tc>
        <w:tc>
          <w:tcPr>
            <w:tcW w:w="1331" w:type="dxa"/>
            <w:shd w:val="clear" w:color="auto" w:fill="auto"/>
            <w:vAlign w:val="center"/>
          </w:tcPr>
          <w:p w14:paraId="4D291F34" w14:textId="77777777" w:rsidR="00432FCC" w:rsidRDefault="00432FCC" w:rsidP="00432FCC">
            <w:pPr>
              <w:pStyle w:val="TableText"/>
              <w:rPr>
                <w:rFonts w:eastAsia="Symbol"/>
              </w:rPr>
            </w:pPr>
            <w:r>
              <w:t>No</w:t>
            </w:r>
          </w:p>
        </w:tc>
        <w:tc>
          <w:tcPr>
            <w:tcW w:w="4315" w:type="dxa"/>
            <w:shd w:val="clear" w:color="auto" w:fill="auto"/>
            <w:vAlign w:val="center"/>
          </w:tcPr>
          <w:p w14:paraId="3D9EE987" w14:textId="77777777" w:rsidR="00432FCC" w:rsidRDefault="00432FCC" w:rsidP="00432FCC">
            <w:pPr>
              <w:pStyle w:val="TableText"/>
              <w:rPr>
                <w:rFonts w:eastAsia="Symbol"/>
              </w:rPr>
            </w:pPr>
          </w:p>
        </w:tc>
      </w:tr>
      <w:tr w:rsidR="00432FCC" w14:paraId="4B741AE6" w14:textId="77777777">
        <w:tc>
          <w:tcPr>
            <w:tcW w:w="1330" w:type="dxa"/>
            <w:shd w:val="clear" w:color="auto" w:fill="auto"/>
            <w:vAlign w:val="center"/>
          </w:tcPr>
          <w:p w14:paraId="6ACC7B12" w14:textId="77777777" w:rsidR="00432FCC" w:rsidRDefault="00432FCC" w:rsidP="00432FCC">
            <w:pPr>
              <w:pStyle w:val="TableText"/>
              <w:rPr>
                <w:rFonts w:eastAsia="Symbol"/>
              </w:rPr>
            </w:pPr>
            <w:r>
              <w:t>Anti-Yt(b)</w:t>
            </w:r>
          </w:p>
        </w:tc>
        <w:tc>
          <w:tcPr>
            <w:tcW w:w="1331" w:type="dxa"/>
            <w:shd w:val="clear" w:color="auto" w:fill="auto"/>
            <w:vAlign w:val="center"/>
          </w:tcPr>
          <w:p w14:paraId="419A5F1E" w14:textId="77777777" w:rsidR="00432FCC" w:rsidRDefault="00432FCC" w:rsidP="00432FCC">
            <w:pPr>
              <w:pStyle w:val="TableText"/>
              <w:rPr>
                <w:rFonts w:eastAsia="Symbol"/>
              </w:rPr>
            </w:pPr>
            <w:r>
              <w:t>None</w:t>
            </w:r>
          </w:p>
        </w:tc>
        <w:tc>
          <w:tcPr>
            <w:tcW w:w="1053" w:type="dxa"/>
            <w:shd w:val="clear" w:color="auto" w:fill="auto"/>
            <w:vAlign w:val="center"/>
          </w:tcPr>
          <w:p w14:paraId="5A3FEC38" w14:textId="77777777" w:rsidR="00432FCC" w:rsidRDefault="00432FCC" w:rsidP="00432FCC">
            <w:pPr>
              <w:pStyle w:val="TableText"/>
            </w:pPr>
            <w:r>
              <w:t>No</w:t>
            </w:r>
          </w:p>
        </w:tc>
        <w:tc>
          <w:tcPr>
            <w:tcW w:w="1331" w:type="dxa"/>
            <w:shd w:val="clear" w:color="auto" w:fill="auto"/>
            <w:vAlign w:val="center"/>
          </w:tcPr>
          <w:p w14:paraId="615616E1" w14:textId="77777777" w:rsidR="00432FCC" w:rsidRDefault="00432FCC" w:rsidP="00432FCC">
            <w:pPr>
              <w:pStyle w:val="TableText"/>
              <w:rPr>
                <w:rFonts w:eastAsia="Symbol"/>
              </w:rPr>
            </w:pPr>
            <w:r>
              <w:t>No</w:t>
            </w:r>
          </w:p>
        </w:tc>
        <w:tc>
          <w:tcPr>
            <w:tcW w:w="4315" w:type="dxa"/>
            <w:shd w:val="clear" w:color="auto" w:fill="auto"/>
            <w:vAlign w:val="center"/>
          </w:tcPr>
          <w:p w14:paraId="3EB89D37" w14:textId="77777777" w:rsidR="00432FCC" w:rsidRDefault="00432FCC" w:rsidP="00432FCC">
            <w:pPr>
              <w:pStyle w:val="TableText"/>
              <w:rPr>
                <w:rFonts w:eastAsia="Symbol"/>
              </w:rPr>
            </w:pPr>
          </w:p>
        </w:tc>
      </w:tr>
    </w:tbl>
    <w:p w14:paraId="4038D42E" w14:textId="77777777" w:rsidR="002E3C00" w:rsidRDefault="002E3C00" w:rsidP="002E3C00">
      <w:pPr>
        <w:pStyle w:val="Heading4"/>
        <w:rPr>
          <w:b w:val="0"/>
        </w:rPr>
      </w:pPr>
      <w:r>
        <w:lastRenderedPageBreak/>
        <w:t>User Roles with Access to This Option</w:t>
      </w:r>
      <w:r>
        <w:rPr>
          <w:b w:val="0"/>
        </w:rPr>
        <w:t xml:space="preserve"> </w:t>
      </w:r>
    </w:p>
    <w:p w14:paraId="5F30AE65"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99F2FAE" w14:textId="77777777" w:rsidR="002E3C00" w:rsidRDefault="00B74754" w:rsidP="002E3C00">
      <w:pPr>
        <w:pStyle w:val="Heading4"/>
      </w:pPr>
      <w:r>
        <w:t>Preparation for Testing</w:t>
      </w:r>
    </w:p>
    <w:p w14:paraId="1AF521FF" w14:textId="77777777" w:rsidR="002E3C00" w:rsidRPr="00600497" w:rsidRDefault="002E3C00" w:rsidP="00925CAD">
      <w:pPr>
        <w:pStyle w:val="ListNumber"/>
        <w:numPr>
          <w:ilvl w:val="0"/>
          <w:numId w:val="27"/>
        </w:numPr>
        <w:tabs>
          <w:tab w:val="clear" w:pos="720"/>
          <w:tab w:val="num" w:pos="360"/>
        </w:tabs>
        <w:ind w:left="360"/>
      </w:pPr>
      <w:r w:rsidRPr="00600497">
        <w:t>Change the antigen negative requirement setting on those currently not invoked. Change the percent compatible for your donor population.</w:t>
      </w:r>
    </w:p>
    <w:p w14:paraId="4925E9CF" w14:textId="77777777" w:rsidR="00232E43" w:rsidRPr="00FB7F8D" w:rsidRDefault="00232E43" w:rsidP="00925CAD">
      <w:pPr>
        <w:pStyle w:val="ListNumber"/>
        <w:numPr>
          <w:ilvl w:val="0"/>
          <w:numId w:val="27"/>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E87908D" w14:textId="77777777" w:rsidR="002E3C00" w:rsidRDefault="002E3C00" w:rsidP="002E3C00">
      <w:pPr>
        <w:pStyle w:val="Heading3"/>
      </w:pPr>
      <w:bookmarkStart w:id="746" w:name="_Toc85895798"/>
      <w:bookmarkStart w:id="747" w:name="_Toc113264256"/>
      <w:bookmarkStart w:id="748" w:name="_Toc114462111"/>
      <w:bookmarkStart w:id="749" w:name="_Toc163645038"/>
      <w:r>
        <w:t>Update User Roles</w:t>
      </w:r>
      <w:bookmarkEnd w:id="746"/>
      <w:bookmarkEnd w:id="747"/>
      <w:bookmarkEnd w:id="748"/>
      <w:bookmarkEnd w:id="74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Update User Roles</w:instrText>
      </w:r>
      <w:r w:rsidR="00992E88">
        <w:instrText xml:space="preserve">" </w:instrText>
      </w:r>
      <w:r w:rsidR="00992E88">
        <w:fldChar w:fldCharType="end"/>
      </w:r>
    </w:p>
    <w:p w14:paraId="41C14FB5" w14:textId="79280600" w:rsidR="002E3C00" w:rsidRDefault="002E3C00" w:rsidP="002E3C00">
      <w:pPr>
        <w:pStyle w:val="BodyText"/>
      </w:pPr>
      <w:r>
        <w:t>The user reviews and changes the user roles and associated security levels that determine which options and functions are available to a user in the division.</w:t>
      </w:r>
      <w:r w:rsidR="0056674A">
        <w:t xml:space="preserve"> For additional information, see </w:t>
      </w:r>
      <w:r w:rsidR="00EE455E">
        <w:t xml:space="preserve">Appendix </w:t>
      </w:r>
      <w:r w:rsidR="00EE455E">
        <w:rPr>
          <w:noProof/>
        </w:rPr>
        <w:t>G</w:t>
      </w:r>
      <w:r w:rsidR="00EE455E">
        <w:t>: Work Process Flowcharts</w:t>
      </w:r>
      <w:r w:rsidR="0056674A">
        <w:t>.</w:t>
      </w:r>
    </w:p>
    <w:p w14:paraId="301BAE78" w14:textId="77777777" w:rsidR="002E3C00" w:rsidRDefault="002E3C00" w:rsidP="002E3C00">
      <w:pPr>
        <w:pStyle w:val="Heading4"/>
        <w:rPr>
          <w:b w:val="0"/>
        </w:rPr>
      </w:pPr>
      <w:r>
        <w:t>User Roles with Access to This Option</w:t>
      </w:r>
      <w:r>
        <w:rPr>
          <w:b w:val="0"/>
        </w:rPr>
        <w:t xml:space="preserve"> </w:t>
      </w:r>
    </w:p>
    <w:p w14:paraId="3100F1A9"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 (change user roles)</w:t>
      </w:r>
    </w:p>
    <w:p w14:paraId="0C439F7D"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 (view user roles)</w:t>
      </w:r>
    </w:p>
    <w:p w14:paraId="194A2FA4" w14:textId="77777777" w:rsidR="002E3C00" w:rsidRDefault="00B74754" w:rsidP="002E3C00">
      <w:pPr>
        <w:pStyle w:val="Heading4"/>
      </w:pPr>
      <w:r>
        <w:t>Preparation for Testing</w:t>
      </w:r>
    </w:p>
    <w:p w14:paraId="4E126704" w14:textId="77777777" w:rsidR="002E3C00" w:rsidRPr="00600497" w:rsidRDefault="002E3C00" w:rsidP="00925CAD">
      <w:pPr>
        <w:pStyle w:val="ListNumber"/>
        <w:numPr>
          <w:ilvl w:val="0"/>
          <w:numId w:val="28"/>
        </w:numPr>
        <w:tabs>
          <w:tab w:val="clear" w:pos="720"/>
          <w:tab w:val="num" w:pos="360"/>
        </w:tabs>
        <w:ind w:left="360"/>
      </w:pPr>
      <w:r>
        <w:t xml:space="preserve">It is </w:t>
      </w:r>
      <w:r w:rsidRPr="00600497">
        <w:t xml:space="preserve">recommended to assign one Lead Technologist on each shift to respond to system overrides. </w:t>
      </w:r>
    </w:p>
    <w:p w14:paraId="3306E663" w14:textId="77777777" w:rsidR="00DD41F5" w:rsidRPr="00FB7F8D" w:rsidRDefault="00DD41F5" w:rsidP="00925CAD">
      <w:pPr>
        <w:pStyle w:val="ListNumber"/>
        <w:numPr>
          <w:ilvl w:val="0"/>
          <w:numId w:val="28"/>
        </w:numPr>
        <w:tabs>
          <w:tab w:val="clear" w:pos="720"/>
          <w:tab w:val="num" w:pos="360"/>
        </w:tabs>
        <w:ind w:left="360"/>
      </w:pPr>
      <w:r w:rsidRPr="00600497">
        <w:t>Prin</w:t>
      </w:r>
      <w:r w:rsidRPr="00FB7F8D">
        <w:t>t</w:t>
      </w:r>
      <w:r>
        <w:t>, sign, date,</w:t>
      </w:r>
      <w:r w:rsidRPr="00FB7F8D">
        <w:t xml:space="preserve"> and save an </w:t>
      </w:r>
      <w:r>
        <w:t>A</w:t>
      </w:r>
      <w:r w:rsidRPr="00FB7F8D">
        <w:t xml:space="preserve">udit </w:t>
      </w:r>
      <w:r>
        <w:t>Trail R</w:t>
      </w:r>
      <w:r w:rsidRPr="00FB7F8D">
        <w:t>eport for your validation record.</w:t>
      </w:r>
    </w:p>
    <w:p w14:paraId="2AC126F4" w14:textId="77777777" w:rsidR="002E3C00" w:rsidRDefault="002E3C00" w:rsidP="00A57833">
      <w:pPr>
        <w:pStyle w:val="Heading3"/>
        <w:rPr>
          <w:snapToGrid w:val="0"/>
        </w:rPr>
      </w:pPr>
      <w:bookmarkStart w:id="750" w:name="_Toc114462112"/>
      <w:bookmarkStart w:id="751" w:name="_Toc163645039"/>
      <w:r>
        <w:rPr>
          <w:snapToGrid w:val="0"/>
        </w:rPr>
        <w:t>Testing</w:t>
      </w:r>
      <w:bookmarkEnd w:id="750"/>
      <w:bookmarkEnd w:id="751"/>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Testing</w:instrText>
      </w:r>
      <w:r w:rsidR="00992E88">
        <w:instrText xml:space="preserve">" </w:instrText>
      </w:r>
      <w:r w:rsidR="00992E88">
        <w:rPr>
          <w:snapToGrid w:val="0"/>
        </w:rPr>
        <w:fldChar w:fldCharType="end"/>
      </w:r>
    </w:p>
    <w:p w14:paraId="4F0020F4" w14:textId="77777777" w:rsidR="002E3C00" w:rsidRDefault="002E3C00" w:rsidP="002E3C00">
      <w:pPr>
        <w:pStyle w:val="BodyText"/>
        <w:rPr>
          <w:szCs w:val="15"/>
        </w:rPr>
      </w:pPr>
      <w:r>
        <w:rPr>
          <w:szCs w:val="15"/>
        </w:rPr>
        <w:t>Sample test scripts will be provided during the implementation of VBECS. Each site</w:t>
      </w:r>
      <w:r w:rsidRPr="00695B8D">
        <w:rPr>
          <w:szCs w:val="15"/>
        </w:rPr>
        <w:t xml:space="preserve"> </w:t>
      </w:r>
      <w:r>
        <w:rPr>
          <w:szCs w:val="15"/>
        </w:rPr>
        <w:t>must</w:t>
      </w:r>
      <w:r w:rsidRPr="00695B8D">
        <w:rPr>
          <w:szCs w:val="15"/>
        </w:rPr>
        <w:t xml:space="preserve"> evaluate </w:t>
      </w:r>
      <w:r>
        <w:rPr>
          <w:szCs w:val="15"/>
        </w:rPr>
        <w:t>the intended uses of the software</w:t>
      </w:r>
      <w:r w:rsidRPr="00695B8D">
        <w:rPr>
          <w:szCs w:val="15"/>
        </w:rPr>
        <w:t xml:space="preserve"> and make appropriate changes (additions</w:t>
      </w:r>
      <w:r>
        <w:rPr>
          <w:szCs w:val="15"/>
        </w:rPr>
        <w:t xml:space="preserve"> or deletions) to the</w:t>
      </w:r>
      <w:r w:rsidRPr="00695B8D">
        <w:rPr>
          <w:szCs w:val="15"/>
        </w:rPr>
        <w:t xml:space="preserve"> facility’s procedures</w:t>
      </w:r>
      <w:r>
        <w:rPr>
          <w:szCs w:val="15"/>
        </w:rPr>
        <w:t xml:space="preserve">, </w:t>
      </w:r>
      <w:r w:rsidRPr="00695B8D">
        <w:rPr>
          <w:szCs w:val="15"/>
        </w:rPr>
        <w:t>processes</w:t>
      </w:r>
      <w:r>
        <w:rPr>
          <w:szCs w:val="15"/>
        </w:rPr>
        <w:t>, policies, and test scripts</w:t>
      </w:r>
      <w:r w:rsidRPr="00695B8D">
        <w:rPr>
          <w:szCs w:val="15"/>
        </w:rPr>
        <w:t>.</w:t>
      </w:r>
      <w:r>
        <w:rPr>
          <w:szCs w:val="15"/>
        </w:rPr>
        <w:t xml:space="preserve"> </w:t>
      </w:r>
    </w:p>
    <w:p w14:paraId="52FD00F7" w14:textId="77777777" w:rsidR="002E3C00" w:rsidRDefault="002E3C00" w:rsidP="002E3C00">
      <w:pPr>
        <w:pStyle w:val="Caution"/>
        <w:rPr>
          <w:szCs w:val="15"/>
        </w:rPr>
      </w:pPr>
      <w:r w:rsidRPr="00695B8D">
        <w:rPr>
          <w:szCs w:val="15"/>
        </w:rPr>
        <w:t>You are required to validate your process</w:t>
      </w:r>
      <w:r>
        <w:rPr>
          <w:szCs w:val="15"/>
        </w:rPr>
        <w:t xml:space="preserve"> and how you use the software. You must also validate</w:t>
      </w:r>
      <w:r w:rsidRPr="00695B8D">
        <w:rPr>
          <w:szCs w:val="15"/>
        </w:rPr>
        <w:t xml:space="preserve"> the software </w:t>
      </w:r>
      <w:r>
        <w:rPr>
          <w:szCs w:val="15"/>
        </w:rPr>
        <w:t>itself</w:t>
      </w:r>
      <w:r w:rsidRPr="00695B8D">
        <w:rPr>
          <w:szCs w:val="15"/>
        </w:rPr>
        <w:t>.</w:t>
      </w:r>
      <w:r>
        <w:rPr>
          <w:szCs w:val="15"/>
        </w:rPr>
        <w:t xml:space="preserve"> </w:t>
      </w:r>
      <w:r>
        <w:t>Training users is an integral part of the validation process.</w:t>
      </w:r>
    </w:p>
    <w:p w14:paraId="4F1AD2C7" w14:textId="77777777" w:rsidR="002E3C00" w:rsidRDefault="00200B6D" w:rsidP="00A57833">
      <w:pPr>
        <w:pStyle w:val="Heading3"/>
      </w:pPr>
      <w:bookmarkStart w:id="752" w:name="_Toc85895801"/>
      <w:bookmarkStart w:id="753" w:name="_Toc113264257"/>
      <w:bookmarkStart w:id="754" w:name="_Toc114462113"/>
      <w:r>
        <w:br w:type="page"/>
      </w:r>
      <w:bookmarkStart w:id="755" w:name="_Toc163645040"/>
      <w:r w:rsidR="002E3C00">
        <w:lastRenderedPageBreak/>
        <w:t xml:space="preserve">VBECS </w:t>
      </w:r>
      <w:r w:rsidR="00297B5F">
        <w:t xml:space="preserve">Forms and </w:t>
      </w:r>
      <w:r w:rsidR="002E3C00">
        <w:t>Reports</w:t>
      </w:r>
      <w:bookmarkEnd w:id="752"/>
      <w:bookmarkEnd w:id="753"/>
      <w:bookmarkEnd w:id="754"/>
      <w:bookmarkEnd w:id="75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VBECS Forms and Reports</w:instrText>
      </w:r>
      <w:r w:rsidR="00992E88">
        <w:instrText xml:space="preserve">" </w:instrText>
      </w:r>
      <w:r w:rsidR="00992E88">
        <w:fldChar w:fldCharType="end"/>
      </w:r>
    </w:p>
    <w:p w14:paraId="53150E55" w14:textId="48BAC9C9" w:rsidR="00297B5F" w:rsidRDefault="002E3C00" w:rsidP="002E3C00">
      <w:pPr>
        <w:pStyle w:val="BodyText"/>
        <w:sectPr w:rsidR="00297B5F" w:rsidSect="00EE771C">
          <w:headerReference w:type="even" r:id="rId219"/>
          <w:pgSz w:w="12240" w:h="15840" w:code="1"/>
          <w:pgMar w:top="1440" w:right="1440" w:bottom="1440" w:left="1440" w:header="720" w:footer="720" w:gutter="0"/>
          <w:cols w:space="720"/>
          <w:docGrid w:linePitch="360"/>
        </w:sectPr>
      </w:pPr>
      <w:r>
        <w:t xml:space="preserve">Print </w:t>
      </w:r>
      <w:r w:rsidR="00AE3F2C">
        <w:t xml:space="preserve">and review these </w:t>
      </w:r>
      <w:r>
        <w:t xml:space="preserve">reports </w:t>
      </w:r>
      <w:r w:rsidR="00AE3F2C">
        <w:t>and forms at the end of</w:t>
      </w:r>
      <w:r>
        <w:t xml:space="preserve"> validation testing. </w:t>
      </w:r>
      <w:bookmarkStart w:id="756" w:name="Check1"/>
      <w:r w:rsidR="001D57AF">
        <w:t xml:space="preserve"> (See </w:t>
      </w:r>
      <w:r w:rsidR="001D57AF" w:rsidRPr="00077082">
        <w:rPr>
          <w:i/>
          <w:iCs/>
        </w:rPr>
        <w:t>FAQ Documenting</w:t>
      </w:r>
      <w:r w:rsidR="00A04AD4" w:rsidRPr="00077082">
        <w:rPr>
          <w:i/>
          <w:iCs/>
        </w:rPr>
        <w:t xml:space="preserve"> Unhandled Exceptions</w:t>
      </w:r>
      <w:r w:rsidR="00A04AD4">
        <w:t>)</w:t>
      </w:r>
    </w:p>
    <w:p w14:paraId="69D3BE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bookmarkEnd w:id="756"/>
      <w:r>
        <w:rPr>
          <w:snapToGrid w:val="0"/>
        </w:rPr>
        <w:t xml:space="preserve"> Administrative Data </w:t>
      </w:r>
    </w:p>
    <w:p w14:paraId="7B3682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Audit Trail </w:t>
      </w:r>
    </w:p>
    <w:p w14:paraId="752FCBC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Blood Availability </w:t>
      </w:r>
    </w:p>
    <w:p w14:paraId="45A8AAB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Cost Accounting </w:t>
      </w:r>
    </w:p>
    <w:p w14:paraId="72AA153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w:t>
      </w:r>
      <w:r>
        <w:t xml:space="preserve">C:T Ratio </w:t>
      </w:r>
    </w:p>
    <w:p w14:paraId="01FC6D39"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Division Transfusion </w:t>
      </w:r>
    </w:p>
    <w:p w14:paraId="4BF6C49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Division Workload </w:t>
      </w:r>
    </w:p>
    <w:p w14:paraId="54E117D2"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Exception </w:t>
      </w:r>
    </w:p>
    <w:p w14:paraId="5A5BB5E5"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Finalize/Print TRW</w:t>
      </w:r>
    </w:p>
    <w:p w14:paraId="0B5DED88"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Inappropriate Transfusion Request </w:t>
      </w:r>
    </w:p>
    <w:p w14:paraId="2D6E3DFE"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Issued/Returned </w:t>
      </w:r>
    </w:p>
    <w:p w14:paraId="794D0CF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Maintain Equipment (Print)</w:t>
      </w:r>
    </w:p>
    <w:p w14:paraId="1BF75BD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Order History </w:t>
      </w:r>
    </w:p>
    <w:p w14:paraId="7B8A0C9B" w14:textId="77777777" w:rsidR="00200B6D" w:rsidRDefault="00200B6D" w:rsidP="00200B6D">
      <w:pPr>
        <w:pStyle w:val="BodyText"/>
        <w:rPr>
          <w:snapToGrid w:val="0"/>
        </w:rPr>
      </w:pPr>
      <w:r>
        <w:rPr>
          <w:snapToGrid w:val="0"/>
        </w:rPr>
        <w:br w:type="column"/>
      </w: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Patient History </w:t>
      </w:r>
    </w:p>
    <w:p w14:paraId="7A129289" w14:textId="77777777" w:rsidR="002E3C00" w:rsidRDefault="002E3C00" w:rsidP="002E3C00">
      <w:pPr>
        <w:pStyle w:val="BodyText"/>
        <w:rPr>
          <w:snapToGrid w:val="0"/>
          <w:color w:val="00000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Print Unit Caution Tag &amp; Transfusion Record Form </w:t>
      </w:r>
    </w:p>
    <w:p w14:paraId="358C98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w:t>
      </w:r>
      <w:r>
        <w:t xml:space="preserve">Prolonged Transfusion Time </w:t>
      </w:r>
    </w:p>
    <w:p w14:paraId="6DBA445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Testing Worklist </w:t>
      </w:r>
    </w:p>
    <w:p w14:paraId="1DDC9D1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Transfusion Complications </w:t>
      </w:r>
    </w:p>
    <w:p w14:paraId="3382588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Transfusion Effectiveness </w:t>
      </w:r>
    </w:p>
    <w:p w14:paraId="2A8B64ED"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w:t>
      </w:r>
      <w:r>
        <w:t xml:space="preserve">Transfusion Reaction Count </w:t>
      </w:r>
    </w:p>
    <w:p w14:paraId="40AB93D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Transfusion Requirements </w:t>
      </w:r>
    </w:p>
    <w:p w14:paraId="115289D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Unit History </w:t>
      </w:r>
    </w:p>
    <w:p w14:paraId="267F2A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View/Print Equipment Inventory</w:t>
      </w:r>
    </w:p>
    <w:p w14:paraId="778543C6"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View/Print Inventory (Reagent)</w:t>
      </w:r>
    </w:p>
    <w:p w14:paraId="4E85F14C"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E2140B">
        <w:rPr>
          <w:snapToGrid w:val="0"/>
        </w:rPr>
      </w:r>
      <w:r w:rsidR="00E2140B">
        <w:rPr>
          <w:snapToGrid w:val="0"/>
        </w:rPr>
        <w:fldChar w:fldCharType="separate"/>
      </w:r>
      <w:r>
        <w:rPr>
          <w:snapToGrid w:val="0"/>
        </w:rPr>
        <w:fldChar w:fldCharType="end"/>
      </w:r>
      <w:r>
        <w:rPr>
          <w:snapToGrid w:val="0"/>
        </w:rPr>
        <w:t xml:space="preserve"> View/Print Supply Inventory</w:t>
      </w:r>
    </w:p>
    <w:p w14:paraId="0386DFE2" w14:textId="77777777" w:rsidR="00297B5F" w:rsidRDefault="00297B5F">
      <w:pPr>
        <w:pStyle w:val="Heading2"/>
        <w:sectPr w:rsidR="00297B5F" w:rsidSect="00EE771C">
          <w:type w:val="continuous"/>
          <w:pgSz w:w="12240" w:h="15840" w:code="1"/>
          <w:pgMar w:top="1440" w:right="1440" w:bottom="1440" w:left="1440" w:header="720" w:footer="720" w:gutter="0"/>
          <w:cols w:num="2" w:space="720"/>
          <w:docGrid w:linePitch="360"/>
        </w:sectPr>
      </w:pPr>
    </w:p>
    <w:p w14:paraId="1B97B4E6" w14:textId="7AB18B3F" w:rsidR="002A21AE" w:rsidRDefault="002A21AE">
      <w:pPr>
        <w:pStyle w:val="Heading2"/>
      </w:pPr>
      <w:bookmarkStart w:id="757" w:name="_Ref508960075"/>
      <w:bookmarkStart w:id="758" w:name="_Ref508960255"/>
      <w:bookmarkStart w:id="759" w:name="_Ref508960299"/>
      <w:bookmarkStart w:id="760" w:name="_Ref508960349"/>
      <w:bookmarkStart w:id="761" w:name="_Ref508960702"/>
      <w:bookmarkStart w:id="762" w:name="_Ref508960811"/>
      <w:bookmarkStart w:id="763" w:name="_Toc163645041"/>
      <w:r>
        <w:lastRenderedPageBreak/>
        <w:t xml:space="preserve">Appendix </w:t>
      </w:r>
      <w:r w:rsidR="001B0B0C">
        <w:rPr>
          <w:noProof/>
        </w:rPr>
        <w:t>G</w:t>
      </w:r>
      <w:r>
        <w:t xml:space="preserve">: </w:t>
      </w:r>
      <w:r w:rsidR="00681DED">
        <w:t>Work Process Flowcharts</w:t>
      </w:r>
      <w:bookmarkEnd w:id="757"/>
      <w:bookmarkEnd w:id="758"/>
      <w:bookmarkEnd w:id="759"/>
      <w:bookmarkEnd w:id="760"/>
      <w:bookmarkEnd w:id="761"/>
      <w:bookmarkEnd w:id="762"/>
      <w:bookmarkEnd w:id="763"/>
      <w:r>
        <w:fldChar w:fldCharType="begin"/>
      </w:r>
      <w:r>
        <w:instrText xml:space="preserve"> XE </w:instrText>
      </w:r>
      <w:r w:rsidR="00FA7E65">
        <w:instrText>“</w:instrText>
      </w:r>
      <w:r w:rsidR="00681DED">
        <w:instrText>Work Process Flowcharts</w:instrText>
      </w:r>
      <w:r w:rsidR="00FA7E65">
        <w:instrText>”</w:instrText>
      </w:r>
      <w:r>
        <w:instrText xml:space="preserve"> </w:instrText>
      </w:r>
      <w:r>
        <w:fldChar w:fldCharType="end"/>
      </w:r>
    </w:p>
    <w:p w14:paraId="2603A1D7" w14:textId="19F3AF65" w:rsidR="006D442F" w:rsidRDefault="006D442F" w:rsidP="006D442F">
      <w:pPr>
        <w:pStyle w:val="Caption"/>
      </w:pPr>
      <w:bookmarkStart w:id="764" w:name="_Ref50836787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122</w:t>
      </w:r>
      <w:r w:rsidR="004E20BD">
        <w:rPr>
          <w:noProof/>
        </w:rPr>
        <w:fldChar w:fldCharType="end"/>
      </w:r>
      <w:bookmarkEnd w:id="764"/>
      <w:r>
        <w:t>: Configure Division Settings: Full-Service Divisions</w:t>
      </w:r>
    </w:p>
    <w:p w14:paraId="7464771D" w14:textId="37303656" w:rsidR="007F032F" w:rsidRDefault="00627964" w:rsidP="00B31CBF">
      <w:pPr>
        <w:pStyle w:val="BodyText"/>
      </w:pPr>
      <w:r>
        <w:object w:dxaOrig="9595" w:dyaOrig="14410" w14:anchorId="5EB7BA31">
          <v:shape id="_x0000_i1034" type="#_x0000_t75" alt="Work Process Flowcharta" style="width:339pt;height:7in" o:ole="">
            <v:imagedata r:id="rId220" o:title=""/>
          </v:shape>
          <o:OLEObject Type="Embed" ProgID="Visio.Drawing.11" ShapeID="_x0000_i1034" DrawAspect="Content" ObjectID="_1777278639" r:id="rId221"/>
        </w:object>
      </w:r>
    </w:p>
    <w:p w14:paraId="4D3A94B6" w14:textId="295407B1" w:rsidR="006D442F" w:rsidRDefault="007F032F" w:rsidP="006D442F">
      <w:pPr>
        <w:pStyle w:val="Caption"/>
      </w:pPr>
      <w:r>
        <w:br w:type="page"/>
      </w:r>
      <w:bookmarkStart w:id="765" w:name="_Ref508368046"/>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123</w:t>
      </w:r>
      <w:r w:rsidR="004E20BD">
        <w:rPr>
          <w:noProof/>
        </w:rPr>
        <w:fldChar w:fldCharType="end"/>
      </w:r>
      <w:bookmarkEnd w:id="765"/>
      <w:r w:rsidR="006D442F">
        <w:t>: Configure Division Settings: Transfusion-Only Divisions</w:t>
      </w:r>
    </w:p>
    <w:p w14:paraId="5B67E9A6" w14:textId="2D3B0554" w:rsidR="00E5778C" w:rsidRDefault="00627964" w:rsidP="00B31CBF">
      <w:pPr>
        <w:pStyle w:val="BodyText"/>
      </w:pPr>
      <w:r>
        <w:object w:dxaOrig="7435" w:dyaOrig="14410" w14:anchorId="496ED972">
          <v:shape id="_x0000_i1035" type="#_x0000_t75" alt="Configure Division Settings: Transfusion-Only Division" style="width:295.5pt;height:8in;mso-position-vertical:absolute" o:ole="">
            <v:imagedata r:id="rId222" o:title=""/>
          </v:shape>
          <o:OLEObject Type="Embed" ProgID="Visio.Drawing.11" ShapeID="_x0000_i1035" DrawAspect="Content" ObjectID="_1777278640" r:id="rId223"/>
        </w:object>
      </w:r>
    </w:p>
    <w:p w14:paraId="3C7B75D9" w14:textId="6AA7624A" w:rsidR="006D442F" w:rsidRDefault="000753FE" w:rsidP="006D442F">
      <w:pPr>
        <w:pStyle w:val="Caption"/>
      </w:pPr>
      <w:r>
        <w:br w:type="page"/>
      </w:r>
      <w:bookmarkStart w:id="766" w:name="_Ref508369253"/>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124</w:t>
      </w:r>
      <w:r w:rsidR="004E20BD">
        <w:rPr>
          <w:noProof/>
        </w:rPr>
        <w:fldChar w:fldCharType="end"/>
      </w:r>
      <w:bookmarkEnd w:id="766"/>
      <w:r w:rsidR="006D442F">
        <w:t>: Maintain Reagents and Daily QC: Full Service Divisions</w:t>
      </w:r>
    </w:p>
    <w:p w14:paraId="6764D8ED" w14:textId="5D2A927F" w:rsidR="00F47ED0" w:rsidRPr="00F47ED0" w:rsidRDefault="00627964" w:rsidP="00B31CBF">
      <w:pPr>
        <w:pStyle w:val="BodyText"/>
      </w:pPr>
      <w:r>
        <w:object w:dxaOrig="10119" w:dyaOrig="10037" w14:anchorId="3C98B69E">
          <v:shape id="_x0000_i1036" type="#_x0000_t75" alt="Maintain Reagents and Daily QC: Full Service Divisions" style="width:468.75pt;height:460.5pt" o:ole="">
            <v:imagedata r:id="rId224" o:title=""/>
          </v:shape>
          <o:OLEObject Type="Embed" ProgID="Visio.Drawing.11" ShapeID="_x0000_i1036" DrawAspect="Content" ObjectID="_1777278641" r:id="rId225"/>
        </w:object>
      </w:r>
    </w:p>
    <w:p w14:paraId="22E2E6CC" w14:textId="77777777" w:rsidR="00292ED0" w:rsidRDefault="00292ED0" w:rsidP="00292ED0">
      <w:pPr>
        <w:pStyle w:val="Heading3"/>
        <w:sectPr w:rsidR="00292ED0" w:rsidSect="00EE771C">
          <w:pgSz w:w="12240" w:h="15840" w:code="1"/>
          <w:pgMar w:top="1440" w:right="1440" w:bottom="1440" w:left="1440" w:header="720" w:footer="720" w:gutter="0"/>
          <w:cols w:space="720"/>
          <w:docGrid w:linePitch="360"/>
        </w:sectPr>
      </w:pPr>
    </w:p>
    <w:p w14:paraId="75BCECC2" w14:textId="6C4832BE" w:rsidR="006D442F" w:rsidRDefault="006D442F" w:rsidP="006D442F">
      <w:pPr>
        <w:pStyle w:val="Caption"/>
      </w:pPr>
      <w:bookmarkStart w:id="767" w:name="_Ref50836943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125</w:t>
      </w:r>
      <w:r w:rsidR="004E20BD">
        <w:rPr>
          <w:noProof/>
        </w:rPr>
        <w:fldChar w:fldCharType="end"/>
      </w:r>
      <w:bookmarkEnd w:id="767"/>
      <w:r>
        <w:t>: Process Incoming Shipment: Full-Service Divisions</w:t>
      </w:r>
    </w:p>
    <w:p w14:paraId="6BD3C7B5" w14:textId="041696EC" w:rsidR="00292ED0" w:rsidRDefault="00EA6850" w:rsidP="00B31CBF">
      <w:pPr>
        <w:pStyle w:val="BodyText"/>
      </w:pPr>
      <w:r>
        <w:t xml:space="preserve"> </w:t>
      </w:r>
      <w:r w:rsidR="00627964">
        <w:object w:dxaOrig="14258" w:dyaOrig="10675" w14:anchorId="49A29AD2">
          <v:shape id="_x0000_i1037" type="#_x0000_t75" alt="Process Incoming Shipment: Full-Service Divisions" style="width:489.75pt;height:5in;mso-position-vertical:absolute" o:ole="">
            <v:imagedata r:id="rId226" o:title=""/>
          </v:shape>
          <o:OLEObject Type="Embed" ProgID="Visio.Drawing.11" ShapeID="_x0000_i1037" DrawAspect="Content" ObjectID="_1777278642" r:id="rId227"/>
        </w:object>
      </w:r>
      <w:r w:rsidR="00292ED0">
        <w:t xml:space="preserve"> </w:t>
      </w:r>
    </w:p>
    <w:p w14:paraId="36A16710" w14:textId="781238BF" w:rsidR="006D442F" w:rsidRDefault="00292ED0" w:rsidP="006D442F">
      <w:pPr>
        <w:pStyle w:val="Caption"/>
      </w:pPr>
      <w:r>
        <w:br w:type="page"/>
      </w:r>
      <w:bookmarkStart w:id="768" w:name="_Ref508370163"/>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126</w:t>
      </w:r>
      <w:r w:rsidR="004E20BD">
        <w:rPr>
          <w:noProof/>
        </w:rPr>
        <w:fldChar w:fldCharType="end"/>
      </w:r>
      <w:bookmarkEnd w:id="768"/>
      <w:r w:rsidR="006D442F">
        <w:t>: Process Incoming Shipment: Transfusion-Only Divisions</w:t>
      </w:r>
    </w:p>
    <w:p w14:paraId="68FB9179" w14:textId="385AE2DF" w:rsidR="00292ED0" w:rsidRDefault="00627964" w:rsidP="00B31CBF">
      <w:pPr>
        <w:pStyle w:val="BodyText"/>
        <w:sectPr w:rsidR="00292ED0" w:rsidSect="00EE771C">
          <w:footerReference w:type="default" r:id="rId228"/>
          <w:pgSz w:w="15840" w:h="12240" w:orient="landscape" w:code="1"/>
          <w:pgMar w:top="1440" w:right="1440" w:bottom="1440" w:left="1440" w:header="720" w:footer="720" w:gutter="0"/>
          <w:cols w:space="720"/>
          <w:docGrid w:linePitch="360"/>
        </w:sectPr>
      </w:pPr>
      <w:r>
        <w:object w:dxaOrig="12835" w:dyaOrig="9370" w14:anchorId="7E1A58CE">
          <v:shape id="_x0000_i1038" type="#_x0000_t75" alt="Process Incoming Shipment: Transfusion-Only Divisions" style="width:496.5pt;height:5in;mso-position-vertical:absolute" o:ole="">
            <v:imagedata r:id="rId229" o:title=""/>
          </v:shape>
          <o:OLEObject Type="Embed" ProgID="Visio.Drawing.11" ShapeID="_x0000_i1038" DrawAspect="Content" ObjectID="_1777278643" r:id="rId230"/>
        </w:object>
      </w:r>
    </w:p>
    <w:p w14:paraId="1608C5CC" w14:textId="4F25192E" w:rsidR="006D442F" w:rsidRDefault="006D442F" w:rsidP="006D442F">
      <w:pPr>
        <w:pStyle w:val="Caption"/>
      </w:pPr>
      <w:bookmarkStart w:id="769" w:name="_Ref508368325"/>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127</w:t>
      </w:r>
      <w:r w:rsidR="004E20BD">
        <w:rPr>
          <w:noProof/>
        </w:rPr>
        <w:fldChar w:fldCharType="end"/>
      </w:r>
      <w:bookmarkEnd w:id="769"/>
      <w:r>
        <w:t>: Modify Units</w:t>
      </w:r>
    </w:p>
    <w:p w14:paraId="6998D9BB" w14:textId="2FA8F07D" w:rsidR="00011FD2" w:rsidRDefault="00627964" w:rsidP="00011FD2">
      <w:pPr>
        <w:pStyle w:val="BodyText"/>
      </w:pPr>
      <w:r>
        <w:object w:dxaOrig="11058" w:dyaOrig="13019" w14:anchorId="53CDD3F7">
          <v:shape id="_x0000_i1039" type="#_x0000_t75" alt="Modify Units Flowchart" style="width:490.5pt;height:8in" o:ole="">
            <v:imagedata r:id="rId231" o:title=""/>
          </v:shape>
          <o:OLEObject Type="Embed" ProgID="Visio.Drawing.11" ShapeID="_x0000_i1039" DrawAspect="Content" ObjectID="_1777278644" r:id="rId232"/>
        </w:object>
      </w:r>
    </w:p>
    <w:p w14:paraId="27E5C4BC" w14:textId="6B78F1EC" w:rsidR="006D442F" w:rsidRDefault="00B31CBF" w:rsidP="006D442F">
      <w:pPr>
        <w:pStyle w:val="Caption"/>
      </w:pPr>
      <w:r>
        <w:br w:type="page"/>
      </w:r>
      <w:bookmarkStart w:id="770" w:name="_Ref508370524"/>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128</w:t>
      </w:r>
      <w:r w:rsidR="004E20BD">
        <w:rPr>
          <w:noProof/>
        </w:rPr>
        <w:fldChar w:fldCharType="end"/>
      </w:r>
      <w:bookmarkEnd w:id="770"/>
      <w:r w:rsidR="006D442F">
        <w:t>: Issue, Return or Transfuse Units: Full Service Divisions</w:t>
      </w:r>
    </w:p>
    <w:p w14:paraId="34B9260E" w14:textId="201C99DC" w:rsidR="00B31CBF" w:rsidRDefault="00847FF1" w:rsidP="00B31CBF">
      <w:pPr>
        <w:pStyle w:val="BodyText"/>
      </w:pPr>
      <w:r>
        <w:object w:dxaOrig="11018" w:dyaOrig="12880" w14:anchorId="1A4991C2">
          <v:shape id="_x0000_i1040" type="#_x0000_t75" alt="Issue, Return or Transfuse: Full Service Divisions flowchart" style="width:468pt;height:547.5pt;mso-position-vertical:absolute" o:ole="">
            <v:imagedata r:id="rId233" o:title=""/>
          </v:shape>
          <o:OLEObject Type="Embed" ProgID="Visio.Drawing.11" ShapeID="_x0000_i1040" DrawAspect="Content" ObjectID="_1777278645" r:id="rId234"/>
        </w:object>
      </w:r>
    </w:p>
    <w:p w14:paraId="3DF5C50C" w14:textId="6CF3F680" w:rsidR="006D442F" w:rsidRDefault="00B31CBF" w:rsidP="006D442F">
      <w:pPr>
        <w:pStyle w:val="Caption"/>
      </w:pPr>
      <w:r>
        <w:br w:type="page"/>
      </w:r>
      <w:bookmarkStart w:id="771" w:name="_Ref508370542"/>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129</w:t>
      </w:r>
      <w:r w:rsidR="004E20BD">
        <w:rPr>
          <w:noProof/>
        </w:rPr>
        <w:fldChar w:fldCharType="end"/>
      </w:r>
      <w:bookmarkEnd w:id="771"/>
      <w:r w:rsidR="006D442F">
        <w:t>: Issue, or Transfuse: Transfusion-Only Divisions</w:t>
      </w:r>
    </w:p>
    <w:p w14:paraId="18952EA9" w14:textId="5759F595" w:rsidR="00B31CBF" w:rsidRDefault="00EC2164" w:rsidP="00B31CBF">
      <w:pPr>
        <w:pStyle w:val="BodyText"/>
        <w:sectPr w:rsidR="00B31CBF" w:rsidSect="00EE771C">
          <w:footerReference w:type="default" r:id="rId235"/>
          <w:pgSz w:w="12240" w:h="15840" w:code="1"/>
          <w:pgMar w:top="1440" w:right="1440" w:bottom="1440" w:left="1440" w:header="720" w:footer="720" w:gutter="0"/>
          <w:cols w:space="720"/>
          <w:docGrid w:linePitch="360"/>
        </w:sectPr>
      </w:pPr>
      <w:r>
        <w:object w:dxaOrig="8917" w:dyaOrig="11170" w14:anchorId="13698FF4">
          <v:shape id="_x0000_i1041" type="#_x0000_t75" alt="Issue or Transfuse: Transfusion-Only Divisions flowchart" style="width:462pt;height:8in;mso-position-vertical:absolute" o:ole="">
            <v:imagedata r:id="rId236" o:title=""/>
          </v:shape>
          <o:OLEObject Type="Embed" ProgID="Visio.Drawing.11" ShapeID="_x0000_i1041" DrawAspect="Content" ObjectID="_1777278646" r:id="rId237"/>
        </w:object>
      </w:r>
    </w:p>
    <w:p w14:paraId="2E2BBFF2" w14:textId="1AAA5967" w:rsidR="006D442F" w:rsidRDefault="006D442F" w:rsidP="006D442F">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130</w:t>
      </w:r>
      <w:r w:rsidR="004E20BD">
        <w:rPr>
          <w:noProof/>
        </w:rPr>
        <w:fldChar w:fldCharType="end"/>
      </w:r>
      <w:r>
        <w:t>: Process a Patient Order</w:t>
      </w:r>
    </w:p>
    <w:p w14:paraId="5F6F6361" w14:textId="6BA6645A" w:rsidR="00B31CBF" w:rsidRDefault="00F44E08" w:rsidP="00B31CBF">
      <w:pPr>
        <w:pStyle w:val="BodyText"/>
      </w:pPr>
      <w:r>
        <w:object w:dxaOrig="13914" w:dyaOrig="9592" w14:anchorId="53C43A43">
          <v:shape id="_x0000_i1042" type="#_x0000_t75" alt="Process a Patient Order flow diagram" style="width:525pt;height:5in" o:ole="">
            <v:imagedata r:id="rId238" o:title=""/>
          </v:shape>
          <o:OLEObject Type="Embed" ProgID="Visio.Drawing.11" ShapeID="_x0000_i1042" DrawAspect="Content" ObjectID="_1777278647" r:id="rId239"/>
        </w:object>
      </w:r>
    </w:p>
    <w:p w14:paraId="4F44707B" w14:textId="694E0C29" w:rsidR="006D442F" w:rsidRDefault="00B31CBF" w:rsidP="006D442F">
      <w:pPr>
        <w:pStyle w:val="Caption"/>
      </w:pPr>
      <w:r>
        <w:br w:type="page"/>
      </w:r>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131</w:t>
      </w:r>
      <w:r w:rsidR="004E20BD">
        <w:rPr>
          <w:noProof/>
        </w:rPr>
        <w:fldChar w:fldCharType="end"/>
      </w:r>
      <w:r w:rsidR="006D442F">
        <w:t>: Patient Testing</w:t>
      </w:r>
    </w:p>
    <w:p w14:paraId="0F9BFC46" w14:textId="6549D5F8" w:rsidR="00B31CBF" w:rsidRDefault="00B31CBF" w:rsidP="00B31CBF">
      <w:pPr>
        <w:pStyle w:val="BodyText"/>
      </w:pPr>
      <w:r>
        <w:t xml:space="preserve"> </w:t>
      </w:r>
      <w:r w:rsidR="00F44E08">
        <w:object w:dxaOrig="14245" w:dyaOrig="9235" w14:anchorId="29FC0624">
          <v:shape id="_x0000_i1043" type="#_x0000_t75" alt="Patient Testing flow diagram" style="width:554.25pt;height:5in" o:ole="">
            <v:imagedata r:id="rId240" o:title=""/>
          </v:shape>
          <o:OLEObject Type="Embed" ProgID="Visio.Drawing.11" ShapeID="_x0000_i1043" DrawAspect="Content" ObjectID="_1777278648" r:id="rId241"/>
        </w:object>
      </w:r>
    </w:p>
    <w:p w14:paraId="6E29B7E2" w14:textId="77777777" w:rsidR="000F62D6" w:rsidRDefault="000F62D6" w:rsidP="00B31CBF">
      <w:pPr>
        <w:pStyle w:val="Heading3"/>
        <w:sectPr w:rsidR="000F62D6" w:rsidSect="00EE771C">
          <w:footerReference w:type="default" r:id="rId242"/>
          <w:pgSz w:w="15840" w:h="12240" w:orient="landscape" w:code="1"/>
          <w:pgMar w:top="1440" w:right="1440" w:bottom="1440" w:left="1440" w:header="720" w:footer="720" w:gutter="0"/>
          <w:cols w:space="720"/>
          <w:docGrid w:linePitch="360"/>
        </w:sectPr>
      </w:pPr>
    </w:p>
    <w:p w14:paraId="51804A9E" w14:textId="24EFAFDB" w:rsidR="003D7CE8" w:rsidRPr="00E309DC" w:rsidRDefault="003D7CE8" w:rsidP="00CB2427">
      <w:pPr>
        <w:pStyle w:val="Heading2"/>
        <w:rPr>
          <w:b w:val="0"/>
          <w:bCs w:val="0"/>
          <w:i w:val="0"/>
          <w:sz w:val="18"/>
          <w:szCs w:val="18"/>
        </w:rPr>
      </w:pPr>
      <w:bookmarkStart w:id="772" w:name="_Ref300911707"/>
      <w:bookmarkStart w:id="773" w:name="_Toc163645042"/>
      <w:bookmarkStart w:id="774" w:name="_Hlk4563241"/>
      <w:bookmarkStart w:id="775" w:name="_Ref170005444"/>
      <w:r>
        <w:lastRenderedPageBreak/>
        <w:t xml:space="preserve">Appendix </w:t>
      </w:r>
      <w:r w:rsidR="001B0B0C">
        <w:rPr>
          <w:noProof/>
        </w:rPr>
        <w:t>H</w:t>
      </w:r>
      <w:r>
        <w:t>: Frequently Asked Questions</w:t>
      </w:r>
      <w:bookmarkEnd w:id="772"/>
      <w:bookmarkEnd w:id="773"/>
      <w:r>
        <w:fldChar w:fldCharType="begin"/>
      </w:r>
      <w:r>
        <w:instrText xml:space="preserve"> XE "Frequently Asked Questions" </w:instrText>
      </w:r>
      <w:r>
        <w:fldChar w:fldCharType="end"/>
      </w:r>
      <w:r>
        <w:t xml:space="preserve"> </w:t>
      </w:r>
      <w:r w:rsidRPr="003D7CE8">
        <w:rPr>
          <w:b w:val="0"/>
          <w:bCs w:val="0"/>
          <w:i w:val="0"/>
          <w:vanish/>
          <w:sz w:val="18"/>
          <w:szCs w:val="18"/>
        </w:rPr>
        <w:t>Appendix added for DR 3971</w:t>
      </w:r>
    </w:p>
    <w:p w14:paraId="0E128A29" w14:textId="77777777" w:rsidR="00770D97" w:rsidRDefault="003D7CE8" w:rsidP="00E309DC">
      <w:pPr>
        <w:pStyle w:val="BodyText"/>
      </w:pPr>
      <w:r w:rsidRPr="005129F7">
        <w:t>Frequently Asked Ques</w:t>
      </w:r>
      <w:r w:rsidR="006340B9">
        <w:t xml:space="preserve">tions (FAQs) are </w:t>
      </w:r>
      <w:r w:rsidRPr="005129F7">
        <w:t xml:space="preserve">released as </w:t>
      </w:r>
      <w:r w:rsidR="004E2AB6" w:rsidRPr="005129F7">
        <w:t>standalone</w:t>
      </w:r>
      <w:r w:rsidRPr="005129F7">
        <w:t xml:space="preserve"> documents. </w:t>
      </w:r>
    </w:p>
    <w:p w14:paraId="70EF4F1C" w14:textId="77777777" w:rsidR="00770D97" w:rsidRDefault="003D7CE8" w:rsidP="00E309DC">
      <w:pPr>
        <w:pStyle w:val="BodyText"/>
      </w:pPr>
      <w:r w:rsidRPr="005129F7">
        <w:t>Topi</w:t>
      </w:r>
      <w:r w:rsidR="006340B9">
        <w:t xml:space="preserve">cs are </w:t>
      </w:r>
      <w:r w:rsidR="001C317F" w:rsidRPr="005129F7">
        <w:t xml:space="preserve">explained in a </w:t>
      </w:r>
      <w:r w:rsidRPr="005129F7">
        <w:t>question and answer</w:t>
      </w:r>
      <w:r w:rsidR="001C317F" w:rsidRPr="005129F7">
        <w:t xml:space="preserve"> format</w:t>
      </w:r>
      <w:r w:rsidRPr="005129F7">
        <w:t>.</w:t>
      </w:r>
      <w:r w:rsidR="00EB3B6D">
        <w:t xml:space="preserve"> </w:t>
      </w:r>
    </w:p>
    <w:p w14:paraId="41BB706E" w14:textId="7C171518" w:rsidR="003D7CE8" w:rsidRDefault="00EB3B6D" w:rsidP="00E309DC">
      <w:pPr>
        <w:pStyle w:val="BodyText"/>
      </w:pPr>
      <w:r>
        <w:t xml:space="preserve">FAQs are available at the </w:t>
      </w:r>
      <w:r w:rsidR="00711206" w:rsidRPr="00711206">
        <w:rPr>
          <w:highlight w:val="yellow"/>
        </w:rPr>
        <w:t>REDACTED</w:t>
      </w:r>
      <w:r w:rsidR="009E642E">
        <w:t xml:space="preserve"> and are version specific</w:t>
      </w:r>
      <w:r w:rsidR="00770D97">
        <w:t>.</w:t>
      </w:r>
    </w:p>
    <w:bookmarkEnd w:id="774"/>
    <w:p w14:paraId="01BE9862" w14:textId="4705A5E6" w:rsidR="00D64A23" w:rsidRDefault="00566EC6" w:rsidP="00AD591C">
      <w:pPr>
        <w:pStyle w:val="Heading2"/>
      </w:pPr>
      <w:r>
        <w:br w:type="page"/>
      </w:r>
      <w:bookmarkStart w:id="776" w:name="_Toc163645043"/>
      <w:r w:rsidR="0059697E" w:rsidRPr="00566EC6">
        <w:lastRenderedPageBreak/>
        <w:t xml:space="preserve">Appendix </w:t>
      </w:r>
      <w:r w:rsidR="001B0B0C">
        <w:rPr>
          <w:noProof/>
        </w:rPr>
        <w:t>I</w:t>
      </w:r>
      <w:r w:rsidR="0059697E" w:rsidRPr="00566EC6">
        <w:t xml:space="preserve">: </w:t>
      </w:r>
      <w:r w:rsidR="00CD6052" w:rsidRPr="00566EC6">
        <w:t>Common Error Corrections</w:t>
      </w:r>
      <w:bookmarkEnd w:id="776"/>
      <w:r w:rsidR="00D64A23" w:rsidRPr="00566EC6">
        <w:fldChar w:fldCharType="begin"/>
      </w:r>
      <w:r w:rsidR="00D64A23" w:rsidRPr="00566EC6">
        <w:instrText xml:space="preserve"> XE "</w:instrText>
      </w:r>
      <w:r w:rsidR="00CD6052" w:rsidRPr="00566EC6">
        <w:instrText>Common Error Corrections</w:instrText>
      </w:r>
      <w:r w:rsidR="00D64A23" w:rsidRPr="00566EC6">
        <w:instrText xml:space="preserve">" </w:instrText>
      </w:r>
      <w:r w:rsidR="00D64A23" w:rsidRPr="00566EC6">
        <w:fldChar w:fldCharType="end"/>
      </w:r>
    </w:p>
    <w:p w14:paraId="07E89D1B" w14:textId="77777777" w:rsidR="00F8157F" w:rsidRPr="00233049" w:rsidRDefault="00233049" w:rsidP="00D64A23">
      <w:pPr>
        <w:rPr>
          <w:rFonts w:ascii="Arial" w:hAnsi="Arial" w:cs="Arial"/>
          <w:bCs/>
          <w:vanish/>
          <w:sz w:val="18"/>
          <w:szCs w:val="18"/>
        </w:rPr>
      </w:pPr>
      <w:r w:rsidRPr="00233049">
        <w:rPr>
          <w:rFonts w:ascii="Arial" w:hAnsi="Arial" w:cs="Arial"/>
          <w:bCs/>
          <w:vanish/>
          <w:sz w:val="18"/>
          <w:szCs w:val="18"/>
        </w:rPr>
        <w:t>Appendix added for DR 3,673</w:t>
      </w:r>
      <w:r w:rsidR="004C5B40">
        <w:rPr>
          <w:rFonts w:ascii="Arial" w:hAnsi="Arial" w:cs="Arial"/>
          <w:bCs/>
          <w:vanish/>
          <w:sz w:val="18"/>
          <w:szCs w:val="18"/>
        </w:rPr>
        <w:t xml:space="preserve"> and DR 3638</w:t>
      </w:r>
    </w:p>
    <w:p w14:paraId="01DFBC74" w14:textId="77777777" w:rsidR="00D64A23" w:rsidRPr="00C2774B" w:rsidRDefault="00D64A23" w:rsidP="00C2774B">
      <w:pPr>
        <w:pStyle w:val="Heading3"/>
      </w:pPr>
      <w:bookmarkStart w:id="777" w:name="_Toc163645044"/>
      <w:r w:rsidRPr="00C2774B">
        <w:t xml:space="preserve">Correct </w:t>
      </w:r>
      <w:r w:rsidR="00F8157F" w:rsidRPr="00C2774B">
        <w:t>Patient Test Results</w:t>
      </w:r>
      <w:bookmarkEnd w:id="777"/>
    </w:p>
    <w:p w14:paraId="7F4D559D" w14:textId="77777777" w:rsidR="00F915DD" w:rsidRPr="00092A53" w:rsidRDefault="00F915DD" w:rsidP="00F915DD">
      <w:pPr>
        <w:rPr>
          <w:b/>
          <w:sz w:val="22"/>
          <w:szCs w:val="22"/>
        </w:rPr>
      </w:pPr>
      <w:r w:rsidRPr="00092A53">
        <w:rPr>
          <w:b/>
          <w:sz w:val="22"/>
          <w:szCs w:val="22"/>
        </w:rPr>
        <w:t>Define the problem:</w:t>
      </w:r>
    </w:p>
    <w:p w14:paraId="54DA74C8" w14:textId="77777777" w:rsidR="00F915DD" w:rsidRPr="00092A53" w:rsidRDefault="00F915DD" w:rsidP="00F915DD">
      <w:pPr>
        <w:ind w:firstLine="720"/>
        <w:rPr>
          <w:sz w:val="22"/>
          <w:szCs w:val="22"/>
        </w:rPr>
      </w:pPr>
      <w:r w:rsidRPr="00092A53">
        <w:rPr>
          <w:sz w:val="22"/>
          <w:szCs w:val="22"/>
        </w:rPr>
        <w:t>Specifically what data needs correction?</w:t>
      </w:r>
    </w:p>
    <w:p w14:paraId="5BBEF332" w14:textId="77777777" w:rsidR="00F915DD" w:rsidRPr="00092A53" w:rsidRDefault="00F915DD" w:rsidP="00F915DD">
      <w:pPr>
        <w:ind w:firstLine="720"/>
        <w:rPr>
          <w:sz w:val="22"/>
          <w:szCs w:val="22"/>
        </w:rPr>
      </w:pPr>
      <w:r w:rsidRPr="00092A53">
        <w:rPr>
          <w:sz w:val="22"/>
          <w:szCs w:val="22"/>
        </w:rPr>
        <w:t>Is it a patient test?</w:t>
      </w:r>
    </w:p>
    <w:p w14:paraId="4784BD80" w14:textId="77777777" w:rsidR="00F915DD" w:rsidRPr="00092A53" w:rsidRDefault="00F915DD" w:rsidP="00F915DD">
      <w:pPr>
        <w:ind w:firstLine="720"/>
        <w:rPr>
          <w:sz w:val="22"/>
          <w:szCs w:val="22"/>
        </w:rPr>
      </w:pPr>
      <w:r w:rsidRPr="00092A53">
        <w:rPr>
          <w:sz w:val="22"/>
          <w:szCs w:val="22"/>
        </w:rPr>
        <w:t>Are any units assigned to the specimen UID associated with this patient order?</w:t>
      </w:r>
    </w:p>
    <w:p w14:paraId="4A66A666" w14:textId="77777777" w:rsidR="00F915DD" w:rsidRPr="00092A53" w:rsidRDefault="00F915DD" w:rsidP="00D64A23">
      <w:pPr>
        <w:rPr>
          <w:sz w:val="22"/>
          <w:szCs w:val="22"/>
        </w:rPr>
      </w:pPr>
    </w:p>
    <w:p w14:paraId="5F0A7B28" w14:textId="77777777" w:rsidR="006730CD" w:rsidRPr="00092A53" w:rsidRDefault="00D64A23" w:rsidP="00D64A23">
      <w:pPr>
        <w:rPr>
          <w:sz w:val="22"/>
          <w:szCs w:val="22"/>
        </w:rPr>
      </w:pPr>
      <w:r w:rsidRPr="00092A53">
        <w:rPr>
          <w:sz w:val="22"/>
          <w:szCs w:val="22"/>
        </w:rPr>
        <w:t xml:space="preserve">The </w:t>
      </w:r>
      <w:r w:rsidR="006730CD" w:rsidRPr="00092A53">
        <w:rPr>
          <w:sz w:val="22"/>
          <w:szCs w:val="22"/>
        </w:rPr>
        <w:t xml:space="preserve">path to transfusion is linear and </w:t>
      </w:r>
      <w:r w:rsidRPr="00092A53">
        <w:rPr>
          <w:sz w:val="22"/>
          <w:szCs w:val="22"/>
        </w:rPr>
        <w:t>follow</w:t>
      </w:r>
      <w:r w:rsidR="006730CD" w:rsidRPr="00092A53">
        <w:rPr>
          <w:sz w:val="22"/>
          <w:szCs w:val="22"/>
        </w:rPr>
        <w:t>s</w:t>
      </w:r>
      <w:r w:rsidRPr="00092A53">
        <w:rPr>
          <w:sz w:val="22"/>
          <w:szCs w:val="22"/>
        </w:rPr>
        <w:t xml:space="preserve"> the path from assignment to issue to transfusion. VBECS requires the unit-patient </w:t>
      </w:r>
      <w:r w:rsidR="006730CD" w:rsidRPr="00092A53">
        <w:rPr>
          <w:sz w:val="22"/>
          <w:szCs w:val="22"/>
        </w:rPr>
        <w:t xml:space="preserve">connection to be </w:t>
      </w:r>
      <w:r w:rsidR="00423CC1" w:rsidRPr="00092A53">
        <w:rPr>
          <w:sz w:val="22"/>
          <w:szCs w:val="22"/>
        </w:rPr>
        <w:t>severed</w:t>
      </w:r>
      <w:r w:rsidR="006730CD" w:rsidRPr="00092A53">
        <w:rPr>
          <w:sz w:val="22"/>
          <w:szCs w:val="22"/>
        </w:rPr>
        <w:t xml:space="preserve"> in order to </w:t>
      </w:r>
      <w:r w:rsidR="00423CC1" w:rsidRPr="00092A53">
        <w:rPr>
          <w:sz w:val="22"/>
          <w:szCs w:val="22"/>
        </w:rPr>
        <w:t>change</w:t>
      </w:r>
      <w:r w:rsidRPr="00092A53">
        <w:rPr>
          <w:sz w:val="22"/>
          <w:szCs w:val="22"/>
        </w:rPr>
        <w:t xml:space="preserve"> patient testing used to evaluate compatibility.</w:t>
      </w:r>
    </w:p>
    <w:p w14:paraId="3023A126" w14:textId="77777777" w:rsidR="00D64A23" w:rsidRPr="00092A53" w:rsidRDefault="00D64A23" w:rsidP="00D64A23">
      <w:pPr>
        <w:rPr>
          <w:sz w:val="22"/>
          <w:szCs w:val="22"/>
        </w:rPr>
      </w:pPr>
      <w:r w:rsidRPr="00092A53">
        <w:rPr>
          <w:b/>
          <w:sz w:val="22"/>
          <w:szCs w:val="22"/>
        </w:rPr>
        <w:t>All the units must be released from assignment, no matter when the error occurred and needs correction.</w:t>
      </w:r>
      <w:r w:rsidR="006B6B74" w:rsidRPr="00092A53">
        <w:rPr>
          <w:sz w:val="22"/>
          <w:szCs w:val="22"/>
        </w:rPr>
        <w:t xml:space="preserve">  </w:t>
      </w:r>
      <w:r w:rsidRPr="00092A53">
        <w:rPr>
          <w:sz w:val="22"/>
          <w:szCs w:val="22"/>
        </w:rPr>
        <w:t xml:space="preserve">VBECS requires undoing all of the unit associations </w:t>
      </w:r>
      <w:r w:rsidR="006730CD" w:rsidRPr="00092A53">
        <w:rPr>
          <w:sz w:val="22"/>
          <w:szCs w:val="22"/>
        </w:rPr>
        <w:t xml:space="preserve">so the computer can re-evaluate the corrected </w:t>
      </w:r>
      <w:r w:rsidRPr="00092A53">
        <w:rPr>
          <w:sz w:val="22"/>
          <w:szCs w:val="22"/>
        </w:rPr>
        <w:t>information entered</w:t>
      </w:r>
      <w:r w:rsidR="006730CD" w:rsidRPr="00092A53">
        <w:rPr>
          <w:sz w:val="22"/>
          <w:szCs w:val="22"/>
        </w:rPr>
        <w:t xml:space="preserve"> and </w:t>
      </w:r>
      <w:r w:rsidRPr="00092A53">
        <w:rPr>
          <w:sz w:val="22"/>
          <w:szCs w:val="22"/>
        </w:rPr>
        <w:t xml:space="preserve">present any warnings </w:t>
      </w:r>
      <w:r w:rsidR="006730CD" w:rsidRPr="00092A53">
        <w:rPr>
          <w:sz w:val="22"/>
          <w:szCs w:val="22"/>
        </w:rPr>
        <w:t>or</w:t>
      </w:r>
      <w:r w:rsidRPr="00092A53">
        <w:rPr>
          <w:sz w:val="22"/>
          <w:szCs w:val="22"/>
        </w:rPr>
        <w:t xml:space="preserve"> overrides based on th</w:t>
      </w:r>
      <w:r w:rsidR="006730CD" w:rsidRPr="00092A53">
        <w:rPr>
          <w:sz w:val="22"/>
          <w:szCs w:val="22"/>
        </w:rPr>
        <w:t>at</w:t>
      </w:r>
      <w:r w:rsidRPr="00092A53">
        <w:rPr>
          <w:sz w:val="22"/>
          <w:szCs w:val="22"/>
        </w:rPr>
        <w:t xml:space="preserve"> new information.</w:t>
      </w:r>
    </w:p>
    <w:p w14:paraId="61E9ECB2" w14:textId="77777777" w:rsidR="00D64A23" w:rsidRPr="00092A53" w:rsidRDefault="00D64A23" w:rsidP="00D64A23">
      <w:pPr>
        <w:rPr>
          <w:sz w:val="22"/>
          <w:szCs w:val="22"/>
        </w:rPr>
      </w:pPr>
    </w:p>
    <w:p w14:paraId="662A43DA" w14:textId="77777777" w:rsidR="00D64A23" w:rsidRPr="00092A53" w:rsidRDefault="00D64A23" w:rsidP="00D64A23">
      <w:pPr>
        <w:rPr>
          <w:sz w:val="22"/>
          <w:szCs w:val="22"/>
        </w:rPr>
      </w:pPr>
      <w:r w:rsidRPr="00092A53">
        <w:rPr>
          <w:sz w:val="22"/>
          <w:szCs w:val="22"/>
        </w:rPr>
        <w:t>Information to gather before you start trying to correct any test results:</w:t>
      </w:r>
    </w:p>
    <w:p w14:paraId="7E79DE34" w14:textId="77777777" w:rsidR="00D64A23" w:rsidRPr="00092A53" w:rsidRDefault="00D64A23" w:rsidP="00925CAD">
      <w:pPr>
        <w:numPr>
          <w:ilvl w:val="0"/>
          <w:numId w:val="33"/>
        </w:numPr>
        <w:spacing w:line="276" w:lineRule="auto"/>
        <w:rPr>
          <w:sz w:val="22"/>
          <w:szCs w:val="22"/>
        </w:rPr>
      </w:pPr>
      <w:r w:rsidRPr="00092A53">
        <w:rPr>
          <w:sz w:val="22"/>
          <w:szCs w:val="22"/>
        </w:rPr>
        <w:t xml:space="preserve">Actual dates/times of processing for retrospective data entry </w:t>
      </w:r>
    </w:p>
    <w:p w14:paraId="244E7331" w14:textId="77777777" w:rsidR="00D64A23" w:rsidRPr="00092A53" w:rsidRDefault="00D64A23" w:rsidP="00925CAD">
      <w:pPr>
        <w:numPr>
          <w:ilvl w:val="1"/>
          <w:numId w:val="33"/>
        </w:numPr>
        <w:spacing w:line="276" w:lineRule="auto"/>
        <w:ind w:left="1080"/>
        <w:rPr>
          <w:sz w:val="22"/>
          <w:szCs w:val="22"/>
        </w:rPr>
      </w:pPr>
      <w:r w:rsidRPr="00092A53">
        <w:rPr>
          <w:sz w:val="22"/>
          <w:szCs w:val="22"/>
        </w:rPr>
        <w:t>Testing Worklist Report: Test result entry information details from the testing grids, reaction results, tech who did the work, any comments they entered</w:t>
      </w:r>
    </w:p>
    <w:p w14:paraId="70A5F3D7" w14:textId="77777777" w:rsidR="00D64A23" w:rsidRPr="00092A53" w:rsidRDefault="00D64A23" w:rsidP="00925CAD">
      <w:pPr>
        <w:numPr>
          <w:ilvl w:val="1"/>
          <w:numId w:val="33"/>
        </w:numPr>
        <w:spacing w:line="276" w:lineRule="auto"/>
        <w:ind w:left="1080"/>
        <w:rPr>
          <w:sz w:val="22"/>
          <w:szCs w:val="22"/>
        </w:rPr>
      </w:pPr>
      <w:r w:rsidRPr="00092A53">
        <w:rPr>
          <w:sz w:val="22"/>
          <w:szCs w:val="22"/>
        </w:rPr>
        <w:t>Unit History Report: Unit modification, Issue and Transfusion details</w:t>
      </w:r>
    </w:p>
    <w:p w14:paraId="29888587" w14:textId="77777777" w:rsidR="00D64A23" w:rsidRPr="00092A53" w:rsidRDefault="00D64A23" w:rsidP="00925CAD">
      <w:pPr>
        <w:numPr>
          <w:ilvl w:val="1"/>
          <w:numId w:val="33"/>
        </w:numPr>
        <w:spacing w:line="276" w:lineRule="auto"/>
        <w:ind w:left="1080"/>
        <w:rPr>
          <w:sz w:val="22"/>
          <w:szCs w:val="22"/>
        </w:rPr>
      </w:pPr>
      <w:r w:rsidRPr="00092A53">
        <w:rPr>
          <w:sz w:val="22"/>
          <w:szCs w:val="22"/>
        </w:rPr>
        <w:t>Patient History Report: Other patient information</w:t>
      </w:r>
    </w:p>
    <w:p w14:paraId="757760C9" w14:textId="77777777" w:rsidR="00D64A23" w:rsidRPr="00092A53" w:rsidRDefault="00D64A23" w:rsidP="00925CAD">
      <w:pPr>
        <w:numPr>
          <w:ilvl w:val="1"/>
          <w:numId w:val="33"/>
        </w:numPr>
        <w:spacing w:line="276" w:lineRule="auto"/>
        <w:ind w:left="1080"/>
        <w:rPr>
          <w:sz w:val="22"/>
          <w:szCs w:val="22"/>
        </w:rPr>
      </w:pPr>
      <w:r w:rsidRPr="00092A53">
        <w:rPr>
          <w:sz w:val="22"/>
          <w:szCs w:val="22"/>
        </w:rPr>
        <w:t>Order History report: See the search option only for the CPRS Order Number if you have to retrieve an expired order. You do not need to actually open the report.</w:t>
      </w:r>
    </w:p>
    <w:p w14:paraId="7FC8E990" w14:textId="77777777" w:rsidR="00D64A23" w:rsidRPr="00092A53" w:rsidRDefault="00D64A23" w:rsidP="00925CAD">
      <w:pPr>
        <w:numPr>
          <w:ilvl w:val="1"/>
          <w:numId w:val="33"/>
        </w:numPr>
        <w:spacing w:line="276" w:lineRule="auto"/>
        <w:ind w:left="1080"/>
        <w:rPr>
          <w:sz w:val="22"/>
          <w:szCs w:val="22"/>
        </w:rPr>
      </w:pPr>
      <w:r w:rsidRPr="00092A53">
        <w:rPr>
          <w:sz w:val="22"/>
          <w:szCs w:val="22"/>
        </w:rPr>
        <w:t>Any offline results that may need to be entered.</w:t>
      </w:r>
    </w:p>
    <w:p w14:paraId="59B544E7" w14:textId="087742B4" w:rsidR="00D64A23" w:rsidRPr="00092A53" w:rsidRDefault="000A750D" w:rsidP="00925CAD">
      <w:pPr>
        <w:numPr>
          <w:ilvl w:val="1"/>
          <w:numId w:val="33"/>
        </w:numPr>
        <w:spacing w:line="276" w:lineRule="auto"/>
        <w:ind w:left="1080"/>
        <w:rPr>
          <w:sz w:val="22"/>
          <w:szCs w:val="22"/>
        </w:rPr>
      </w:pPr>
      <w:r>
        <w:rPr>
          <w:sz w:val="22"/>
          <w:szCs w:val="22"/>
        </w:rPr>
        <w:t>Tracking system</w:t>
      </w:r>
      <w:r w:rsidR="00D64A23" w:rsidRPr="00092A53">
        <w:rPr>
          <w:sz w:val="22"/>
          <w:szCs w:val="22"/>
        </w:rPr>
        <w:t xml:space="preserve"> numbers from the Known </w:t>
      </w:r>
      <w:r w:rsidR="000612EF">
        <w:rPr>
          <w:sz w:val="22"/>
          <w:szCs w:val="22"/>
        </w:rPr>
        <w:t xml:space="preserve">Defects and </w:t>
      </w:r>
      <w:r w:rsidR="00D64A23" w:rsidRPr="00092A53">
        <w:rPr>
          <w:sz w:val="22"/>
          <w:szCs w:val="22"/>
        </w:rPr>
        <w:t xml:space="preserve">Anomalies document related to this problem. Have the user enter this number in the comment details field for all overrides processed.  </w:t>
      </w:r>
    </w:p>
    <w:p w14:paraId="1A213B0C" w14:textId="77777777" w:rsidR="00D64A23" w:rsidRPr="00092A53" w:rsidRDefault="00D64A23" w:rsidP="00925CAD">
      <w:pPr>
        <w:numPr>
          <w:ilvl w:val="1"/>
          <w:numId w:val="33"/>
        </w:numPr>
        <w:spacing w:line="276" w:lineRule="auto"/>
        <w:ind w:left="1080"/>
        <w:rPr>
          <w:sz w:val="22"/>
          <w:szCs w:val="22"/>
        </w:rPr>
      </w:pPr>
      <w:r w:rsidRPr="00092A53">
        <w:rPr>
          <w:sz w:val="22"/>
          <w:szCs w:val="22"/>
        </w:rPr>
        <w:t>Any local incident number that they may need to enter as a comment.</w:t>
      </w:r>
    </w:p>
    <w:p w14:paraId="07E2E8C5" w14:textId="77777777" w:rsidR="00C93673" w:rsidRPr="00C2774B" w:rsidRDefault="00737AD4" w:rsidP="00C2774B">
      <w:pPr>
        <w:pStyle w:val="Heading3"/>
      </w:pPr>
      <w:bookmarkStart w:id="778" w:name="_Toc163645045"/>
      <w:r w:rsidRPr="00C2774B">
        <w:t>Invalidate</w:t>
      </w:r>
      <w:r w:rsidR="00C93673" w:rsidRPr="00C2774B">
        <w:t xml:space="preserve"> Test Results</w:t>
      </w:r>
      <w:bookmarkEnd w:id="778"/>
    </w:p>
    <w:p w14:paraId="270883E4" w14:textId="77777777" w:rsidR="00C93673" w:rsidRPr="00092A53" w:rsidRDefault="00C93673" w:rsidP="00C93673">
      <w:pPr>
        <w:rPr>
          <w:b/>
          <w:sz w:val="22"/>
          <w:szCs w:val="22"/>
        </w:rPr>
      </w:pPr>
      <w:r w:rsidRPr="00092A53">
        <w:rPr>
          <w:b/>
          <w:sz w:val="22"/>
          <w:szCs w:val="22"/>
        </w:rPr>
        <w:t>Important nuances about invalidating tests:</w:t>
      </w:r>
    </w:p>
    <w:p w14:paraId="0CB88FC2" w14:textId="77777777" w:rsidR="00C93673" w:rsidRPr="00092A53" w:rsidRDefault="00C93673" w:rsidP="00925CAD">
      <w:pPr>
        <w:numPr>
          <w:ilvl w:val="0"/>
          <w:numId w:val="34"/>
        </w:numPr>
        <w:spacing w:line="276" w:lineRule="auto"/>
        <w:ind w:left="1080"/>
        <w:rPr>
          <w:sz w:val="22"/>
          <w:szCs w:val="22"/>
        </w:rPr>
      </w:pPr>
      <w:r w:rsidRPr="00092A53">
        <w:rPr>
          <w:sz w:val="22"/>
          <w:szCs w:val="22"/>
        </w:rPr>
        <w:t xml:space="preserve">When a </w:t>
      </w:r>
      <w:r w:rsidR="00CF7148" w:rsidRPr="00092A53">
        <w:rPr>
          <w:sz w:val="22"/>
          <w:szCs w:val="22"/>
        </w:rPr>
        <w:t>Type and Screen (</w:t>
      </w:r>
      <w:r w:rsidRPr="00092A53">
        <w:rPr>
          <w:sz w:val="22"/>
          <w:szCs w:val="22"/>
        </w:rPr>
        <w:t>TAS</w:t>
      </w:r>
      <w:r w:rsidR="00CF7148" w:rsidRPr="00092A53">
        <w:rPr>
          <w:sz w:val="22"/>
          <w:szCs w:val="22"/>
        </w:rPr>
        <w:t>)</w:t>
      </w:r>
      <w:r w:rsidRPr="00092A53">
        <w:rPr>
          <w:sz w:val="22"/>
          <w:szCs w:val="22"/>
        </w:rPr>
        <w:t xml:space="preserve"> test needs to be invalidated, all the tests in the TAS test configuration must be invalidated to be able to select a test on the </w:t>
      </w:r>
      <w:r w:rsidR="00CF7148" w:rsidRPr="00092A53">
        <w:rPr>
          <w:sz w:val="22"/>
          <w:szCs w:val="22"/>
        </w:rPr>
        <w:t>Pending Task List (</w:t>
      </w:r>
      <w:r w:rsidRPr="00092A53">
        <w:rPr>
          <w:sz w:val="22"/>
          <w:szCs w:val="22"/>
        </w:rPr>
        <w:t>PTL</w:t>
      </w:r>
      <w:r w:rsidR="00CF7148" w:rsidRPr="00092A53">
        <w:rPr>
          <w:sz w:val="22"/>
          <w:szCs w:val="22"/>
        </w:rPr>
        <w:t>)</w:t>
      </w:r>
      <w:r w:rsidRPr="00092A53">
        <w:rPr>
          <w:sz w:val="22"/>
          <w:szCs w:val="22"/>
        </w:rPr>
        <w:t xml:space="preserve"> (It is a loop of a partially completed test).</w:t>
      </w:r>
    </w:p>
    <w:p w14:paraId="1F6FB55C" w14:textId="77777777" w:rsidR="00C93673" w:rsidRPr="00092A53" w:rsidRDefault="00C93673" w:rsidP="00925CAD">
      <w:pPr>
        <w:numPr>
          <w:ilvl w:val="0"/>
          <w:numId w:val="34"/>
        </w:numPr>
        <w:spacing w:line="276" w:lineRule="auto"/>
        <w:ind w:left="1080"/>
        <w:rPr>
          <w:sz w:val="22"/>
          <w:szCs w:val="22"/>
        </w:rPr>
      </w:pPr>
      <w:r w:rsidRPr="00092A53">
        <w:rPr>
          <w:sz w:val="22"/>
          <w:szCs w:val="22"/>
        </w:rPr>
        <w:t xml:space="preserve">When an </w:t>
      </w:r>
      <w:r w:rsidR="004E2AB6" w:rsidRPr="00092A53">
        <w:rPr>
          <w:sz w:val="22"/>
          <w:szCs w:val="22"/>
        </w:rPr>
        <w:t>Antibody</w:t>
      </w:r>
      <w:r w:rsidR="00CF7148" w:rsidRPr="00092A53">
        <w:rPr>
          <w:sz w:val="22"/>
          <w:szCs w:val="22"/>
        </w:rPr>
        <w:t xml:space="preserve"> Identification (</w:t>
      </w:r>
      <w:r w:rsidRPr="00092A53">
        <w:rPr>
          <w:sz w:val="22"/>
          <w:szCs w:val="22"/>
        </w:rPr>
        <w:t>ABID</w:t>
      </w:r>
      <w:r w:rsidR="00CF7148" w:rsidRPr="00092A53">
        <w:rPr>
          <w:sz w:val="22"/>
          <w:szCs w:val="22"/>
        </w:rPr>
        <w:t>)</w:t>
      </w:r>
      <w:r w:rsidRPr="00092A53">
        <w:rPr>
          <w:sz w:val="22"/>
          <w:szCs w:val="22"/>
        </w:rPr>
        <w:t xml:space="preserve"> test is invalid</w:t>
      </w:r>
      <w:r w:rsidR="001866C8" w:rsidRPr="00092A53">
        <w:rPr>
          <w:sz w:val="22"/>
          <w:szCs w:val="22"/>
        </w:rPr>
        <w:t>at</w:t>
      </w:r>
      <w:r w:rsidRPr="00092A53">
        <w:rPr>
          <w:sz w:val="22"/>
          <w:szCs w:val="22"/>
        </w:rPr>
        <w:t>ed:</w:t>
      </w:r>
    </w:p>
    <w:p w14:paraId="1B8D4086" w14:textId="77777777" w:rsidR="00C93673" w:rsidRPr="00092A53" w:rsidRDefault="00C93673" w:rsidP="00925CAD">
      <w:pPr>
        <w:numPr>
          <w:ilvl w:val="1"/>
          <w:numId w:val="34"/>
        </w:numPr>
        <w:spacing w:line="276" w:lineRule="auto"/>
        <w:ind w:left="1530"/>
        <w:rPr>
          <w:sz w:val="22"/>
          <w:szCs w:val="22"/>
        </w:rPr>
      </w:pPr>
      <w:r w:rsidRPr="00092A53">
        <w:rPr>
          <w:sz w:val="22"/>
          <w:szCs w:val="22"/>
        </w:rPr>
        <w:t>The antibody specificities will be removed from the Special Instructions/Transfusion requirements Antibodies Identified at the same time.  This also clears any antigen negative requirements that are created by the antibody identified.</w:t>
      </w:r>
    </w:p>
    <w:p w14:paraId="14F10DB4" w14:textId="77777777" w:rsidR="00C93673" w:rsidRPr="00092A53" w:rsidRDefault="00C93673" w:rsidP="00925CAD">
      <w:pPr>
        <w:numPr>
          <w:ilvl w:val="1"/>
          <w:numId w:val="34"/>
        </w:numPr>
        <w:spacing w:line="276" w:lineRule="auto"/>
        <w:ind w:left="1530"/>
        <w:rPr>
          <w:sz w:val="22"/>
          <w:szCs w:val="22"/>
        </w:rPr>
      </w:pPr>
      <w:r w:rsidRPr="00092A53">
        <w:rPr>
          <w:sz w:val="22"/>
          <w:szCs w:val="22"/>
        </w:rPr>
        <w:t xml:space="preserve"> If separate antigen negative requirements for each of these were entered in SI/TR, they will require update separately. </w:t>
      </w:r>
    </w:p>
    <w:p w14:paraId="7EA76EA1" w14:textId="75DAC76D" w:rsidR="00C93673" w:rsidRPr="00092A53" w:rsidRDefault="00C93673" w:rsidP="00925CAD">
      <w:pPr>
        <w:numPr>
          <w:ilvl w:val="1"/>
          <w:numId w:val="34"/>
        </w:numPr>
        <w:spacing w:line="276" w:lineRule="auto"/>
        <w:ind w:left="1530"/>
        <w:rPr>
          <w:b/>
          <w:sz w:val="22"/>
          <w:szCs w:val="22"/>
        </w:rPr>
      </w:pPr>
      <w:r w:rsidRPr="00092A53">
        <w:rPr>
          <w:b/>
          <w:sz w:val="22"/>
          <w:szCs w:val="22"/>
        </w:rPr>
        <w:t xml:space="preserve">If you need to enter corrected results for the ABID, be sure you check the box to </w:t>
      </w:r>
      <w:r w:rsidR="00227337">
        <w:rPr>
          <w:b/>
          <w:sz w:val="22"/>
          <w:szCs w:val="22"/>
        </w:rPr>
        <w:t>“A</w:t>
      </w:r>
      <w:r w:rsidRPr="00092A53">
        <w:rPr>
          <w:b/>
          <w:sz w:val="22"/>
          <w:szCs w:val="22"/>
        </w:rPr>
        <w:t>dd</w:t>
      </w:r>
      <w:r w:rsidR="00227337">
        <w:rPr>
          <w:b/>
          <w:sz w:val="22"/>
          <w:szCs w:val="22"/>
        </w:rPr>
        <w:t xml:space="preserve"> test to the Pending Task List to allow for replacement results”</w:t>
      </w:r>
      <w:r w:rsidRPr="00092A53">
        <w:rPr>
          <w:b/>
          <w:sz w:val="22"/>
          <w:szCs w:val="22"/>
        </w:rPr>
        <w:t>.  If not, you will have to reorder the reflex test.</w:t>
      </w:r>
    </w:p>
    <w:p w14:paraId="784C1830" w14:textId="77777777" w:rsidR="00C93673" w:rsidRPr="00092A53" w:rsidRDefault="00C93673" w:rsidP="00D64A23">
      <w:pPr>
        <w:rPr>
          <w:sz w:val="22"/>
          <w:szCs w:val="22"/>
        </w:rPr>
      </w:pPr>
    </w:p>
    <w:p w14:paraId="1A48D377" w14:textId="18A10911" w:rsidR="00D64A23" w:rsidRPr="00092A53" w:rsidRDefault="00D64A23" w:rsidP="00D64A23">
      <w:pPr>
        <w:rPr>
          <w:sz w:val="22"/>
          <w:szCs w:val="22"/>
        </w:rPr>
      </w:pPr>
      <w:r w:rsidRPr="00092A53">
        <w:rPr>
          <w:sz w:val="22"/>
          <w:szCs w:val="22"/>
        </w:rPr>
        <w:lastRenderedPageBreak/>
        <w:t xml:space="preserve">A </w:t>
      </w:r>
      <w:r w:rsidR="00CF7148" w:rsidRPr="00092A53">
        <w:rPr>
          <w:sz w:val="22"/>
          <w:szCs w:val="22"/>
        </w:rPr>
        <w:t>f</w:t>
      </w:r>
      <w:r w:rsidRPr="00092A53">
        <w:rPr>
          <w:sz w:val="22"/>
          <w:szCs w:val="22"/>
        </w:rPr>
        <w:t xml:space="preserve">inalized Transfusion Reaction </w:t>
      </w:r>
      <w:r w:rsidR="00CF7148" w:rsidRPr="00092A53">
        <w:rPr>
          <w:sz w:val="22"/>
          <w:szCs w:val="22"/>
        </w:rPr>
        <w:t>W</w:t>
      </w:r>
      <w:r w:rsidRPr="00092A53">
        <w:rPr>
          <w:sz w:val="22"/>
          <w:szCs w:val="22"/>
        </w:rPr>
        <w:t>orkup</w:t>
      </w:r>
      <w:r w:rsidR="00CF7148" w:rsidRPr="00092A53">
        <w:rPr>
          <w:sz w:val="22"/>
          <w:szCs w:val="22"/>
        </w:rPr>
        <w:t xml:space="preserve"> (TRW)</w:t>
      </w:r>
      <w:r w:rsidRPr="00092A53">
        <w:rPr>
          <w:sz w:val="22"/>
          <w:szCs w:val="22"/>
        </w:rPr>
        <w:t xml:space="preserve"> cannot be invalidated. </w:t>
      </w:r>
      <w:r w:rsidR="00CF7148" w:rsidRPr="00092A53">
        <w:rPr>
          <w:sz w:val="22"/>
          <w:szCs w:val="22"/>
        </w:rPr>
        <w:t xml:space="preserve">Invalidation requires a </w:t>
      </w:r>
      <w:r w:rsidR="00435359">
        <w:rPr>
          <w:sz w:val="22"/>
          <w:szCs w:val="22"/>
        </w:rPr>
        <w:t>Service</w:t>
      </w:r>
      <w:r w:rsidR="003E31A0">
        <w:rPr>
          <w:sz w:val="22"/>
          <w:szCs w:val="22"/>
        </w:rPr>
        <w:t xml:space="preserve"> Desk</w:t>
      </w:r>
      <w:r w:rsidR="00CF7148" w:rsidRPr="00092A53">
        <w:rPr>
          <w:sz w:val="22"/>
          <w:szCs w:val="22"/>
        </w:rPr>
        <w:t xml:space="preserve"> ticket to have the development team intervene and make that correction.</w:t>
      </w:r>
      <w:r w:rsidRPr="00092A53">
        <w:rPr>
          <w:sz w:val="22"/>
          <w:szCs w:val="22"/>
        </w:rPr>
        <w:t xml:space="preserve"> A TRW that has not been </w:t>
      </w:r>
      <w:r w:rsidR="00CF7148" w:rsidRPr="00092A53">
        <w:rPr>
          <w:sz w:val="22"/>
          <w:szCs w:val="22"/>
        </w:rPr>
        <w:t>f</w:t>
      </w:r>
      <w:r w:rsidRPr="00092A53">
        <w:rPr>
          <w:sz w:val="22"/>
          <w:szCs w:val="22"/>
        </w:rPr>
        <w:t>inalized can be invalidated and re</w:t>
      </w:r>
      <w:r w:rsidR="00CF7148" w:rsidRPr="00092A53">
        <w:rPr>
          <w:sz w:val="22"/>
          <w:szCs w:val="22"/>
        </w:rPr>
        <w:t>-</w:t>
      </w:r>
      <w:r w:rsidRPr="00092A53">
        <w:rPr>
          <w:sz w:val="22"/>
          <w:szCs w:val="22"/>
        </w:rPr>
        <w:t xml:space="preserve">entered as any other VBECS test. </w:t>
      </w:r>
    </w:p>
    <w:p w14:paraId="76E5309A" w14:textId="77777777" w:rsidR="00D64A23" w:rsidRPr="00092A53" w:rsidRDefault="00D64A23" w:rsidP="00D64A23">
      <w:pPr>
        <w:rPr>
          <w:b/>
          <w:sz w:val="22"/>
          <w:szCs w:val="22"/>
        </w:rPr>
      </w:pPr>
      <w:r w:rsidRPr="00092A53">
        <w:rPr>
          <w:b/>
          <w:sz w:val="22"/>
          <w:szCs w:val="22"/>
        </w:rPr>
        <w:t>Where to start...</w:t>
      </w:r>
    </w:p>
    <w:p w14:paraId="518682E0" w14:textId="77777777" w:rsidR="00D64A23" w:rsidRPr="00092A53" w:rsidRDefault="00D64A23" w:rsidP="00925CAD">
      <w:pPr>
        <w:numPr>
          <w:ilvl w:val="0"/>
          <w:numId w:val="36"/>
        </w:numPr>
        <w:spacing w:line="276" w:lineRule="auto"/>
        <w:rPr>
          <w:b/>
          <w:sz w:val="22"/>
          <w:szCs w:val="22"/>
        </w:rPr>
      </w:pPr>
      <w:r w:rsidRPr="00092A53">
        <w:rPr>
          <w:b/>
          <w:sz w:val="22"/>
          <w:szCs w:val="22"/>
        </w:rPr>
        <w:t xml:space="preserve">Are the units transfused?  </w:t>
      </w:r>
    </w:p>
    <w:p w14:paraId="305799D4" w14:textId="77777777" w:rsidR="00D64A23" w:rsidRPr="00092A53" w:rsidRDefault="00D64A23" w:rsidP="00D64A23">
      <w:pPr>
        <w:ind w:firstLine="720"/>
        <w:rPr>
          <w:sz w:val="22"/>
          <w:szCs w:val="22"/>
        </w:rPr>
      </w:pPr>
      <w:r w:rsidRPr="00092A53">
        <w:rPr>
          <w:sz w:val="22"/>
          <w:szCs w:val="22"/>
        </w:rPr>
        <w:t>Go to Supervisor, Remove Final Status to get the unit back to an issued status.</w:t>
      </w:r>
    </w:p>
    <w:p w14:paraId="2BB51450" w14:textId="77777777" w:rsidR="00D64A23" w:rsidRPr="00092A53" w:rsidRDefault="00D64A23" w:rsidP="00925CAD">
      <w:pPr>
        <w:numPr>
          <w:ilvl w:val="0"/>
          <w:numId w:val="36"/>
        </w:numPr>
        <w:spacing w:line="276" w:lineRule="auto"/>
        <w:rPr>
          <w:b/>
          <w:sz w:val="22"/>
          <w:szCs w:val="22"/>
        </w:rPr>
      </w:pPr>
      <w:r w:rsidRPr="00092A53">
        <w:rPr>
          <w:b/>
          <w:sz w:val="22"/>
          <w:szCs w:val="22"/>
        </w:rPr>
        <w:t xml:space="preserve">Are the units issued? </w:t>
      </w:r>
    </w:p>
    <w:p w14:paraId="5CD900AD" w14:textId="77777777" w:rsidR="00D64A23" w:rsidRPr="00092A53" w:rsidRDefault="00D64A23" w:rsidP="00D64A23">
      <w:pPr>
        <w:ind w:firstLine="720"/>
        <w:rPr>
          <w:sz w:val="22"/>
          <w:szCs w:val="22"/>
        </w:rPr>
      </w:pPr>
      <w:r w:rsidRPr="00092A53">
        <w:rPr>
          <w:sz w:val="22"/>
          <w:szCs w:val="22"/>
        </w:rPr>
        <w:t xml:space="preserve">Go to Return Unit from Issue by either the patient or blood unit menu. </w:t>
      </w:r>
    </w:p>
    <w:p w14:paraId="0BFBCEDB" w14:textId="77777777" w:rsidR="00D64A23" w:rsidRPr="00092A53" w:rsidRDefault="00D64A23" w:rsidP="00D64A23">
      <w:pPr>
        <w:ind w:left="720"/>
        <w:rPr>
          <w:sz w:val="22"/>
          <w:szCs w:val="22"/>
        </w:rPr>
      </w:pPr>
      <w:r w:rsidRPr="00092A53">
        <w:rPr>
          <w:sz w:val="22"/>
          <w:szCs w:val="22"/>
        </w:rPr>
        <w:t>Return the unit from issue at the current date and time.</w:t>
      </w:r>
    </w:p>
    <w:p w14:paraId="563B7183" w14:textId="77777777" w:rsidR="00D64A23" w:rsidRPr="00092A53" w:rsidRDefault="00D64A23" w:rsidP="00925CAD">
      <w:pPr>
        <w:numPr>
          <w:ilvl w:val="0"/>
          <w:numId w:val="36"/>
        </w:numPr>
        <w:spacing w:line="276" w:lineRule="auto"/>
        <w:rPr>
          <w:b/>
          <w:sz w:val="22"/>
          <w:szCs w:val="22"/>
        </w:rPr>
      </w:pPr>
      <w:r w:rsidRPr="00092A53">
        <w:rPr>
          <w:b/>
          <w:sz w:val="22"/>
          <w:szCs w:val="22"/>
        </w:rPr>
        <w:t xml:space="preserve">Are the units selected for a patient? </w:t>
      </w:r>
    </w:p>
    <w:p w14:paraId="417E9325" w14:textId="77777777" w:rsidR="00D64A23" w:rsidRPr="00092A53" w:rsidRDefault="00D64A23" w:rsidP="00D64A23">
      <w:pPr>
        <w:ind w:firstLine="720"/>
        <w:rPr>
          <w:sz w:val="22"/>
          <w:szCs w:val="22"/>
        </w:rPr>
      </w:pPr>
      <w:r w:rsidRPr="00092A53">
        <w:rPr>
          <w:sz w:val="22"/>
          <w:szCs w:val="22"/>
        </w:rPr>
        <w:t>Go to Release Units from Assignment by either the patient or blood unit menu.</w:t>
      </w:r>
    </w:p>
    <w:p w14:paraId="2FDFC324" w14:textId="77777777" w:rsidR="00D64A23" w:rsidRPr="00092A53" w:rsidRDefault="00D64A23" w:rsidP="00D64A23">
      <w:pPr>
        <w:rPr>
          <w:sz w:val="22"/>
          <w:szCs w:val="22"/>
        </w:rPr>
      </w:pPr>
    </w:p>
    <w:p w14:paraId="364E079B" w14:textId="77777777" w:rsidR="00D64A23" w:rsidRPr="00092A53" w:rsidRDefault="00D64A23" w:rsidP="00D64A23">
      <w:pPr>
        <w:rPr>
          <w:sz w:val="22"/>
          <w:szCs w:val="22"/>
        </w:rPr>
      </w:pPr>
      <w:r w:rsidRPr="00092A53">
        <w:rPr>
          <w:sz w:val="22"/>
          <w:szCs w:val="22"/>
        </w:rPr>
        <w:t>When the units are no longer assigned to the patient, go into Invalidate Patient Testing by the Patient Menu and invalidate the patient test.</w:t>
      </w:r>
    </w:p>
    <w:p w14:paraId="6A86A2BE" w14:textId="77777777" w:rsidR="00D64A23" w:rsidRPr="004A517D" w:rsidRDefault="00D64A23" w:rsidP="00D64A23">
      <w:pPr>
        <w:rPr>
          <w:rFonts w:ascii="Arial" w:hAnsi="Arial" w:cs="Arial"/>
          <w:sz w:val="20"/>
          <w:szCs w:val="20"/>
        </w:rPr>
      </w:pPr>
    </w:p>
    <w:p w14:paraId="4A1E4045" w14:textId="422D199D" w:rsidR="00D64A23" w:rsidRPr="004A517D" w:rsidRDefault="00057948" w:rsidP="00D64A23">
      <w:pPr>
        <w:rPr>
          <w:rFonts w:ascii="Arial" w:hAnsi="Arial" w:cs="Arial"/>
          <w:b/>
          <w:color w:val="FF0000"/>
          <w:sz w:val="20"/>
          <w:szCs w:val="20"/>
        </w:rPr>
      </w:pPr>
      <w:r>
        <w:rPr>
          <w:rFonts w:ascii="Arial" w:hAnsi="Arial" w:cs="Arial"/>
          <w:noProof/>
          <w:sz w:val="20"/>
          <w:szCs w:val="20"/>
        </w:rPr>
        <mc:AlternateContent>
          <mc:Choice Requires="wps">
            <w:drawing>
              <wp:anchor distT="0" distB="0" distL="114300" distR="114300" simplePos="0" relativeHeight="252023296" behindDoc="0" locked="0" layoutInCell="1" allowOverlap="1" wp14:anchorId="448458D6" wp14:editId="6BC02E37">
                <wp:simplePos x="0" y="0"/>
                <wp:positionH relativeFrom="column">
                  <wp:posOffset>-133350</wp:posOffset>
                </wp:positionH>
                <wp:positionV relativeFrom="paragraph">
                  <wp:posOffset>-66675</wp:posOffset>
                </wp:positionV>
                <wp:extent cx="6086475" cy="457200"/>
                <wp:effectExtent l="9525" t="9525" r="9525" b="9525"/>
                <wp:wrapNone/>
                <wp:docPr id="16" name="Rectangle 1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1AAF" id="Rectangle 1214" o:spid="_x0000_s1026" alt="&quot;&quot;" style="position:absolute;margin-left:-10.5pt;margin-top:-5.25pt;width:479.25pt;height:3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" filled="f" strokecolor="red" strokeweight="1.5pt"/>
            </w:pict>
          </mc:Fallback>
        </mc:AlternateContent>
      </w:r>
      <w:r w:rsidR="00D64A23" w:rsidRPr="004A517D">
        <w:rPr>
          <w:rFonts w:ascii="Arial" w:hAnsi="Arial" w:cs="Arial"/>
          <w:b/>
          <w:color w:val="FF0000"/>
          <w:sz w:val="20"/>
          <w:szCs w:val="20"/>
        </w:rPr>
        <w:t xml:space="preserve">STOP and make sure the user checks the box </w:t>
      </w:r>
      <w:r w:rsidR="00561E05">
        <w:rPr>
          <w:rFonts w:ascii="Arial" w:hAnsi="Arial" w:cs="Arial"/>
          <w:b/>
          <w:color w:val="FF0000"/>
          <w:sz w:val="20"/>
          <w:szCs w:val="20"/>
        </w:rPr>
        <w:t xml:space="preserve">“Add test to the Pending Task List to allow for replacement results” </w:t>
      </w:r>
      <w:r w:rsidR="00D64A23" w:rsidRPr="004A517D">
        <w:rPr>
          <w:rFonts w:ascii="Arial" w:hAnsi="Arial" w:cs="Arial"/>
          <w:b/>
          <w:color w:val="FF0000"/>
          <w:sz w:val="20"/>
          <w:szCs w:val="20"/>
        </w:rPr>
        <w:t>if they want the test to appear on the PTL for correction.</w:t>
      </w:r>
    </w:p>
    <w:p w14:paraId="05946A77" w14:textId="77777777" w:rsidR="00D64A23" w:rsidRPr="004A517D" w:rsidRDefault="00D64A23" w:rsidP="00D64A23">
      <w:pPr>
        <w:rPr>
          <w:rFonts w:ascii="Arial" w:hAnsi="Arial" w:cs="Arial"/>
          <w:b/>
          <w:color w:val="FF0000"/>
          <w:sz w:val="20"/>
          <w:szCs w:val="20"/>
        </w:rPr>
      </w:pPr>
    </w:p>
    <w:p w14:paraId="29C51114" w14:textId="77777777" w:rsidR="00D64A23" w:rsidRPr="00C2774B" w:rsidRDefault="00D64A23" w:rsidP="00C2774B">
      <w:pPr>
        <w:pStyle w:val="Heading3"/>
      </w:pPr>
      <w:bookmarkStart w:id="779" w:name="_Toc163645046"/>
      <w:r w:rsidRPr="00C2774B">
        <w:t>UN-Pooling a Pooled Unit (in the computer only)</w:t>
      </w:r>
      <w:bookmarkEnd w:id="779"/>
    </w:p>
    <w:p w14:paraId="082CE870" w14:textId="77777777" w:rsidR="00D64A23" w:rsidRPr="00092A53" w:rsidRDefault="00D64A23" w:rsidP="00D64A23">
      <w:pPr>
        <w:rPr>
          <w:sz w:val="22"/>
          <w:szCs w:val="22"/>
        </w:rPr>
      </w:pPr>
      <w:r w:rsidRPr="00092A53">
        <w:rPr>
          <w:sz w:val="22"/>
          <w:szCs w:val="22"/>
        </w:rPr>
        <w:t>This may happen when a pool is created in the computer and the physical pool was not created after all.</w:t>
      </w:r>
    </w:p>
    <w:p w14:paraId="3DDDBEB2" w14:textId="77777777" w:rsidR="00D64A23" w:rsidRPr="00092A53"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 xml:space="preserve">Where to start </w:t>
      </w:r>
      <w:r w:rsidRPr="00092A53">
        <w:rPr>
          <w:sz w:val="22"/>
          <w:szCs w:val="22"/>
        </w:rPr>
        <w:t>section.</w:t>
      </w:r>
    </w:p>
    <w:p w14:paraId="7EE97A5E" w14:textId="77777777" w:rsidR="00D64A23" w:rsidRPr="00092A53" w:rsidRDefault="00D64A23" w:rsidP="00925CAD">
      <w:pPr>
        <w:numPr>
          <w:ilvl w:val="0"/>
          <w:numId w:val="35"/>
        </w:numPr>
        <w:spacing w:line="276" w:lineRule="auto"/>
        <w:rPr>
          <w:sz w:val="22"/>
          <w:szCs w:val="22"/>
        </w:rPr>
      </w:pPr>
      <w:r w:rsidRPr="00092A53">
        <w:rPr>
          <w:sz w:val="22"/>
          <w:szCs w:val="22"/>
        </w:rPr>
        <w:t>Go to Blood Unit, Edit Unit Information and INACTIVATE the Pooled Unit.</w:t>
      </w:r>
    </w:p>
    <w:p w14:paraId="5E0861D5" w14:textId="77777777" w:rsidR="00D64A23" w:rsidRPr="00092A53" w:rsidRDefault="00D64A23" w:rsidP="00925CAD">
      <w:pPr>
        <w:numPr>
          <w:ilvl w:val="0"/>
          <w:numId w:val="35"/>
        </w:numPr>
        <w:spacing w:line="276" w:lineRule="auto"/>
        <w:rPr>
          <w:sz w:val="22"/>
          <w:szCs w:val="22"/>
        </w:rPr>
      </w:pPr>
      <w:r w:rsidRPr="00092A53">
        <w:rPr>
          <w:sz w:val="22"/>
          <w:szCs w:val="22"/>
        </w:rPr>
        <w:t>Go to Supervisor, Remove Final Status, select each original unit removing the MODIFIED status and making each available.</w:t>
      </w:r>
    </w:p>
    <w:p w14:paraId="029E019F" w14:textId="77777777" w:rsidR="00D64A23" w:rsidRPr="00092A53" w:rsidRDefault="001866C8" w:rsidP="00925CAD">
      <w:pPr>
        <w:numPr>
          <w:ilvl w:val="0"/>
          <w:numId w:val="35"/>
        </w:numPr>
        <w:spacing w:line="276" w:lineRule="auto"/>
        <w:rPr>
          <w:sz w:val="22"/>
          <w:szCs w:val="22"/>
        </w:rPr>
      </w:pPr>
      <w:r w:rsidRPr="00092A53">
        <w:rPr>
          <w:sz w:val="22"/>
          <w:szCs w:val="22"/>
        </w:rPr>
        <w:t xml:space="preserve">Repeat Step </w:t>
      </w:r>
      <w:r w:rsidR="00D64A23" w:rsidRPr="00092A53">
        <w:rPr>
          <w:sz w:val="22"/>
          <w:szCs w:val="22"/>
        </w:rPr>
        <w:t>2 for each original unit included in the pool.</w:t>
      </w:r>
    </w:p>
    <w:p w14:paraId="02B0F10E" w14:textId="77777777" w:rsidR="006B6B74" w:rsidRPr="00C2774B" w:rsidRDefault="00E91569" w:rsidP="00C2774B">
      <w:pPr>
        <w:pStyle w:val="Heading3"/>
        <w:rPr>
          <w:szCs w:val="20"/>
        </w:rPr>
      </w:pPr>
      <w:bookmarkStart w:id="780" w:name="_Toc163645047"/>
      <w:r>
        <w:t>UN-Modifying a U</w:t>
      </w:r>
      <w:r w:rsidR="00092A53" w:rsidRPr="00C2774B">
        <w:t>nit</w:t>
      </w:r>
      <w:bookmarkEnd w:id="780"/>
      <w:r w:rsidR="00D64A23" w:rsidRPr="00C2774B">
        <w:rPr>
          <w:szCs w:val="20"/>
        </w:rPr>
        <w:t xml:space="preserve"> </w:t>
      </w:r>
    </w:p>
    <w:p w14:paraId="591C53B8" w14:textId="77777777" w:rsidR="00D64A23" w:rsidRPr="00092A53" w:rsidRDefault="00D64A23" w:rsidP="00D64A23">
      <w:pPr>
        <w:rPr>
          <w:sz w:val="22"/>
          <w:szCs w:val="22"/>
        </w:rPr>
      </w:pPr>
      <w:r w:rsidRPr="00092A53">
        <w:rPr>
          <w:sz w:val="22"/>
          <w:szCs w:val="22"/>
        </w:rPr>
        <w:t>Go to Supervisor, Remove Final Status.</w:t>
      </w:r>
    </w:p>
    <w:p w14:paraId="2EC49C12" w14:textId="77777777" w:rsidR="00392A54"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Where to start</w:t>
      </w:r>
      <w:r w:rsidRPr="00092A53">
        <w:rPr>
          <w:sz w:val="22"/>
          <w:szCs w:val="22"/>
        </w:rPr>
        <w:t xml:space="preserve"> section.</w:t>
      </w:r>
    </w:p>
    <w:p w14:paraId="3522F3DD" w14:textId="0C359B7C" w:rsidR="00657069" w:rsidRDefault="00D64A23" w:rsidP="00E43C60">
      <w:pPr>
        <w:pStyle w:val="Heading2"/>
      </w:pPr>
      <w:r>
        <w:br w:type="page"/>
      </w:r>
      <w:bookmarkStart w:id="781" w:name="_Ref256684287"/>
      <w:bookmarkStart w:id="782" w:name="_Toc163645048"/>
      <w:r w:rsidR="0062532A">
        <w:lastRenderedPageBreak/>
        <w:t xml:space="preserve">Appendix </w:t>
      </w:r>
      <w:bookmarkEnd w:id="775"/>
      <w:r w:rsidR="001B0B0C">
        <w:rPr>
          <w:noProof/>
        </w:rPr>
        <w:t>J</w:t>
      </w:r>
      <w:r w:rsidR="0062532A">
        <w:t xml:space="preserve">: </w:t>
      </w:r>
      <w:r w:rsidR="00657069">
        <w:t>Recommended Report Usage</w:t>
      </w:r>
      <w:bookmarkEnd w:id="781"/>
      <w:bookmarkEnd w:id="782"/>
      <w:r w:rsidR="00681D23">
        <w:fldChar w:fldCharType="begin"/>
      </w:r>
      <w:r w:rsidR="00681D23">
        <w:instrText xml:space="preserve"> XE "</w:instrText>
      </w:r>
      <w:r w:rsidR="00681D23" w:rsidRPr="00AE2CB0">
        <w:instrText>Recommended Report Usage</w:instrText>
      </w:r>
      <w:r w:rsidR="00681D23">
        <w:instrText xml:space="preserve">" </w:instrText>
      </w:r>
      <w:r w:rsidR="00681D23">
        <w:fldChar w:fldCharType="end"/>
      </w:r>
      <w:r w:rsidR="00657069">
        <w:t xml:space="preserve"> </w:t>
      </w:r>
    </w:p>
    <w:p w14:paraId="18F22667" w14:textId="194E71B5" w:rsidR="00E24CBD" w:rsidRDefault="00EE455E" w:rsidP="00E24CBD">
      <w:pPr>
        <w:pStyle w:val="BodyText"/>
      </w:pPr>
      <w:r>
        <w:t xml:space="preserve">Table </w:t>
      </w:r>
      <w:r>
        <w:rPr>
          <w:noProof/>
        </w:rPr>
        <w:t>36</w:t>
      </w:r>
      <w:r w:rsidR="00E24CBD">
        <w:t xml:space="preserve"> lists reports, how often to run them, and how to use them. These are recommendations for meeting </w:t>
      </w:r>
      <w:r w:rsidR="00FE73F7">
        <w:t>regulatory requirements</w:t>
      </w:r>
      <w:r w:rsidR="00E24CBD">
        <w:t>.</w:t>
      </w:r>
      <w:r w:rsidR="006C1675">
        <w:t xml:space="preserve"> Reports</w:t>
      </w:r>
      <w:r w:rsidR="00462332">
        <w:t>, including the non-individual Blood Availability Report,</w:t>
      </w:r>
      <w:r w:rsidR="006C1675">
        <w:t xml:space="preserve"> are available through the Reports </w:t>
      </w:r>
      <w:r w:rsidR="00954B52">
        <w:t>menu item</w:t>
      </w:r>
      <w:r w:rsidR="006C1675">
        <w:t>. The</w:t>
      </w:r>
      <w:r w:rsidR="00462332">
        <w:t xml:space="preserve"> patient-specific</w:t>
      </w:r>
      <w:r w:rsidR="006C1675">
        <w:t xml:space="preserve"> Blood Availability Report is available through the Patients </w:t>
      </w:r>
      <w:r w:rsidR="00954B52">
        <w:t>menu item</w:t>
      </w:r>
      <w:r w:rsidR="006C1675">
        <w:t>.</w:t>
      </w:r>
    </w:p>
    <w:p w14:paraId="1CB801FB" w14:textId="71686260" w:rsidR="00E24CBD" w:rsidRDefault="00E24CBD" w:rsidP="00E24CBD">
      <w:pPr>
        <w:pStyle w:val="Caption"/>
      </w:pPr>
      <w:bookmarkStart w:id="783" w:name="_Ref126732565"/>
      <w:bookmarkStart w:id="784" w:name="_Ref12650466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36</w:t>
      </w:r>
      <w:r w:rsidR="004E20BD">
        <w:rPr>
          <w:noProof/>
        </w:rPr>
        <w:fldChar w:fldCharType="end"/>
      </w:r>
      <w:bookmarkEnd w:id="783"/>
      <w:r>
        <w:t>: Recommended Report Usage</w:t>
      </w:r>
      <w:bookmarkEnd w:id="784"/>
      <w:r w:rsidR="00812371">
        <w:fldChar w:fldCharType="begin"/>
      </w:r>
      <w:r w:rsidR="00812371">
        <w:instrText xml:space="preserve"> XE "Tables:Recommended Report Usage" </w:instrText>
      </w:r>
      <w:r w:rsidR="00812371">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039"/>
        <w:gridCol w:w="2580"/>
        <w:gridCol w:w="3461"/>
      </w:tblGrid>
      <w:tr w:rsidR="00462332" w:rsidRPr="00E24CBD" w14:paraId="6447BBAD" w14:textId="77777777">
        <w:trPr>
          <w:cantSplit/>
          <w:tblHeader/>
        </w:trPr>
        <w:tc>
          <w:tcPr>
            <w:tcW w:w="1728" w:type="dxa"/>
            <w:shd w:val="clear" w:color="auto" w:fill="B3B3B3"/>
            <w:vAlign w:val="bottom"/>
          </w:tcPr>
          <w:p w14:paraId="5A30B560" w14:textId="77777777" w:rsidR="00462332" w:rsidRPr="00E24CBD" w:rsidRDefault="00462332" w:rsidP="00E24CBD">
            <w:pPr>
              <w:pStyle w:val="TableText"/>
              <w:rPr>
                <w:b/>
                <w:snapToGrid w:val="0"/>
              </w:rPr>
            </w:pPr>
            <w:r>
              <w:rPr>
                <w:b/>
                <w:snapToGrid w:val="0"/>
              </w:rPr>
              <w:t>Run This Report:</w:t>
            </w:r>
          </w:p>
        </w:tc>
        <w:tc>
          <w:tcPr>
            <w:tcW w:w="2810" w:type="dxa"/>
            <w:shd w:val="clear" w:color="auto" w:fill="B3B3B3"/>
            <w:vAlign w:val="bottom"/>
          </w:tcPr>
          <w:p w14:paraId="19AB10C0" w14:textId="77777777" w:rsidR="00462332" w:rsidRPr="00E24CBD" w:rsidRDefault="00462332" w:rsidP="00E24CBD">
            <w:pPr>
              <w:pStyle w:val="TableText"/>
              <w:rPr>
                <w:b/>
                <w:snapToGrid w:val="0"/>
              </w:rPr>
            </w:pPr>
            <w:r>
              <w:rPr>
                <w:b/>
                <w:snapToGrid w:val="0"/>
              </w:rPr>
              <w:t>Report</w:t>
            </w:r>
            <w:r w:rsidR="00695BEA">
              <w:rPr>
                <w:b/>
                <w:snapToGrid w:val="0"/>
              </w:rPr>
              <w:t xml:space="preserve"> Option</w:t>
            </w:r>
          </w:p>
        </w:tc>
        <w:tc>
          <w:tcPr>
            <w:tcW w:w="3582" w:type="dxa"/>
            <w:shd w:val="clear" w:color="auto" w:fill="B3B3B3"/>
            <w:vAlign w:val="bottom"/>
          </w:tcPr>
          <w:p w14:paraId="52AE464D" w14:textId="77777777" w:rsidR="00462332" w:rsidRPr="00E24CBD" w:rsidRDefault="00695BEA" w:rsidP="00E24CBD">
            <w:pPr>
              <w:pStyle w:val="TableText"/>
              <w:rPr>
                <w:b/>
                <w:snapToGrid w:val="0"/>
              </w:rPr>
            </w:pPr>
            <w:r>
              <w:rPr>
                <w:b/>
                <w:snapToGrid w:val="0"/>
              </w:rPr>
              <w:t>Purpose</w:t>
            </w:r>
          </w:p>
        </w:tc>
        <w:tc>
          <w:tcPr>
            <w:tcW w:w="4840" w:type="dxa"/>
            <w:shd w:val="clear" w:color="auto" w:fill="B3B3B3"/>
            <w:vAlign w:val="bottom"/>
          </w:tcPr>
          <w:p w14:paraId="02CBECCA" w14:textId="77777777" w:rsidR="00462332" w:rsidRPr="00E24CBD" w:rsidRDefault="00695BEA" w:rsidP="00E24CBD">
            <w:pPr>
              <w:pStyle w:val="TableText"/>
              <w:rPr>
                <w:b/>
                <w:snapToGrid w:val="0"/>
              </w:rPr>
            </w:pPr>
            <w:r>
              <w:rPr>
                <w:b/>
                <w:snapToGrid w:val="0"/>
              </w:rPr>
              <w:t>To Meet Regulatory Requirements:</w:t>
            </w:r>
          </w:p>
        </w:tc>
      </w:tr>
      <w:tr w:rsidR="00462332" w14:paraId="56FBAB27" w14:textId="77777777">
        <w:trPr>
          <w:cantSplit/>
        </w:trPr>
        <w:tc>
          <w:tcPr>
            <w:tcW w:w="1728" w:type="dxa"/>
            <w:vMerge w:val="restart"/>
          </w:tcPr>
          <w:p w14:paraId="2EF7C1D4" w14:textId="77777777" w:rsidR="00462332" w:rsidRDefault="00462332" w:rsidP="00E24CBD">
            <w:pPr>
              <w:pStyle w:val="TableText"/>
              <w:rPr>
                <w:snapToGrid w:val="0"/>
              </w:rPr>
            </w:pPr>
            <w:r>
              <w:rPr>
                <w:snapToGrid w:val="0"/>
              </w:rPr>
              <w:t>Daily</w:t>
            </w:r>
          </w:p>
        </w:tc>
        <w:tc>
          <w:tcPr>
            <w:tcW w:w="2810" w:type="dxa"/>
          </w:tcPr>
          <w:p w14:paraId="71D3B4A9" w14:textId="77777777" w:rsidR="00462332" w:rsidRDefault="00462332" w:rsidP="00E24CBD">
            <w:pPr>
              <w:pStyle w:val="TableText"/>
              <w:rPr>
                <w:snapToGrid w:val="0"/>
              </w:rPr>
            </w:pPr>
            <w:r>
              <w:rPr>
                <w:snapToGrid w:val="0"/>
              </w:rPr>
              <w:t>Audit Trail</w:t>
            </w:r>
          </w:p>
        </w:tc>
        <w:tc>
          <w:tcPr>
            <w:tcW w:w="3582" w:type="dxa"/>
          </w:tcPr>
          <w:p w14:paraId="61C69EA5" w14:textId="77777777" w:rsidR="00462332" w:rsidRDefault="00462332" w:rsidP="00E24CBD">
            <w:pPr>
              <w:pStyle w:val="TableText"/>
              <w:rPr>
                <w:snapToGrid w:val="0"/>
              </w:rPr>
            </w:pPr>
            <w:r>
              <w:t xml:space="preserve">Quality </w:t>
            </w:r>
            <w:r w:rsidR="000A04E1">
              <w:t>a</w:t>
            </w:r>
            <w:r>
              <w:t>ssurance (QA) report details data changes in system.</w:t>
            </w:r>
          </w:p>
        </w:tc>
        <w:tc>
          <w:tcPr>
            <w:tcW w:w="4840" w:type="dxa"/>
          </w:tcPr>
          <w:p w14:paraId="1BC10579" w14:textId="77777777" w:rsidR="00462332" w:rsidRDefault="00462332" w:rsidP="00E24CBD">
            <w:pPr>
              <w:pStyle w:val="TableText"/>
              <w:rPr>
                <w:snapToGrid w:val="0"/>
              </w:rPr>
            </w:pPr>
            <w:r>
              <w:rPr>
                <w:snapToGrid w:val="0"/>
              </w:rPr>
              <w:t>Print, review, sign</w:t>
            </w:r>
            <w:r w:rsidR="000A04E1">
              <w:rPr>
                <w:snapToGrid w:val="0"/>
              </w:rPr>
              <w:t>,</w:t>
            </w:r>
            <w:r>
              <w:rPr>
                <w:snapToGrid w:val="0"/>
              </w:rPr>
              <w:t xml:space="preserve"> </w:t>
            </w:r>
            <w:r w:rsidR="00695BEA">
              <w:rPr>
                <w:snapToGrid w:val="0"/>
              </w:rPr>
              <w:t xml:space="preserve">date, </w:t>
            </w:r>
            <w:r>
              <w:rPr>
                <w:snapToGrid w:val="0"/>
              </w:rPr>
              <w:t>and save hard</w:t>
            </w:r>
            <w:r w:rsidR="00695BEA">
              <w:rPr>
                <w:snapToGrid w:val="0"/>
              </w:rPr>
              <w:t xml:space="preserve"> </w:t>
            </w:r>
            <w:r>
              <w:rPr>
                <w:snapToGrid w:val="0"/>
              </w:rPr>
              <w:t>copy.</w:t>
            </w:r>
          </w:p>
        </w:tc>
      </w:tr>
      <w:tr w:rsidR="00462332" w14:paraId="522B04DF" w14:textId="77777777">
        <w:trPr>
          <w:cantSplit/>
        </w:trPr>
        <w:tc>
          <w:tcPr>
            <w:tcW w:w="1728" w:type="dxa"/>
            <w:vMerge/>
          </w:tcPr>
          <w:p w14:paraId="0FE1D9DA" w14:textId="77777777" w:rsidR="00462332" w:rsidRDefault="00462332" w:rsidP="00E24CBD">
            <w:pPr>
              <w:pStyle w:val="TableText"/>
              <w:rPr>
                <w:snapToGrid w:val="0"/>
              </w:rPr>
            </w:pPr>
          </w:p>
        </w:tc>
        <w:tc>
          <w:tcPr>
            <w:tcW w:w="2810" w:type="dxa"/>
          </w:tcPr>
          <w:p w14:paraId="666F3C23" w14:textId="77777777" w:rsidR="00462332" w:rsidRDefault="00462332" w:rsidP="00E24CBD">
            <w:pPr>
              <w:pStyle w:val="TableText"/>
              <w:rPr>
                <w:snapToGrid w:val="0"/>
              </w:rPr>
            </w:pPr>
            <w:r>
              <w:rPr>
                <w:snapToGrid w:val="0"/>
              </w:rPr>
              <w:t>Blood Availability</w:t>
            </w:r>
          </w:p>
        </w:tc>
        <w:tc>
          <w:tcPr>
            <w:tcW w:w="3582" w:type="dxa"/>
          </w:tcPr>
          <w:p w14:paraId="5462F08B" w14:textId="77777777" w:rsidR="00462332" w:rsidRDefault="00462332" w:rsidP="00E24CBD">
            <w:pPr>
              <w:pStyle w:val="TableText"/>
              <w:rPr>
                <w:snapToGrid w:val="0"/>
              </w:rPr>
            </w:pPr>
            <w:r>
              <w:t>Inventory report</w:t>
            </w:r>
          </w:p>
        </w:tc>
        <w:tc>
          <w:tcPr>
            <w:tcW w:w="4840" w:type="dxa"/>
          </w:tcPr>
          <w:p w14:paraId="72B2D890" w14:textId="77777777" w:rsidR="00462332" w:rsidRDefault="00462332" w:rsidP="00E24CBD">
            <w:pPr>
              <w:pStyle w:val="TableText"/>
              <w:rPr>
                <w:snapToGrid w:val="0"/>
              </w:rPr>
            </w:pPr>
            <w:r>
              <w:rPr>
                <w:snapToGrid w:val="0"/>
              </w:rPr>
              <w:t xml:space="preserve">This report may not be needed by </w:t>
            </w:r>
            <w:r w:rsidR="00695BEA">
              <w:rPr>
                <w:snapToGrid w:val="0"/>
              </w:rPr>
              <w:t>transfusion-</w:t>
            </w:r>
            <w:r>
              <w:rPr>
                <w:snapToGrid w:val="0"/>
              </w:rPr>
              <w:t xml:space="preserve">only or </w:t>
            </w:r>
            <w:r w:rsidR="00695BEA">
              <w:rPr>
                <w:snapToGrid w:val="0"/>
              </w:rPr>
              <w:t>other sites</w:t>
            </w:r>
            <w:r>
              <w:rPr>
                <w:snapToGrid w:val="0"/>
              </w:rPr>
              <w:t>.</w:t>
            </w:r>
          </w:p>
        </w:tc>
      </w:tr>
      <w:tr w:rsidR="00462332" w14:paraId="4001AA1F" w14:textId="77777777">
        <w:trPr>
          <w:cantSplit/>
        </w:trPr>
        <w:tc>
          <w:tcPr>
            <w:tcW w:w="1728" w:type="dxa"/>
            <w:vMerge/>
          </w:tcPr>
          <w:p w14:paraId="5766C2E4" w14:textId="77777777" w:rsidR="00462332" w:rsidRDefault="00462332" w:rsidP="00E24CBD">
            <w:pPr>
              <w:pStyle w:val="TableText"/>
              <w:rPr>
                <w:snapToGrid w:val="0"/>
              </w:rPr>
            </w:pPr>
          </w:p>
        </w:tc>
        <w:tc>
          <w:tcPr>
            <w:tcW w:w="2810" w:type="dxa"/>
          </w:tcPr>
          <w:p w14:paraId="1C4F838A" w14:textId="77777777" w:rsidR="00462332" w:rsidRDefault="00462332" w:rsidP="00E24CBD">
            <w:pPr>
              <w:pStyle w:val="TableText"/>
              <w:rPr>
                <w:snapToGrid w:val="0"/>
              </w:rPr>
            </w:pPr>
            <w:r>
              <w:rPr>
                <w:snapToGrid w:val="0"/>
              </w:rPr>
              <w:t>Exception Report</w:t>
            </w:r>
          </w:p>
        </w:tc>
        <w:tc>
          <w:tcPr>
            <w:tcW w:w="3582" w:type="dxa"/>
          </w:tcPr>
          <w:p w14:paraId="31760F63" w14:textId="77777777" w:rsidR="00462332" w:rsidRDefault="00462332" w:rsidP="00E24CBD">
            <w:pPr>
              <w:pStyle w:val="TableText"/>
              <w:rPr>
                <w:snapToGrid w:val="0"/>
              </w:rPr>
            </w:pPr>
            <w:r>
              <w:t>QA report details overrides of system rules processed by users.</w:t>
            </w:r>
          </w:p>
        </w:tc>
        <w:tc>
          <w:tcPr>
            <w:tcW w:w="4840" w:type="dxa"/>
          </w:tcPr>
          <w:p w14:paraId="19392308" w14:textId="77777777" w:rsidR="00462332" w:rsidRDefault="002A03C9" w:rsidP="00E24CBD">
            <w:pPr>
              <w:pStyle w:val="TableText"/>
              <w:rPr>
                <w:snapToGrid w:val="0"/>
              </w:rPr>
            </w:pPr>
            <w:r>
              <w:rPr>
                <w:snapToGrid w:val="0"/>
              </w:rPr>
              <w:t>Print, review, sign, date, and save hard copy.</w:t>
            </w:r>
          </w:p>
        </w:tc>
      </w:tr>
      <w:tr w:rsidR="00462332" w14:paraId="3CF30ED4" w14:textId="77777777">
        <w:trPr>
          <w:cantSplit/>
        </w:trPr>
        <w:tc>
          <w:tcPr>
            <w:tcW w:w="1728" w:type="dxa"/>
            <w:vMerge/>
          </w:tcPr>
          <w:p w14:paraId="1AE8344A" w14:textId="77777777" w:rsidR="00462332" w:rsidRDefault="00462332" w:rsidP="00E24CBD">
            <w:pPr>
              <w:pStyle w:val="TableText"/>
              <w:rPr>
                <w:snapToGrid w:val="0"/>
              </w:rPr>
            </w:pPr>
          </w:p>
        </w:tc>
        <w:tc>
          <w:tcPr>
            <w:tcW w:w="2810" w:type="dxa"/>
          </w:tcPr>
          <w:p w14:paraId="592ACA3B" w14:textId="77777777" w:rsidR="00462332" w:rsidRDefault="00462332" w:rsidP="00E24CBD">
            <w:pPr>
              <w:pStyle w:val="TableText"/>
              <w:rPr>
                <w:snapToGrid w:val="0"/>
              </w:rPr>
            </w:pPr>
            <w:r>
              <w:rPr>
                <w:snapToGrid w:val="0"/>
              </w:rPr>
              <w:t>Testing Worklist Report</w:t>
            </w:r>
          </w:p>
        </w:tc>
        <w:tc>
          <w:tcPr>
            <w:tcW w:w="3582" w:type="dxa"/>
          </w:tcPr>
          <w:p w14:paraId="599D20FC" w14:textId="77777777" w:rsidR="00462332" w:rsidRDefault="00462332" w:rsidP="00E24CBD">
            <w:pPr>
              <w:pStyle w:val="TableText"/>
              <w:rPr>
                <w:snapToGrid w:val="0"/>
              </w:rPr>
            </w:pPr>
            <w:r>
              <w:t>QA report displays all testing within a division.</w:t>
            </w:r>
          </w:p>
        </w:tc>
        <w:tc>
          <w:tcPr>
            <w:tcW w:w="4840" w:type="dxa"/>
          </w:tcPr>
          <w:p w14:paraId="7C073E6E" w14:textId="77777777" w:rsidR="00462332" w:rsidRDefault="00462332" w:rsidP="00E24CBD">
            <w:pPr>
              <w:pStyle w:val="TableText"/>
              <w:rPr>
                <w:snapToGrid w:val="0"/>
              </w:rPr>
            </w:pPr>
            <w:r>
              <w:rPr>
                <w:snapToGrid w:val="0"/>
              </w:rPr>
              <w:t>Print Patient Testing, Unit testing, Rack QC and miscellaneous reagent QC.</w:t>
            </w:r>
            <w:r w:rsidR="002A03C9">
              <w:rPr>
                <w:snapToGrid w:val="0"/>
              </w:rPr>
              <w:t xml:space="preserve"> Print, review, sign, date, and save hard copy.</w:t>
            </w:r>
          </w:p>
        </w:tc>
      </w:tr>
      <w:tr w:rsidR="00462332" w14:paraId="2DF9F914" w14:textId="77777777">
        <w:trPr>
          <w:cantSplit/>
        </w:trPr>
        <w:tc>
          <w:tcPr>
            <w:tcW w:w="1728" w:type="dxa"/>
          </w:tcPr>
          <w:p w14:paraId="538CA113" w14:textId="77777777" w:rsidR="00462332" w:rsidRDefault="00462332" w:rsidP="00FE73F7">
            <w:pPr>
              <w:pStyle w:val="TableText"/>
              <w:rPr>
                <w:snapToGrid w:val="0"/>
              </w:rPr>
            </w:pPr>
            <w:r>
              <w:rPr>
                <w:snapToGrid w:val="0"/>
              </w:rPr>
              <w:t>Daily or Weekly</w:t>
            </w:r>
          </w:p>
        </w:tc>
        <w:tc>
          <w:tcPr>
            <w:tcW w:w="2810" w:type="dxa"/>
          </w:tcPr>
          <w:p w14:paraId="550C295F" w14:textId="77777777" w:rsidR="00462332" w:rsidRDefault="00462332" w:rsidP="00FE73F7">
            <w:pPr>
              <w:pStyle w:val="TableText"/>
              <w:rPr>
                <w:snapToGrid w:val="0"/>
              </w:rPr>
            </w:pPr>
            <w:r>
              <w:rPr>
                <w:snapToGrid w:val="0"/>
              </w:rPr>
              <w:t>Issued/Returned Report</w:t>
            </w:r>
          </w:p>
        </w:tc>
        <w:tc>
          <w:tcPr>
            <w:tcW w:w="3582" w:type="dxa"/>
          </w:tcPr>
          <w:p w14:paraId="4E9C08B0" w14:textId="77777777" w:rsidR="00462332" w:rsidRDefault="00462332" w:rsidP="00FE73F7">
            <w:pPr>
              <w:pStyle w:val="TableText"/>
              <w:rPr>
                <w:snapToGrid w:val="0"/>
              </w:rPr>
            </w:pPr>
            <w:r>
              <w:t>QA report displays all relocation transactions.</w:t>
            </w:r>
          </w:p>
        </w:tc>
        <w:tc>
          <w:tcPr>
            <w:tcW w:w="4840" w:type="dxa"/>
          </w:tcPr>
          <w:p w14:paraId="53062659" w14:textId="77777777" w:rsidR="00462332" w:rsidRDefault="00462332" w:rsidP="00FE73F7">
            <w:pPr>
              <w:pStyle w:val="TableText"/>
              <w:rPr>
                <w:snapToGrid w:val="0"/>
              </w:rPr>
            </w:pPr>
            <w:r>
              <w:rPr>
                <w:snapToGrid w:val="0"/>
              </w:rPr>
              <w:t>Review for anomalies and take corrective action.</w:t>
            </w:r>
          </w:p>
        </w:tc>
      </w:tr>
      <w:tr w:rsidR="00462332" w14:paraId="06313914" w14:textId="77777777">
        <w:trPr>
          <w:cantSplit/>
        </w:trPr>
        <w:tc>
          <w:tcPr>
            <w:tcW w:w="1728" w:type="dxa"/>
            <w:tcBorders>
              <w:bottom w:val="single" w:sz="4" w:space="0" w:color="auto"/>
            </w:tcBorders>
          </w:tcPr>
          <w:p w14:paraId="69D53873" w14:textId="77777777" w:rsidR="00462332" w:rsidRDefault="00462332" w:rsidP="00E24CBD">
            <w:pPr>
              <w:pStyle w:val="TableText"/>
              <w:rPr>
                <w:snapToGrid w:val="0"/>
              </w:rPr>
            </w:pPr>
            <w:r>
              <w:rPr>
                <w:snapToGrid w:val="0"/>
              </w:rPr>
              <w:t>Daily, Weekly</w:t>
            </w:r>
            <w:r w:rsidR="008C3117">
              <w:rPr>
                <w:snapToGrid w:val="0"/>
              </w:rPr>
              <w:t xml:space="preserve">, </w:t>
            </w:r>
            <w:r>
              <w:rPr>
                <w:snapToGrid w:val="0"/>
              </w:rPr>
              <w:t>and Monthly</w:t>
            </w:r>
          </w:p>
        </w:tc>
        <w:tc>
          <w:tcPr>
            <w:tcW w:w="2810" w:type="dxa"/>
            <w:tcBorders>
              <w:bottom w:val="single" w:sz="4" w:space="0" w:color="auto"/>
            </w:tcBorders>
          </w:tcPr>
          <w:p w14:paraId="33E378DB" w14:textId="77777777" w:rsidR="00462332" w:rsidRDefault="00462332" w:rsidP="00E24CBD">
            <w:pPr>
              <w:pStyle w:val="TableText"/>
              <w:rPr>
                <w:snapToGrid w:val="0"/>
              </w:rPr>
            </w:pPr>
            <w:r>
              <w:rPr>
                <w:snapToGrid w:val="0"/>
              </w:rPr>
              <w:t>Transfusion Requirements Report</w:t>
            </w:r>
          </w:p>
        </w:tc>
        <w:tc>
          <w:tcPr>
            <w:tcW w:w="3582" w:type="dxa"/>
            <w:tcBorders>
              <w:bottom w:val="single" w:sz="4" w:space="0" w:color="auto"/>
            </w:tcBorders>
          </w:tcPr>
          <w:p w14:paraId="38A044AC" w14:textId="77777777" w:rsidR="00462332" w:rsidRDefault="00462332" w:rsidP="00E24CBD">
            <w:pPr>
              <w:pStyle w:val="TableText"/>
              <w:rPr>
                <w:snapToGrid w:val="0"/>
              </w:rPr>
            </w:pPr>
            <w:r>
              <w:t>A compendium of p</w:t>
            </w:r>
            <w:r w:rsidR="000A04E1">
              <w:t>atient blood types, SI</w:t>
            </w:r>
            <w:r>
              <w:t>s</w:t>
            </w:r>
            <w:r w:rsidR="000A04E1">
              <w:t>, and TRs</w:t>
            </w:r>
            <w:r>
              <w:t xml:space="preserve"> are printed for use during downtime.</w:t>
            </w:r>
          </w:p>
        </w:tc>
        <w:tc>
          <w:tcPr>
            <w:tcW w:w="4840" w:type="dxa"/>
            <w:tcBorders>
              <w:bottom w:val="single" w:sz="4" w:space="0" w:color="auto"/>
            </w:tcBorders>
          </w:tcPr>
          <w:p w14:paraId="77774F86" w14:textId="77777777" w:rsidR="008B7391" w:rsidRDefault="008B7391" w:rsidP="008B7391">
            <w:pPr>
              <w:pStyle w:val="TableTextBullet"/>
              <w:rPr>
                <w:snapToGrid w:val="0"/>
              </w:rPr>
            </w:pPr>
            <w:r>
              <w:rPr>
                <w:snapToGrid w:val="0"/>
              </w:rPr>
              <w:t>Days 1–6: print report daily.</w:t>
            </w:r>
          </w:p>
          <w:p w14:paraId="3732CE1A" w14:textId="77777777" w:rsidR="008B7391" w:rsidRDefault="008B7391" w:rsidP="008B7391">
            <w:pPr>
              <w:pStyle w:val="TableTextBullet"/>
              <w:rPr>
                <w:snapToGrid w:val="0"/>
              </w:rPr>
            </w:pPr>
            <w:r>
              <w:rPr>
                <w:snapToGrid w:val="0"/>
              </w:rPr>
              <w:t>Day 7: print report for previous week; discard daily reports.</w:t>
            </w:r>
          </w:p>
          <w:p w14:paraId="33199031" w14:textId="77777777" w:rsidR="008B7391" w:rsidRDefault="008B7391" w:rsidP="008B7391">
            <w:pPr>
              <w:pStyle w:val="TableTextBullet"/>
              <w:rPr>
                <w:snapToGrid w:val="0"/>
              </w:rPr>
            </w:pPr>
            <w:r>
              <w:rPr>
                <w:snapToGrid w:val="0"/>
              </w:rPr>
              <w:t>Start of month: print report for previous month; discard weekly reports.</w:t>
            </w:r>
          </w:p>
          <w:p w14:paraId="76BD6BFC" w14:textId="77777777" w:rsidR="008B7391" w:rsidRDefault="008B7391" w:rsidP="008B7391">
            <w:pPr>
              <w:pStyle w:val="TableTextBullet"/>
              <w:rPr>
                <w:snapToGrid w:val="0"/>
              </w:rPr>
            </w:pPr>
            <w:r>
              <w:rPr>
                <w:snapToGrid w:val="0"/>
              </w:rPr>
              <w:t>Start of year: print report for previous year; discard monthly reports.</w:t>
            </w:r>
          </w:p>
          <w:p w14:paraId="5BE487A0" w14:textId="77777777" w:rsidR="008B7391" w:rsidRDefault="008B7391" w:rsidP="00E24CBD">
            <w:pPr>
              <w:pStyle w:val="TableText"/>
              <w:rPr>
                <w:snapToGrid w:val="0"/>
              </w:rPr>
            </w:pPr>
          </w:p>
          <w:p w14:paraId="6933E04F" w14:textId="77777777" w:rsidR="00462332" w:rsidRDefault="00D64989" w:rsidP="00E24CBD">
            <w:pPr>
              <w:pStyle w:val="TableText"/>
              <w:rPr>
                <w:snapToGrid w:val="0"/>
              </w:rPr>
            </w:pPr>
            <w:r>
              <w:rPr>
                <w:snapToGrid w:val="0"/>
              </w:rPr>
              <w:t>Generate c</w:t>
            </w:r>
            <w:r w:rsidR="00462332">
              <w:rPr>
                <w:snapToGrid w:val="0"/>
              </w:rPr>
              <w:t xml:space="preserve">umulative reports </w:t>
            </w:r>
            <w:r>
              <w:rPr>
                <w:snapToGrid w:val="0"/>
              </w:rPr>
              <w:t xml:space="preserve">starting with the date of first data entry through the current date to include </w:t>
            </w:r>
            <w:r w:rsidR="00462332">
              <w:rPr>
                <w:snapToGrid w:val="0"/>
              </w:rPr>
              <w:t>all patient records.</w:t>
            </w:r>
            <w:r w:rsidR="00D10CA6">
              <w:rPr>
                <w:snapToGrid w:val="0"/>
              </w:rPr>
              <w:t xml:space="preserve"> Store reports so that they are easily accessible.</w:t>
            </w:r>
          </w:p>
        </w:tc>
      </w:tr>
      <w:tr w:rsidR="00F3040D" w14:paraId="68D7E104" w14:textId="77777777">
        <w:trPr>
          <w:cantSplit/>
        </w:trPr>
        <w:tc>
          <w:tcPr>
            <w:tcW w:w="1728" w:type="dxa"/>
            <w:vMerge w:val="restart"/>
          </w:tcPr>
          <w:p w14:paraId="296769D7" w14:textId="77777777" w:rsidR="00F3040D" w:rsidRDefault="00F3040D" w:rsidP="00FE73F7">
            <w:pPr>
              <w:pStyle w:val="TableText"/>
              <w:rPr>
                <w:snapToGrid w:val="0"/>
              </w:rPr>
            </w:pPr>
            <w:r>
              <w:rPr>
                <w:snapToGrid w:val="0"/>
              </w:rPr>
              <w:t>Weekly</w:t>
            </w:r>
          </w:p>
        </w:tc>
        <w:tc>
          <w:tcPr>
            <w:tcW w:w="2810" w:type="dxa"/>
          </w:tcPr>
          <w:p w14:paraId="7F543212" w14:textId="77777777" w:rsidR="00F3040D" w:rsidRDefault="00F3040D" w:rsidP="00E24CBD">
            <w:pPr>
              <w:pStyle w:val="TableText"/>
              <w:rPr>
                <w:snapToGrid w:val="0"/>
              </w:rPr>
            </w:pPr>
            <w:r>
              <w:rPr>
                <w:snapToGrid w:val="0"/>
              </w:rPr>
              <w:t>Prolonged Transfusion Time Report</w:t>
            </w:r>
          </w:p>
        </w:tc>
        <w:tc>
          <w:tcPr>
            <w:tcW w:w="3582" w:type="dxa"/>
          </w:tcPr>
          <w:p w14:paraId="5C11DBFE" w14:textId="77777777" w:rsidR="00F3040D" w:rsidRDefault="00F3040D" w:rsidP="00E24CBD">
            <w:pPr>
              <w:pStyle w:val="TableText"/>
              <w:rPr>
                <w:snapToGrid w:val="0"/>
              </w:rPr>
            </w:pPr>
            <w:r>
              <w:t>Details units that were not infused within the required time frame.</w:t>
            </w:r>
          </w:p>
        </w:tc>
        <w:tc>
          <w:tcPr>
            <w:tcW w:w="4840" w:type="dxa"/>
            <w:vMerge w:val="restart"/>
          </w:tcPr>
          <w:p w14:paraId="34317811" w14:textId="77777777" w:rsidR="00F3040D" w:rsidRDefault="00F3040D" w:rsidP="00E24CBD">
            <w:pPr>
              <w:pStyle w:val="TableText"/>
              <w:rPr>
                <w:snapToGrid w:val="0"/>
              </w:rPr>
            </w:pPr>
            <w:r>
              <w:rPr>
                <w:snapToGrid w:val="0"/>
              </w:rPr>
              <w:t>Generate these reports for blood utilization committee and other quality management activities.</w:t>
            </w:r>
          </w:p>
        </w:tc>
      </w:tr>
      <w:tr w:rsidR="00F3040D" w14:paraId="43FE00EB" w14:textId="77777777">
        <w:trPr>
          <w:cantSplit/>
        </w:trPr>
        <w:tc>
          <w:tcPr>
            <w:tcW w:w="1728" w:type="dxa"/>
            <w:vMerge/>
          </w:tcPr>
          <w:p w14:paraId="3CE0432D" w14:textId="77777777" w:rsidR="00F3040D" w:rsidRDefault="00F3040D" w:rsidP="00FE73F7">
            <w:pPr>
              <w:pStyle w:val="TableText"/>
              <w:rPr>
                <w:snapToGrid w:val="0"/>
              </w:rPr>
            </w:pPr>
          </w:p>
        </w:tc>
        <w:tc>
          <w:tcPr>
            <w:tcW w:w="2810" w:type="dxa"/>
          </w:tcPr>
          <w:p w14:paraId="027DDE55" w14:textId="77777777" w:rsidR="00F3040D" w:rsidRDefault="00F3040D" w:rsidP="00FE73F7">
            <w:pPr>
              <w:pStyle w:val="TableText"/>
              <w:rPr>
                <w:snapToGrid w:val="0"/>
              </w:rPr>
            </w:pPr>
            <w:r>
              <w:rPr>
                <w:snapToGrid w:val="0"/>
              </w:rPr>
              <w:t>Transfusion Effectiveness Report</w:t>
            </w:r>
          </w:p>
        </w:tc>
        <w:tc>
          <w:tcPr>
            <w:tcW w:w="3582" w:type="dxa"/>
          </w:tcPr>
          <w:p w14:paraId="31C71335" w14:textId="77777777" w:rsidR="00F3040D" w:rsidRDefault="00F3040D" w:rsidP="00FE73F7">
            <w:pPr>
              <w:pStyle w:val="TableText"/>
              <w:rPr>
                <w:snapToGrid w:val="0"/>
              </w:rPr>
            </w:pPr>
            <w:r>
              <w:t>Compares transfusions with user-configured lab data indicators to monitor appropriate blood usage.</w:t>
            </w:r>
          </w:p>
        </w:tc>
        <w:tc>
          <w:tcPr>
            <w:tcW w:w="4840" w:type="dxa"/>
            <w:vMerge/>
          </w:tcPr>
          <w:p w14:paraId="3D38B82A" w14:textId="77777777" w:rsidR="00F3040D" w:rsidRDefault="00F3040D" w:rsidP="00FE73F7">
            <w:pPr>
              <w:pStyle w:val="TableText"/>
              <w:rPr>
                <w:snapToGrid w:val="0"/>
              </w:rPr>
            </w:pPr>
          </w:p>
        </w:tc>
      </w:tr>
      <w:tr w:rsidR="00F3040D" w14:paraId="252D11B1" w14:textId="77777777">
        <w:trPr>
          <w:cantSplit/>
        </w:trPr>
        <w:tc>
          <w:tcPr>
            <w:tcW w:w="1728" w:type="dxa"/>
            <w:vMerge w:val="restart"/>
          </w:tcPr>
          <w:p w14:paraId="0276132A" w14:textId="77777777" w:rsidR="00F3040D" w:rsidRDefault="00F3040D" w:rsidP="00FE73F7">
            <w:pPr>
              <w:pStyle w:val="TableText"/>
              <w:rPr>
                <w:snapToGrid w:val="0"/>
              </w:rPr>
            </w:pPr>
            <w:r>
              <w:rPr>
                <w:snapToGrid w:val="0"/>
              </w:rPr>
              <w:t>Weekly or Monthly</w:t>
            </w:r>
          </w:p>
        </w:tc>
        <w:tc>
          <w:tcPr>
            <w:tcW w:w="2810" w:type="dxa"/>
          </w:tcPr>
          <w:p w14:paraId="06C9D2EE" w14:textId="77777777" w:rsidR="00F3040D" w:rsidRDefault="00F3040D" w:rsidP="00FE73F7">
            <w:pPr>
              <w:pStyle w:val="TableText"/>
              <w:rPr>
                <w:snapToGrid w:val="0"/>
              </w:rPr>
            </w:pPr>
            <w:r>
              <w:rPr>
                <w:snapToGrid w:val="0"/>
              </w:rPr>
              <w:t>C:T Ratio Report</w:t>
            </w:r>
          </w:p>
        </w:tc>
        <w:tc>
          <w:tcPr>
            <w:tcW w:w="3582" w:type="dxa"/>
          </w:tcPr>
          <w:p w14:paraId="07ADAF70" w14:textId="77777777" w:rsidR="00F3040D" w:rsidRDefault="00F3040D" w:rsidP="00FE73F7">
            <w:pPr>
              <w:pStyle w:val="TableText"/>
              <w:rPr>
                <w:snapToGrid w:val="0"/>
              </w:rPr>
            </w:pPr>
            <w:r>
              <w:t>Details crossmatch-to-transfusion ratio by physician or treating specialty.</w:t>
            </w:r>
          </w:p>
        </w:tc>
        <w:tc>
          <w:tcPr>
            <w:tcW w:w="4840" w:type="dxa"/>
            <w:vMerge/>
          </w:tcPr>
          <w:p w14:paraId="2D2FFDEC" w14:textId="77777777" w:rsidR="00F3040D" w:rsidRDefault="00F3040D" w:rsidP="00FE73F7">
            <w:pPr>
              <w:pStyle w:val="TableText"/>
              <w:rPr>
                <w:snapToGrid w:val="0"/>
              </w:rPr>
            </w:pPr>
          </w:p>
        </w:tc>
      </w:tr>
      <w:tr w:rsidR="00F3040D" w14:paraId="777582CC" w14:textId="77777777">
        <w:trPr>
          <w:cantSplit/>
        </w:trPr>
        <w:tc>
          <w:tcPr>
            <w:tcW w:w="1728" w:type="dxa"/>
            <w:vMerge/>
          </w:tcPr>
          <w:p w14:paraId="4D0C86C5" w14:textId="77777777" w:rsidR="00F3040D" w:rsidRDefault="00F3040D" w:rsidP="00E24CBD">
            <w:pPr>
              <w:pStyle w:val="TableText"/>
              <w:rPr>
                <w:snapToGrid w:val="0"/>
              </w:rPr>
            </w:pPr>
          </w:p>
        </w:tc>
        <w:tc>
          <w:tcPr>
            <w:tcW w:w="2810" w:type="dxa"/>
          </w:tcPr>
          <w:p w14:paraId="749B1ABD" w14:textId="77777777" w:rsidR="00F3040D" w:rsidRDefault="00F3040D" w:rsidP="00E24CBD">
            <w:pPr>
              <w:pStyle w:val="TableText"/>
              <w:rPr>
                <w:snapToGrid w:val="0"/>
              </w:rPr>
            </w:pPr>
            <w:r>
              <w:rPr>
                <w:snapToGrid w:val="0"/>
              </w:rPr>
              <w:t>Transfusion Complications Report</w:t>
            </w:r>
          </w:p>
        </w:tc>
        <w:tc>
          <w:tcPr>
            <w:tcW w:w="3582" w:type="dxa"/>
          </w:tcPr>
          <w:p w14:paraId="7D5DC96E" w14:textId="6417106A" w:rsidR="00F3040D" w:rsidRDefault="00F3040D" w:rsidP="00E24CBD">
            <w:pPr>
              <w:pStyle w:val="TableText"/>
              <w:rPr>
                <w:snapToGrid w:val="0"/>
              </w:rPr>
            </w:pPr>
            <w:r>
              <w:t xml:space="preserve">Compares transfusions with user configured lab data indicators to monitor </w:t>
            </w:r>
            <w:r w:rsidR="00AE3B37">
              <w:t>adverse effects</w:t>
            </w:r>
            <w:r>
              <w:t xml:space="preserve"> from transfusion.</w:t>
            </w:r>
          </w:p>
        </w:tc>
        <w:tc>
          <w:tcPr>
            <w:tcW w:w="4840" w:type="dxa"/>
            <w:vMerge/>
          </w:tcPr>
          <w:p w14:paraId="12057C12" w14:textId="77777777" w:rsidR="00F3040D" w:rsidRDefault="00F3040D" w:rsidP="00E24CBD">
            <w:pPr>
              <w:pStyle w:val="TableText"/>
              <w:rPr>
                <w:snapToGrid w:val="0"/>
              </w:rPr>
            </w:pPr>
          </w:p>
        </w:tc>
      </w:tr>
      <w:tr w:rsidR="00F3040D" w14:paraId="05E5E7FF" w14:textId="77777777">
        <w:trPr>
          <w:cantSplit/>
        </w:trPr>
        <w:tc>
          <w:tcPr>
            <w:tcW w:w="1728" w:type="dxa"/>
            <w:vMerge/>
            <w:tcBorders>
              <w:bottom w:val="single" w:sz="4" w:space="0" w:color="auto"/>
            </w:tcBorders>
          </w:tcPr>
          <w:p w14:paraId="7227B827" w14:textId="77777777" w:rsidR="00F3040D" w:rsidRDefault="00F3040D" w:rsidP="00E24CBD">
            <w:pPr>
              <w:pStyle w:val="TableText"/>
              <w:rPr>
                <w:snapToGrid w:val="0"/>
              </w:rPr>
            </w:pPr>
          </w:p>
        </w:tc>
        <w:tc>
          <w:tcPr>
            <w:tcW w:w="2810" w:type="dxa"/>
            <w:tcBorders>
              <w:bottom w:val="single" w:sz="4" w:space="0" w:color="auto"/>
            </w:tcBorders>
          </w:tcPr>
          <w:p w14:paraId="78D0ADAB" w14:textId="77777777" w:rsidR="00F3040D" w:rsidRDefault="00F3040D" w:rsidP="00E24CBD">
            <w:pPr>
              <w:pStyle w:val="TableText"/>
              <w:rPr>
                <w:snapToGrid w:val="0"/>
              </w:rPr>
            </w:pPr>
            <w:r>
              <w:rPr>
                <w:snapToGrid w:val="0"/>
              </w:rPr>
              <w:t>Inappropriate Transfusion Request Report</w:t>
            </w:r>
          </w:p>
        </w:tc>
        <w:tc>
          <w:tcPr>
            <w:tcW w:w="3582" w:type="dxa"/>
            <w:tcBorders>
              <w:bottom w:val="single" w:sz="4" w:space="0" w:color="auto"/>
            </w:tcBorders>
          </w:tcPr>
          <w:p w14:paraId="78A382E9" w14:textId="77777777" w:rsidR="00F3040D" w:rsidRDefault="00F3040D" w:rsidP="00E24CBD">
            <w:pPr>
              <w:pStyle w:val="TableText"/>
            </w:pPr>
            <w:r>
              <w:t>Details requests for blood products that did not meet the facility’s transfusion criteria.</w:t>
            </w:r>
          </w:p>
        </w:tc>
        <w:tc>
          <w:tcPr>
            <w:tcW w:w="4840" w:type="dxa"/>
            <w:vMerge/>
            <w:tcBorders>
              <w:bottom w:val="single" w:sz="4" w:space="0" w:color="auto"/>
            </w:tcBorders>
          </w:tcPr>
          <w:p w14:paraId="33E22659" w14:textId="77777777" w:rsidR="00F3040D" w:rsidRDefault="00F3040D" w:rsidP="00E24CBD">
            <w:pPr>
              <w:pStyle w:val="TableText"/>
              <w:rPr>
                <w:snapToGrid w:val="0"/>
              </w:rPr>
            </w:pPr>
          </w:p>
        </w:tc>
      </w:tr>
      <w:tr w:rsidR="00FF05B8" w14:paraId="719B376E" w14:textId="77777777">
        <w:trPr>
          <w:cantSplit/>
        </w:trPr>
        <w:tc>
          <w:tcPr>
            <w:tcW w:w="1728" w:type="dxa"/>
            <w:vMerge w:val="restart"/>
          </w:tcPr>
          <w:p w14:paraId="6001D5EF" w14:textId="77777777" w:rsidR="00FF05B8" w:rsidRDefault="00FF05B8" w:rsidP="00E24CBD">
            <w:pPr>
              <w:pStyle w:val="TableText"/>
              <w:rPr>
                <w:snapToGrid w:val="0"/>
              </w:rPr>
            </w:pPr>
            <w:r>
              <w:rPr>
                <w:snapToGrid w:val="0"/>
              </w:rPr>
              <w:lastRenderedPageBreak/>
              <w:t>Monthly</w:t>
            </w:r>
          </w:p>
        </w:tc>
        <w:tc>
          <w:tcPr>
            <w:tcW w:w="2810" w:type="dxa"/>
          </w:tcPr>
          <w:p w14:paraId="417929C9" w14:textId="77777777" w:rsidR="00FF05B8" w:rsidRDefault="00FF05B8" w:rsidP="00E24CBD">
            <w:pPr>
              <w:pStyle w:val="TableText"/>
              <w:rPr>
                <w:snapToGrid w:val="0"/>
              </w:rPr>
            </w:pPr>
            <w:r>
              <w:rPr>
                <w:snapToGrid w:val="0"/>
              </w:rPr>
              <w:t>Administrative Data Report</w:t>
            </w:r>
          </w:p>
        </w:tc>
        <w:tc>
          <w:tcPr>
            <w:tcW w:w="3582" w:type="dxa"/>
          </w:tcPr>
          <w:p w14:paraId="6044D670" w14:textId="77777777" w:rsidR="00FF05B8" w:rsidRDefault="00FF05B8" w:rsidP="00E24CBD">
            <w:pPr>
              <w:pStyle w:val="TableText"/>
            </w:pPr>
            <w:r>
              <w:t xml:space="preserve">Management report details products received, transfused, and returned. </w:t>
            </w:r>
          </w:p>
        </w:tc>
        <w:tc>
          <w:tcPr>
            <w:tcW w:w="4840" w:type="dxa"/>
            <w:vMerge w:val="restart"/>
          </w:tcPr>
          <w:p w14:paraId="4BE37F66" w14:textId="77777777" w:rsidR="00FF05B8" w:rsidRDefault="00FF05B8" w:rsidP="00E24CBD">
            <w:pPr>
              <w:pStyle w:val="TableText"/>
              <w:rPr>
                <w:snapToGrid w:val="0"/>
              </w:rPr>
            </w:pPr>
            <w:r>
              <w:rPr>
                <w:snapToGrid w:val="0"/>
              </w:rPr>
              <w:t>Generate these reports for administrative purposes.</w:t>
            </w:r>
          </w:p>
        </w:tc>
      </w:tr>
      <w:tr w:rsidR="00FF05B8" w14:paraId="2649B545" w14:textId="77777777">
        <w:trPr>
          <w:cantSplit/>
        </w:trPr>
        <w:tc>
          <w:tcPr>
            <w:tcW w:w="1728" w:type="dxa"/>
            <w:vMerge/>
          </w:tcPr>
          <w:p w14:paraId="6AAA6CD2" w14:textId="77777777" w:rsidR="00FF05B8" w:rsidRDefault="00FF05B8" w:rsidP="00E24CBD">
            <w:pPr>
              <w:pStyle w:val="TableText"/>
              <w:rPr>
                <w:snapToGrid w:val="0"/>
              </w:rPr>
            </w:pPr>
          </w:p>
        </w:tc>
        <w:tc>
          <w:tcPr>
            <w:tcW w:w="2810" w:type="dxa"/>
          </w:tcPr>
          <w:p w14:paraId="271DA9DA" w14:textId="77777777" w:rsidR="00FF05B8" w:rsidRDefault="00FF05B8" w:rsidP="00E24CBD">
            <w:pPr>
              <w:pStyle w:val="TableText"/>
              <w:rPr>
                <w:snapToGrid w:val="0"/>
              </w:rPr>
            </w:pPr>
            <w:r>
              <w:rPr>
                <w:snapToGrid w:val="0"/>
              </w:rPr>
              <w:t>Cost Accounting Report</w:t>
            </w:r>
          </w:p>
        </w:tc>
        <w:tc>
          <w:tcPr>
            <w:tcW w:w="3582" w:type="dxa"/>
          </w:tcPr>
          <w:p w14:paraId="3809E9CF" w14:textId="77777777" w:rsidR="00FF05B8" w:rsidRDefault="00FF05B8" w:rsidP="00E24CBD">
            <w:pPr>
              <w:pStyle w:val="TableText"/>
            </w:pPr>
            <w:r>
              <w:t>Management report of expenditure by invoice number.</w:t>
            </w:r>
          </w:p>
        </w:tc>
        <w:tc>
          <w:tcPr>
            <w:tcW w:w="4840" w:type="dxa"/>
            <w:vMerge/>
          </w:tcPr>
          <w:p w14:paraId="6F5B8D54" w14:textId="77777777" w:rsidR="00FF05B8" w:rsidRDefault="00FF05B8" w:rsidP="00E24CBD">
            <w:pPr>
              <w:pStyle w:val="TableText"/>
              <w:rPr>
                <w:snapToGrid w:val="0"/>
              </w:rPr>
            </w:pPr>
          </w:p>
        </w:tc>
      </w:tr>
      <w:tr w:rsidR="00FF05B8" w14:paraId="0018A2E6" w14:textId="77777777">
        <w:trPr>
          <w:cantSplit/>
        </w:trPr>
        <w:tc>
          <w:tcPr>
            <w:tcW w:w="1728" w:type="dxa"/>
            <w:vMerge/>
          </w:tcPr>
          <w:p w14:paraId="74BBE551" w14:textId="77777777" w:rsidR="00FF05B8" w:rsidRDefault="00FF05B8" w:rsidP="00E24CBD">
            <w:pPr>
              <w:pStyle w:val="TableText"/>
              <w:rPr>
                <w:snapToGrid w:val="0"/>
              </w:rPr>
            </w:pPr>
          </w:p>
        </w:tc>
        <w:tc>
          <w:tcPr>
            <w:tcW w:w="2810" w:type="dxa"/>
          </w:tcPr>
          <w:p w14:paraId="675938AE" w14:textId="77777777" w:rsidR="00FF05B8" w:rsidRDefault="00FF05B8" w:rsidP="00E24CBD">
            <w:pPr>
              <w:pStyle w:val="TableText"/>
              <w:rPr>
                <w:snapToGrid w:val="0"/>
              </w:rPr>
            </w:pPr>
            <w:r>
              <w:rPr>
                <w:snapToGrid w:val="0"/>
              </w:rPr>
              <w:t>Division Transfusion Report</w:t>
            </w:r>
          </w:p>
        </w:tc>
        <w:tc>
          <w:tcPr>
            <w:tcW w:w="3582" w:type="dxa"/>
          </w:tcPr>
          <w:p w14:paraId="64E0468C" w14:textId="77777777" w:rsidR="00FF05B8" w:rsidRDefault="00FF05B8" w:rsidP="00E24CBD">
            <w:pPr>
              <w:pStyle w:val="TableText"/>
            </w:pPr>
            <w:r>
              <w:t>Details of units transfused during a selected period.</w:t>
            </w:r>
          </w:p>
        </w:tc>
        <w:tc>
          <w:tcPr>
            <w:tcW w:w="4840" w:type="dxa"/>
            <w:vMerge/>
          </w:tcPr>
          <w:p w14:paraId="0AFF52D0" w14:textId="77777777" w:rsidR="00FF05B8" w:rsidRDefault="00FF05B8" w:rsidP="00E24CBD">
            <w:pPr>
              <w:pStyle w:val="TableText"/>
              <w:rPr>
                <w:snapToGrid w:val="0"/>
              </w:rPr>
            </w:pPr>
          </w:p>
        </w:tc>
      </w:tr>
      <w:tr w:rsidR="00FF05B8" w14:paraId="346DA509" w14:textId="77777777">
        <w:trPr>
          <w:cantSplit/>
        </w:trPr>
        <w:tc>
          <w:tcPr>
            <w:tcW w:w="1728" w:type="dxa"/>
            <w:vMerge/>
          </w:tcPr>
          <w:p w14:paraId="4C2E00E9" w14:textId="77777777" w:rsidR="00FF05B8" w:rsidRDefault="00FF05B8" w:rsidP="00E24CBD">
            <w:pPr>
              <w:pStyle w:val="TableText"/>
              <w:rPr>
                <w:snapToGrid w:val="0"/>
              </w:rPr>
            </w:pPr>
          </w:p>
        </w:tc>
        <w:tc>
          <w:tcPr>
            <w:tcW w:w="2810" w:type="dxa"/>
          </w:tcPr>
          <w:p w14:paraId="1BE5BCB2" w14:textId="77777777" w:rsidR="00FF05B8" w:rsidRDefault="00FF05B8" w:rsidP="00E24CBD">
            <w:pPr>
              <w:pStyle w:val="TableText"/>
              <w:rPr>
                <w:snapToGrid w:val="0"/>
              </w:rPr>
            </w:pPr>
            <w:r>
              <w:rPr>
                <w:snapToGrid w:val="0"/>
              </w:rPr>
              <w:t>Division Workload Report</w:t>
            </w:r>
          </w:p>
        </w:tc>
        <w:tc>
          <w:tcPr>
            <w:tcW w:w="3582" w:type="dxa"/>
          </w:tcPr>
          <w:p w14:paraId="5784B5CE" w14:textId="77777777" w:rsidR="00FF05B8" w:rsidRDefault="00FF05B8" w:rsidP="00E24CBD">
            <w:pPr>
              <w:pStyle w:val="TableText"/>
            </w:pPr>
            <w:r>
              <w:t>Totals workload types for one or all divisions.</w:t>
            </w:r>
          </w:p>
        </w:tc>
        <w:tc>
          <w:tcPr>
            <w:tcW w:w="4840" w:type="dxa"/>
            <w:vMerge/>
          </w:tcPr>
          <w:p w14:paraId="193F8212" w14:textId="77777777" w:rsidR="00FF05B8" w:rsidRDefault="00FF05B8" w:rsidP="00E24CBD">
            <w:pPr>
              <w:pStyle w:val="TableText"/>
              <w:rPr>
                <w:snapToGrid w:val="0"/>
              </w:rPr>
            </w:pPr>
          </w:p>
        </w:tc>
      </w:tr>
      <w:tr w:rsidR="00462332" w14:paraId="21D78B97" w14:textId="77777777">
        <w:trPr>
          <w:cantSplit/>
        </w:trPr>
        <w:tc>
          <w:tcPr>
            <w:tcW w:w="1728" w:type="dxa"/>
            <w:vMerge/>
            <w:tcBorders>
              <w:bottom w:val="single" w:sz="4" w:space="0" w:color="auto"/>
            </w:tcBorders>
          </w:tcPr>
          <w:p w14:paraId="6D612275" w14:textId="77777777" w:rsidR="00462332" w:rsidRDefault="00462332" w:rsidP="00E24CBD">
            <w:pPr>
              <w:pStyle w:val="TableText"/>
              <w:rPr>
                <w:snapToGrid w:val="0"/>
              </w:rPr>
            </w:pPr>
          </w:p>
        </w:tc>
        <w:tc>
          <w:tcPr>
            <w:tcW w:w="2810" w:type="dxa"/>
            <w:tcBorders>
              <w:bottom w:val="single" w:sz="4" w:space="0" w:color="auto"/>
            </w:tcBorders>
          </w:tcPr>
          <w:p w14:paraId="4273DAB0" w14:textId="77777777" w:rsidR="00462332" w:rsidRDefault="00462332" w:rsidP="00E24CBD">
            <w:pPr>
              <w:pStyle w:val="TableText"/>
              <w:rPr>
                <w:snapToGrid w:val="0"/>
              </w:rPr>
            </w:pPr>
            <w:r>
              <w:rPr>
                <w:snapToGrid w:val="0"/>
              </w:rPr>
              <w:t>Transfusion Reaction Count Report</w:t>
            </w:r>
          </w:p>
        </w:tc>
        <w:tc>
          <w:tcPr>
            <w:tcW w:w="3582" w:type="dxa"/>
            <w:tcBorders>
              <w:bottom w:val="single" w:sz="4" w:space="0" w:color="auto"/>
            </w:tcBorders>
          </w:tcPr>
          <w:p w14:paraId="71997943" w14:textId="77777777" w:rsidR="00462332" w:rsidRDefault="004A69AE" w:rsidP="00E24CBD">
            <w:pPr>
              <w:pStyle w:val="TableText"/>
            </w:pPr>
            <w:r>
              <w:t>Details transfusion reactions that are ordered, pending, completed, or finalized for one or all divisions.</w:t>
            </w:r>
          </w:p>
        </w:tc>
        <w:tc>
          <w:tcPr>
            <w:tcW w:w="4840" w:type="dxa"/>
            <w:tcBorders>
              <w:bottom w:val="single" w:sz="4" w:space="0" w:color="auto"/>
            </w:tcBorders>
          </w:tcPr>
          <w:p w14:paraId="27CDEBB0" w14:textId="77777777" w:rsidR="00462332" w:rsidRDefault="00A7582C" w:rsidP="00E24CBD">
            <w:pPr>
              <w:pStyle w:val="TableText"/>
              <w:rPr>
                <w:snapToGrid w:val="0"/>
              </w:rPr>
            </w:pPr>
            <w:r>
              <w:rPr>
                <w:snapToGrid w:val="0"/>
              </w:rPr>
              <w:t>Generate this report for blood utilization committee and other quality management activities.</w:t>
            </w:r>
          </w:p>
        </w:tc>
      </w:tr>
      <w:tr w:rsidR="00462332" w14:paraId="1E1A89B4" w14:textId="77777777">
        <w:trPr>
          <w:cantSplit/>
        </w:trPr>
        <w:tc>
          <w:tcPr>
            <w:tcW w:w="1728" w:type="dxa"/>
          </w:tcPr>
          <w:p w14:paraId="6512F2B9" w14:textId="77777777" w:rsidR="00462332" w:rsidRDefault="00462332" w:rsidP="00E24CBD">
            <w:pPr>
              <w:pStyle w:val="TableText"/>
              <w:rPr>
                <w:snapToGrid w:val="0"/>
              </w:rPr>
            </w:pPr>
            <w:r>
              <w:rPr>
                <w:snapToGrid w:val="0"/>
              </w:rPr>
              <w:t>As needed</w:t>
            </w:r>
          </w:p>
        </w:tc>
        <w:tc>
          <w:tcPr>
            <w:tcW w:w="2810" w:type="dxa"/>
          </w:tcPr>
          <w:p w14:paraId="22F69F5E" w14:textId="77777777" w:rsidR="00462332" w:rsidRDefault="00462332" w:rsidP="00E24CBD">
            <w:pPr>
              <w:pStyle w:val="TableText"/>
              <w:rPr>
                <w:snapToGrid w:val="0"/>
              </w:rPr>
            </w:pPr>
            <w:r>
              <w:rPr>
                <w:snapToGrid w:val="0"/>
              </w:rPr>
              <w:t>Finalize/Print TRW</w:t>
            </w:r>
          </w:p>
        </w:tc>
        <w:tc>
          <w:tcPr>
            <w:tcW w:w="3582" w:type="dxa"/>
          </w:tcPr>
          <w:p w14:paraId="6A4C8BCC" w14:textId="77777777" w:rsidR="00462332" w:rsidRDefault="00462332" w:rsidP="00E24CBD">
            <w:pPr>
              <w:pStyle w:val="TableText"/>
            </w:pPr>
            <w:r>
              <w:t>Pati</w:t>
            </w:r>
            <w:r w:rsidR="001D65B4">
              <w:t>ent Transfusion Reaction Report</w:t>
            </w:r>
            <w:r w:rsidR="00695BEA">
              <w:t xml:space="preserve"> details a transfusion reaction episode.</w:t>
            </w:r>
          </w:p>
        </w:tc>
        <w:tc>
          <w:tcPr>
            <w:tcW w:w="4840" w:type="dxa"/>
          </w:tcPr>
          <w:p w14:paraId="159C0939" w14:textId="77777777" w:rsidR="00462332" w:rsidRDefault="00F3040D" w:rsidP="00E24CBD">
            <w:pPr>
              <w:pStyle w:val="TableText"/>
              <w:rPr>
                <w:snapToGrid w:val="0"/>
              </w:rPr>
            </w:pPr>
            <w:r>
              <w:rPr>
                <w:snapToGrid w:val="0"/>
              </w:rPr>
              <w:t>Print, review, sign, date, and save hard copy.</w:t>
            </w:r>
          </w:p>
        </w:tc>
      </w:tr>
    </w:tbl>
    <w:p w14:paraId="7B21887E" w14:textId="6A742D2D" w:rsidR="002A21AE" w:rsidRDefault="002A21AE">
      <w:pPr>
        <w:pStyle w:val="Heading2"/>
      </w:pPr>
      <w:r>
        <w:br w:type="page"/>
      </w:r>
      <w:bookmarkStart w:id="785" w:name="_Toc163645049"/>
      <w:r>
        <w:lastRenderedPageBreak/>
        <w:t xml:space="preserve">Appendix </w:t>
      </w:r>
      <w:r w:rsidR="001B0B0C">
        <w:rPr>
          <w:noProof/>
        </w:rPr>
        <w:t>K</w:t>
      </w:r>
      <w:r>
        <w:t>: Barcode Scanner Configuration</w:t>
      </w:r>
      <w:r w:rsidR="003C3D1E">
        <w:t xml:space="preserve"> and Troubleshooting</w:t>
      </w:r>
      <w:bookmarkEnd w:id="785"/>
      <w:r>
        <w:fldChar w:fldCharType="begin"/>
      </w:r>
      <w:r>
        <w:instrText xml:space="preserve"> XE </w:instrText>
      </w:r>
      <w:r w:rsidR="00FA7E65">
        <w:instrText>“</w:instrText>
      </w:r>
      <w:r>
        <w:instrText>Barcode Scanner Configuration</w:instrText>
      </w:r>
      <w:r w:rsidR="003C3D1E">
        <w:instrText xml:space="preserve"> and Troubleshooting</w:instrText>
      </w:r>
      <w:r w:rsidR="00FA7E65">
        <w:instrText>”</w:instrText>
      </w:r>
      <w:r>
        <w:instrText xml:space="preserve"> </w:instrText>
      </w:r>
      <w:r>
        <w:fldChar w:fldCharType="end"/>
      </w:r>
      <w:r>
        <w:fldChar w:fldCharType="begin"/>
      </w:r>
      <w:r>
        <w:instrText xml:space="preserve"> XE </w:instrText>
      </w:r>
      <w:r w:rsidR="00FA7E65">
        <w:instrText>“</w:instrText>
      </w:r>
      <w:r>
        <w:instrText>Figures:Barcode Scanner Configuration</w:instrText>
      </w:r>
      <w:r w:rsidR="00FA7E65">
        <w:instrText>”</w:instrText>
      </w:r>
      <w:r>
        <w:instrText xml:space="preserve"> </w:instrText>
      </w:r>
      <w:r>
        <w:fldChar w:fldCharType="end"/>
      </w:r>
    </w:p>
    <w:p w14:paraId="507E3C43" w14:textId="77777777" w:rsidR="003C3D1E" w:rsidRDefault="006F3CD3" w:rsidP="00FA7E65">
      <w:pPr>
        <w:pStyle w:val="BodyText"/>
      </w:pPr>
      <w:r>
        <w:t xml:space="preserve">Make sure the cord is plugged into the </w:t>
      </w:r>
      <w:r w:rsidR="003C3D1E">
        <w:t xml:space="preserve">scanner </w:t>
      </w:r>
      <w:r>
        <w:t>and the computer</w:t>
      </w:r>
      <w:r w:rsidR="00A723D5">
        <w:t xml:space="preserve">. </w:t>
      </w:r>
      <w:r w:rsidR="00733A22">
        <w:t xml:space="preserve">Point the scanner at a piece of white paper and squeeze the trigger to verify that the laser works. </w:t>
      </w:r>
    </w:p>
    <w:p w14:paraId="15DAC529" w14:textId="77777777" w:rsidR="00A723D5" w:rsidRDefault="00A723D5" w:rsidP="00A723D5">
      <w:pPr>
        <w:pStyle w:val="Caution"/>
      </w:pPr>
      <w:r>
        <w:t>For correct barcode scanning results, the Caps Lock key must not be engaged.</w:t>
      </w:r>
      <w:r w:rsidRPr="00340676">
        <w:rPr>
          <w:vanish/>
        </w:rPr>
        <w:t>(DR 2,733)</w:t>
      </w:r>
      <w:r>
        <w:t xml:space="preserve"> </w:t>
      </w:r>
    </w:p>
    <w:p w14:paraId="04CA822D" w14:textId="77777777" w:rsidR="00A723D5" w:rsidRDefault="00A723D5" w:rsidP="00FA7E65">
      <w:pPr>
        <w:pStyle w:val="BodyText"/>
      </w:pPr>
    </w:p>
    <w:p w14:paraId="67F0A860" w14:textId="77777777" w:rsidR="001C2F8E" w:rsidRDefault="00057948" w:rsidP="002A4F71">
      <w:pPr>
        <w:pStyle w:val="Caution"/>
      </w:pPr>
      <w:r>
        <w:rPr>
          <w:noProof/>
        </w:rPr>
        <w:drawing>
          <wp:inline distT="0" distB="0" distL="0" distR="0" wp14:anchorId="4ED5B5B0" wp14:editId="339A0B64">
            <wp:extent cx="267970" cy="221615"/>
            <wp:effectExtent l="0" t="0" r="0" b="6985"/>
            <wp:docPr id="284" name="Picture 284" descr="Caution bo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Caution box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C2F8E">
        <w:t xml:space="preserve"> </w:t>
      </w:r>
      <w:r w:rsidR="00416C59">
        <w:t>Never</w:t>
      </w:r>
      <w:r w:rsidR="001C2F8E">
        <w:t xml:space="preserve"> look directly at the laser.</w:t>
      </w:r>
      <w:r w:rsidR="00416C59" w:rsidRPr="00416C59">
        <w:t xml:space="preserve"> </w:t>
      </w:r>
      <w:r w:rsidR="00416C59">
        <w:t>Never direct the laser</w:t>
      </w:r>
      <w:r w:rsidR="00416C59" w:rsidRPr="001D19BF">
        <w:t xml:space="preserve"> </w:t>
      </w:r>
      <w:r w:rsidR="002126A9">
        <w:t xml:space="preserve">beam </w:t>
      </w:r>
      <w:r w:rsidR="00416C59" w:rsidRPr="001D19BF">
        <w:t xml:space="preserve">toward </w:t>
      </w:r>
      <w:r w:rsidR="00416C59">
        <w:t>yourself</w:t>
      </w:r>
      <w:r w:rsidR="00416C59" w:rsidRPr="001D19BF">
        <w:t xml:space="preserve"> or </w:t>
      </w:r>
      <w:r w:rsidR="002126A9">
        <w:t xml:space="preserve">another person. Avoid mirror-like surfaces such as </w:t>
      </w:r>
      <w:r w:rsidR="002126A9" w:rsidRPr="001D19BF">
        <w:t>glass, metal</w:t>
      </w:r>
      <w:r w:rsidR="002126A9">
        <w:t>,</w:t>
      </w:r>
      <w:r w:rsidR="002126A9" w:rsidRPr="001D19BF">
        <w:t xml:space="preserve"> </w:t>
      </w:r>
      <w:r w:rsidR="002E50AD">
        <w:t xml:space="preserve">watches, jewelry, </w:t>
      </w:r>
      <w:r w:rsidR="002126A9" w:rsidRPr="001D19BF">
        <w:t>and other highly reflective materials</w:t>
      </w:r>
      <w:r w:rsidR="002126A9">
        <w:t xml:space="preserve"> when directing the laser beam.</w:t>
      </w:r>
    </w:p>
    <w:p w14:paraId="16785547" w14:textId="5AB481E0" w:rsidR="002A21AE" w:rsidRDefault="002A21AE" w:rsidP="00FA7E65">
      <w:pPr>
        <w:pStyle w:val="BodyText"/>
      </w:pPr>
      <w:r>
        <w:t xml:space="preserve">To configure a barcode scanner, scan the barcode </w:t>
      </w:r>
      <w:r w:rsidR="007C0D69">
        <w:t xml:space="preserve">in </w:t>
      </w:r>
      <w:r w:rsidR="00EE455E">
        <w:t xml:space="preserve">Figure </w:t>
      </w:r>
      <w:r w:rsidR="00EE455E">
        <w:rPr>
          <w:noProof/>
        </w:rPr>
        <w:t>131</w:t>
      </w:r>
      <w:r>
        <w:t>.</w:t>
      </w:r>
      <w:r w:rsidR="002E50AD">
        <w:t xml:space="preserve"> Repeat this process if scanned data are incorrectly displayed on the terminal. Consult the product reference guide or call the </w:t>
      </w:r>
      <w:r w:rsidR="00E551C3">
        <w:t xml:space="preserve">Service </w:t>
      </w:r>
      <w:r w:rsidR="002E50AD">
        <w:t>Desk for further assistance.</w:t>
      </w:r>
    </w:p>
    <w:p w14:paraId="216C3593" w14:textId="77777777" w:rsidR="001E3F01" w:rsidRDefault="00584AF9" w:rsidP="00FA7E65">
      <w:pPr>
        <w:pStyle w:val="BodyText"/>
      </w:pPr>
      <w:r>
        <w:t>If your site uses barcode symbology for specimens not covered in these instructions, use the configuration barcodes in the manual included with the scanner.</w:t>
      </w:r>
    </w:p>
    <w:p w14:paraId="4F500565" w14:textId="4C31BA17" w:rsidR="002A4F71" w:rsidRDefault="002A4F71" w:rsidP="002A4F71">
      <w:pPr>
        <w:pStyle w:val="Caption"/>
      </w:pPr>
      <w:bookmarkStart w:id="786" w:name="_Ref12672895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132</w:t>
      </w:r>
      <w:r w:rsidR="004E20BD">
        <w:rPr>
          <w:noProof/>
        </w:rPr>
        <w:fldChar w:fldCharType="end"/>
      </w:r>
      <w:bookmarkEnd w:id="786"/>
      <w:r>
        <w:t>: Barcode Scanner Configuration</w:t>
      </w:r>
    </w:p>
    <w:p w14:paraId="28D3B8BF" w14:textId="4973E98B" w:rsidR="006B60EF" w:rsidRDefault="00711206" w:rsidP="0086066C">
      <w:pPr>
        <w:pStyle w:val="Heading2"/>
      </w:pPr>
      <w:r w:rsidRPr="00711206">
        <w:rPr>
          <w:rFonts w:ascii="Times New Roman" w:hAnsi="Times New Roman" w:cs="Times New Roman"/>
          <w:b w:val="0"/>
          <w:bCs w:val="0"/>
          <w:i w:val="0"/>
          <w:iCs w:val="0"/>
          <w:sz w:val="22"/>
          <w:szCs w:val="22"/>
          <w:highlight w:val="yellow"/>
        </w:rPr>
        <w:t>REDACTED</w:t>
      </w:r>
      <w:r w:rsidR="00DF1B1E">
        <w:br w:type="page"/>
      </w:r>
      <w:bookmarkStart w:id="787" w:name="_Toc163645050"/>
      <w:r w:rsidR="00100549">
        <w:lastRenderedPageBreak/>
        <w:t>Appe</w:t>
      </w:r>
      <w:r w:rsidR="000A1A0F">
        <w:t>ndix L</w:t>
      </w:r>
      <w:r w:rsidR="00FC6E10">
        <w:t>: System Responses to Active</w:t>
      </w:r>
      <w:r w:rsidR="0010333F">
        <w:t xml:space="preserve"> Transfusion Requirements</w:t>
      </w:r>
      <w:r w:rsidR="00FC6E10">
        <w:t xml:space="preserve"> in Select Unit and Issue Blood Component</w:t>
      </w:r>
      <w:bookmarkEnd w:id="787"/>
      <w:r w:rsidR="00115A2A" w:rsidRPr="00115A2A">
        <w:rPr>
          <w:rFonts w:ascii="Arial Bold" w:hAnsi="Arial Bold"/>
          <w:vanish/>
        </w:rPr>
        <w:t xml:space="preserve"> DR 4501</w:t>
      </w:r>
      <w:r w:rsidR="00FC6E10">
        <w:fldChar w:fldCharType="begin"/>
      </w:r>
      <w:r w:rsidR="00FC6E10">
        <w:instrText xml:space="preserve"> XE “System Responses to Active Transfusion Requirements in Select Unit and Issue Blood Component” </w:instrText>
      </w:r>
      <w:r w:rsidR="00FC6E10">
        <w:fldChar w:fldCharType="end"/>
      </w:r>
    </w:p>
    <w:p w14:paraId="5D635040" w14:textId="77777777" w:rsidR="009125FD" w:rsidRDefault="009125FD" w:rsidP="009125FD"/>
    <w:p w14:paraId="460A916C" w14:textId="5AB3E590" w:rsidR="00052726" w:rsidRPr="00052726" w:rsidRDefault="00052726" w:rsidP="00052726">
      <w:pPr>
        <w:rPr>
          <w:sz w:val="22"/>
          <w:szCs w:val="22"/>
        </w:rPr>
      </w:pPr>
      <w:r w:rsidRPr="00052726">
        <w:rPr>
          <w:sz w:val="22"/>
          <w:szCs w:val="22"/>
        </w:rPr>
        <w:t>The followi</w:t>
      </w:r>
      <w:r w:rsidR="00BE2EF9">
        <w:rPr>
          <w:sz w:val="22"/>
          <w:szCs w:val="22"/>
        </w:rPr>
        <w:t>ng series of tables</w:t>
      </w:r>
      <w:r w:rsidR="000612EF">
        <w:rPr>
          <w:sz w:val="22"/>
          <w:szCs w:val="22"/>
        </w:rPr>
        <w:t xml:space="preserve"> </w:t>
      </w:r>
      <w:r w:rsidRPr="00052726">
        <w:rPr>
          <w:sz w:val="22"/>
          <w:szCs w:val="22"/>
        </w:rPr>
        <w:t>detail VBECS response to an active transfusion requirement, component class of the unit selected and the user’s VBECS role at unit selection and blood component issue.</w:t>
      </w:r>
    </w:p>
    <w:p w14:paraId="1E79C4D6" w14:textId="77777777" w:rsidR="00052726" w:rsidRPr="00052726" w:rsidRDefault="00052726" w:rsidP="00052726">
      <w:pPr>
        <w:rPr>
          <w:sz w:val="22"/>
          <w:szCs w:val="22"/>
        </w:rPr>
      </w:pPr>
    </w:p>
    <w:p w14:paraId="40810F19" w14:textId="4BE0DED5" w:rsidR="00052726" w:rsidRPr="00052726" w:rsidRDefault="00EE455E" w:rsidP="00052726">
      <w:pPr>
        <w:rPr>
          <w:sz w:val="22"/>
          <w:szCs w:val="22"/>
        </w:rPr>
      </w:pPr>
      <w:r w:rsidRPr="00EE455E">
        <w:rPr>
          <w:sz w:val="22"/>
          <w:szCs w:val="22"/>
        </w:rPr>
        <w:t xml:space="preserve">Figure </w:t>
      </w:r>
      <w:r w:rsidRPr="00EE455E">
        <w:rPr>
          <w:noProof/>
          <w:sz w:val="22"/>
          <w:szCs w:val="22"/>
        </w:rPr>
        <w:t>132</w:t>
      </w:r>
      <w:r w:rsidRPr="00EE455E">
        <w:rPr>
          <w:sz w:val="22"/>
          <w:szCs w:val="22"/>
        </w:rPr>
        <w:t>: Irradiate Cellular Products Only and Select Blood Unit</w:t>
      </w:r>
    </w:p>
    <w:p w14:paraId="322D0541" w14:textId="4B1707BE" w:rsidR="00052726" w:rsidRPr="00052726" w:rsidRDefault="00EE455E" w:rsidP="00052726">
      <w:pPr>
        <w:rPr>
          <w:sz w:val="22"/>
          <w:szCs w:val="22"/>
        </w:rPr>
      </w:pPr>
      <w:r w:rsidRPr="00EE455E">
        <w:rPr>
          <w:sz w:val="22"/>
          <w:szCs w:val="22"/>
        </w:rPr>
        <w:t xml:space="preserve">Figure </w:t>
      </w:r>
      <w:r w:rsidRPr="00EE455E">
        <w:rPr>
          <w:noProof/>
          <w:sz w:val="22"/>
          <w:szCs w:val="22"/>
        </w:rPr>
        <w:t>133</w:t>
      </w:r>
      <w:r w:rsidRPr="00EE455E">
        <w:rPr>
          <w:sz w:val="22"/>
          <w:szCs w:val="22"/>
        </w:rPr>
        <w:t>: Irradiate Cellular Products Only and Issue Blood Component</w:t>
      </w:r>
    </w:p>
    <w:p w14:paraId="042F59EC" w14:textId="451100D0" w:rsidR="00052726" w:rsidRPr="00052726" w:rsidRDefault="00EE455E" w:rsidP="00052726">
      <w:pPr>
        <w:rPr>
          <w:sz w:val="22"/>
          <w:szCs w:val="22"/>
        </w:rPr>
      </w:pPr>
      <w:r w:rsidRPr="00EE455E">
        <w:rPr>
          <w:sz w:val="22"/>
          <w:szCs w:val="22"/>
        </w:rPr>
        <w:t xml:space="preserve">Figure </w:t>
      </w:r>
      <w:r w:rsidRPr="00EE455E">
        <w:rPr>
          <w:noProof/>
          <w:sz w:val="22"/>
          <w:szCs w:val="22"/>
        </w:rPr>
        <w:t>134</w:t>
      </w:r>
      <w:r w:rsidRPr="00EE455E">
        <w:rPr>
          <w:sz w:val="22"/>
          <w:szCs w:val="22"/>
        </w:rPr>
        <w:t>: Leuko-reduce Cellular Products and Select Blood Unit</w:t>
      </w:r>
    </w:p>
    <w:p w14:paraId="279954E7" w14:textId="576FCD0D" w:rsidR="00052726" w:rsidRPr="00052726" w:rsidRDefault="00EE455E" w:rsidP="00052726">
      <w:pPr>
        <w:rPr>
          <w:sz w:val="22"/>
          <w:szCs w:val="22"/>
        </w:rPr>
      </w:pPr>
      <w:r w:rsidRPr="00EE455E">
        <w:rPr>
          <w:sz w:val="22"/>
          <w:szCs w:val="22"/>
        </w:rPr>
        <w:t xml:space="preserve">Figure </w:t>
      </w:r>
      <w:r w:rsidRPr="00EE455E">
        <w:rPr>
          <w:noProof/>
          <w:sz w:val="22"/>
          <w:szCs w:val="22"/>
        </w:rPr>
        <w:t>135</w:t>
      </w:r>
      <w:r w:rsidRPr="00EE455E">
        <w:rPr>
          <w:sz w:val="22"/>
          <w:szCs w:val="22"/>
        </w:rPr>
        <w:t>: Leuko-reduce Cellular Products and Issue Blood Component</w:t>
      </w:r>
    </w:p>
    <w:p w14:paraId="405AF52A" w14:textId="67D578C1" w:rsidR="00052726" w:rsidRPr="00052726" w:rsidRDefault="00EE455E" w:rsidP="00052726">
      <w:pPr>
        <w:rPr>
          <w:sz w:val="22"/>
          <w:szCs w:val="22"/>
        </w:rPr>
      </w:pPr>
      <w:r w:rsidRPr="00EE455E">
        <w:rPr>
          <w:sz w:val="22"/>
          <w:szCs w:val="22"/>
        </w:rPr>
        <w:t xml:space="preserve">Figure </w:t>
      </w:r>
      <w:r w:rsidRPr="00EE455E">
        <w:rPr>
          <w:noProof/>
          <w:sz w:val="22"/>
          <w:szCs w:val="22"/>
        </w:rPr>
        <w:t>136</w:t>
      </w:r>
      <w:r w:rsidRPr="00EE455E">
        <w:rPr>
          <w:sz w:val="22"/>
          <w:szCs w:val="22"/>
        </w:rPr>
        <w:t>: Washed Red Blood Cell (RBC) Products and Select Blood Unit</w:t>
      </w:r>
    </w:p>
    <w:p w14:paraId="7C7C1E87" w14:textId="4702DE03" w:rsidR="00052726" w:rsidRPr="00052726" w:rsidRDefault="00EE455E" w:rsidP="00052726">
      <w:pPr>
        <w:rPr>
          <w:sz w:val="22"/>
          <w:szCs w:val="22"/>
        </w:rPr>
      </w:pPr>
      <w:r w:rsidRPr="00EE455E">
        <w:rPr>
          <w:sz w:val="22"/>
          <w:szCs w:val="22"/>
        </w:rPr>
        <w:t xml:space="preserve">Figure </w:t>
      </w:r>
      <w:r w:rsidRPr="00EE455E">
        <w:rPr>
          <w:noProof/>
          <w:sz w:val="22"/>
          <w:szCs w:val="22"/>
        </w:rPr>
        <w:t>137</w:t>
      </w:r>
      <w:r w:rsidRPr="00EE455E">
        <w:rPr>
          <w:sz w:val="22"/>
          <w:szCs w:val="22"/>
        </w:rPr>
        <w:t>: Washed Red Blood Cell (RBC) Products and Issue Blood Component</w:t>
      </w:r>
    </w:p>
    <w:p w14:paraId="40AC0BD1" w14:textId="1822242A" w:rsidR="00052726" w:rsidRPr="00052726" w:rsidRDefault="00EE455E" w:rsidP="00052726">
      <w:pPr>
        <w:rPr>
          <w:sz w:val="22"/>
          <w:szCs w:val="22"/>
        </w:rPr>
      </w:pPr>
      <w:r w:rsidRPr="00EE455E">
        <w:rPr>
          <w:sz w:val="22"/>
          <w:szCs w:val="22"/>
        </w:rPr>
        <w:t xml:space="preserve">Figure </w:t>
      </w:r>
      <w:r w:rsidRPr="00EE455E">
        <w:rPr>
          <w:noProof/>
          <w:sz w:val="22"/>
          <w:szCs w:val="22"/>
        </w:rPr>
        <w:t>138</w:t>
      </w:r>
      <w:r w:rsidRPr="00EE455E">
        <w:rPr>
          <w:sz w:val="22"/>
          <w:szCs w:val="22"/>
        </w:rPr>
        <w:t>: Washed PLATELET (PLT) Products and Select Blood Unit</w:t>
      </w:r>
    </w:p>
    <w:p w14:paraId="234E249F" w14:textId="14C600A8" w:rsidR="00052726" w:rsidRPr="00052726" w:rsidRDefault="00EE455E" w:rsidP="00052726">
      <w:pPr>
        <w:rPr>
          <w:sz w:val="22"/>
          <w:szCs w:val="22"/>
        </w:rPr>
      </w:pPr>
      <w:r w:rsidRPr="00EE455E">
        <w:rPr>
          <w:sz w:val="22"/>
          <w:szCs w:val="22"/>
        </w:rPr>
        <w:t xml:space="preserve">Figure </w:t>
      </w:r>
      <w:r w:rsidRPr="00EE455E">
        <w:rPr>
          <w:noProof/>
          <w:sz w:val="22"/>
          <w:szCs w:val="22"/>
        </w:rPr>
        <w:t>139</w:t>
      </w:r>
      <w:r w:rsidRPr="00EE455E">
        <w:rPr>
          <w:sz w:val="22"/>
          <w:szCs w:val="22"/>
        </w:rPr>
        <w:t>: Washed PLATELET (PLT) Products and Issue Blood Component</w:t>
      </w:r>
    </w:p>
    <w:p w14:paraId="07DFBD7C" w14:textId="6DACF332" w:rsidR="00052726" w:rsidRPr="00052726" w:rsidRDefault="00EE455E" w:rsidP="00052726">
      <w:pPr>
        <w:rPr>
          <w:sz w:val="22"/>
          <w:szCs w:val="22"/>
        </w:rPr>
      </w:pPr>
      <w:r w:rsidRPr="00EE455E">
        <w:rPr>
          <w:sz w:val="22"/>
          <w:szCs w:val="22"/>
        </w:rPr>
        <w:t xml:space="preserve">Figure </w:t>
      </w:r>
      <w:r w:rsidRPr="00EE455E">
        <w:rPr>
          <w:noProof/>
          <w:sz w:val="22"/>
          <w:szCs w:val="22"/>
        </w:rPr>
        <w:t>140</w:t>
      </w:r>
      <w:r w:rsidRPr="00EE455E">
        <w:rPr>
          <w:sz w:val="22"/>
          <w:szCs w:val="22"/>
        </w:rPr>
        <w:t>: Sickle Cell Negative RBC Products and Select Blood Unit</w:t>
      </w:r>
    </w:p>
    <w:p w14:paraId="2D74E9BB" w14:textId="39FC601B" w:rsidR="00052726" w:rsidRPr="00052726" w:rsidRDefault="00EE455E" w:rsidP="00052726">
      <w:pPr>
        <w:rPr>
          <w:sz w:val="22"/>
          <w:szCs w:val="22"/>
        </w:rPr>
      </w:pPr>
      <w:r w:rsidRPr="00EE455E">
        <w:rPr>
          <w:sz w:val="22"/>
          <w:szCs w:val="22"/>
        </w:rPr>
        <w:t xml:space="preserve">Figure </w:t>
      </w:r>
      <w:r w:rsidRPr="00EE455E">
        <w:rPr>
          <w:noProof/>
          <w:sz w:val="22"/>
          <w:szCs w:val="22"/>
        </w:rPr>
        <w:t>141</w:t>
      </w:r>
      <w:r w:rsidRPr="00EE455E">
        <w:rPr>
          <w:sz w:val="22"/>
          <w:szCs w:val="22"/>
        </w:rPr>
        <w:t>: Sickle Cell Negative RBC Products and Issue Blood Component</w:t>
      </w:r>
    </w:p>
    <w:p w14:paraId="793780CC" w14:textId="02E0A709" w:rsidR="00052726" w:rsidRPr="00052726" w:rsidRDefault="00EE455E" w:rsidP="00052726">
      <w:pPr>
        <w:rPr>
          <w:sz w:val="22"/>
          <w:szCs w:val="22"/>
        </w:rPr>
      </w:pPr>
      <w:r w:rsidRPr="00EE455E">
        <w:rPr>
          <w:sz w:val="22"/>
          <w:szCs w:val="22"/>
        </w:rPr>
        <w:t xml:space="preserve">Figure </w:t>
      </w:r>
      <w:r w:rsidRPr="00EE455E">
        <w:rPr>
          <w:noProof/>
          <w:sz w:val="22"/>
          <w:szCs w:val="22"/>
        </w:rPr>
        <w:t>142</w:t>
      </w:r>
      <w:r w:rsidRPr="00EE455E">
        <w:rPr>
          <w:sz w:val="22"/>
          <w:szCs w:val="22"/>
        </w:rPr>
        <w:t>: CMV Negative Cellular Products* and Select Blood Unit</w:t>
      </w:r>
    </w:p>
    <w:p w14:paraId="61551874" w14:textId="32E53CE8" w:rsidR="00052726" w:rsidRPr="00052726" w:rsidRDefault="00EE455E" w:rsidP="00052726">
      <w:pPr>
        <w:rPr>
          <w:sz w:val="22"/>
          <w:szCs w:val="22"/>
        </w:rPr>
      </w:pPr>
      <w:r w:rsidRPr="00EE455E">
        <w:rPr>
          <w:sz w:val="22"/>
          <w:szCs w:val="22"/>
        </w:rPr>
        <w:t xml:space="preserve">Figure </w:t>
      </w:r>
      <w:r w:rsidRPr="00EE455E">
        <w:rPr>
          <w:noProof/>
          <w:sz w:val="22"/>
          <w:szCs w:val="22"/>
        </w:rPr>
        <w:t>143</w:t>
      </w:r>
      <w:r w:rsidRPr="00EE455E">
        <w:rPr>
          <w:sz w:val="22"/>
          <w:szCs w:val="22"/>
        </w:rPr>
        <w:t>: CMV Negative Cellular Products* and Issue Blood Component</w:t>
      </w:r>
      <w:r w:rsidR="00052726" w:rsidRPr="00052726">
        <w:rPr>
          <w:sz w:val="22"/>
          <w:szCs w:val="22"/>
        </w:rPr>
        <w:t xml:space="preserve">  </w:t>
      </w:r>
    </w:p>
    <w:p w14:paraId="18980E35" w14:textId="77777777" w:rsidR="00052726" w:rsidRPr="00D13051" w:rsidRDefault="00052726" w:rsidP="00052726"/>
    <w:p w14:paraId="1C65C898" w14:textId="147AF120" w:rsidR="00C15299" w:rsidRDefault="00C15299" w:rsidP="00C15299">
      <w:pPr>
        <w:pStyle w:val="Caption"/>
      </w:pPr>
      <w:bookmarkStart w:id="788" w:name="_Ref407612048"/>
      <w:bookmarkStart w:id="789" w:name="_Ref34350239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133</w:t>
      </w:r>
      <w:r w:rsidR="004E20BD">
        <w:rPr>
          <w:noProof/>
        </w:rPr>
        <w:fldChar w:fldCharType="end"/>
      </w:r>
      <w:bookmarkEnd w:id="788"/>
      <w:r>
        <w:t>: Irradiate Cellular Products Only and Select Blood Unit</w:t>
      </w:r>
      <w:bookmarkEnd w:id="78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2189"/>
        <w:gridCol w:w="1530"/>
        <w:gridCol w:w="1350"/>
        <w:gridCol w:w="3330"/>
      </w:tblGrid>
      <w:tr w:rsidR="009125FD" w:rsidRPr="005C5D59" w14:paraId="65F7BE78"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7CD31A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 Unit: IRRADIATED</w:t>
            </w:r>
          </w:p>
        </w:tc>
      </w:tr>
      <w:tr w:rsidR="009125FD" w:rsidRPr="005C5D59" w14:paraId="4AB80CA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C52EEC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2189" w:type="dxa"/>
            <w:tcBorders>
              <w:left w:val="single" w:sz="4" w:space="0" w:color="000000"/>
              <w:bottom w:val="single" w:sz="4" w:space="0" w:color="000000"/>
              <w:right w:val="single" w:sz="4" w:space="0" w:color="000000"/>
            </w:tcBorders>
            <w:shd w:val="pct25" w:color="auto" w:fill="auto"/>
            <w:vAlign w:val="bottom"/>
            <w:hideMark/>
          </w:tcPr>
          <w:p w14:paraId="449EA1A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5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4AB81D2"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3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A0111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33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1BC2A8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C8135D3"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11C94DF0"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72BFB4AB"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3F830513"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2189" w:type="dxa"/>
            <w:tcBorders>
              <w:top w:val="single" w:sz="4" w:space="0" w:color="000000"/>
              <w:left w:val="single" w:sz="4" w:space="0" w:color="000000"/>
              <w:right w:val="single" w:sz="4" w:space="0" w:color="000000"/>
            </w:tcBorders>
            <w:shd w:val="pct10" w:color="auto" w:fill="auto"/>
            <w:vAlign w:val="center"/>
            <w:hideMark/>
          </w:tcPr>
          <w:p w14:paraId="2066749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15943BD2"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2C7B523"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727CF559"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right w:val="single" w:sz="4" w:space="0" w:color="000000"/>
            </w:tcBorders>
            <w:shd w:val="pct10" w:color="auto" w:fill="auto"/>
            <w:vAlign w:val="center"/>
            <w:hideMark/>
          </w:tcPr>
          <w:p w14:paraId="3EDD5E6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350" w:type="dxa"/>
            <w:tcBorders>
              <w:top w:val="single" w:sz="4" w:space="0" w:color="000000"/>
              <w:left w:val="single" w:sz="4" w:space="0" w:color="000000"/>
              <w:right w:val="single" w:sz="4" w:space="0" w:color="000000"/>
            </w:tcBorders>
            <w:shd w:val="pct10" w:color="auto" w:fill="auto"/>
            <w:vAlign w:val="center"/>
            <w:hideMark/>
          </w:tcPr>
          <w:p w14:paraId="4D7C689E" w14:textId="77777777" w:rsidR="009125FD" w:rsidRPr="005C5D59" w:rsidRDefault="009125FD" w:rsidP="009125FD">
            <w:pPr>
              <w:jc w:val="center"/>
              <w:rPr>
                <w:rFonts w:ascii="Arial" w:hAnsi="Arial" w:cs="Arial"/>
                <w:b/>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shd w:val="pct10" w:color="auto" w:fill="auto"/>
            <w:vAlign w:val="center"/>
          </w:tcPr>
          <w:p w14:paraId="38C65A4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46B966B" w14:textId="77777777" w:rsidTr="009125FD">
        <w:trPr>
          <w:cantSplit/>
          <w:trHeight w:val="576"/>
        </w:trPr>
        <w:tc>
          <w:tcPr>
            <w:tcW w:w="1843" w:type="dxa"/>
            <w:vMerge/>
            <w:tcBorders>
              <w:left w:val="single" w:sz="4" w:space="0" w:color="000000"/>
              <w:right w:val="single" w:sz="4" w:space="0" w:color="000000"/>
            </w:tcBorders>
            <w:vAlign w:val="bottom"/>
          </w:tcPr>
          <w:p w14:paraId="73FA9AB1" w14:textId="77777777" w:rsidR="009125FD" w:rsidRPr="005C5D59" w:rsidRDefault="009125FD" w:rsidP="009125FD">
            <w:pPr>
              <w:rPr>
                <w:rFonts w:ascii="Arial" w:hAnsi="Arial" w:cs="Arial"/>
                <w:b/>
                <w:sz w:val="18"/>
                <w:szCs w:val="18"/>
              </w:rPr>
            </w:pPr>
          </w:p>
        </w:tc>
        <w:tc>
          <w:tcPr>
            <w:tcW w:w="2189" w:type="dxa"/>
            <w:tcBorders>
              <w:top w:val="single" w:sz="4" w:space="0" w:color="000000"/>
              <w:left w:val="single" w:sz="4" w:space="0" w:color="000000"/>
              <w:bottom w:val="single" w:sz="4" w:space="0" w:color="000000"/>
              <w:right w:val="single" w:sz="4" w:space="0" w:color="000000"/>
            </w:tcBorders>
            <w:vAlign w:val="center"/>
          </w:tcPr>
          <w:p w14:paraId="700D7D98"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509835D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A5567AB"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3976F5AB"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bottom w:val="single" w:sz="4" w:space="0" w:color="000000"/>
              <w:right w:val="single" w:sz="4" w:space="0" w:color="000000"/>
            </w:tcBorders>
            <w:vAlign w:val="center"/>
          </w:tcPr>
          <w:p w14:paraId="23BB865A"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350" w:type="dxa"/>
            <w:tcBorders>
              <w:top w:val="single" w:sz="4" w:space="0" w:color="000000"/>
              <w:left w:val="single" w:sz="4" w:space="0" w:color="000000"/>
              <w:bottom w:val="single" w:sz="4" w:space="0" w:color="000000"/>
              <w:right w:val="single" w:sz="4" w:space="0" w:color="000000"/>
            </w:tcBorders>
            <w:vAlign w:val="center"/>
          </w:tcPr>
          <w:p w14:paraId="6C1DED61" w14:textId="77777777" w:rsidR="009125FD" w:rsidRPr="005C5D59" w:rsidRDefault="009125FD" w:rsidP="009125FD">
            <w:pPr>
              <w:jc w:val="center"/>
              <w:rPr>
                <w:rFonts w:ascii="Arial" w:hAnsi="Arial" w:cs="Arial"/>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tcPr>
          <w:p w14:paraId="53289567"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56F8714D"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141F6B7F"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7E7651F2" w14:textId="77777777" w:rsidR="009125FD" w:rsidRDefault="009125FD" w:rsidP="009125FD"/>
    <w:p w14:paraId="1C32B145" w14:textId="1C565DA2" w:rsidR="00C15299" w:rsidRDefault="009125FD" w:rsidP="00C15299">
      <w:pPr>
        <w:pStyle w:val="Caption"/>
      </w:pPr>
      <w:r>
        <w:br w:type="page"/>
      </w:r>
      <w:bookmarkStart w:id="790" w:name="_Ref407612064"/>
      <w:bookmarkStart w:id="791" w:name="_Ref343502433"/>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134</w:t>
      </w:r>
      <w:r w:rsidR="004E20BD">
        <w:rPr>
          <w:noProof/>
        </w:rPr>
        <w:fldChar w:fldCharType="end"/>
      </w:r>
      <w:bookmarkEnd w:id="790"/>
      <w:r w:rsidR="00C15299">
        <w:t>: Irradiate Cellular Products Only and Issue Blood Component</w:t>
      </w:r>
      <w:bookmarkEnd w:id="791"/>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7E56771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FC75D63" w14:textId="77777777" w:rsidR="009125FD" w:rsidRPr="005C5D59" w:rsidRDefault="009125FD" w:rsidP="009125FD">
            <w:pPr>
              <w:rPr>
                <w:rFonts w:ascii="Arial" w:hAnsi="Arial" w:cs="Arial"/>
                <w:b/>
                <w:sz w:val="18"/>
                <w:szCs w:val="18"/>
              </w:rPr>
            </w:pPr>
            <w:r w:rsidRPr="005C5D59">
              <w:rPr>
                <w:rFonts w:ascii="Arial" w:hAnsi="Arial" w:cs="Arial"/>
                <w:b/>
                <w:sz w:val="18"/>
                <w:szCs w:val="18"/>
              </w:rPr>
              <w:t>Issue Blood Component: IRRADIATED</w:t>
            </w:r>
          </w:p>
        </w:tc>
      </w:tr>
      <w:tr w:rsidR="009125FD" w:rsidRPr="005C5D59" w14:paraId="2735C82E"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6232B7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E47F935"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3032D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61AE14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0416112"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7970CA7"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554D61FA"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14B4A8C9"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71BBEF3F"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1620" w:type="dxa"/>
            <w:tcBorders>
              <w:top w:val="single" w:sz="4" w:space="0" w:color="000000"/>
              <w:left w:val="single" w:sz="4" w:space="0" w:color="000000"/>
              <w:right w:val="single" w:sz="4" w:space="0" w:color="000000"/>
            </w:tcBorders>
            <w:shd w:val="pct10" w:color="auto" w:fill="auto"/>
            <w:vAlign w:val="center"/>
            <w:hideMark/>
          </w:tcPr>
          <w:p w14:paraId="51D647F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494716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p w14:paraId="6DCE601D"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14A3C7C"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37FF35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4C530AC"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BE9135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A7E6804" w14:textId="77777777" w:rsidTr="009125FD">
        <w:trPr>
          <w:cantSplit/>
          <w:trHeight w:val="1758"/>
        </w:trPr>
        <w:tc>
          <w:tcPr>
            <w:tcW w:w="1692" w:type="dxa"/>
            <w:vMerge/>
            <w:tcBorders>
              <w:left w:val="single" w:sz="4" w:space="0" w:color="000000"/>
              <w:right w:val="single" w:sz="4" w:space="0" w:color="000000"/>
            </w:tcBorders>
            <w:vAlign w:val="bottom"/>
          </w:tcPr>
          <w:p w14:paraId="68CD30AB"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2D0ED5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442DAE3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27817A1B"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D361688"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0F0B2624"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39C2F88A" w14:textId="77777777" w:rsidR="009125FD" w:rsidRPr="0081278B" w:rsidRDefault="009125FD" w:rsidP="009125FD">
            <w:pPr>
              <w:ind w:left="18"/>
              <w:rPr>
                <w:rFonts w:ascii="Arial" w:hAnsi="Arial" w:cs="Arial"/>
                <w:sz w:val="18"/>
                <w:szCs w:val="18"/>
              </w:rPr>
            </w:pPr>
            <w:r w:rsidRPr="0081278B">
              <w:rPr>
                <w:rFonts w:ascii="Arial" w:hAnsi="Arial" w:cs="Arial"/>
                <w:noProof/>
                <w:sz w:val="18"/>
                <w:szCs w:val="18"/>
              </w:rPr>
              <w:t>Technologist</w:t>
            </w:r>
          </w:p>
          <w:p w14:paraId="07C58839" w14:textId="77777777" w:rsidR="009125FD" w:rsidRPr="00836EE2" w:rsidRDefault="009125FD" w:rsidP="009125FD">
            <w:pPr>
              <w:ind w:left="18"/>
              <w:jc w:val="center"/>
              <w:rPr>
                <w:rFonts w:ascii="Arial" w:hAnsi="Arial" w:cs="Arial"/>
                <w:sz w:val="18"/>
                <w:szCs w:val="18"/>
              </w:rPr>
            </w:pPr>
          </w:p>
          <w:p w14:paraId="4007AE20" w14:textId="77777777" w:rsidR="009125FD" w:rsidRPr="0081278B" w:rsidRDefault="009125FD" w:rsidP="009125FD">
            <w:pPr>
              <w:ind w:left="18"/>
              <w:rPr>
                <w:rFonts w:ascii="Arial" w:hAnsi="Arial" w:cs="Arial"/>
                <w:noProof/>
                <w:sz w:val="18"/>
                <w:szCs w:val="18"/>
              </w:rPr>
            </w:pPr>
            <w:r w:rsidRPr="0081278B">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01AFDD0B"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2BF9330"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54F4FE60" w14:textId="77777777" w:rsidTr="009125FD">
        <w:trPr>
          <w:cantSplit/>
          <w:trHeight w:val="2343"/>
        </w:trPr>
        <w:tc>
          <w:tcPr>
            <w:tcW w:w="1692" w:type="dxa"/>
            <w:vMerge/>
            <w:tcBorders>
              <w:left w:val="single" w:sz="4" w:space="0" w:color="000000"/>
              <w:right w:val="single" w:sz="4" w:space="0" w:color="000000"/>
            </w:tcBorders>
            <w:vAlign w:val="bottom"/>
          </w:tcPr>
          <w:p w14:paraId="7E69282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3377EE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30BFFB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1E5DF83C"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1608C6BA"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69BC987F"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0333328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Lead Technologist</w:t>
            </w:r>
          </w:p>
          <w:p w14:paraId="5E273312"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Traditional Supervisor</w:t>
            </w:r>
          </w:p>
          <w:p w14:paraId="20DF304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Enhanced Supervisor</w:t>
            </w:r>
          </w:p>
          <w:p w14:paraId="2D4CE6FF"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Administrator/Supervisor</w:t>
            </w:r>
          </w:p>
          <w:p w14:paraId="7A468320"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E214F3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Irradiate Cellular Products Only Transfusion Requirement is not satisfied</w:t>
            </w:r>
            <w:r w:rsidRPr="005C5D59">
              <w:rPr>
                <w:rFonts w:ascii="Arial" w:hAnsi="Arial" w:cs="Arial"/>
                <w:sz w:val="18"/>
                <w:szCs w:val="18"/>
              </w:rPr>
              <w:t xml:space="preserve"> and prompts the user whether to proceed. </w:t>
            </w:r>
          </w:p>
          <w:p w14:paraId="5EE812A5"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82029EC" w14:textId="33F7E9F4"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Pr>
                <w:rFonts w:ascii="Arial" w:hAnsi="Arial" w:cs="Arial"/>
                <w:sz w:val="18"/>
                <w:szCs w:val="18"/>
              </w:rPr>
              <w:t>.</w:t>
            </w:r>
          </w:p>
        </w:tc>
      </w:tr>
    </w:tbl>
    <w:p w14:paraId="55CF9931" w14:textId="77777777" w:rsidR="009125FD" w:rsidRPr="000B5AC8" w:rsidRDefault="009125FD" w:rsidP="009125FD"/>
    <w:p w14:paraId="1834D15B" w14:textId="0D394CA6" w:rsidR="00C15299" w:rsidRDefault="009125FD" w:rsidP="00C15299">
      <w:pPr>
        <w:pStyle w:val="Caption"/>
      </w:pPr>
      <w:r>
        <w:br w:type="page"/>
      </w:r>
      <w:bookmarkStart w:id="792" w:name="_Ref407612076"/>
      <w:bookmarkStart w:id="793" w:name="_Ref343502457"/>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135</w:t>
      </w:r>
      <w:r w:rsidR="004E20BD">
        <w:rPr>
          <w:noProof/>
        </w:rPr>
        <w:fldChar w:fldCharType="end"/>
      </w:r>
      <w:bookmarkEnd w:id="792"/>
      <w:r w:rsidR="00C15299">
        <w:t>: Leuko-reduce Cellular Products and Select Blood Unit</w:t>
      </w:r>
      <w:bookmarkEnd w:id="79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F9CBE01"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3D5060C2"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996892">
              <w:rPr>
                <w:rFonts w:ascii="Arial" w:hAnsi="Arial" w:cs="Arial"/>
                <w:b/>
                <w:sz w:val="18"/>
                <w:szCs w:val="18"/>
              </w:rPr>
              <w:t>Leuko-reduce</w:t>
            </w:r>
            <w:r>
              <w:rPr>
                <w:rFonts w:ascii="Arial" w:hAnsi="Arial" w:cs="Arial"/>
                <w:b/>
                <w:sz w:val="18"/>
                <w:szCs w:val="18"/>
              </w:rPr>
              <w:t xml:space="preserve"> Cellular Products</w:t>
            </w:r>
          </w:p>
        </w:tc>
      </w:tr>
      <w:tr w:rsidR="009125FD" w:rsidRPr="005C5D59" w14:paraId="35BE6EA8"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4B3209CC"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9AEC45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AFAA7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E2B045A"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352ACDD"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35C6CE1"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5A7EABC"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75E527FA"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 xml:space="preserve">RED BLOOD CELLS   </w:t>
            </w:r>
          </w:p>
          <w:p w14:paraId="733BA16C"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51AC92F6"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 xml:space="preserve"> 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648EC267" w14:textId="77777777" w:rsidR="009125FD" w:rsidRPr="00052726" w:rsidRDefault="009125FD" w:rsidP="009125FD">
            <w:pPr>
              <w:jc w:val="center"/>
              <w:rPr>
                <w:rFonts w:ascii="Arial" w:hAnsi="Arial" w:cs="Arial"/>
                <w:b/>
                <w:sz w:val="18"/>
                <w:szCs w:val="18"/>
              </w:rPr>
            </w:pPr>
            <w:r w:rsidRPr="00052726">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3C4DDDB"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27FFEBD"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No warning message will display.</w:t>
            </w:r>
          </w:p>
        </w:tc>
      </w:tr>
      <w:tr w:rsidR="009125FD" w:rsidRPr="005C5D59" w14:paraId="01AB8FF7" w14:textId="77777777" w:rsidTr="009125FD">
        <w:trPr>
          <w:cantSplit/>
          <w:trHeight w:val="1983"/>
        </w:trPr>
        <w:tc>
          <w:tcPr>
            <w:tcW w:w="1692" w:type="dxa"/>
            <w:vMerge/>
            <w:tcBorders>
              <w:left w:val="single" w:sz="4" w:space="0" w:color="000000"/>
              <w:right w:val="single" w:sz="4" w:space="0" w:color="000000"/>
            </w:tcBorders>
            <w:vAlign w:val="bottom"/>
          </w:tcPr>
          <w:p w14:paraId="4BC9D3D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8D1ED94"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RED BLOOD CELLS</w:t>
            </w:r>
          </w:p>
          <w:p w14:paraId="4893F8E4"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6FC03085"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B125B86" w14:textId="77777777" w:rsidR="009125FD" w:rsidRPr="00052726" w:rsidRDefault="009125FD" w:rsidP="009125FD">
            <w:pPr>
              <w:jc w:val="center"/>
              <w:rPr>
                <w:rFonts w:ascii="Arial" w:hAnsi="Arial" w:cs="Arial"/>
                <w:b/>
                <w:color w:val="FF0000"/>
                <w:sz w:val="18"/>
                <w:szCs w:val="18"/>
              </w:rPr>
            </w:pPr>
            <w:r w:rsidRPr="00052726">
              <w:rPr>
                <w:rFonts w:ascii="Arial" w:hAnsi="Arial" w:cs="Arial"/>
                <w:b/>
                <w:color w:val="FF0000"/>
                <w:sz w:val="18"/>
                <w:szCs w:val="18"/>
              </w:rPr>
              <w:t>Not  Leuko-reduced</w:t>
            </w:r>
          </w:p>
          <w:p w14:paraId="4A4DEB3C" w14:textId="77777777" w:rsidR="009125FD" w:rsidRPr="00052726" w:rsidRDefault="009125FD" w:rsidP="009125FD">
            <w:pPr>
              <w:rPr>
                <w:rFonts w:ascii="Arial" w:hAnsi="Arial" w:cs="Arial"/>
                <w:b/>
                <w:color w:val="FF0000"/>
                <w:sz w:val="18"/>
                <w:szCs w:val="18"/>
              </w:rPr>
            </w:pPr>
          </w:p>
        </w:tc>
        <w:tc>
          <w:tcPr>
            <w:tcW w:w="1620" w:type="dxa"/>
            <w:tcBorders>
              <w:top w:val="single" w:sz="4" w:space="0" w:color="000000"/>
              <w:left w:val="single" w:sz="4" w:space="0" w:color="000000"/>
              <w:right w:val="single" w:sz="4" w:space="0" w:color="000000"/>
            </w:tcBorders>
            <w:vAlign w:val="center"/>
          </w:tcPr>
          <w:p w14:paraId="2A46488C"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vAlign w:val="bottom"/>
          </w:tcPr>
          <w:p w14:paraId="6559DDFA" w14:textId="77777777" w:rsidR="009125FD" w:rsidRPr="00052726" w:rsidRDefault="009125FD" w:rsidP="009125FD">
            <w:pPr>
              <w:pStyle w:val="TableText"/>
              <w:spacing w:before="120"/>
              <w:rPr>
                <w:rStyle w:val="StyleTableText9ptCharChar"/>
                <w:rFonts w:cs="Arial"/>
                <w:i/>
                <w:szCs w:val="18"/>
              </w:rPr>
            </w:pPr>
            <w:r w:rsidRPr="00052726">
              <w:rPr>
                <w:rStyle w:val="StyleTableText9ptCharChar"/>
                <w:rFonts w:cs="Arial"/>
                <w:szCs w:val="18"/>
              </w:rPr>
              <w:t xml:space="preserve">The Transfusion Requirement is not satisfied; the system emits an audible alert and displays a warning message: </w:t>
            </w:r>
            <w:r w:rsidRPr="00052726">
              <w:rPr>
                <w:rStyle w:val="StyleTableText9ptCharChar"/>
                <w:rFonts w:cs="Arial"/>
                <w:i/>
                <w:szCs w:val="18"/>
              </w:rPr>
              <w:t>This unit does not currently satisfy all of the patient’s Transfusion Requirements. Further processing is needed. Continue to select this unit?</w:t>
            </w:r>
          </w:p>
          <w:p w14:paraId="43A5A5B9" w14:textId="77777777" w:rsidR="009125FD" w:rsidRPr="00052726" w:rsidRDefault="009125FD" w:rsidP="009125FD">
            <w:pPr>
              <w:pStyle w:val="TableText"/>
              <w:rPr>
                <w:rStyle w:val="StyleTableText9ptCharChar"/>
                <w:rFonts w:cs="Arial"/>
                <w:szCs w:val="18"/>
              </w:rPr>
            </w:pPr>
            <w:r w:rsidRPr="00052726">
              <w:rPr>
                <w:rStyle w:val="StyleTableText9ptCharChar"/>
                <w:rFonts w:cs="Arial"/>
                <w:szCs w:val="18"/>
              </w:rPr>
              <w:t>If the user clicks “No,” the screen is cleared.</w:t>
            </w:r>
          </w:p>
          <w:p w14:paraId="44D3853F" w14:textId="77777777" w:rsidR="009125FD" w:rsidRPr="00052726" w:rsidRDefault="009125FD" w:rsidP="009125FD">
            <w:pPr>
              <w:pStyle w:val="TableText"/>
              <w:rPr>
                <w:rFonts w:cs="Arial"/>
                <w:noProof/>
                <w:szCs w:val="18"/>
              </w:rPr>
            </w:pPr>
            <w:r w:rsidRPr="00052726">
              <w:rPr>
                <w:rStyle w:val="StyleTableText9ptCharChar"/>
                <w:rFonts w:cs="Arial"/>
                <w:szCs w:val="18"/>
              </w:rPr>
              <w:t>If the user clicks “Yes,” selection can continue to select the unit.</w:t>
            </w:r>
          </w:p>
        </w:tc>
      </w:tr>
    </w:tbl>
    <w:p w14:paraId="2DBEB48C" w14:textId="77777777" w:rsidR="009125FD" w:rsidRDefault="009125FD" w:rsidP="009125FD">
      <w:pPr>
        <w:spacing w:after="200" w:line="276" w:lineRule="auto"/>
        <w:rPr>
          <w:b/>
          <w:bCs/>
          <w:sz w:val="18"/>
          <w:szCs w:val="18"/>
        </w:rPr>
      </w:pPr>
    </w:p>
    <w:p w14:paraId="08213316" w14:textId="37207938" w:rsidR="00C15299" w:rsidRDefault="00C15299" w:rsidP="00C15299">
      <w:pPr>
        <w:pStyle w:val="Caption"/>
      </w:pPr>
      <w:bookmarkStart w:id="794" w:name="_Ref407612094"/>
      <w:bookmarkStart w:id="795" w:name="_Ref3435024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136</w:t>
      </w:r>
      <w:r w:rsidR="004E20BD">
        <w:rPr>
          <w:noProof/>
        </w:rPr>
        <w:fldChar w:fldCharType="end"/>
      </w:r>
      <w:bookmarkEnd w:id="794"/>
      <w:r>
        <w:t>: Leuko-reduce Cellular Products and Issue Blood Component</w:t>
      </w:r>
      <w:bookmarkEnd w:id="79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024AAEA"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7CB17D66"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871BF2">
              <w:rPr>
                <w:rFonts w:ascii="Arial" w:hAnsi="Arial" w:cs="Arial"/>
                <w:b/>
                <w:sz w:val="20"/>
                <w:szCs w:val="20"/>
              </w:rPr>
              <w:t>Leuko-reduce Cellular Products</w:t>
            </w:r>
          </w:p>
        </w:tc>
      </w:tr>
      <w:tr w:rsidR="009125FD" w:rsidRPr="005C5D59" w14:paraId="1F028434"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9BDAC65"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C8B9347"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19DFCE8"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4FC429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C94AEC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E1E632F" w14:textId="77777777" w:rsidTr="009125FD">
        <w:trPr>
          <w:cantSplit/>
          <w:trHeight w:val="1302"/>
        </w:trPr>
        <w:tc>
          <w:tcPr>
            <w:tcW w:w="1692" w:type="dxa"/>
            <w:vMerge w:val="restart"/>
            <w:tcBorders>
              <w:top w:val="single" w:sz="4" w:space="0" w:color="000000"/>
              <w:left w:val="single" w:sz="4" w:space="0" w:color="000000"/>
              <w:right w:val="single" w:sz="4" w:space="0" w:color="000000"/>
            </w:tcBorders>
            <w:vAlign w:val="center"/>
            <w:hideMark/>
          </w:tcPr>
          <w:p w14:paraId="3E968C71"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3096A4D1"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1E3DB0A2"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WHOLE BLOOD </w:t>
            </w:r>
          </w:p>
          <w:p w14:paraId="0E9043DB" w14:textId="40DDAD5B" w:rsidR="009125FD" w:rsidRPr="005C5D59" w:rsidRDefault="009125FD" w:rsidP="000612EF">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4F87D178"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87BC92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FE1A25C"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61FFBA8" w14:textId="77777777" w:rsidTr="009125FD">
        <w:trPr>
          <w:cantSplit/>
          <w:trHeight w:val="1379"/>
        </w:trPr>
        <w:tc>
          <w:tcPr>
            <w:tcW w:w="1692" w:type="dxa"/>
            <w:vMerge/>
            <w:tcBorders>
              <w:left w:val="single" w:sz="4" w:space="0" w:color="000000"/>
              <w:right w:val="single" w:sz="4" w:space="0" w:color="000000"/>
            </w:tcBorders>
            <w:vAlign w:val="bottom"/>
          </w:tcPr>
          <w:p w14:paraId="6ECFF20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A846BAE"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0523BF2B"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476976A3"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3F936E3"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7ABB7CFA" w14:textId="77777777" w:rsidR="009125FD" w:rsidRPr="00A92752" w:rsidRDefault="009125FD" w:rsidP="009125FD">
            <w:pPr>
              <w:ind w:left="18"/>
              <w:rPr>
                <w:rFonts w:ascii="Arial" w:hAnsi="Arial" w:cs="Arial"/>
                <w:sz w:val="18"/>
                <w:szCs w:val="18"/>
              </w:rPr>
            </w:pPr>
            <w:r w:rsidRPr="00A92752">
              <w:rPr>
                <w:rFonts w:ascii="Arial" w:hAnsi="Arial" w:cs="Arial"/>
                <w:noProof/>
                <w:sz w:val="18"/>
                <w:szCs w:val="18"/>
              </w:rPr>
              <w:t>Technologist</w:t>
            </w:r>
          </w:p>
          <w:p w14:paraId="05B66CD9" w14:textId="77777777" w:rsidR="009125FD" w:rsidRPr="00836EE2" w:rsidRDefault="009125FD" w:rsidP="009125FD">
            <w:pPr>
              <w:ind w:left="18"/>
              <w:rPr>
                <w:rFonts w:ascii="Arial" w:hAnsi="Arial" w:cs="Arial"/>
                <w:sz w:val="18"/>
                <w:szCs w:val="18"/>
              </w:rPr>
            </w:pPr>
          </w:p>
          <w:p w14:paraId="427A7535" w14:textId="77777777" w:rsidR="009125FD" w:rsidRPr="00A92752" w:rsidRDefault="009125FD" w:rsidP="009125FD">
            <w:pPr>
              <w:ind w:left="18"/>
              <w:rPr>
                <w:rFonts w:ascii="Arial" w:hAnsi="Arial" w:cs="Arial"/>
                <w:noProof/>
                <w:sz w:val="18"/>
                <w:szCs w:val="18"/>
              </w:rPr>
            </w:pPr>
            <w:r w:rsidRPr="00A92752">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6EEF4AD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6D16289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76E0ECE6" w14:textId="77777777" w:rsidTr="009125FD">
        <w:trPr>
          <w:cantSplit/>
          <w:trHeight w:val="2343"/>
        </w:trPr>
        <w:tc>
          <w:tcPr>
            <w:tcW w:w="1692" w:type="dxa"/>
            <w:vMerge/>
            <w:tcBorders>
              <w:left w:val="single" w:sz="4" w:space="0" w:color="000000"/>
              <w:right w:val="single" w:sz="4" w:space="0" w:color="000000"/>
            </w:tcBorders>
            <w:vAlign w:val="bottom"/>
          </w:tcPr>
          <w:p w14:paraId="1406049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45EA12C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3FDF4FE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75095B8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030971F6"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1C65A018"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Lead Technologist</w:t>
            </w:r>
          </w:p>
          <w:p w14:paraId="01BB7544"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Traditional Supervisor</w:t>
            </w:r>
          </w:p>
          <w:p w14:paraId="0F8E7332"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Enhanced Supervisor</w:t>
            </w:r>
          </w:p>
          <w:p w14:paraId="66E5EF33"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Administrator/Supervisor</w:t>
            </w:r>
          </w:p>
          <w:p w14:paraId="1E16648D"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5C1C33B6"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2A405A">
              <w:rPr>
                <w:rFonts w:ascii="Arial" w:hAnsi="Arial" w:cs="Arial"/>
                <w:i/>
                <w:sz w:val="18"/>
                <w:szCs w:val="18"/>
              </w:rPr>
              <w:t xml:space="preserve">Patient’s Leuko-reduce Cellular Products </w:t>
            </w:r>
            <w:r w:rsidRPr="00836EE2">
              <w:rPr>
                <w:rFonts w:ascii="Arial" w:hAnsi="Arial" w:cs="Arial"/>
                <w:i/>
                <w:sz w:val="18"/>
                <w:szCs w:val="18"/>
              </w:rPr>
              <w:t>Transfusion Requirement is not satisfied</w:t>
            </w:r>
            <w:r w:rsidRPr="005C5D59">
              <w:rPr>
                <w:rFonts w:ascii="Arial" w:hAnsi="Arial" w:cs="Arial"/>
                <w:sz w:val="18"/>
                <w:szCs w:val="18"/>
              </w:rPr>
              <w:t xml:space="preserve"> and prompts the user whether to proceed. </w:t>
            </w:r>
          </w:p>
          <w:p w14:paraId="40F8B9B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20F87659" w14:textId="61C13907" w:rsidR="009125FD" w:rsidRPr="005C5D59" w:rsidRDefault="009125FD" w:rsidP="009125FD">
            <w:pPr>
              <w:rPr>
                <w:rFonts w:ascii="Arial" w:hAnsi="Arial" w:cs="Arial"/>
                <w:sz w:val="18"/>
                <w:szCs w:val="18"/>
              </w:rPr>
            </w:pPr>
            <w:r>
              <w:rPr>
                <w:rFonts w:ascii="Arial" w:hAnsi="Arial" w:cs="Arial"/>
                <w:sz w:val="18"/>
                <w:szCs w:val="18"/>
              </w:rPr>
              <w:t>If the user responds “Yes”,</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DED3914" w14:textId="77777777" w:rsidR="009125FD" w:rsidRDefault="009125FD" w:rsidP="009125FD"/>
    <w:p w14:paraId="00B3821F" w14:textId="2481E45E" w:rsidR="00C15299" w:rsidRDefault="00C15299" w:rsidP="00C15299">
      <w:pPr>
        <w:pStyle w:val="Caption"/>
      </w:pPr>
      <w:bookmarkStart w:id="796" w:name="_Ref407610736"/>
      <w:bookmarkStart w:id="797" w:name="_Ref34350250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137</w:t>
      </w:r>
      <w:r w:rsidR="004E20BD">
        <w:rPr>
          <w:noProof/>
        </w:rPr>
        <w:fldChar w:fldCharType="end"/>
      </w:r>
      <w:bookmarkEnd w:id="796"/>
      <w:r>
        <w:t>: Washed Red Blood Cell (RBC) Products and Select Blood Unit</w:t>
      </w:r>
      <w:bookmarkEnd w:id="79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13DBE092"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193882D"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B62010">
              <w:rPr>
                <w:rFonts w:ascii="Arial" w:hAnsi="Arial" w:cs="Arial"/>
                <w:b/>
                <w:sz w:val="18"/>
                <w:szCs w:val="18"/>
              </w:rPr>
              <w:t xml:space="preserve"> Washed R</w:t>
            </w:r>
            <w:r>
              <w:rPr>
                <w:rFonts w:ascii="Arial" w:hAnsi="Arial" w:cs="Arial"/>
                <w:b/>
                <w:sz w:val="18"/>
                <w:szCs w:val="18"/>
              </w:rPr>
              <w:t xml:space="preserve">ed </w:t>
            </w:r>
            <w:r w:rsidRPr="00B62010">
              <w:rPr>
                <w:rFonts w:ascii="Arial" w:hAnsi="Arial" w:cs="Arial"/>
                <w:b/>
                <w:sz w:val="18"/>
                <w:szCs w:val="18"/>
              </w:rPr>
              <w:t>B</w:t>
            </w:r>
            <w:r>
              <w:rPr>
                <w:rFonts w:ascii="Arial" w:hAnsi="Arial" w:cs="Arial"/>
                <w:b/>
                <w:sz w:val="18"/>
                <w:szCs w:val="18"/>
              </w:rPr>
              <w:t xml:space="preserve">lood </w:t>
            </w:r>
            <w:r w:rsidRPr="00B62010">
              <w:rPr>
                <w:rFonts w:ascii="Arial" w:hAnsi="Arial" w:cs="Arial"/>
                <w:b/>
                <w:sz w:val="18"/>
                <w:szCs w:val="18"/>
              </w:rPr>
              <w:t>C</w:t>
            </w:r>
            <w:r>
              <w:rPr>
                <w:rFonts w:ascii="Arial" w:hAnsi="Arial" w:cs="Arial"/>
                <w:b/>
                <w:sz w:val="18"/>
                <w:szCs w:val="18"/>
              </w:rPr>
              <w:t>ell (RBC)</w:t>
            </w:r>
            <w:r w:rsidRPr="00B62010">
              <w:rPr>
                <w:rFonts w:ascii="Arial" w:hAnsi="Arial" w:cs="Arial"/>
                <w:b/>
                <w:sz w:val="18"/>
                <w:szCs w:val="18"/>
              </w:rPr>
              <w:t xml:space="preserve"> products</w:t>
            </w:r>
          </w:p>
        </w:tc>
      </w:tr>
      <w:tr w:rsidR="009125FD" w:rsidRPr="005C5D59" w14:paraId="09464BB7"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7543052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272AB9D9"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D288CEE"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7B34AC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44940C4"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086D5D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8D35AE8"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0F5375AA"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FD5A625"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1253937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4BF9C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CBAACE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490ABF8" w14:textId="77777777" w:rsidTr="009125FD">
        <w:trPr>
          <w:cantSplit/>
          <w:trHeight w:val="1008"/>
        </w:trPr>
        <w:tc>
          <w:tcPr>
            <w:tcW w:w="1692" w:type="dxa"/>
            <w:vMerge/>
            <w:tcBorders>
              <w:left w:val="single" w:sz="4" w:space="0" w:color="000000"/>
              <w:right w:val="single" w:sz="4" w:space="0" w:color="000000"/>
            </w:tcBorders>
            <w:vAlign w:val="bottom"/>
          </w:tcPr>
          <w:p w14:paraId="0FC618A9"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DACBB6D"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69F08A2" w14:textId="77777777" w:rsidR="009125FD" w:rsidRDefault="009125FD" w:rsidP="009125FD">
            <w:pPr>
              <w:jc w:val="center"/>
              <w:rPr>
                <w:rFonts w:ascii="Arial" w:hAnsi="Arial" w:cs="Arial"/>
                <w:sz w:val="18"/>
                <w:szCs w:val="18"/>
              </w:rPr>
            </w:pPr>
          </w:p>
          <w:p w14:paraId="3E1B05FE"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2DC1C4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bottom w:val="single" w:sz="4" w:space="0" w:color="000000"/>
              <w:right w:val="single" w:sz="4" w:space="0" w:color="000000"/>
            </w:tcBorders>
            <w:vAlign w:val="center"/>
          </w:tcPr>
          <w:p w14:paraId="7DA128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tcPr>
          <w:p w14:paraId="2AA667C2"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4CE754EB"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1B1943C"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6D2231B1" w14:textId="77777777" w:rsidR="009125FD" w:rsidRDefault="009125FD" w:rsidP="009125FD"/>
    <w:p w14:paraId="53D94305" w14:textId="4DEACAEF" w:rsidR="00C15299" w:rsidRDefault="00C15299" w:rsidP="00C15299">
      <w:pPr>
        <w:pStyle w:val="Caption"/>
      </w:pPr>
      <w:bookmarkStart w:id="798" w:name="_Ref407610749"/>
      <w:bookmarkStart w:id="799" w:name="_Ref34350252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138</w:t>
      </w:r>
      <w:r w:rsidR="004E20BD">
        <w:rPr>
          <w:noProof/>
        </w:rPr>
        <w:fldChar w:fldCharType="end"/>
      </w:r>
      <w:bookmarkEnd w:id="798"/>
      <w:r>
        <w:t>: Washed Red Blood Cell (RBC) Products and Issue Blood Component</w:t>
      </w:r>
      <w:bookmarkEnd w:id="79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2BDC3A16"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0ECEA10"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18"/>
                <w:szCs w:val="18"/>
              </w:rPr>
              <w:t>Washed RBC products</w:t>
            </w:r>
          </w:p>
        </w:tc>
      </w:tr>
      <w:tr w:rsidR="009125FD" w:rsidRPr="005C5D59" w14:paraId="0A4051F5"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3AAD2267"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F0D9D0A"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84E576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7B20C5"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EA4FB10"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596B14B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094DFDF" w14:textId="77777777" w:rsidR="009125FD" w:rsidRPr="00D93607" w:rsidRDefault="009125FD" w:rsidP="009125FD">
            <w:pPr>
              <w:jc w:val="center"/>
              <w:rPr>
                <w:rFonts w:ascii="Arial" w:hAnsi="Arial" w:cs="Arial"/>
                <w:sz w:val="32"/>
                <w:szCs w:val="32"/>
              </w:rPr>
            </w:pPr>
            <w:r w:rsidRPr="00D93607">
              <w:rPr>
                <w:rFonts w:ascii="Arial" w:hAnsi="Arial" w:cs="Arial"/>
                <w:sz w:val="32"/>
                <w:szCs w:val="32"/>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4A5D4CDF"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85ADF33"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51319FB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77C8F07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2BD0B6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C2FA535" w14:textId="77777777" w:rsidTr="009125FD">
        <w:trPr>
          <w:cantSplit/>
          <w:trHeight w:val="1295"/>
        </w:trPr>
        <w:tc>
          <w:tcPr>
            <w:tcW w:w="1692" w:type="dxa"/>
            <w:vMerge/>
            <w:tcBorders>
              <w:left w:val="single" w:sz="4" w:space="0" w:color="000000"/>
              <w:right w:val="single" w:sz="4" w:space="0" w:color="000000"/>
            </w:tcBorders>
            <w:vAlign w:val="bottom"/>
          </w:tcPr>
          <w:p w14:paraId="7C0636B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56D4DCB"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1D4E136E" w14:textId="77777777" w:rsidR="009125FD" w:rsidRPr="005C5D59" w:rsidRDefault="009125FD" w:rsidP="009125FD">
            <w:pPr>
              <w:jc w:val="center"/>
              <w:rPr>
                <w:rFonts w:ascii="Arial" w:hAnsi="Arial" w:cs="Arial"/>
                <w:sz w:val="18"/>
                <w:szCs w:val="18"/>
              </w:rPr>
            </w:pPr>
          </w:p>
          <w:p w14:paraId="574C1CA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1DF42D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3B872FBD" w14:textId="77777777" w:rsidR="009125FD" w:rsidRPr="00D93607" w:rsidRDefault="009125FD" w:rsidP="009125FD">
            <w:pPr>
              <w:ind w:left="18"/>
              <w:rPr>
                <w:rFonts w:ascii="Arial" w:hAnsi="Arial" w:cs="Arial"/>
                <w:sz w:val="18"/>
                <w:szCs w:val="18"/>
              </w:rPr>
            </w:pPr>
            <w:r w:rsidRPr="00D93607">
              <w:rPr>
                <w:rFonts w:ascii="Arial" w:hAnsi="Arial" w:cs="Arial"/>
                <w:noProof/>
                <w:sz w:val="18"/>
                <w:szCs w:val="18"/>
              </w:rPr>
              <w:t>Technologist</w:t>
            </w:r>
          </w:p>
          <w:p w14:paraId="4C3F2C9E" w14:textId="77777777" w:rsidR="009125FD" w:rsidRPr="00836EE2" w:rsidRDefault="009125FD" w:rsidP="009125FD">
            <w:pPr>
              <w:ind w:left="18"/>
              <w:rPr>
                <w:rFonts w:ascii="Arial" w:hAnsi="Arial" w:cs="Arial"/>
                <w:sz w:val="18"/>
                <w:szCs w:val="18"/>
              </w:rPr>
            </w:pPr>
          </w:p>
          <w:p w14:paraId="2E9F83C3" w14:textId="77777777" w:rsidR="009125FD" w:rsidRPr="00D93607" w:rsidRDefault="009125FD" w:rsidP="009125FD">
            <w:pPr>
              <w:ind w:left="18"/>
              <w:rPr>
                <w:rFonts w:ascii="Arial" w:hAnsi="Arial" w:cs="Arial"/>
                <w:noProof/>
                <w:sz w:val="18"/>
                <w:szCs w:val="18"/>
              </w:rPr>
            </w:pPr>
            <w:r w:rsidRPr="00D93607">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388EABE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4668601"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68909F89" w14:textId="77777777" w:rsidTr="009125FD">
        <w:trPr>
          <w:cantSplit/>
          <w:trHeight w:val="2343"/>
        </w:trPr>
        <w:tc>
          <w:tcPr>
            <w:tcW w:w="1692" w:type="dxa"/>
            <w:vMerge/>
            <w:tcBorders>
              <w:left w:val="single" w:sz="4" w:space="0" w:color="000000"/>
              <w:right w:val="single" w:sz="4" w:space="0" w:color="000000"/>
            </w:tcBorders>
            <w:vAlign w:val="bottom"/>
          </w:tcPr>
          <w:p w14:paraId="4AE1E215"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56AB14F9"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C506A06" w14:textId="77777777" w:rsidR="009125FD" w:rsidRPr="005C5D59" w:rsidRDefault="009125FD" w:rsidP="009125FD">
            <w:pPr>
              <w:jc w:val="center"/>
              <w:rPr>
                <w:rFonts w:ascii="Arial" w:hAnsi="Arial" w:cs="Arial"/>
                <w:sz w:val="18"/>
                <w:szCs w:val="18"/>
              </w:rPr>
            </w:pPr>
          </w:p>
          <w:p w14:paraId="340052A7"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B6FAED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693C765"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Lead Technologist</w:t>
            </w:r>
          </w:p>
          <w:p w14:paraId="7E556499"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Traditional Supervisor</w:t>
            </w:r>
          </w:p>
          <w:p w14:paraId="2D014BE7"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Enhanced Supervisor</w:t>
            </w:r>
          </w:p>
          <w:p w14:paraId="25C99C62"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Administrator/Supervisor</w:t>
            </w:r>
          </w:p>
          <w:p w14:paraId="42812FAC"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10EABA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5ADD1604"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EA26F31" w14:textId="1B24609C"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0F454AFA" w14:textId="77777777" w:rsidR="009125FD" w:rsidRPr="00825E94" w:rsidRDefault="009125FD" w:rsidP="009125FD"/>
    <w:p w14:paraId="705A0420" w14:textId="374CB927" w:rsidR="00C15299" w:rsidRDefault="009125FD" w:rsidP="00C15299">
      <w:pPr>
        <w:pStyle w:val="Caption"/>
      </w:pPr>
      <w:r>
        <w:br w:type="page"/>
      </w:r>
      <w:bookmarkStart w:id="800" w:name="_Ref407610759"/>
      <w:bookmarkStart w:id="801" w:name="_Ref343502547"/>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139</w:t>
      </w:r>
      <w:r w:rsidR="004E20BD">
        <w:rPr>
          <w:noProof/>
        </w:rPr>
        <w:fldChar w:fldCharType="end"/>
      </w:r>
      <w:bookmarkEnd w:id="800"/>
      <w:r w:rsidR="00C15299">
        <w:t>: Washed PLATELET (PLT) Products and Select Blood Unit</w:t>
      </w:r>
      <w:bookmarkEnd w:id="801"/>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3C553A8A"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485D3F61"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20"/>
                <w:szCs w:val="20"/>
              </w:rPr>
              <w:t>Washed PLT products</w:t>
            </w:r>
          </w:p>
        </w:tc>
      </w:tr>
      <w:tr w:rsidR="009125FD" w:rsidRPr="005C5D59" w14:paraId="290AB0E0"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2CB392D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0015A36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92AFAC3"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0E30233"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FD85390"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61CFBE6B"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1A305B11"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13A038DD" w14:textId="4A142249" w:rsidR="009125FD" w:rsidRPr="005C5D59" w:rsidRDefault="009125FD" w:rsidP="000612EF">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04B2451D"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4612204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06E481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7E9E9E3" w14:textId="77777777" w:rsidTr="009125FD">
        <w:trPr>
          <w:cantSplit/>
          <w:trHeight w:val="432"/>
        </w:trPr>
        <w:tc>
          <w:tcPr>
            <w:tcW w:w="1692" w:type="dxa"/>
            <w:vMerge/>
            <w:tcBorders>
              <w:left w:val="single" w:sz="4" w:space="0" w:color="000000"/>
              <w:right w:val="single" w:sz="4" w:space="0" w:color="000000"/>
            </w:tcBorders>
            <w:vAlign w:val="bottom"/>
          </w:tcPr>
          <w:p w14:paraId="79C8ED9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1D89E50" w14:textId="150AC5DD" w:rsidR="009125FD" w:rsidRPr="005C5D59" w:rsidRDefault="009125FD" w:rsidP="000612EF">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bottom w:val="single" w:sz="4" w:space="0" w:color="000000"/>
              <w:right w:val="single" w:sz="4" w:space="0" w:color="000000"/>
            </w:tcBorders>
            <w:vAlign w:val="center"/>
          </w:tcPr>
          <w:p w14:paraId="6E3E1A5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F86173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p w14:paraId="363550A7" w14:textId="77777777" w:rsidR="009125FD" w:rsidRPr="005C5D59" w:rsidRDefault="009125FD" w:rsidP="009125FD">
            <w:pPr>
              <w:jc w:val="center"/>
              <w:rPr>
                <w:rFonts w:ascii="Arial" w:hAnsi="Arial" w:cs="Arial"/>
                <w:sz w:val="18"/>
                <w:szCs w:val="18"/>
              </w:rPr>
            </w:pPr>
          </w:p>
        </w:tc>
        <w:tc>
          <w:tcPr>
            <w:tcW w:w="4050" w:type="dxa"/>
            <w:tcBorders>
              <w:top w:val="single" w:sz="4" w:space="0" w:color="000000"/>
              <w:left w:val="single" w:sz="4" w:space="0" w:color="000000"/>
              <w:right w:val="single" w:sz="4" w:space="0" w:color="000000"/>
            </w:tcBorders>
          </w:tcPr>
          <w:p w14:paraId="3663EEEF"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2D21F9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4213AD3E"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33BE4C15" w14:textId="77777777" w:rsidR="009125FD" w:rsidRDefault="009125FD" w:rsidP="009125FD"/>
    <w:p w14:paraId="26799853" w14:textId="36EF137D" w:rsidR="00C15299" w:rsidRDefault="00C15299" w:rsidP="00C15299">
      <w:pPr>
        <w:pStyle w:val="Caption"/>
      </w:pPr>
      <w:bookmarkStart w:id="802" w:name="_Ref407610771"/>
      <w:bookmarkStart w:id="803" w:name="_Ref3435025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140</w:t>
      </w:r>
      <w:r w:rsidR="004E20BD">
        <w:rPr>
          <w:noProof/>
        </w:rPr>
        <w:fldChar w:fldCharType="end"/>
      </w:r>
      <w:bookmarkEnd w:id="802"/>
      <w:r>
        <w:t>: Washed PLATELET (PLT) Products and Issue Blood Component</w:t>
      </w:r>
      <w:bookmarkEnd w:id="80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211D6B0"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21D561B3"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20"/>
                <w:szCs w:val="20"/>
              </w:rPr>
              <w:t>Washed PLT products</w:t>
            </w:r>
          </w:p>
        </w:tc>
      </w:tr>
      <w:tr w:rsidR="009125FD" w:rsidRPr="005C5D59" w14:paraId="512D1789"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5165DC6D"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4BC62E2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center"/>
          </w:tcPr>
          <w:p w14:paraId="0CE6090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Selected</w:t>
            </w:r>
            <w:r>
              <w:rPr>
                <w:rFonts w:ascii="Arial" w:hAnsi="Arial" w:cs="Arial"/>
                <w:b/>
                <w:sz w:val="18"/>
                <w:szCs w:val="18"/>
              </w:rPr>
              <w:t xml:space="preserve"> Platelet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FF53079"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C51977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15BE479F"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49ECB20B"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18773095" w14:textId="77777777" w:rsidR="009125FD" w:rsidRPr="005C5D59" w:rsidRDefault="009125FD" w:rsidP="009125FD">
            <w:pPr>
              <w:jc w:val="center"/>
              <w:rPr>
                <w:rFonts w:ascii="Arial" w:hAnsi="Arial" w:cs="Arial"/>
                <w:sz w:val="18"/>
                <w:szCs w:val="18"/>
              </w:rPr>
            </w:pPr>
            <w:r>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2F8F7C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29E0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5666F0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3EB6D1BE" w14:textId="77777777" w:rsidTr="009125FD">
        <w:trPr>
          <w:cantSplit/>
          <w:trHeight w:val="432"/>
        </w:trPr>
        <w:tc>
          <w:tcPr>
            <w:tcW w:w="1843" w:type="dxa"/>
            <w:vMerge/>
            <w:tcBorders>
              <w:left w:val="single" w:sz="4" w:space="0" w:color="000000"/>
              <w:right w:val="single" w:sz="4" w:space="0" w:color="000000"/>
            </w:tcBorders>
            <w:vAlign w:val="bottom"/>
          </w:tcPr>
          <w:p w14:paraId="3FCE5DB4"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6AED8C0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622710A"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62576DF7"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4F2274B2" w14:textId="77777777" w:rsidR="009125FD" w:rsidRPr="00836EE2" w:rsidRDefault="009125FD" w:rsidP="009125FD">
            <w:pPr>
              <w:ind w:left="18"/>
              <w:rPr>
                <w:rFonts w:ascii="Arial" w:hAnsi="Arial" w:cs="Arial"/>
                <w:sz w:val="18"/>
                <w:szCs w:val="18"/>
              </w:rPr>
            </w:pPr>
          </w:p>
          <w:p w14:paraId="77E3B3F1"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757B183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0E5DC763"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6F89C75" w14:textId="77777777" w:rsidTr="009125FD">
        <w:trPr>
          <w:cantSplit/>
          <w:trHeight w:val="432"/>
        </w:trPr>
        <w:tc>
          <w:tcPr>
            <w:tcW w:w="1843" w:type="dxa"/>
            <w:vMerge/>
            <w:tcBorders>
              <w:left w:val="single" w:sz="4" w:space="0" w:color="000000"/>
              <w:right w:val="single" w:sz="4" w:space="0" w:color="000000"/>
            </w:tcBorders>
            <w:vAlign w:val="bottom"/>
          </w:tcPr>
          <w:p w14:paraId="0699496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41A0E28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541F6282"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312ECAB"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180E34FD"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741391B8"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2DCA28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3F7E66C5"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6F3966BC"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PLT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08272BF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1CE6B56" w14:textId="613D96F1"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4A9702A7" w14:textId="77777777" w:rsidR="009125FD" w:rsidRDefault="009125FD" w:rsidP="009125FD"/>
    <w:p w14:paraId="1E4DABD1" w14:textId="5E6197F3" w:rsidR="00C15299" w:rsidRDefault="009125FD" w:rsidP="00C15299">
      <w:pPr>
        <w:pStyle w:val="Caption"/>
      </w:pPr>
      <w:r>
        <w:br w:type="page"/>
      </w:r>
      <w:bookmarkStart w:id="804" w:name="_Ref407610782"/>
      <w:bookmarkStart w:id="805" w:name="_Ref343502582"/>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141</w:t>
      </w:r>
      <w:r w:rsidR="004E20BD">
        <w:rPr>
          <w:noProof/>
        </w:rPr>
        <w:fldChar w:fldCharType="end"/>
      </w:r>
      <w:bookmarkEnd w:id="804"/>
      <w:r w:rsidR="00C15299">
        <w:t>: Sickle Cell Negative RBC Products and Select Blood Unit</w:t>
      </w:r>
      <w:bookmarkEnd w:id="80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3E5C63B0"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4C54107"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18"/>
                <w:szCs w:val="18"/>
              </w:rPr>
              <w:t>Sickle Cell Negative RBC products</w:t>
            </w:r>
          </w:p>
        </w:tc>
      </w:tr>
      <w:tr w:rsidR="009125FD" w:rsidRPr="005C5D59" w14:paraId="6ED49BE2"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79692EFA"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533C171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34DD6E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C39E25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3ADD51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1B6E18C"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D6D26B5"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0F72E677"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w:t>
            </w:r>
            <w:r>
              <w:rPr>
                <w:rFonts w:ascii="Arial" w:hAnsi="Arial" w:cs="Arial"/>
                <w:sz w:val="18"/>
                <w:szCs w:val="18"/>
              </w:rPr>
              <w:t>OD CELLS</w:t>
            </w:r>
          </w:p>
          <w:p w14:paraId="46002EAF"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00BC60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95F0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87E560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40B44BD5" w14:textId="77777777" w:rsidTr="009125FD">
        <w:trPr>
          <w:cantSplit/>
          <w:trHeight w:val="1152"/>
        </w:trPr>
        <w:tc>
          <w:tcPr>
            <w:tcW w:w="1843" w:type="dxa"/>
            <w:vMerge/>
            <w:tcBorders>
              <w:left w:val="single" w:sz="4" w:space="0" w:color="000000"/>
              <w:right w:val="single" w:sz="4" w:space="0" w:color="000000"/>
            </w:tcBorders>
            <w:vAlign w:val="bottom"/>
          </w:tcPr>
          <w:p w14:paraId="1FF788A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6418158"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A0C0CA5" w14:textId="77777777" w:rsidR="009125FD" w:rsidRDefault="009125FD" w:rsidP="009125FD">
            <w:pPr>
              <w:jc w:val="center"/>
              <w:rPr>
                <w:rFonts w:ascii="Arial" w:hAnsi="Arial" w:cs="Arial"/>
                <w:sz w:val="18"/>
                <w:szCs w:val="18"/>
              </w:rPr>
            </w:pPr>
          </w:p>
          <w:p w14:paraId="4B4E039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AEB7B3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06E1AC0B"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1A91E00A" w14:textId="77777777" w:rsidR="009125FD" w:rsidRPr="00836EE2" w:rsidRDefault="009125FD" w:rsidP="009125FD">
            <w:pPr>
              <w:ind w:left="18"/>
              <w:rPr>
                <w:rFonts w:ascii="Arial" w:hAnsi="Arial" w:cs="Arial"/>
                <w:sz w:val="18"/>
                <w:szCs w:val="18"/>
              </w:rPr>
            </w:pPr>
          </w:p>
          <w:p w14:paraId="694CA264"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3BFED076"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901B8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87DE482"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3D68306A" w14:textId="77777777" w:rsidTr="009125FD">
        <w:trPr>
          <w:cantSplit/>
          <w:trHeight w:val="1152"/>
        </w:trPr>
        <w:tc>
          <w:tcPr>
            <w:tcW w:w="1843" w:type="dxa"/>
            <w:vMerge/>
            <w:tcBorders>
              <w:left w:val="single" w:sz="4" w:space="0" w:color="000000"/>
              <w:right w:val="single" w:sz="4" w:space="0" w:color="000000"/>
            </w:tcBorders>
            <w:vAlign w:val="bottom"/>
          </w:tcPr>
          <w:p w14:paraId="5FCE06D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DE9457C"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91BAF03" w14:textId="77777777" w:rsidR="009125FD" w:rsidRDefault="009125FD" w:rsidP="009125FD">
            <w:pPr>
              <w:jc w:val="center"/>
              <w:rPr>
                <w:rFonts w:ascii="Arial" w:hAnsi="Arial" w:cs="Arial"/>
                <w:sz w:val="18"/>
                <w:szCs w:val="18"/>
              </w:rPr>
            </w:pPr>
          </w:p>
          <w:p w14:paraId="361607C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635BA69"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63D02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7D93A10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2394C283"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1CF6EDF0"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4812DB91" w14:textId="77777777" w:rsidR="009125FD" w:rsidRPr="008B278A" w:rsidRDefault="009125FD" w:rsidP="009125FD">
            <w:pPr>
              <w:ind w:left="18"/>
              <w:rPr>
                <w:rFonts w:ascii="Arial" w:hAnsi="Arial" w:cs="Arial"/>
                <w:sz w:val="18"/>
                <w:szCs w:val="18"/>
              </w:rPr>
            </w:pPr>
          </w:p>
        </w:tc>
        <w:tc>
          <w:tcPr>
            <w:tcW w:w="4050" w:type="dxa"/>
            <w:tcBorders>
              <w:left w:val="single" w:sz="4" w:space="0" w:color="000000"/>
              <w:right w:val="single" w:sz="4" w:space="0" w:color="000000"/>
            </w:tcBorders>
            <w:vAlign w:val="bottom"/>
          </w:tcPr>
          <w:p w14:paraId="167E192D" w14:textId="77777777" w:rsidR="009125FD" w:rsidRPr="00496950" w:rsidRDefault="009125FD" w:rsidP="009125FD">
            <w:pPr>
              <w:pStyle w:val="TableText"/>
              <w:rPr>
                <w:rStyle w:val="StyleTableText9ptCharChar"/>
                <w:i/>
              </w:rPr>
            </w:pPr>
            <w:r w:rsidRPr="003D487C">
              <w:t>The following warning(s) is informational:</w:t>
            </w:r>
            <w:r>
              <w:t xml:space="preserve"> </w:t>
            </w:r>
            <w:r w:rsidRPr="00496950">
              <w:rPr>
                <w:i/>
              </w:rPr>
              <w:t xml:space="preserve">This unit does not currently satisfy the patient’s </w:t>
            </w:r>
            <w:r w:rsidRPr="00496950">
              <w:rPr>
                <w:i/>
                <w:noProof/>
              </w:rPr>
              <w:t xml:space="preserve">Sickle Cell Negative </w:t>
            </w:r>
            <w:r w:rsidRPr="00496950">
              <w:rPr>
                <w:i/>
              </w:rPr>
              <w:t xml:space="preserve">Transfusion Requirements. </w:t>
            </w:r>
            <w:r w:rsidRPr="00496950">
              <w:rPr>
                <w:rStyle w:val="StyleTableText9ptCharChar"/>
                <w:i/>
              </w:rPr>
              <w:t>Further processing is needed. Continue to select this unit?</w:t>
            </w:r>
          </w:p>
          <w:p w14:paraId="7E98A278" w14:textId="77777777" w:rsidR="009125FD" w:rsidRPr="00496950" w:rsidRDefault="009125FD" w:rsidP="009125FD">
            <w:pPr>
              <w:pStyle w:val="TableText"/>
              <w:rPr>
                <w:rStyle w:val="StyleTableText9ptCharChar"/>
                <w:i/>
              </w:rPr>
            </w:pPr>
            <w:r w:rsidRPr="00496950">
              <w:rPr>
                <w:rStyle w:val="StyleTableText9ptCharChar"/>
                <w:i/>
              </w:rPr>
              <w:t>Do you wish to proceed with the selection of unit &lt;insert unit ID number&gt;:?</w:t>
            </w:r>
          </w:p>
          <w:p w14:paraId="409DCE9A" w14:textId="77777777" w:rsidR="009125FD" w:rsidRPr="003D487C" w:rsidRDefault="009125FD" w:rsidP="009125FD">
            <w:pPr>
              <w:pStyle w:val="TableText"/>
              <w:rPr>
                <w:noProof/>
              </w:rPr>
            </w:pPr>
            <w:r w:rsidRPr="003D487C">
              <w:rPr>
                <w:noProof/>
              </w:rPr>
              <w:t xml:space="preserve">If “No,” is selected, the screen is cleared and a new blood unit must be selected. </w:t>
            </w:r>
          </w:p>
          <w:p w14:paraId="010BD147" w14:textId="77777777" w:rsidR="009125FD" w:rsidRPr="0081278B" w:rsidRDefault="009125FD" w:rsidP="009125FD">
            <w:pPr>
              <w:pStyle w:val="TableText"/>
              <w:rPr>
                <w:i/>
                <w:noProof/>
              </w:rPr>
            </w:pPr>
            <w:r w:rsidRPr="003D487C">
              <w:rPr>
                <w:noProof/>
              </w:rPr>
              <w:t>If “Yes,” is selected, a comment is required and the details of the transaction are captured for later in</w:t>
            </w:r>
            <w:r>
              <w:rPr>
                <w:noProof/>
              </w:rPr>
              <w:t xml:space="preserve">clusion in an exception report entry: </w:t>
            </w:r>
            <w:r w:rsidRPr="0081278B">
              <w:rPr>
                <w:i/>
                <w:noProof/>
              </w:rPr>
              <w:t>Transfusion Requirement incompatible unit selected</w:t>
            </w:r>
            <w:r w:rsidR="005C48D9">
              <w:rPr>
                <w:i/>
                <w:noProof/>
              </w:rPr>
              <w:t>.</w:t>
            </w:r>
          </w:p>
        </w:tc>
      </w:tr>
    </w:tbl>
    <w:p w14:paraId="61161F02" w14:textId="77777777" w:rsidR="009125FD" w:rsidRDefault="009125FD" w:rsidP="009125FD"/>
    <w:p w14:paraId="28B0867D" w14:textId="543FB2ED" w:rsidR="00C15299" w:rsidRDefault="009125FD" w:rsidP="00C15299">
      <w:pPr>
        <w:pStyle w:val="Caption"/>
      </w:pPr>
      <w:r>
        <w:br w:type="page"/>
      </w:r>
      <w:bookmarkStart w:id="806" w:name="_Ref343502619"/>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142</w:t>
      </w:r>
      <w:r w:rsidR="004E20BD">
        <w:rPr>
          <w:noProof/>
        </w:rPr>
        <w:fldChar w:fldCharType="end"/>
      </w:r>
      <w:r w:rsidR="00C15299">
        <w:t>: Sickle Cell Negative RBC Products and Issue Blood Component</w:t>
      </w:r>
      <w:bookmarkEnd w:id="806"/>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64A2268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7243F6E"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20"/>
                <w:szCs w:val="20"/>
              </w:rPr>
              <w:t>Sickle Cell Negative RBC</w:t>
            </w:r>
            <w:r w:rsidRPr="00871BF2">
              <w:rPr>
                <w:rFonts w:ascii="Arial" w:hAnsi="Arial" w:cs="Arial"/>
                <w:b/>
                <w:sz w:val="20"/>
                <w:szCs w:val="20"/>
              </w:rPr>
              <w:t xml:space="preserve"> Products</w:t>
            </w:r>
          </w:p>
        </w:tc>
      </w:tr>
      <w:tr w:rsidR="009125FD" w:rsidRPr="005C5D59" w14:paraId="5C8AFEBA"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3BAC81B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63F89182"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1F30E2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471E306"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01F519E"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42C79AA5"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5B5B07BA" w14:textId="77777777" w:rsidR="009125FD" w:rsidRPr="00D93607" w:rsidRDefault="009125FD" w:rsidP="009125FD">
            <w:pPr>
              <w:jc w:val="center"/>
              <w:rPr>
                <w:rFonts w:ascii="Arial" w:hAnsi="Arial" w:cs="Arial"/>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4E444276" w14:textId="77777777" w:rsidR="009125FD" w:rsidRDefault="009125FD" w:rsidP="009125FD">
            <w:pPr>
              <w:spacing w:before="120" w:after="120"/>
              <w:jc w:val="center"/>
              <w:rPr>
                <w:rFonts w:ascii="Arial" w:hAnsi="Arial" w:cs="Arial"/>
                <w:sz w:val="18"/>
                <w:szCs w:val="18"/>
              </w:rPr>
            </w:pPr>
            <w:r>
              <w:rPr>
                <w:rFonts w:ascii="Arial" w:hAnsi="Arial" w:cs="Arial"/>
                <w:sz w:val="18"/>
                <w:szCs w:val="18"/>
              </w:rPr>
              <w:t>RED BLOOD CELLS</w:t>
            </w:r>
          </w:p>
          <w:p w14:paraId="2BB6852E"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 xml:space="preserve"> 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4200729"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BF746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6AE087D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37EC0A7" w14:textId="77777777" w:rsidTr="009125FD">
        <w:trPr>
          <w:cantSplit/>
          <w:trHeight w:val="864"/>
        </w:trPr>
        <w:tc>
          <w:tcPr>
            <w:tcW w:w="1843" w:type="dxa"/>
            <w:vMerge/>
            <w:tcBorders>
              <w:left w:val="single" w:sz="4" w:space="0" w:color="000000"/>
              <w:right w:val="single" w:sz="4" w:space="0" w:color="000000"/>
            </w:tcBorders>
            <w:vAlign w:val="bottom"/>
          </w:tcPr>
          <w:p w14:paraId="7E84827B"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3C8EA105"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6C40BDE" w14:textId="77777777" w:rsidR="009125FD" w:rsidRDefault="009125FD" w:rsidP="009125FD">
            <w:pPr>
              <w:jc w:val="center"/>
              <w:rPr>
                <w:rFonts w:ascii="Arial" w:hAnsi="Arial" w:cs="Arial"/>
                <w:sz w:val="18"/>
                <w:szCs w:val="18"/>
              </w:rPr>
            </w:pPr>
          </w:p>
          <w:p w14:paraId="6A080F5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5240CE86"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NOT</w:t>
            </w:r>
          </w:p>
          <w:p w14:paraId="1B3FCFB0"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7A0F40B7" w14:textId="77777777" w:rsidR="009125FD" w:rsidRPr="00FB56F0" w:rsidRDefault="009125FD" w:rsidP="009125FD">
            <w:pPr>
              <w:ind w:left="36"/>
              <w:rPr>
                <w:rFonts w:ascii="Arial" w:hAnsi="Arial" w:cs="Arial"/>
                <w:sz w:val="18"/>
                <w:szCs w:val="18"/>
              </w:rPr>
            </w:pPr>
            <w:r w:rsidRPr="00FB56F0">
              <w:rPr>
                <w:rFonts w:ascii="Arial" w:hAnsi="Arial" w:cs="Arial"/>
                <w:noProof/>
                <w:sz w:val="18"/>
                <w:szCs w:val="18"/>
              </w:rPr>
              <w:t>Technologist</w:t>
            </w:r>
          </w:p>
          <w:p w14:paraId="3632AC02" w14:textId="77777777" w:rsidR="009125FD" w:rsidRPr="00836EE2" w:rsidRDefault="009125FD" w:rsidP="009125FD">
            <w:pPr>
              <w:ind w:left="36"/>
              <w:rPr>
                <w:rFonts w:ascii="Arial" w:hAnsi="Arial" w:cs="Arial"/>
                <w:sz w:val="18"/>
                <w:szCs w:val="18"/>
              </w:rPr>
            </w:pPr>
          </w:p>
          <w:p w14:paraId="50FDA88F" w14:textId="77777777" w:rsidR="009125FD" w:rsidRPr="00FB56F0" w:rsidRDefault="009125FD" w:rsidP="009125FD">
            <w:pPr>
              <w:ind w:left="36"/>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2E385C0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432E54FA"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BB0137C" w14:textId="77777777" w:rsidTr="009125FD">
        <w:trPr>
          <w:cantSplit/>
          <w:trHeight w:val="1296"/>
        </w:trPr>
        <w:tc>
          <w:tcPr>
            <w:tcW w:w="1843" w:type="dxa"/>
            <w:vMerge/>
            <w:tcBorders>
              <w:left w:val="single" w:sz="4" w:space="0" w:color="000000"/>
              <w:right w:val="single" w:sz="4" w:space="0" w:color="000000"/>
            </w:tcBorders>
            <w:vAlign w:val="bottom"/>
          </w:tcPr>
          <w:p w14:paraId="10B1AB9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0B10D9C3"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07EC4C4" w14:textId="77777777" w:rsidR="009125FD" w:rsidRDefault="009125FD" w:rsidP="009125FD">
            <w:pPr>
              <w:jc w:val="center"/>
              <w:rPr>
                <w:rFonts w:ascii="Arial" w:hAnsi="Arial" w:cs="Arial"/>
                <w:sz w:val="18"/>
                <w:szCs w:val="18"/>
              </w:rPr>
            </w:pPr>
          </w:p>
          <w:p w14:paraId="3A4F4C2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F292972"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 xml:space="preserve">NOT </w:t>
            </w:r>
          </w:p>
          <w:p w14:paraId="3927B383"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431E6BCD"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011A6EB1"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6E154042"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404F1A84"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35B9069B" w14:textId="77777777" w:rsidR="009125FD" w:rsidRPr="008B278A" w:rsidRDefault="009125FD" w:rsidP="009125FD">
            <w:pPr>
              <w:ind w:left="198" w:hanging="162"/>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163F3B2F"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Sickle Cell Negative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12CE2982"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A1B12E2" w14:textId="7F1AFB9F"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3CE85C68" w14:textId="77777777" w:rsidR="009125FD" w:rsidRDefault="009125FD" w:rsidP="009125FD"/>
    <w:p w14:paraId="392DCBE3" w14:textId="32CB1DAF" w:rsidR="00C15299" w:rsidRDefault="00DA0A28" w:rsidP="00C15299">
      <w:pPr>
        <w:pStyle w:val="Caption"/>
      </w:pPr>
      <w:r>
        <w:br w:type="page"/>
      </w:r>
      <w:bookmarkStart w:id="807" w:name="_Ref343502634"/>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143</w:t>
      </w:r>
      <w:r w:rsidR="004E20BD">
        <w:rPr>
          <w:noProof/>
        </w:rPr>
        <w:fldChar w:fldCharType="end"/>
      </w:r>
      <w:r w:rsidR="00C15299">
        <w:t>: CMV Negative Cellular Products* and Select Blood Unit</w:t>
      </w:r>
      <w:bookmarkEnd w:id="80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6D882AD"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CF38F98"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CMV </w:t>
            </w:r>
            <w:r w:rsidRPr="00C22EDE">
              <w:rPr>
                <w:rFonts w:ascii="Arial" w:hAnsi="Arial" w:cs="Arial"/>
                <w:b/>
                <w:sz w:val="18"/>
                <w:szCs w:val="18"/>
              </w:rPr>
              <w:t>Negative Cellular Products</w:t>
            </w:r>
          </w:p>
        </w:tc>
      </w:tr>
      <w:tr w:rsidR="009125FD" w:rsidRPr="005C5D59" w14:paraId="344289E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0B19F321"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D90E904"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B4828DA"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A540A5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51D6898"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1F427197"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77B03D79" w14:textId="77777777" w:rsidR="009125FD" w:rsidRPr="00B62010" w:rsidRDefault="009125FD" w:rsidP="009125FD">
            <w:pPr>
              <w:jc w:val="center"/>
              <w:rPr>
                <w:rFonts w:ascii="Arial" w:hAnsi="Arial" w:cs="Arial"/>
                <w:b/>
                <w:sz w:val="20"/>
                <w:szCs w:val="20"/>
              </w:rPr>
            </w:pPr>
            <w:r w:rsidRPr="00A92752">
              <w:rPr>
                <w:rFonts w:ascii="Arial" w:hAnsi="Arial" w:cs="Arial"/>
                <w:b/>
                <w:sz w:val="28"/>
                <w:szCs w:val="28"/>
              </w:rPr>
              <w:t>CMV negative cellular products</w:t>
            </w:r>
            <w:r w:rsidRPr="00B62010">
              <w:rPr>
                <w:rFonts w:ascii="Arial" w:hAnsi="Arial" w:cs="Arial"/>
                <w:b/>
                <w:sz w:val="20"/>
                <w:szCs w:val="20"/>
              </w:rPr>
              <w:t xml:space="preserve">*  </w:t>
            </w:r>
          </w:p>
        </w:tc>
        <w:tc>
          <w:tcPr>
            <w:tcW w:w="1469" w:type="dxa"/>
            <w:tcBorders>
              <w:top w:val="single" w:sz="4" w:space="0" w:color="000000"/>
              <w:left w:val="single" w:sz="4" w:space="0" w:color="000000"/>
              <w:right w:val="single" w:sz="4" w:space="0" w:color="000000"/>
            </w:tcBorders>
            <w:shd w:val="pct10" w:color="auto" w:fill="auto"/>
            <w:vAlign w:val="center"/>
            <w:hideMark/>
          </w:tcPr>
          <w:p w14:paraId="3F3348C3"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2D7B39C8"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w:t>
            </w:r>
          </w:p>
          <w:p w14:paraId="6B64786F"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PLATELETS</w:t>
            </w:r>
          </w:p>
          <w:p w14:paraId="086D1ECF"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D438EA4" w14:textId="77777777" w:rsidR="009125FD" w:rsidRPr="00F80646" w:rsidRDefault="009125FD" w:rsidP="009125FD">
            <w:pPr>
              <w:jc w:val="center"/>
              <w:rPr>
                <w:rFonts w:ascii="Arial" w:hAnsi="Arial" w:cs="Arial"/>
                <w:b/>
                <w:sz w:val="18"/>
                <w:szCs w:val="18"/>
              </w:rPr>
            </w:pPr>
            <w:r w:rsidRPr="008E2609">
              <w:rPr>
                <w:rFonts w:ascii="Arial" w:hAnsi="Arial" w:cs="Arial"/>
                <w:sz w:val="18"/>
                <w:szCs w:val="18"/>
              </w:rPr>
              <w:t>CMV Negative</w:t>
            </w:r>
            <w:r>
              <w:rPr>
                <w:rFonts w:ascii="Arial" w:hAnsi="Arial" w:cs="Arial"/>
                <w:b/>
                <w:sz w:val="18"/>
                <w:szCs w:val="18"/>
              </w:rPr>
              <w:t>*</w:t>
            </w:r>
          </w:p>
        </w:tc>
        <w:tc>
          <w:tcPr>
            <w:tcW w:w="1620" w:type="dxa"/>
            <w:tcBorders>
              <w:top w:val="single" w:sz="4" w:space="0" w:color="000000"/>
              <w:left w:val="single" w:sz="4" w:space="0" w:color="000000"/>
              <w:right w:val="single" w:sz="4" w:space="0" w:color="000000"/>
            </w:tcBorders>
            <w:shd w:val="pct10" w:color="auto" w:fill="auto"/>
            <w:vAlign w:val="center"/>
            <w:hideMark/>
          </w:tcPr>
          <w:p w14:paraId="03C40033"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148571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76A7F15" w14:textId="77777777" w:rsidTr="009125FD">
        <w:trPr>
          <w:cantSplit/>
          <w:trHeight w:val="576"/>
        </w:trPr>
        <w:tc>
          <w:tcPr>
            <w:tcW w:w="1843" w:type="dxa"/>
            <w:vMerge/>
            <w:tcBorders>
              <w:left w:val="single" w:sz="4" w:space="0" w:color="000000"/>
              <w:right w:val="single" w:sz="4" w:space="0" w:color="000000"/>
            </w:tcBorders>
            <w:vAlign w:val="bottom"/>
          </w:tcPr>
          <w:p w14:paraId="530C6BF8"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1E96F930"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20E27617" w14:textId="77777777" w:rsidR="009125FD" w:rsidRDefault="009125FD" w:rsidP="009125FD">
            <w:pPr>
              <w:rPr>
                <w:rFonts w:ascii="Arial" w:hAnsi="Arial" w:cs="Arial"/>
                <w:sz w:val="18"/>
                <w:szCs w:val="18"/>
              </w:rPr>
            </w:pPr>
          </w:p>
          <w:p w14:paraId="2AD9070E"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2F06E7D" w14:textId="77777777" w:rsidR="009125FD" w:rsidRDefault="009125FD" w:rsidP="009125FD">
            <w:pPr>
              <w:rPr>
                <w:rFonts w:ascii="Arial" w:hAnsi="Arial" w:cs="Arial"/>
                <w:sz w:val="18"/>
                <w:szCs w:val="18"/>
              </w:rPr>
            </w:pPr>
          </w:p>
          <w:p w14:paraId="3CCB9969"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69C92F7A"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62F4F75" w14:textId="77777777" w:rsidR="009125FD" w:rsidRPr="005C5D59" w:rsidRDefault="009125FD" w:rsidP="009125FD">
            <w:pP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40082A2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46BEB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790E4492" w14:textId="77777777" w:rsidR="009125FD" w:rsidRPr="00FB56F0" w:rsidRDefault="009125FD" w:rsidP="009125FD">
            <w:pPr>
              <w:rPr>
                <w:rFonts w:ascii="Arial" w:hAnsi="Arial" w:cs="Arial"/>
                <w:sz w:val="18"/>
                <w:szCs w:val="18"/>
              </w:rPr>
            </w:pPr>
            <w:r w:rsidRPr="00FB56F0">
              <w:rPr>
                <w:rFonts w:ascii="Arial" w:hAnsi="Arial" w:cs="Arial"/>
                <w:noProof/>
                <w:sz w:val="18"/>
                <w:szCs w:val="18"/>
              </w:rPr>
              <w:t>Technologist</w:t>
            </w:r>
          </w:p>
          <w:p w14:paraId="33697EB0" w14:textId="77777777" w:rsidR="009125FD" w:rsidRPr="00836EE2" w:rsidRDefault="009125FD" w:rsidP="009125FD">
            <w:pPr>
              <w:ind w:left="36"/>
              <w:rPr>
                <w:rFonts w:ascii="Arial" w:hAnsi="Arial" w:cs="Arial"/>
                <w:sz w:val="18"/>
                <w:szCs w:val="18"/>
              </w:rPr>
            </w:pPr>
          </w:p>
          <w:p w14:paraId="712E0445" w14:textId="77777777" w:rsidR="009125FD" w:rsidRPr="005C5D59" w:rsidRDefault="009125FD" w:rsidP="009125FD">
            <w:pPr>
              <w:rPr>
                <w:rFonts w:ascii="Arial" w:hAnsi="Arial" w:cs="Arial"/>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0D66BF35"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C21CB6"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6D43E64"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141FFD8D" w14:textId="77777777" w:rsidTr="009125FD">
        <w:trPr>
          <w:cantSplit/>
          <w:trHeight w:val="576"/>
        </w:trPr>
        <w:tc>
          <w:tcPr>
            <w:tcW w:w="1843" w:type="dxa"/>
            <w:vMerge/>
            <w:tcBorders>
              <w:left w:val="single" w:sz="4" w:space="0" w:color="000000"/>
              <w:right w:val="single" w:sz="4" w:space="0" w:color="000000"/>
            </w:tcBorders>
            <w:vAlign w:val="bottom"/>
          </w:tcPr>
          <w:p w14:paraId="4B9A330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5A46AAE"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3F9D9EEE" w14:textId="77777777" w:rsidR="009125FD" w:rsidRDefault="009125FD" w:rsidP="009125FD">
            <w:pPr>
              <w:rPr>
                <w:rFonts w:ascii="Arial" w:hAnsi="Arial" w:cs="Arial"/>
                <w:sz w:val="18"/>
                <w:szCs w:val="18"/>
              </w:rPr>
            </w:pPr>
          </w:p>
          <w:p w14:paraId="1CE6E4E8"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0E866F4" w14:textId="77777777" w:rsidR="009125FD" w:rsidRDefault="009125FD" w:rsidP="009125FD">
            <w:pPr>
              <w:rPr>
                <w:rFonts w:ascii="Arial" w:hAnsi="Arial" w:cs="Arial"/>
                <w:sz w:val="18"/>
                <w:szCs w:val="18"/>
              </w:rPr>
            </w:pPr>
          </w:p>
          <w:p w14:paraId="4EC29434"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19BC6882"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C01FFFE" w14:textId="77777777" w:rsidR="009125FD" w:rsidRPr="005C5D59" w:rsidRDefault="009125FD" w:rsidP="009125FD">
            <w:pPr>
              <w:rPr>
                <w:rFonts w:ascii="Arial" w:hAnsi="Arial" w:cs="Arial"/>
                <w:color w:val="000000"/>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23C69907"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E96EC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A4C460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3B26493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46D29273"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174921B8"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6B9F3E72" w14:textId="77777777" w:rsidR="009125FD" w:rsidRPr="008B278A" w:rsidRDefault="009125FD" w:rsidP="009125FD">
            <w:pPr>
              <w:ind w:left="198" w:hanging="162"/>
              <w:rPr>
                <w:rFonts w:ascii="Arial" w:hAnsi="Arial" w:cs="Arial"/>
                <w:sz w:val="18"/>
                <w:szCs w:val="18"/>
              </w:rPr>
            </w:pPr>
          </w:p>
        </w:tc>
        <w:tc>
          <w:tcPr>
            <w:tcW w:w="4050" w:type="dxa"/>
            <w:tcBorders>
              <w:left w:val="single" w:sz="4" w:space="0" w:color="000000"/>
              <w:bottom w:val="single" w:sz="4" w:space="0" w:color="000000"/>
              <w:right w:val="single" w:sz="4" w:space="0" w:color="000000"/>
            </w:tcBorders>
            <w:vAlign w:val="bottom"/>
          </w:tcPr>
          <w:p w14:paraId="572B9AD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CMV Negative cellular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3EE10F7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5B1A1EE4" w14:textId="3974F950"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005C48D9">
              <w:rPr>
                <w:rFonts w:ascii="Arial" w:hAnsi="Arial" w:cs="Arial"/>
                <w:i/>
                <w:sz w:val="18"/>
                <w:szCs w:val="18"/>
              </w:rPr>
              <w:t>.</w:t>
            </w:r>
          </w:p>
        </w:tc>
      </w:tr>
    </w:tbl>
    <w:p w14:paraId="2A4ED334"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2D094896" w14:textId="77777777" w:rsidR="009125FD" w:rsidRDefault="009125FD" w:rsidP="009125FD"/>
    <w:p w14:paraId="58325C09" w14:textId="77C66DF2" w:rsidR="00C15299" w:rsidRDefault="00DA0A28" w:rsidP="00BE14D5">
      <w:pPr>
        <w:pStyle w:val="Caption"/>
      </w:pPr>
      <w:r>
        <w:br w:type="page"/>
      </w:r>
      <w:bookmarkStart w:id="808" w:name="_Ref343502649"/>
      <w:r w:rsidR="00BE14D5">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2140B">
        <w:rPr>
          <w:noProof/>
        </w:rPr>
        <w:t>144</w:t>
      </w:r>
      <w:r w:rsidR="004E20BD">
        <w:rPr>
          <w:noProof/>
        </w:rPr>
        <w:fldChar w:fldCharType="end"/>
      </w:r>
      <w:r w:rsidR="00BE14D5">
        <w:t>: CMV Negative Cellular Products* and Issue Blood Component</w:t>
      </w:r>
      <w:bookmarkEnd w:id="808"/>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F21A5BD"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F01B24B"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18"/>
                <w:szCs w:val="18"/>
              </w:rPr>
              <w:t>CMV Negative Cellular Products</w:t>
            </w:r>
          </w:p>
        </w:tc>
      </w:tr>
      <w:tr w:rsidR="009125FD" w:rsidRPr="005C5D59" w14:paraId="6D1F34E8"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8E009D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5E76B0D"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02D70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9FFBA0C"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915965"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BAEC679"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13D917B"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 xml:space="preserve">CMV negative cellular products*  </w:t>
            </w:r>
          </w:p>
        </w:tc>
        <w:tc>
          <w:tcPr>
            <w:tcW w:w="1469" w:type="dxa"/>
            <w:tcBorders>
              <w:top w:val="single" w:sz="4" w:space="0" w:color="000000"/>
              <w:left w:val="single" w:sz="4" w:space="0" w:color="000000"/>
              <w:right w:val="single" w:sz="4" w:space="0" w:color="000000"/>
            </w:tcBorders>
            <w:shd w:val="pct10" w:color="auto" w:fill="auto"/>
            <w:vAlign w:val="center"/>
            <w:hideMark/>
          </w:tcPr>
          <w:p w14:paraId="1202F66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BLOOD CELLS</w:t>
            </w:r>
          </w:p>
          <w:p w14:paraId="16B465C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 </w:t>
            </w:r>
          </w:p>
          <w:p w14:paraId="21B237C6"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14:paraId="4D1279A6"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8D1C38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CMV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0246CC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130E42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69657E0" w14:textId="77777777" w:rsidTr="009125FD">
        <w:trPr>
          <w:cantSplit/>
          <w:trHeight w:val="1863"/>
        </w:trPr>
        <w:tc>
          <w:tcPr>
            <w:tcW w:w="1843" w:type="dxa"/>
            <w:vMerge/>
            <w:tcBorders>
              <w:left w:val="single" w:sz="4" w:space="0" w:color="000000"/>
              <w:right w:val="single" w:sz="4" w:space="0" w:color="000000"/>
            </w:tcBorders>
            <w:vAlign w:val="bottom"/>
          </w:tcPr>
          <w:p w14:paraId="7B011A5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745CB50D" w14:textId="77777777" w:rsidR="009125FD" w:rsidRDefault="009125FD" w:rsidP="009125FD">
            <w:pPr>
              <w:jc w:val="center"/>
              <w:rPr>
                <w:rFonts w:ascii="Arial" w:hAnsi="Arial" w:cs="Arial"/>
                <w:sz w:val="18"/>
                <w:szCs w:val="18"/>
              </w:rPr>
            </w:pPr>
            <w:r w:rsidRPr="005C5D59">
              <w:rPr>
                <w:rFonts w:ascii="Arial" w:hAnsi="Arial" w:cs="Arial"/>
                <w:sz w:val="18"/>
                <w:szCs w:val="18"/>
              </w:rPr>
              <w:t>RED BLOOD CELLS</w:t>
            </w:r>
          </w:p>
          <w:p w14:paraId="239AA32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 </w:t>
            </w:r>
          </w:p>
          <w:p w14:paraId="7E7179C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625B0351" w14:textId="77777777" w:rsidR="009125FD" w:rsidRDefault="009125FD" w:rsidP="009125FD">
            <w:pPr>
              <w:jc w:val="center"/>
              <w:rPr>
                <w:rFonts w:ascii="Arial" w:hAnsi="Arial" w:cs="Arial"/>
                <w:sz w:val="18"/>
                <w:szCs w:val="18"/>
              </w:rPr>
            </w:pPr>
          </w:p>
          <w:p w14:paraId="589B23D9"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52BB2B79" w14:textId="77777777" w:rsidR="009125FD" w:rsidRDefault="009125FD" w:rsidP="009125FD">
            <w:pPr>
              <w:jc w:val="center"/>
              <w:rPr>
                <w:rFonts w:ascii="Arial" w:hAnsi="Arial" w:cs="Arial"/>
                <w:color w:val="000000"/>
                <w:sz w:val="18"/>
                <w:szCs w:val="18"/>
              </w:rPr>
            </w:pPr>
          </w:p>
          <w:p w14:paraId="717FB385"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4B16EB1A"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494632F7"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251E0480" w14:textId="77777777" w:rsidR="009125FD" w:rsidRPr="000E5D20" w:rsidRDefault="009125FD" w:rsidP="009125FD">
            <w:pPr>
              <w:ind w:left="18"/>
              <w:rPr>
                <w:rFonts w:ascii="Arial" w:hAnsi="Arial" w:cs="Arial"/>
                <w:sz w:val="18"/>
                <w:szCs w:val="18"/>
              </w:rPr>
            </w:pPr>
            <w:r w:rsidRPr="000E5D20">
              <w:rPr>
                <w:rFonts w:ascii="Arial" w:hAnsi="Arial" w:cs="Arial"/>
                <w:noProof/>
                <w:sz w:val="18"/>
                <w:szCs w:val="18"/>
              </w:rPr>
              <w:t>Technologist</w:t>
            </w:r>
          </w:p>
          <w:p w14:paraId="0B9F6304" w14:textId="77777777" w:rsidR="009125FD" w:rsidRPr="00836EE2" w:rsidRDefault="009125FD" w:rsidP="009125FD">
            <w:pPr>
              <w:ind w:left="18"/>
              <w:rPr>
                <w:rFonts w:ascii="Arial" w:hAnsi="Arial" w:cs="Arial"/>
                <w:sz w:val="18"/>
                <w:szCs w:val="18"/>
              </w:rPr>
            </w:pPr>
          </w:p>
          <w:p w14:paraId="7CA652FC" w14:textId="77777777" w:rsidR="009125FD" w:rsidRPr="000E5D20" w:rsidRDefault="009125FD" w:rsidP="009125FD">
            <w:pPr>
              <w:ind w:left="18"/>
              <w:rPr>
                <w:rFonts w:ascii="Arial" w:hAnsi="Arial" w:cs="Arial"/>
                <w:noProof/>
                <w:sz w:val="18"/>
                <w:szCs w:val="18"/>
              </w:rPr>
            </w:pPr>
            <w:r w:rsidRPr="000E5D2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13CA9924"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E61BCD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715D7AE" w14:textId="77777777" w:rsidTr="009125FD">
        <w:trPr>
          <w:cantSplit/>
          <w:trHeight w:val="2898"/>
        </w:trPr>
        <w:tc>
          <w:tcPr>
            <w:tcW w:w="1843" w:type="dxa"/>
            <w:vMerge/>
            <w:tcBorders>
              <w:left w:val="single" w:sz="4" w:space="0" w:color="000000"/>
              <w:right w:val="single" w:sz="4" w:space="0" w:color="000000"/>
            </w:tcBorders>
            <w:vAlign w:val="bottom"/>
          </w:tcPr>
          <w:p w14:paraId="30B60910"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528678BD"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BD2C0E8" w14:textId="77777777" w:rsidR="009125FD" w:rsidRDefault="009125FD" w:rsidP="009125FD">
            <w:pPr>
              <w:jc w:val="center"/>
              <w:rPr>
                <w:rFonts w:ascii="Arial" w:hAnsi="Arial" w:cs="Arial"/>
                <w:sz w:val="18"/>
                <w:szCs w:val="18"/>
              </w:rPr>
            </w:pPr>
          </w:p>
          <w:p w14:paraId="2F3F3A6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27AF7AA0" w14:textId="77777777" w:rsidR="009125FD" w:rsidRDefault="009125FD" w:rsidP="009125FD">
            <w:pPr>
              <w:jc w:val="center"/>
              <w:rPr>
                <w:rFonts w:ascii="Arial" w:hAnsi="Arial" w:cs="Arial"/>
                <w:sz w:val="18"/>
                <w:szCs w:val="18"/>
              </w:rPr>
            </w:pPr>
          </w:p>
          <w:p w14:paraId="1200085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264DD97D" w14:textId="77777777" w:rsidR="009125FD" w:rsidRDefault="009125FD" w:rsidP="009125FD">
            <w:pPr>
              <w:jc w:val="center"/>
              <w:rPr>
                <w:rFonts w:ascii="Arial" w:hAnsi="Arial" w:cs="Arial"/>
                <w:color w:val="000000"/>
                <w:sz w:val="18"/>
                <w:szCs w:val="18"/>
              </w:rPr>
            </w:pPr>
          </w:p>
          <w:p w14:paraId="139D5400"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15AC3156"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09ED5F9A"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727942A0"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Lead Technologist</w:t>
            </w:r>
          </w:p>
          <w:p w14:paraId="30FDF05B"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Traditional Supervisor</w:t>
            </w:r>
          </w:p>
          <w:p w14:paraId="18FAB332"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Enhanced Supervisor</w:t>
            </w:r>
          </w:p>
          <w:p w14:paraId="64B93A5C"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Administrator/Supervisor</w:t>
            </w:r>
          </w:p>
          <w:p w14:paraId="3100DA47"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08C29D2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w:t>
            </w:r>
            <w:r w:rsidRPr="0033381C">
              <w:rPr>
                <w:rFonts w:ascii="Arial" w:hAnsi="Arial" w:cs="Arial"/>
                <w:i/>
                <w:sz w:val="18"/>
                <w:szCs w:val="18"/>
              </w:rPr>
              <w:t xml:space="preserve">s </w:t>
            </w:r>
            <w:r w:rsidRPr="0033381C">
              <w:rPr>
                <w:rFonts w:ascii="Arial" w:hAnsi="Arial" w:cs="Arial"/>
                <w:sz w:val="18"/>
                <w:szCs w:val="18"/>
              </w:rPr>
              <w:t>CMV Negative Cellular Products</w:t>
            </w:r>
            <w:r w:rsidRPr="0033381C">
              <w:rPr>
                <w:rFonts w:ascii="Arial" w:hAnsi="Arial" w:cs="Arial"/>
                <w:i/>
                <w:sz w:val="18"/>
                <w:szCs w:val="18"/>
              </w:rPr>
              <w:t xml:space="preserve"> Transfusion </w:t>
            </w:r>
            <w:r w:rsidRPr="00836EE2">
              <w:rPr>
                <w:rFonts w:ascii="Arial" w:hAnsi="Arial" w:cs="Arial"/>
                <w:i/>
                <w:sz w:val="18"/>
                <w:szCs w:val="18"/>
              </w:rPr>
              <w:t>Requirement is not satisfied</w:t>
            </w:r>
            <w:r w:rsidRPr="005C5D59">
              <w:rPr>
                <w:rFonts w:ascii="Arial" w:hAnsi="Arial" w:cs="Arial"/>
                <w:sz w:val="18"/>
                <w:szCs w:val="18"/>
              </w:rPr>
              <w:t xml:space="preserve"> and prompts the user whether to proceed. </w:t>
            </w:r>
          </w:p>
          <w:p w14:paraId="2D12AB7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4048E213" w14:textId="1385DD22"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C0013D1"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4BAE68EA" w14:textId="77777777" w:rsidR="00D32A05" w:rsidRPr="001C29FC" w:rsidRDefault="00D32A05" w:rsidP="00D32A05">
      <w:pPr>
        <w:pStyle w:val="Heading2"/>
      </w:pPr>
      <w:r>
        <w:br w:type="page"/>
      </w:r>
      <w:bookmarkStart w:id="809" w:name="_Ref139877903"/>
      <w:bookmarkStart w:id="810" w:name="_Toc355768163"/>
      <w:bookmarkStart w:id="811" w:name="_Toc358977308"/>
      <w:bookmarkStart w:id="812" w:name="_Toc163645051"/>
      <w:bookmarkStart w:id="813" w:name="_Toc54684874"/>
      <w:bookmarkStart w:id="814" w:name="_Toc137529672"/>
      <w:r w:rsidRPr="001C29FC">
        <w:lastRenderedPageBreak/>
        <w:t xml:space="preserve">Appendix </w:t>
      </w:r>
      <w:r w:rsidR="000A1A0F">
        <w:t>M</w:t>
      </w:r>
      <w:r w:rsidRPr="001C29FC">
        <w:t>: Workload Process Mapping to Application Option Table</w:t>
      </w:r>
      <w:bookmarkEnd w:id="809"/>
      <w:bookmarkEnd w:id="810"/>
      <w:bookmarkEnd w:id="811"/>
      <w:bookmarkEnd w:id="812"/>
      <w:r w:rsidR="00601D23">
        <w:t xml:space="preserve"> </w:t>
      </w:r>
      <w:r w:rsidR="00601D23" w:rsidRPr="00601D23">
        <w:rPr>
          <w:rFonts w:ascii="Arial Bold" w:hAnsi="Arial Bold"/>
          <w:vanish/>
        </w:rPr>
        <w:t>DR 4679</w:t>
      </w:r>
      <w:r w:rsidRPr="001C29FC">
        <w:fldChar w:fldCharType="begin"/>
      </w:r>
      <w:r w:rsidRPr="001C29FC">
        <w:instrText xml:space="preserve"> XE "Workload Process Mapping to Application Option Table" </w:instrText>
      </w:r>
      <w:r w:rsidRPr="001C29FC">
        <w:fldChar w:fldCharType="end"/>
      </w:r>
    </w:p>
    <w:bookmarkEnd w:id="813"/>
    <w:bookmarkEnd w:id="814"/>
    <w:p w14:paraId="7CFBBBAF" w14:textId="59DDFF06" w:rsidR="00D32A05" w:rsidRPr="001C29FC" w:rsidRDefault="00EE455E" w:rsidP="00D32A05">
      <w:pPr>
        <w:pStyle w:val="BodyText"/>
      </w:pPr>
      <w:r w:rsidRPr="001C29FC">
        <w:t xml:space="preserve">Table </w:t>
      </w:r>
      <w:r>
        <w:rPr>
          <w:noProof/>
        </w:rPr>
        <w:t>37</w:t>
      </w:r>
      <w:r w:rsidR="00D544AC">
        <w:t xml:space="preserve"> </w:t>
      </w:r>
      <w:r w:rsidR="00D32A05" w:rsidRPr="001C29FC">
        <w:t>associates record saves with workload processes. The data fields identified for transmission at the completion of a Workload Event are based on current VistA workload-related files and fields. VBECS will transmit information to a new flat file. There are no donor workload types in VBECS.</w:t>
      </w:r>
    </w:p>
    <w:p w14:paraId="605C313E" w14:textId="79BDAE4D" w:rsidR="00D32A05" w:rsidRPr="001C29FC" w:rsidRDefault="00D32A05" w:rsidP="00D32A05">
      <w:pPr>
        <w:pStyle w:val="Caption"/>
      </w:pPr>
      <w:bookmarkStart w:id="815" w:name="_Ref257016527"/>
      <w:bookmarkStart w:id="816" w:name="_Ref256080480"/>
      <w:r w:rsidRPr="001C29FC">
        <w:t xml:space="preserve">Table </w:t>
      </w:r>
      <w:r w:rsidR="004E20BD">
        <w:rPr>
          <w:noProof/>
        </w:rPr>
        <w:fldChar w:fldCharType="begin"/>
      </w:r>
      <w:r w:rsidR="004E20BD">
        <w:rPr>
          <w:noProof/>
        </w:rPr>
        <w:instrText xml:space="preserve"> SEQ Table \* ARABIC </w:instrText>
      </w:r>
      <w:r w:rsidR="004E20BD">
        <w:rPr>
          <w:noProof/>
        </w:rPr>
        <w:fldChar w:fldCharType="separate"/>
      </w:r>
      <w:r w:rsidR="00E2140B">
        <w:rPr>
          <w:noProof/>
        </w:rPr>
        <w:t>37</w:t>
      </w:r>
      <w:r w:rsidR="004E20BD">
        <w:rPr>
          <w:noProof/>
        </w:rPr>
        <w:fldChar w:fldCharType="end"/>
      </w:r>
      <w:bookmarkEnd w:id="815"/>
      <w:r w:rsidRPr="001C29FC">
        <w:t>: Workload Process Mapping to Application Option</w:t>
      </w:r>
      <w:r w:rsidR="00812371">
        <w:fldChar w:fldCharType="begin"/>
      </w:r>
      <w:r w:rsidR="00812371">
        <w:instrText xml:space="preserve"> XE "Tables:Workload Process Mapping to Application Option" </w:instrText>
      </w:r>
      <w:r w:rsidR="00812371">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2"/>
        <w:gridCol w:w="1633"/>
        <w:gridCol w:w="4482"/>
      </w:tblGrid>
      <w:tr w:rsidR="00D32A05" w:rsidRPr="001C29FC" w14:paraId="740561A9" w14:textId="77777777" w:rsidTr="000A750D">
        <w:trPr>
          <w:cantSplit/>
          <w:tblHeader/>
        </w:trPr>
        <w:tc>
          <w:tcPr>
            <w:tcW w:w="1803" w:type="dxa"/>
            <w:tcBorders>
              <w:bottom w:val="single" w:sz="4" w:space="0" w:color="auto"/>
            </w:tcBorders>
            <w:shd w:val="clear" w:color="auto" w:fill="C0C0C0"/>
            <w:vAlign w:val="bottom"/>
          </w:tcPr>
          <w:bookmarkEnd w:id="816"/>
          <w:p w14:paraId="4BD9FD5A" w14:textId="77777777" w:rsidR="00D32A05" w:rsidRPr="001C29FC" w:rsidRDefault="00D32A05" w:rsidP="00D32A05">
            <w:pPr>
              <w:pStyle w:val="TableText"/>
              <w:rPr>
                <w:b/>
              </w:rPr>
            </w:pPr>
            <w:r w:rsidRPr="001C29FC">
              <w:rPr>
                <w:b/>
              </w:rPr>
              <w:t>Record Save Option</w:t>
            </w:r>
          </w:p>
        </w:tc>
        <w:tc>
          <w:tcPr>
            <w:tcW w:w="1442" w:type="dxa"/>
            <w:tcBorders>
              <w:bottom w:val="single" w:sz="4" w:space="0" w:color="auto"/>
            </w:tcBorders>
            <w:shd w:val="clear" w:color="auto" w:fill="C0C0C0"/>
            <w:vAlign w:val="bottom"/>
          </w:tcPr>
          <w:p w14:paraId="04D939C5" w14:textId="77777777" w:rsidR="00D32A05" w:rsidRPr="001C29FC" w:rsidRDefault="00D32A05" w:rsidP="00D32A05">
            <w:pPr>
              <w:pStyle w:val="TableText"/>
              <w:rPr>
                <w:b/>
              </w:rPr>
            </w:pPr>
            <w:r w:rsidRPr="001C29FC">
              <w:rPr>
                <w:b/>
              </w:rPr>
              <w:t>VBECS Process</w:t>
            </w:r>
          </w:p>
        </w:tc>
        <w:tc>
          <w:tcPr>
            <w:tcW w:w="1633" w:type="dxa"/>
            <w:tcBorders>
              <w:bottom w:val="single" w:sz="4" w:space="0" w:color="auto"/>
            </w:tcBorders>
            <w:shd w:val="clear" w:color="auto" w:fill="C0C0C0"/>
            <w:vAlign w:val="bottom"/>
          </w:tcPr>
          <w:p w14:paraId="1C89E667" w14:textId="77777777" w:rsidR="00D32A05" w:rsidRPr="001C29FC" w:rsidRDefault="00D32A05" w:rsidP="00D32A05">
            <w:pPr>
              <w:pStyle w:val="TableText"/>
              <w:rPr>
                <w:b/>
              </w:rPr>
            </w:pPr>
            <w:r w:rsidRPr="001C29FC">
              <w:rPr>
                <w:b/>
              </w:rPr>
              <w:t>Transaction Type [P (Patient), U (Unit), M (Miscellaneous)]</w:t>
            </w:r>
          </w:p>
        </w:tc>
        <w:tc>
          <w:tcPr>
            <w:tcW w:w="4482" w:type="dxa"/>
            <w:tcBorders>
              <w:bottom w:val="single" w:sz="4" w:space="0" w:color="auto"/>
            </w:tcBorders>
            <w:shd w:val="clear" w:color="auto" w:fill="C0C0C0"/>
            <w:vAlign w:val="bottom"/>
          </w:tcPr>
          <w:p w14:paraId="7158BADB" w14:textId="77777777" w:rsidR="00D32A05" w:rsidRPr="001C29FC" w:rsidRDefault="00D32A05" w:rsidP="00D32A05">
            <w:pPr>
              <w:pStyle w:val="TableText"/>
              <w:rPr>
                <w:b/>
              </w:rPr>
            </w:pPr>
            <w:r w:rsidRPr="001C29FC">
              <w:rPr>
                <w:b/>
              </w:rPr>
              <w:t xml:space="preserve">Explanation </w:t>
            </w:r>
          </w:p>
        </w:tc>
      </w:tr>
      <w:tr w:rsidR="00D32A05" w:rsidRPr="001C29FC" w14:paraId="2BE45ABA" w14:textId="77777777" w:rsidTr="00D32A05">
        <w:trPr>
          <w:cantSplit/>
        </w:trPr>
        <w:tc>
          <w:tcPr>
            <w:tcW w:w="1803" w:type="dxa"/>
            <w:shd w:val="clear" w:color="auto" w:fill="auto"/>
            <w:vAlign w:val="bottom"/>
          </w:tcPr>
          <w:p w14:paraId="0D80853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168322FD" w14:textId="77777777" w:rsidR="00D32A05" w:rsidRPr="001C29FC" w:rsidRDefault="00D32A05" w:rsidP="00D32A05">
            <w:pPr>
              <w:pStyle w:val="TableText"/>
              <w:rPr>
                <w:color w:val="000000"/>
                <w:szCs w:val="18"/>
              </w:rPr>
            </w:pPr>
            <w:r w:rsidRPr="001C29FC">
              <w:rPr>
                <w:color w:val="000000"/>
                <w:szCs w:val="18"/>
              </w:rPr>
              <w:t>ABO Forward and reverse typing (patient)</w:t>
            </w:r>
          </w:p>
        </w:tc>
        <w:tc>
          <w:tcPr>
            <w:tcW w:w="1633" w:type="dxa"/>
            <w:shd w:val="clear" w:color="auto" w:fill="auto"/>
          </w:tcPr>
          <w:p w14:paraId="3FE20A7E"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DB961A8" w14:textId="77777777" w:rsidR="00D32A05" w:rsidRPr="001C29FC" w:rsidRDefault="00D32A05" w:rsidP="00D32A05">
            <w:pPr>
              <w:pStyle w:val="TableText"/>
              <w:rPr>
                <w:color w:val="000000"/>
                <w:szCs w:val="18"/>
              </w:rPr>
            </w:pPr>
            <w:r w:rsidRPr="001C29FC">
              <w:rPr>
                <w:color w:val="000000"/>
                <w:szCs w:val="18"/>
              </w:rPr>
              <w:t>An ABO/Rh test for “pre” or “post” is enabled and a valid interpretation other than Not Tested is selected. A workload event is accrued separately for “Pre” and “Post” entries.</w:t>
            </w:r>
          </w:p>
        </w:tc>
      </w:tr>
      <w:tr w:rsidR="00D32A05" w:rsidRPr="001C29FC" w14:paraId="007B18B4" w14:textId="77777777" w:rsidTr="00D32A05">
        <w:trPr>
          <w:cantSplit/>
        </w:trPr>
        <w:tc>
          <w:tcPr>
            <w:tcW w:w="1803" w:type="dxa"/>
            <w:shd w:val="clear" w:color="auto" w:fill="auto"/>
            <w:vAlign w:val="bottom"/>
          </w:tcPr>
          <w:p w14:paraId="72794C3D" w14:textId="77777777" w:rsidR="00D32A05" w:rsidRPr="001C29FC" w:rsidRDefault="00D32A05" w:rsidP="00D32A05">
            <w:pPr>
              <w:pStyle w:val="TableText"/>
            </w:pPr>
            <w:r w:rsidRPr="001C29FC">
              <w:t>Record Patient ABO/Rh</w:t>
            </w:r>
          </w:p>
        </w:tc>
        <w:tc>
          <w:tcPr>
            <w:tcW w:w="1442" w:type="dxa"/>
            <w:vMerge/>
            <w:shd w:val="clear" w:color="auto" w:fill="auto"/>
          </w:tcPr>
          <w:p w14:paraId="326EA29E" w14:textId="77777777" w:rsidR="00D32A05" w:rsidRPr="001C29FC" w:rsidRDefault="00D32A05" w:rsidP="00D32A05">
            <w:pPr>
              <w:pStyle w:val="TableText"/>
              <w:rPr>
                <w:color w:val="000000"/>
                <w:szCs w:val="18"/>
              </w:rPr>
            </w:pPr>
          </w:p>
        </w:tc>
        <w:tc>
          <w:tcPr>
            <w:tcW w:w="1633" w:type="dxa"/>
            <w:shd w:val="clear" w:color="auto" w:fill="auto"/>
          </w:tcPr>
          <w:p w14:paraId="596154F3"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604C80C"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CPRS-ordered ABO/Rh test is performed.</w:t>
            </w:r>
          </w:p>
        </w:tc>
      </w:tr>
      <w:tr w:rsidR="00D32A05" w:rsidRPr="001C29FC" w14:paraId="289CB147" w14:textId="77777777" w:rsidTr="00D32A05">
        <w:trPr>
          <w:cantSplit/>
        </w:trPr>
        <w:tc>
          <w:tcPr>
            <w:tcW w:w="1803" w:type="dxa"/>
            <w:shd w:val="clear" w:color="auto" w:fill="auto"/>
            <w:vAlign w:val="bottom"/>
          </w:tcPr>
          <w:p w14:paraId="0D6F688B" w14:textId="77777777" w:rsidR="00D32A05" w:rsidRPr="001C29FC" w:rsidRDefault="00D32A05" w:rsidP="00D32A05">
            <w:pPr>
              <w:pStyle w:val="TableText"/>
            </w:pPr>
            <w:r w:rsidRPr="001C29FC">
              <w:t>Invalidate Patient Test Results*</w:t>
            </w:r>
          </w:p>
        </w:tc>
        <w:tc>
          <w:tcPr>
            <w:tcW w:w="1442" w:type="dxa"/>
            <w:vMerge/>
            <w:shd w:val="clear" w:color="auto" w:fill="auto"/>
          </w:tcPr>
          <w:p w14:paraId="060A43FD" w14:textId="77777777" w:rsidR="00D32A05" w:rsidRPr="001C29FC" w:rsidRDefault="00D32A05" w:rsidP="00D32A05">
            <w:pPr>
              <w:pStyle w:val="TableText"/>
              <w:rPr>
                <w:color w:val="000000"/>
                <w:szCs w:val="18"/>
              </w:rPr>
            </w:pPr>
          </w:p>
        </w:tc>
        <w:tc>
          <w:tcPr>
            <w:tcW w:w="1633" w:type="dxa"/>
            <w:shd w:val="clear" w:color="auto" w:fill="auto"/>
          </w:tcPr>
          <w:p w14:paraId="52DEF55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E763A05" w14:textId="77777777" w:rsidR="00D32A05" w:rsidRPr="001C29FC" w:rsidRDefault="00D32A05" w:rsidP="00D32A05">
            <w:pPr>
              <w:pStyle w:val="TableText"/>
              <w:rPr>
                <w:szCs w:val="18"/>
              </w:rPr>
            </w:pPr>
            <w:r w:rsidRPr="001C29FC">
              <w:rPr>
                <w:szCs w:val="18"/>
              </w:rPr>
              <w:t>Accrue workload when a completed ABO/Rh test is invalidated.</w:t>
            </w:r>
          </w:p>
        </w:tc>
      </w:tr>
      <w:tr w:rsidR="00D32A05" w:rsidRPr="001C29FC" w14:paraId="0E9BD986" w14:textId="77777777" w:rsidTr="00D32A05">
        <w:trPr>
          <w:cantSplit/>
          <w:tblHeader/>
        </w:trPr>
        <w:tc>
          <w:tcPr>
            <w:tcW w:w="1803" w:type="dxa"/>
            <w:shd w:val="clear" w:color="auto" w:fill="auto"/>
            <w:vAlign w:val="bottom"/>
          </w:tcPr>
          <w:p w14:paraId="1E49B402" w14:textId="77777777" w:rsidR="00D32A05" w:rsidRPr="001C29FC" w:rsidRDefault="00D32A05" w:rsidP="00D32A05">
            <w:pPr>
              <w:pStyle w:val="TableText"/>
            </w:pPr>
            <w:r w:rsidRPr="001C29FC">
              <w:t>Record Patient ABO/Rh</w:t>
            </w:r>
          </w:p>
        </w:tc>
        <w:tc>
          <w:tcPr>
            <w:tcW w:w="1442" w:type="dxa"/>
            <w:vMerge w:val="restart"/>
            <w:shd w:val="clear" w:color="auto" w:fill="auto"/>
          </w:tcPr>
          <w:p w14:paraId="0C8B6195" w14:textId="77777777" w:rsidR="00D32A05" w:rsidRPr="001C29FC" w:rsidRDefault="00D32A05" w:rsidP="00D32A05">
            <w:pPr>
              <w:pStyle w:val="TableText"/>
              <w:rPr>
                <w:color w:val="000000"/>
                <w:szCs w:val="18"/>
              </w:rPr>
            </w:pPr>
            <w:r w:rsidRPr="001C29FC">
              <w:rPr>
                <w:color w:val="000000"/>
                <w:szCs w:val="18"/>
              </w:rPr>
              <w:t>ABO Forward and reverse typing (patient) Repeat Test</w:t>
            </w:r>
          </w:p>
        </w:tc>
        <w:tc>
          <w:tcPr>
            <w:tcW w:w="1633" w:type="dxa"/>
            <w:shd w:val="clear" w:color="auto" w:fill="auto"/>
          </w:tcPr>
          <w:p w14:paraId="5A2B551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B6C2387"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ABO/Rh test is performed, completed, and saved.</w:t>
            </w:r>
          </w:p>
        </w:tc>
      </w:tr>
      <w:tr w:rsidR="00D32A05" w:rsidRPr="001C29FC" w14:paraId="3BA13E34" w14:textId="77777777" w:rsidTr="00D32A05">
        <w:trPr>
          <w:cantSplit/>
          <w:tblHeader/>
        </w:trPr>
        <w:tc>
          <w:tcPr>
            <w:tcW w:w="1803" w:type="dxa"/>
            <w:shd w:val="clear" w:color="auto" w:fill="auto"/>
            <w:vAlign w:val="bottom"/>
          </w:tcPr>
          <w:p w14:paraId="0BF4973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415AC36C" w14:textId="77777777" w:rsidR="00D32A05" w:rsidRPr="001C29FC" w:rsidRDefault="00D32A05" w:rsidP="00D32A05">
            <w:pPr>
              <w:pStyle w:val="TableText"/>
              <w:rPr>
                <w:color w:val="000000"/>
                <w:szCs w:val="18"/>
              </w:rPr>
            </w:pPr>
          </w:p>
        </w:tc>
        <w:tc>
          <w:tcPr>
            <w:tcW w:w="1633" w:type="dxa"/>
            <w:shd w:val="clear" w:color="auto" w:fill="auto"/>
          </w:tcPr>
          <w:p w14:paraId="5207CBEB"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026CD5E" w14:textId="77777777" w:rsidR="00D32A05" w:rsidRPr="001C29FC" w:rsidRDefault="00D32A05" w:rsidP="00D32A05">
            <w:pPr>
              <w:pStyle w:val="TableText"/>
              <w:rPr>
                <w:szCs w:val="18"/>
              </w:rPr>
            </w:pPr>
            <w:r w:rsidRPr="001C29FC">
              <w:rPr>
                <w:szCs w:val="18"/>
              </w:rPr>
              <w:t>Accrue workload when a reflex or repeat ABO/Rh test is invalidated.</w:t>
            </w:r>
          </w:p>
        </w:tc>
      </w:tr>
      <w:tr w:rsidR="00D32A05" w:rsidRPr="001C29FC" w14:paraId="37C2B7A7" w14:textId="77777777" w:rsidTr="00D32A05">
        <w:trPr>
          <w:cantSplit/>
          <w:tblHeader/>
        </w:trPr>
        <w:tc>
          <w:tcPr>
            <w:tcW w:w="1803" w:type="dxa"/>
            <w:shd w:val="clear" w:color="auto" w:fill="auto"/>
            <w:vAlign w:val="bottom"/>
          </w:tcPr>
          <w:p w14:paraId="33DC2D6E" w14:textId="77777777" w:rsidR="00D32A05" w:rsidRPr="001C29FC" w:rsidRDefault="00D32A05" w:rsidP="00D32A05">
            <w:pPr>
              <w:pStyle w:val="TableText"/>
            </w:pPr>
            <w:r w:rsidRPr="001C29FC">
              <w:t>ABO/Rh Confirmation</w:t>
            </w:r>
          </w:p>
        </w:tc>
        <w:tc>
          <w:tcPr>
            <w:tcW w:w="1442" w:type="dxa"/>
            <w:vMerge w:val="restart"/>
            <w:shd w:val="clear" w:color="auto" w:fill="auto"/>
          </w:tcPr>
          <w:p w14:paraId="20C794F4" w14:textId="77777777" w:rsidR="00D32A05" w:rsidRPr="001C29FC" w:rsidRDefault="00D32A05" w:rsidP="00D32A05">
            <w:pPr>
              <w:pStyle w:val="TableText"/>
              <w:rPr>
                <w:color w:val="000000"/>
                <w:szCs w:val="18"/>
              </w:rPr>
            </w:pPr>
            <w:r w:rsidRPr="001C29FC">
              <w:rPr>
                <w:color w:val="000000"/>
                <w:szCs w:val="18"/>
              </w:rPr>
              <w:t>ABO forward typing (unit)</w:t>
            </w:r>
          </w:p>
        </w:tc>
        <w:tc>
          <w:tcPr>
            <w:tcW w:w="1633" w:type="dxa"/>
            <w:shd w:val="clear" w:color="auto" w:fill="auto"/>
          </w:tcPr>
          <w:p w14:paraId="23AA0C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DB8708D" w14:textId="77777777" w:rsidR="00D32A05" w:rsidRPr="001C29FC" w:rsidRDefault="00D32A05" w:rsidP="00D32A05">
            <w:pPr>
              <w:pStyle w:val="TableText"/>
              <w:rPr>
                <w:color w:val="000000"/>
                <w:szCs w:val="18"/>
              </w:rPr>
            </w:pPr>
            <w:r w:rsidRPr="001C29FC">
              <w:rPr>
                <w:color w:val="000000"/>
                <w:szCs w:val="18"/>
              </w:rPr>
              <w:t>An ABO confirmation test is performed. When multiple units are selected in a batch, each unit in the batch accrues a workload event. Note: Workload generated during Anti-D testing is not included in the unit’s confirmation test. Workload is not accrued when an ABO or Rh discrepancy override is processed and VBECS releases all patient assignments. Workload is not accrued when VBECS quarantines the unit due to a discrepancy. There is no special handling for workload collection for additional confirmation tests on a unit.</w:t>
            </w:r>
          </w:p>
        </w:tc>
      </w:tr>
      <w:tr w:rsidR="00D32A05" w:rsidRPr="001C29FC" w14:paraId="4A2FFB2C" w14:textId="77777777" w:rsidTr="00D32A05">
        <w:trPr>
          <w:cantSplit/>
          <w:tblHeader/>
        </w:trPr>
        <w:tc>
          <w:tcPr>
            <w:tcW w:w="1803" w:type="dxa"/>
            <w:shd w:val="clear" w:color="auto" w:fill="auto"/>
            <w:vAlign w:val="bottom"/>
          </w:tcPr>
          <w:p w14:paraId="440C40C2" w14:textId="77777777" w:rsidR="00D32A05" w:rsidRPr="001C29FC" w:rsidRDefault="00D32A05" w:rsidP="00D32A05">
            <w:pPr>
              <w:pStyle w:val="TableText"/>
            </w:pPr>
            <w:r w:rsidRPr="001C29FC">
              <w:t>Edit Unit Information*</w:t>
            </w:r>
          </w:p>
        </w:tc>
        <w:tc>
          <w:tcPr>
            <w:tcW w:w="1442" w:type="dxa"/>
            <w:vMerge/>
            <w:shd w:val="clear" w:color="auto" w:fill="auto"/>
          </w:tcPr>
          <w:p w14:paraId="251D2A12" w14:textId="77777777" w:rsidR="00D32A05" w:rsidRPr="001C29FC" w:rsidRDefault="00D32A05" w:rsidP="00D32A05">
            <w:pPr>
              <w:pStyle w:val="TableText"/>
              <w:rPr>
                <w:color w:val="000000"/>
                <w:szCs w:val="18"/>
              </w:rPr>
            </w:pPr>
          </w:p>
        </w:tc>
        <w:tc>
          <w:tcPr>
            <w:tcW w:w="1633" w:type="dxa"/>
            <w:shd w:val="clear" w:color="auto" w:fill="auto"/>
          </w:tcPr>
          <w:p w14:paraId="6AE3B4F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CA2BCC1"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 confirmation test is invalidated.</w:t>
            </w:r>
          </w:p>
        </w:tc>
      </w:tr>
      <w:tr w:rsidR="00D32A05" w:rsidRPr="001C29FC" w14:paraId="07745057" w14:textId="77777777" w:rsidTr="00D32A05">
        <w:trPr>
          <w:cantSplit/>
          <w:tblHeader/>
        </w:trPr>
        <w:tc>
          <w:tcPr>
            <w:tcW w:w="1803" w:type="dxa"/>
            <w:shd w:val="clear" w:color="auto" w:fill="auto"/>
            <w:vAlign w:val="bottom"/>
          </w:tcPr>
          <w:p w14:paraId="2DC3B6A1" w14:textId="77777777" w:rsidR="00D32A05" w:rsidRPr="001C29FC" w:rsidRDefault="00D32A05" w:rsidP="00D32A05">
            <w:pPr>
              <w:pStyle w:val="TableText"/>
            </w:pPr>
            <w:r w:rsidRPr="001C29FC">
              <w:t>ABO/Rh Confirmation</w:t>
            </w:r>
          </w:p>
        </w:tc>
        <w:tc>
          <w:tcPr>
            <w:tcW w:w="1442" w:type="dxa"/>
            <w:vMerge w:val="restart"/>
            <w:shd w:val="clear" w:color="auto" w:fill="auto"/>
          </w:tcPr>
          <w:p w14:paraId="48420AB1" w14:textId="77777777" w:rsidR="00D32A05" w:rsidRPr="001C29FC" w:rsidRDefault="00D32A05" w:rsidP="00D32A05">
            <w:pPr>
              <w:pStyle w:val="TableText"/>
              <w:rPr>
                <w:color w:val="000000"/>
                <w:szCs w:val="18"/>
              </w:rPr>
            </w:pPr>
            <w:r w:rsidRPr="001C29FC">
              <w:rPr>
                <w:color w:val="000000"/>
                <w:szCs w:val="18"/>
              </w:rPr>
              <w:t>ABO/Rh forward typing (unit)</w:t>
            </w:r>
          </w:p>
        </w:tc>
        <w:tc>
          <w:tcPr>
            <w:tcW w:w="1633" w:type="dxa"/>
            <w:shd w:val="clear" w:color="auto" w:fill="auto"/>
          </w:tcPr>
          <w:p w14:paraId="28A0F7B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24C62BA" w14:textId="77777777" w:rsidR="00D32A05" w:rsidRPr="001C29FC" w:rsidRDefault="00D32A05" w:rsidP="00D32A05">
            <w:pPr>
              <w:pStyle w:val="TableText"/>
              <w:rPr>
                <w:color w:val="000000"/>
                <w:szCs w:val="18"/>
              </w:rPr>
            </w:pPr>
            <w:r w:rsidRPr="001C29FC">
              <w:rPr>
                <w:color w:val="000000"/>
                <w:szCs w:val="18"/>
              </w:rPr>
              <w:t>An ABO/Rh confirmation test is performed. When multiple units are selected in a batch, each unit in the batch accrues a workload event. Note: Workload generated during Anti-D is part of the unit’s confirmation test. Workload is not accrued when an ABO or Rh discrepancy override is processed and VBECS releases all patient assignments. Workload is not accrued when VBECS quarantines the unit due to a discrepancy. Any unit successfully confirmed accrues workload. For split modifications: workload is not inherited by split units. A split unit that requires confirmation accrues confirmation workload at the time of testing. There is no special handling for workload collection for additional confirmation tests on a unit.</w:t>
            </w:r>
          </w:p>
        </w:tc>
      </w:tr>
      <w:tr w:rsidR="00D32A05" w:rsidRPr="001C29FC" w14:paraId="734B920C" w14:textId="77777777" w:rsidTr="00D32A05">
        <w:trPr>
          <w:cantSplit/>
          <w:tblHeader/>
        </w:trPr>
        <w:tc>
          <w:tcPr>
            <w:tcW w:w="1803" w:type="dxa"/>
            <w:shd w:val="clear" w:color="auto" w:fill="auto"/>
            <w:vAlign w:val="bottom"/>
          </w:tcPr>
          <w:p w14:paraId="143ADA1F" w14:textId="77777777" w:rsidR="00D32A05" w:rsidRPr="001C29FC" w:rsidRDefault="00D32A05" w:rsidP="00D32A05">
            <w:pPr>
              <w:pStyle w:val="TableText"/>
            </w:pPr>
            <w:r w:rsidRPr="001C29FC">
              <w:t>Edit Unit Information*</w:t>
            </w:r>
          </w:p>
        </w:tc>
        <w:tc>
          <w:tcPr>
            <w:tcW w:w="1442" w:type="dxa"/>
            <w:vMerge/>
            <w:shd w:val="clear" w:color="auto" w:fill="auto"/>
          </w:tcPr>
          <w:p w14:paraId="30CE99CD" w14:textId="77777777" w:rsidR="00D32A05" w:rsidRPr="001C29FC" w:rsidRDefault="00D32A05" w:rsidP="00D32A05">
            <w:pPr>
              <w:pStyle w:val="TableText"/>
              <w:rPr>
                <w:color w:val="000000"/>
                <w:szCs w:val="18"/>
              </w:rPr>
            </w:pPr>
          </w:p>
        </w:tc>
        <w:tc>
          <w:tcPr>
            <w:tcW w:w="1633" w:type="dxa"/>
            <w:shd w:val="clear" w:color="auto" w:fill="auto"/>
          </w:tcPr>
          <w:p w14:paraId="00EF0C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DB9284A"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ABO/Rh confirmation test is invalidated.</w:t>
            </w:r>
          </w:p>
        </w:tc>
      </w:tr>
      <w:tr w:rsidR="00D32A05" w:rsidRPr="001C29FC" w14:paraId="2B53A10D" w14:textId="77777777" w:rsidTr="00D32A05">
        <w:trPr>
          <w:cantSplit/>
          <w:tblHeader/>
        </w:trPr>
        <w:tc>
          <w:tcPr>
            <w:tcW w:w="1803" w:type="dxa"/>
            <w:shd w:val="clear" w:color="auto" w:fill="auto"/>
          </w:tcPr>
          <w:p w14:paraId="352EC2C8" w14:textId="77777777" w:rsidR="00D32A05" w:rsidRPr="001C29FC" w:rsidRDefault="00D32A05" w:rsidP="00D32A05">
            <w:pPr>
              <w:pStyle w:val="TableText"/>
              <w:rPr>
                <w:szCs w:val="18"/>
              </w:rPr>
            </w:pPr>
            <w:r w:rsidRPr="001C29FC">
              <w:rPr>
                <w:szCs w:val="18"/>
              </w:rPr>
              <w:t>Accept Order</w:t>
            </w:r>
          </w:p>
        </w:tc>
        <w:tc>
          <w:tcPr>
            <w:tcW w:w="1442" w:type="dxa"/>
            <w:shd w:val="clear" w:color="auto" w:fill="auto"/>
          </w:tcPr>
          <w:p w14:paraId="5DF34633" w14:textId="77777777" w:rsidR="00D32A05" w:rsidRPr="001C29FC" w:rsidRDefault="00D32A05" w:rsidP="00D32A05">
            <w:pPr>
              <w:pStyle w:val="TableText"/>
              <w:rPr>
                <w:szCs w:val="18"/>
              </w:rPr>
            </w:pPr>
            <w:r w:rsidRPr="001C29FC">
              <w:rPr>
                <w:szCs w:val="18"/>
              </w:rPr>
              <w:t>Accept Order</w:t>
            </w:r>
          </w:p>
        </w:tc>
        <w:tc>
          <w:tcPr>
            <w:tcW w:w="1633" w:type="dxa"/>
            <w:shd w:val="clear" w:color="auto" w:fill="auto"/>
          </w:tcPr>
          <w:p w14:paraId="58D900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7FBA0C7" w14:textId="4A5077DE" w:rsidR="00D32A05" w:rsidRPr="001C29FC" w:rsidRDefault="00D32A05" w:rsidP="00D32A05">
            <w:pPr>
              <w:pStyle w:val="TableText"/>
              <w:rPr>
                <w:szCs w:val="18"/>
              </w:rPr>
            </w:pPr>
            <w:r w:rsidRPr="001C29FC">
              <w:rPr>
                <w:szCs w:val="18"/>
              </w:rPr>
              <w:t xml:space="preserve">Accrue workload when an order is accepted. When </w:t>
            </w:r>
            <w:r w:rsidR="00AE3B37" w:rsidRPr="001C29FC">
              <w:rPr>
                <w:szCs w:val="18"/>
              </w:rPr>
              <w:t>multiple orders</w:t>
            </w:r>
            <w:r w:rsidRPr="001C29FC">
              <w:rPr>
                <w:szCs w:val="18"/>
              </w:rPr>
              <w:t xml:space="preserve"> are selected, each order accrues workload.</w:t>
            </w:r>
          </w:p>
        </w:tc>
      </w:tr>
      <w:tr w:rsidR="00D32A05" w:rsidRPr="001C29FC" w14:paraId="47478126" w14:textId="77777777" w:rsidTr="00D32A05">
        <w:trPr>
          <w:cantSplit/>
          <w:tblHeader/>
        </w:trPr>
        <w:tc>
          <w:tcPr>
            <w:tcW w:w="1803" w:type="dxa"/>
            <w:shd w:val="clear" w:color="auto" w:fill="auto"/>
            <w:vAlign w:val="bottom"/>
          </w:tcPr>
          <w:p w14:paraId="42563063" w14:textId="77777777" w:rsidR="00D32A05" w:rsidRPr="001C29FC" w:rsidRDefault="00D32A05" w:rsidP="00D32A05">
            <w:pPr>
              <w:pStyle w:val="TableText"/>
            </w:pPr>
            <w:r w:rsidRPr="001C29FC">
              <w:lastRenderedPageBreak/>
              <w:t>Enter Antibody Identification Results</w:t>
            </w:r>
          </w:p>
        </w:tc>
        <w:tc>
          <w:tcPr>
            <w:tcW w:w="1442" w:type="dxa"/>
            <w:vMerge w:val="restart"/>
            <w:shd w:val="clear" w:color="auto" w:fill="auto"/>
          </w:tcPr>
          <w:p w14:paraId="7F8B166F" w14:textId="77777777" w:rsidR="00D32A05" w:rsidRPr="001C29FC" w:rsidRDefault="00D32A05" w:rsidP="00D32A05">
            <w:pPr>
              <w:pStyle w:val="TableText"/>
              <w:rPr>
                <w:color w:val="000000"/>
                <w:szCs w:val="18"/>
              </w:rPr>
            </w:pPr>
            <w:r w:rsidRPr="001C29FC">
              <w:rPr>
                <w:color w:val="000000"/>
                <w:szCs w:val="18"/>
              </w:rPr>
              <w:t>Antibody identification Work-Up</w:t>
            </w:r>
          </w:p>
        </w:tc>
        <w:tc>
          <w:tcPr>
            <w:tcW w:w="1633" w:type="dxa"/>
            <w:shd w:val="clear" w:color="auto" w:fill="auto"/>
          </w:tcPr>
          <w:p w14:paraId="15E8A3A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DBE75C" w14:textId="77777777" w:rsidR="00D32A05" w:rsidRPr="001C29FC" w:rsidRDefault="00D32A05" w:rsidP="00D32A05">
            <w:pPr>
              <w:pStyle w:val="TableText"/>
              <w:rPr>
                <w:color w:val="000000"/>
                <w:szCs w:val="18"/>
              </w:rPr>
            </w:pPr>
            <w:r w:rsidRPr="001C29FC">
              <w:rPr>
                <w:color w:val="000000"/>
                <w:szCs w:val="18"/>
              </w:rPr>
              <w:t>User enters additional workload associated with the individual reflex-ordered ABID. The selected VBECS multiplier will multiply against the VistA multiplier and display the (multiplication) product on the Division Workload Report.</w:t>
            </w:r>
          </w:p>
        </w:tc>
      </w:tr>
      <w:tr w:rsidR="00D32A05" w:rsidRPr="001C29FC" w14:paraId="1DB62068" w14:textId="77777777" w:rsidTr="00D32A05">
        <w:trPr>
          <w:cantSplit/>
          <w:tblHeader/>
        </w:trPr>
        <w:tc>
          <w:tcPr>
            <w:tcW w:w="1803" w:type="dxa"/>
            <w:shd w:val="clear" w:color="auto" w:fill="auto"/>
            <w:vAlign w:val="bottom"/>
          </w:tcPr>
          <w:p w14:paraId="1D3268A5"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1E5539D" w14:textId="77777777" w:rsidR="00D32A05" w:rsidRPr="001C29FC" w:rsidRDefault="00D32A05" w:rsidP="00D32A05">
            <w:pPr>
              <w:pStyle w:val="TableText"/>
              <w:rPr>
                <w:color w:val="000000"/>
                <w:szCs w:val="18"/>
              </w:rPr>
            </w:pPr>
          </w:p>
        </w:tc>
        <w:tc>
          <w:tcPr>
            <w:tcW w:w="1633" w:type="dxa"/>
            <w:shd w:val="clear" w:color="auto" w:fill="auto"/>
          </w:tcPr>
          <w:p w14:paraId="45C5876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E92ED3" w14:textId="77777777" w:rsidR="00D32A05" w:rsidRPr="001C29FC" w:rsidRDefault="00D32A05" w:rsidP="00D32A05">
            <w:pPr>
              <w:pStyle w:val="TableText"/>
              <w:rPr>
                <w:color w:val="000000"/>
                <w:szCs w:val="18"/>
              </w:rPr>
            </w:pPr>
            <w:r w:rsidRPr="001C29FC">
              <w:rPr>
                <w:color w:val="000000"/>
                <w:szCs w:val="18"/>
              </w:rPr>
              <w:t xml:space="preserve">Accrue workload when the ABID is invalidated. </w:t>
            </w:r>
          </w:p>
        </w:tc>
      </w:tr>
      <w:tr w:rsidR="00D32A05" w:rsidRPr="001C29FC" w14:paraId="03FACF23" w14:textId="77777777" w:rsidTr="00D32A05">
        <w:trPr>
          <w:cantSplit/>
          <w:tblHeader/>
        </w:trPr>
        <w:tc>
          <w:tcPr>
            <w:tcW w:w="1803" w:type="dxa"/>
            <w:shd w:val="clear" w:color="auto" w:fill="auto"/>
            <w:vAlign w:val="bottom"/>
          </w:tcPr>
          <w:p w14:paraId="6F0601C2"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47E505C" w14:textId="77777777" w:rsidR="00D32A05" w:rsidRPr="001C29FC" w:rsidRDefault="00D32A05" w:rsidP="00D32A05">
            <w:pPr>
              <w:pStyle w:val="TableText"/>
              <w:rPr>
                <w:color w:val="000000"/>
                <w:szCs w:val="18"/>
              </w:rPr>
            </w:pPr>
            <w:r w:rsidRPr="001C29FC">
              <w:rPr>
                <w:color w:val="000000"/>
                <w:szCs w:val="18"/>
              </w:rPr>
              <w:t>Antibody Screen (patient)</w:t>
            </w:r>
          </w:p>
        </w:tc>
        <w:tc>
          <w:tcPr>
            <w:tcW w:w="1633" w:type="dxa"/>
            <w:shd w:val="clear" w:color="auto" w:fill="auto"/>
          </w:tcPr>
          <w:p w14:paraId="0CDDAE0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2F69AC11" w14:textId="77777777" w:rsidR="00D32A05" w:rsidRPr="001C29FC" w:rsidRDefault="00D32A05" w:rsidP="00D32A05">
            <w:pPr>
              <w:pStyle w:val="TableText"/>
              <w:rPr>
                <w:color w:val="000000"/>
                <w:szCs w:val="18"/>
              </w:rPr>
            </w:pPr>
            <w:r w:rsidRPr="001C29FC">
              <w:rPr>
                <w:color w:val="000000"/>
                <w:szCs w:val="18"/>
              </w:rPr>
              <w:t>An ABS test for “pre” or “post” is enabled and a valid interpretation other than Not Tested is selected. A workload event is accrued separately for “Pre” and “Post” entries.</w:t>
            </w:r>
          </w:p>
        </w:tc>
      </w:tr>
      <w:tr w:rsidR="00D32A05" w:rsidRPr="001C29FC" w14:paraId="28A84649" w14:textId="77777777" w:rsidTr="00D32A05">
        <w:trPr>
          <w:cantSplit/>
          <w:tblHeader/>
        </w:trPr>
        <w:tc>
          <w:tcPr>
            <w:tcW w:w="1803" w:type="dxa"/>
            <w:shd w:val="clear" w:color="auto" w:fill="auto"/>
            <w:vAlign w:val="bottom"/>
          </w:tcPr>
          <w:p w14:paraId="47E925B7" w14:textId="77777777" w:rsidR="00D32A05" w:rsidRPr="001C29FC" w:rsidRDefault="00D32A05" w:rsidP="00D32A05">
            <w:pPr>
              <w:pStyle w:val="TableText"/>
            </w:pPr>
            <w:r w:rsidRPr="001C29FC">
              <w:t>Record Patient Antibody Screen</w:t>
            </w:r>
          </w:p>
        </w:tc>
        <w:tc>
          <w:tcPr>
            <w:tcW w:w="1442" w:type="dxa"/>
            <w:vMerge/>
            <w:shd w:val="clear" w:color="auto" w:fill="auto"/>
          </w:tcPr>
          <w:p w14:paraId="5658B991" w14:textId="77777777" w:rsidR="00D32A05" w:rsidRPr="001C29FC" w:rsidRDefault="00D32A05" w:rsidP="00D32A05">
            <w:pPr>
              <w:pStyle w:val="TableText"/>
              <w:rPr>
                <w:color w:val="000000"/>
                <w:szCs w:val="18"/>
              </w:rPr>
            </w:pPr>
          </w:p>
        </w:tc>
        <w:tc>
          <w:tcPr>
            <w:tcW w:w="1633" w:type="dxa"/>
            <w:shd w:val="clear" w:color="auto" w:fill="auto"/>
          </w:tcPr>
          <w:p w14:paraId="24D3D29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426EF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ordered ABS test is performed.</w:t>
            </w:r>
          </w:p>
        </w:tc>
      </w:tr>
      <w:tr w:rsidR="00D32A05" w:rsidRPr="001C29FC" w14:paraId="2829DBAB" w14:textId="77777777" w:rsidTr="00D32A05">
        <w:trPr>
          <w:cantSplit/>
          <w:tblHeader/>
        </w:trPr>
        <w:tc>
          <w:tcPr>
            <w:tcW w:w="1803" w:type="dxa"/>
            <w:shd w:val="clear" w:color="auto" w:fill="auto"/>
            <w:vAlign w:val="bottom"/>
          </w:tcPr>
          <w:p w14:paraId="5A9D33D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BDB7ADA" w14:textId="77777777" w:rsidR="00D32A05" w:rsidRPr="001C29FC" w:rsidRDefault="00D32A05" w:rsidP="00D32A05">
            <w:pPr>
              <w:pStyle w:val="TableText"/>
              <w:rPr>
                <w:color w:val="000000"/>
                <w:szCs w:val="18"/>
              </w:rPr>
            </w:pPr>
          </w:p>
        </w:tc>
        <w:tc>
          <w:tcPr>
            <w:tcW w:w="1633" w:type="dxa"/>
            <w:shd w:val="clear" w:color="auto" w:fill="auto"/>
          </w:tcPr>
          <w:p w14:paraId="0E04E7AC"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38693B" w14:textId="77777777" w:rsidR="00D32A05" w:rsidRPr="001C29FC" w:rsidRDefault="00D32A05" w:rsidP="00D32A05">
            <w:pPr>
              <w:pStyle w:val="TableText"/>
              <w:rPr>
                <w:szCs w:val="18"/>
              </w:rPr>
            </w:pPr>
            <w:r w:rsidRPr="001C29FC">
              <w:rPr>
                <w:szCs w:val="18"/>
              </w:rPr>
              <w:t>Accrue workload when a completed ABS test is invalidated.</w:t>
            </w:r>
          </w:p>
        </w:tc>
      </w:tr>
      <w:tr w:rsidR="00D32A05" w:rsidRPr="001C29FC" w14:paraId="126A7B73" w14:textId="77777777" w:rsidTr="00D32A05">
        <w:trPr>
          <w:cantSplit/>
          <w:tblHeader/>
        </w:trPr>
        <w:tc>
          <w:tcPr>
            <w:tcW w:w="1803" w:type="dxa"/>
            <w:shd w:val="clear" w:color="auto" w:fill="auto"/>
            <w:vAlign w:val="bottom"/>
          </w:tcPr>
          <w:p w14:paraId="68DD03DD" w14:textId="77777777" w:rsidR="00D32A05" w:rsidRPr="001C29FC" w:rsidRDefault="00D32A05" w:rsidP="00D32A05">
            <w:pPr>
              <w:pStyle w:val="TableText"/>
            </w:pPr>
            <w:r w:rsidRPr="001C29FC">
              <w:t>Record Patient Antibody Screen</w:t>
            </w:r>
          </w:p>
        </w:tc>
        <w:tc>
          <w:tcPr>
            <w:tcW w:w="1442" w:type="dxa"/>
            <w:vMerge w:val="restart"/>
            <w:shd w:val="clear" w:color="auto" w:fill="auto"/>
          </w:tcPr>
          <w:p w14:paraId="01EA1FD6" w14:textId="77777777" w:rsidR="00D32A05" w:rsidRPr="001C29FC" w:rsidRDefault="00D32A05" w:rsidP="00D32A05">
            <w:pPr>
              <w:pStyle w:val="TableText"/>
              <w:rPr>
                <w:color w:val="000000"/>
                <w:szCs w:val="18"/>
              </w:rPr>
            </w:pPr>
            <w:r w:rsidRPr="001C29FC">
              <w:rPr>
                <w:color w:val="000000"/>
                <w:szCs w:val="18"/>
              </w:rPr>
              <w:t>Antibody Screen (patient) Repeat Test</w:t>
            </w:r>
          </w:p>
        </w:tc>
        <w:tc>
          <w:tcPr>
            <w:tcW w:w="1633" w:type="dxa"/>
            <w:shd w:val="clear" w:color="auto" w:fill="auto"/>
          </w:tcPr>
          <w:p w14:paraId="0DD4137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BFB4A9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ABS test is performed, completed, and saved.</w:t>
            </w:r>
          </w:p>
        </w:tc>
      </w:tr>
      <w:tr w:rsidR="00D32A05" w:rsidRPr="001C29FC" w14:paraId="4CAFB0BE" w14:textId="77777777" w:rsidTr="00D32A05">
        <w:trPr>
          <w:cantSplit/>
          <w:tblHeader/>
        </w:trPr>
        <w:tc>
          <w:tcPr>
            <w:tcW w:w="1803" w:type="dxa"/>
            <w:shd w:val="clear" w:color="auto" w:fill="auto"/>
            <w:vAlign w:val="bottom"/>
          </w:tcPr>
          <w:p w14:paraId="1A0E9B6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D6CBA33" w14:textId="77777777" w:rsidR="00D32A05" w:rsidRPr="001C29FC" w:rsidRDefault="00D32A05" w:rsidP="00D32A05">
            <w:pPr>
              <w:pStyle w:val="TableText"/>
              <w:rPr>
                <w:color w:val="000000"/>
                <w:szCs w:val="18"/>
              </w:rPr>
            </w:pPr>
          </w:p>
        </w:tc>
        <w:tc>
          <w:tcPr>
            <w:tcW w:w="1633" w:type="dxa"/>
            <w:shd w:val="clear" w:color="auto" w:fill="auto"/>
          </w:tcPr>
          <w:p w14:paraId="0F301311"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258332A" w14:textId="77777777" w:rsidR="00D32A05" w:rsidRPr="001C29FC" w:rsidRDefault="00D32A05" w:rsidP="00D32A05">
            <w:pPr>
              <w:pStyle w:val="TableText"/>
              <w:rPr>
                <w:szCs w:val="18"/>
              </w:rPr>
            </w:pPr>
            <w:r w:rsidRPr="001C29FC">
              <w:rPr>
                <w:szCs w:val="18"/>
              </w:rPr>
              <w:t>Accrue workload when a reflex or repeat ABS test is invalidated.</w:t>
            </w:r>
          </w:p>
        </w:tc>
      </w:tr>
      <w:tr w:rsidR="00D32A05" w:rsidRPr="001C29FC" w14:paraId="3922D859" w14:textId="77777777" w:rsidTr="00D32A05">
        <w:trPr>
          <w:cantSplit/>
          <w:tblHeader/>
        </w:trPr>
        <w:tc>
          <w:tcPr>
            <w:tcW w:w="1803" w:type="dxa"/>
            <w:shd w:val="clear" w:color="auto" w:fill="auto"/>
            <w:vAlign w:val="bottom"/>
          </w:tcPr>
          <w:p w14:paraId="0B1C44BD"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5685C6B9" w14:textId="77777777" w:rsidR="00D32A05" w:rsidRPr="001C29FC" w:rsidRDefault="00D32A05" w:rsidP="00D32A05">
            <w:pPr>
              <w:pStyle w:val="TableText"/>
              <w:rPr>
                <w:color w:val="000000"/>
                <w:szCs w:val="18"/>
              </w:rPr>
            </w:pPr>
            <w:r w:rsidRPr="001C29FC">
              <w:rPr>
                <w:color w:val="000000"/>
                <w:szCs w:val="18"/>
              </w:rPr>
              <w:t>Antigen phenotyping, Single Test phase (QC)</w:t>
            </w:r>
          </w:p>
        </w:tc>
        <w:tc>
          <w:tcPr>
            <w:tcW w:w="1633" w:type="dxa"/>
            <w:shd w:val="clear" w:color="auto" w:fill="auto"/>
          </w:tcPr>
          <w:p w14:paraId="65258CA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6C9206F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D32A05" w:rsidRPr="001C29FC" w14:paraId="1D542A79" w14:textId="77777777" w:rsidTr="00D32A05">
        <w:trPr>
          <w:cantSplit/>
          <w:tblHeader/>
        </w:trPr>
        <w:tc>
          <w:tcPr>
            <w:tcW w:w="1803" w:type="dxa"/>
            <w:shd w:val="clear" w:color="auto" w:fill="auto"/>
            <w:vAlign w:val="bottom"/>
          </w:tcPr>
          <w:p w14:paraId="08D2B044"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15C0E3B1" w14:textId="77777777" w:rsidR="00D32A05" w:rsidRPr="001C29FC" w:rsidRDefault="00D32A05" w:rsidP="00D32A05">
            <w:pPr>
              <w:pStyle w:val="TableText"/>
              <w:rPr>
                <w:color w:val="000000"/>
                <w:szCs w:val="18"/>
              </w:rPr>
            </w:pPr>
            <w:r w:rsidRPr="001C29FC">
              <w:rPr>
                <w:color w:val="000000"/>
                <w:szCs w:val="18"/>
              </w:rPr>
              <w:t>Antigen phenotyping, Multiple Test phases (QC)</w:t>
            </w:r>
          </w:p>
        </w:tc>
        <w:tc>
          <w:tcPr>
            <w:tcW w:w="1633" w:type="dxa"/>
            <w:shd w:val="clear" w:color="auto" w:fill="auto"/>
          </w:tcPr>
          <w:p w14:paraId="23EBBF9D"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622BA5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multiple phases of reactivity are chosen for the test grid, IS/RT, RT/37, or weak D. One workload event is collected per completed tab for regular or repeat antigen tests.</w:t>
            </w:r>
            <w:r w:rsidRPr="001C29FC">
              <w:rPr>
                <w:color w:val="000000"/>
                <w:szCs w:val="18"/>
              </w:rPr>
              <w:br/>
              <w:t>When weak D is the selected test, QC may not be accrued for the rack selection. QC is accrued when positive and negative cells must be tested for the lot number.</w:t>
            </w:r>
          </w:p>
        </w:tc>
      </w:tr>
      <w:tr w:rsidR="00D32A05" w:rsidRPr="001C29FC" w14:paraId="5872D581" w14:textId="77777777" w:rsidTr="00D32A05">
        <w:trPr>
          <w:cantSplit/>
          <w:tblHeader/>
        </w:trPr>
        <w:tc>
          <w:tcPr>
            <w:tcW w:w="1803" w:type="dxa"/>
            <w:shd w:val="clear" w:color="auto" w:fill="auto"/>
          </w:tcPr>
          <w:p w14:paraId="40EE2FA3" w14:textId="77777777" w:rsidR="00D32A05" w:rsidRPr="001C29FC" w:rsidRDefault="00D32A05" w:rsidP="00D32A05">
            <w:pPr>
              <w:pStyle w:val="TableText"/>
              <w:rPr>
                <w:szCs w:val="18"/>
              </w:rPr>
            </w:pPr>
            <w:r w:rsidRPr="001C29FC">
              <w:rPr>
                <w:szCs w:val="18"/>
              </w:rPr>
              <w:t>Cancel Pending Order</w:t>
            </w:r>
          </w:p>
        </w:tc>
        <w:tc>
          <w:tcPr>
            <w:tcW w:w="1442" w:type="dxa"/>
            <w:shd w:val="clear" w:color="auto" w:fill="auto"/>
          </w:tcPr>
          <w:p w14:paraId="0CA6453A"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61BA80B5"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AE89A43" w14:textId="6839BF4A" w:rsidR="00D32A05" w:rsidRPr="001C29FC" w:rsidRDefault="00D32A05" w:rsidP="00D32A05">
            <w:pPr>
              <w:pStyle w:val="TableText"/>
              <w:rPr>
                <w:szCs w:val="18"/>
              </w:rPr>
            </w:pPr>
            <w:r w:rsidRPr="001C29FC">
              <w:rPr>
                <w:szCs w:val="18"/>
              </w:rPr>
              <w:t>Accrue workload when an order on the pending order list is cancel</w:t>
            </w:r>
            <w:r w:rsidR="002F7E19">
              <w:rPr>
                <w:szCs w:val="18"/>
              </w:rPr>
              <w:t>l</w:t>
            </w:r>
            <w:r w:rsidRPr="001C29FC">
              <w:rPr>
                <w:szCs w:val="18"/>
              </w:rPr>
              <w:t>ed. When multiple orders are cance</w:t>
            </w:r>
            <w:r w:rsidR="002F7E19">
              <w:rPr>
                <w:szCs w:val="18"/>
              </w:rPr>
              <w:t>l</w:t>
            </w:r>
            <w:r w:rsidRPr="001C29FC">
              <w:rPr>
                <w:szCs w:val="18"/>
              </w:rPr>
              <w:t>led, each order accrues workload.</w:t>
            </w:r>
          </w:p>
        </w:tc>
      </w:tr>
      <w:tr w:rsidR="00D32A05" w:rsidRPr="001C29FC" w14:paraId="4AA1AB6F" w14:textId="77777777" w:rsidTr="00D32A05">
        <w:trPr>
          <w:cantSplit/>
          <w:tblHeader/>
        </w:trPr>
        <w:tc>
          <w:tcPr>
            <w:tcW w:w="1803" w:type="dxa"/>
            <w:shd w:val="clear" w:color="auto" w:fill="auto"/>
            <w:vAlign w:val="bottom"/>
          </w:tcPr>
          <w:p w14:paraId="4875958C" w14:textId="77777777" w:rsidR="00D32A05" w:rsidRPr="001C29FC" w:rsidRDefault="00D32A05" w:rsidP="00D32A05">
            <w:pPr>
              <w:pStyle w:val="TableText"/>
            </w:pPr>
            <w:r w:rsidRPr="001C29FC">
              <w:t>Cancel Active Order</w:t>
            </w:r>
          </w:p>
        </w:tc>
        <w:tc>
          <w:tcPr>
            <w:tcW w:w="1442" w:type="dxa"/>
            <w:shd w:val="clear" w:color="auto" w:fill="auto"/>
          </w:tcPr>
          <w:p w14:paraId="61F6F3F9"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59FA88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5A19EE" w14:textId="7E88F02E" w:rsidR="00D32A05" w:rsidRPr="001C29FC" w:rsidRDefault="00D32A05" w:rsidP="00D32A05">
            <w:pPr>
              <w:pStyle w:val="TableText"/>
              <w:rPr>
                <w:szCs w:val="18"/>
              </w:rPr>
            </w:pPr>
            <w:r w:rsidRPr="001C29FC">
              <w:rPr>
                <w:szCs w:val="18"/>
              </w:rPr>
              <w:t>Accrue workload when an order on the pending task list is cancel</w:t>
            </w:r>
            <w:r w:rsidR="002F7E19">
              <w:rPr>
                <w:szCs w:val="18"/>
              </w:rPr>
              <w:t>l</w:t>
            </w:r>
            <w:r w:rsidRPr="001C29FC">
              <w:rPr>
                <w:szCs w:val="18"/>
              </w:rPr>
              <w:t>ed. When multiple orders are cance</w:t>
            </w:r>
            <w:r w:rsidR="002F7E19">
              <w:rPr>
                <w:szCs w:val="18"/>
              </w:rPr>
              <w:t>l</w:t>
            </w:r>
            <w:r w:rsidRPr="001C29FC">
              <w:rPr>
                <w:szCs w:val="18"/>
              </w:rPr>
              <w:t>led, each order accrues workload.</w:t>
            </w:r>
          </w:p>
        </w:tc>
      </w:tr>
      <w:tr w:rsidR="00D32A05" w:rsidRPr="001C29FC" w14:paraId="582D8404" w14:textId="77777777" w:rsidTr="00D32A05">
        <w:trPr>
          <w:cantSplit/>
          <w:tblHeader/>
        </w:trPr>
        <w:tc>
          <w:tcPr>
            <w:tcW w:w="1803" w:type="dxa"/>
            <w:shd w:val="clear" w:color="auto" w:fill="auto"/>
            <w:vAlign w:val="bottom"/>
          </w:tcPr>
          <w:p w14:paraId="373A916C" w14:textId="77777777" w:rsidR="00D32A05" w:rsidRPr="001C29FC" w:rsidRDefault="00D32A05" w:rsidP="00D32A05">
            <w:pPr>
              <w:pStyle w:val="TableText"/>
              <w:rPr>
                <w:szCs w:val="18"/>
              </w:rPr>
            </w:pPr>
            <w:r w:rsidRPr="001C29FC">
              <w:rPr>
                <w:snapToGrid w:val="0"/>
                <w:szCs w:val="18"/>
              </w:rPr>
              <w:t>Select Units for Crossmatch</w:t>
            </w:r>
          </w:p>
        </w:tc>
        <w:tc>
          <w:tcPr>
            <w:tcW w:w="1442" w:type="dxa"/>
            <w:shd w:val="clear" w:color="auto" w:fill="auto"/>
          </w:tcPr>
          <w:p w14:paraId="5CE9BCBE" w14:textId="77777777" w:rsidR="00D32A05" w:rsidRPr="001C29FC" w:rsidRDefault="00D32A05" w:rsidP="00D32A05">
            <w:pPr>
              <w:pStyle w:val="TableText"/>
              <w:rPr>
                <w:szCs w:val="18"/>
              </w:rPr>
            </w:pPr>
            <w:r w:rsidRPr="001C29FC">
              <w:rPr>
                <w:szCs w:val="18"/>
              </w:rPr>
              <w:t>Crossmatch unit, electronic</w:t>
            </w:r>
          </w:p>
        </w:tc>
        <w:tc>
          <w:tcPr>
            <w:tcW w:w="1633" w:type="dxa"/>
            <w:shd w:val="clear" w:color="auto" w:fill="auto"/>
          </w:tcPr>
          <w:p w14:paraId="0DFA9D1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68590F" w14:textId="77777777" w:rsidR="00D32A05" w:rsidRPr="001C29FC" w:rsidRDefault="00D32A05" w:rsidP="00D32A05">
            <w:pPr>
              <w:pStyle w:val="TableText"/>
              <w:rPr>
                <w:color w:val="000000"/>
                <w:szCs w:val="18"/>
              </w:rPr>
            </w:pPr>
            <w:r w:rsidRPr="001C29FC">
              <w:rPr>
                <w:color w:val="000000"/>
                <w:szCs w:val="18"/>
              </w:rPr>
              <w:t>This process is invoked when an individual unit is selected for patient assignment and the unit is electronically crossmatched. When multiple units are selected, each unit accrues workload.</w:t>
            </w:r>
          </w:p>
        </w:tc>
      </w:tr>
      <w:tr w:rsidR="00D32A05" w:rsidRPr="001C29FC" w14:paraId="208D3262" w14:textId="77777777" w:rsidTr="00D32A05">
        <w:trPr>
          <w:cantSplit/>
          <w:tblHeader/>
        </w:trPr>
        <w:tc>
          <w:tcPr>
            <w:tcW w:w="1803" w:type="dxa"/>
            <w:shd w:val="clear" w:color="auto" w:fill="auto"/>
            <w:vAlign w:val="bottom"/>
          </w:tcPr>
          <w:p w14:paraId="652E790C" w14:textId="77777777" w:rsidR="00D32A05" w:rsidRPr="001C29FC" w:rsidRDefault="00D32A05" w:rsidP="00D32A05">
            <w:pPr>
              <w:pStyle w:val="TableText"/>
            </w:pPr>
            <w:r w:rsidRPr="001C29FC">
              <w:t>Enter Crossmatch Results</w:t>
            </w:r>
          </w:p>
        </w:tc>
        <w:tc>
          <w:tcPr>
            <w:tcW w:w="1442" w:type="dxa"/>
            <w:vMerge w:val="restart"/>
            <w:shd w:val="clear" w:color="auto" w:fill="auto"/>
          </w:tcPr>
          <w:p w14:paraId="42E6BB45" w14:textId="77777777" w:rsidR="00D32A05" w:rsidRPr="001C29FC" w:rsidRDefault="00D32A05" w:rsidP="00D32A05">
            <w:pPr>
              <w:pStyle w:val="TableText"/>
              <w:rPr>
                <w:color w:val="000000"/>
                <w:szCs w:val="18"/>
              </w:rPr>
            </w:pPr>
            <w:r w:rsidRPr="001C29FC">
              <w:rPr>
                <w:color w:val="000000"/>
                <w:szCs w:val="18"/>
              </w:rPr>
              <w:t>Crossmatch unit, serologic immediate spin</w:t>
            </w:r>
          </w:p>
        </w:tc>
        <w:tc>
          <w:tcPr>
            <w:tcW w:w="1633" w:type="dxa"/>
            <w:shd w:val="clear" w:color="auto" w:fill="auto"/>
          </w:tcPr>
          <w:p w14:paraId="28AB0DD9"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3F181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only the IS phase, is completed, and is saved. When multiple units are selected, each unit accrues workload.</w:t>
            </w:r>
          </w:p>
        </w:tc>
      </w:tr>
      <w:tr w:rsidR="00D32A05" w:rsidRPr="001C29FC" w14:paraId="711098F7" w14:textId="77777777" w:rsidTr="00D32A05">
        <w:trPr>
          <w:cantSplit/>
          <w:tblHeader/>
        </w:trPr>
        <w:tc>
          <w:tcPr>
            <w:tcW w:w="1803" w:type="dxa"/>
            <w:shd w:val="clear" w:color="auto" w:fill="auto"/>
            <w:vAlign w:val="bottom"/>
          </w:tcPr>
          <w:p w14:paraId="63D29A43" w14:textId="77777777" w:rsidR="00D32A05" w:rsidRPr="001C29FC" w:rsidRDefault="00D32A05" w:rsidP="00D32A05">
            <w:pPr>
              <w:pStyle w:val="TableText"/>
            </w:pPr>
            <w:r w:rsidRPr="001C29FC">
              <w:t>Invalidate Patient Test Results*</w:t>
            </w:r>
          </w:p>
        </w:tc>
        <w:tc>
          <w:tcPr>
            <w:tcW w:w="1442" w:type="dxa"/>
            <w:vMerge/>
            <w:shd w:val="clear" w:color="auto" w:fill="auto"/>
          </w:tcPr>
          <w:p w14:paraId="2174F32E" w14:textId="77777777" w:rsidR="00D32A05" w:rsidRPr="001C29FC" w:rsidRDefault="00D32A05" w:rsidP="00D32A05">
            <w:pPr>
              <w:pStyle w:val="TableText"/>
              <w:rPr>
                <w:color w:val="000000"/>
                <w:szCs w:val="18"/>
              </w:rPr>
            </w:pPr>
          </w:p>
        </w:tc>
        <w:tc>
          <w:tcPr>
            <w:tcW w:w="1633" w:type="dxa"/>
            <w:shd w:val="clear" w:color="auto" w:fill="auto"/>
          </w:tcPr>
          <w:p w14:paraId="1EA1E256"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4374C0AE"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serologic immediate spin test.</w:t>
            </w:r>
          </w:p>
        </w:tc>
      </w:tr>
      <w:tr w:rsidR="00D32A05" w:rsidRPr="001C29FC" w14:paraId="70424B84" w14:textId="77777777" w:rsidTr="00D32A05">
        <w:trPr>
          <w:cantSplit/>
          <w:tblHeader/>
        </w:trPr>
        <w:tc>
          <w:tcPr>
            <w:tcW w:w="1803" w:type="dxa"/>
            <w:shd w:val="clear" w:color="auto" w:fill="auto"/>
            <w:vAlign w:val="bottom"/>
          </w:tcPr>
          <w:p w14:paraId="24C9400E" w14:textId="77777777" w:rsidR="00D32A05" w:rsidRPr="001C29FC" w:rsidRDefault="00D32A05" w:rsidP="00D32A05">
            <w:pPr>
              <w:pStyle w:val="TableText"/>
            </w:pPr>
            <w:r w:rsidRPr="001C29FC">
              <w:lastRenderedPageBreak/>
              <w:t>Record a Transfusion Reaction Workup</w:t>
            </w:r>
          </w:p>
        </w:tc>
        <w:tc>
          <w:tcPr>
            <w:tcW w:w="1442" w:type="dxa"/>
            <w:vMerge w:val="restart"/>
            <w:shd w:val="clear" w:color="auto" w:fill="auto"/>
          </w:tcPr>
          <w:p w14:paraId="57AB2A88" w14:textId="77777777" w:rsidR="00D32A05" w:rsidRPr="001C29FC" w:rsidRDefault="00D32A05" w:rsidP="00D32A05">
            <w:pPr>
              <w:pStyle w:val="TableText"/>
              <w:rPr>
                <w:color w:val="000000"/>
                <w:szCs w:val="18"/>
              </w:rPr>
            </w:pPr>
            <w:r w:rsidRPr="001C29FC">
              <w:rPr>
                <w:color w:val="000000"/>
                <w:szCs w:val="18"/>
              </w:rPr>
              <w:t>Crossmatch unit, serological Coombs</w:t>
            </w:r>
          </w:p>
        </w:tc>
        <w:tc>
          <w:tcPr>
            <w:tcW w:w="1633" w:type="dxa"/>
            <w:shd w:val="clear" w:color="auto" w:fill="auto"/>
          </w:tcPr>
          <w:p w14:paraId="5C8B8E4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0DD2E33" w14:textId="77777777" w:rsidR="00D32A05" w:rsidRPr="001C29FC" w:rsidRDefault="00D32A05" w:rsidP="00D32A05">
            <w:pPr>
              <w:pStyle w:val="TableText"/>
              <w:rPr>
                <w:color w:val="000000"/>
                <w:szCs w:val="18"/>
              </w:rPr>
            </w:pPr>
            <w:r w:rsidRPr="001C29FC">
              <w:rPr>
                <w:color w:val="000000"/>
                <w:szCs w:val="18"/>
              </w:rPr>
              <w:t>A crossmatch test for “pre” or “post” is enabled and a valid interpretation other than Not Tested is selected. A workload event is accrued separately for “Pre” and “Post” entries.</w:t>
            </w:r>
            <w:r w:rsidRPr="001C29FC">
              <w:rPr>
                <w:color w:val="000000"/>
                <w:szCs w:val="18"/>
              </w:rPr>
              <w:br/>
              <w:t>When multiple units are selected, each unit accrues workload.</w:t>
            </w:r>
          </w:p>
        </w:tc>
      </w:tr>
      <w:tr w:rsidR="00D32A05" w:rsidRPr="001C29FC" w14:paraId="45BA8A52" w14:textId="77777777" w:rsidTr="00D32A05">
        <w:trPr>
          <w:cantSplit/>
          <w:tblHeader/>
        </w:trPr>
        <w:tc>
          <w:tcPr>
            <w:tcW w:w="1803" w:type="dxa"/>
            <w:shd w:val="clear" w:color="auto" w:fill="auto"/>
            <w:vAlign w:val="bottom"/>
          </w:tcPr>
          <w:p w14:paraId="3A5803DC" w14:textId="77777777" w:rsidR="00D32A05" w:rsidRPr="001C29FC" w:rsidRDefault="00D32A05" w:rsidP="00D32A05">
            <w:pPr>
              <w:pStyle w:val="TableText"/>
            </w:pPr>
            <w:r w:rsidRPr="001C29FC">
              <w:t>Enter Crossmatch Results</w:t>
            </w:r>
          </w:p>
        </w:tc>
        <w:tc>
          <w:tcPr>
            <w:tcW w:w="1442" w:type="dxa"/>
            <w:vMerge/>
            <w:shd w:val="clear" w:color="auto" w:fill="auto"/>
          </w:tcPr>
          <w:p w14:paraId="5D98E0F8" w14:textId="77777777" w:rsidR="00D32A05" w:rsidRPr="001C29FC" w:rsidRDefault="00D32A05" w:rsidP="00D32A05">
            <w:pPr>
              <w:pStyle w:val="TableText"/>
              <w:rPr>
                <w:color w:val="000000"/>
                <w:szCs w:val="18"/>
              </w:rPr>
            </w:pPr>
          </w:p>
        </w:tc>
        <w:tc>
          <w:tcPr>
            <w:tcW w:w="1633" w:type="dxa"/>
            <w:shd w:val="clear" w:color="auto" w:fill="auto"/>
          </w:tcPr>
          <w:p w14:paraId="4CFB5FF6"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9D405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only the AHG phase, is completed, and is saved. When multiple units are selected, each unit accrues workload.</w:t>
            </w:r>
          </w:p>
        </w:tc>
      </w:tr>
      <w:tr w:rsidR="00D32A05" w:rsidRPr="001C29FC" w14:paraId="72A75416" w14:textId="77777777" w:rsidTr="00D32A05">
        <w:trPr>
          <w:cantSplit/>
          <w:tblHeader/>
        </w:trPr>
        <w:tc>
          <w:tcPr>
            <w:tcW w:w="1803" w:type="dxa"/>
            <w:shd w:val="clear" w:color="auto" w:fill="auto"/>
            <w:vAlign w:val="bottom"/>
          </w:tcPr>
          <w:p w14:paraId="20594C86" w14:textId="77777777" w:rsidR="00D32A05" w:rsidRPr="001C29FC" w:rsidRDefault="00D32A05" w:rsidP="00D32A05">
            <w:pPr>
              <w:pStyle w:val="TableText"/>
            </w:pPr>
            <w:r w:rsidRPr="001C29FC">
              <w:t>Invalidate Patient Test Results*</w:t>
            </w:r>
          </w:p>
        </w:tc>
        <w:tc>
          <w:tcPr>
            <w:tcW w:w="1442" w:type="dxa"/>
            <w:vMerge/>
            <w:shd w:val="clear" w:color="auto" w:fill="auto"/>
          </w:tcPr>
          <w:p w14:paraId="1CD97744" w14:textId="77777777" w:rsidR="00D32A05" w:rsidRPr="001C29FC" w:rsidRDefault="00D32A05" w:rsidP="00D32A05">
            <w:pPr>
              <w:pStyle w:val="TableText"/>
              <w:rPr>
                <w:color w:val="000000"/>
                <w:szCs w:val="18"/>
              </w:rPr>
            </w:pPr>
          </w:p>
        </w:tc>
        <w:tc>
          <w:tcPr>
            <w:tcW w:w="1633" w:type="dxa"/>
            <w:shd w:val="clear" w:color="auto" w:fill="auto"/>
          </w:tcPr>
          <w:p w14:paraId="5DC12339"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55713266"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test, serological Coombs.</w:t>
            </w:r>
          </w:p>
        </w:tc>
      </w:tr>
      <w:tr w:rsidR="00D32A05" w:rsidRPr="001C29FC" w14:paraId="744E086E" w14:textId="77777777" w:rsidTr="00D32A05">
        <w:trPr>
          <w:cantSplit/>
          <w:tblHeader/>
        </w:trPr>
        <w:tc>
          <w:tcPr>
            <w:tcW w:w="1803" w:type="dxa"/>
            <w:shd w:val="clear" w:color="auto" w:fill="auto"/>
            <w:vAlign w:val="bottom"/>
          </w:tcPr>
          <w:p w14:paraId="1851B273" w14:textId="77777777" w:rsidR="00D32A05" w:rsidRPr="001C29FC" w:rsidRDefault="00D32A05" w:rsidP="00D32A05">
            <w:pPr>
              <w:pStyle w:val="TableText"/>
            </w:pPr>
            <w:r w:rsidRPr="001C29FC">
              <w:t>Enter Crossmatch Results</w:t>
            </w:r>
          </w:p>
        </w:tc>
        <w:tc>
          <w:tcPr>
            <w:tcW w:w="1442" w:type="dxa"/>
            <w:vMerge w:val="restart"/>
            <w:shd w:val="clear" w:color="auto" w:fill="auto"/>
          </w:tcPr>
          <w:p w14:paraId="1137B355" w14:textId="77777777" w:rsidR="00D32A05" w:rsidRPr="001C29FC" w:rsidRDefault="00D32A05" w:rsidP="00D32A05">
            <w:pPr>
              <w:pStyle w:val="TableText"/>
              <w:rPr>
                <w:color w:val="000000"/>
                <w:szCs w:val="18"/>
              </w:rPr>
            </w:pPr>
            <w:r w:rsidRPr="001C29FC">
              <w:rPr>
                <w:color w:val="000000"/>
                <w:szCs w:val="18"/>
              </w:rPr>
              <w:t>Crossmatch, Repeat Test</w:t>
            </w:r>
          </w:p>
        </w:tc>
        <w:tc>
          <w:tcPr>
            <w:tcW w:w="1633" w:type="dxa"/>
            <w:shd w:val="clear" w:color="auto" w:fill="auto"/>
          </w:tcPr>
          <w:p w14:paraId="20E7774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AD7CFDC"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IS or only the AHG phase, is completed, and is saved. When multiple units are selected, each unit accrues workload.</w:t>
            </w:r>
          </w:p>
        </w:tc>
      </w:tr>
      <w:tr w:rsidR="00D32A05" w:rsidRPr="001C29FC" w14:paraId="61C51A0A" w14:textId="77777777" w:rsidTr="00D32A05">
        <w:trPr>
          <w:cantSplit/>
          <w:tblHeader/>
        </w:trPr>
        <w:tc>
          <w:tcPr>
            <w:tcW w:w="1803" w:type="dxa"/>
            <w:shd w:val="clear" w:color="auto" w:fill="auto"/>
            <w:vAlign w:val="bottom"/>
          </w:tcPr>
          <w:p w14:paraId="70A6582C"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89185B3" w14:textId="77777777" w:rsidR="00D32A05" w:rsidRPr="001C29FC" w:rsidRDefault="00D32A05" w:rsidP="00D32A05">
            <w:pPr>
              <w:pStyle w:val="TableText"/>
              <w:rPr>
                <w:color w:val="000000"/>
                <w:szCs w:val="18"/>
              </w:rPr>
            </w:pPr>
          </w:p>
        </w:tc>
        <w:tc>
          <w:tcPr>
            <w:tcW w:w="1633" w:type="dxa"/>
            <w:shd w:val="clear" w:color="auto" w:fill="auto"/>
          </w:tcPr>
          <w:p w14:paraId="41C2E54A"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CE329BD" w14:textId="77777777" w:rsidR="00D32A05" w:rsidRPr="001C29FC" w:rsidRDefault="00D32A05" w:rsidP="00D32A05">
            <w:pPr>
              <w:pStyle w:val="TableText"/>
              <w:rPr>
                <w:szCs w:val="18"/>
              </w:rPr>
            </w:pPr>
            <w:r w:rsidRPr="001C29FC">
              <w:rPr>
                <w:szCs w:val="18"/>
              </w:rPr>
              <w:t>Accrue workload when an individual unit crossmatch is invalidated.</w:t>
            </w:r>
          </w:p>
        </w:tc>
      </w:tr>
      <w:tr w:rsidR="00D32A05" w:rsidRPr="001C29FC" w14:paraId="42D1CB35" w14:textId="77777777" w:rsidTr="00D32A05">
        <w:trPr>
          <w:cantSplit/>
          <w:tblHeader/>
        </w:trPr>
        <w:tc>
          <w:tcPr>
            <w:tcW w:w="1803" w:type="dxa"/>
            <w:shd w:val="clear" w:color="auto" w:fill="auto"/>
            <w:vAlign w:val="bottom"/>
          </w:tcPr>
          <w:p w14:paraId="6184DE80" w14:textId="77777777" w:rsidR="00D32A05" w:rsidRPr="001C29FC" w:rsidRDefault="00D32A05" w:rsidP="00D32A05">
            <w:pPr>
              <w:pStyle w:val="TableText"/>
              <w:rPr>
                <w:szCs w:val="18"/>
              </w:rPr>
            </w:pPr>
            <w:r w:rsidRPr="001C29FC">
              <w:rPr>
                <w:snapToGrid w:val="0"/>
                <w:szCs w:val="18"/>
              </w:rPr>
              <w:t>Enter Daily QC Results</w:t>
            </w:r>
          </w:p>
        </w:tc>
        <w:tc>
          <w:tcPr>
            <w:tcW w:w="1442" w:type="dxa"/>
            <w:shd w:val="clear" w:color="auto" w:fill="auto"/>
          </w:tcPr>
          <w:p w14:paraId="4158D1C8" w14:textId="77777777" w:rsidR="00D32A05" w:rsidRPr="001C29FC" w:rsidRDefault="00D32A05" w:rsidP="00D32A05">
            <w:pPr>
              <w:pStyle w:val="TableText"/>
              <w:rPr>
                <w:color w:val="000000"/>
                <w:szCs w:val="18"/>
              </w:rPr>
            </w:pPr>
            <w:r w:rsidRPr="001C29FC">
              <w:rPr>
                <w:color w:val="000000"/>
                <w:szCs w:val="18"/>
              </w:rPr>
              <w:t>Daily Rack Quality Control (QC)</w:t>
            </w:r>
          </w:p>
        </w:tc>
        <w:tc>
          <w:tcPr>
            <w:tcW w:w="1633" w:type="dxa"/>
            <w:shd w:val="clear" w:color="auto" w:fill="auto"/>
          </w:tcPr>
          <w:p w14:paraId="0774B41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32E5078"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Daily QC rack completed for one individual rack includes all rows in configured QC. When multiple racks are tested, each completed and saved tab accrues a workload event.</w:t>
            </w:r>
          </w:p>
        </w:tc>
      </w:tr>
      <w:tr w:rsidR="00D32A05" w:rsidRPr="001C29FC" w14:paraId="02CD6797" w14:textId="77777777" w:rsidTr="00D32A05">
        <w:trPr>
          <w:cantSplit/>
          <w:tblHeader/>
        </w:trPr>
        <w:tc>
          <w:tcPr>
            <w:tcW w:w="1803" w:type="dxa"/>
            <w:shd w:val="clear" w:color="auto" w:fill="auto"/>
            <w:vAlign w:val="bottom"/>
          </w:tcPr>
          <w:p w14:paraId="056D9244" w14:textId="77777777" w:rsidR="00D32A05" w:rsidRPr="001C29FC" w:rsidRDefault="00D32A05" w:rsidP="00D32A05">
            <w:pPr>
              <w:pStyle w:val="TableText"/>
            </w:pPr>
            <w:r w:rsidRPr="001C29FC">
              <w:t>Record Patient Direct Antiglobulin Test</w:t>
            </w:r>
          </w:p>
        </w:tc>
        <w:tc>
          <w:tcPr>
            <w:tcW w:w="1442" w:type="dxa"/>
            <w:shd w:val="clear" w:color="auto" w:fill="auto"/>
          </w:tcPr>
          <w:p w14:paraId="5790DE4B" w14:textId="77777777" w:rsidR="00D32A05" w:rsidRPr="001C29FC" w:rsidRDefault="00D32A05" w:rsidP="00D32A05">
            <w:pPr>
              <w:pStyle w:val="TableText"/>
              <w:rPr>
                <w:color w:val="000000"/>
                <w:szCs w:val="18"/>
              </w:rPr>
            </w:pPr>
            <w:r w:rsidRPr="001C29FC">
              <w:rPr>
                <w:color w:val="000000"/>
                <w:szCs w:val="18"/>
              </w:rPr>
              <w:t>DAT (QC)</w:t>
            </w:r>
          </w:p>
        </w:tc>
        <w:tc>
          <w:tcPr>
            <w:tcW w:w="1633" w:type="dxa"/>
            <w:shd w:val="clear" w:color="auto" w:fill="auto"/>
          </w:tcPr>
          <w:p w14:paraId="6BACC7C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5E79D42B"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Reagent QC completed in Patient DAT testing includes the testing of both the positive and negative control cells, per specificity per lot number, when only one phase of reactivity is chosen for the test grid (IS or AHG). One workload event is collected per completed tab for regular or repeat antiglobulin tests (PS, IgG, Comp).</w:t>
            </w:r>
          </w:p>
        </w:tc>
      </w:tr>
      <w:tr w:rsidR="00D32A05" w:rsidRPr="001C29FC" w14:paraId="030E518F" w14:textId="77777777" w:rsidTr="00D32A05">
        <w:trPr>
          <w:cantSplit/>
          <w:tblHeader/>
        </w:trPr>
        <w:tc>
          <w:tcPr>
            <w:tcW w:w="1803" w:type="dxa"/>
            <w:shd w:val="clear" w:color="auto" w:fill="auto"/>
            <w:vAlign w:val="bottom"/>
          </w:tcPr>
          <w:p w14:paraId="1D0BC9E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684D3F51" w14:textId="77777777" w:rsidR="00D32A05" w:rsidRPr="001C29FC" w:rsidRDefault="00D32A05" w:rsidP="00D32A05">
            <w:pPr>
              <w:pStyle w:val="TableText"/>
              <w:rPr>
                <w:color w:val="000000"/>
                <w:szCs w:val="18"/>
              </w:rPr>
            </w:pPr>
            <w:r w:rsidRPr="001C29FC">
              <w:rPr>
                <w:color w:val="000000"/>
                <w:szCs w:val="18"/>
              </w:rPr>
              <w:t>Direct Antiglobulin Test (DAT)</w:t>
            </w:r>
          </w:p>
        </w:tc>
        <w:tc>
          <w:tcPr>
            <w:tcW w:w="1633" w:type="dxa"/>
            <w:shd w:val="clear" w:color="auto" w:fill="auto"/>
          </w:tcPr>
          <w:p w14:paraId="7682F13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6C0526" w14:textId="77777777" w:rsidR="00D32A05" w:rsidRPr="001C29FC" w:rsidRDefault="00D32A05" w:rsidP="00D32A05">
            <w:pPr>
              <w:pStyle w:val="TableText"/>
              <w:rPr>
                <w:color w:val="000000"/>
                <w:szCs w:val="18"/>
              </w:rPr>
            </w:pPr>
            <w:r w:rsidRPr="001C29FC">
              <w:rPr>
                <w:color w:val="000000"/>
                <w:szCs w:val="18"/>
              </w:rPr>
              <w:t>A DAT test for “pre” or “post” is enabled and a valid interpretation other than Not Tested is selected. A workload event is accrued separately for “Pre” and “Post “entries.</w:t>
            </w:r>
          </w:p>
        </w:tc>
      </w:tr>
      <w:tr w:rsidR="00D32A05" w:rsidRPr="001C29FC" w14:paraId="7E2C13E8" w14:textId="77777777" w:rsidTr="00D32A05">
        <w:trPr>
          <w:cantSplit/>
          <w:tblHeader/>
        </w:trPr>
        <w:tc>
          <w:tcPr>
            <w:tcW w:w="1803" w:type="dxa"/>
            <w:shd w:val="clear" w:color="auto" w:fill="auto"/>
            <w:vAlign w:val="bottom"/>
          </w:tcPr>
          <w:p w14:paraId="575B8AC1" w14:textId="77777777" w:rsidR="00D32A05" w:rsidRPr="001C29FC" w:rsidRDefault="00D32A05" w:rsidP="00D32A05">
            <w:pPr>
              <w:pStyle w:val="TableText"/>
            </w:pPr>
            <w:r w:rsidRPr="001C29FC">
              <w:t>Record Patient Direct Antiglobulin Test</w:t>
            </w:r>
          </w:p>
        </w:tc>
        <w:tc>
          <w:tcPr>
            <w:tcW w:w="1442" w:type="dxa"/>
            <w:vMerge/>
            <w:shd w:val="clear" w:color="auto" w:fill="auto"/>
          </w:tcPr>
          <w:p w14:paraId="6DE6E39B" w14:textId="77777777" w:rsidR="00D32A05" w:rsidRPr="001C29FC" w:rsidRDefault="00D32A05" w:rsidP="00D32A05">
            <w:pPr>
              <w:pStyle w:val="TableText"/>
              <w:rPr>
                <w:color w:val="000000"/>
                <w:szCs w:val="18"/>
              </w:rPr>
            </w:pPr>
          </w:p>
        </w:tc>
        <w:tc>
          <w:tcPr>
            <w:tcW w:w="1633" w:type="dxa"/>
            <w:shd w:val="clear" w:color="auto" w:fill="auto"/>
          </w:tcPr>
          <w:p w14:paraId="4DB6ABD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3EA4A2A"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DAT is completed and saved. This count is used for all antiglobulin tests (PS, IgG, Comp) when ordered from CPRS or Reflex testing.</w:t>
            </w:r>
          </w:p>
        </w:tc>
      </w:tr>
      <w:tr w:rsidR="00D32A05" w:rsidRPr="001C29FC" w14:paraId="0875FCFC" w14:textId="77777777" w:rsidTr="00D32A05">
        <w:trPr>
          <w:cantSplit/>
          <w:tblHeader/>
        </w:trPr>
        <w:tc>
          <w:tcPr>
            <w:tcW w:w="1803" w:type="dxa"/>
            <w:shd w:val="clear" w:color="auto" w:fill="auto"/>
            <w:vAlign w:val="bottom"/>
          </w:tcPr>
          <w:p w14:paraId="7C04A5C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9590F9F" w14:textId="77777777" w:rsidR="00D32A05" w:rsidRPr="001C29FC" w:rsidRDefault="00D32A05" w:rsidP="00D32A05">
            <w:pPr>
              <w:pStyle w:val="TableText"/>
              <w:rPr>
                <w:color w:val="000000"/>
                <w:szCs w:val="18"/>
              </w:rPr>
            </w:pPr>
          </w:p>
        </w:tc>
        <w:tc>
          <w:tcPr>
            <w:tcW w:w="1633" w:type="dxa"/>
            <w:shd w:val="clear" w:color="auto" w:fill="auto"/>
          </w:tcPr>
          <w:p w14:paraId="48B92D7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312EF61" w14:textId="77777777" w:rsidR="00D32A05" w:rsidRPr="001C29FC" w:rsidRDefault="00D32A05" w:rsidP="00D32A05">
            <w:pPr>
              <w:pStyle w:val="TableText"/>
              <w:rPr>
                <w:szCs w:val="18"/>
              </w:rPr>
            </w:pPr>
            <w:r w:rsidRPr="001C29FC">
              <w:rPr>
                <w:szCs w:val="18"/>
              </w:rPr>
              <w:t xml:space="preserve">Accrue workload when a completed DAT, PS, IgG, or Comp is invalidated. </w:t>
            </w:r>
          </w:p>
        </w:tc>
      </w:tr>
      <w:tr w:rsidR="00D32A05" w:rsidRPr="001C29FC" w14:paraId="09999057" w14:textId="77777777" w:rsidTr="00D32A05">
        <w:trPr>
          <w:cantSplit/>
          <w:tblHeader/>
        </w:trPr>
        <w:tc>
          <w:tcPr>
            <w:tcW w:w="1803" w:type="dxa"/>
            <w:shd w:val="clear" w:color="auto" w:fill="auto"/>
            <w:vAlign w:val="bottom"/>
          </w:tcPr>
          <w:p w14:paraId="3177117D" w14:textId="77777777" w:rsidR="00D32A05" w:rsidRPr="001C29FC" w:rsidRDefault="00D32A05" w:rsidP="00D32A05">
            <w:pPr>
              <w:pStyle w:val="TableText"/>
            </w:pPr>
            <w:r w:rsidRPr="001C29FC">
              <w:t>Record Patient Direct Antiglobulin Test</w:t>
            </w:r>
          </w:p>
        </w:tc>
        <w:tc>
          <w:tcPr>
            <w:tcW w:w="1442" w:type="dxa"/>
            <w:vMerge w:val="restart"/>
            <w:shd w:val="clear" w:color="auto" w:fill="auto"/>
          </w:tcPr>
          <w:p w14:paraId="3FE6ACE3" w14:textId="77777777" w:rsidR="00D32A05" w:rsidRPr="001C29FC" w:rsidRDefault="00D32A05" w:rsidP="00D32A05">
            <w:pPr>
              <w:pStyle w:val="TableText"/>
              <w:rPr>
                <w:color w:val="000000"/>
                <w:szCs w:val="18"/>
              </w:rPr>
            </w:pPr>
            <w:r w:rsidRPr="001C29FC">
              <w:rPr>
                <w:color w:val="000000"/>
                <w:szCs w:val="18"/>
              </w:rPr>
              <w:t>Direct Antiglobulin Test (DAT) Repeat test</w:t>
            </w:r>
          </w:p>
        </w:tc>
        <w:tc>
          <w:tcPr>
            <w:tcW w:w="1633" w:type="dxa"/>
            <w:shd w:val="clear" w:color="auto" w:fill="auto"/>
          </w:tcPr>
          <w:p w14:paraId="0F834BCF"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3AFFFCF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DAT test is performed, completed, and saved. This applies to all repeat antiglobulin tests (PS, IgG, Comp).</w:t>
            </w:r>
          </w:p>
        </w:tc>
      </w:tr>
      <w:tr w:rsidR="00D32A05" w:rsidRPr="001C29FC" w14:paraId="13B1131C" w14:textId="77777777" w:rsidTr="00D32A05">
        <w:trPr>
          <w:cantSplit/>
          <w:tblHeader/>
        </w:trPr>
        <w:tc>
          <w:tcPr>
            <w:tcW w:w="1803" w:type="dxa"/>
            <w:shd w:val="clear" w:color="auto" w:fill="auto"/>
            <w:vAlign w:val="bottom"/>
          </w:tcPr>
          <w:p w14:paraId="63431AF1" w14:textId="77777777" w:rsidR="00D32A05" w:rsidRPr="001C29FC" w:rsidRDefault="00D32A05" w:rsidP="00D32A05">
            <w:pPr>
              <w:pStyle w:val="TableText"/>
            </w:pPr>
            <w:r w:rsidRPr="001C29FC">
              <w:t>Invalidate Patient Test Results*</w:t>
            </w:r>
          </w:p>
        </w:tc>
        <w:tc>
          <w:tcPr>
            <w:tcW w:w="1442" w:type="dxa"/>
            <w:vMerge/>
            <w:shd w:val="clear" w:color="auto" w:fill="auto"/>
          </w:tcPr>
          <w:p w14:paraId="206D7861" w14:textId="77777777" w:rsidR="00D32A05" w:rsidRPr="001C29FC" w:rsidRDefault="00D32A05" w:rsidP="00D32A05">
            <w:pPr>
              <w:pStyle w:val="TableText"/>
              <w:rPr>
                <w:color w:val="000000"/>
                <w:szCs w:val="18"/>
              </w:rPr>
            </w:pPr>
          </w:p>
        </w:tc>
        <w:tc>
          <w:tcPr>
            <w:tcW w:w="1633" w:type="dxa"/>
            <w:shd w:val="clear" w:color="auto" w:fill="auto"/>
          </w:tcPr>
          <w:p w14:paraId="22AFD923"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F29DA85" w14:textId="77777777" w:rsidR="00D32A05" w:rsidRPr="001C29FC" w:rsidRDefault="00D32A05" w:rsidP="00D32A05">
            <w:pPr>
              <w:pStyle w:val="TableText"/>
              <w:rPr>
                <w:szCs w:val="18"/>
              </w:rPr>
            </w:pPr>
            <w:r w:rsidRPr="001C29FC">
              <w:rPr>
                <w:szCs w:val="18"/>
              </w:rPr>
              <w:t>Accrue workload when a completed Repeat DAT, PS, IgG, or Comp is invalidated.</w:t>
            </w:r>
          </w:p>
        </w:tc>
      </w:tr>
      <w:tr w:rsidR="00D32A05" w:rsidRPr="001C29FC" w14:paraId="6C1DF3E1" w14:textId="77777777" w:rsidTr="00D32A05">
        <w:trPr>
          <w:cantSplit/>
          <w:tblHeader/>
        </w:trPr>
        <w:tc>
          <w:tcPr>
            <w:tcW w:w="1803" w:type="dxa"/>
            <w:shd w:val="clear" w:color="auto" w:fill="auto"/>
            <w:vAlign w:val="bottom"/>
          </w:tcPr>
          <w:p w14:paraId="0B36D724" w14:textId="77777777" w:rsidR="00D32A05" w:rsidRPr="001C29FC" w:rsidRDefault="00D32A05" w:rsidP="00D32A05">
            <w:pPr>
              <w:pStyle w:val="TableText"/>
            </w:pPr>
            <w:r w:rsidRPr="001C29FC">
              <w:t>Modify Units</w:t>
            </w:r>
          </w:p>
        </w:tc>
        <w:tc>
          <w:tcPr>
            <w:tcW w:w="1442" w:type="dxa"/>
            <w:vMerge w:val="restart"/>
            <w:shd w:val="clear" w:color="auto" w:fill="auto"/>
          </w:tcPr>
          <w:p w14:paraId="51E83BDF" w14:textId="77777777" w:rsidR="00D32A05" w:rsidRPr="001C29FC" w:rsidRDefault="00D32A05" w:rsidP="00D32A05">
            <w:pPr>
              <w:pStyle w:val="TableText"/>
              <w:rPr>
                <w:color w:val="000000"/>
                <w:szCs w:val="18"/>
              </w:rPr>
            </w:pPr>
            <w:r w:rsidRPr="001C29FC">
              <w:rPr>
                <w:color w:val="000000"/>
                <w:szCs w:val="18"/>
              </w:rPr>
              <w:t>Deglycerolize unit</w:t>
            </w:r>
          </w:p>
        </w:tc>
        <w:tc>
          <w:tcPr>
            <w:tcW w:w="1633" w:type="dxa"/>
            <w:shd w:val="clear" w:color="auto" w:fill="auto"/>
          </w:tcPr>
          <w:p w14:paraId="554DB1E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0AEC73B"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Deglycerolize modification type. Note: Workload is not accrued when a patient assignment is processed and VBECS releases all other patient assignments. Workload is not accrued when VBECS is required to quarantine the unit.</w:t>
            </w:r>
          </w:p>
        </w:tc>
      </w:tr>
      <w:tr w:rsidR="00D32A05" w:rsidRPr="001C29FC" w14:paraId="11D144B2" w14:textId="77777777" w:rsidTr="00D32A05">
        <w:trPr>
          <w:cantSplit/>
          <w:tblHeader/>
        </w:trPr>
        <w:tc>
          <w:tcPr>
            <w:tcW w:w="1803" w:type="dxa"/>
            <w:shd w:val="clear" w:color="auto" w:fill="auto"/>
            <w:vAlign w:val="bottom"/>
          </w:tcPr>
          <w:p w14:paraId="5421E996" w14:textId="77777777" w:rsidR="00D32A05" w:rsidRPr="001C29FC" w:rsidRDefault="00D32A05" w:rsidP="00D32A05">
            <w:pPr>
              <w:pStyle w:val="TableText"/>
            </w:pPr>
            <w:r w:rsidRPr="001C29FC">
              <w:t>Remove Final Status*</w:t>
            </w:r>
          </w:p>
        </w:tc>
        <w:tc>
          <w:tcPr>
            <w:tcW w:w="1442" w:type="dxa"/>
            <w:vMerge/>
            <w:shd w:val="clear" w:color="auto" w:fill="auto"/>
          </w:tcPr>
          <w:p w14:paraId="340AFA3B" w14:textId="77777777" w:rsidR="00D32A05" w:rsidRPr="001C29FC" w:rsidRDefault="00D32A05" w:rsidP="00D32A05">
            <w:pPr>
              <w:pStyle w:val="TableText"/>
              <w:rPr>
                <w:color w:val="000000"/>
                <w:szCs w:val="18"/>
              </w:rPr>
            </w:pPr>
          </w:p>
        </w:tc>
        <w:tc>
          <w:tcPr>
            <w:tcW w:w="1633" w:type="dxa"/>
            <w:shd w:val="clear" w:color="auto" w:fill="auto"/>
          </w:tcPr>
          <w:p w14:paraId="242E82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73E084D"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“Deglycerolize.”</w:t>
            </w:r>
          </w:p>
        </w:tc>
      </w:tr>
      <w:tr w:rsidR="00D32A05" w:rsidRPr="001C29FC" w14:paraId="09391075" w14:textId="77777777" w:rsidTr="00D32A05">
        <w:trPr>
          <w:cantSplit/>
          <w:tblHeader/>
        </w:trPr>
        <w:tc>
          <w:tcPr>
            <w:tcW w:w="1803" w:type="dxa"/>
            <w:shd w:val="clear" w:color="auto" w:fill="auto"/>
          </w:tcPr>
          <w:p w14:paraId="24452886" w14:textId="77777777" w:rsidR="00D32A05" w:rsidRPr="001C29FC" w:rsidRDefault="00D32A05" w:rsidP="00D32A05">
            <w:pPr>
              <w:pStyle w:val="TableText"/>
              <w:rPr>
                <w:color w:val="000000"/>
                <w:szCs w:val="18"/>
              </w:rPr>
            </w:pPr>
            <w:r w:rsidRPr="001C29FC">
              <w:rPr>
                <w:color w:val="000000"/>
                <w:szCs w:val="18"/>
              </w:rPr>
              <w:lastRenderedPageBreak/>
              <w:t>Discard or Quarantine Unit</w:t>
            </w:r>
          </w:p>
        </w:tc>
        <w:tc>
          <w:tcPr>
            <w:tcW w:w="1442" w:type="dxa"/>
            <w:vMerge w:val="restart"/>
            <w:shd w:val="clear" w:color="auto" w:fill="auto"/>
          </w:tcPr>
          <w:p w14:paraId="0C305794" w14:textId="77777777" w:rsidR="00D32A05" w:rsidRPr="001C29FC" w:rsidRDefault="00D32A05" w:rsidP="00D32A05">
            <w:pPr>
              <w:pStyle w:val="TableText"/>
              <w:rPr>
                <w:color w:val="000000"/>
                <w:szCs w:val="18"/>
              </w:rPr>
            </w:pPr>
            <w:r w:rsidRPr="001C29FC">
              <w:rPr>
                <w:color w:val="000000"/>
                <w:szCs w:val="18"/>
              </w:rPr>
              <w:t>Discard unit</w:t>
            </w:r>
          </w:p>
        </w:tc>
        <w:tc>
          <w:tcPr>
            <w:tcW w:w="1633" w:type="dxa"/>
            <w:shd w:val="clear" w:color="auto" w:fill="auto"/>
          </w:tcPr>
          <w:p w14:paraId="359C736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E03F775" w14:textId="77777777" w:rsidR="00D32A05" w:rsidRPr="001C29FC" w:rsidRDefault="00770D73" w:rsidP="00D32A05">
            <w:pPr>
              <w:pStyle w:val="TableText"/>
              <w:rPr>
                <w:szCs w:val="18"/>
              </w:rPr>
            </w:pPr>
            <w:r w:rsidRPr="001C29FC">
              <w:rPr>
                <w:szCs w:val="18"/>
              </w:rPr>
              <w:t>Accrue workload when a</w:t>
            </w:r>
            <w:r w:rsidRPr="001C29FC">
              <w:rPr>
                <w:color w:val="000000"/>
                <w:szCs w:val="18"/>
              </w:rPr>
              <w:t xml:space="preserve"> unit is discarded for waste or credit. When a batch of units is selected, each unit accrues workload.</w:t>
            </w:r>
          </w:p>
        </w:tc>
      </w:tr>
      <w:tr w:rsidR="00D32A05" w:rsidRPr="001C29FC" w14:paraId="6C2A3574" w14:textId="77777777" w:rsidTr="00D32A05">
        <w:trPr>
          <w:cantSplit/>
          <w:tblHeader/>
        </w:trPr>
        <w:tc>
          <w:tcPr>
            <w:tcW w:w="1803" w:type="dxa"/>
            <w:shd w:val="clear" w:color="auto" w:fill="auto"/>
            <w:vAlign w:val="bottom"/>
          </w:tcPr>
          <w:p w14:paraId="6D3920E2" w14:textId="77777777" w:rsidR="00D32A05" w:rsidRPr="001C29FC" w:rsidRDefault="00D32A05" w:rsidP="00D32A05">
            <w:pPr>
              <w:pStyle w:val="TableText"/>
            </w:pPr>
            <w:r w:rsidRPr="001C29FC">
              <w:t>Remove Final Status*</w:t>
            </w:r>
          </w:p>
        </w:tc>
        <w:tc>
          <w:tcPr>
            <w:tcW w:w="1442" w:type="dxa"/>
            <w:vMerge/>
            <w:shd w:val="clear" w:color="auto" w:fill="auto"/>
          </w:tcPr>
          <w:p w14:paraId="43AF69C6" w14:textId="77777777" w:rsidR="00D32A05" w:rsidRPr="001C29FC" w:rsidRDefault="00D32A05" w:rsidP="00D32A05">
            <w:pPr>
              <w:pStyle w:val="TableText"/>
              <w:rPr>
                <w:color w:val="000000"/>
                <w:szCs w:val="18"/>
              </w:rPr>
            </w:pPr>
          </w:p>
        </w:tc>
        <w:tc>
          <w:tcPr>
            <w:tcW w:w="1633" w:type="dxa"/>
            <w:shd w:val="clear" w:color="auto" w:fill="auto"/>
          </w:tcPr>
          <w:p w14:paraId="3B79AB8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5B5D7F2" w14:textId="77777777" w:rsidR="00D32A05" w:rsidRPr="001C29FC" w:rsidRDefault="00D32A05" w:rsidP="00D32A05">
            <w:pPr>
              <w:pStyle w:val="TableText"/>
              <w:rPr>
                <w:szCs w:val="18"/>
              </w:rPr>
            </w:pPr>
            <w:r w:rsidRPr="001C29FC">
              <w:rPr>
                <w:szCs w:val="18"/>
              </w:rPr>
              <w:t>Accrue workload when a</w:t>
            </w:r>
            <w:r w:rsidR="00770D73">
              <w:rPr>
                <w:color w:val="000000"/>
                <w:szCs w:val="18"/>
              </w:rPr>
              <w:t>n individual blood unit’s status is invalidated. When a batch of units is selected, each unit accrues workload.</w:t>
            </w:r>
          </w:p>
        </w:tc>
      </w:tr>
      <w:tr w:rsidR="00D32A05" w:rsidRPr="001C29FC" w14:paraId="2B535C34" w14:textId="77777777" w:rsidTr="00D32A05">
        <w:trPr>
          <w:cantSplit/>
          <w:tblHeader/>
        </w:trPr>
        <w:tc>
          <w:tcPr>
            <w:tcW w:w="1803" w:type="dxa"/>
            <w:shd w:val="clear" w:color="auto" w:fill="auto"/>
            <w:vAlign w:val="bottom"/>
          </w:tcPr>
          <w:p w14:paraId="2A519B7A" w14:textId="77777777" w:rsidR="00D32A05" w:rsidRPr="001C29FC" w:rsidRDefault="00D32A05" w:rsidP="00D32A05">
            <w:pPr>
              <w:pStyle w:val="TableText"/>
            </w:pPr>
            <w:r w:rsidRPr="001C29FC">
              <w:t>Modify Units</w:t>
            </w:r>
          </w:p>
        </w:tc>
        <w:tc>
          <w:tcPr>
            <w:tcW w:w="1442" w:type="dxa"/>
            <w:vMerge w:val="restart"/>
            <w:shd w:val="clear" w:color="auto" w:fill="auto"/>
          </w:tcPr>
          <w:p w14:paraId="17C6665F" w14:textId="77777777" w:rsidR="00D32A05" w:rsidRPr="001C29FC" w:rsidRDefault="00D32A05" w:rsidP="00D32A05">
            <w:pPr>
              <w:pStyle w:val="TableText"/>
              <w:rPr>
                <w:color w:val="000000"/>
                <w:szCs w:val="18"/>
              </w:rPr>
            </w:pPr>
            <w:r w:rsidRPr="001C29FC">
              <w:rPr>
                <w:color w:val="000000"/>
                <w:szCs w:val="18"/>
              </w:rPr>
              <w:t>Freeze unit</w:t>
            </w:r>
          </w:p>
        </w:tc>
        <w:tc>
          <w:tcPr>
            <w:tcW w:w="1633" w:type="dxa"/>
            <w:shd w:val="clear" w:color="auto" w:fill="auto"/>
          </w:tcPr>
          <w:p w14:paraId="3152163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2A1AD0"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Freeze modification type. Note: Workload is not accrued when a patient assignment is processed and VBECS releases all other patient assignments. Workload is not accrued when VBECS is required to quarantine the unit.</w:t>
            </w:r>
          </w:p>
        </w:tc>
      </w:tr>
      <w:tr w:rsidR="00D32A05" w:rsidRPr="001C29FC" w14:paraId="6B524452" w14:textId="77777777" w:rsidTr="00D32A05">
        <w:trPr>
          <w:cantSplit/>
          <w:tblHeader/>
        </w:trPr>
        <w:tc>
          <w:tcPr>
            <w:tcW w:w="1803" w:type="dxa"/>
            <w:shd w:val="clear" w:color="auto" w:fill="auto"/>
            <w:vAlign w:val="bottom"/>
          </w:tcPr>
          <w:p w14:paraId="38050B09" w14:textId="77777777" w:rsidR="00D32A05" w:rsidRPr="001C29FC" w:rsidRDefault="00D32A05" w:rsidP="00D32A05">
            <w:pPr>
              <w:pStyle w:val="TableText"/>
            </w:pPr>
            <w:r w:rsidRPr="001C29FC">
              <w:t>Remove Final Status*</w:t>
            </w:r>
          </w:p>
        </w:tc>
        <w:tc>
          <w:tcPr>
            <w:tcW w:w="1442" w:type="dxa"/>
            <w:vMerge/>
            <w:shd w:val="clear" w:color="auto" w:fill="auto"/>
          </w:tcPr>
          <w:p w14:paraId="3485316F" w14:textId="77777777" w:rsidR="00D32A05" w:rsidRPr="001C29FC" w:rsidRDefault="00D32A05" w:rsidP="00D32A05">
            <w:pPr>
              <w:pStyle w:val="TableText"/>
              <w:rPr>
                <w:color w:val="000000"/>
                <w:szCs w:val="18"/>
              </w:rPr>
            </w:pPr>
          </w:p>
        </w:tc>
        <w:tc>
          <w:tcPr>
            <w:tcW w:w="1633" w:type="dxa"/>
            <w:shd w:val="clear" w:color="auto" w:fill="auto"/>
          </w:tcPr>
          <w:p w14:paraId="74C64F0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6D1D7D7"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“Freeze.”</w:t>
            </w:r>
          </w:p>
        </w:tc>
      </w:tr>
      <w:tr w:rsidR="00D32A05" w:rsidRPr="001C29FC" w14:paraId="5681BB3D" w14:textId="77777777" w:rsidTr="00D32A05">
        <w:trPr>
          <w:cantSplit/>
          <w:tblHeader/>
        </w:trPr>
        <w:tc>
          <w:tcPr>
            <w:tcW w:w="1803" w:type="dxa"/>
            <w:shd w:val="clear" w:color="auto" w:fill="auto"/>
            <w:vAlign w:val="bottom"/>
          </w:tcPr>
          <w:p w14:paraId="4E13E950" w14:textId="77777777" w:rsidR="00D32A05" w:rsidRPr="001C29FC" w:rsidRDefault="00D32A05" w:rsidP="00D32A05">
            <w:pPr>
              <w:pStyle w:val="TableText"/>
            </w:pPr>
            <w:r w:rsidRPr="001C29FC">
              <w:t>Modify Units</w:t>
            </w:r>
          </w:p>
        </w:tc>
        <w:tc>
          <w:tcPr>
            <w:tcW w:w="1442" w:type="dxa"/>
            <w:vMerge w:val="restart"/>
            <w:shd w:val="clear" w:color="auto" w:fill="auto"/>
          </w:tcPr>
          <w:p w14:paraId="6CEA6EB6" w14:textId="77777777" w:rsidR="00D32A05" w:rsidRPr="001C29FC" w:rsidRDefault="00D32A05" w:rsidP="00D32A05">
            <w:pPr>
              <w:pStyle w:val="TableText"/>
              <w:rPr>
                <w:color w:val="000000"/>
                <w:szCs w:val="18"/>
              </w:rPr>
            </w:pPr>
            <w:r w:rsidRPr="001C29FC">
              <w:rPr>
                <w:color w:val="000000"/>
                <w:szCs w:val="18"/>
              </w:rPr>
              <w:t>Irradiate unit</w:t>
            </w:r>
          </w:p>
        </w:tc>
        <w:tc>
          <w:tcPr>
            <w:tcW w:w="1633" w:type="dxa"/>
            <w:shd w:val="clear" w:color="auto" w:fill="auto"/>
          </w:tcPr>
          <w:p w14:paraId="78A63559"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B5993A4"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Irradiate modification type. When a batch of units is irradiated, each unit accrues workload. Note: Workload is not accrued when a patient assignment is processed and VBECS releases all other patient assignments. Workload is not accrued when VBECS is required to quarantine the unit.</w:t>
            </w:r>
          </w:p>
        </w:tc>
      </w:tr>
      <w:tr w:rsidR="00D32A05" w:rsidRPr="001C29FC" w14:paraId="510E5F80" w14:textId="77777777" w:rsidTr="00D32A05">
        <w:trPr>
          <w:cantSplit/>
          <w:tblHeader/>
        </w:trPr>
        <w:tc>
          <w:tcPr>
            <w:tcW w:w="1803" w:type="dxa"/>
            <w:shd w:val="clear" w:color="auto" w:fill="auto"/>
            <w:vAlign w:val="bottom"/>
          </w:tcPr>
          <w:p w14:paraId="49F909FF" w14:textId="77777777" w:rsidR="00D32A05" w:rsidRPr="001C29FC" w:rsidRDefault="00D32A05" w:rsidP="00D32A05">
            <w:pPr>
              <w:pStyle w:val="TableText"/>
            </w:pPr>
            <w:r w:rsidRPr="001C29FC">
              <w:t>Remove Final Status*</w:t>
            </w:r>
          </w:p>
        </w:tc>
        <w:tc>
          <w:tcPr>
            <w:tcW w:w="1442" w:type="dxa"/>
            <w:vMerge/>
            <w:shd w:val="clear" w:color="auto" w:fill="auto"/>
          </w:tcPr>
          <w:p w14:paraId="7201589F" w14:textId="77777777" w:rsidR="00D32A05" w:rsidRPr="001C29FC" w:rsidRDefault="00D32A05" w:rsidP="00D32A05">
            <w:pPr>
              <w:pStyle w:val="TableText"/>
              <w:rPr>
                <w:color w:val="000000"/>
                <w:szCs w:val="18"/>
              </w:rPr>
            </w:pPr>
          </w:p>
        </w:tc>
        <w:tc>
          <w:tcPr>
            <w:tcW w:w="1633" w:type="dxa"/>
            <w:shd w:val="clear" w:color="auto" w:fill="auto"/>
          </w:tcPr>
          <w:p w14:paraId="38B1B59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F1B13"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“Irradiate.”</w:t>
            </w:r>
          </w:p>
        </w:tc>
      </w:tr>
      <w:tr w:rsidR="00D32A05" w:rsidRPr="001C29FC" w14:paraId="3DA829A9" w14:textId="77777777" w:rsidTr="00D32A05">
        <w:trPr>
          <w:cantSplit/>
          <w:tblHeader/>
        </w:trPr>
        <w:tc>
          <w:tcPr>
            <w:tcW w:w="1803" w:type="dxa"/>
            <w:shd w:val="clear" w:color="auto" w:fill="auto"/>
            <w:vAlign w:val="bottom"/>
          </w:tcPr>
          <w:p w14:paraId="2F7282CC" w14:textId="77777777" w:rsidR="00D32A05" w:rsidRPr="001C29FC" w:rsidRDefault="00D32A05" w:rsidP="00D32A05">
            <w:pPr>
              <w:pStyle w:val="TableText"/>
            </w:pPr>
            <w:r w:rsidRPr="001C29FC">
              <w:t>Modify Units</w:t>
            </w:r>
          </w:p>
        </w:tc>
        <w:tc>
          <w:tcPr>
            <w:tcW w:w="1442" w:type="dxa"/>
            <w:vMerge w:val="restart"/>
            <w:shd w:val="clear" w:color="auto" w:fill="auto"/>
          </w:tcPr>
          <w:p w14:paraId="5710A905" w14:textId="77777777" w:rsidR="00D32A05" w:rsidRPr="001C29FC" w:rsidRDefault="00D32A05" w:rsidP="00D32A05">
            <w:pPr>
              <w:pStyle w:val="TableText"/>
              <w:rPr>
                <w:color w:val="000000"/>
                <w:szCs w:val="18"/>
              </w:rPr>
            </w:pPr>
            <w:r w:rsidRPr="001C29FC">
              <w:rPr>
                <w:color w:val="000000"/>
                <w:szCs w:val="18"/>
              </w:rPr>
              <w:t>Leukoreduce unit</w:t>
            </w:r>
          </w:p>
        </w:tc>
        <w:tc>
          <w:tcPr>
            <w:tcW w:w="1633" w:type="dxa"/>
            <w:shd w:val="clear" w:color="auto" w:fill="auto"/>
          </w:tcPr>
          <w:p w14:paraId="353107A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FF352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Leukoreduce modification type.</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2F2A61DA" w14:textId="77777777" w:rsidTr="00D32A05">
        <w:trPr>
          <w:cantSplit/>
          <w:tblHeader/>
        </w:trPr>
        <w:tc>
          <w:tcPr>
            <w:tcW w:w="1803" w:type="dxa"/>
            <w:shd w:val="clear" w:color="auto" w:fill="auto"/>
            <w:vAlign w:val="bottom"/>
          </w:tcPr>
          <w:p w14:paraId="77530D36" w14:textId="77777777" w:rsidR="00D32A05" w:rsidRPr="001C29FC" w:rsidRDefault="00D32A05" w:rsidP="00D32A05">
            <w:pPr>
              <w:pStyle w:val="TableText"/>
            </w:pPr>
            <w:r w:rsidRPr="001C29FC">
              <w:t>Remove Final Status*</w:t>
            </w:r>
          </w:p>
        </w:tc>
        <w:tc>
          <w:tcPr>
            <w:tcW w:w="1442" w:type="dxa"/>
            <w:vMerge/>
            <w:shd w:val="clear" w:color="auto" w:fill="auto"/>
          </w:tcPr>
          <w:p w14:paraId="482EC222" w14:textId="77777777" w:rsidR="00D32A05" w:rsidRPr="001C29FC" w:rsidRDefault="00D32A05" w:rsidP="00D32A05">
            <w:pPr>
              <w:pStyle w:val="TableText"/>
              <w:rPr>
                <w:color w:val="000000"/>
                <w:szCs w:val="18"/>
              </w:rPr>
            </w:pPr>
          </w:p>
        </w:tc>
        <w:tc>
          <w:tcPr>
            <w:tcW w:w="1633" w:type="dxa"/>
            <w:shd w:val="clear" w:color="auto" w:fill="auto"/>
          </w:tcPr>
          <w:p w14:paraId="44DA736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895910"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“Leukoreduce.”</w:t>
            </w:r>
          </w:p>
        </w:tc>
      </w:tr>
      <w:tr w:rsidR="00D32A05" w:rsidRPr="001C29FC" w14:paraId="7EA4C4C8" w14:textId="77777777" w:rsidTr="00D32A05">
        <w:trPr>
          <w:cantSplit/>
          <w:tblHeader/>
        </w:trPr>
        <w:tc>
          <w:tcPr>
            <w:tcW w:w="1803" w:type="dxa"/>
            <w:shd w:val="clear" w:color="auto" w:fill="auto"/>
            <w:vAlign w:val="bottom"/>
          </w:tcPr>
          <w:p w14:paraId="07F8B407" w14:textId="77777777" w:rsidR="00D32A05" w:rsidRPr="001C29FC" w:rsidRDefault="00D32A05" w:rsidP="00D32A05">
            <w:pPr>
              <w:pStyle w:val="TableText"/>
            </w:pPr>
            <w:r w:rsidRPr="001C29FC">
              <w:t>Split a Unit</w:t>
            </w:r>
          </w:p>
        </w:tc>
        <w:tc>
          <w:tcPr>
            <w:tcW w:w="1442" w:type="dxa"/>
            <w:vMerge w:val="restart"/>
            <w:shd w:val="clear" w:color="auto" w:fill="auto"/>
          </w:tcPr>
          <w:p w14:paraId="6B1F1D1F" w14:textId="77777777" w:rsidR="00D32A05" w:rsidRPr="001C29FC" w:rsidRDefault="00D32A05" w:rsidP="00D32A05">
            <w:pPr>
              <w:pStyle w:val="TableText"/>
              <w:rPr>
                <w:color w:val="000000"/>
                <w:szCs w:val="18"/>
              </w:rPr>
            </w:pPr>
            <w:r w:rsidRPr="001C29FC">
              <w:rPr>
                <w:color w:val="000000"/>
                <w:szCs w:val="18"/>
              </w:rPr>
              <w:t>Split unit</w:t>
            </w:r>
          </w:p>
        </w:tc>
        <w:tc>
          <w:tcPr>
            <w:tcW w:w="1633" w:type="dxa"/>
            <w:shd w:val="clear" w:color="auto" w:fill="auto"/>
          </w:tcPr>
          <w:p w14:paraId="23AD316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64C7802"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modification of Split and a single workload event is recorded regardless of the number of units created by the modification.</w:t>
            </w:r>
            <w:r w:rsidRPr="001C29FC">
              <w:rPr>
                <w:i/>
                <w:iCs/>
                <w:color w:val="000000"/>
                <w:szCs w:val="18"/>
              </w:rPr>
              <w:t xml:space="preserve"> </w:t>
            </w:r>
            <w:r w:rsidRPr="001C29FC">
              <w:rPr>
                <w:iCs/>
                <w:color w:val="000000"/>
                <w:szCs w:val="18"/>
              </w:rPr>
              <w:t xml:space="preserve">Note: Workload is not accrued when a patient assignment is processed and VBECS releases all other patient assignments. Workload is not accrued when VBECS is required to quarantine the unit. </w:t>
            </w:r>
          </w:p>
        </w:tc>
      </w:tr>
      <w:tr w:rsidR="00D32A05" w:rsidRPr="001C29FC" w14:paraId="6BD4DEC1" w14:textId="77777777" w:rsidTr="00D32A05">
        <w:trPr>
          <w:cantSplit/>
          <w:tblHeader/>
        </w:trPr>
        <w:tc>
          <w:tcPr>
            <w:tcW w:w="1803" w:type="dxa"/>
            <w:shd w:val="clear" w:color="auto" w:fill="auto"/>
            <w:vAlign w:val="bottom"/>
          </w:tcPr>
          <w:p w14:paraId="121E279E" w14:textId="77777777" w:rsidR="00D32A05" w:rsidRPr="001C29FC" w:rsidRDefault="00D32A05" w:rsidP="00D32A05">
            <w:pPr>
              <w:pStyle w:val="TableText"/>
            </w:pPr>
            <w:r w:rsidRPr="001C29FC">
              <w:t>Remove Final Status*</w:t>
            </w:r>
          </w:p>
        </w:tc>
        <w:tc>
          <w:tcPr>
            <w:tcW w:w="1442" w:type="dxa"/>
            <w:vMerge/>
            <w:shd w:val="clear" w:color="auto" w:fill="auto"/>
          </w:tcPr>
          <w:p w14:paraId="29E28EB9" w14:textId="77777777" w:rsidR="00D32A05" w:rsidRPr="001C29FC" w:rsidRDefault="00D32A05" w:rsidP="00D32A05">
            <w:pPr>
              <w:pStyle w:val="TableText"/>
              <w:rPr>
                <w:color w:val="000000"/>
                <w:szCs w:val="18"/>
              </w:rPr>
            </w:pPr>
          </w:p>
        </w:tc>
        <w:tc>
          <w:tcPr>
            <w:tcW w:w="1633" w:type="dxa"/>
            <w:shd w:val="clear" w:color="auto" w:fill="auto"/>
          </w:tcPr>
          <w:p w14:paraId="738A1D2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C7799" w14:textId="77777777" w:rsidR="00D32A05" w:rsidRPr="001C29FC" w:rsidRDefault="00D32A05" w:rsidP="00D32A05">
            <w:pPr>
              <w:pStyle w:val="TableText"/>
              <w:rPr>
                <w:color w:val="000000"/>
                <w:szCs w:val="18"/>
              </w:rPr>
            </w:pPr>
            <w:r w:rsidRPr="001C29FC">
              <w:rPr>
                <w:color w:val="000000"/>
                <w:szCs w:val="18"/>
              </w:rPr>
              <w:t>A Split Unit has its unit status invalidated. A single workload event is recorded regardless of the number of units originally created by the modification.</w:t>
            </w:r>
          </w:p>
        </w:tc>
      </w:tr>
      <w:tr w:rsidR="00D32A05" w:rsidRPr="001C29FC" w14:paraId="1932BBEE" w14:textId="77777777" w:rsidTr="00D32A05">
        <w:trPr>
          <w:cantSplit/>
          <w:tblHeader/>
        </w:trPr>
        <w:tc>
          <w:tcPr>
            <w:tcW w:w="1803" w:type="dxa"/>
            <w:shd w:val="clear" w:color="auto" w:fill="auto"/>
            <w:vAlign w:val="bottom"/>
          </w:tcPr>
          <w:p w14:paraId="60727877" w14:textId="77777777" w:rsidR="00D32A05" w:rsidRPr="001C29FC" w:rsidRDefault="00D32A05" w:rsidP="00D32A05">
            <w:pPr>
              <w:pStyle w:val="TableText"/>
            </w:pPr>
            <w:r w:rsidRPr="001C29FC">
              <w:t>Modify Units</w:t>
            </w:r>
          </w:p>
        </w:tc>
        <w:tc>
          <w:tcPr>
            <w:tcW w:w="1442" w:type="dxa"/>
            <w:vMerge w:val="restart"/>
            <w:shd w:val="clear" w:color="auto" w:fill="auto"/>
          </w:tcPr>
          <w:p w14:paraId="22844BDE" w14:textId="77777777" w:rsidR="00D32A05" w:rsidRPr="001C29FC" w:rsidRDefault="00D32A05" w:rsidP="00D32A05">
            <w:pPr>
              <w:pStyle w:val="TableText"/>
              <w:rPr>
                <w:color w:val="000000"/>
                <w:szCs w:val="18"/>
              </w:rPr>
            </w:pPr>
            <w:r w:rsidRPr="001C29FC">
              <w:rPr>
                <w:color w:val="000000"/>
                <w:szCs w:val="18"/>
              </w:rPr>
              <w:t>Rejuvenate unit</w:t>
            </w:r>
          </w:p>
        </w:tc>
        <w:tc>
          <w:tcPr>
            <w:tcW w:w="1633" w:type="dxa"/>
            <w:shd w:val="clear" w:color="auto" w:fill="auto"/>
          </w:tcPr>
          <w:p w14:paraId="485F46E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A311D03"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Rejuvenate modification type. </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39B0F9AD" w14:textId="77777777" w:rsidTr="00D32A05">
        <w:trPr>
          <w:cantSplit/>
          <w:tblHeader/>
        </w:trPr>
        <w:tc>
          <w:tcPr>
            <w:tcW w:w="1803" w:type="dxa"/>
            <w:shd w:val="clear" w:color="auto" w:fill="auto"/>
            <w:vAlign w:val="bottom"/>
          </w:tcPr>
          <w:p w14:paraId="4A606A02" w14:textId="77777777" w:rsidR="00D32A05" w:rsidRPr="001C29FC" w:rsidRDefault="00D32A05" w:rsidP="00D32A05">
            <w:pPr>
              <w:pStyle w:val="TableText"/>
            </w:pPr>
            <w:r w:rsidRPr="001C29FC">
              <w:t>Remove Final Status*</w:t>
            </w:r>
          </w:p>
        </w:tc>
        <w:tc>
          <w:tcPr>
            <w:tcW w:w="1442" w:type="dxa"/>
            <w:vMerge/>
            <w:shd w:val="clear" w:color="auto" w:fill="auto"/>
          </w:tcPr>
          <w:p w14:paraId="6FCFB2AE" w14:textId="77777777" w:rsidR="00D32A05" w:rsidRPr="001C29FC" w:rsidRDefault="00D32A05" w:rsidP="00D32A05">
            <w:pPr>
              <w:pStyle w:val="TableText"/>
              <w:rPr>
                <w:color w:val="000000"/>
                <w:szCs w:val="18"/>
              </w:rPr>
            </w:pPr>
          </w:p>
        </w:tc>
        <w:tc>
          <w:tcPr>
            <w:tcW w:w="1633" w:type="dxa"/>
            <w:shd w:val="clear" w:color="auto" w:fill="auto"/>
          </w:tcPr>
          <w:p w14:paraId="0E06A2E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A3CB0A"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“Rejuvenate. “</w:t>
            </w:r>
          </w:p>
        </w:tc>
      </w:tr>
      <w:tr w:rsidR="00D32A05" w:rsidRPr="001C29FC" w14:paraId="735BEE58" w14:textId="77777777" w:rsidTr="00D32A05">
        <w:trPr>
          <w:cantSplit/>
          <w:tblHeader/>
        </w:trPr>
        <w:tc>
          <w:tcPr>
            <w:tcW w:w="1803" w:type="dxa"/>
            <w:shd w:val="clear" w:color="auto" w:fill="auto"/>
            <w:vAlign w:val="bottom"/>
          </w:tcPr>
          <w:p w14:paraId="556740C8" w14:textId="77777777" w:rsidR="00D32A05" w:rsidRPr="001C29FC" w:rsidRDefault="00D32A05" w:rsidP="00D32A05">
            <w:pPr>
              <w:pStyle w:val="TableText"/>
            </w:pPr>
            <w:r w:rsidRPr="001C29FC">
              <w:lastRenderedPageBreak/>
              <w:t>Modify Units</w:t>
            </w:r>
          </w:p>
        </w:tc>
        <w:tc>
          <w:tcPr>
            <w:tcW w:w="1442" w:type="dxa"/>
            <w:vMerge w:val="restart"/>
            <w:shd w:val="clear" w:color="auto" w:fill="auto"/>
          </w:tcPr>
          <w:p w14:paraId="752D17D0" w14:textId="77777777" w:rsidR="00D32A05" w:rsidRPr="001C29FC" w:rsidRDefault="00D32A05" w:rsidP="00D32A05">
            <w:pPr>
              <w:pStyle w:val="TableText"/>
              <w:rPr>
                <w:color w:val="000000"/>
                <w:szCs w:val="18"/>
              </w:rPr>
            </w:pPr>
            <w:r w:rsidRPr="001C29FC">
              <w:rPr>
                <w:color w:val="000000"/>
                <w:szCs w:val="18"/>
              </w:rPr>
              <w:t xml:space="preserve">Thaw </w:t>
            </w:r>
          </w:p>
        </w:tc>
        <w:tc>
          <w:tcPr>
            <w:tcW w:w="1633" w:type="dxa"/>
            <w:shd w:val="clear" w:color="auto" w:fill="auto"/>
          </w:tcPr>
          <w:p w14:paraId="5DF77AA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A2833E6"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Thaw modification type. When a batch of units is thawed, each unit accrues workload. This applies to Thaw FFP and Thaw Cryo. Note: Workload is not accrued when a patient assignment is processed and VBECS releases all other patient assignments. Workload is not accrued when VBECS is required to quarantine the unit.</w:t>
            </w:r>
          </w:p>
        </w:tc>
      </w:tr>
      <w:tr w:rsidR="00D32A05" w:rsidRPr="001C29FC" w14:paraId="364A5A4D" w14:textId="77777777" w:rsidTr="00D32A05">
        <w:trPr>
          <w:cantSplit/>
          <w:tblHeader/>
        </w:trPr>
        <w:tc>
          <w:tcPr>
            <w:tcW w:w="1803" w:type="dxa"/>
            <w:shd w:val="clear" w:color="auto" w:fill="auto"/>
            <w:vAlign w:val="bottom"/>
          </w:tcPr>
          <w:p w14:paraId="28D3A679" w14:textId="77777777" w:rsidR="00D32A05" w:rsidRPr="001C29FC" w:rsidRDefault="00D32A05" w:rsidP="00D32A05">
            <w:pPr>
              <w:pStyle w:val="TableText"/>
            </w:pPr>
            <w:r w:rsidRPr="001C29FC">
              <w:t>Remove Final Status*</w:t>
            </w:r>
          </w:p>
        </w:tc>
        <w:tc>
          <w:tcPr>
            <w:tcW w:w="1442" w:type="dxa"/>
            <w:vMerge/>
            <w:shd w:val="clear" w:color="auto" w:fill="auto"/>
          </w:tcPr>
          <w:p w14:paraId="5AA63736" w14:textId="77777777" w:rsidR="00D32A05" w:rsidRPr="001C29FC" w:rsidRDefault="00D32A05" w:rsidP="00D32A05">
            <w:pPr>
              <w:pStyle w:val="TableText"/>
              <w:rPr>
                <w:color w:val="000000"/>
                <w:szCs w:val="18"/>
              </w:rPr>
            </w:pPr>
          </w:p>
        </w:tc>
        <w:tc>
          <w:tcPr>
            <w:tcW w:w="1633" w:type="dxa"/>
            <w:shd w:val="clear" w:color="auto" w:fill="auto"/>
          </w:tcPr>
          <w:p w14:paraId="35A108DB"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DDD852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“Thaw.” This modification type is applicable to Thaw FFP and Thaw Cryo.</w:t>
            </w:r>
          </w:p>
        </w:tc>
      </w:tr>
      <w:tr w:rsidR="00D32A05" w:rsidRPr="001C29FC" w14:paraId="00D0AFDD" w14:textId="77777777" w:rsidTr="00D32A05">
        <w:trPr>
          <w:cantSplit/>
          <w:tblHeader/>
        </w:trPr>
        <w:tc>
          <w:tcPr>
            <w:tcW w:w="1803" w:type="dxa"/>
            <w:shd w:val="clear" w:color="auto" w:fill="auto"/>
            <w:vAlign w:val="bottom"/>
          </w:tcPr>
          <w:p w14:paraId="5D76FEBB" w14:textId="77777777" w:rsidR="00D32A05" w:rsidRPr="001C29FC" w:rsidRDefault="00D32A05" w:rsidP="00D32A05">
            <w:pPr>
              <w:pStyle w:val="TableText"/>
            </w:pPr>
            <w:r w:rsidRPr="001C29FC">
              <w:t>Modify Units</w:t>
            </w:r>
          </w:p>
        </w:tc>
        <w:tc>
          <w:tcPr>
            <w:tcW w:w="1442" w:type="dxa"/>
            <w:vMerge w:val="restart"/>
            <w:shd w:val="clear" w:color="auto" w:fill="auto"/>
          </w:tcPr>
          <w:p w14:paraId="39174611" w14:textId="77777777" w:rsidR="00D32A05" w:rsidRPr="001C29FC" w:rsidRDefault="00D32A05" w:rsidP="00D32A05">
            <w:pPr>
              <w:pStyle w:val="TableText"/>
              <w:rPr>
                <w:color w:val="000000"/>
                <w:szCs w:val="18"/>
              </w:rPr>
            </w:pPr>
            <w:r w:rsidRPr="001C29FC">
              <w:rPr>
                <w:color w:val="000000"/>
                <w:szCs w:val="18"/>
              </w:rPr>
              <w:t>Wash unit</w:t>
            </w:r>
          </w:p>
        </w:tc>
        <w:tc>
          <w:tcPr>
            <w:tcW w:w="1633" w:type="dxa"/>
            <w:shd w:val="clear" w:color="auto" w:fill="auto"/>
          </w:tcPr>
          <w:p w14:paraId="4CE7D6D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52AAA35"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Wash modification type. Note: Workload is not accrued when a patient assignment is processed and VBECS releases all other patient assignments. Workload is not accrued when VBECS is required to quarantine the unit.</w:t>
            </w:r>
          </w:p>
        </w:tc>
      </w:tr>
      <w:tr w:rsidR="00D32A05" w:rsidRPr="001C29FC" w14:paraId="6C6B9973" w14:textId="77777777" w:rsidTr="00D32A05">
        <w:trPr>
          <w:cantSplit/>
          <w:tblHeader/>
        </w:trPr>
        <w:tc>
          <w:tcPr>
            <w:tcW w:w="1803" w:type="dxa"/>
            <w:shd w:val="clear" w:color="auto" w:fill="auto"/>
            <w:vAlign w:val="bottom"/>
          </w:tcPr>
          <w:p w14:paraId="60F76775" w14:textId="77777777" w:rsidR="00D32A05" w:rsidRPr="001C29FC" w:rsidRDefault="00D32A05" w:rsidP="00D32A05">
            <w:pPr>
              <w:pStyle w:val="TableText"/>
            </w:pPr>
            <w:r w:rsidRPr="001C29FC">
              <w:t>Remove Final Status*</w:t>
            </w:r>
          </w:p>
        </w:tc>
        <w:tc>
          <w:tcPr>
            <w:tcW w:w="1442" w:type="dxa"/>
            <w:vMerge/>
            <w:shd w:val="clear" w:color="auto" w:fill="auto"/>
          </w:tcPr>
          <w:p w14:paraId="0E48D9DC" w14:textId="77777777" w:rsidR="00D32A05" w:rsidRPr="001C29FC" w:rsidRDefault="00D32A05" w:rsidP="00D32A05">
            <w:pPr>
              <w:pStyle w:val="TableText"/>
              <w:rPr>
                <w:color w:val="000000"/>
                <w:szCs w:val="18"/>
              </w:rPr>
            </w:pPr>
          </w:p>
        </w:tc>
        <w:tc>
          <w:tcPr>
            <w:tcW w:w="1633" w:type="dxa"/>
            <w:shd w:val="clear" w:color="auto" w:fill="auto"/>
          </w:tcPr>
          <w:p w14:paraId="1BDA908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AE69EEC"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“Wash.”</w:t>
            </w:r>
          </w:p>
        </w:tc>
      </w:tr>
      <w:tr w:rsidR="00D32A05" w:rsidRPr="001C29FC" w14:paraId="15392456" w14:textId="77777777" w:rsidTr="00D32A05">
        <w:trPr>
          <w:cantSplit/>
          <w:tblHeader/>
        </w:trPr>
        <w:tc>
          <w:tcPr>
            <w:tcW w:w="1803" w:type="dxa"/>
            <w:shd w:val="clear" w:color="auto" w:fill="auto"/>
            <w:vAlign w:val="bottom"/>
          </w:tcPr>
          <w:p w14:paraId="76EAC92F" w14:textId="77777777" w:rsidR="00D32A05" w:rsidRPr="001C29FC" w:rsidRDefault="00D32A05" w:rsidP="00D32A05">
            <w:pPr>
              <w:pStyle w:val="TableText"/>
            </w:pPr>
            <w:r w:rsidRPr="001C29FC">
              <w:t>Modify Units</w:t>
            </w:r>
          </w:p>
        </w:tc>
        <w:tc>
          <w:tcPr>
            <w:tcW w:w="1442" w:type="dxa"/>
            <w:vMerge w:val="restart"/>
            <w:shd w:val="clear" w:color="auto" w:fill="auto"/>
          </w:tcPr>
          <w:p w14:paraId="28350C62" w14:textId="77777777" w:rsidR="00D32A05" w:rsidRPr="001C29FC" w:rsidRDefault="00D32A05" w:rsidP="00D32A05">
            <w:pPr>
              <w:pStyle w:val="TableText"/>
              <w:rPr>
                <w:color w:val="000000"/>
                <w:szCs w:val="18"/>
              </w:rPr>
            </w:pPr>
            <w:r w:rsidRPr="001C29FC">
              <w:rPr>
                <w:color w:val="000000"/>
                <w:szCs w:val="18"/>
              </w:rPr>
              <w:t>Volume Reduce</w:t>
            </w:r>
          </w:p>
        </w:tc>
        <w:tc>
          <w:tcPr>
            <w:tcW w:w="1633" w:type="dxa"/>
            <w:shd w:val="clear" w:color="auto" w:fill="auto"/>
          </w:tcPr>
          <w:p w14:paraId="1628CC4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6311D2D"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Volume Reduce modification type. Note: Workload is not accrued when a patient assignment is processed and VBECS releases all other patient assignments. Workload is not accrued when VBECS is required to quarantine the unit.</w:t>
            </w:r>
          </w:p>
        </w:tc>
      </w:tr>
      <w:tr w:rsidR="00D32A05" w:rsidRPr="001C29FC" w14:paraId="170BA842" w14:textId="77777777" w:rsidTr="00D32A05">
        <w:trPr>
          <w:cantSplit/>
          <w:tblHeader/>
        </w:trPr>
        <w:tc>
          <w:tcPr>
            <w:tcW w:w="1803" w:type="dxa"/>
            <w:shd w:val="clear" w:color="auto" w:fill="auto"/>
            <w:vAlign w:val="bottom"/>
          </w:tcPr>
          <w:p w14:paraId="4C33BAAD" w14:textId="77777777" w:rsidR="00D32A05" w:rsidRPr="001C29FC" w:rsidRDefault="00D32A05" w:rsidP="00D32A05">
            <w:pPr>
              <w:pStyle w:val="TableText"/>
            </w:pPr>
            <w:r w:rsidRPr="001C29FC">
              <w:t>Remove Final Status*</w:t>
            </w:r>
          </w:p>
        </w:tc>
        <w:tc>
          <w:tcPr>
            <w:tcW w:w="1442" w:type="dxa"/>
            <w:vMerge/>
            <w:shd w:val="clear" w:color="auto" w:fill="auto"/>
          </w:tcPr>
          <w:p w14:paraId="778D6AF7" w14:textId="77777777" w:rsidR="00D32A05" w:rsidRPr="001C29FC" w:rsidRDefault="00D32A05" w:rsidP="00D32A05">
            <w:pPr>
              <w:pStyle w:val="TableText"/>
              <w:rPr>
                <w:color w:val="000000"/>
                <w:szCs w:val="18"/>
              </w:rPr>
            </w:pPr>
          </w:p>
        </w:tc>
        <w:tc>
          <w:tcPr>
            <w:tcW w:w="1633" w:type="dxa"/>
            <w:shd w:val="clear" w:color="auto" w:fill="auto"/>
          </w:tcPr>
          <w:p w14:paraId="074D8A0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4B60C8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Volume Reduce.</w:t>
            </w:r>
          </w:p>
        </w:tc>
      </w:tr>
      <w:tr w:rsidR="00D32A05" w:rsidRPr="001C29FC" w14:paraId="34A89218" w14:textId="77777777" w:rsidTr="00D32A05">
        <w:trPr>
          <w:cantSplit/>
          <w:tblHeader/>
        </w:trPr>
        <w:tc>
          <w:tcPr>
            <w:tcW w:w="1803" w:type="dxa"/>
            <w:shd w:val="clear" w:color="auto" w:fill="auto"/>
            <w:vAlign w:val="bottom"/>
          </w:tcPr>
          <w:p w14:paraId="3542A034" w14:textId="77777777" w:rsidR="00D32A05" w:rsidRPr="001C29FC" w:rsidRDefault="00D32A05" w:rsidP="00D32A05">
            <w:pPr>
              <w:pStyle w:val="TableText"/>
              <w:rPr>
                <w:szCs w:val="18"/>
              </w:rPr>
            </w:pPr>
            <w:r w:rsidRPr="001C29FC">
              <w:rPr>
                <w:snapToGrid w:val="0"/>
                <w:szCs w:val="18"/>
              </w:rPr>
              <w:t>Issue Blood Components</w:t>
            </w:r>
          </w:p>
        </w:tc>
        <w:tc>
          <w:tcPr>
            <w:tcW w:w="1442" w:type="dxa"/>
            <w:shd w:val="clear" w:color="auto" w:fill="auto"/>
          </w:tcPr>
          <w:p w14:paraId="5808B585" w14:textId="77777777" w:rsidR="00D32A05" w:rsidRPr="001C29FC" w:rsidRDefault="00D32A05" w:rsidP="00D32A05">
            <w:pPr>
              <w:pStyle w:val="TableText"/>
              <w:rPr>
                <w:color w:val="000000"/>
                <w:szCs w:val="18"/>
              </w:rPr>
            </w:pPr>
            <w:r w:rsidRPr="001C29FC">
              <w:rPr>
                <w:color w:val="000000"/>
                <w:szCs w:val="18"/>
              </w:rPr>
              <w:t>Issue unit</w:t>
            </w:r>
          </w:p>
        </w:tc>
        <w:tc>
          <w:tcPr>
            <w:tcW w:w="1633" w:type="dxa"/>
            <w:shd w:val="clear" w:color="auto" w:fill="auto"/>
          </w:tcPr>
          <w:p w14:paraId="612885DB"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AA41AE4"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is issued to a patient. When a batch of units is processed, each unit invokes one workload process.</w:t>
            </w:r>
          </w:p>
        </w:tc>
      </w:tr>
      <w:tr w:rsidR="00D32A05" w:rsidRPr="001C29FC" w14:paraId="69E50D11" w14:textId="77777777" w:rsidTr="00D32A05">
        <w:trPr>
          <w:cantSplit/>
          <w:tblHeader/>
        </w:trPr>
        <w:tc>
          <w:tcPr>
            <w:tcW w:w="1803" w:type="dxa"/>
            <w:shd w:val="clear" w:color="auto" w:fill="auto"/>
            <w:vAlign w:val="bottom"/>
          </w:tcPr>
          <w:p w14:paraId="41F96076" w14:textId="77777777" w:rsidR="00D32A05" w:rsidRPr="001C29FC" w:rsidRDefault="00D32A05" w:rsidP="00D32A05">
            <w:pPr>
              <w:pStyle w:val="TableText"/>
            </w:pPr>
            <w:r w:rsidRPr="001C29FC">
              <w:t>Justify Patient ABO/Rh Change</w:t>
            </w:r>
          </w:p>
        </w:tc>
        <w:tc>
          <w:tcPr>
            <w:tcW w:w="1442" w:type="dxa"/>
            <w:shd w:val="clear" w:color="auto" w:fill="auto"/>
          </w:tcPr>
          <w:p w14:paraId="16F65C1F" w14:textId="77777777" w:rsidR="00D32A05" w:rsidRPr="001C29FC" w:rsidRDefault="00D32A05" w:rsidP="00D32A05">
            <w:pPr>
              <w:pStyle w:val="TableText"/>
              <w:rPr>
                <w:color w:val="000000"/>
                <w:szCs w:val="18"/>
              </w:rPr>
            </w:pPr>
            <w:r w:rsidRPr="001C29FC">
              <w:rPr>
                <w:color w:val="000000"/>
                <w:szCs w:val="18"/>
              </w:rPr>
              <w:t>Justification</w:t>
            </w:r>
          </w:p>
        </w:tc>
        <w:tc>
          <w:tcPr>
            <w:tcW w:w="1633" w:type="dxa"/>
            <w:shd w:val="clear" w:color="auto" w:fill="auto"/>
          </w:tcPr>
          <w:p w14:paraId="0438CF2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26FE65C" w14:textId="77777777" w:rsidR="00D32A05" w:rsidRPr="001C29FC" w:rsidRDefault="00D32A05" w:rsidP="00D32A05">
            <w:pPr>
              <w:pStyle w:val="TableText"/>
              <w:rPr>
                <w:color w:val="000000"/>
                <w:szCs w:val="18"/>
              </w:rPr>
            </w:pPr>
            <w:r w:rsidRPr="001C29FC">
              <w:rPr>
                <w:color w:val="000000"/>
                <w:szCs w:val="18"/>
              </w:rPr>
              <w:t>Workload is accrued when a patient’s ABO or Rh typing is justified. One workload event is accrued per patient justification.</w:t>
            </w:r>
          </w:p>
        </w:tc>
      </w:tr>
      <w:tr w:rsidR="00D32A05" w:rsidRPr="001C29FC" w14:paraId="1C518839" w14:textId="77777777" w:rsidTr="00D32A05">
        <w:trPr>
          <w:cantSplit/>
          <w:tblHeader/>
        </w:trPr>
        <w:tc>
          <w:tcPr>
            <w:tcW w:w="1803" w:type="dxa"/>
            <w:shd w:val="clear" w:color="auto" w:fill="auto"/>
          </w:tcPr>
          <w:p w14:paraId="1333477B" w14:textId="77777777" w:rsidR="00D32A05" w:rsidRPr="001C29FC" w:rsidRDefault="00D32A05" w:rsidP="00D32A05">
            <w:pPr>
              <w:pStyle w:val="TableText"/>
              <w:rPr>
                <w:szCs w:val="18"/>
              </w:rPr>
            </w:pPr>
            <w:r w:rsidRPr="001C29FC">
              <w:rPr>
                <w:szCs w:val="18"/>
              </w:rPr>
              <w:t>Login Equipment</w:t>
            </w:r>
          </w:p>
        </w:tc>
        <w:tc>
          <w:tcPr>
            <w:tcW w:w="1442" w:type="dxa"/>
            <w:shd w:val="clear" w:color="auto" w:fill="auto"/>
          </w:tcPr>
          <w:p w14:paraId="3149E84A" w14:textId="77777777" w:rsidR="00D32A05" w:rsidRPr="001C29FC" w:rsidRDefault="00D32A05" w:rsidP="00D32A05">
            <w:pPr>
              <w:pStyle w:val="TableText"/>
              <w:rPr>
                <w:szCs w:val="18"/>
              </w:rPr>
            </w:pPr>
            <w:r w:rsidRPr="001C29FC">
              <w:rPr>
                <w:szCs w:val="18"/>
              </w:rPr>
              <w:t>Login Equipment</w:t>
            </w:r>
          </w:p>
        </w:tc>
        <w:tc>
          <w:tcPr>
            <w:tcW w:w="1633" w:type="dxa"/>
            <w:shd w:val="clear" w:color="auto" w:fill="auto"/>
          </w:tcPr>
          <w:p w14:paraId="7B6137F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BAD242C" w14:textId="77777777" w:rsidR="00D32A05" w:rsidRPr="001C29FC" w:rsidRDefault="00D32A05" w:rsidP="00D32A05">
            <w:pPr>
              <w:pStyle w:val="TableText"/>
              <w:rPr>
                <w:szCs w:val="18"/>
              </w:rPr>
            </w:pPr>
            <w:r w:rsidRPr="001C29FC">
              <w:rPr>
                <w:szCs w:val="18"/>
              </w:rPr>
              <w:t>Accrue workload when a lot number of any type of equipment is logged into the system. When multiple lot numbers are processed in a batch, each lot number’s workload is counted.</w:t>
            </w:r>
          </w:p>
        </w:tc>
      </w:tr>
      <w:tr w:rsidR="00D32A05" w:rsidRPr="001C29FC" w14:paraId="7694AB3E" w14:textId="77777777" w:rsidTr="00D32A05">
        <w:trPr>
          <w:cantSplit/>
          <w:tblHeader/>
        </w:trPr>
        <w:tc>
          <w:tcPr>
            <w:tcW w:w="1803" w:type="dxa"/>
            <w:shd w:val="clear" w:color="auto" w:fill="auto"/>
          </w:tcPr>
          <w:p w14:paraId="7EE3BD2F" w14:textId="77777777" w:rsidR="00D32A05" w:rsidRPr="001C29FC" w:rsidRDefault="00D32A05" w:rsidP="00D32A05">
            <w:pPr>
              <w:pStyle w:val="TableText"/>
              <w:rPr>
                <w:szCs w:val="18"/>
              </w:rPr>
            </w:pPr>
            <w:r w:rsidRPr="001C29FC">
              <w:rPr>
                <w:szCs w:val="18"/>
              </w:rPr>
              <w:t>Login Reagent</w:t>
            </w:r>
          </w:p>
        </w:tc>
        <w:tc>
          <w:tcPr>
            <w:tcW w:w="1442" w:type="dxa"/>
            <w:shd w:val="clear" w:color="auto" w:fill="auto"/>
          </w:tcPr>
          <w:p w14:paraId="01DDA30C" w14:textId="77777777" w:rsidR="00D32A05" w:rsidRPr="001C29FC" w:rsidRDefault="00D32A05" w:rsidP="00D32A05">
            <w:pPr>
              <w:pStyle w:val="TableText"/>
              <w:rPr>
                <w:szCs w:val="18"/>
              </w:rPr>
            </w:pPr>
            <w:r w:rsidRPr="001C29FC">
              <w:rPr>
                <w:szCs w:val="18"/>
              </w:rPr>
              <w:t>Login Reagent</w:t>
            </w:r>
          </w:p>
        </w:tc>
        <w:tc>
          <w:tcPr>
            <w:tcW w:w="1633" w:type="dxa"/>
            <w:shd w:val="clear" w:color="auto" w:fill="auto"/>
          </w:tcPr>
          <w:p w14:paraId="2EC4B749"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BB840A4" w14:textId="77777777" w:rsidR="00D32A05" w:rsidRPr="001C29FC" w:rsidRDefault="00D32A05" w:rsidP="00D32A05">
            <w:pPr>
              <w:pStyle w:val="TableText"/>
              <w:rPr>
                <w:szCs w:val="18"/>
              </w:rPr>
            </w:pPr>
            <w:r w:rsidRPr="001C29FC">
              <w:rPr>
                <w:szCs w:val="18"/>
              </w:rPr>
              <w:t>Accrue workload when a lot number of any type of reagent is logged into the system. When multiple lot numbers are processed in a batch, each lot number’s workload is counted.</w:t>
            </w:r>
          </w:p>
        </w:tc>
      </w:tr>
      <w:tr w:rsidR="00D32A05" w:rsidRPr="001C29FC" w14:paraId="2DCBD0FB" w14:textId="77777777" w:rsidTr="00D32A05">
        <w:trPr>
          <w:cantSplit/>
          <w:tblHeader/>
        </w:trPr>
        <w:tc>
          <w:tcPr>
            <w:tcW w:w="1803" w:type="dxa"/>
            <w:shd w:val="clear" w:color="auto" w:fill="auto"/>
          </w:tcPr>
          <w:p w14:paraId="407A574B" w14:textId="77777777" w:rsidR="00D32A05" w:rsidRPr="001C29FC" w:rsidRDefault="00D32A05" w:rsidP="00D32A05">
            <w:pPr>
              <w:pStyle w:val="TableText"/>
              <w:rPr>
                <w:szCs w:val="18"/>
              </w:rPr>
            </w:pPr>
            <w:r w:rsidRPr="001C29FC">
              <w:rPr>
                <w:szCs w:val="18"/>
              </w:rPr>
              <w:t>Login Supply</w:t>
            </w:r>
          </w:p>
        </w:tc>
        <w:tc>
          <w:tcPr>
            <w:tcW w:w="1442" w:type="dxa"/>
            <w:shd w:val="clear" w:color="auto" w:fill="auto"/>
          </w:tcPr>
          <w:p w14:paraId="3073B622" w14:textId="77777777" w:rsidR="00D32A05" w:rsidRPr="001C29FC" w:rsidRDefault="00D32A05" w:rsidP="00D32A05">
            <w:pPr>
              <w:pStyle w:val="TableText"/>
              <w:rPr>
                <w:szCs w:val="18"/>
              </w:rPr>
            </w:pPr>
            <w:r w:rsidRPr="001C29FC">
              <w:rPr>
                <w:szCs w:val="18"/>
              </w:rPr>
              <w:t>Login Supply</w:t>
            </w:r>
          </w:p>
        </w:tc>
        <w:tc>
          <w:tcPr>
            <w:tcW w:w="1633" w:type="dxa"/>
            <w:shd w:val="clear" w:color="auto" w:fill="auto"/>
          </w:tcPr>
          <w:p w14:paraId="621F00AE"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A69F43E" w14:textId="77777777" w:rsidR="00D32A05" w:rsidRPr="001C29FC" w:rsidRDefault="00D32A05" w:rsidP="00D32A05">
            <w:pPr>
              <w:pStyle w:val="TableText"/>
              <w:rPr>
                <w:szCs w:val="18"/>
              </w:rPr>
            </w:pPr>
            <w:r w:rsidRPr="001C29FC">
              <w:rPr>
                <w:szCs w:val="18"/>
              </w:rPr>
              <w:t>Accrue workload when a lot number of any type of supply is logged into the system. When multiple lot numbers are processed in a batch, each lot number’s workload is counted.</w:t>
            </w:r>
          </w:p>
        </w:tc>
      </w:tr>
      <w:tr w:rsidR="00D32A05" w:rsidRPr="001C29FC" w14:paraId="3C4ECD7E" w14:textId="77777777" w:rsidTr="00D32A05">
        <w:trPr>
          <w:cantSplit/>
          <w:tblHeader/>
        </w:trPr>
        <w:tc>
          <w:tcPr>
            <w:tcW w:w="1803" w:type="dxa"/>
            <w:shd w:val="clear" w:color="auto" w:fill="auto"/>
          </w:tcPr>
          <w:p w14:paraId="7F1CFA95" w14:textId="77777777" w:rsidR="00D32A05" w:rsidRPr="001C29FC" w:rsidRDefault="00D32A05" w:rsidP="00D32A05">
            <w:pPr>
              <w:pStyle w:val="TableText"/>
              <w:rPr>
                <w:szCs w:val="18"/>
              </w:rPr>
            </w:pPr>
            <w:r w:rsidRPr="001C29FC">
              <w:rPr>
                <w:szCs w:val="18"/>
              </w:rPr>
              <w:t>Maintain Specimen</w:t>
            </w:r>
          </w:p>
        </w:tc>
        <w:tc>
          <w:tcPr>
            <w:tcW w:w="1442" w:type="dxa"/>
            <w:shd w:val="clear" w:color="auto" w:fill="auto"/>
          </w:tcPr>
          <w:p w14:paraId="15C61853" w14:textId="77777777" w:rsidR="00D32A05" w:rsidRPr="001C29FC" w:rsidRDefault="00D32A05" w:rsidP="00D32A05">
            <w:pPr>
              <w:pStyle w:val="TableText"/>
              <w:rPr>
                <w:szCs w:val="18"/>
              </w:rPr>
            </w:pPr>
            <w:r w:rsidRPr="001C29FC">
              <w:rPr>
                <w:szCs w:val="18"/>
              </w:rPr>
              <w:t>Maintain Specimen</w:t>
            </w:r>
          </w:p>
        </w:tc>
        <w:tc>
          <w:tcPr>
            <w:tcW w:w="1633" w:type="dxa"/>
            <w:shd w:val="clear" w:color="auto" w:fill="auto"/>
          </w:tcPr>
          <w:p w14:paraId="6B9FD4BB"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6DB10D0E" w14:textId="77777777" w:rsidR="00D32A05" w:rsidRPr="001C29FC" w:rsidRDefault="00D32A05" w:rsidP="00D32A05">
            <w:pPr>
              <w:pStyle w:val="TableText"/>
              <w:rPr>
                <w:szCs w:val="18"/>
              </w:rPr>
            </w:pPr>
            <w:r w:rsidRPr="001C29FC">
              <w:rPr>
                <w:szCs w:val="18"/>
              </w:rPr>
              <w:t>Accrue workload when a specimen is maintained during order acceptance and is required for acceptance of the order. Note: This is collected in addition to the accept order workload accrued by accepting an order. Marking a specimen unacceptable does not create a negative workload event.</w:t>
            </w:r>
          </w:p>
        </w:tc>
      </w:tr>
      <w:tr w:rsidR="00D32A05" w:rsidRPr="001C29FC" w14:paraId="3A1F18DF" w14:textId="77777777" w:rsidTr="00D32A05">
        <w:trPr>
          <w:cantSplit/>
          <w:tblHeader/>
        </w:trPr>
        <w:tc>
          <w:tcPr>
            <w:tcW w:w="1803" w:type="dxa"/>
            <w:shd w:val="clear" w:color="auto" w:fill="auto"/>
          </w:tcPr>
          <w:p w14:paraId="362E3AE8" w14:textId="77777777" w:rsidR="00D32A05" w:rsidRPr="001C29FC" w:rsidRDefault="00D32A05" w:rsidP="00D32A05">
            <w:pPr>
              <w:pStyle w:val="TableText"/>
              <w:rPr>
                <w:color w:val="000000"/>
                <w:szCs w:val="18"/>
              </w:rPr>
            </w:pPr>
            <w:r w:rsidRPr="001C29FC">
              <w:rPr>
                <w:color w:val="000000"/>
                <w:szCs w:val="18"/>
              </w:rPr>
              <w:lastRenderedPageBreak/>
              <w:t>Patient antigen phenotype</w:t>
            </w:r>
          </w:p>
        </w:tc>
        <w:tc>
          <w:tcPr>
            <w:tcW w:w="1442" w:type="dxa"/>
            <w:vMerge w:val="restart"/>
            <w:shd w:val="clear" w:color="auto" w:fill="auto"/>
          </w:tcPr>
          <w:p w14:paraId="2696B1D8" w14:textId="77777777" w:rsidR="00D32A05" w:rsidRPr="001C29FC" w:rsidRDefault="00D32A05" w:rsidP="00D32A05">
            <w:pPr>
              <w:pStyle w:val="TableText"/>
              <w:rPr>
                <w:color w:val="000000"/>
                <w:szCs w:val="18"/>
              </w:rPr>
            </w:pPr>
            <w:r w:rsidRPr="001C29FC">
              <w:rPr>
                <w:color w:val="000000"/>
                <w:szCs w:val="18"/>
              </w:rPr>
              <w:t>Patient antigen phenotype (multiple phases)</w:t>
            </w:r>
          </w:p>
        </w:tc>
        <w:tc>
          <w:tcPr>
            <w:tcW w:w="1633" w:type="dxa"/>
            <w:shd w:val="clear" w:color="auto" w:fill="auto"/>
          </w:tcPr>
          <w:p w14:paraId="7E3183F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CA03BB3"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IS/RT or IS/37 phases is completed and saved. One workload event is collected per completed tab for repeat or regular antigen tests.</w:t>
            </w:r>
          </w:p>
        </w:tc>
      </w:tr>
      <w:tr w:rsidR="00D32A05" w:rsidRPr="001C29FC" w14:paraId="03895546" w14:textId="77777777" w:rsidTr="00D32A05">
        <w:trPr>
          <w:cantSplit/>
          <w:tblHeader/>
        </w:trPr>
        <w:tc>
          <w:tcPr>
            <w:tcW w:w="1803" w:type="dxa"/>
            <w:shd w:val="clear" w:color="auto" w:fill="auto"/>
          </w:tcPr>
          <w:p w14:paraId="5609EA7E"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5575C88D" w14:textId="77777777" w:rsidR="00D32A05" w:rsidRPr="001C29FC" w:rsidRDefault="00D32A05" w:rsidP="00D32A05">
            <w:pPr>
              <w:pStyle w:val="TableText"/>
              <w:rPr>
                <w:color w:val="000000"/>
                <w:szCs w:val="18"/>
              </w:rPr>
            </w:pPr>
          </w:p>
        </w:tc>
        <w:tc>
          <w:tcPr>
            <w:tcW w:w="1633" w:type="dxa"/>
            <w:shd w:val="clear" w:color="auto" w:fill="auto"/>
          </w:tcPr>
          <w:p w14:paraId="229BAED4"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98EBA2E" w14:textId="77777777"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any phases is invalidated. </w:t>
            </w:r>
          </w:p>
        </w:tc>
      </w:tr>
      <w:tr w:rsidR="00D32A05" w:rsidRPr="001C29FC" w14:paraId="58A66A97" w14:textId="77777777" w:rsidTr="00D32A05">
        <w:trPr>
          <w:cantSplit/>
          <w:tblHeader/>
        </w:trPr>
        <w:tc>
          <w:tcPr>
            <w:tcW w:w="1803" w:type="dxa"/>
            <w:shd w:val="clear" w:color="auto" w:fill="auto"/>
          </w:tcPr>
          <w:p w14:paraId="46991ABF"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7AA3F3B0" w14:textId="77777777" w:rsidR="00D32A05" w:rsidRPr="001C29FC" w:rsidRDefault="00D32A05" w:rsidP="00D32A05">
            <w:pPr>
              <w:pStyle w:val="TableText"/>
              <w:rPr>
                <w:color w:val="000000"/>
                <w:szCs w:val="18"/>
              </w:rPr>
            </w:pPr>
            <w:r w:rsidRPr="001C29FC">
              <w:rPr>
                <w:color w:val="000000"/>
                <w:szCs w:val="18"/>
              </w:rPr>
              <w:t>Patient antigen phenotype (single phase)</w:t>
            </w:r>
          </w:p>
        </w:tc>
        <w:tc>
          <w:tcPr>
            <w:tcW w:w="1633" w:type="dxa"/>
            <w:shd w:val="clear" w:color="auto" w:fill="auto"/>
          </w:tcPr>
          <w:p w14:paraId="7EC8B320"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48CCD21"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AHG or IS phase is completed and saved. One workload event is collected per completed tab for repeat or regular antigen tests.</w:t>
            </w:r>
          </w:p>
        </w:tc>
      </w:tr>
      <w:tr w:rsidR="00D32A05" w:rsidRPr="001C29FC" w14:paraId="395465C8" w14:textId="77777777" w:rsidTr="00D32A05">
        <w:trPr>
          <w:cantSplit/>
          <w:tblHeader/>
        </w:trPr>
        <w:tc>
          <w:tcPr>
            <w:tcW w:w="1803" w:type="dxa"/>
            <w:shd w:val="clear" w:color="auto" w:fill="auto"/>
          </w:tcPr>
          <w:p w14:paraId="03540996"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4A007417" w14:textId="77777777" w:rsidR="00D32A05" w:rsidRPr="001C29FC" w:rsidRDefault="00D32A05" w:rsidP="00D32A05">
            <w:pPr>
              <w:pStyle w:val="TableText"/>
              <w:rPr>
                <w:color w:val="000000"/>
                <w:szCs w:val="18"/>
              </w:rPr>
            </w:pPr>
          </w:p>
        </w:tc>
        <w:tc>
          <w:tcPr>
            <w:tcW w:w="1633" w:type="dxa"/>
            <w:shd w:val="clear" w:color="auto" w:fill="auto"/>
          </w:tcPr>
          <w:p w14:paraId="0E7283D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A3834F4" w14:textId="060ACEAF"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w:t>
            </w:r>
            <w:r w:rsidR="00AE3B37" w:rsidRPr="001C29FC">
              <w:rPr>
                <w:szCs w:val="18"/>
              </w:rPr>
              <w:t>a single phase</w:t>
            </w:r>
            <w:r w:rsidRPr="001C29FC">
              <w:rPr>
                <w:szCs w:val="18"/>
              </w:rPr>
              <w:t xml:space="preserve"> is invalidated. </w:t>
            </w:r>
          </w:p>
        </w:tc>
      </w:tr>
      <w:tr w:rsidR="00D32A05" w:rsidRPr="001C29FC" w14:paraId="18618A98" w14:textId="77777777" w:rsidTr="00D32A05">
        <w:trPr>
          <w:cantSplit/>
          <w:tblHeader/>
        </w:trPr>
        <w:tc>
          <w:tcPr>
            <w:tcW w:w="1803" w:type="dxa"/>
            <w:shd w:val="clear" w:color="auto" w:fill="auto"/>
            <w:vAlign w:val="bottom"/>
          </w:tcPr>
          <w:p w14:paraId="75D18E22" w14:textId="77777777" w:rsidR="00D32A05" w:rsidRPr="001C29FC" w:rsidRDefault="00D32A05" w:rsidP="00D32A05">
            <w:pPr>
              <w:pStyle w:val="TableText"/>
            </w:pPr>
            <w:r w:rsidRPr="001C29FC">
              <w:t>Pool Units</w:t>
            </w:r>
          </w:p>
        </w:tc>
        <w:tc>
          <w:tcPr>
            <w:tcW w:w="1442" w:type="dxa"/>
            <w:vMerge w:val="restart"/>
            <w:shd w:val="clear" w:color="auto" w:fill="auto"/>
          </w:tcPr>
          <w:p w14:paraId="03469E73" w14:textId="77777777" w:rsidR="00D32A05" w:rsidRPr="001C29FC" w:rsidRDefault="00D32A05" w:rsidP="00D32A05">
            <w:pPr>
              <w:pStyle w:val="TableText"/>
              <w:rPr>
                <w:color w:val="000000"/>
                <w:szCs w:val="18"/>
              </w:rPr>
            </w:pPr>
            <w:r w:rsidRPr="001C29FC">
              <w:rPr>
                <w:color w:val="000000"/>
                <w:szCs w:val="18"/>
              </w:rPr>
              <w:t>Pool unit</w:t>
            </w:r>
          </w:p>
          <w:p w14:paraId="47394B10" w14:textId="77777777" w:rsidR="00D32A05" w:rsidRPr="001C29FC" w:rsidRDefault="00D32A05" w:rsidP="00D32A05">
            <w:pPr>
              <w:pStyle w:val="TableText"/>
              <w:rPr>
                <w:color w:val="000000"/>
                <w:szCs w:val="18"/>
              </w:rPr>
            </w:pPr>
            <w:r w:rsidRPr="001C29FC">
              <w:rPr>
                <w:color w:val="000000"/>
                <w:szCs w:val="18"/>
              </w:rPr>
              <w:t> </w:t>
            </w:r>
          </w:p>
        </w:tc>
        <w:tc>
          <w:tcPr>
            <w:tcW w:w="1633" w:type="dxa"/>
            <w:shd w:val="clear" w:color="auto" w:fill="auto"/>
          </w:tcPr>
          <w:p w14:paraId="7C0181D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0E04FC8"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pooled unit is created and a single workload event is recorded regardless of the number of units included in the pooled unit. This applies to the Pool modification type. Add/Remove unit from a pool does not accrue any workload.</w:t>
            </w:r>
            <w:r w:rsidRPr="001C29FC">
              <w:rPr>
                <w:iCs/>
                <w:color w:val="000000"/>
                <w:szCs w:val="18"/>
              </w:rPr>
              <w:t xml:space="preserve"> Note: Workload is not accrued when a patient assignment is processed and VBECS releases all other patient assignments. Workload is not accrued when VBECS is required to quarantine the unit.</w:t>
            </w:r>
          </w:p>
        </w:tc>
      </w:tr>
      <w:tr w:rsidR="00D32A05" w:rsidRPr="001C29FC" w14:paraId="326FFF1C" w14:textId="77777777" w:rsidTr="00D32A05">
        <w:trPr>
          <w:cantSplit/>
          <w:tblHeader/>
        </w:trPr>
        <w:tc>
          <w:tcPr>
            <w:tcW w:w="1803" w:type="dxa"/>
            <w:shd w:val="clear" w:color="auto" w:fill="auto"/>
            <w:vAlign w:val="bottom"/>
          </w:tcPr>
          <w:p w14:paraId="710EA203" w14:textId="77777777" w:rsidR="00D32A05" w:rsidRPr="001C29FC" w:rsidRDefault="00D32A05" w:rsidP="00D32A05">
            <w:pPr>
              <w:pStyle w:val="TableText"/>
            </w:pPr>
            <w:r w:rsidRPr="001C29FC">
              <w:t>Edit Unit Information*</w:t>
            </w:r>
          </w:p>
        </w:tc>
        <w:tc>
          <w:tcPr>
            <w:tcW w:w="1442" w:type="dxa"/>
            <w:vMerge/>
            <w:shd w:val="clear" w:color="auto" w:fill="auto"/>
          </w:tcPr>
          <w:p w14:paraId="596A4127" w14:textId="77777777" w:rsidR="00D32A05" w:rsidRPr="001C29FC" w:rsidRDefault="00D32A05" w:rsidP="00D32A05">
            <w:pPr>
              <w:pStyle w:val="TableText"/>
              <w:rPr>
                <w:color w:val="000000"/>
                <w:szCs w:val="18"/>
              </w:rPr>
            </w:pPr>
          </w:p>
        </w:tc>
        <w:tc>
          <w:tcPr>
            <w:tcW w:w="1633" w:type="dxa"/>
            <w:shd w:val="clear" w:color="auto" w:fill="auto"/>
          </w:tcPr>
          <w:p w14:paraId="5C525CF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EC47958"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if the pooled unit was created in VBECS. </w:t>
            </w:r>
          </w:p>
        </w:tc>
      </w:tr>
      <w:tr w:rsidR="00D32A05" w:rsidRPr="001C29FC" w14:paraId="2F75EA45" w14:textId="77777777" w:rsidTr="00D32A05">
        <w:trPr>
          <w:cantSplit/>
          <w:tblHeader/>
        </w:trPr>
        <w:tc>
          <w:tcPr>
            <w:tcW w:w="1803" w:type="dxa"/>
            <w:shd w:val="clear" w:color="auto" w:fill="auto"/>
            <w:vAlign w:val="bottom"/>
          </w:tcPr>
          <w:p w14:paraId="0D9A9C5B" w14:textId="77777777" w:rsidR="00D32A05" w:rsidRPr="001C29FC" w:rsidRDefault="00D32A05" w:rsidP="00D32A05">
            <w:pPr>
              <w:pStyle w:val="TableText"/>
            </w:pPr>
            <w:r w:rsidRPr="001C29FC">
              <w:t>Remove Final Status</w:t>
            </w:r>
          </w:p>
        </w:tc>
        <w:tc>
          <w:tcPr>
            <w:tcW w:w="1442" w:type="dxa"/>
            <w:vMerge/>
            <w:shd w:val="clear" w:color="auto" w:fill="auto"/>
          </w:tcPr>
          <w:p w14:paraId="7F6D17F6" w14:textId="77777777" w:rsidR="00D32A05" w:rsidRPr="001C29FC" w:rsidRDefault="00D32A05" w:rsidP="00D32A05">
            <w:pPr>
              <w:pStyle w:val="TableText"/>
              <w:rPr>
                <w:color w:val="000000"/>
                <w:szCs w:val="18"/>
              </w:rPr>
            </w:pPr>
          </w:p>
        </w:tc>
        <w:tc>
          <w:tcPr>
            <w:tcW w:w="1633" w:type="dxa"/>
            <w:shd w:val="clear" w:color="auto" w:fill="auto"/>
          </w:tcPr>
          <w:p w14:paraId="173D2E75"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212BFC2C" w14:textId="77777777" w:rsidR="00D32A05" w:rsidRPr="001C29FC" w:rsidRDefault="00D32A05" w:rsidP="00D32A05">
            <w:pPr>
              <w:pStyle w:val="TableText"/>
              <w:rPr>
                <w:color w:val="000000"/>
                <w:szCs w:val="18"/>
              </w:rPr>
            </w:pPr>
            <w:r w:rsidRPr="001C29FC">
              <w:rPr>
                <w:color w:val="000000"/>
                <w:szCs w:val="18"/>
              </w:rPr>
              <w:t xml:space="preserve">No effect on workload accrual when a unit is removed from a modified status that was included in a pool. </w:t>
            </w:r>
          </w:p>
        </w:tc>
      </w:tr>
      <w:tr w:rsidR="00D32A05" w:rsidRPr="001C29FC" w14:paraId="3C26AEC4" w14:textId="77777777" w:rsidTr="00D32A05">
        <w:trPr>
          <w:cantSplit/>
          <w:tblHeader/>
        </w:trPr>
        <w:tc>
          <w:tcPr>
            <w:tcW w:w="1803" w:type="dxa"/>
            <w:shd w:val="clear" w:color="auto" w:fill="auto"/>
            <w:vAlign w:val="bottom"/>
          </w:tcPr>
          <w:p w14:paraId="59A91B14" w14:textId="77777777" w:rsidR="00D32A05" w:rsidRPr="001C29FC" w:rsidRDefault="00D32A05" w:rsidP="00D32A05">
            <w:pPr>
              <w:pStyle w:val="TableText"/>
            </w:pPr>
            <w:r w:rsidRPr="001C29FC">
              <w:t>Discard or Quarantine Unit</w:t>
            </w:r>
          </w:p>
        </w:tc>
        <w:tc>
          <w:tcPr>
            <w:tcW w:w="1442" w:type="dxa"/>
            <w:shd w:val="clear" w:color="auto" w:fill="auto"/>
          </w:tcPr>
          <w:p w14:paraId="4780A914" w14:textId="77777777" w:rsidR="00D32A05" w:rsidRPr="001C29FC" w:rsidRDefault="00D32A05" w:rsidP="00D32A05">
            <w:pPr>
              <w:pStyle w:val="TableText"/>
              <w:rPr>
                <w:color w:val="000000"/>
                <w:szCs w:val="18"/>
              </w:rPr>
            </w:pPr>
            <w:r w:rsidRPr="001C29FC">
              <w:rPr>
                <w:color w:val="000000"/>
                <w:szCs w:val="18"/>
              </w:rPr>
              <w:t>Quarantine unit</w:t>
            </w:r>
          </w:p>
        </w:tc>
        <w:tc>
          <w:tcPr>
            <w:tcW w:w="1633" w:type="dxa"/>
            <w:shd w:val="clear" w:color="auto" w:fill="auto"/>
          </w:tcPr>
          <w:p w14:paraId="2DE343C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2ACD9A8" w14:textId="77777777" w:rsidR="00D32A05" w:rsidRPr="001C29FC" w:rsidRDefault="00D32A05" w:rsidP="00D32A05">
            <w:pPr>
              <w:pStyle w:val="TableText"/>
              <w:rPr>
                <w:color w:val="000000"/>
                <w:szCs w:val="18"/>
              </w:rPr>
            </w:pPr>
            <w:r w:rsidRPr="001C29FC">
              <w:rPr>
                <w:color w:val="000000"/>
                <w:szCs w:val="18"/>
              </w:rPr>
              <w:t>Accrue workload when a unit is marked for quarantine. When a batch of units is selected, each unit accrues workload.</w:t>
            </w:r>
          </w:p>
        </w:tc>
      </w:tr>
      <w:tr w:rsidR="00D32A05" w:rsidRPr="001C29FC" w14:paraId="5B6A1F06" w14:textId="77777777" w:rsidTr="00D32A05">
        <w:trPr>
          <w:cantSplit/>
          <w:tblHeader/>
        </w:trPr>
        <w:tc>
          <w:tcPr>
            <w:tcW w:w="1803" w:type="dxa"/>
            <w:shd w:val="clear" w:color="auto" w:fill="auto"/>
            <w:vAlign w:val="bottom"/>
          </w:tcPr>
          <w:p w14:paraId="330B598B" w14:textId="77777777" w:rsidR="00D32A05" w:rsidRPr="001C29FC" w:rsidRDefault="00D32A05" w:rsidP="00D32A05">
            <w:pPr>
              <w:pStyle w:val="TableText"/>
              <w:rPr>
                <w:szCs w:val="18"/>
              </w:rPr>
            </w:pPr>
            <w:r w:rsidRPr="001C29FC">
              <w:rPr>
                <w:snapToGrid w:val="0"/>
                <w:szCs w:val="18"/>
              </w:rPr>
              <w:t>Free Directed Unit For Crossover</w:t>
            </w:r>
          </w:p>
        </w:tc>
        <w:tc>
          <w:tcPr>
            <w:tcW w:w="1442" w:type="dxa"/>
            <w:shd w:val="clear" w:color="auto" w:fill="auto"/>
          </w:tcPr>
          <w:p w14:paraId="5576E6C9" w14:textId="77777777" w:rsidR="00D32A05" w:rsidRPr="001C29FC" w:rsidRDefault="00D32A05" w:rsidP="00D32A05">
            <w:pPr>
              <w:pStyle w:val="TableText"/>
              <w:rPr>
                <w:color w:val="000000"/>
                <w:szCs w:val="18"/>
              </w:rPr>
            </w:pPr>
            <w:r w:rsidRPr="001C29FC">
              <w:rPr>
                <w:color w:val="000000"/>
                <w:szCs w:val="18"/>
              </w:rPr>
              <w:t>Release directed unit</w:t>
            </w:r>
          </w:p>
        </w:tc>
        <w:tc>
          <w:tcPr>
            <w:tcW w:w="1633" w:type="dxa"/>
            <w:shd w:val="clear" w:color="auto" w:fill="auto"/>
          </w:tcPr>
          <w:p w14:paraId="4D809D3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A1B110E"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with the restriction type of “directed” is released for use as an allogeneic unit.</w:t>
            </w:r>
          </w:p>
        </w:tc>
      </w:tr>
      <w:tr w:rsidR="00D32A05" w:rsidRPr="001C29FC" w14:paraId="69586C89" w14:textId="77777777" w:rsidTr="00D32A05">
        <w:trPr>
          <w:cantSplit/>
          <w:tblHeader/>
        </w:trPr>
        <w:tc>
          <w:tcPr>
            <w:tcW w:w="1803" w:type="dxa"/>
            <w:shd w:val="clear" w:color="auto" w:fill="auto"/>
            <w:vAlign w:val="bottom"/>
          </w:tcPr>
          <w:p w14:paraId="11351A53" w14:textId="77777777" w:rsidR="00D32A05" w:rsidRPr="001C29FC" w:rsidRDefault="00D32A05" w:rsidP="00D32A05">
            <w:pPr>
              <w:pStyle w:val="TableText"/>
            </w:pPr>
            <w:r w:rsidRPr="001C29FC">
              <w:t>Release Unit from Patient Assignment</w:t>
            </w:r>
          </w:p>
        </w:tc>
        <w:tc>
          <w:tcPr>
            <w:tcW w:w="1442" w:type="dxa"/>
            <w:shd w:val="clear" w:color="auto" w:fill="auto"/>
          </w:tcPr>
          <w:p w14:paraId="3D3FA045" w14:textId="77777777" w:rsidR="00D32A05" w:rsidRPr="001C29FC" w:rsidRDefault="00D32A05" w:rsidP="00D32A05">
            <w:pPr>
              <w:pStyle w:val="TableText"/>
              <w:rPr>
                <w:color w:val="000000"/>
                <w:szCs w:val="18"/>
              </w:rPr>
            </w:pPr>
            <w:r w:rsidRPr="001C29FC">
              <w:rPr>
                <w:color w:val="000000"/>
                <w:szCs w:val="18"/>
              </w:rPr>
              <w:t>Release unit from patient back to inventory</w:t>
            </w:r>
          </w:p>
        </w:tc>
        <w:tc>
          <w:tcPr>
            <w:tcW w:w="1633" w:type="dxa"/>
            <w:shd w:val="clear" w:color="auto" w:fill="auto"/>
          </w:tcPr>
          <w:p w14:paraId="4CF440C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166A1C2"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is released from patient assignment. When multiple units are selected, each unit accrues workload.</w:t>
            </w:r>
          </w:p>
        </w:tc>
      </w:tr>
      <w:tr w:rsidR="00D32A05" w:rsidRPr="001C29FC" w14:paraId="22EF9C65" w14:textId="77777777" w:rsidTr="00D32A05">
        <w:trPr>
          <w:cantSplit/>
          <w:tblHeader/>
        </w:trPr>
        <w:tc>
          <w:tcPr>
            <w:tcW w:w="1803" w:type="dxa"/>
            <w:shd w:val="clear" w:color="auto" w:fill="auto"/>
            <w:vAlign w:val="bottom"/>
          </w:tcPr>
          <w:p w14:paraId="0048B48A" w14:textId="77777777" w:rsidR="00D32A05" w:rsidRPr="001C29FC" w:rsidRDefault="00D32A05" w:rsidP="00D32A05">
            <w:pPr>
              <w:pStyle w:val="TableText"/>
            </w:pPr>
            <w:r w:rsidRPr="001C29FC">
              <w:t>Discard or Quarantine Unit</w:t>
            </w:r>
          </w:p>
        </w:tc>
        <w:tc>
          <w:tcPr>
            <w:tcW w:w="1442" w:type="dxa"/>
            <w:shd w:val="clear" w:color="auto" w:fill="auto"/>
          </w:tcPr>
          <w:p w14:paraId="0042D3C6" w14:textId="77777777" w:rsidR="00D32A05" w:rsidRPr="001C29FC" w:rsidRDefault="00D32A05" w:rsidP="00D32A05">
            <w:pPr>
              <w:pStyle w:val="TableText"/>
              <w:rPr>
                <w:color w:val="000000"/>
                <w:szCs w:val="18"/>
              </w:rPr>
            </w:pPr>
            <w:r w:rsidRPr="001C29FC">
              <w:rPr>
                <w:color w:val="000000"/>
                <w:szCs w:val="18"/>
              </w:rPr>
              <w:t xml:space="preserve">Release unit from Quarantine </w:t>
            </w:r>
          </w:p>
        </w:tc>
        <w:tc>
          <w:tcPr>
            <w:tcW w:w="1633" w:type="dxa"/>
            <w:shd w:val="clear" w:color="auto" w:fill="auto"/>
          </w:tcPr>
          <w:p w14:paraId="1EC30AE8"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B861C11" w14:textId="77777777" w:rsidR="00D32A05" w:rsidRPr="001C29FC" w:rsidRDefault="00D32A05" w:rsidP="00D32A05">
            <w:pPr>
              <w:pStyle w:val="TableText"/>
              <w:rPr>
                <w:color w:val="000000"/>
                <w:szCs w:val="18"/>
              </w:rPr>
            </w:pPr>
            <w:r w:rsidRPr="001C29FC">
              <w:rPr>
                <w:color w:val="000000"/>
                <w:szCs w:val="18"/>
              </w:rPr>
              <w:t>Accrue workload when a unit is released from quarantine. When a batch of units is selected, each unit accrues workload.</w:t>
            </w:r>
          </w:p>
        </w:tc>
      </w:tr>
      <w:tr w:rsidR="00D32A05" w:rsidRPr="001C29FC" w14:paraId="0F1BD992" w14:textId="77777777" w:rsidTr="00D32A05">
        <w:trPr>
          <w:cantSplit/>
          <w:tblHeader/>
        </w:trPr>
        <w:tc>
          <w:tcPr>
            <w:tcW w:w="1803" w:type="dxa"/>
            <w:shd w:val="clear" w:color="auto" w:fill="auto"/>
          </w:tcPr>
          <w:p w14:paraId="5D4F932D" w14:textId="77777777" w:rsidR="00D32A05" w:rsidRPr="001C29FC" w:rsidRDefault="00D32A05" w:rsidP="00D32A05">
            <w:pPr>
              <w:pStyle w:val="TableText"/>
              <w:rPr>
                <w:color w:val="000000"/>
                <w:szCs w:val="18"/>
              </w:rPr>
            </w:pPr>
            <w:r w:rsidRPr="001C29FC">
              <w:rPr>
                <w:color w:val="000000"/>
                <w:szCs w:val="18"/>
              </w:rPr>
              <w:t>Return Issued Unit</w:t>
            </w:r>
          </w:p>
        </w:tc>
        <w:tc>
          <w:tcPr>
            <w:tcW w:w="1442" w:type="dxa"/>
            <w:shd w:val="clear" w:color="auto" w:fill="auto"/>
          </w:tcPr>
          <w:p w14:paraId="50CDFFEF" w14:textId="77777777" w:rsidR="00D32A05" w:rsidRPr="001C29FC" w:rsidRDefault="00D32A05" w:rsidP="00D32A05">
            <w:pPr>
              <w:pStyle w:val="TableText"/>
              <w:rPr>
                <w:color w:val="000000"/>
                <w:szCs w:val="18"/>
              </w:rPr>
            </w:pPr>
            <w:r w:rsidRPr="001C29FC">
              <w:rPr>
                <w:color w:val="000000"/>
                <w:szCs w:val="18"/>
              </w:rPr>
              <w:t>Return Issued unit</w:t>
            </w:r>
          </w:p>
        </w:tc>
        <w:tc>
          <w:tcPr>
            <w:tcW w:w="1633" w:type="dxa"/>
            <w:shd w:val="clear" w:color="auto" w:fill="auto"/>
          </w:tcPr>
          <w:p w14:paraId="09E064D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0887C79"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unit is returned from issue status. </w:t>
            </w:r>
          </w:p>
        </w:tc>
      </w:tr>
      <w:tr w:rsidR="00D32A05" w:rsidRPr="001C29FC" w14:paraId="0D589DC6" w14:textId="77777777" w:rsidTr="00D32A05">
        <w:trPr>
          <w:cantSplit/>
          <w:tblHeader/>
        </w:trPr>
        <w:tc>
          <w:tcPr>
            <w:tcW w:w="1803" w:type="dxa"/>
            <w:shd w:val="clear" w:color="auto" w:fill="auto"/>
            <w:vAlign w:val="bottom"/>
          </w:tcPr>
          <w:p w14:paraId="3A765E94" w14:textId="77777777" w:rsidR="00D32A05" w:rsidRPr="001C29FC" w:rsidRDefault="00D32A05" w:rsidP="00D32A05">
            <w:pPr>
              <w:pStyle w:val="TableText"/>
            </w:pPr>
            <w:r w:rsidRPr="001C29FC">
              <w:t>Modify Units</w:t>
            </w:r>
          </w:p>
        </w:tc>
        <w:tc>
          <w:tcPr>
            <w:tcW w:w="1442" w:type="dxa"/>
            <w:vMerge w:val="restart"/>
            <w:shd w:val="clear" w:color="auto" w:fill="auto"/>
          </w:tcPr>
          <w:p w14:paraId="6A171D01" w14:textId="77777777" w:rsidR="00D32A05" w:rsidRPr="001C29FC" w:rsidRDefault="00D32A05" w:rsidP="00D32A05">
            <w:pPr>
              <w:pStyle w:val="TableText"/>
              <w:rPr>
                <w:color w:val="000000"/>
                <w:szCs w:val="18"/>
              </w:rPr>
            </w:pPr>
            <w:r w:rsidRPr="001C29FC">
              <w:rPr>
                <w:color w:val="000000"/>
                <w:szCs w:val="18"/>
              </w:rPr>
              <w:t>Thaw/pool Cryo</w:t>
            </w:r>
          </w:p>
        </w:tc>
        <w:tc>
          <w:tcPr>
            <w:tcW w:w="1633" w:type="dxa"/>
            <w:shd w:val="clear" w:color="auto" w:fill="auto"/>
          </w:tcPr>
          <w:p w14:paraId="13C0B19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269BBDB"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has a modification of Thaw/Pool Cryo. A single workload event is recorded regardless of the number of units included in the pooled unit. Note: Workload is not accrued when a patient assignment is processed and VBECS releases all other patient assignments. Workload is not accrued when VBECS is required to quarantine the unit.</w:t>
            </w:r>
          </w:p>
        </w:tc>
      </w:tr>
      <w:tr w:rsidR="00D32A05" w:rsidRPr="001C29FC" w14:paraId="5B139039" w14:textId="77777777" w:rsidTr="00D32A05">
        <w:trPr>
          <w:cantSplit/>
          <w:tblHeader/>
        </w:trPr>
        <w:tc>
          <w:tcPr>
            <w:tcW w:w="1803" w:type="dxa"/>
            <w:shd w:val="clear" w:color="auto" w:fill="auto"/>
            <w:vAlign w:val="bottom"/>
          </w:tcPr>
          <w:p w14:paraId="1BA966E9" w14:textId="77777777" w:rsidR="00D32A05" w:rsidRPr="001C29FC" w:rsidRDefault="00D32A05" w:rsidP="00D32A05">
            <w:pPr>
              <w:pStyle w:val="TableText"/>
            </w:pPr>
            <w:r w:rsidRPr="001C29FC">
              <w:t>Edit Unit Information*</w:t>
            </w:r>
          </w:p>
        </w:tc>
        <w:tc>
          <w:tcPr>
            <w:tcW w:w="1442" w:type="dxa"/>
            <w:vMerge/>
            <w:shd w:val="clear" w:color="auto" w:fill="auto"/>
          </w:tcPr>
          <w:p w14:paraId="4CDDB20A" w14:textId="77777777" w:rsidR="00D32A05" w:rsidRPr="001C29FC" w:rsidRDefault="00D32A05" w:rsidP="00D32A05">
            <w:pPr>
              <w:pStyle w:val="TableText"/>
              <w:rPr>
                <w:color w:val="000000"/>
                <w:szCs w:val="18"/>
              </w:rPr>
            </w:pPr>
          </w:p>
        </w:tc>
        <w:tc>
          <w:tcPr>
            <w:tcW w:w="1633" w:type="dxa"/>
            <w:shd w:val="clear" w:color="auto" w:fill="auto"/>
          </w:tcPr>
          <w:p w14:paraId="700408B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5CF4193"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(unit record inactivated) when the pooled unit was created in VBECS. </w:t>
            </w:r>
          </w:p>
        </w:tc>
      </w:tr>
      <w:tr w:rsidR="00D32A05" w:rsidRPr="001C29FC" w14:paraId="6B2015F2" w14:textId="77777777" w:rsidTr="00D32A05">
        <w:trPr>
          <w:cantSplit/>
          <w:tblHeader/>
        </w:trPr>
        <w:tc>
          <w:tcPr>
            <w:tcW w:w="1803" w:type="dxa"/>
            <w:shd w:val="clear" w:color="auto" w:fill="auto"/>
            <w:vAlign w:val="bottom"/>
          </w:tcPr>
          <w:p w14:paraId="1890C329" w14:textId="77777777" w:rsidR="00D32A05" w:rsidRPr="001C29FC" w:rsidRDefault="00D32A05" w:rsidP="00D32A05">
            <w:pPr>
              <w:pStyle w:val="TableText"/>
            </w:pPr>
            <w:r w:rsidRPr="001C29FC">
              <w:lastRenderedPageBreak/>
              <w:t>Remove Final Status</w:t>
            </w:r>
          </w:p>
        </w:tc>
        <w:tc>
          <w:tcPr>
            <w:tcW w:w="1442" w:type="dxa"/>
            <w:vMerge/>
            <w:shd w:val="clear" w:color="auto" w:fill="auto"/>
          </w:tcPr>
          <w:p w14:paraId="049BB751" w14:textId="77777777" w:rsidR="00D32A05" w:rsidRPr="001C29FC" w:rsidRDefault="00D32A05" w:rsidP="00D32A05">
            <w:pPr>
              <w:pStyle w:val="TableText"/>
              <w:rPr>
                <w:color w:val="000000"/>
                <w:szCs w:val="18"/>
              </w:rPr>
            </w:pPr>
          </w:p>
        </w:tc>
        <w:tc>
          <w:tcPr>
            <w:tcW w:w="1633" w:type="dxa"/>
            <w:shd w:val="clear" w:color="auto" w:fill="auto"/>
          </w:tcPr>
          <w:p w14:paraId="64D45379"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409339E0" w14:textId="77777777" w:rsidR="00D32A05" w:rsidRPr="001C29FC" w:rsidRDefault="00D32A05" w:rsidP="00D32A05">
            <w:pPr>
              <w:pStyle w:val="TableText"/>
              <w:rPr>
                <w:color w:val="000000"/>
                <w:szCs w:val="18"/>
              </w:rPr>
            </w:pPr>
            <w:r w:rsidRPr="001C29FC">
              <w:rPr>
                <w:color w:val="000000"/>
                <w:szCs w:val="18"/>
              </w:rPr>
              <w:t xml:space="preserve">There is no effect on workload accrual when a unit is removed from a modified status that was included in a Thaw/pool Cryo pool. </w:t>
            </w:r>
          </w:p>
        </w:tc>
      </w:tr>
      <w:tr w:rsidR="00D32A05" w:rsidRPr="001C29FC" w14:paraId="42B6ADF1" w14:textId="77777777" w:rsidTr="00D32A05">
        <w:trPr>
          <w:cantSplit/>
          <w:tblHeader/>
        </w:trPr>
        <w:tc>
          <w:tcPr>
            <w:tcW w:w="1803" w:type="dxa"/>
            <w:shd w:val="clear" w:color="auto" w:fill="auto"/>
          </w:tcPr>
          <w:p w14:paraId="48F6E15F" w14:textId="77777777" w:rsidR="00D32A05" w:rsidRPr="001C29FC" w:rsidRDefault="00D32A05" w:rsidP="00D32A05">
            <w:pPr>
              <w:pStyle w:val="TableText"/>
              <w:rPr>
                <w:color w:val="000000"/>
                <w:szCs w:val="18"/>
              </w:rPr>
            </w:pPr>
            <w:r w:rsidRPr="001C29FC">
              <w:rPr>
                <w:color w:val="000000"/>
                <w:szCs w:val="18"/>
              </w:rPr>
              <w:t>Enter Post-Transfusion Details</w:t>
            </w:r>
          </w:p>
        </w:tc>
        <w:tc>
          <w:tcPr>
            <w:tcW w:w="1442" w:type="dxa"/>
            <w:vMerge w:val="restart"/>
            <w:shd w:val="clear" w:color="auto" w:fill="auto"/>
          </w:tcPr>
          <w:p w14:paraId="4230C81D" w14:textId="77777777" w:rsidR="00D32A05" w:rsidRPr="001C29FC" w:rsidRDefault="00D32A05" w:rsidP="00D32A05">
            <w:pPr>
              <w:pStyle w:val="TableText"/>
              <w:rPr>
                <w:color w:val="000000"/>
                <w:szCs w:val="18"/>
              </w:rPr>
            </w:pPr>
            <w:r w:rsidRPr="001C29FC">
              <w:rPr>
                <w:color w:val="000000"/>
                <w:szCs w:val="18"/>
              </w:rPr>
              <w:t>Transfuse Unit</w:t>
            </w:r>
          </w:p>
        </w:tc>
        <w:tc>
          <w:tcPr>
            <w:tcW w:w="1633" w:type="dxa"/>
            <w:shd w:val="clear" w:color="auto" w:fill="auto"/>
          </w:tcPr>
          <w:p w14:paraId="6479C8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17E4F1"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blood unit’s status is updated to “transfused.“</w:t>
            </w:r>
          </w:p>
        </w:tc>
      </w:tr>
      <w:tr w:rsidR="00D32A05" w:rsidRPr="001C29FC" w14:paraId="5AEEFA5A" w14:textId="77777777" w:rsidTr="00D32A05">
        <w:trPr>
          <w:cantSplit/>
          <w:tblHeader/>
        </w:trPr>
        <w:tc>
          <w:tcPr>
            <w:tcW w:w="1803" w:type="dxa"/>
            <w:shd w:val="clear" w:color="auto" w:fill="auto"/>
            <w:vAlign w:val="bottom"/>
          </w:tcPr>
          <w:p w14:paraId="753BDFD2" w14:textId="77777777" w:rsidR="00D32A05" w:rsidRPr="001C29FC" w:rsidRDefault="00D32A05" w:rsidP="00D32A05">
            <w:pPr>
              <w:pStyle w:val="TableText"/>
            </w:pPr>
            <w:r w:rsidRPr="001C29FC">
              <w:t>Remove Final Status*</w:t>
            </w:r>
          </w:p>
        </w:tc>
        <w:tc>
          <w:tcPr>
            <w:tcW w:w="1442" w:type="dxa"/>
            <w:vMerge/>
            <w:shd w:val="clear" w:color="auto" w:fill="auto"/>
          </w:tcPr>
          <w:p w14:paraId="1506835D" w14:textId="77777777" w:rsidR="00D32A05" w:rsidRPr="001C29FC" w:rsidRDefault="00D32A05" w:rsidP="00D32A05">
            <w:pPr>
              <w:pStyle w:val="TableText"/>
              <w:rPr>
                <w:color w:val="000000"/>
                <w:szCs w:val="18"/>
              </w:rPr>
            </w:pPr>
          </w:p>
        </w:tc>
        <w:tc>
          <w:tcPr>
            <w:tcW w:w="1633" w:type="dxa"/>
            <w:shd w:val="clear" w:color="auto" w:fill="auto"/>
          </w:tcPr>
          <w:p w14:paraId="35EA34DE"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4FAF752"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unit was in a status of “transfused.”</w:t>
            </w:r>
          </w:p>
        </w:tc>
      </w:tr>
      <w:tr w:rsidR="00D32A05" w:rsidRPr="001C29FC" w14:paraId="54D9D6F5" w14:textId="77777777" w:rsidTr="00D32A05">
        <w:trPr>
          <w:cantSplit/>
          <w:tblHeader/>
        </w:trPr>
        <w:tc>
          <w:tcPr>
            <w:tcW w:w="1803" w:type="dxa"/>
            <w:shd w:val="clear" w:color="auto" w:fill="auto"/>
            <w:vAlign w:val="bottom"/>
          </w:tcPr>
          <w:p w14:paraId="1D072863"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36A521B3" w14:textId="77777777" w:rsidR="00D32A05" w:rsidRPr="001C29FC" w:rsidRDefault="00D32A05" w:rsidP="00D32A05">
            <w:pPr>
              <w:pStyle w:val="TableText"/>
              <w:rPr>
                <w:color w:val="000000"/>
                <w:szCs w:val="18"/>
              </w:rPr>
            </w:pPr>
            <w:r w:rsidRPr="001C29FC">
              <w:rPr>
                <w:color w:val="000000"/>
                <w:szCs w:val="18"/>
              </w:rPr>
              <w:t>Transfusion Reaction Investigation</w:t>
            </w:r>
          </w:p>
        </w:tc>
        <w:tc>
          <w:tcPr>
            <w:tcW w:w="1633" w:type="dxa"/>
            <w:shd w:val="clear" w:color="auto" w:fill="auto"/>
          </w:tcPr>
          <w:p w14:paraId="780AB1A8"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D4E6DDF" w14:textId="77777777" w:rsidR="00D32A05" w:rsidRPr="001C29FC" w:rsidRDefault="00D32A05" w:rsidP="00D32A05">
            <w:pPr>
              <w:pStyle w:val="TableText"/>
              <w:rPr>
                <w:color w:val="000000"/>
                <w:szCs w:val="18"/>
              </w:rPr>
            </w:pPr>
            <w:r w:rsidRPr="001C29FC">
              <w:rPr>
                <w:color w:val="000000"/>
                <w:szCs w:val="18"/>
              </w:rPr>
              <w:t xml:space="preserve">Accrue workload when a transfusion reaction investigation is saved. </w:t>
            </w:r>
            <w:r w:rsidRPr="001C29FC">
              <w:rPr>
                <w:iCs/>
                <w:color w:val="000000"/>
                <w:szCs w:val="18"/>
              </w:rPr>
              <w:t xml:space="preserve">This does </w:t>
            </w:r>
            <w:r w:rsidRPr="001C29FC">
              <w:rPr>
                <w:color w:val="000000"/>
                <w:szCs w:val="18"/>
              </w:rPr>
              <w:t>not</w:t>
            </w:r>
            <w:r w:rsidRPr="001C29FC">
              <w:rPr>
                <w:iCs/>
                <w:color w:val="000000"/>
                <w:szCs w:val="18"/>
              </w:rPr>
              <w:t xml:space="preserve"> include workload accrued by the optional TRW serologic testing.</w:t>
            </w:r>
          </w:p>
        </w:tc>
      </w:tr>
      <w:tr w:rsidR="00D32A05" w:rsidRPr="001C29FC" w14:paraId="09666470" w14:textId="77777777" w:rsidTr="00D32A05">
        <w:trPr>
          <w:cantSplit/>
          <w:tblHeader/>
        </w:trPr>
        <w:tc>
          <w:tcPr>
            <w:tcW w:w="1803" w:type="dxa"/>
            <w:shd w:val="clear" w:color="auto" w:fill="auto"/>
            <w:vAlign w:val="bottom"/>
          </w:tcPr>
          <w:p w14:paraId="441851C4" w14:textId="77777777" w:rsidR="00D32A05" w:rsidRPr="001C29FC" w:rsidRDefault="00D32A05" w:rsidP="00D32A05">
            <w:pPr>
              <w:pStyle w:val="TableText"/>
            </w:pPr>
            <w:r w:rsidRPr="001C29FC">
              <w:t>Invalidate Patient Test Results*</w:t>
            </w:r>
          </w:p>
        </w:tc>
        <w:tc>
          <w:tcPr>
            <w:tcW w:w="1442" w:type="dxa"/>
            <w:vMerge/>
            <w:shd w:val="clear" w:color="auto" w:fill="auto"/>
          </w:tcPr>
          <w:p w14:paraId="7405A118" w14:textId="77777777" w:rsidR="00D32A05" w:rsidRPr="001C29FC" w:rsidRDefault="00D32A05" w:rsidP="00D32A05">
            <w:pPr>
              <w:pStyle w:val="TableText"/>
              <w:rPr>
                <w:color w:val="000000"/>
                <w:szCs w:val="18"/>
              </w:rPr>
            </w:pPr>
          </w:p>
        </w:tc>
        <w:tc>
          <w:tcPr>
            <w:tcW w:w="1633" w:type="dxa"/>
            <w:shd w:val="clear" w:color="auto" w:fill="auto"/>
          </w:tcPr>
          <w:p w14:paraId="17020E3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4E7BDBA"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transfusion reaction investigation previously saved is invalidated.</w:t>
            </w:r>
          </w:p>
        </w:tc>
      </w:tr>
      <w:tr w:rsidR="00D32A05" w:rsidRPr="001C29FC" w14:paraId="70913AAF" w14:textId="77777777" w:rsidTr="00D32A05">
        <w:trPr>
          <w:cantSplit/>
          <w:tblHeader/>
        </w:trPr>
        <w:tc>
          <w:tcPr>
            <w:tcW w:w="1803" w:type="dxa"/>
            <w:shd w:val="clear" w:color="auto" w:fill="auto"/>
            <w:vAlign w:val="bottom"/>
          </w:tcPr>
          <w:p w14:paraId="3827C453" w14:textId="77777777" w:rsidR="00D32A05" w:rsidRPr="001C29FC" w:rsidRDefault="00D32A05" w:rsidP="00D32A05">
            <w:pPr>
              <w:pStyle w:val="TableText"/>
            </w:pPr>
            <w:r w:rsidRPr="001C29FC">
              <w:t>Unit Antigen Typing</w:t>
            </w:r>
          </w:p>
        </w:tc>
        <w:tc>
          <w:tcPr>
            <w:tcW w:w="1442" w:type="dxa"/>
            <w:vMerge w:val="restart"/>
            <w:shd w:val="clear" w:color="auto" w:fill="auto"/>
          </w:tcPr>
          <w:p w14:paraId="68A3815C" w14:textId="77777777" w:rsidR="00D32A05" w:rsidRPr="001C29FC" w:rsidRDefault="00D32A05" w:rsidP="00D32A05">
            <w:pPr>
              <w:pStyle w:val="TableText"/>
              <w:rPr>
                <w:color w:val="000000"/>
                <w:szCs w:val="18"/>
              </w:rPr>
            </w:pPr>
            <w:r w:rsidRPr="001C29FC">
              <w:rPr>
                <w:color w:val="000000"/>
                <w:szCs w:val="18"/>
              </w:rPr>
              <w:t>Unit Antigen phenotyping, Multiple Test phases</w:t>
            </w:r>
          </w:p>
        </w:tc>
        <w:tc>
          <w:tcPr>
            <w:tcW w:w="1633" w:type="dxa"/>
            <w:shd w:val="clear" w:color="auto" w:fill="auto"/>
          </w:tcPr>
          <w:p w14:paraId="63A6A52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199C63"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IS/RT or IS/37 phases is selected and completed for an individual blood unit. There is no special handling for workload collection for additional repeat antigen typing tests on a unit.</w:t>
            </w:r>
          </w:p>
        </w:tc>
      </w:tr>
      <w:tr w:rsidR="00D32A05" w:rsidRPr="001C29FC" w14:paraId="06CDB613" w14:textId="77777777" w:rsidTr="00D32A05">
        <w:trPr>
          <w:cantSplit/>
          <w:tblHeader/>
        </w:trPr>
        <w:tc>
          <w:tcPr>
            <w:tcW w:w="1803" w:type="dxa"/>
            <w:shd w:val="clear" w:color="auto" w:fill="auto"/>
            <w:vAlign w:val="bottom"/>
          </w:tcPr>
          <w:p w14:paraId="0E8538AC" w14:textId="77777777" w:rsidR="00D32A05" w:rsidRPr="001C29FC" w:rsidRDefault="00D32A05" w:rsidP="00D32A05">
            <w:pPr>
              <w:pStyle w:val="TableText"/>
            </w:pPr>
            <w:r w:rsidRPr="001C29FC">
              <w:t>Edit Unit Information*</w:t>
            </w:r>
          </w:p>
        </w:tc>
        <w:tc>
          <w:tcPr>
            <w:tcW w:w="1442" w:type="dxa"/>
            <w:vMerge/>
            <w:shd w:val="clear" w:color="auto" w:fill="auto"/>
          </w:tcPr>
          <w:p w14:paraId="27DBE3F2" w14:textId="77777777" w:rsidR="00D32A05" w:rsidRPr="001C29FC" w:rsidRDefault="00D32A05" w:rsidP="00D32A05">
            <w:pPr>
              <w:pStyle w:val="TableText"/>
              <w:rPr>
                <w:color w:val="000000"/>
                <w:szCs w:val="18"/>
              </w:rPr>
            </w:pPr>
          </w:p>
        </w:tc>
        <w:tc>
          <w:tcPr>
            <w:tcW w:w="1633" w:type="dxa"/>
            <w:shd w:val="clear" w:color="auto" w:fill="auto"/>
          </w:tcPr>
          <w:p w14:paraId="39C47D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1FC4AC8"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Multiple Test phases is invalidated for an individual blood unit.</w:t>
            </w:r>
          </w:p>
        </w:tc>
      </w:tr>
      <w:tr w:rsidR="00D32A05" w:rsidRPr="001C29FC" w14:paraId="180ECF9E" w14:textId="77777777" w:rsidTr="00D32A05">
        <w:trPr>
          <w:cantSplit/>
          <w:tblHeader/>
        </w:trPr>
        <w:tc>
          <w:tcPr>
            <w:tcW w:w="1803" w:type="dxa"/>
            <w:shd w:val="clear" w:color="auto" w:fill="auto"/>
            <w:vAlign w:val="bottom"/>
          </w:tcPr>
          <w:p w14:paraId="1CCE9B18" w14:textId="77777777" w:rsidR="00D32A05" w:rsidRPr="001C29FC" w:rsidRDefault="00D32A05" w:rsidP="00D32A05">
            <w:pPr>
              <w:pStyle w:val="TableText"/>
            </w:pPr>
            <w:r w:rsidRPr="001C29FC">
              <w:t>Unit Antigen Typing</w:t>
            </w:r>
          </w:p>
        </w:tc>
        <w:tc>
          <w:tcPr>
            <w:tcW w:w="1442" w:type="dxa"/>
            <w:vMerge w:val="restart"/>
            <w:shd w:val="clear" w:color="auto" w:fill="auto"/>
          </w:tcPr>
          <w:p w14:paraId="3D20B74B" w14:textId="77777777" w:rsidR="00D32A05" w:rsidRPr="001C29FC" w:rsidRDefault="00D32A05" w:rsidP="00D32A05">
            <w:pPr>
              <w:pStyle w:val="TableText"/>
              <w:rPr>
                <w:color w:val="000000"/>
                <w:szCs w:val="18"/>
              </w:rPr>
            </w:pPr>
            <w:r w:rsidRPr="001C29FC">
              <w:rPr>
                <w:color w:val="000000"/>
                <w:szCs w:val="18"/>
              </w:rPr>
              <w:t>Unit Antigen phenotyping, Single Test phase</w:t>
            </w:r>
          </w:p>
        </w:tc>
        <w:tc>
          <w:tcPr>
            <w:tcW w:w="1633" w:type="dxa"/>
            <w:shd w:val="clear" w:color="auto" w:fill="auto"/>
          </w:tcPr>
          <w:p w14:paraId="2B248E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756E22" w14:textId="77777777" w:rsidR="00D32A05" w:rsidRPr="001C29FC" w:rsidRDefault="00D32A05" w:rsidP="00D32A05">
            <w:pPr>
              <w:pStyle w:val="TableText"/>
              <w:rPr>
                <w:color w:val="000000"/>
                <w:szCs w:val="18"/>
              </w:rPr>
            </w:pPr>
            <w:r w:rsidRPr="001C29FC">
              <w:rPr>
                <w:color w:val="000000"/>
                <w:szCs w:val="18"/>
              </w:rPr>
              <w:t>A unit antigen phenotype test with AHG or IS phase is selected and completed for an individual blood unit. There is no special handling for workload collection for additional repeat antigen typing tests on a unit.</w:t>
            </w:r>
          </w:p>
        </w:tc>
      </w:tr>
      <w:tr w:rsidR="00D32A05" w:rsidRPr="001C29FC" w14:paraId="14F52D0F" w14:textId="77777777" w:rsidTr="00D32A05">
        <w:trPr>
          <w:cantSplit/>
          <w:tblHeader/>
        </w:trPr>
        <w:tc>
          <w:tcPr>
            <w:tcW w:w="1803" w:type="dxa"/>
            <w:shd w:val="clear" w:color="auto" w:fill="auto"/>
            <w:vAlign w:val="bottom"/>
          </w:tcPr>
          <w:p w14:paraId="0B3F9BE5" w14:textId="77777777" w:rsidR="00D32A05" w:rsidRPr="001C29FC" w:rsidRDefault="00D32A05" w:rsidP="00D32A05">
            <w:pPr>
              <w:pStyle w:val="TableText"/>
            </w:pPr>
            <w:r w:rsidRPr="001C29FC">
              <w:t>Edit Unit Information*</w:t>
            </w:r>
          </w:p>
        </w:tc>
        <w:tc>
          <w:tcPr>
            <w:tcW w:w="1442" w:type="dxa"/>
            <w:vMerge/>
            <w:shd w:val="clear" w:color="auto" w:fill="auto"/>
          </w:tcPr>
          <w:p w14:paraId="224C5C36" w14:textId="77777777" w:rsidR="00D32A05" w:rsidRPr="001C29FC" w:rsidRDefault="00D32A05" w:rsidP="00D32A05">
            <w:pPr>
              <w:pStyle w:val="TableText"/>
              <w:rPr>
                <w:color w:val="000000"/>
                <w:szCs w:val="18"/>
              </w:rPr>
            </w:pPr>
          </w:p>
        </w:tc>
        <w:tc>
          <w:tcPr>
            <w:tcW w:w="1633" w:type="dxa"/>
            <w:shd w:val="clear" w:color="auto" w:fill="auto"/>
          </w:tcPr>
          <w:p w14:paraId="667A4A0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C77A4AB"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Single Test phase is invalidated for an individual blood unit.</w:t>
            </w:r>
          </w:p>
        </w:tc>
      </w:tr>
      <w:tr w:rsidR="00D32A05" w:rsidRPr="001C29FC" w14:paraId="18B6AEA9" w14:textId="77777777" w:rsidTr="00D32A05">
        <w:trPr>
          <w:cantSplit/>
          <w:tblHeader/>
        </w:trPr>
        <w:tc>
          <w:tcPr>
            <w:tcW w:w="1803" w:type="dxa"/>
            <w:shd w:val="clear" w:color="auto" w:fill="auto"/>
            <w:vAlign w:val="bottom"/>
          </w:tcPr>
          <w:p w14:paraId="1CCE5285" w14:textId="77777777" w:rsidR="00D32A05" w:rsidRPr="001C29FC" w:rsidRDefault="00D32A05" w:rsidP="00D32A05">
            <w:pPr>
              <w:pStyle w:val="TableText"/>
            </w:pPr>
            <w:r w:rsidRPr="001C29FC">
              <w:t>Incoming Shipment</w:t>
            </w:r>
          </w:p>
        </w:tc>
        <w:tc>
          <w:tcPr>
            <w:tcW w:w="1442" w:type="dxa"/>
            <w:vMerge w:val="restart"/>
            <w:shd w:val="clear" w:color="auto" w:fill="auto"/>
          </w:tcPr>
          <w:p w14:paraId="32408964" w14:textId="77777777" w:rsidR="00D32A05" w:rsidRPr="001C29FC" w:rsidRDefault="00D32A05" w:rsidP="00D32A05">
            <w:pPr>
              <w:pStyle w:val="TableText"/>
              <w:rPr>
                <w:color w:val="000000"/>
                <w:szCs w:val="18"/>
              </w:rPr>
            </w:pPr>
            <w:r w:rsidRPr="001C29FC">
              <w:rPr>
                <w:color w:val="000000"/>
                <w:szCs w:val="18"/>
              </w:rPr>
              <w:t>Unit login</w:t>
            </w:r>
          </w:p>
        </w:tc>
        <w:tc>
          <w:tcPr>
            <w:tcW w:w="1633" w:type="dxa"/>
            <w:shd w:val="clear" w:color="auto" w:fill="auto"/>
          </w:tcPr>
          <w:p w14:paraId="70E3895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4187112" w14:textId="77777777" w:rsidR="00D32A05" w:rsidRPr="001C29FC" w:rsidRDefault="00D32A05" w:rsidP="00D32A05">
            <w:pPr>
              <w:pStyle w:val="TableText"/>
              <w:rPr>
                <w:color w:val="000000"/>
                <w:szCs w:val="18"/>
              </w:rPr>
            </w:pPr>
            <w:r w:rsidRPr="001C29FC">
              <w:rPr>
                <w:color w:val="000000"/>
                <w:szCs w:val="18"/>
              </w:rPr>
              <w:t>An individual unit record is activated as “saved” to an incoming shipment invoice. When multiple units are entered, each unit added to the database accrues workload.</w:t>
            </w:r>
          </w:p>
        </w:tc>
      </w:tr>
      <w:tr w:rsidR="00D32A05" w:rsidRPr="001C29FC" w14:paraId="096B693D" w14:textId="77777777" w:rsidTr="00D32A05">
        <w:trPr>
          <w:cantSplit/>
          <w:tblHeader/>
        </w:trPr>
        <w:tc>
          <w:tcPr>
            <w:tcW w:w="1803" w:type="dxa"/>
            <w:shd w:val="clear" w:color="auto" w:fill="auto"/>
            <w:vAlign w:val="bottom"/>
          </w:tcPr>
          <w:p w14:paraId="33574B2F" w14:textId="77777777" w:rsidR="00D32A05" w:rsidRPr="001C29FC" w:rsidRDefault="00D32A05" w:rsidP="00D32A05">
            <w:pPr>
              <w:pStyle w:val="TableText"/>
            </w:pPr>
            <w:r w:rsidRPr="001C29FC">
              <w:t>Edit Unit Information*</w:t>
            </w:r>
          </w:p>
        </w:tc>
        <w:tc>
          <w:tcPr>
            <w:tcW w:w="1442" w:type="dxa"/>
            <w:vMerge/>
            <w:shd w:val="clear" w:color="auto" w:fill="auto"/>
          </w:tcPr>
          <w:p w14:paraId="36EC0FFC" w14:textId="77777777" w:rsidR="00D32A05" w:rsidRPr="001C29FC" w:rsidRDefault="00D32A05" w:rsidP="00D32A05">
            <w:pPr>
              <w:pStyle w:val="TableText"/>
              <w:rPr>
                <w:color w:val="000000"/>
                <w:szCs w:val="18"/>
              </w:rPr>
            </w:pPr>
          </w:p>
        </w:tc>
        <w:tc>
          <w:tcPr>
            <w:tcW w:w="1633" w:type="dxa"/>
            <w:shd w:val="clear" w:color="auto" w:fill="auto"/>
          </w:tcPr>
          <w:p w14:paraId="192DFC1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2C7AB0"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and logged in through incoming shipment or is a pooled unit created in VBECS. When the unit was created by split modification, no workload is invalidated in this option. </w:t>
            </w:r>
          </w:p>
        </w:tc>
      </w:tr>
      <w:tr w:rsidR="00D32A05" w:rsidRPr="001C29FC" w14:paraId="38AE045E" w14:textId="77777777" w:rsidTr="00D32A05">
        <w:trPr>
          <w:cantSplit/>
          <w:tblHeader/>
        </w:trPr>
        <w:tc>
          <w:tcPr>
            <w:tcW w:w="1803" w:type="dxa"/>
            <w:shd w:val="clear" w:color="auto" w:fill="auto"/>
            <w:vAlign w:val="bottom"/>
          </w:tcPr>
          <w:p w14:paraId="78B0FE95" w14:textId="77777777" w:rsidR="00D32A05" w:rsidRPr="001C29FC" w:rsidRDefault="00D32A05" w:rsidP="00D32A05">
            <w:pPr>
              <w:pStyle w:val="TableText"/>
            </w:pPr>
            <w:r w:rsidRPr="001C29FC">
              <w:t>Outgoing Shipment</w:t>
            </w:r>
          </w:p>
        </w:tc>
        <w:tc>
          <w:tcPr>
            <w:tcW w:w="1442" w:type="dxa"/>
            <w:vMerge w:val="restart"/>
            <w:shd w:val="clear" w:color="auto" w:fill="auto"/>
          </w:tcPr>
          <w:p w14:paraId="39238786" w14:textId="77777777" w:rsidR="00D32A05" w:rsidRPr="001C29FC" w:rsidRDefault="00D32A05" w:rsidP="00D32A05">
            <w:pPr>
              <w:pStyle w:val="TableText"/>
              <w:rPr>
                <w:color w:val="000000"/>
                <w:szCs w:val="18"/>
              </w:rPr>
            </w:pPr>
            <w:r w:rsidRPr="001C29FC">
              <w:rPr>
                <w:color w:val="000000"/>
                <w:szCs w:val="18"/>
              </w:rPr>
              <w:t>Unit logout</w:t>
            </w:r>
          </w:p>
        </w:tc>
        <w:tc>
          <w:tcPr>
            <w:tcW w:w="1633" w:type="dxa"/>
            <w:shd w:val="clear" w:color="auto" w:fill="auto"/>
          </w:tcPr>
          <w:p w14:paraId="2313010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B1AA80F" w14:textId="77777777" w:rsidR="00D32A05" w:rsidRPr="001C29FC" w:rsidRDefault="00D32A05" w:rsidP="00D32A05">
            <w:pPr>
              <w:pStyle w:val="TableText"/>
              <w:rPr>
                <w:color w:val="000000"/>
                <w:szCs w:val="18"/>
              </w:rPr>
            </w:pPr>
            <w:r w:rsidRPr="001C29FC">
              <w:rPr>
                <w:color w:val="000000"/>
                <w:szCs w:val="18"/>
              </w:rPr>
              <w:t>An individual unit’s status is updated to “</w:t>
            </w:r>
            <w:r w:rsidRPr="001C29FC">
              <w:rPr>
                <w:iCs/>
                <w:color w:val="000000"/>
                <w:szCs w:val="18"/>
              </w:rPr>
              <w:t>transferred”</w:t>
            </w:r>
            <w:r w:rsidRPr="001C29FC">
              <w:rPr>
                <w:color w:val="000000"/>
                <w:szCs w:val="18"/>
              </w:rPr>
              <w:t xml:space="preserve"> on a confirmed outgoing shipment invoice. When multiple units are selected, each unit accrues workload. Accrue workload on confirmation of the invoice, not the addition of a unit to a temporary outgoing shipment invoice: an invoice may be confirmed only once.</w:t>
            </w:r>
          </w:p>
        </w:tc>
      </w:tr>
      <w:tr w:rsidR="00D32A05" w:rsidRPr="001C29FC" w14:paraId="771E3CA0" w14:textId="77777777" w:rsidTr="00D32A05">
        <w:trPr>
          <w:cantSplit/>
          <w:tblHeader/>
        </w:trPr>
        <w:tc>
          <w:tcPr>
            <w:tcW w:w="1803" w:type="dxa"/>
            <w:shd w:val="clear" w:color="auto" w:fill="auto"/>
            <w:vAlign w:val="bottom"/>
          </w:tcPr>
          <w:p w14:paraId="06EA577A" w14:textId="77777777" w:rsidR="00D32A05" w:rsidRPr="001C29FC" w:rsidRDefault="00D32A05" w:rsidP="00D32A05">
            <w:pPr>
              <w:pStyle w:val="TableText"/>
            </w:pPr>
            <w:r w:rsidRPr="001C29FC">
              <w:t>Remove Final Status*</w:t>
            </w:r>
          </w:p>
        </w:tc>
        <w:tc>
          <w:tcPr>
            <w:tcW w:w="1442" w:type="dxa"/>
            <w:vMerge/>
            <w:shd w:val="clear" w:color="auto" w:fill="auto"/>
          </w:tcPr>
          <w:p w14:paraId="672AA82D" w14:textId="77777777" w:rsidR="00D32A05" w:rsidRPr="001C29FC" w:rsidRDefault="00D32A05" w:rsidP="00D32A05">
            <w:pPr>
              <w:pStyle w:val="TableText"/>
              <w:rPr>
                <w:color w:val="000000"/>
                <w:szCs w:val="18"/>
              </w:rPr>
            </w:pPr>
          </w:p>
        </w:tc>
        <w:tc>
          <w:tcPr>
            <w:tcW w:w="1633" w:type="dxa"/>
            <w:shd w:val="clear" w:color="auto" w:fill="auto"/>
          </w:tcPr>
          <w:p w14:paraId="6A82C3C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9D85AE" w14:textId="77777777" w:rsidR="00D32A05" w:rsidRPr="001C29FC" w:rsidRDefault="00D32A05" w:rsidP="00D32A05">
            <w:pPr>
              <w:pStyle w:val="TableText"/>
              <w:rPr>
                <w:color w:val="000000"/>
                <w:szCs w:val="18"/>
              </w:rPr>
            </w:pPr>
            <w:r w:rsidRPr="001C29FC">
              <w:rPr>
                <w:color w:val="000000"/>
                <w:szCs w:val="18"/>
              </w:rPr>
              <w:t>An individual unit status is invalidated when the unit had a previous unit status of “transferred.”</w:t>
            </w:r>
          </w:p>
        </w:tc>
      </w:tr>
      <w:tr w:rsidR="00D32A05" w:rsidRPr="001C29FC" w14:paraId="77784C04" w14:textId="77777777" w:rsidTr="00D32A05">
        <w:trPr>
          <w:cantSplit/>
          <w:tblHeader/>
        </w:trPr>
        <w:tc>
          <w:tcPr>
            <w:tcW w:w="1803" w:type="dxa"/>
            <w:shd w:val="clear" w:color="auto" w:fill="auto"/>
          </w:tcPr>
          <w:p w14:paraId="5E08ACDA" w14:textId="77777777" w:rsidR="00D32A05" w:rsidRPr="001C29FC" w:rsidRDefault="00D32A05" w:rsidP="00D32A05">
            <w:pPr>
              <w:pStyle w:val="TableText"/>
              <w:rPr>
                <w:szCs w:val="18"/>
              </w:rPr>
            </w:pPr>
            <w:r w:rsidRPr="001C29FC">
              <w:rPr>
                <w:szCs w:val="18"/>
              </w:rPr>
              <w:t>Update Equipment Record</w:t>
            </w:r>
          </w:p>
        </w:tc>
        <w:tc>
          <w:tcPr>
            <w:tcW w:w="1442" w:type="dxa"/>
            <w:shd w:val="clear" w:color="auto" w:fill="auto"/>
          </w:tcPr>
          <w:p w14:paraId="0DDC023D" w14:textId="77777777" w:rsidR="00D32A05" w:rsidRPr="001C29FC" w:rsidRDefault="00D32A05" w:rsidP="00D32A05">
            <w:pPr>
              <w:pStyle w:val="TableText"/>
              <w:rPr>
                <w:szCs w:val="18"/>
              </w:rPr>
            </w:pPr>
            <w:r w:rsidRPr="001C29FC">
              <w:rPr>
                <w:szCs w:val="18"/>
              </w:rPr>
              <w:t>Update Equipment Record</w:t>
            </w:r>
          </w:p>
        </w:tc>
        <w:tc>
          <w:tcPr>
            <w:tcW w:w="1633" w:type="dxa"/>
            <w:shd w:val="clear" w:color="auto" w:fill="auto"/>
          </w:tcPr>
          <w:p w14:paraId="4C4E85DF"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72A030" w14:textId="77777777" w:rsidR="00D32A05" w:rsidRPr="001C29FC" w:rsidRDefault="00D32A05" w:rsidP="00D32A05">
            <w:pPr>
              <w:pStyle w:val="TableText"/>
              <w:rPr>
                <w:szCs w:val="18"/>
              </w:rPr>
            </w:pPr>
            <w:r w:rsidRPr="001C29FC">
              <w:rPr>
                <w:szCs w:val="18"/>
              </w:rPr>
              <w:t xml:space="preserve">Accrue workload when a lot number of any type of equipment is updated in the system. </w:t>
            </w:r>
          </w:p>
        </w:tc>
      </w:tr>
      <w:tr w:rsidR="00D32A05" w:rsidRPr="001C29FC" w14:paraId="4282B00D" w14:textId="77777777" w:rsidTr="00D32A05">
        <w:trPr>
          <w:cantSplit/>
          <w:tblHeader/>
        </w:trPr>
        <w:tc>
          <w:tcPr>
            <w:tcW w:w="1803" w:type="dxa"/>
            <w:shd w:val="clear" w:color="auto" w:fill="auto"/>
          </w:tcPr>
          <w:p w14:paraId="5D093BF3" w14:textId="77777777" w:rsidR="00D32A05" w:rsidRPr="001C29FC" w:rsidRDefault="00D32A05" w:rsidP="00D32A05">
            <w:pPr>
              <w:pStyle w:val="TableText"/>
              <w:rPr>
                <w:szCs w:val="18"/>
              </w:rPr>
            </w:pPr>
            <w:r w:rsidRPr="001C29FC">
              <w:rPr>
                <w:szCs w:val="18"/>
              </w:rPr>
              <w:lastRenderedPageBreak/>
              <w:t>Update Reagent Inventory</w:t>
            </w:r>
          </w:p>
        </w:tc>
        <w:tc>
          <w:tcPr>
            <w:tcW w:w="1442" w:type="dxa"/>
            <w:shd w:val="clear" w:color="auto" w:fill="auto"/>
          </w:tcPr>
          <w:p w14:paraId="464DB4EA" w14:textId="77777777" w:rsidR="00D32A05" w:rsidRPr="001C29FC" w:rsidRDefault="00D32A05" w:rsidP="00D32A05">
            <w:pPr>
              <w:pStyle w:val="TableText"/>
              <w:rPr>
                <w:szCs w:val="18"/>
              </w:rPr>
            </w:pPr>
            <w:r w:rsidRPr="001C29FC">
              <w:rPr>
                <w:szCs w:val="18"/>
              </w:rPr>
              <w:t>Update Reagent Inventory</w:t>
            </w:r>
          </w:p>
        </w:tc>
        <w:tc>
          <w:tcPr>
            <w:tcW w:w="1633" w:type="dxa"/>
            <w:shd w:val="clear" w:color="auto" w:fill="auto"/>
          </w:tcPr>
          <w:p w14:paraId="2E22547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60F42CD" w14:textId="77777777" w:rsidR="00D32A05" w:rsidRPr="001C29FC" w:rsidRDefault="00D32A05" w:rsidP="00D32A05">
            <w:pPr>
              <w:pStyle w:val="TableText"/>
              <w:rPr>
                <w:szCs w:val="18"/>
              </w:rPr>
            </w:pPr>
            <w:r w:rsidRPr="001C29FC">
              <w:rPr>
                <w:szCs w:val="18"/>
              </w:rPr>
              <w:t>Accrue workload when a lot number of any type of reagent is updated in the system. When multiple lot numbers are processed in a batch, each lot number’s workload is counted.</w:t>
            </w:r>
          </w:p>
        </w:tc>
      </w:tr>
      <w:tr w:rsidR="00D32A05" w:rsidRPr="001C29FC" w14:paraId="642D4570" w14:textId="77777777" w:rsidTr="00D32A05">
        <w:trPr>
          <w:cantSplit/>
          <w:tblHeader/>
        </w:trPr>
        <w:tc>
          <w:tcPr>
            <w:tcW w:w="1803" w:type="dxa"/>
            <w:shd w:val="clear" w:color="auto" w:fill="auto"/>
          </w:tcPr>
          <w:p w14:paraId="2AA8CD0C" w14:textId="77777777" w:rsidR="00D32A05" w:rsidRPr="001C29FC" w:rsidRDefault="00D32A05" w:rsidP="00D32A05">
            <w:pPr>
              <w:pStyle w:val="TableText"/>
              <w:rPr>
                <w:szCs w:val="18"/>
              </w:rPr>
            </w:pPr>
            <w:r w:rsidRPr="001C29FC">
              <w:rPr>
                <w:szCs w:val="18"/>
              </w:rPr>
              <w:t>Update Supply Inventory</w:t>
            </w:r>
          </w:p>
        </w:tc>
        <w:tc>
          <w:tcPr>
            <w:tcW w:w="1442" w:type="dxa"/>
            <w:shd w:val="clear" w:color="auto" w:fill="auto"/>
          </w:tcPr>
          <w:p w14:paraId="28CF1589" w14:textId="77777777" w:rsidR="00D32A05" w:rsidRPr="001C29FC" w:rsidRDefault="00D32A05" w:rsidP="00D32A05">
            <w:pPr>
              <w:pStyle w:val="TableText"/>
              <w:rPr>
                <w:szCs w:val="18"/>
              </w:rPr>
            </w:pPr>
            <w:r w:rsidRPr="001C29FC">
              <w:rPr>
                <w:szCs w:val="18"/>
              </w:rPr>
              <w:t>Update Supply Inventory</w:t>
            </w:r>
          </w:p>
        </w:tc>
        <w:tc>
          <w:tcPr>
            <w:tcW w:w="1633" w:type="dxa"/>
            <w:shd w:val="clear" w:color="auto" w:fill="auto"/>
          </w:tcPr>
          <w:p w14:paraId="2B79E9E2"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F0E5705" w14:textId="77777777" w:rsidR="00D32A05" w:rsidRPr="001C29FC" w:rsidRDefault="00D32A05" w:rsidP="00D32A05">
            <w:pPr>
              <w:pStyle w:val="TableText"/>
              <w:rPr>
                <w:szCs w:val="18"/>
              </w:rPr>
            </w:pPr>
            <w:r w:rsidRPr="001C29FC">
              <w:rPr>
                <w:szCs w:val="18"/>
              </w:rPr>
              <w:t>Accrue workload when a lot number of any type of supply is updated in the system. When multiple lot numbers are processed in a batch, each lot number’s workload is counted.</w:t>
            </w:r>
          </w:p>
        </w:tc>
      </w:tr>
    </w:tbl>
    <w:p w14:paraId="37CDC5CF" w14:textId="77777777" w:rsidR="000C4603" w:rsidRDefault="00D32A05" w:rsidP="00965A17">
      <w:pPr>
        <w:pStyle w:val="BodyText"/>
      </w:pPr>
      <w:r w:rsidRPr="001C29FC">
        <w:t>*Accumulates negative workload when it is associated with inactivation of a unit or removal of a final status.</w:t>
      </w:r>
      <w:r w:rsidR="00965A17">
        <w:t xml:space="preserve"> </w:t>
      </w:r>
    </w:p>
    <w:p w14:paraId="6C2A7428" w14:textId="19CCE11A" w:rsidR="002A21AE" w:rsidRDefault="00AC75B2" w:rsidP="008964A9">
      <w:pPr>
        <w:pStyle w:val="Heading1"/>
      </w:pPr>
      <w:r>
        <w:rPr>
          <w:rFonts w:ascii="Times New Roman" w:hAnsi="Times New Roman" w:cs="Times New Roman"/>
          <w:sz w:val="22"/>
          <w:szCs w:val="22"/>
        </w:rPr>
        <w:br w:type="page"/>
      </w:r>
      <w:bookmarkStart w:id="817" w:name="_Toc163645052"/>
      <w:r w:rsidR="002A21AE">
        <w:lastRenderedPageBreak/>
        <w:t>Index</w:t>
      </w:r>
      <w:bookmarkEnd w:id="817"/>
    </w:p>
    <w:p w14:paraId="0DC2AD62" w14:textId="77777777" w:rsidR="00812371" w:rsidRDefault="00E93F17" w:rsidP="009C0A99">
      <w:pPr>
        <w:pStyle w:val="BodyText"/>
        <w:jc w:val="center"/>
        <w:rPr>
          <w:rFonts w:ascii="Arial" w:hAnsi="Arial" w:cs="Arial"/>
          <w:b/>
          <w:bCs/>
          <w:noProof/>
          <w:kern w:val="32"/>
        </w:rPr>
        <w:sectPr w:rsidR="00812371" w:rsidSect="00812371">
          <w:headerReference w:type="even" r:id="rId243"/>
          <w:type w:val="continuous"/>
          <w:pgSz w:w="12240" w:h="15840" w:code="1"/>
          <w:pgMar w:top="1440" w:right="1440" w:bottom="1440" w:left="1440" w:header="720" w:footer="720" w:gutter="0"/>
          <w:cols w:space="720"/>
          <w:docGrid w:linePitch="360"/>
        </w:sectPr>
      </w:pPr>
      <w:r w:rsidRPr="00206945">
        <w:rPr>
          <w:rFonts w:ascii="Arial" w:hAnsi="Arial" w:cs="Arial"/>
          <w:b/>
          <w:bCs/>
          <w:kern w:val="32"/>
        </w:rPr>
        <w:fldChar w:fldCharType="begin"/>
      </w:r>
      <w:r w:rsidRPr="00206945">
        <w:rPr>
          <w:rFonts w:ascii="Arial" w:hAnsi="Arial" w:cs="Arial"/>
          <w:b/>
          <w:bCs/>
          <w:kern w:val="32"/>
        </w:rPr>
        <w:instrText xml:space="preserve"> INDEX \e "</w:instrText>
      </w:r>
      <w:r w:rsidRPr="00206945">
        <w:rPr>
          <w:rFonts w:ascii="Arial" w:hAnsi="Arial" w:cs="Arial"/>
          <w:b/>
          <w:bCs/>
          <w:kern w:val="32"/>
        </w:rPr>
        <w:tab/>
        <w:instrText xml:space="preserve">" \h "A" \c "1" \z "1033" </w:instrText>
      </w:r>
      <w:r w:rsidRPr="00206945">
        <w:rPr>
          <w:rFonts w:ascii="Arial" w:hAnsi="Arial" w:cs="Arial"/>
          <w:b/>
          <w:bCs/>
          <w:kern w:val="32"/>
        </w:rPr>
        <w:fldChar w:fldCharType="separate"/>
      </w:r>
    </w:p>
    <w:p w14:paraId="00824A78"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A</w:t>
      </w:r>
    </w:p>
    <w:p w14:paraId="216F841C" w14:textId="77777777" w:rsidR="00812371" w:rsidRDefault="00812371">
      <w:pPr>
        <w:pStyle w:val="Index1"/>
        <w:tabs>
          <w:tab w:val="right" w:leader="dot" w:pos="9350"/>
        </w:tabs>
        <w:rPr>
          <w:noProof/>
        </w:rPr>
      </w:pPr>
      <w:r>
        <w:rPr>
          <w:noProof/>
        </w:rPr>
        <w:t>Accept Orders: Accept an Order</w:t>
      </w:r>
      <w:r>
        <w:rPr>
          <w:noProof/>
        </w:rPr>
        <w:tab/>
        <w:t>233</w:t>
      </w:r>
    </w:p>
    <w:p w14:paraId="4E2BE796" w14:textId="77777777" w:rsidR="00812371" w:rsidRDefault="00812371">
      <w:pPr>
        <w:pStyle w:val="Index1"/>
        <w:tabs>
          <w:tab w:val="right" w:leader="dot" w:pos="9350"/>
        </w:tabs>
        <w:rPr>
          <w:noProof/>
        </w:rPr>
      </w:pPr>
      <w:r>
        <w:rPr>
          <w:noProof/>
        </w:rPr>
        <w:t>Accessing the System</w:t>
      </w:r>
      <w:r>
        <w:rPr>
          <w:noProof/>
        </w:rPr>
        <w:tab/>
        <w:t>24</w:t>
      </w:r>
    </w:p>
    <w:p w14:paraId="05603A6D" w14:textId="77777777" w:rsidR="00812371" w:rsidRDefault="00812371">
      <w:pPr>
        <w:pStyle w:val="Index1"/>
        <w:tabs>
          <w:tab w:val="right" w:leader="dot" w:pos="9350"/>
        </w:tabs>
        <w:rPr>
          <w:noProof/>
        </w:rPr>
      </w:pPr>
      <w:r>
        <w:rPr>
          <w:noProof/>
        </w:rPr>
        <w:t>Administrative Data Report</w:t>
      </w:r>
      <w:r>
        <w:rPr>
          <w:noProof/>
        </w:rPr>
        <w:tab/>
        <w:t>348</w:t>
      </w:r>
    </w:p>
    <w:p w14:paraId="57AE29FC" w14:textId="77777777" w:rsidR="00812371" w:rsidRDefault="00812371">
      <w:pPr>
        <w:pStyle w:val="Index1"/>
        <w:tabs>
          <w:tab w:val="right" w:leader="dot" w:pos="9350"/>
        </w:tabs>
        <w:rPr>
          <w:noProof/>
        </w:rPr>
      </w:pPr>
      <w:r>
        <w:rPr>
          <w:noProof/>
        </w:rPr>
        <w:t>Appendices</w:t>
      </w:r>
      <w:r>
        <w:rPr>
          <w:noProof/>
        </w:rPr>
        <w:tab/>
        <w:t>9</w:t>
      </w:r>
    </w:p>
    <w:p w14:paraId="4F8D7FD6" w14:textId="77777777" w:rsidR="00812371" w:rsidRDefault="00812371">
      <w:pPr>
        <w:pStyle w:val="Index1"/>
        <w:tabs>
          <w:tab w:val="right" w:leader="dot" w:pos="9350"/>
        </w:tabs>
        <w:rPr>
          <w:noProof/>
        </w:rPr>
      </w:pPr>
      <w:r>
        <w:rPr>
          <w:noProof/>
        </w:rPr>
        <w:t>Application Architecture</w:t>
      </w:r>
      <w:r>
        <w:rPr>
          <w:noProof/>
        </w:rPr>
        <w:tab/>
        <w:t>11</w:t>
      </w:r>
    </w:p>
    <w:p w14:paraId="026E260A" w14:textId="77777777" w:rsidR="00812371" w:rsidRDefault="00812371">
      <w:pPr>
        <w:pStyle w:val="Index1"/>
        <w:tabs>
          <w:tab w:val="right" w:leader="dot" w:pos="9350"/>
        </w:tabs>
        <w:rPr>
          <w:noProof/>
        </w:rPr>
      </w:pPr>
      <w:r>
        <w:rPr>
          <w:noProof/>
        </w:rPr>
        <w:t>Assumptions</w:t>
      </w:r>
      <w:r>
        <w:rPr>
          <w:noProof/>
        </w:rPr>
        <w:tab/>
        <w:t>145</w:t>
      </w:r>
    </w:p>
    <w:p w14:paraId="56B5F352" w14:textId="77777777" w:rsidR="00812371" w:rsidRDefault="00812371">
      <w:pPr>
        <w:pStyle w:val="Index1"/>
        <w:tabs>
          <w:tab w:val="right" w:leader="dot" w:pos="9350"/>
        </w:tabs>
        <w:rPr>
          <w:noProof/>
        </w:rPr>
      </w:pPr>
      <w:r>
        <w:rPr>
          <w:noProof/>
        </w:rPr>
        <w:t>Audit Trail</w:t>
      </w:r>
      <w:r>
        <w:rPr>
          <w:noProof/>
        </w:rPr>
        <w:tab/>
        <w:t>350</w:t>
      </w:r>
    </w:p>
    <w:p w14:paraId="1D4478A5" w14:textId="77777777" w:rsidR="00812371" w:rsidRDefault="00812371">
      <w:pPr>
        <w:pStyle w:val="Index1"/>
        <w:tabs>
          <w:tab w:val="right" w:leader="dot" w:pos="9350"/>
        </w:tabs>
        <w:rPr>
          <w:noProof/>
        </w:rPr>
      </w:pPr>
      <w:r>
        <w:rPr>
          <w:noProof/>
        </w:rPr>
        <w:t>Automated Entry of Post-Transfusion Details from BCE COTS Application</w:t>
      </w:r>
      <w:r>
        <w:rPr>
          <w:noProof/>
        </w:rPr>
        <w:tab/>
        <w:t>328</w:t>
      </w:r>
    </w:p>
    <w:p w14:paraId="66D512FA" w14:textId="77777777" w:rsidR="00812371" w:rsidRDefault="00812371">
      <w:pPr>
        <w:pStyle w:val="Index1"/>
        <w:tabs>
          <w:tab w:val="right" w:leader="dot" w:pos="9350"/>
        </w:tabs>
        <w:rPr>
          <w:noProof/>
        </w:rPr>
      </w:pPr>
      <w:r>
        <w:rPr>
          <w:noProof/>
        </w:rPr>
        <w:t>Automated Testing Interface</w:t>
      </w:r>
      <w:r>
        <w:rPr>
          <w:noProof/>
        </w:rPr>
        <w:tab/>
        <w:t>334</w:t>
      </w:r>
    </w:p>
    <w:p w14:paraId="1745F423"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B</w:t>
      </w:r>
    </w:p>
    <w:p w14:paraId="71B3AB18" w14:textId="77777777" w:rsidR="00812371" w:rsidRDefault="00812371">
      <w:pPr>
        <w:pStyle w:val="Index1"/>
        <w:tabs>
          <w:tab w:val="right" w:leader="dot" w:pos="9350"/>
        </w:tabs>
        <w:rPr>
          <w:noProof/>
        </w:rPr>
      </w:pPr>
      <w:r>
        <w:rPr>
          <w:noProof/>
        </w:rPr>
        <w:t>Background and Basic Knowledge</w:t>
      </w:r>
      <w:r>
        <w:rPr>
          <w:noProof/>
        </w:rPr>
        <w:tab/>
        <w:t>8</w:t>
      </w:r>
    </w:p>
    <w:p w14:paraId="14B7A365" w14:textId="77777777" w:rsidR="00812371" w:rsidRDefault="00812371">
      <w:pPr>
        <w:pStyle w:val="Index1"/>
        <w:tabs>
          <w:tab w:val="right" w:leader="dot" w:pos="9350"/>
        </w:tabs>
        <w:rPr>
          <w:noProof/>
        </w:rPr>
      </w:pPr>
      <w:r>
        <w:rPr>
          <w:noProof/>
        </w:rPr>
        <w:t>Barcode Scanner Configuration and Troubleshooting</w:t>
      </w:r>
      <w:r>
        <w:rPr>
          <w:noProof/>
        </w:rPr>
        <w:tab/>
        <w:t>498</w:t>
      </w:r>
    </w:p>
    <w:p w14:paraId="64040DEA" w14:textId="77777777" w:rsidR="00812371" w:rsidRDefault="00812371">
      <w:pPr>
        <w:pStyle w:val="Index1"/>
        <w:tabs>
          <w:tab w:val="right" w:leader="dot" w:pos="9350"/>
        </w:tabs>
        <w:rPr>
          <w:noProof/>
        </w:rPr>
      </w:pPr>
      <w:r>
        <w:rPr>
          <w:noProof/>
        </w:rPr>
        <w:t>Blood Availability</w:t>
      </w:r>
      <w:r>
        <w:rPr>
          <w:noProof/>
        </w:rPr>
        <w:tab/>
        <w:t>352</w:t>
      </w:r>
    </w:p>
    <w:p w14:paraId="0A96BB01"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C</w:t>
      </w:r>
    </w:p>
    <w:p w14:paraId="5390C58B" w14:textId="77777777" w:rsidR="00812371" w:rsidRDefault="00812371">
      <w:pPr>
        <w:pStyle w:val="Index1"/>
        <w:tabs>
          <w:tab w:val="right" w:leader="dot" w:pos="9350"/>
        </w:tabs>
        <w:rPr>
          <w:noProof/>
        </w:rPr>
      </w:pPr>
      <w:r>
        <w:rPr>
          <w:noProof/>
        </w:rPr>
        <w:t>C:T Ratio Report</w:t>
      </w:r>
      <w:r>
        <w:rPr>
          <w:noProof/>
        </w:rPr>
        <w:tab/>
        <w:t>356</w:t>
      </w:r>
    </w:p>
    <w:p w14:paraId="73F73777" w14:textId="77777777" w:rsidR="00812371" w:rsidRDefault="00812371">
      <w:pPr>
        <w:pStyle w:val="Index1"/>
        <w:tabs>
          <w:tab w:val="right" w:leader="dot" w:pos="9350"/>
        </w:tabs>
        <w:rPr>
          <w:noProof/>
        </w:rPr>
      </w:pPr>
      <w:r>
        <w:rPr>
          <w:noProof/>
        </w:rPr>
        <w:t>check character</w:t>
      </w:r>
      <w:r>
        <w:rPr>
          <w:noProof/>
        </w:rPr>
        <w:tab/>
        <w:t>109</w:t>
      </w:r>
    </w:p>
    <w:p w14:paraId="6E17C57E" w14:textId="77777777" w:rsidR="00812371" w:rsidRDefault="00812371">
      <w:pPr>
        <w:pStyle w:val="Index1"/>
        <w:tabs>
          <w:tab w:val="right" w:leader="dot" w:pos="9350"/>
        </w:tabs>
        <w:rPr>
          <w:noProof/>
        </w:rPr>
      </w:pPr>
      <w:r>
        <w:rPr>
          <w:noProof/>
        </w:rPr>
        <w:t>Collecting Workload</w:t>
      </w:r>
      <w:r>
        <w:rPr>
          <w:noProof/>
        </w:rPr>
        <w:tab/>
        <w:t>42</w:t>
      </w:r>
    </w:p>
    <w:p w14:paraId="210056F4" w14:textId="77777777" w:rsidR="00812371" w:rsidRDefault="00812371">
      <w:pPr>
        <w:pStyle w:val="Index1"/>
        <w:tabs>
          <w:tab w:val="right" w:leader="dot" w:pos="9350"/>
        </w:tabs>
        <w:rPr>
          <w:noProof/>
        </w:rPr>
      </w:pPr>
      <w:r>
        <w:rPr>
          <w:noProof/>
        </w:rPr>
        <w:t>Common Error Corrections</w:t>
      </w:r>
      <w:r>
        <w:rPr>
          <w:noProof/>
        </w:rPr>
        <w:tab/>
        <w:t>494</w:t>
      </w:r>
    </w:p>
    <w:p w14:paraId="2514A2F0" w14:textId="77777777" w:rsidR="00812371" w:rsidRDefault="00812371">
      <w:pPr>
        <w:pStyle w:val="Index1"/>
        <w:tabs>
          <w:tab w:val="right" w:leader="dot" w:pos="9350"/>
        </w:tabs>
        <w:rPr>
          <w:noProof/>
        </w:rPr>
      </w:pPr>
      <w:r>
        <w:rPr>
          <w:noProof/>
        </w:rPr>
        <w:t>Commonly Used System Rules</w:t>
      </w:r>
      <w:r>
        <w:rPr>
          <w:noProof/>
        </w:rPr>
        <w:tab/>
        <w:t>16</w:t>
      </w:r>
    </w:p>
    <w:p w14:paraId="23BB91ED" w14:textId="77777777" w:rsidR="00812371" w:rsidRDefault="00812371">
      <w:pPr>
        <w:pStyle w:val="Index1"/>
        <w:tabs>
          <w:tab w:val="right" w:leader="dot" w:pos="9350"/>
        </w:tabs>
        <w:rPr>
          <w:noProof/>
        </w:rPr>
      </w:pPr>
      <w:r>
        <w:rPr>
          <w:noProof/>
        </w:rPr>
        <w:t>Component Processing</w:t>
      </w:r>
      <w:r>
        <w:rPr>
          <w:noProof/>
        </w:rPr>
        <w:tab/>
        <w:t>108</w:t>
      </w:r>
    </w:p>
    <w:p w14:paraId="6DDA0889" w14:textId="77777777" w:rsidR="00812371" w:rsidRDefault="00812371">
      <w:pPr>
        <w:pStyle w:val="Index1"/>
        <w:tabs>
          <w:tab w:val="right" w:leader="dot" w:pos="9350"/>
        </w:tabs>
        <w:rPr>
          <w:noProof/>
        </w:rPr>
      </w:pPr>
      <w:r>
        <w:rPr>
          <w:noProof/>
        </w:rPr>
        <w:t>Configure Division</w:t>
      </w:r>
      <w:r>
        <w:rPr>
          <w:noProof/>
        </w:rPr>
        <w:tab/>
        <w:t>52, 89</w:t>
      </w:r>
    </w:p>
    <w:p w14:paraId="60866EFF" w14:textId="77777777" w:rsidR="00812371" w:rsidRDefault="00812371">
      <w:pPr>
        <w:pStyle w:val="Index1"/>
        <w:tabs>
          <w:tab w:val="right" w:leader="dot" w:pos="9350"/>
        </w:tabs>
        <w:rPr>
          <w:noProof/>
        </w:rPr>
      </w:pPr>
      <w:r>
        <w:rPr>
          <w:noProof/>
        </w:rPr>
        <w:t>Configuring Site Parameters</w:t>
      </w:r>
      <w:r>
        <w:rPr>
          <w:noProof/>
        </w:rPr>
        <w:tab/>
        <w:t>43</w:t>
      </w:r>
    </w:p>
    <w:p w14:paraId="205D16F6" w14:textId="77777777" w:rsidR="00812371" w:rsidRDefault="00812371">
      <w:pPr>
        <w:pStyle w:val="Index1"/>
        <w:tabs>
          <w:tab w:val="right" w:leader="dot" w:pos="9350"/>
        </w:tabs>
        <w:rPr>
          <w:noProof/>
        </w:rPr>
      </w:pPr>
      <w:r>
        <w:rPr>
          <w:noProof/>
        </w:rPr>
        <w:t>Cost Accounting Report</w:t>
      </w:r>
      <w:r>
        <w:rPr>
          <w:noProof/>
        </w:rPr>
        <w:tab/>
        <w:t>354</w:t>
      </w:r>
    </w:p>
    <w:p w14:paraId="2E46AB8B" w14:textId="77777777" w:rsidR="00812371" w:rsidRDefault="00812371">
      <w:pPr>
        <w:pStyle w:val="Index1"/>
        <w:tabs>
          <w:tab w:val="right" w:leader="dot" w:pos="9350"/>
        </w:tabs>
        <w:rPr>
          <w:noProof/>
        </w:rPr>
      </w:pPr>
      <w:r>
        <w:rPr>
          <w:noProof/>
        </w:rPr>
        <w:t>CPRS Blood Bank Report</w:t>
      </w:r>
      <w:r>
        <w:rPr>
          <w:noProof/>
        </w:rPr>
        <w:tab/>
        <w:t>358</w:t>
      </w:r>
    </w:p>
    <w:p w14:paraId="682FB49B" w14:textId="77777777" w:rsidR="00812371" w:rsidRDefault="00812371">
      <w:pPr>
        <w:pStyle w:val="Index1"/>
        <w:tabs>
          <w:tab w:val="right" w:leader="dot" w:pos="9350"/>
        </w:tabs>
        <w:rPr>
          <w:noProof/>
        </w:rPr>
      </w:pPr>
      <w:r>
        <w:rPr>
          <w:noProof/>
        </w:rPr>
        <w:t>CPRS Order Status Alert</w:t>
      </w:r>
      <w:r>
        <w:rPr>
          <w:noProof/>
        </w:rPr>
        <w:tab/>
        <w:t>243</w:t>
      </w:r>
    </w:p>
    <w:p w14:paraId="09309898" w14:textId="77777777" w:rsidR="00812371" w:rsidRDefault="00812371">
      <w:pPr>
        <w:pStyle w:val="Index1"/>
        <w:tabs>
          <w:tab w:val="right" w:leader="dot" w:pos="9350"/>
        </w:tabs>
        <w:rPr>
          <w:noProof/>
        </w:rPr>
      </w:pPr>
      <w:r>
        <w:rPr>
          <w:noProof/>
        </w:rPr>
        <w:t>Creating and Viewing Reports</w:t>
      </w:r>
      <w:r>
        <w:rPr>
          <w:noProof/>
        </w:rPr>
        <w:tab/>
        <w:t>21</w:t>
      </w:r>
    </w:p>
    <w:p w14:paraId="285AC37B" w14:textId="77777777" w:rsidR="00812371" w:rsidRDefault="00812371">
      <w:pPr>
        <w:pStyle w:val="Index1"/>
        <w:tabs>
          <w:tab w:val="right" w:leader="dot" w:pos="9350"/>
        </w:tabs>
        <w:rPr>
          <w:noProof/>
        </w:rPr>
      </w:pPr>
      <w:r>
        <w:rPr>
          <w:noProof/>
        </w:rPr>
        <w:t>Crossmatch Interpretations</w:t>
      </w:r>
      <w:r>
        <w:rPr>
          <w:noProof/>
        </w:rPr>
        <w:tab/>
        <w:t>289</w:t>
      </w:r>
    </w:p>
    <w:p w14:paraId="3D0A0B5E" w14:textId="77777777" w:rsidR="00812371" w:rsidRDefault="00812371">
      <w:pPr>
        <w:pStyle w:val="Index1"/>
        <w:tabs>
          <w:tab w:val="right" w:leader="dot" w:pos="9350"/>
        </w:tabs>
        <w:rPr>
          <w:noProof/>
        </w:rPr>
      </w:pPr>
      <w:r>
        <w:rPr>
          <w:noProof/>
        </w:rPr>
        <w:t>Customer Support</w:t>
      </w:r>
      <w:r>
        <w:rPr>
          <w:noProof/>
        </w:rPr>
        <w:tab/>
        <w:t>13</w:t>
      </w:r>
    </w:p>
    <w:p w14:paraId="4562EC24"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D</w:t>
      </w:r>
    </w:p>
    <w:p w14:paraId="7F09F67E" w14:textId="77777777" w:rsidR="00812371" w:rsidRDefault="00812371">
      <w:pPr>
        <w:pStyle w:val="Index1"/>
        <w:tabs>
          <w:tab w:val="right" w:leader="dot" w:pos="9350"/>
        </w:tabs>
        <w:rPr>
          <w:noProof/>
        </w:rPr>
      </w:pPr>
      <w:r>
        <w:rPr>
          <w:noProof/>
        </w:rPr>
        <w:t>Database Table Information</w:t>
      </w:r>
      <w:r>
        <w:rPr>
          <w:noProof/>
        </w:rPr>
        <w:tab/>
        <w:t>410</w:t>
      </w:r>
    </w:p>
    <w:p w14:paraId="3C4242AC" w14:textId="77777777" w:rsidR="00812371" w:rsidRDefault="00812371">
      <w:pPr>
        <w:pStyle w:val="Index1"/>
        <w:tabs>
          <w:tab w:val="right" w:leader="dot" w:pos="9350"/>
        </w:tabs>
        <w:rPr>
          <w:noProof/>
        </w:rPr>
      </w:pPr>
      <w:r>
        <w:rPr>
          <w:noProof/>
        </w:rPr>
        <w:t>Date and Time</w:t>
      </w:r>
      <w:r>
        <w:rPr>
          <w:noProof/>
        </w:rPr>
        <w:tab/>
        <w:t>16</w:t>
      </w:r>
    </w:p>
    <w:p w14:paraId="5504A6E9" w14:textId="77777777" w:rsidR="00812371" w:rsidRDefault="00812371">
      <w:pPr>
        <w:pStyle w:val="Index1"/>
        <w:tabs>
          <w:tab w:val="right" w:leader="dot" w:pos="9350"/>
        </w:tabs>
        <w:rPr>
          <w:noProof/>
        </w:rPr>
      </w:pPr>
      <w:r>
        <w:rPr>
          <w:noProof/>
        </w:rPr>
        <w:t>Discard or Quarantine Individual Units</w:t>
      </w:r>
      <w:r>
        <w:rPr>
          <w:noProof/>
        </w:rPr>
        <w:tab/>
        <w:t>179</w:t>
      </w:r>
    </w:p>
    <w:p w14:paraId="2E841E19" w14:textId="77777777" w:rsidR="00812371" w:rsidRDefault="00812371">
      <w:pPr>
        <w:pStyle w:val="Index1"/>
        <w:tabs>
          <w:tab w:val="right" w:leader="dot" w:pos="9350"/>
        </w:tabs>
        <w:rPr>
          <w:noProof/>
        </w:rPr>
      </w:pPr>
      <w:r>
        <w:rPr>
          <w:noProof/>
        </w:rPr>
        <w:t>Discard or Quarantine Units by Invoice</w:t>
      </w:r>
      <w:r>
        <w:rPr>
          <w:noProof/>
        </w:rPr>
        <w:tab/>
        <w:t>182</w:t>
      </w:r>
    </w:p>
    <w:p w14:paraId="1D837CAD" w14:textId="77777777" w:rsidR="00812371" w:rsidRDefault="00812371">
      <w:pPr>
        <w:pStyle w:val="Index1"/>
        <w:tabs>
          <w:tab w:val="right" w:leader="dot" w:pos="9350"/>
        </w:tabs>
        <w:rPr>
          <w:noProof/>
        </w:rPr>
      </w:pPr>
      <w:r>
        <w:rPr>
          <w:noProof/>
        </w:rPr>
        <w:t>Display Order Alerts</w:t>
      </w:r>
      <w:r>
        <w:rPr>
          <w:noProof/>
        </w:rPr>
        <w:tab/>
        <w:t>241</w:t>
      </w:r>
    </w:p>
    <w:p w14:paraId="5852B949" w14:textId="77777777" w:rsidR="00812371" w:rsidRDefault="00812371">
      <w:pPr>
        <w:pStyle w:val="Index1"/>
        <w:tabs>
          <w:tab w:val="right" w:leader="dot" w:pos="9350"/>
        </w:tabs>
        <w:rPr>
          <w:noProof/>
        </w:rPr>
      </w:pPr>
      <w:r>
        <w:rPr>
          <w:noProof/>
        </w:rPr>
        <w:t>Display Patient Merge Alerts</w:t>
      </w:r>
      <w:r>
        <w:rPr>
          <w:noProof/>
        </w:rPr>
        <w:tab/>
        <w:t>245</w:t>
      </w:r>
    </w:p>
    <w:p w14:paraId="789B0773" w14:textId="77777777" w:rsidR="00812371" w:rsidRDefault="00812371">
      <w:pPr>
        <w:pStyle w:val="Index1"/>
        <w:tabs>
          <w:tab w:val="right" w:leader="dot" w:pos="9350"/>
        </w:tabs>
        <w:rPr>
          <w:noProof/>
        </w:rPr>
      </w:pPr>
      <w:r>
        <w:rPr>
          <w:noProof/>
        </w:rPr>
        <w:t>Display Patient Update Alerts</w:t>
      </w:r>
      <w:r>
        <w:rPr>
          <w:noProof/>
        </w:rPr>
        <w:tab/>
        <w:t>244</w:t>
      </w:r>
    </w:p>
    <w:p w14:paraId="6E79B020" w14:textId="77777777" w:rsidR="00812371" w:rsidRDefault="00812371">
      <w:pPr>
        <w:pStyle w:val="Index1"/>
        <w:tabs>
          <w:tab w:val="right" w:leader="dot" w:pos="9350"/>
        </w:tabs>
        <w:rPr>
          <w:noProof/>
        </w:rPr>
      </w:pPr>
      <w:r>
        <w:rPr>
          <w:noProof/>
        </w:rPr>
        <w:t>Division Transfusion Report</w:t>
      </w:r>
      <w:r>
        <w:rPr>
          <w:noProof/>
        </w:rPr>
        <w:tab/>
        <w:t>360</w:t>
      </w:r>
    </w:p>
    <w:p w14:paraId="4D66A473" w14:textId="77777777" w:rsidR="00812371" w:rsidRDefault="00812371">
      <w:pPr>
        <w:pStyle w:val="Index1"/>
        <w:tabs>
          <w:tab w:val="right" w:leader="dot" w:pos="9350"/>
        </w:tabs>
        <w:rPr>
          <w:noProof/>
        </w:rPr>
      </w:pPr>
      <w:r>
        <w:rPr>
          <w:noProof/>
        </w:rPr>
        <w:t>Division Workload Report</w:t>
      </w:r>
      <w:r>
        <w:rPr>
          <w:noProof/>
        </w:rPr>
        <w:tab/>
        <w:t>362</w:t>
      </w:r>
    </w:p>
    <w:p w14:paraId="75BFAE1C" w14:textId="77777777" w:rsidR="00812371" w:rsidRDefault="00812371">
      <w:pPr>
        <w:pStyle w:val="Index1"/>
        <w:tabs>
          <w:tab w:val="right" w:leader="dot" w:pos="9350"/>
        </w:tabs>
        <w:rPr>
          <w:noProof/>
        </w:rPr>
      </w:pPr>
      <w:r>
        <w:rPr>
          <w:noProof/>
        </w:rPr>
        <w:t>Document ABO Incompatible Transfusions</w:t>
      </w:r>
      <w:r>
        <w:rPr>
          <w:noProof/>
        </w:rPr>
        <w:tab/>
        <w:t>329</w:t>
      </w:r>
    </w:p>
    <w:p w14:paraId="55875C4F" w14:textId="77777777" w:rsidR="00812371" w:rsidRDefault="00812371">
      <w:pPr>
        <w:pStyle w:val="Index1"/>
        <w:tabs>
          <w:tab w:val="right" w:leader="dot" w:pos="9350"/>
        </w:tabs>
        <w:rPr>
          <w:noProof/>
        </w:rPr>
      </w:pPr>
      <w:r>
        <w:rPr>
          <w:noProof/>
        </w:rPr>
        <w:t>Downtime Forms and Instructions</w:t>
      </w:r>
      <w:r>
        <w:rPr>
          <w:noProof/>
        </w:rPr>
        <w:tab/>
        <w:t>402</w:t>
      </w:r>
    </w:p>
    <w:p w14:paraId="44ED3185" w14:textId="77777777" w:rsidR="00812371" w:rsidRDefault="00812371">
      <w:pPr>
        <w:pStyle w:val="Index1"/>
        <w:tabs>
          <w:tab w:val="right" w:leader="dot" w:pos="9350"/>
        </w:tabs>
        <w:rPr>
          <w:noProof/>
        </w:rPr>
      </w:pPr>
      <w:r>
        <w:rPr>
          <w:noProof/>
        </w:rPr>
        <w:t>Drop-Down Menus</w:t>
      </w:r>
      <w:r>
        <w:rPr>
          <w:noProof/>
        </w:rPr>
        <w:tab/>
        <w:t>33</w:t>
      </w:r>
    </w:p>
    <w:p w14:paraId="5A918798"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E</w:t>
      </w:r>
    </w:p>
    <w:p w14:paraId="1C0BA89D" w14:textId="77777777" w:rsidR="00812371" w:rsidRDefault="00812371">
      <w:pPr>
        <w:pStyle w:val="Index1"/>
        <w:tabs>
          <w:tab w:val="right" w:leader="dot" w:pos="9350"/>
        </w:tabs>
        <w:rPr>
          <w:noProof/>
        </w:rPr>
      </w:pPr>
      <w:r>
        <w:rPr>
          <w:noProof/>
        </w:rPr>
        <w:t>Enter Daily QC Results</w:t>
      </w:r>
      <w:r>
        <w:rPr>
          <w:noProof/>
        </w:rPr>
        <w:tab/>
        <w:t>81</w:t>
      </w:r>
    </w:p>
    <w:p w14:paraId="06505313" w14:textId="77777777" w:rsidR="00812371" w:rsidRDefault="00812371">
      <w:pPr>
        <w:pStyle w:val="Index1"/>
        <w:tabs>
          <w:tab w:val="right" w:leader="dot" w:pos="9350"/>
        </w:tabs>
        <w:rPr>
          <w:noProof/>
        </w:rPr>
      </w:pPr>
      <w:r>
        <w:rPr>
          <w:noProof/>
        </w:rPr>
        <w:t>Equipment</w:t>
      </w:r>
      <w:r>
        <w:rPr>
          <w:noProof/>
        </w:rPr>
        <w:tab/>
        <w:t>103</w:t>
      </w:r>
    </w:p>
    <w:p w14:paraId="528FB0AE" w14:textId="77777777" w:rsidR="00812371" w:rsidRDefault="00812371">
      <w:pPr>
        <w:pStyle w:val="Index1"/>
        <w:tabs>
          <w:tab w:val="right" w:leader="dot" w:pos="9350"/>
        </w:tabs>
        <w:rPr>
          <w:noProof/>
        </w:rPr>
      </w:pPr>
      <w:r>
        <w:rPr>
          <w:noProof/>
        </w:rPr>
        <w:lastRenderedPageBreak/>
        <w:t>Equipment: Log In Equipment</w:t>
      </w:r>
      <w:r>
        <w:rPr>
          <w:noProof/>
        </w:rPr>
        <w:tab/>
        <w:t>103</w:t>
      </w:r>
    </w:p>
    <w:p w14:paraId="6D79E690" w14:textId="77777777" w:rsidR="00812371" w:rsidRDefault="00812371">
      <w:pPr>
        <w:pStyle w:val="Index1"/>
        <w:tabs>
          <w:tab w:val="right" w:leader="dot" w:pos="9350"/>
        </w:tabs>
        <w:rPr>
          <w:noProof/>
        </w:rPr>
      </w:pPr>
      <w:r>
        <w:rPr>
          <w:noProof/>
        </w:rPr>
        <w:t>Equipment: Maintain Equipment</w:t>
      </w:r>
      <w:r>
        <w:rPr>
          <w:noProof/>
        </w:rPr>
        <w:tab/>
        <w:t>106</w:t>
      </w:r>
    </w:p>
    <w:p w14:paraId="788F1CF8" w14:textId="77777777" w:rsidR="00812371" w:rsidRDefault="00812371">
      <w:pPr>
        <w:pStyle w:val="Index1"/>
        <w:tabs>
          <w:tab w:val="right" w:leader="dot" w:pos="9350"/>
        </w:tabs>
        <w:rPr>
          <w:noProof/>
        </w:rPr>
      </w:pPr>
      <w:r>
        <w:rPr>
          <w:noProof/>
        </w:rPr>
        <w:t>Exception Report</w:t>
      </w:r>
      <w:r>
        <w:rPr>
          <w:noProof/>
        </w:rPr>
        <w:tab/>
        <w:t>364</w:t>
      </w:r>
    </w:p>
    <w:p w14:paraId="25573D46"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F</w:t>
      </w:r>
    </w:p>
    <w:p w14:paraId="1ED65E8E" w14:textId="77777777" w:rsidR="00812371" w:rsidRDefault="00812371">
      <w:pPr>
        <w:pStyle w:val="Index1"/>
        <w:tabs>
          <w:tab w:val="right" w:leader="dot" w:pos="9350"/>
        </w:tabs>
        <w:rPr>
          <w:noProof/>
        </w:rPr>
      </w:pPr>
      <w:r>
        <w:rPr>
          <w:noProof/>
        </w:rPr>
        <w:t>Figures</w:t>
      </w:r>
    </w:p>
    <w:p w14:paraId="20F622F0" w14:textId="77777777" w:rsidR="00812371" w:rsidRDefault="00812371">
      <w:pPr>
        <w:pStyle w:val="Index2"/>
        <w:tabs>
          <w:tab w:val="right" w:leader="dot" w:pos="9350"/>
        </w:tabs>
        <w:rPr>
          <w:noProof/>
        </w:rPr>
      </w:pPr>
      <w:r>
        <w:rPr>
          <w:noProof/>
        </w:rPr>
        <w:t>Barcode Scanner Configuration</w:t>
      </w:r>
      <w:r>
        <w:rPr>
          <w:noProof/>
        </w:rPr>
        <w:tab/>
        <w:t>498</w:t>
      </w:r>
    </w:p>
    <w:p w14:paraId="1DA71141" w14:textId="77777777" w:rsidR="00812371" w:rsidRDefault="00812371">
      <w:pPr>
        <w:pStyle w:val="Index2"/>
        <w:tabs>
          <w:tab w:val="right" w:leader="dot" w:pos="9350"/>
        </w:tabs>
        <w:rPr>
          <w:noProof/>
        </w:rPr>
      </w:pPr>
      <w:r>
        <w:rPr>
          <w:noProof/>
        </w:rPr>
        <w:t>Blood Transfusion Record Form</w:t>
      </w:r>
      <w:r>
        <w:rPr>
          <w:noProof/>
        </w:rPr>
        <w:tab/>
        <w:t>224</w:t>
      </w:r>
    </w:p>
    <w:p w14:paraId="2D4DA9B4" w14:textId="77777777" w:rsidR="00812371" w:rsidRDefault="00812371">
      <w:pPr>
        <w:pStyle w:val="Index2"/>
        <w:tabs>
          <w:tab w:val="right" w:leader="dot" w:pos="9350"/>
        </w:tabs>
        <w:rPr>
          <w:noProof/>
        </w:rPr>
      </w:pPr>
      <w:r>
        <w:rPr>
          <w:noProof/>
        </w:rPr>
        <w:t>Caution Tag</w:t>
      </w:r>
      <w:r>
        <w:rPr>
          <w:noProof/>
        </w:rPr>
        <w:tab/>
        <w:t>223</w:t>
      </w:r>
    </w:p>
    <w:p w14:paraId="177435FC" w14:textId="77777777" w:rsidR="00812371" w:rsidRDefault="00812371">
      <w:pPr>
        <w:pStyle w:val="Index2"/>
        <w:tabs>
          <w:tab w:val="right" w:leader="dot" w:pos="9350"/>
        </w:tabs>
        <w:rPr>
          <w:noProof/>
        </w:rPr>
      </w:pPr>
      <w:r>
        <w:rPr>
          <w:noProof/>
        </w:rPr>
        <w:t>Order Status Flowchart</w:t>
      </w:r>
      <w:r>
        <w:rPr>
          <w:noProof/>
        </w:rPr>
        <w:tab/>
        <w:t>428</w:t>
      </w:r>
    </w:p>
    <w:p w14:paraId="6047C4FC" w14:textId="77777777" w:rsidR="00812371" w:rsidRDefault="00812371">
      <w:pPr>
        <w:pStyle w:val="Index2"/>
        <w:tabs>
          <w:tab w:val="right" w:leader="dot" w:pos="9350"/>
        </w:tabs>
        <w:rPr>
          <w:noProof/>
        </w:rPr>
      </w:pPr>
      <w:r>
        <w:rPr>
          <w:noProof/>
        </w:rPr>
        <w:t>Unit Status Flowchart</w:t>
      </w:r>
      <w:r>
        <w:rPr>
          <w:noProof/>
        </w:rPr>
        <w:tab/>
        <w:t>430</w:t>
      </w:r>
    </w:p>
    <w:p w14:paraId="3C5CD97B" w14:textId="77777777" w:rsidR="00812371" w:rsidRDefault="00812371">
      <w:pPr>
        <w:pStyle w:val="Index2"/>
        <w:tabs>
          <w:tab w:val="right" w:leader="dot" w:pos="9350"/>
        </w:tabs>
        <w:rPr>
          <w:noProof/>
        </w:rPr>
      </w:pPr>
      <w:r>
        <w:rPr>
          <w:noProof/>
        </w:rPr>
        <w:t>VBECS Work Flow</w:t>
      </w:r>
      <w:r>
        <w:rPr>
          <w:noProof/>
        </w:rPr>
        <w:tab/>
        <w:t>446</w:t>
      </w:r>
    </w:p>
    <w:p w14:paraId="511006AB" w14:textId="77777777" w:rsidR="00812371" w:rsidRDefault="00812371">
      <w:pPr>
        <w:pStyle w:val="Index1"/>
        <w:tabs>
          <w:tab w:val="right" w:leader="dot" w:pos="9350"/>
        </w:tabs>
        <w:rPr>
          <w:noProof/>
        </w:rPr>
      </w:pPr>
      <w:r>
        <w:rPr>
          <w:noProof/>
        </w:rPr>
        <w:t>Figures and Tables</w:t>
      </w:r>
      <w:r>
        <w:rPr>
          <w:noProof/>
        </w:rPr>
        <w:tab/>
        <w:t>8</w:t>
      </w:r>
    </w:p>
    <w:p w14:paraId="6EDCB6CB" w14:textId="77777777" w:rsidR="00812371" w:rsidRDefault="00812371">
      <w:pPr>
        <w:pStyle w:val="Index1"/>
        <w:tabs>
          <w:tab w:val="right" w:leader="dot" w:pos="9350"/>
        </w:tabs>
        <w:rPr>
          <w:noProof/>
        </w:rPr>
      </w:pPr>
      <w:r>
        <w:rPr>
          <w:noProof/>
        </w:rPr>
        <w:t>Finalize Transfusion Reaction Workup Report</w:t>
      </w:r>
      <w:r>
        <w:rPr>
          <w:noProof/>
        </w:rPr>
        <w:tab/>
        <w:t>311</w:t>
      </w:r>
    </w:p>
    <w:p w14:paraId="245D806F" w14:textId="77777777" w:rsidR="00812371" w:rsidRDefault="00812371">
      <w:pPr>
        <w:pStyle w:val="Index1"/>
        <w:tabs>
          <w:tab w:val="right" w:leader="dot" w:pos="9350"/>
        </w:tabs>
        <w:rPr>
          <w:noProof/>
        </w:rPr>
      </w:pPr>
      <w:r>
        <w:rPr>
          <w:noProof/>
        </w:rPr>
        <w:t>Finalize/Print TRW</w:t>
      </w:r>
      <w:r>
        <w:rPr>
          <w:noProof/>
        </w:rPr>
        <w:tab/>
        <w:t>310</w:t>
      </w:r>
    </w:p>
    <w:p w14:paraId="3214F160" w14:textId="77777777" w:rsidR="00812371" w:rsidRDefault="00812371">
      <w:pPr>
        <w:pStyle w:val="Index1"/>
        <w:tabs>
          <w:tab w:val="right" w:leader="dot" w:pos="9350"/>
        </w:tabs>
        <w:rPr>
          <w:noProof/>
        </w:rPr>
      </w:pPr>
      <w:r>
        <w:rPr>
          <w:noProof/>
        </w:rPr>
        <w:t>Forms</w:t>
      </w:r>
    </w:p>
    <w:p w14:paraId="687CBB8D" w14:textId="77777777" w:rsidR="00812371" w:rsidRDefault="00812371">
      <w:pPr>
        <w:pStyle w:val="Index2"/>
        <w:tabs>
          <w:tab w:val="right" w:leader="dot" w:pos="9350"/>
        </w:tabs>
        <w:rPr>
          <w:noProof/>
        </w:rPr>
      </w:pPr>
      <w:r>
        <w:rPr>
          <w:noProof/>
        </w:rPr>
        <w:t>Patient Testing Form</w:t>
      </w:r>
      <w:r>
        <w:rPr>
          <w:noProof/>
        </w:rPr>
        <w:tab/>
        <w:t>403</w:t>
      </w:r>
    </w:p>
    <w:p w14:paraId="1433FB99" w14:textId="77777777" w:rsidR="00812371" w:rsidRDefault="00812371">
      <w:pPr>
        <w:pStyle w:val="Index2"/>
        <w:tabs>
          <w:tab w:val="right" w:leader="dot" w:pos="9350"/>
        </w:tabs>
        <w:rPr>
          <w:noProof/>
        </w:rPr>
      </w:pPr>
      <w:r>
        <w:rPr>
          <w:noProof/>
        </w:rPr>
        <w:t>Unit ABO/Rh Confirmation Form</w:t>
      </w:r>
      <w:r>
        <w:rPr>
          <w:noProof/>
        </w:rPr>
        <w:tab/>
        <w:t>406</w:t>
      </w:r>
    </w:p>
    <w:p w14:paraId="2947DB39" w14:textId="77777777" w:rsidR="00812371" w:rsidRDefault="00812371">
      <w:pPr>
        <w:pStyle w:val="Index2"/>
        <w:tabs>
          <w:tab w:val="right" w:leader="dot" w:pos="9350"/>
        </w:tabs>
        <w:rPr>
          <w:noProof/>
        </w:rPr>
      </w:pPr>
      <w:r>
        <w:rPr>
          <w:noProof/>
        </w:rPr>
        <w:t>Unit Issue and Inspection Log</w:t>
      </w:r>
      <w:r>
        <w:rPr>
          <w:noProof/>
        </w:rPr>
        <w:tab/>
        <w:t>407</w:t>
      </w:r>
    </w:p>
    <w:p w14:paraId="44B1EDDA" w14:textId="77777777" w:rsidR="00812371" w:rsidRDefault="00812371">
      <w:pPr>
        <w:pStyle w:val="Index2"/>
        <w:tabs>
          <w:tab w:val="right" w:leader="dot" w:pos="9350"/>
        </w:tabs>
        <w:rPr>
          <w:noProof/>
        </w:rPr>
      </w:pPr>
      <w:r>
        <w:rPr>
          <w:noProof/>
        </w:rPr>
        <w:t>Unit Modification Form</w:t>
      </w:r>
      <w:r>
        <w:rPr>
          <w:noProof/>
        </w:rPr>
        <w:tab/>
        <w:t>408</w:t>
      </w:r>
    </w:p>
    <w:p w14:paraId="78FE9D5B" w14:textId="77777777" w:rsidR="00812371" w:rsidRDefault="00812371">
      <w:pPr>
        <w:pStyle w:val="Index1"/>
        <w:tabs>
          <w:tab w:val="right" w:leader="dot" w:pos="9350"/>
        </w:tabs>
        <w:rPr>
          <w:noProof/>
        </w:rPr>
      </w:pPr>
      <w:r>
        <w:rPr>
          <w:noProof/>
        </w:rPr>
        <w:t>Freeware Disclaimer</w:t>
      </w:r>
      <w:r>
        <w:rPr>
          <w:noProof/>
        </w:rPr>
        <w:tab/>
        <w:t>7</w:t>
      </w:r>
    </w:p>
    <w:p w14:paraId="5AE7B21B" w14:textId="77777777" w:rsidR="00812371" w:rsidRDefault="00812371">
      <w:pPr>
        <w:pStyle w:val="Index1"/>
        <w:tabs>
          <w:tab w:val="right" w:leader="dot" w:pos="9350"/>
        </w:tabs>
        <w:rPr>
          <w:noProof/>
        </w:rPr>
      </w:pPr>
      <w:r>
        <w:rPr>
          <w:noProof/>
        </w:rPr>
        <w:t>Frequently Asked Questions</w:t>
      </w:r>
      <w:r>
        <w:rPr>
          <w:noProof/>
        </w:rPr>
        <w:tab/>
        <w:t>493</w:t>
      </w:r>
    </w:p>
    <w:p w14:paraId="05A88E01"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G</w:t>
      </w:r>
    </w:p>
    <w:p w14:paraId="2E5C67D3" w14:textId="77777777" w:rsidR="00812371" w:rsidRDefault="00812371">
      <w:pPr>
        <w:pStyle w:val="Index1"/>
        <w:tabs>
          <w:tab w:val="right" w:leader="dot" w:pos="9350"/>
        </w:tabs>
        <w:rPr>
          <w:noProof/>
        </w:rPr>
      </w:pPr>
      <w:r>
        <w:rPr>
          <w:noProof/>
        </w:rPr>
        <w:t>Glossary</w:t>
      </w:r>
      <w:r>
        <w:rPr>
          <w:noProof/>
        </w:rPr>
        <w:tab/>
        <w:t>392</w:t>
      </w:r>
    </w:p>
    <w:p w14:paraId="2A07CA9E"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H</w:t>
      </w:r>
    </w:p>
    <w:p w14:paraId="07F4D563" w14:textId="77777777" w:rsidR="00812371" w:rsidRDefault="00812371">
      <w:pPr>
        <w:pStyle w:val="Index1"/>
        <w:tabs>
          <w:tab w:val="right" w:leader="dot" w:pos="9350"/>
        </w:tabs>
        <w:rPr>
          <w:noProof/>
        </w:rPr>
      </w:pPr>
      <w:r>
        <w:rPr>
          <w:noProof/>
        </w:rPr>
        <w:t>How This User Guide Is Organized</w:t>
      </w:r>
      <w:r>
        <w:rPr>
          <w:noProof/>
        </w:rPr>
        <w:tab/>
        <w:t>8</w:t>
      </w:r>
    </w:p>
    <w:p w14:paraId="56AADD1A"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I</w:t>
      </w:r>
    </w:p>
    <w:p w14:paraId="73F119BD" w14:textId="77777777" w:rsidR="00812371" w:rsidRDefault="00812371">
      <w:pPr>
        <w:pStyle w:val="Index1"/>
        <w:tabs>
          <w:tab w:val="right" w:leader="dot" w:pos="9350"/>
        </w:tabs>
        <w:rPr>
          <w:noProof/>
        </w:rPr>
      </w:pPr>
      <w:r>
        <w:rPr>
          <w:noProof/>
        </w:rPr>
        <w:t>Icons and Buttons</w:t>
      </w:r>
      <w:r>
        <w:rPr>
          <w:noProof/>
        </w:rPr>
        <w:tab/>
        <w:t>33</w:t>
      </w:r>
    </w:p>
    <w:p w14:paraId="03756C10" w14:textId="77777777" w:rsidR="00812371" w:rsidRDefault="00812371">
      <w:pPr>
        <w:pStyle w:val="Index1"/>
        <w:tabs>
          <w:tab w:val="right" w:leader="dot" w:pos="9350"/>
        </w:tabs>
        <w:rPr>
          <w:noProof/>
        </w:rPr>
      </w:pPr>
      <w:r>
        <w:rPr>
          <w:noProof/>
        </w:rPr>
        <w:t>Inactivate a Unit</w:t>
      </w:r>
      <w:r>
        <w:rPr>
          <w:noProof/>
        </w:rPr>
        <w:tab/>
        <w:t>172</w:t>
      </w:r>
    </w:p>
    <w:p w14:paraId="4ABF53CA" w14:textId="77777777" w:rsidR="00812371" w:rsidRDefault="00812371">
      <w:pPr>
        <w:pStyle w:val="Index1"/>
        <w:tabs>
          <w:tab w:val="right" w:leader="dot" w:pos="9350"/>
        </w:tabs>
        <w:rPr>
          <w:noProof/>
        </w:rPr>
      </w:pPr>
      <w:r>
        <w:rPr>
          <w:noProof/>
        </w:rPr>
        <w:t>Inappropriate Transfusion Request Report</w:t>
      </w:r>
      <w:r>
        <w:rPr>
          <w:noProof/>
        </w:rPr>
        <w:tab/>
        <w:t>366</w:t>
      </w:r>
    </w:p>
    <w:p w14:paraId="28FE4C25" w14:textId="77777777" w:rsidR="00812371" w:rsidRDefault="00812371">
      <w:pPr>
        <w:pStyle w:val="Index1"/>
        <w:tabs>
          <w:tab w:val="right" w:leader="dot" w:pos="9350"/>
        </w:tabs>
        <w:rPr>
          <w:noProof/>
        </w:rPr>
      </w:pPr>
      <w:r>
        <w:rPr>
          <w:noProof/>
        </w:rPr>
        <w:t>Introduction</w:t>
      </w:r>
      <w:r>
        <w:rPr>
          <w:noProof/>
        </w:rPr>
        <w:tab/>
        <w:t>6</w:t>
      </w:r>
    </w:p>
    <w:p w14:paraId="3EBBE02A" w14:textId="77777777" w:rsidR="00812371" w:rsidRDefault="00812371">
      <w:pPr>
        <w:pStyle w:val="Index1"/>
        <w:tabs>
          <w:tab w:val="right" w:leader="dot" w:pos="9350"/>
        </w:tabs>
        <w:rPr>
          <w:noProof/>
        </w:rPr>
      </w:pPr>
      <w:r>
        <w:rPr>
          <w:noProof/>
        </w:rPr>
        <w:t>Issue Blood Components</w:t>
      </w:r>
      <w:r>
        <w:rPr>
          <w:noProof/>
        </w:rPr>
        <w:tab/>
        <w:t>195</w:t>
      </w:r>
    </w:p>
    <w:p w14:paraId="489371FD" w14:textId="77777777" w:rsidR="00812371" w:rsidRDefault="00812371">
      <w:pPr>
        <w:pStyle w:val="Index1"/>
        <w:tabs>
          <w:tab w:val="right" w:leader="dot" w:pos="9350"/>
        </w:tabs>
        <w:rPr>
          <w:noProof/>
        </w:rPr>
      </w:pPr>
      <w:r>
        <w:rPr>
          <w:noProof/>
        </w:rPr>
        <w:t>Issue Blood Components (Emergency)</w:t>
      </w:r>
      <w:r>
        <w:rPr>
          <w:noProof/>
        </w:rPr>
        <w:tab/>
        <w:t>200</w:t>
      </w:r>
    </w:p>
    <w:p w14:paraId="5B88E2BB" w14:textId="77777777" w:rsidR="00812371" w:rsidRDefault="00812371">
      <w:pPr>
        <w:pStyle w:val="Index1"/>
        <w:tabs>
          <w:tab w:val="right" w:leader="dot" w:pos="9350"/>
        </w:tabs>
        <w:rPr>
          <w:noProof/>
        </w:rPr>
      </w:pPr>
      <w:r>
        <w:rPr>
          <w:noProof/>
        </w:rPr>
        <w:t>Issue Blood Components (Routine)</w:t>
      </w:r>
      <w:r>
        <w:rPr>
          <w:noProof/>
        </w:rPr>
        <w:tab/>
        <w:t>196</w:t>
      </w:r>
    </w:p>
    <w:p w14:paraId="2D6F0863" w14:textId="77777777" w:rsidR="00812371" w:rsidRDefault="00812371">
      <w:pPr>
        <w:pStyle w:val="Index1"/>
        <w:tabs>
          <w:tab w:val="right" w:leader="dot" w:pos="9350"/>
        </w:tabs>
        <w:rPr>
          <w:noProof/>
        </w:rPr>
      </w:pPr>
      <w:r>
        <w:rPr>
          <w:noProof/>
        </w:rPr>
        <w:t>Issued/Returned Unit Report</w:t>
      </w:r>
      <w:r>
        <w:rPr>
          <w:noProof/>
        </w:rPr>
        <w:tab/>
        <w:t>367</w:t>
      </w:r>
    </w:p>
    <w:p w14:paraId="17A17963"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J</w:t>
      </w:r>
    </w:p>
    <w:p w14:paraId="28BA8004" w14:textId="77777777" w:rsidR="00812371" w:rsidRDefault="00812371">
      <w:pPr>
        <w:pStyle w:val="Index1"/>
        <w:tabs>
          <w:tab w:val="right" w:leader="dot" w:pos="9350"/>
        </w:tabs>
        <w:rPr>
          <w:noProof/>
        </w:rPr>
      </w:pPr>
      <w:r>
        <w:rPr>
          <w:noProof/>
        </w:rPr>
        <w:t>Justify ABO/Rh Change</w:t>
      </w:r>
      <w:r>
        <w:rPr>
          <w:noProof/>
        </w:rPr>
        <w:tab/>
        <w:t>331</w:t>
      </w:r>
    </w:p>
    <w:p w14:paraId="15CDE402"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K</w:t>
      </w:r>
    </w:p>
    <w:p w14:paraId="16B0F04E" w14:textId="77777777" w:rsidR="00812371" w:rsidRDefault="00812371">
      <w:pPr>
        <w:pStyle w:val="Index1"/>
        <w:tabs>
          <w:tab w:val="right" w:leader="dot" w:pos="9350"/>
        </w:tabs>
        <w:rPr>
          <w:noProof/>
        </w:rPr>
      </w:pPr>
      <w:r>
        <w:rPr>
          <w:noProof/>
        </w:rPr>
        <w:t>Keyboard Shortcuts for Windows</w:t>
      </w:r>
      <w:r>
        <w:rPr>
          <w:noProof/>
        </w:rPr>
        <w:tab/>
        <w:t>32</w:t>
      </w:r>
    </w:p>
    <w:p w14:paraId="1CFF9011" w14:textId="77777777" w:rsidR="00812371" w:rsidRDefault="00812371">
      <w:pPr>
        <w:pStyle w:val="Index1"/>
        <w:tabs>
          <w:tab w:val="right" w:leader="dot" w:pos="9350"/>
        </w:tabs>
        <w:rPr>
          <w:noProof/>
        </w:rPr>
      </w:pPr>
      <w:r>
        <w:rPr>
          <w:noProof/>
        </w:rPr>
        <w:t>Known Defects and Anomalies</w:t>
      </w:r>
      <w:r>
        <w:rPr>
          <w:noProof/>
        </w:rPr>
        <w:tab/>
        <w:t>465</w:t>
      </w:r>
    </w:p>
    <w:p w14:paraId="1346AAB4"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L</w:t>
      </w:r>
    </w:p>
    <w:p w14:paraId="190F7CA8" w14:textId="77777777" w:rsidR="00812371" w:rsidRDefault="00812371">
      <w:pPr>
        <w:pStyle w:val="Index1"/>
        <w:tabs>
          <w:tab w:val="right" w:leader="dot" w:pos="9350"/>
        </w:tabs>
        <w:rPr>
          <w:noProof/>
        </w:rPr>
      </w:pPr>
      <w:r>
        <w:rPr>
          <w:noProof/>
        </w:rPr>
        <w:t>Limitations and Restrictions</w:t>
      </w:r>
      <w:r>
        <w:rPr>
          <w:noProof/>
        </w:rPr>
        <w:tab/>
        <w:t>449</w:t>
      </w:r>
    </w:p>
    <w:p w14:paraId="022DF487" w14:textId="77777777" w:rsidR="00812371" w:rsidRDefault="00812371">
      <w:pPr>
        <w:pStyle w:val="Index1"/>
        <w:tabs>
          <w:tab w:val="right" w:leader="dot" w:pos="9350"/>
        </w:tabs>
        <w:rPr>
          <w:noProof/>
        </w:rPr>
      </w:pPr>
      <w:r>
        <w:rPr>
          <w:noProof/>
        </w:rPr>
        <w:t>Local Machine Screen Resolution</w:t>
      </w:r>
      <w:r>
        <w:rPr>
          <w:noProof/>
        </w:rPr>
        <w:tab/>
        <w:t>31</w:t>
      </w:r>
    </w:p>
    <w:p w14:paraId="380A9B10" w14:textId="77777777" w:rsidR="00812371" w:rsidRDefault="00812371">
      <w:pPr>
        <w:pStyle w:val="Index1"/>
        <w:tabs>
          <w:tab w:val="right" w:leader="dot" w:pos="9350"/>
        </w:tabs>
        <w:rPr>
          <w:noProof/>
        </w:rPr>
      </w:pPr>
      <w:r>
        <w:rPr>
          <w:noProof/>
        </w:rPr>
        <w:t>Log in Reagents</w:t>
      </w:r>
      <w:r>
        <w:rPr>
          <w:noProof/>
        </w:rPr>
        <w:tab/>
        <w:t>90</w:t>
      </w:r>
    </w:p>
    <w:p w14:paraId="09EB7B40" w14:textId="77777777" w:rsidR="00812371" w:rsidRDefault="00812371">
      <w:pPr>
        <w:pStyle w:val="Index1"/>
        <w:tabs>
          <w:tab w:val="right" w:leader="dot" w:pos="9350"/>
        </w:tabs>
        <w:rPr>
          <w:noProof/>
        </w:rPr>
      </w:pPr>
      <w:r>
        <w:rPr>
          <w:noProof/>
        </w:rPr>
        <w:t>Log in Supplies</w:t>
      </w:r>
      <w:r>
        <w:rPr>
          <w:noProof/>
        </w:rPr>
        <w:tab/>
        <w:t>98</w:t>
      </w:r>
    </w:p>
    <w:p w14:paraId="29E406D7" w14:textId="77777777" w:rsidR="00812371" w:rsidRDefault="00812371">
      <w:pPr>
        <w:pStyle w:val="Index1"/>
        <w:tabs>
          <w:tab w:val="right" w:leader="dot" w:pos="9350"/>
        </w:tabs>
        <w:rPr>
          <w:noProof/>
        </w:rPr>
      </w:pPr>
      <w:r>
        <w:rPr>
          <w:noProof/>
        </w:rPr>
        <w:lastRenderedPageBreak/>
        <w:t>Login Message</w:t>
      </w:r>
      <w:r>
        <w:rPr>
          <w:noProof/>
        </w:rPr>
        <w:tab/>
        <w:t>60</w:t>
      </w:r>
    </w:p>
    <w:p w14:paraId="2BE72F9D"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M</w:t>
      </w:r>
    </w:p>
    <w:p w14:paraId="5F1A54C7" w14:textId="77777777" w:rsidR="00812371" w:rsidRDefault="00812371">
      <w:pPr>
        <w:pStyle w:val="Index1"/>
        <w:tabs>
          <w:tab w:val="right" w:leader="dot" w:pos="9350"/>
        </w:tabs>
        <w:rPr>
          <w:noProof/>
        </w:rPr>
      </w:pPr>
      <w:r>
        <w:rPr>
          <w:noProof/>
        </w:rPr>
        <w:t>Main Status Bar</w:t>
      </w:r>
      <w:r>
        <w:rPr>
          <w:noProof/>
        </w:rPr>
        <w:tab/>
        <w:t>41</w:t>
      </w:r>
    </w:p>
    <w:p w14:paraId="10333FB8" w14:textId="77777777" w:rsidR="00812371" w:rsidRDefault="00812371">
      <w:pPr>
        <w:pStyle w:val="Index1"/>
        <w:tabs>
          <w:tab w:val="right" w:leader="dot" w:pos="9350"/>
        </w:tabs>
        <w:rPr>
          <w:noProof/>
        </w:rPr>
      </w:pPr>
      <w:r>
        <w:rPr>
          <w:noProof/>
        </w:rPr>
        <w:t>Main Toolbar</w:t>
      </w:r>
      <w:r>
        <w:rPr>
          <w:noProof/>
        </w:rPr>
        <w:tab/>
        <w:t>34</w:t>
      </w:r>
    </w:p>
    <w:p w14:paraId="19203F20" w14:textId="77777777" w:rsidR="00812371" w:rsidRDefault="00812371">
      <w:pPr>
        <w:pStyle w:val="Index1"/>
        <w:tabs>
          <w:tab w:val="right" w:leader="dot" w:pos="9350"/>
        </w:tabs>
        <w:rPr>
          <w:noProof/>
        </w:rPr>
      </w:pPr>
      <w:r>
        <w:rPr>
          <w:noProof/>
        </w:rPr>
        <w:t>Maintain Minimum Levels</w:t>
      </w:r>
      <w:r>
        <w:rPr>
          <w:noProof/>
        </w:rPr>
        <w:tab/>
        <w:t>96</w:t>
      </w:r>
    </w:p>
    <w:p w14:paraId="05227AD5" w14:textId="77777777" w:rsidR="00812371" w:rsidRDefault="00812371">
      <w:pPr>
        <w:pStyle w:val="Index1"/>
        <w:tabs>
          <w:tab w:val="right" w:leader="dot" w:pos="9350"/>
        </w:tabs>
        <w:rPr>
          <w:noProof/>
        </w:rPr>
      </w:pPr>
      <w:r>
        <w:rPr>
          <w:noProof/>
        </w:rPr>
        <w:t>Maintain Patient Records</w:t>
      </w:r>
      <w:r>
        <w:rPr>
          <w:noProof/>
        </w:rPr>
        <w:tab/>
        <w:t>315</w:t>
      </w:r>
    </w:p>
    <w:p w14:paraId="16CEE671" w14:textId="77777777" w:rsidR="00812371" w:rsidRDefault="00812371">
      <w:pPr>
        <w:pStyle w:val="Index1"/>
        <w:tabs>
          <w:tab w:val="right" w:leader="dot" w:pos="9350"/>
        </w:tabs>
        <w:rPr>
          <w:noProof/>
        </w:rPr>
      </w:pPr>
      <w:r>
        <w:rPr>
          <w:noProof/>
        </w:rPr>
        <w:t>Maintain Specimen</w:t>
      </w:r>
      <w:r>
        <w:rPr>
          <w:noProof/>
        </w:rPr>
        <w:tab/>
        <w:t>249</w:t>
      </w:r>
    </w:p>
    <w:p w14:paraId="1A6B4536" w14:textId="77777777" w:rsidR="00812371" w:rsidRDefault="00812371">
      <w:pPr>
        <w:pStyle w:val="Index1"/>
        <w:tabs>
          <w:tab w:val="right" w:leader="dot" w:pos="9350"/>
        </w:tabs>
        <w:rPr>
          <w:noProof/>
        </w:rPr>
      </w:pPr>
      <w:r>
        <w:rPr>
          <w:noProof/>
        </w:rPr>
        <w:t>Maintain Unit Records</w:t>
      </w:r>
      <w:r>
        <w:rPr>
          <w:noProof/>
        </w:rPr>
        <w:tab/>
        <w:t>167</w:t>
      </w:r>
    </w:p>
    <w:p w14:paraId="204AD906" w14:textId="77777777" w:rsidR="00812371" w:rsidRDefault="00812371">
      <w:pPr>
        <w:pStyle w:val="Index1"/>
        <w:tabs>
          <w:tab w:val="right" w:leader="dot" w:pos="9350"/>
        </w:tabs>
        <w:rPr>
          <w:noProof/>
        </w:rPr>
      </w:pPr>
      <w:r>
        <w:rPr>
          <w:noProof/>
        </w:rPr>
        <w:t>Medication Profile</w:t>
      </w:r>
      <w:r>
        <w:rPr>
          <w:noProof/>
        </w:rPr>
        <w:tab/>
        <w:t>36</w:t>
      </w:r>
    </w:p>
    <w:p w14:paraId="72747BB1" w14:textId="77777777" w:rsidR="00812371" w:rsidRDefault="00812371">
      <w:pPr>
        <w:pStyle w:val="Index1"/>
        <w:tabs>
          <w:tab w:val="right" w:leader="dot" w:pos="9350"/>
        </w:tabs>
        <w:rPr>
          <w:noProof/>
        </w:rPr>
      </w:pPr>
      <w:r>
        <w:rPr>
          <w:noProof/>
        </w:rPr>
        <w:t>Modify Component</w:t>
      </w:r>
      <w:r>
        <w:rPr>
          <w:noProof/>
        </w:rPr>
        <w:tab/>
        <w:t>145</w:t>
      </w:r>
    </w:p>
    <w:p w14:paraId="79BA1E32" w14:textId="77777777" w:rsidR="00812371" w:rsidRDefault="00812371">
      <w:pPr>
        <w:pStyle w:val="Index1"/>
        <w:tabs>
          <w:tab w:val="right" w:leader="dot" w:pos="9350"/>
        </w:tabs>
        <w:rPr>
          <w:noProof/>
        </w:rPr>
      </w:pPr>
      <w:r>
        <w:rPr>
          <w:noProof/>
        </w:rPr>
        <w:t>MSBOS</w:t>
      </w:r>
      <w:r>
        <w:rPr>
          <w:noProof/>
        </w:rPr>
        <w:tab/>
        <w:t>76</w:t>
      </w:r>
    </w:p>
    <w:p w14:paraId="74256FC1"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O</w:t>
      </w:r>
    </w:p>
    <w:p w14:paraId="5B3D283D" w14:textId="77777777" w:rsidR="00812371" w:rsidRDefault="00812371">
      <w:pPr>
        <w:pStyle w:val="Index1"/>
        <w:tabs>
          <w:tab w:val="right" w:leader="dot" w:pos="9350"/>
        </w:tabs>
        <w:rPr>
          <w:noProof/>
        </w:rPr>
      </w:pPr>
      <w:r>
        <w:rPr>
          <w:noProof/>
        </w:rPr>
        <w:t>Options</w:t>
      </w:r>
      <w:r>
        <w:rPr>
          <w:noProof/>
        </w:rPr>
        <w:tab/>
        <w:t>8</w:t>
      </w:r>
    </w:p>
    <w:p w14:paraId="543D8001" w14:textId="77777777" w:rsidR="00812371" w:rsidRDefault="00812371">
      <w:pPr>
        <w:pStyle w:val="Index1"/>
        <w:tabs>
          <w:tab w:val="right" w:leader="dot" w:pos="9350"/>
        </w:tabs>
        <w:rPr>
          <w:noProof/>
        </w:rPr>
      </w:pPr>
      <w:r>
        <w:rPr>
          <w:noProof/>
        </w:rPr>
        <w:t>Order Alerts</w:t>
      </w:r>
      <w:r>
        <w:rPr>
          <w:noProof/>
        </w:rPr>
        <w:tab/>
        <w:t>58</w:t>
      </w:r>
    </w:p>
    <w:p w14:paraId="56648A04" w14:textId="77777777" w:rsidR="00812371" w:rsidRDefault="00812371">
      <w:pPr>
        <w:pStyle w:val="Index1"/>
        <w:tabs>
          <w:tab w:val="right" w:leader="dot" w:pos="9350"/>
        </w:tabs>
        <w:rPr>
          <w:noProof/>
        </w:rPr>
      </w:pPr>
      <w:r>
        <w:rPr>
          <w:noProof/>
        </w:rPr>
        <w:t>Order History Report</w:t>
      </w:r>
      <w:r>
        <w:rPr>
          <w:noProof/>
        </w:rPr>
        <w:tab/>
        <w:t>368</w:t>
      </w:r>
    </w:p>
    <w:p w14:paraId="6A0FAB9E" w14:textId="77777777" w:rsidR="00812371" w:rsidRDefault="00812371">
      <w:pPr>
        <w:pStyle w:val="Index1"/>
        <w:tabs>
          <w:tab w:val="right" w:leader="dot" w:pos="9350"/>
        </w:tabs>
        <w:rPr>
          <w:noProof/>
        </w:rPr>
      </w:pPr>
      <w:r>
        <w:rPr>
          <w:noProof/>
        </w:rPr>
        <w:t>Order Reflex Tests</w:t>
      </w:r>
      <w:r>
        <w:rPr>
          <w:noProof/>
        </w:rPr>
        <w:tab/>
        <w:t>260</w:t>
      </w:r>
    </w:p>
    <w:p w14:paraId="7637C960" w14:textId="77777777" w:rsidR="00812371" w:rsidRDefault="00812371">
      <w:pPr>
        <w:pStyle w:val="Index1"/>
        <w:tabs>
          <w:tab w:val="right" w:leader="dot" w:pos="9350"/>
        </w:tabs>
        <w:rPr>
          <w:noProof/>
        </w:rPr>
      </w:pPr>
      <w:r>
        <w:rPr>
          <w:noProof/>
        </w:rPr>
        <w:t>Orientation</w:t>
      </w:r>
      <w:r>
        <w:rPr>
          <w:noProof/>
        </w:rPr>
        <w:tab/>
        <w:t>8</w:t>
      </w:r>
    </w:p>
    <w:p w14:paraId="5535672D" w14:textId="77777777" w:rsidR="00812371" w:rsidRDefault="00812371">
      <w:pPr>
        <w:pStyle w:val="Index1"/>
        <w:tabs>
          <w:tab w:val="right" w:leader="dot" w:pos="9350"/>
        </w:tabs>
        <w:rPr>
          <w:noProof/>
        </w:rPr>
      </w:pPr>
      <w:r>
        <w:rPr>
          <w:noProof/>
        </w:rPr>
        <w:t>Other VBECS Functions</w:t>
      </w:r>
      <w:r>
        <w:rPr>
          <w:noProof/>
        </w:rPr>
        <w:tab/>
        <w:t>42</w:t>
      </w:r>
    </w:p>
    <w:p w14:paraId="7CC41A90"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P</w:t>
      </w:r>
    </w:p>
    <w:p w14:paraId="0A3BF1C3" w14:textId="77777777" w:rsidR="00812371" w:rsidRDefault="00812371">
      <w:pPr>
        <w:pStyle w:val="Index1"/>
        <w:tabs>
          <w:tab w:val="right" w:leader="dot" w:pos="9350"/>
        </w:tabs>
        <w:rPr>
          <w:noProof/>
        </w:rPr>
      </w:pPr>
      <w:r>
        <w:rPr>
          <w:noProof/>
        </w:rPr>
        <w:t>Patient Blood Availability</w:t>
      </w:r>
      <w:r>
        <w:rPr>
          <w:noProof/>
        </w:rPr>
        <w:tab/>
        <w:t>35</w:t>
      </w:r>
    </w:p>
    <w:p w14:paraId="38B68B99" w14:textId="77777777" w:rsidR="00812371" w:rsidRDefault="00812371">
      <w:pPr>
        <w:pStyle w:val="Index1"/>
        <w:tabs>
          <w:tab w:val="right" w:leader="dot" w:pos="9350"/>
        </w:tabs>
        <w:rPr>
          <w:noProof/>
        </w:rPr>
      </w:pPr>
      <w:r>
        <w:rPr>
          <w:noProof/>
        </w:rPr>
        <w:t>Patient History Report</w:t>
      </w:r>
      <w:r>
        <w:rPr>
          <w:noProof/>
        </w:rPr>
        <w:tab/>
        <w:t>371</w:t>
      </w:r>
    </w:p>
    <w:p w14:paraId="4E164A8B" w14:textId="77777777" w:rsidR="00812371" w:rsidRDefault="00812371">
      <w:pPr>
        <w:pStyle w:val="Index1"/>
        <w:tabs>
          <w:tab w:val="right" w:leader="dot" w:pos="9350"/>
        </w:tabs>
        <w:rPr>
          <w:noProof/>
        </w:rPr>
      </w:pPr>
      <w:r>
        <w:rPr>
          <w:noProof/>
        </w:rPr>
        <w:t>Patient Information Toolbar</w:t>
      </w:r>
      <w:r>
        <w:rPr>
          <w:noProof/>
        </w:rPr>
        <w:tab/>
        <w:t>35</w:t>
      </w:r>
    </w:p>
    <w:p w14:paraId="483687CB" w14:textId="77777777" w:rsidR="00812371" w:rsidRDefault="00812371">
      <w:pPr>
        <w:pStyle w:val="Index1"/>
        <w:tabs>
          <w:tab w:val="right" w:leader="dot" w:pos="9350"/>
        </w:tabs>
        <w:rPr>
          <w:noProof/>
        </w:rPr>
      </w:pPr>
      <w:r>
        <w:rPr>
          <w:noProof/>
        </w:rPr>
        <w:t>Patient Merge</w:t>
      </w:r>
      <w:r>
        <w:rPr>
          <w:noProof/>
        </w:rPr>
        <w:tab/>
        <w:t>266</w:t>
      </w:r>
    </w:p>
    <w:p w14:paraId="6F0453A8" w14:textId="77777777" w:rsidR="00812371" w:rsidRDefault="00812371">
      <w:pPr>
        <w:pStyle w:val="Index1"/>
        <w:tabs>
          <w:tab w:val="right" w:leader="dot" w:pos="9350"/>
        </w:tabs>
        <w:rPr>
          <w:noProof/>
        </w:rPr>
      </w:pPr>
      <w:r>
        <w:rPr>
          <w:noProof/>
        </w:rPr>
        <w:t>Patient Search Screen</w:t>
      </w:r>
      <w:r>
        <w:rPr>
          <w:noProof/>
        </w:rPr>
        <w:tab/>
        <w:t>263</w:t>
      </w:r>
    </w:p>
    <w:p w14:paraId="140A36DD" w14:textId="77777777" w:rsidR="00812371" w:rsidRDefault="00812371">
      <w:pPr>
        <w:pStyle w:val="Index1"/>
        <w:tabs>
          <w:tab w:val="right" w:leader="dot" w:pos="9350"/>
        </w:tabs>
        <w:rPr>
          <w:noProof/>
        </w:rPr>
      </w:pPr>
      <w:r>
        <w:rPr>
          <w:noProof/>
        </w:rPr>
        <w:t>Patient Services</w:t>
      </w:r>
      <w:r>
        <w:rPr>
          <w:noProof/>
        </w:rPr>
        <w:tab/>
        <w:t>263</w:t>
      </w:r>
    </w:p>
    <w:p w14:paraId="66E7863D" w14:textId="77777777" w:rsidR="00812371" w:rsidRDefault="00812371">
      <w:pPr>
        <w:pStyle w:val="Index1"/>
        <w:tabs>
          <w:tab w:val="right" w:leader="dot" w:pos="9350"/>
        </w:tabs>
        <w:rPr>
          <w:noProof/>
        </w:rPr>
      </w:pPr>
      <w:r>
        <w:rPr>
          <w:noProof/>
        </w:rPr>
        <w:t>Patient Testing Form</w:t>
      </w:r>
      <w:r>
        <w:rPr>
          <w:noProof/>
        </w:rPr>
        <w:tab/>
        <w:t>403</w:t>
      </w:r>
    </w:p>
    <w:p w14:paraId="5B15B6B6" w14:textId="77777777" w:rsidR="00812371" w:rsidRDefault="00812371">
      <w:pPr>
        <w:pStyle w:val="Index1"/>
        <w:tabs>
          <w:tab w:val="right" w:leader="dot" w:pos="9350"/>
        </w:tabs>
        <w:rPr>
          <w:noProof/>
        </w:rPr>
      </w:pPr>
      <w:r>
        <w:rPr>
          <w:noProof/>
        </w:rPr>
        <w:t>Patient Testing Worklist and Testing Worklist Reports</w:t>
      </w:r>
      <w:r>
        <w:rPr>
          <w:noProof/>
        </w:rPr>
        <w:tab/>
        <w:t>373</w:t>
      </w:r>
    </w:p>
    <w:p w14:paraId="6B0F5B2D" w14:textId="77777777" w:rsidR="00812371" w:rsidRDefault="00812371">
      <w:pPr>
        <w:pStyle w:val="Index1"/>
        <w:tabs>
          <w:tab w:val="right" w:leader="dot" w:pos="9350"/>
        </w:tabs>
        <w:rPr>
          <w:noProof/>
        </w:rPr>
      </w:pPr>
      <w:r>
        <w:rPr>
          <w:noProof/>
        </w:rPr>
        <w:t>Patient Testing: Cancel an Active Order</w:t>
      </w:r>
      <w:r>
        <w:rPr>
          <w:noProof/>
        </w:rPr>
        <w:tab/>
        <w:t>253</w:t>
      </w:r>
    </w:p>
    <w:p w14:paraId="4729BF3D" w14:textId="77777777" w:rsidR="00812371" w:rsidRDefault="00812371">
      <w:pPr>
        <w:pStyle w:val="Index1"/>
        <w:tabs>
          <w:tab w:val="right" w:leader="dot" w:pos="9350"/>
        </w:tabs>
        <w:rPr>
          <w:noProof/>
        </w:rPr>
      </w:pPr>
      <w:r>
        <w:rPr>
          <w:noProof/>
        </w:rPr>
        <w:t>Patient Testing: Enter Antibody Identification Results</w:t>
      </w:r>
      <w:r>
        <w:rPr>
          <w:noProof/>
        </w:rPr>
        <w:tab/>
        <w:t>296</w:t>
      </w:r>
    </w:p>
    <w:p w14:paraId="279A6499" w14:textId="77777777" w:rsidR="00812371" w:rsidRDefault="00812371">
      <w:pPr>
        <w:pStyle w:val="Index1"/>
        <w:tabs>
          <w:tab w:val="right" w:leader="dot" w:pos="9350"/>
        </w:tabs>
        <w:rPr>
          <w:noProof/>
        </w:rPr>
      </w:pPr>
      <w:r>
        <w:rPr>
          <w:noProof/>
        </w:rPr>
        <w:t>Patient Testing: General Instructions</w:t>
      </w:r>
      <w:r>
        <w:rPr>
          <w:noProof/>
        </w:rPr>
        <w:tab/>
        <w:t>271</w:t>
      </w:r>
    </w:p>
    <w:p w14:paraId="69120876" w14:textId="77777777" w:rsidR="00812371" w:rsidRDefault="00812371">
      <w:pPr>
        <w:pStyle w:val="Index1"/>
        <w:tabs>
          <w:tab w:val="right" w:leader="dot" w:pos="9350"/>
        </w:tabs>
        <w:rPr>
          <w:noProof/>
        </w:rPr>
      </w:pPr>
      <w:r>
        <w:rPr>
          <w:noProof/>
        </w:rPr>
        <w:t>Patient Testing: Pending Task List</w:t>
      </w:r>
      <w:r>
        <w:rPr>
          <w:noProof/>
        </w:rPr>
        <w:tab/>
        <w:t>255</w:t>
      </w:r>
    </w:p>
    <w:p w14:paraId="73DB909F" w14:textId="77777777" w:rsidR="00812371" w:rsidRDefault="00812371">
      <w:pPr>
        <w:pStyle w:val="Index1"/>
        <w:tabs>
          <w:tab w:val="right" w:leader="dot" w:pos="9350"/>
        </w:tabs>
        <w:rPr>
          <w:noProof/>
        </w:rPr>
      </w:pPr>
      <w:r>
        <w:rPr>
          <w:noProof/>
        </w:rPr>
        <w:t>Patient Testing: Record a Crossmatch</w:t>
      </w:r>
      <w:r>
        <w:rPr>
          <w:noProof/>
        </w:rPr>
        <w:tab/>
        <w:t>285</w:t>
      </w:r>
    </w:p>
    <w:p w14:paraId="49482A55" w14:textId="77777777" w:rsidR="00812371" w:rsidRDefault="00812371">
      <w:pPr>
        <w:pStyle w:val="Index1"/>
        <w:tabs>
          <w:tab w:val="right" w:leader="dot" w:pos="9350"/>
        </w:tabs>
        <w:rPr>
          <w:noProof/>
        </w:rPr>
      </w:pPr>
      <w:r>
        <w:rPr>
          <w:noProof/>
        </w:rPr>
        <w:t>Patient Testing: Record a Direct Antiglobulin Test</w:t>
      </w:r>
      <w:r>
        <w:rPr>
          <w:noProof/>
        </w:rPr>
        <w:tab/>
        <w:t>282</w:t>
      </w:r>
    </w:p>
    <w:p w14:paraId="708CE168" w14:textId="77777777" w:rsidR="00812371" w:rsidRDefault="00812371">
      <w:pPr>
        <w:pStyle w:val="Index1"/>
        <w:tabs>
          <w:tab w:val="right" w:leader="dot" w:pos="9350"/>
        </w:tabs>
        <w:rPr>
          <w:noProof/>
        </w:rPr>
      </w:pPr>
      <w:r>
        <w:rPr>
          <w:noProof/>
        </w:rPr>
        <w:t>Patient Testing: Record a Patient ABO/Rh</w:t>
      </w:r>
      <w:r>
        <w:rPr>
          <w:noProof/>
        </w:rPr>
        <w:tab/>
        <w:t>277</w:t>
      </w:r>
    </w:p>
    <w:p w14:paraId="67B04D83" w14:textId="77777777" w:rsidR="00812371" w:rsidRDefault="00812371">
      <w:pPr>
        <w:pStyle w:val="Index1"/>
        <w:tabs>
          <w:tab w:val="right" w:leader="dot" w:pos="9350"/>
        </w:tabs>
        <w:rPr>
          <w:noProof/>
        </w:rPr>
      </w:pPr>
      <w:r>
        <w:rPr>
          <w:noProof/>
        </w:rPr>
        <w:t>Patient Testing: Record a Patient Antibody Screen</w:t>
      </w:r>
      <w:r>
        <w:rPr>
          <w:noProof/>
        </w:rPr>
        <w:tab/>
        <w:t>280</w:t>
      </w:r>
    </w:p>
    <w:p w14:paraId="719A88CF" w14:textId="77777777" w:rsidR="00812371" w:rsidRDefault="00812371">
      <w:pPr>
        <w:pStyle w:val="Index1"/>
        <w:tabs>
          <w:tab w:val="right" w:leader="dot" w:pos="9350"/>
        </w:tabs>
        <w:rPr>
          <w:noProof/>
        </w:rPr>
      </w:pPr>
      <w:r>
        <w:rPr>
          <w:noProof/>
        </w:rPr>
        <w:t>Patient Testing: Record a Patient Antigen Typing</w:t>
      </w:r>
      <w:r>
        <w:rPr>
          <w:noProof/>
        </w:rPr>
        <w:tab/>
        <w:t>290</w:t>
      </w:r>
    </w:p>
    <w:p w14:paraId="507F4E75" w14:textId="77777777" w:rsidR="00812371" w:rsidRDefault="00812371">
      <w:pPr>
        <w:pStyle w:val="Index1"/>
        <w:tabs>
          <w:tab w:val="right" w:leader="dot" w:pos="9350"/>
        </w:tabs>
        <w:rPr>
          <w:noProof/>
        </w:rPr>
      </w:pPr>
      <w:r>
        <w:rPr>
          <w:noProof/>
        </w:rPr>
        <w:t>Patient Testing: Record a Transfusion Reaction Workup</w:t>
      </w:r>
      <w:r>
        <w:rPr>
          <w:noProof/>
        </w:rPr>
        <w:tab/>
        <w:t>299</w:t>
      </w:r>
    </w:p>
    <w:p w14:paraId="3EF1AFA7" w14:textId="77777777" w:rsidR="00812371" w:rsidRDefault="00812371">
      <w:pPr>
        <w:pStyle w:val="Index1"/>
        <w:tabs>
          <w:tab w:val="right" w:leader="dot" w:pos="9350"/>
        </w:tabs>
        <w:rPr>
          <w:noProof/>
        </w:rPr>
      </w:pPr>
      <w:r>
        <w:rPr>
          <w:noProof/>
        </w:rPr>
        <w:t>Post-Transfusion Information</w:t>
      </w:r>
      <w:r>
        <w:rPr>
          <w:noProof/>
        </w:rPr>
        <w:tab/>
        <w:t>323</w:t>
      </w:r>
    </w:p>
    <w:p w14:paraId="58EC68A4" w14:textId="77777777" w:rsidR="00812371" w:rsidRDefault="00812371">
      <w:pPr>
        <w:pStyle w:val="Index1"/>
        <w:tabs>
          <w:tab w:val="right" w:leader="dot" w:pos="9350"/>
        </w:tabs>
        <w:rPr>
          <w:noProof/>
        </w:rPr>
      </w:pPr>
      <w:r>
        <w:rPr>
          <w:noProof/>
        </w:rPr>
        <w:t>Print Backup Caution Tags and Blood Transfusion Record Forms</w:t>
      </w:r>
      <w:r>
        <w:rPr>
          <w:noProof/>
        </w:rPr>
        <w:tab/>
        <w:t>216</w:t>
      </w:r>
    </w:p>
    <w:p w14:paraId="007746A8" w14:textId="77777777" w:rsidR="00812371" w:rsidRDefault="00812371">
      <w:pPr>
        <w:pStyle w:val="Index1"/>
        <w:tabs>
          <w:tab w:val="right" w:leader="dot" w:pos="9350"/>
        </w:tabs>
        <w:rPr>
          <w:noProof/>
        </w:rPr>
      </w:pPr>
      <w:r>
        <w:rPr>
          <w:noProof/>
        </w:rPr>
        <w:t>Processing an Emergency Transfusion Order</w:t>
      </w:r>
      <w:r>
        <w:rPr>
          <w:noProof/>
        </w:rPr>
        <w:tab/>
        <w:t>246</w:t>
      </w:r>
    </w:p>
    <w:p w14:paraId="7ADE3DCB" w14:textId="77777777" w:rsidR="00812371" w:rsidRDefault="00812371">
      <w:pPr>
        <w:pStyle w:val="Index1"/>
        <w:tabs>
          <w:tab w:val="right" w:leader="dot" w:pos="9350"/>
        </w:tabs>
        <w:rPr>
          <w:noProof/>
        </w:rPr>
      </w:pPr>
      <w:r>
        <w:rPr>
          <w:noProof/>
        </w:rPr>
        <w:t>Processing Orders</w:t>
      </w:r>
      <w:r>
        <w:rPr>
          <w:noProof/>
        </w:rPr>
        <w:tab/>
        <w:t>233</w:t>
      </w:r>
    </w:p>
    <w:p w14:paraId="3AF59FBD" w14:textId="77777777" w:rsidR="00812371" w:rsidRDefault="00812371">
      <w:pPr>
        <w:pStyle w:val="Index1"/>
        <w:tabs>
          <w:tab w:val="right" w:leader="dot" w:pos="9350"/>
        </w:tabs>
        <w:rPr>
          <w:noProof/>
        </w:rPr>
      </w:pPr>
      <w:r>
        <w:rPr>
          <w:noProof/>
        </w:rPr>
        <w:t>Product Modifications</w:t>
      </w:r>
      <w:r>
        <w:rPr>
          <w:noProof/>
        </w:rPr>
        <w:tab/>
        <w:t>56</w:t>
      </w:r>
    </w:p>
    <w:p w14:paraId="7BFDF8F0" w14:textId="77777777" w:rsidR="00812371" w:rsidRDefault="00812371">
      <w:pPr>
        <w:pStyle w:val="Index1"/>
        <w:tabs>
          <w:tab w:val="right" w:leader="dot" w:pos="9350"/>
        </w:tabs>
        <w:rPr>
          <w:noProof/>
        </w:rPr>
      </w:pPr>
      <w:r>
        <w:rPr>
          <w:noProof/>
        </w:rPr>
        <w:t>Prolonged Transfusion Time Report</w:t>
      </w:r>
      <w:r>
        <w:rPr>
          <w:noProof/>
        </w:rPr>
        <w:tab/>
        <w:t>376</w:t>
      </w:r>
    </w:p>
    <w:p w14:paraId="594402E0"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Q</w:t>
      </w:r>
    </w:p>
    <w:p w14:paraId="212F3699" w14:textId="77777777" w:rsidR="00812371" w:rsidRDefault="00812371">
      <w:pPr>
        <w:pStyle w:val="Index1"/>
        <w:tabs>
          <w:tab w:val="right" w:leader="dot" w:pos="9350"/>
        </w:tabs>
        <w:rPr>
          <w:noProof/>
        </w:rPr>
      </w:pPr>
      <w:r>
        <w:rPr>
          <w:noProof/>
        </w:rPr>
        <w:t>Quick K Calculator</w:t>
      </w:r>
      <w:r>
        <w:rPr>
          <w:noProof/>
        </w:rPr>
        <w:tab/>
        <w:t>109</w:t>
      </w:r>
    </w:p>
    <w:p w14:paraId="2B4E62A6"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R</w:t>
      </w:r>
    </w:p>
    <w:p w14:paraId="792B56B0" w14:textId="77777777" w:rsidR="00812371" w:rsidRDefault="00812371">
      <w:pPr>
        <w:pStyle w:val="Index1"/>
        <w:tabs>
          <w:tab w:val="right" w:leader="dot" w:pos="9350"/>
        </w:tabs>
        <w:rPr>
          <w:noProof/>
        </w:rPr>
      </w:pPr>
      <w:r>
        <w:rPr>
          <w:noProof/>
        </w:rPr>
        <w:t>Reagents and Supplies</w:t>
      </w:r>
      <w:r>
        <w:rPr>
          <w:noProof/>
        </w:rPr>
        <w:tab/>
        <w:t>81</w:t>
      </w:r>
    </w:p>
    <w:p w14:paraId="0EA99CB8" w14:textId="77777777" w:rsidR="00812371" w:rsidRDefault="00812371">
      <w:pPr>
        <w:pStyle w:val="Index1"/>
        <w:tabs>
          <w:tab w:val="right" w:leader="dot" w:pos="9350"/>
        </w:tabs>
        <w:rPr>
          <w:noProof/>
        </w:rPr>
      </w:pPr>
      <w:r>
        <w:rPr>
          <w:noProof/>
        </w:rPr>
        <w:t>Recommended Report Usage</w:t>
      </w:r>
      <w:r>
        <w:rPr>
          <w:noProof/>
        </w:rPr>
        <w:tab/>
        <w:t>496</w:t>
      </w:r>
    </w:p>
    <w:p w14:paraId="1BEDFF36" w14:textId="77777777" w:rsidR="00812371" w:rsidRDefault="00812371">
      <w:pPr>
        <w:pStyle w:val="Index1"/>
        <w:tabs>
          <w:tab w:val="right" w:leader="dot" w:pos="9350"/>
        </w:tabs>
        <w:rPr>
          <w:noProof/>
        </w:rPr>
      </w:pPr>
      <w:r>
        <w:rPr>
          <w:noProof/>
        </w:rPr>
        <w:lastRenderedPageBreak/>
        <w:t>References</w:t>
      </w:r>
      <w:r>
        <w:rPr>
          <w:noProof/>
        </w:rPr>
        <w:tab/>
        <w:t>389</w:t>
      </w:r>
    </w:p>
    <w:p w14:paraId="14646F38" w14:textId="77777777" w:rsidR="00812371" w:rsidRDefault="00812371">
      <w:pPr>
        <w:pStyle w:val="Index1"/>
        <w:tabs>
          <w:tab w:val="right" w:leader="dot" w:pos="9350"/>
        </w:tabs>
        <w:rPr>
          <w:noProof/>
        </w:rPr>
      </w:pPr>
      <w:r>
        <w:rPr>
          <w:noProof/>
        </w:rPr>
        <w:t>Related Manuals and Materials</w:t>
      </w:r>
      <w:r>
        <w:rPr>
          <w:noProof/>
        </w:rPr>
        <w:tab/>
        <w:t>7</w:t>
      </w:r>
    </w:p>
    <w:p w14:paraId="6C0B7E73"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S</w:t>
      </w:r>
    </w:p>
    <w:p w14:paraId="0FFEEA15" w14:textId="77777777" w:rsidR="00812371" w:rsidRDefault="00812371">
      <w:pPr>
        <w:pStyle w:val="Index1"/>
        <w:tabs>
          <w:tab w:val="right" w:leader="dot" w:pos="9350"/>
        </w:tabs>
        <w:rPr>
          <w:noProof/>
        </w:rPr>
      </w:pPr>
      <w:r>
        <w:rPr>
          <w:noProof/>
        </w:rPr>
        <w:t>Screen Display</w:t>
      </w:r>
      <w:r>
        <w:rPr>
          <w:noProof/>
        </w:rPr>
        <w:tab/>
        <w:t>31</w:t>
      </w:r>
    </w:p>
    <w:p w14:paraId="4166D51C" w14:textId="77777777" w:rsidR="00812371" w:rsidRDefault="00812371">
      <w:pPr>
        <w:pStyle w:val="Index1"/>
        <w:tabs>
          <w:tab w:val="right" w:leader="dot" w:pos="9350"/>
        </w:tabs>
        <w:rPr>
          <w:noProof/>
        </w:rPr>
      </w:pPr>
      <w:r>
        <w:rPr>
          <w:noProof/>
        </w:rPr>
        <w:t>Search Tab</w:t>
      </w:r>
      <w:r>
        <w:rPr>
          <w:noProof/>
        </w:rPr>
        <w:tab/>
        <w:t>22</w:t>
      </w:r>
    </w:p>
    <w:p w14:paraId="210A76D4" w14:textId="77777777" w:rsidR="00812371" w:rsidRDefault="00812371">
      <w:pPr>
        <w:pStyle w:val="Index1"/>
        <w:tabs>
          <w:tab w:val="right" w:leader="dot" w:pos="9350"/>
        </w:tabs>
        <w:rPr>
          <w:noProof/>
        </w:rPr>
      </w:pPr>
      <w:r>
        <w:rPr>
          <w:noProof/>
        </w:rPr>
        <w:t>Searching the Database</w:t>
      </w:r>
      <w:r>
        <w:rPr>
          <w:noProof/>
        </w:rPr>
        <w:tab/>
        <w:t>17</w:t>
      </w:r>
    </w:p>
    <w:p w14:paraId="297D6CD2" w14:textId="77777777" w:rsidR="00812371" w:rsidRDefault="00812371">
      <w:pPr>
        <w:pStyle w:val="Index1"/>
        <w:tabs>
          <w:tab w:val="right" w:leader="dot" w:pos="9350"/>
        </w:tabs>
        <w:rPr>
          <w:noProof/>
        </w:rPr>
      </w:pPr>
      <w:r>
        <w:rPr>
          <w:noProof/>
        </w:rPr>
        <w:t>Security</w:t>
      </w:r>
      <w:r>
        <w:rPr>
          <w:noProof/>
        </w:rPr>
        <w:tab/>
        <w:t>9</w:t>
      </w:r>
    </w:p>
    <w:p w14:paraId="4BC48AE8" w14:textId="77777777" w:rsidR="00812371" w:rsidRDefault="00812371">
      <w:pPr>
        <w:pStyle w:val="Index1"/>
        <w:tabs>
          <w:tab w:val="right" w:leader="dot" w:pos="9350"/>
        </w:tabs>
        <w:rPr>
          <w:noProof/>
        </w:rPr>
      </w:pPr>
      <w:r w:rsidRPr="000C62CD">
        <w:rPr>
          <w:b/>
          <w:noProof/>
        </w:rPr>
        <w:t>Service Desk</w:t>
      </w:r>
      <w:r>
        <w:rPr>
          <w:noProof/>
        </w:rPr>
        <w:tab/>
        <w:t>12</w:t>
      </w:r>
    </w:p>
    <w:p w14:paraId="4E11BF38" w14:textId="77777777" w:rsidR="00812371" w:rsidRDefault="00812371">
      <w:pPr>
        <w:pStyle w:val="Index1"/>
        <w:tabs>
          <w:tab w:val="right" w:leader="dot" w:pos="9350"/>
        </w:tabs>
        <w:rPr>
          <w:noProof/>
        </w:rPr>
      </w:pPr>
      <w:r>
        <w:rPr>
          <w:noProof/>
        </w:rPr>
        <w:t>Setting Transfusion Parameters</w:t>
      </w:r>
      <w:r>
        <w:rPr>
          <w:noProof/>
        </w:rPr>
        <w:tab/>
        <w:t>72</w:t>
      </w:r>
    </w:p>
    <w:p w14:paraId="19E1B87D" w14:textId="77777777" w:rsidR="00812371" w:rsidRDefault="00812371">
      <w:pPr>
        <w:pStyle w:val="Index1"/>
        <w:tabs>
          <w:tab w:val="right" w:leader="dot" w:pos="9350"/>
        </w:tabs>
        <w:rPr>
          <w:noProof/>
        </w:rPr>
      </w:pPr>
      <w:r>
        <w:rPr>
          <w:noProof/>
        </w:rPr>
        <w:t>Shipments</w:t>
      </w:r>
      <w:r>
        <w:rPr>
          <w:noProof/>
        </w:rPr>
        <w:tab/>
        <w:t>108</w:t>
      </w:r>
    </w:p>
    <w:p w14:paraId="036F5188" w14:textId="77777777" w:rsidR="00812371" w:rsidRDefault="00812371">
      <w:pPr>
        <w:pStyle w:val="Index1"/>
        <w:tabs>
          <w:tab w:val="right" w:leader="dot" w:pos="9350"/>
        </w:tabs>
        <w:rPr>
          <w:noProof/>
        </w:rPr>
      </w:pPr>
      <w:r>
        <w:rPr>
          <w:noProof/>
        </w:rPr>
        <w:t>Software Basics</w:t>
      </w:r>
      <w:r>
        <w:rPr>
          <w:noProof/>
        </w:rPr>
        <w:tab/>
        <w:t>14</w:t>
      </w:r>
    </w:p>
    <w:p w14:paraId="609771C5" w14:textId="77777777" w:rsidR="00812371" w:rsidRDefault="00812371">
      <w:pPr>
        <w:pStyle w:val="Index1"/>
        <w:tabs>
          <w:tab w:val="right" w:leader="dot" w:pos="9350"/>
        </w:tabs>
        <w:rPr>
          <w:noProof/>
        </w:rPr>
      </w:pPr>
      <w:r>
        <w:rPr>
          <w:noProof/>
        </w:rPr>
        <w:t>Special Instructions &amp; Transfusion Requirements: Enter and Remove Special Instructions</w:t>
      </w:r>
      <w:r>
        <w:rPr>
          <w:noProof/>
        </w:rPr>
        <w:tab/>
        <w:t>320</w:t>
      </w:r>
    </w:p>
    <w:p w14:paraId="2CF48894" w14:textId="77777777" w:rsidR="00812371" w:rsidRDefault="00812371">
      <w:pPr>
        <w:pStyle w:val="Index1"/>
        <w:tabs>
          <w:tab w:val="right" w:leader="dot" w:pos="9350"/>
        </w:tabs>
        <w:rPr>
          <w:noProof/>
        </w:rPr>
      </w:pPr>
      <w:r>
        <w:rPr>
          <w:noProof/>
        </w:rPr>
        <w:t>Supplemental Information</w:t>
      </w:r>
      <w:r>
        <w:rPr>
          <w:noProof/>
        </w:rPr>
        <w:tab/>
        <w:t>9</w:t>
      </w:r>
    </w:p>
    <w:p w14:paraId="3C2872D4" w14:textId="77777777" w:rsidR="00812371" w:rsidRDefault="00812371">
      <w:pPr>
        <w:pStyle w:val="Index1"/>
        <w:tabs>
          <w:tab w:val="right" w:leader="dot" w:pos="9350"/>
        </w:tabs>
        <w:rPr>
          <w:noProof/>
        </w:rPr>
      </w:pPr>
      <w:r>
        <w:rPr>
          <w:noProof/>
        </w:rPr>
        <w:t>Supplies</w:t>
      </w:r>
      <w:r>
        <w:rPr>
          <w:noProof/>
        </w:rPr>
        <w:tab/>
        <w:t>98</w:t>
      </w:r>
    </w:p>
    <w:p w14:paraId="76C9F96B" w14:textId="77777777" w:rsidR="00812371" w:rsidRDefault="00812371">
      <w:pPr>
        <w:pStyle w:val="Index1"/>
        <w:tabs>
          <w:tab w:val="right" w:leader="dot" w:pos="9350"/>
        </w:tabs>
        <w:rPr>
          <w:noProof/>
        </w:rPr>
      </w:pPr>
      <w:r>
        <w:rPr>
          <w:noProof/>
        </w:rPr>
        <w:t>System Responses to Active Transfusion Requirements in Select Unit and Issue Blood Component</w:t>
      </w:r>
      <w:r>
        <w:rPr>
          <w:noProof/>
        </w:rPr>
        <w:tab/>
        <w:t>499</w:t>
      </w:r>
    </w:p>
    <w:p w14:paraId="3D7265DF" w14:textId="77777777" w:rsidR="00812371" w:rsidRDefault="00812371">
      <w:pPr>
        <w:pStyle w:val="Index1"/>
        <w:tabs>
          <w:tab w:val="right" w:leader="dot" w:pos="9350"/>
        </w:tabs>
        <w:rPr>
          <w:noProof/>
        </w:rPr>
      </w:pPr>
      <w:r>
        <w:rPr>
          <w:noProof/>
        </w:rPr>
        <w:t>System Validation</w:t>
      </w:r>
    </w:p>
    <w:p w14:paraId="68BAFA58" w14:textId="77777777" w:rsidR="00812371" w:rsidRDefault="00812371">
      <w:pPr>
        <w:pStyle w:val="Index2"/>
        <w:tabs>
          <w:tab w:val="right" w:leader="dot" w:pos="9350"/>
        </w:tabs>
        <w:rPr>
          <w:noProof/>
        </w:rPr>
      </w:pPr>
      <w:r w:rsidRPr="000C62CD">
        <w:rPr>
          <w:noProof/>
          <w:snapToGrid w:val="0"/>
        </w:rPr>
        <w:t>Antibodies</w:t>
      </w:r>
      <w:r>
        <w:rPr>
          <w:noProof/>
        </w:rPr>
        <w:tab/>
        <w:t>480</w:t>
      </w:r>
    </w:p>
    <w:p w14:paraId="6822F61B" w14:textId="77777777" w:rsidR="00812371" w:rsidRDefault="00812371">
      <w:pPr>
        <w:pStyle w:val="Index2"/>
        <w:tabs>
          <w:tab w:val="right" w:leader="dot" w:pos="9350"/>
        </w:tabs>
        <w:rPr>
          <w:noProof/>
        </w:rPr>
      </w:pPr>
      <w:r>
        <w:rPr>
          <w:noProof/>
        </w:rPr>
        <w:t>Blood Products</w:t>
      </w:r>
      <w:r>
        <w:rPr>
          <w:noProof/>
        </w:rPr>
        <w:tab/>
        <w:t>474</w:t>
      </w:r>
    </w:p>
    <w:p w14:paraId="2048587B" w14:textId="77777777" w:rsidR="00812371" w:rsidRDefault="00812371">
      <w:pPr>
        <w:pStyle w:val="Index2"/>
        <w:tabs>
          <w:tab w:val="right" w:leader="dot" w:pos="9350"/>
        </w:tabs>
        <w:rPr>
          <w:noProof/>
        </w:rPr>
      </w:pPr>
      <w:r w:rsidRPr="000C62CD">
        <w:rPr>
          <w:noProof/>
          <w:snapToGrid w:val="0"/>
        </w:rPr>
        <w:t xml:space="preserve">Canned </w:t>
      </w:r>
      <w:r>
        <w:rPr>
          <w:noProof/>
        </w:rPr>
        <w:t>Comments</w:t>
      </w:r>
      <w:r>
        <w:rPr>
          <w:noProof/>
        </w:rPr>
        <w:tab/>
        <w:t>479</w:t>
      </w:r>
    </w:p>
    <w:p w14:paraId="12772507" w14:textId="77777777" w:rsidR="00812371" w:rsidRDefault="00812371">
      <w:pPr>
        <w:pStyle w:val="Index2"/>
        <w:tabs>
          <w:tab w:val="right" w:leader="dot" w:pos="9350"/>
        </w:tabs>
        <w:rPr>
          <w:noProof/>
        </w:rPr>
      </w:pPr>
      <w:r>
        <w:rPr>
          <w:noProof/>
        </w:rPr>
        <w:t>Component Classes</w:t>
      </w:r>
      <w:r>
        <w:rPr>
          <w:noProof/>
        </w:rPr>
        <w:tab/>
        <w:t>476</w:t>
      </w:r>
    </w:p>
    <w:p w14:paraId="7FD435D0" w14:textId="77777777" w:rsidR="00812371" w:rsidRDefault="00812371">
      <w:pPr>
        <w:pStyle w:val="Index2"/>
        <w:tabs>
          <w:tab w:val="right" w:leader="dot" w:pos="9350"/>
        </w:tabs>
        <w:rPr>
          <w:noProof/>
        </w:rPr>
      </w:pPr>
      <w:r>
        <w:rPr>
          <w:noProof/>
        </w:rPr>
        <w:t>Configure Daily QC: Full Service</w:t>
      </w:r>
      <w:r>
        <w:rPr>
          <w:noProof/>
        </w:rPr>
        <w:tab/>
        <w:t>471</w:t>
      </w:r>
    </w:p>
    <w:p w14:paraId="0B215637" w14:textId="77777777" w:rsidR="00812371" w:rsidRDefault="00812371">
      <w:pPr>
        <w:pStyle w:val="Index2"/>
        <w:tabs>
          <w:tab w:val="right" w:leader="dot" w:pos="9350"/>
        </w:tabs>
        <w:rPr>
          <w:noProof/>
        </w:rPr>
      </w:pPr>
      <w:r>
        <w:rPr>
          <w:noProof/>
        </w:rPr>
        <w:t>Configure Division</w:t>
      </w:r>
      <w:r>
        <w:rPr>
          <w:noProof/>
        </w:rPr>
        <w:tab/>
        <w:t>468</w:t>
      </w:r>
    </w:p>
    <w:p w14:paraId="18F533F4" w14:textId="77777777" w:rsidR="00812371" w:rsidRDefault="00812371">
      <w:pPr>
        <w:pStyle w:val="Index2"/>
        <w:tabs>
          <w:tab w:val="right" w:leader="dot" w:pos="9350"/>
        </w:tabs>
        <w:rPr>
          <w:noProof/>
        </w:rPr>
      </w:pPr>
      <w:r>
        <w:rPr>
          <w:noProof/>
        </w:rPr>
        <w:t>Configure Testing: Full Service</w:t>
      </w:r>
      <w:r>
        <w:rPr>
          <w:noProof/>
        </w:rPr>
        <w:tab/>
        <w:t>468</w:t>
      </w:r>
    </w:p>
    <w:p w14:paraId="11D6E56B" w14:textId="77777777" w:rsidR="00812371" w:rsidRDefault="00812371">
      <w:pPr>
        <w:pStyle w:val="Index2"/>
        <w:tabs>
          <w:tab w:val="right" w:leader="dot" w:pos="9350"/>
        </w:tabs>
        <w:rPr>
          <w:noProof/>
        </w:rPr>
      </w:pPr>
      <w:r w:rsidRPr="000C62CD">
        <w:rPr>
          <w:noProof/>
          <w:snapToGrid w:val="0"/>
        </w:rPr>
        <w:t>Edit Invoice Text</w:t>
      </w:r>
      <w:r>
        <w:rPr>
          <w:noProof/>
        </w:rPr>
        <w:tab/>
        <w:t>479</w:t>
      </w:r>
    </w:p>
    <w:p w14:paraId="7C2C022C" w14:textId="77777777" w:rsidR="00812371" w:rsidRDefault="00812371">
      <w:pPr>
        <w:pStyle w:val="Index2"/>
        <w:tabs>
          <w:tab w:val="right" w:leader="dot" w:pos="9350"/>
        </w:tabs>
        <w:rPr>
          <w:noProof/>
        </w:rPr>
      </w:pPr>
      <w:r>
        <w:rPr>
          <w:noProof/>
        </w:rPr>
        <w:t>Installation Qualification</w:t>
      </w:r>
      <w:r>
        <w:rPr>
          <w:noProof/>
        </w:rPr>
        <w:tab/>
        <w:t>466</w:t>
      </w:r>
    </w:p>
    <w:p w14:paraId="3F5C5D0D" w14:textId="77777777" w:rsidR="00812371" w:rsidRDefault="00812371">
      <w:pPr>
        <w:pStyle w:val="Index2"/>
        <w:tabs>
          <w:tab w:val="right" w:leader="dot" w:pos="9350"/>
        </w:tabs>
        <w:rPr>
          <w:noProof/>
        </w:rPr>
      </w:pPr>
      <w:r>
        <w:rPr>
          <w:noProof/>
        </w:rPr>
        <w:t>Introduction</w:t>
      </w:r>
      <w:r>
        <w:rPr>
          <w:noProof/>
        </w:rPr>
        <w:tab/>
        <w:t>466</w:t>
      </w:r>
    </w:p>
    <w:p w14:paraId="556A9A5B" w14:textId="77777777" w:rsidR="00812371" w:rsidRDefault="00812371">
      <w:pPr>
        <w:pStyle w:val="Index2"/>
        <w:tabs>
          <w:tab w:val="right" w:leader="dot" w:pos="9350"/>
        </w:tabs>
        <w:rPr>
          <w:noProof/>
        </w:rPr>
      </w:pPr>
      <w:r>
        <w:rPr>
          <w:noProof/>
        </w:rPr>
        <w:t>Local Facilities</w:t>
      </w:r>
      <w:r>
        <w:rPr>
          <w:noProof/>
        </w:rPr>
        <w:tab/>
        <w:t>475</w:t>
      </w:r>
    </w:p>
    <w:p w14:paraId="75B07EB4" w14:textId="77777777" w:rsidR="00812371" w:rsidRDefault="00812371">
      <w:pPr>
        <w:pStyle w:val="Index2"/>
        <w:tabs>
          <w:tab w:val="right" w:leader="dot" w:pos="9350"/>
        </w:tabs>
        <w:rPr>
          <w:noProof/>
        </w:rPr>
      </w:pPr>
      <w:r>
        <w:rPr>
          <w:noProof/>
        </w:rPr>
        <w:t>Log In Reagents: Full Service</w:t>
      </w:r>
      <w:r>
        <w:rPr>
          <w:noProof/>
        </w:rPr>
        <w:tab/>
        <w:t>473</w:t>
      </w:r>
    </w:p>
    <w:p w14:paraId="0EF9C3F1" w14:textId="77777777" w:rsidR="00812371" w:rsidRDefault="00812371">
      <w:pPr>
        <w:pStyle w:val="Index2"/>
        <w:tabs>
          <w:tab w:val="right" w:leader="dot" w:pos="9350"/>
        </w:tabs>
        <w:rPr>
          <w:noProof/>
        </w:rPr>
      </w:pPr>
      <w:r>
        <w:rPr>
          <w:noProof/>
        </w:rPr>
        <w:t>Maintain Minimum Levels: Full Service</w:t>
      </w:r>
      <w:r>
        <w:rPr>
          <w:noProof/>
        </w:rPr>
        <w:tab/>
        <w:t>472</w:t>
      </w:r>
    </w:p>
    <w:p w14:paraId="1EDEB478" w14:textId="77777777" w:rsidR="00812371" w:rsidRDefault="00812371">
      <w:pPr>
        <w:pStyle w:val="Index2"/>
        <w:tabs>
          <w:tab w:val="right" w:leader="dot" w:pos="9350"/>
        </w:tabs>
        <w:rPr>
          <w:noProof/>
        </w:rPr>
      </w:pPr>
      <w:r>
        <w:rPr>
          <w:noProof/>
        </w:rPr>
        <w:t>MSBOS</w:t>
      </w:r>
      <w:r>
        <w:rPr>
          <w:noProof/>
        </w:rPr>
        <w:tab/>
        <w:t>479</w:t>
      </w:r>
    </w:p>
    <w:p w14:paraId="60BE10BF" w14:textId="77777777" w:rsidR="00812371" w:rsidRDefault="00812371">
      <w:pPr>
        <w:pStyle w:val="Index2"/>
        <w:tabs>
          <w:tab w:val="right" w:leader="dot" w:pos="9350"/>
        </w:tabs>
        <w:rPr>
          <w:noProof/>
        </w:rPr>
      </w:pPr>
      <w:r>
        <w:rPr>
          <w:noProof/>
        </w:rPr>
        <w:t>Operational Qualification</w:t>
      </w:r>
      <w:r>
        <w:rPr>
          <w:noProof/>
        </w:rPr>
        <w:tab/>
        <w:t>466</w:t>
      </w:r>
    </w:p>
    <w:p w14:paraId="76954F38" w14:textId="77777777" w:rsidR="00812371" w:rsidRDefault="00812371">
      <w:pPr>
        <w:pStyle w:val="Index2"/>
        <w:tabs>
          <w:tab w:val="right" w:leader="dot" w:pos="9350"/>
        </w:tabs>
        <w:rPr>
          <w:noProof/>
        </w:rPr>
      </w:pPr>
      <w:r>
        <w:rPr>
          <w:noProof/>
        </w:rPr>
        <w:t>Order Alerts</w:t>
      </w:r>
      <w:r>
        <w:rPr>
          <w:noProof/>
        </w:rPr>
        <w:tab/>
        <w:t>470</w:t>
      </w:r>
    </w:p>
    <w:p w14:paraId="590CFD65" w14:textId="77777777" w:rsidR="00812371" w:rsidRDefault="00812371">
      <w:pPr>
        <w:pStyle w:val="Index2"/>
        <w:tabs>
          <w:tab w:val="right" w:leader="dot" w:pos="9350"/>
        </w:tabs>
        <w:rPr>
          <w:noProof/>
        </w:rPr>
      </w:pPr>
      <w:r>
        <w:rPr>
          <w:noProof/>
        </w:rPr>
        <w:t>Performance Qualification</w:t>
      </w:r>
      <w:r>
        <w:rPr>
          <w:noProof/>
        </w:rPr>
        <w:tab/>
        <w:t>467</w:t>
      </w:r>
    </w:p>
    <w:p w14:paraId="6261F4D0" w14:textId="77777777" w:rsidR="00812371" w:rsidRDefault="00812371">
      <w:pPr>
        <w:pStyle w:val="Index2"/>
        <w:tabs>
          <w:tab w:val="right" w:leader="dot" w:pos="9350"/>
        </w:tabs>
        <w:rPr>
          <w:noProof/>
        </w:rPr>
      </w:pPr>
      <w:r>
        <w:rPr>
          <w:noProof/>
        </w:rPr>
        <w:t>Product Modifications: Full Service</w:t>
      </w:r>
      <w:r>
        <w:rPr>
          <w:noProof/>
        </w:rPr>
        <w:tab/>
        <w:t>469</w:t>
      </w:r>
    </w:p>
    <w:p w14:paraId="62F9C9B2" w14:textId="77777777" w:rsidR="00812371" w:rsidRDefault="00812371">
      <w:pPr>
        <w:pStyle w:val="Index2"/>
        <w:tabs>
          <w:tab w:val="right" w:leader="dot" w:pos="9350"/>
        </w:tabs>
        <w:rPr>
          <w:noProof/>
        </w:rPr>
      </w:pPr>
      <w:r>
        <w:rPr>
          <w:noProof/>
        </w:rPr>
        <w:t>Record System Settings</w:t>
      </w:r>
      <w:r>
        <w:rPr>
          <w:noProof/>
        </w:rPr>
        <w:tab/>
        <w:t>468</w:t>
      </w:r>
    </w:p>
    <w:p w14:paraId="23BB8E5A" w14:textId="77777777" w:rsidR="00812371" w:rsidRDefault="00812371">
      <w:pPr>
        <w:pStyle w:val="Index2"/>
        <w:tabs>
          <w:tab w:val="right" w:leader="dot" w:pos="9350"/>
        </w:tabs>
        <w:rPr>
          <w:noProof/>
        </w:rPr>
      </w:pPr>
      <w:r w:rsidRPr="000C62CD">
        <w:rPr>
          <w:noProof/>
          <w:snapToGrid w:val="0"/>
        </w:rPr>
        <w:t>Testing</w:t>
      </w:r>
      <w:r>
        <w:rPr>
          <w:noProof/>
        </w:rPr>
        <w:tab/>
        <w:t>481</w:t>
      </w:r>
    </w:p>
    <w:p w14:paraId="6D50E09E" w14:textId="77777777" w:rsidR="00812371" w:rsidRDefault="00812371">
      <w:pPr>
        <w:pStyle w:val="Index2"/>
        <w:tabs>
          <w:tab w:val="right" w:leader="dot" w:pos="9350"/>
        </w:tabs>
        <w:rPr>
          <w:noProof/>
        </w:rPr>
      </w:pPr>
      <w:r>
        <w:rPr>
          <w:noProof/>
        </w:rPr>
        <w:t>Transfusion Complications</w:t>
      </w:r>
      <w:r>
        <w:rPr>
          <w:noProof/>
        </w:rPr>
        <w:tab/>
        <w:t>477</w:t>
      </w:r>
    </w:p>
    <w:p w14:paraId="52C60A01" w14:textId="77777777" w:rsidR="00812371" w:rsidRDefault="00812371">
      <w:pPr>
        <w:pStyle w:val="Index2"/>
        <w:tabs>
          <w:tab w:val="right" w:leader="dot" w:pos="9350"/>
        </w:tabs>
        <w:rPr>
          <w:noProof/>
        </w:rPr>
      </w:pPr>
      <w:r>
        <w:rPr>
          <w:noProof/>
        </w:rPr>
        <w:t>Transfusion Effectiveness</w:t>
      </w:r>
      <w:r>
        <w:rPr>
          <w:noProof/>
        </w:rPr>
        <w:tab/>
        <w:t>478</w:t>
      </w:r>
    </w:p>
    <w:p w14:paraId="127AA4E7" w14:textId="77777777" w:rsidR="00812371" w:rsidRDefault="00812371">
      <w:pPr>
        <w:pStyle w:val="Index2"/>
        <w:tabs>
          <w:tab w:val="right" w:leader="dot" w:pos="9350"/>
        </w:tabs>
        <w:rPr>
          <w:noProof/>
        </w:rPr>
      </w:pPr>
      <w:r>
        <w:rPr>
          <w:noProof/>
        </w:rPr>
        <w:t>Update User Roles</w:t>
      </w:r>
      <w:r>
        <w:rPr>
          <w:noProof/>
        </w:rPr>
        <w:tab/>
        <w:t>481</w:t>
      </w:r>
    </w:p>
    <w:p w14:paraId="0614F1E9" w14:textId="77777777" w:rsidR="00812371" w:rsidRDefault="00812371">
      <w:pPr>
        <w:pStyle w:val="Index2"/>
        <w:tabs>
          <w:tab w:val="right" w:leader="dot" w:pos="9350"/>
        </w:tabs>
        <w:rPr>
          <w:noProof/>
        </w:rPr>
      </w:pPr>
      <w:r>
        <w:rPr>
          <w:noProof/>
        </w:rPr>
        <w:t>Validation Plan</w:t>
      </w:r>
      <w:r>
        <w:rPr>
          <w:noProof/>
        </w:rPr>
        <w:tab/>
        <w:t>466</w:t>
      </w:r>
    </w:p>
    <w:p w14:paraId="6C912FC3" w14:textId="77777777" w:rsidR="00812371" w:rsidRDefault="00812371">
      <w:pPr>
        <w:pStyle w:val="Index2"/>
        <w:tabs>
          <w:tab w:val="right" w:leader="dot" w:pos="9350"/>
        </w:tabs>
        <w:rPr>
          <w:noProof/>
        </w:rPr>
      </w:pPr>
      <w:r>
        <w:rPr>
          <w:noProof/>
        </w:rPr>
        <w:t>VBECS Forms and Reports</w:t>
      </w:r>
      <w:r>
        <w:rPr>
          <w:noProof/>
        </w:rPr>
        <w:tab/>
        <w:t>482</w:t>
      </w:r>
    </w:p>
    <w:p w14:paraId="18E24DEB" w14:textId="77777777" w:rsidR="00812371" w:rsidRDefault="00812371">
      <w:pPr>
        <w:pStyle w:val="Index2"/>
        <w:tabs>
          <w:tab w:val="right" w:leader="dot" w:pos="9350"/>
        </w:tabs>
        <w:rPr>
          <w:noProof/>
        </w:rPr>
      </w:pPr>
      <w:r w:rsidRPr="000C62CD">
        <w:rPr>
          <w:noProof/>
          <w:snapToGrid w:val="0"/>
        </w:rPr>
        <w:t>Workload Codes</w:t>
      </w:r>
      <w:r>
        <w:rPr>
          <w:noProof/>
        </w:rPr>
        <w:tab/>
        <w:t>479</w:t>
      </w:r>
    </w:p>
    <w:p w14:paraId="3CD3F06F" w14:textId="77777777" w:rsidR="00812371" w:rsidRDefault="00812371">
      <w:pPr>
        <w:pStyle w:val="Index1"/>
        <w:tabs>
          <w:tab w:val="right" w:leader="dot" w:pos="9350"/>
        </w:tabs>
        <w:rPr>
          <w:noProof/>
        </w:rPr>
      </w:pPr>
      <w:r>
        <w:rPr>
          <w:noProof/>
        </w:rPr>
        <w:t>System Validation</w:t>
      </w:r>
      <w:r>
        <w:rPr>
          <w:noProof/>
        </w:rPr>
        <w:tab/>
        <w:t>466</w:t>
      </w:r>
    </w:p>
    <w:p w14:paraId="29BBB7C7"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T</w:t>
      </w:r>
    </w:p>
    <w:p w14:paraId="218624E3" w14:textId="77777777" w:rsidR="00812371" w:rsidRDefault="00812371">
      <w:pPr>
        <w:pStyle w:val="Index1"/>
        <w:tabs>
          <w:tab w:val="right" w:leader="dot" w:pos="9350"/>
        </w:tabs>
        <w:rPr>
          <w:noProof/>
        </w:rPr>
      </w:pPr>
      <w:r>
        <w:rPr>
          <w:noProof/>
        </w:rPr>
        <w:t>Tables</w:t>
      </w:r>
    </w:p>
    <w:p w14:paraId="3241D8E8" w14:textId="77777777" w:rsidR="00812371" w:rsidRDefault="00812371">
      <w:pPr>
        <w:pStyle w:val="Index2"/>
        <w:tabs>
          <w:tab w:val="right" w:leader="dot" w:pos="9350"/>
        </w:tabs>
        <w:rPr>
          <w:noProof/>
        </w:rPr>
      </w:pPr>
      <w:r>
        <w:rPr>
          <w:noProof/>
        </w:rPr>
        <w:t>Alerts That May Occur in Issue Blood Components (Emergency)</w:t>
      </w:r>
      <w:r>
        <w:rPr>
          <w:noProof/>
        </w:rPr>
        <w:tab/>
        <w:t>206</w:t>
      </w:r>
    </w:p>
    <w:p w14:paraId="232AF7DA" w14:textId="77777777" w:rsidR="00812371" w:rsidRDefault="00812371">
      <w:pPr>
        <w:pStyle w:val="Index2"/>
        <w:tabs>
          <w:tab w:val="right" w:leader="dot" w:pos="9350"/>
        </w:tabs>
        <w:rPr>
          <w:noProof/>
        </w:rPr>
      </w:pPr>
      <w:r>
        <w:rPr>
          <w:noProof/>
        </w:rPr>
        <w:t>Alerts That May Occur in Issue Blood Components (Routine)</w:t>
      </w:r>
      <w:r>
        <w:rPr>
          <w:noProof/>
        </w:rPr>
        <w:tab/>
        <w:t>204</w:t>
      </w:r>
    </w:p>
    <w:p w14:paraId="4273292E" w14:textId="77777777" w:rsidR="00812371" w:rsidRDefault="00812371">
      <w:pPr>
        <w:pStyle w:val="Index2"/>
        <w:tabs>
          <w:tab w:val="right" w:leader="dot" w:pos="9350"/>
        </w:tabs>
        <w:rPr>
          <w:noProof/>
        </w:rPr>
      </w:pPr>
      <w:r>
        <w:rPr>
          <w:noProof/>
        </w:rPr>
        <w:t>Alerts That May Occur in Modify Units</w:t>
      </w:r>
      <w:r>
        <w:rPr>
          <w:noProof/>
        </w:rPr>
        <w:tab/>
        <w:t>155</w:t>
      </w:r>
    </w:p>
    <w:p w14:paraId="56FFB262" w14:textId="77777777" w:rsidR="00812371" w:rsidRDefault="00812371">
      <w:pPr>
        <w:pStyle w:val="Index2"/>
        <w:tabs>
          <w:tab w:val="right" w:leader="dot" w:pos="9350"/>
        </w:tabs>
        <w:rPr>
          <w:noProof/>
        </w:rPr>
      </w:pPr>
      <w:r>
        <w:rPr>
          <w:noProof/>
        </w:rPr>
        <w:t>Alerts That May Occur in Patient Testing - General Instructions</w:t>
      </w:r>
      <w:r>
        <w:rPr>
          <w:noProof/>
        </w:rPr>
        <w:tab/>
        <w:t>275</w:t>
      </w:r>
    </w:p>
    <w:p w14:paraId="2A6B504A" w14:textId="77777777" w:rsidR="00812371" w:rsidRDefault="00812371">
      <w:pPr>
        <w:pStyle w:val="Index2"/>
        <w:tabs>
          <w:tab w:val="right" w:leader="dot" w:pos="9350"/>
        </w:tabs>
        <w:rPr>
          <w:noProof/>
        </w:rPr>
      </w:pPr>
      <w:r>
        <w:rPr>
          <w:noProof/>
        </w:rPr>
        <w:t>Alerts That May Occur in Print Unit Caution Tag &amp; Transfusion Record Form</w:t>
      </w:r>
      <w:r>
        <w:rPr>
          <w:noProof/>
        </w:rPr>
        <w:tab/>
        <w:t>222</w:t>
      </w:r>
    </w:p>
    <w:p w14:paraId="71F3F5EE" w14:textId="77777777" w:rsidR="00812371" w:rsidRDefault="00812371">
      <w:pPr>
        <w:pStyle w:val="Index2"/>
        <w:tabs>
          <w:tab w:val="right" w:leader="dot" w:pos="9350"/>
        </w:tabs>
        <w:rPr>
          <w:noProof/>
        </w:rPr>
      </w:pPr>
      <w:r>
        <w:rPr>
          <w:noProof/>
        </w:rPr>
        <w:t>Alerts That May Occur in Select Units</w:t>
      </w:r>
      <w:r>
        <w:rPr>
          <w:noProof/>
        </w:rPr>
        <w:tab/>
        <w:t>191</w:t>
      </w:r>
    </w:p>
    <w:p w14:paraId="372E9D81" w14:textId="77777777" w:rsidR="00812371" w:rsidRDefault="00812371">
      <w:pPr>
        <w:pStyle w:val="Index2"/>
        <w:tabs>
          <w:tab w:val="right" w:leader="dot" w:pos="9350"/>
        </w:tabs>
        <w:rPr>
          <w:noProof/>
        </w:rPr>
      </w:pPr>
      <w:r>
        <w:rPr>
          <w:noProof/>
        </w:rPr>
        <w:t>Antibody and Antigen Table, Database Conversion</w:t>
      </w:r>
      <w:r>
        <w:rPr>
          <w:noProof/>
        </w:rPr>
        <w:tab/>
        <w:t>413</w:t>
      </w:r>
    </w:p>
    <w:p w14:paraId="125D2306" w14:textId="77777777" w:rsidR="00812371" w:rsidRDefault="00812371">
      <w:pPr>
        <w:pStyle w:val="Index2"/>
        <w:tabs>
          <w:tab w:val="right" w:leader="dot" w:pos="9350"/>
        </w:tabs>
        <w:rPr>
          <w:noProof/>
        </w:rPr>
      </w:pPr>
      <w:r>
        <w:rPr>
          <w:noProof/>
        </w:rPr>
        <w:t>Antibody and Antigen Table, Irregular Antibodies</w:t>
      </w:r>
      <w:r>
        <w:rPr>
          <w:noProof/>
        </w:rPr>
        <w:tab/>
        <w:t>410</w:t>
      </w:r>
    </w:p>
    <w:p w14:paraId="1A1569C2" w14:textId="77777777" w:rsidR="00812371" w:rsidRDefault="00812371">
      <w:pPr>
        <w:pStyle w:val="Index2"/>
        <w:tabs>
          <w:tab w:val="right" w:leader="dot" w:pos="9350"/>
        </w:tabs>
        <w:rPr>
          <w:noProof/>
        </w:rPr>
      </w:pPr>
      <w:r>
        <w:rPr>
          <w:noProof/>
        </w:rPr>
        <w:t>Antibody Screen Test Interpretation</w:t>
      </w:r>
      <w:r>
        <w:rPr>
          <w:noProof/>
        </w:rPr>
        <w:tab/>
        <w:t>414</w:t>
      </w:r>
    </w:p>
    <w:p w14:paraId="42870361" w14:textId="77777777" w:rsidR="00812371" w:rsidRDefault="00812371">
      <w:pPr>
        <w:pStyle w:val="Index2"/>
        <w:tabs>
          <w:tab w:val="right" w:leader="dot" w:pos="9350"/>
        </w:tabs>
        <w:rPr>
          <w:noProof/>
        </w:rPr>
      </w:pPr>
      <w:r>
        <w:rPr>
          <w:noProof/>
        </w:rPr>
        <w:t>BCE COTS Message Updates</w:t>
      </w:r>
      <w:r>
        <w:rPr>
          <w:noProof/>
        </w:rPr>
        <w:tab/>
        <w:t>433</w:t>
      </w:r>
    </w:p>
    <w:p w14:paraId="50997A27" w14:textId="77777777" w:rsidR="00812371" w:rsidRDefault="00812371">
      <w:pPr>
        <w:pStyle w:val="Index2"/>
        <w:tabs>
          <w:tab w:val="right" w:leader="dot" w:pos="9350"/>
        </w:tabs>
        <w:rPr>
          <w:noProof/>
        </w:rPr>
      </w:pPr>
      <w:r>
        <w:rPr>
          <w:noProof/>
        </w:rPr>
        <w:lastRenderedPageBreak/>
        <w:t>Blood Products Worksheet</w:t>
      </w:r>
      <w:r>
        <w:rPr>
          <w:noProof/>
        </w:rPr>
        <w:tab/>
        <w:t>474</w:t>
      </w:r>
    </w:p>
    <w:p w14:paraId="2AF002CF" w14:textId="77777777" w:rsidR="00812371" w:rsidRDefault="00812371">
      <w:pPr>
        <w:pStyle w:val="Index2"/>
        <w:tabs>
          <w:tab w:val="right" w:leader="dot" w:pos="9350"/>
        </w:tabs>
        <w:rPr>
          <w:noProof/>
        </w:rPr>
      </w:pPr>
      <w:r w:rsidRPr="000C62CD">
        <w:rPr>
          <w:rFonts w:ascii="Arial" w:hAnsi="Arial" w:cs="Arial"/>
          <w:noProof/>
        </w:rPr>
        <w:t>Canned Comment Category Types and Text</w:t>
      </w:r>
      <w:r>
        <w:rPr>
          <w:noProof/>
        </w:rPr>
        <w:tab/>
        <w:t>414</w:t>
      </w:r>
    </w:p>
    <w:p w14:paraId="54A89477" w14:textId="77777777" w:rsidR="00812371" w:rsidRDefault="00812371">
      <w:pPr>
        <w:pStyle w:val="Index2"/>
        <w:tabs>
          <w:tab w:val="right" w:leader="dot" w:pos="9350"/>
        </w:tabs>
        <w:rPr>
          <w:noProof/>
        </w:rPr>
      </w:pPr>
      <w:r>
        <w:rPr>
          <w:noProof/>
        </w:rPr>
        <w:t>Canned Comment Category vs Option</w:t>
      </w:r>
      <w:r>
        <w:rPr>
          <w:noProof/>
        </w:rPr>
        <w:tab/>
        <w:t>419</w:t>
      </w:r>
    </w:p>
    <w:p w14:paraId="62548E31" w14:textId="77777777" w:rsidR="00812371" w:rsidRDefault="00812371">
      <w:pPr>
        <w:pStyle w:val="Index2"/>
        <w:tabs>
          <w:tab w:val="right" w:leader="dot" w:pos="9350"/>
        </w:tabs>
        <w:rPr>
          <w:noProof/>
        </w:rPr>
      </w:pPr>
      <w:r>
        <w:rPr>
          <w:noProof/>
        </w:rPr>
        <w:t>Component Class Requirements Worksheet</w:t>
      </w:r>
      <w:r>
        <w:rPr>
          <w:noProof/>
        </w:rPr>
        <w:tab/>
        <w:t>476</w:t>
      </w:r>
    </w:p>
    <w:p w14:paraId="60DFDC65" w14:textId="77777777" w:rsidR="00812371" w:rsidRDefault="00812371">
      <w:pPr>
        <w:pStyle w:val="Index2"/>
        <w:tabs>
          <w:tab w:val="right" w:leader="dot" w:pos="9350"/>
        </w:tabs>
        <w:rPr>
          <w:noProof/>
        </w:rPr>
      </w:pPr>
      <w:r>
        <w:rPr>
          <w:noProof/>
        </w:rPr>
        <w:t>CPRS Orderable Blood Components (Component Classes) Mapped to ICCBBA Component Classes</w:t>
      </w:r>
      <w:r>
        <w:rPr>
          <w:noProof/>
        </w:rPr>
        <w:tab/>
        <w:t>420</w:t>
      </w:r>
    </w:p>
    <w:p w14:paraId="0716EC6E" w14:textId="77777777" w:rsidR="00812371" w:rsidRDefault="00812371">
      <w:pPr>
        <w:pStyle w:val="Index2"/>
        <w:tabs>
          <w:tab w:val="right" w:leader="dot" w:pos="9350"/>
        </w:tabs>
        <w:rPr>
          <w:noProof/>
        </w:rPr>
      </w:pPr>
      <w:r>
        <w:rPr>
          <w:noProof/>
        </w:rPr>
        <w:t>Crossmatch Interpretations for Print Unit Caution Tag &amp; Transfusion Record Form</w:t>
      </w:r>
      <w:r>
        <w:rPr>
          <w:noProof/>
        </w:rPr>
        <w:tab/>
        <w:t>289</w:t>
      </w:r>
    </w:p>
    <w:p w14:paraId="1578F45B" w14:textId="77777777" w:rsidR="00812371" w:rsidRDefault="00812371">
      <w:pPr>
        <w:pStyle w:val="Index2"/>
        <w:tabs>
          <w:tab w:val="right" w:leader="dot" w:pos="9350"/>
        </w:tabs>
        <w:rPr>
          <w:noProof/>
        </w:rPr>
      </w:pPr>
      <w:r>
        <w:rPr>
          <w:noProof/>
        </w:rPr>
        <w:t>Details in Audit Trail Report</w:t>
      </w:r>
      <w:r>
        <w:rPr>
          <w:noProof/>
        </w:rPr>
        <w:tab/>
        <w:t>420</w:t>
      </w:r>
    </w:p>
    <w:p w14:paraId="5C4309F8" w14:textId="77777777" w:rsidR="00812371" w:rsidRDefault="00812371">
      <w:pPr>
        <w:pStyle w:val="Index2"/>
        <w:tabs>
          <w:tab w:val="right" w:leader="dot" w:pos="9350"/>
        </w:tabs>
        <w:rPr>
          <w:noProof/>
        </w:rPr>
      </w:pPr>
      <w:r>
        <w:rPr>
          <w:noProof/>
        </w:rPr>
        <w:t>Details in Exception Report</w:t>
      </w:r>
      <w:r>
        <w:rPr>
          <w:noProof/>
        </w:rPr>
        <w:tab/>
        <w:t>425</w:t>
      </w:r>
    </w:p>
    <w:p w14:paraId="12E250CE" w14:textId="77777777" w:rsidR="00812371" w:rsidRDefault="00812371">
      <w:pPr>
        <w:pStyle w:val="Index2"/>
        <w:tabs>
          <w:tab w:val="right" w:leader="dot" w:pos="9350"/>
        </w:tabs>
        <w:rPr>
          <w:noProof/>
        </w:rPr>
      </w:pPr>
      <w:r>
        <w:rPr>
          <w:noProof/>
        </w:rPr>
        <w:t>HL7 Tests Accepted by VBECS</w:t>
      </w:r>
      <w:r>
        <w:rPr>
          <w:noProof/>
        </w:rPr>
        <w:tab/>
        <w:t>337</w:t>
      </w:r>
    </w:p>
    <w:p w14:paraId="0F429CEC" w14:textId="77777777" w:rsidR="00812371" w:rsidRDefault="00812371">
      <w:pPr>
        <w:pStyle w:val="Index2"/>
        <w:tabs>
          <w:tab w:val="right" w:leader="dot" w:pos="9350"/>
        </w:tabs>
        <w:rPr>
          <w:noProof/>
        </w:rPr>
      </w:pPr>
      <w:r>
        <w:rPr>
          <w:noProof/>
        </w:rPr>
        <w:t>Limitations and Restrictions</w:t>
      </w:r>
      <w:r>
        <w:rPr>
          <w:noProof/>
        </w:rPr>
        <w:tab/>
        <w:t>449</w:t>
      </w:r>
    </w:p>
    <w:p w14:paraId="098AB20D" w14:textId="77777777" w:rsidR="00812371" w:rsidRDefault="00812371">
      <w:pPr>
        <w:pStyle w:val="Index2"/>
        <w:tabs>
          <w:tab w:val="right" w:leader="dot" w:pos="9350"/>
        </w:tabs>
        <w:rPr>
          <w:noProof/>
        </w:rPr>
      </w:pPr>
      <w:r>
        <w:rPr>
          <w:noProof/>
        </w:rPr>
        <w:t>Local Facilities Worksheet</w:t>
      </w:r>
      <w:r>
        <w:rPr>
          <w:noProof/>
        </w:rPr>
        <w:tab/>
        <w:t>475</w:t>
      </w:r>
    </w:p>
    <w:p w14:paraId="28DD458F" w14:textId="77777777" w:rsidR="00812371" w:rsidRDefault="00812371">
      <w:pPr>
        <w:pStyle w:val="Index2"/>
        <w:tabs>
          <w:tab w:val="right" w:leader="dot" w:pos="9350"/>
        </w:tabs>
        <w:rPr>
          <w:noProof/>
        </w:rPr>
      </w:pPr>
      <w:r>
        <w:rPr>
          <w:noProof/>
        </w:rPr>
        <w:t>Modification Types and Costs</w:t>
      </w:r>
      <w:r>
        <w:rPr>
          <w:noProof/>
        </w:rPr>
        <w:tab/>
        <w:t>469</w:t>
      </w:r>
    </w:p>
    <w:p w14:paraId="4BC25890" w14:textId="77777777" w:rsidR="00812371" w:rsidRDefault="00812371">
      <w:pPr>
        <w:pStyle w:val="Index2"/>
        <w:tabs>
          <w:tab w:val="right" w:leader="dot" w:pos="9350"/>
        </w:tabs>
        <w:rPr>
          <w:noProof/>
        </w:rPr>
      </w:pPr>
      <w:r>
        <w:rPr>
          <w:noProof/>
        </w:rPr>
        <w:t>Recommended Exportable Formats for Reports</w:t>
      </w:r>
      <w:r>
        <w:rPr>
          <w:noProof/>
        </w:rPr>
        <w:tab/>
        <w:t>20</w:t>
      </w:r>
    </w:p>
    <w:p w14:paraId="79CC6F70" w14:textId="77777777" w:rsidR="00812371" w:rsidRDefault="00812371">
      <w:pPr>
        <w:pStyle w:val="Index2"/>
        <w:tabs>
          <w:tab w:val="right" w:leader="dot" w:pos="9350"/>
        </w:tabs>
        <w:rPr>
          <w:noProof/>
        </w:rPr>
      </w:pPr>
      <w:r>
        <w:rPr>
          <w:noProof/>
        </w:rPr>
        <w:t>Recommended Report Usage</w:t>
      </w:r>
      <w:r>
        <w:rPr>
          <w:noProof/>
        </w:rPr>
        <w:tab/>
        <w:t>496</w:t>
      </w:r>
    </w:p>
    <w:p w14:paraId="32DC27CE" w14:textId="77777777" w:rsidR="00812371" w:rsidRDefault="00812371">
      <w:pPr>
        <w:pStyle w:val="Index2"/>
        <w:tabs>
          <w:tab w:val="right" w:leader="dot" w:pos="9350"/>
        </w:tabs>
        <w:rPr>
          <w:noProof/>
        </w:rPr>
      </w:pPr>
      <w:r>
        <w:rPr>
          <w:noProof/>
        </w:rPr>
        <w:t>Rules for Electronic and Serologic Crossmatch</w:t>
      </w:r>
      <w:r>
        <w:rPr>
          <w:noProof/>
        </w:rPr>
        <w:tab/>
        <w:t>429</w:t>
      </w:r>
    </w:p>
    <w:p w14:paraId="42EFD716" w14:textId="77777777" w:rsidR="00812371" w:rsidRDefault="00812371">
      <w:pPr>
        <w:pStyle w:val="Index2"/>
        <w:tabs>
          <w:tab w:val="right" w:leader="dot" w:pos="9350"/>
        </w:tabs>
        <w:rPr>
          <w:noProof/>
        </w:rPr>
      </w:pPr>
      <w:r>
        <w:rPr>
          <w:noProof/>
        </w:rPr>
        <w:t>Sample Blood Products Worksheet</w:t>
      </w:r>
      <w:r>
        <w:rPr>
          <w:noProof/>
        </w:rPr>
        <w:tab/>
        <w:t>474</w:t>
      </w:r>
    </w:p>
    <w:p w14:paraId="061B4B40" w14:textId="77777777" w:rsidR="00812371" w:rsidRDefault="00812371">
      <w:pPr>
        <w:pStyle w:val="Index2"/>
        <w:tabs>
          <w:tab w:val="right" w:leader="dot" w:pos="9350"/>
        </w:tabs>
        <w:rPr>
          <w:noProof/>
        </w:rPr>
      </w:pPr>
      <w:r>
        <w:rPr>
          <w:noProof/>
        </w:rPr>
        <w:t>Sample Local Facilities Worksheet</w:t>
      </w:r>
      <w:r>
        <w:rPr>
          <w:noProof/>
        </w:rPr>
        <w:tab/>
        <w:t>475</w:t>
      </w:r>
    </w:p>
    <w:p w14:paraId="60228B13" w14:textId="77777777" w:rsidR="00812371" w:rsidRDefault="00812371">
      <w:pPr>
        <w:pStyle w:val="Index2"/>
        <w:tabs>
          <w:tab w:val="right" w:leader="dot" w:pos="9350"/>
        </w:tabs>
        <w:rPr>
          <w:noProof/>
        </w:rPr>
      </w:pPr>
      <w:r>
        <w:rPr>
          <w:noProof/>
        </w:rPr>
        <w:t>Transfusion Complications Worksheet</w:t>
      </w:r>
      <w:r>
        <w:rPr>
          <w:noProof/>
        </w:rPr>
        <w:tab/>
        <w:t>477</w:t>
      </w:r>
    </w:p>
    <w:p w14:paraId="283E33EB" w14:textId="77777777" w:rsidR="00812371" w:rsidRDefault="00812371">
      <w:pPr>
        <w:pStyle w:val="Index2"/>
        <w:tabs>
          <w:tab w:val="right" w:leader="dot" w:pos="9350"/>
        </w:tabs>
        <w:rPr>
          <w:noProof/>
        </w:rPr>
      </w:pPr>
      <w:r>
        <w:rPr>
          <w:noProof/>
        </w:rPr>
        <w:t>Transfusion Effectiveness Worksheet</w:t>
      </w:r>
      <w:r>
        <w:rPr>
          <w:noProof/>
        </w:rPr>
        <w:tab/>
        <w:t>478</w:t>
      </w:r>
    </w:p>
    <w:p w14:paraId="755A73F1" w14:textId="77777777" w:rsidR="00812371" w:rsidRDefault="00812371">
      <w:pPr>
        <w:pStyle w:val="Index2"/>
        <w:tabs>
          <w:tab w:val="right" w:leader="dot" w:pos="9350"/>
        </w:tabs>
        <w:rPr>
          <w:noProof/>
        </w:rPr>
      </w:pPr>
      <w:r>
        <w:rPr>
          <w:noProof/>
        </w:rPr>
        <w:t>Transfusion Reaction Types</w:t>
      </w:r>
      <w:r>
        <w:rPr>
          <w:noProof/>
        </w:rPr>
        <w:tab/>
        <w:t>314</w:t>
      </w:r>
    </w:p>
    <w:p w14:paraId="2A1EDFE2" w14:textId="77777777" w:rsidR="00812371" w:rsidRDefault="00812371">
      <w:pPr>
        <w:pStyle w:val="Index2"/>
        <w:tabs>
          <w:tab w:val="right" w:leader="dot" w:pos="9350"/>
        </w:tabs>
        <w:rPr>
          <w:noProof/>
        </w:rPr>
      </w:pPr>
      <w:r>
        <w:rPr>
          <w:noProof/>
        </w:rPr>
        <w:t>User Roles and Functions</w:t>
      </w:r>
      <w:r>
        <w:rPr>
          <w:noProof/>
        </w:rPr>
        <w:tab/>
        <w:t>10</w:t>
      </w:r>
    </w:p>
    <w:p w14:paraId="7D7FBA56" w14:textId="77777777" w:rsidR="00812371" w:rsidRDefault="00812371">
      <w:pPr>
        <w:pStyle w:val="Index2"/>
        <w:tabs>
          <w:tab w:val="right" w:leader="dot" w:pos="9350"/>
        </w:tabs>
        <w:rPr>
          <w:noProof/>
        </w:rPr>
      </w:pPr>
      <w:r>
        <w:rPr>
          <w:noProof/>
        </w:rPr>
        <w:t>User-Defined Antigen Negative Requirements</w:t>
      </w:r>
      <w:r>
        <w:rPr>
          <w:noProof/>
        </w:rPr>
        <w:tab/>
        <w:t>480</w:t>
      </w:r>
    </w:p>
    <w:p w14:paraId="281C8242" w14:textId="77777777" w:rsidR="00812371" w:rsidRDefault="00812371">
      <w:pPr>
        <w:pStyle w:val="Index2"/>
        <w:tabs>
          <w:tab w:val="right" w:leader="dot" w:pos="9350"/>
        </w:tabs>
        <w:rPr>
          <w:noProof/>
        </w:rPr>
      </w:pPr>
      <w:r>
        <w:rPr>
          <w:noProof/>
        </w:rPr>
        <w:t>Valid Interpretations</w:t>
      </w:r>
      <w:r>
        <w:rPr>
          <w:noProof/>
        </w:rPr>
        <w:tab/>
        <w:t>132</w:t>
      </w:r>
    </w:p>
    <w:p w14:paraId="68BDF21E" w14:textId="77777777" w:rsidR="00812371" w:rsidRDefault="00812371">
      <w:pPr>
        <w:pStyle w:val="Index2"/>
        <w:tabs>
          <w:tab w:val="right" w:leader="dot" w:pos="9350"/>
        </w:tabs>
        <w:rPr>
          <w:noProof/>
        </w:rPr>
      </w:pPr>
      <w:r>
        <w:rPr>
          <w:noProof/>
        </w:rPr>
        <w:t>Valid Observed Test Results Entries</w:t>
      </w:r>
      <w:r>
        <w:rPr>
          <w:noProof/>
        </w:rPr>
        <w:tab/>
        <w:t>19</w:t>
      </w:r>
    </w:p>
    <w:p w14:paraId="59FE686D" w14:textId="77777777" w:rsidR="00812371" w:rsidRDefault="00812371">
      <w:pPr>
        <w:pStyle w:val="Index2"/>
        <w:tabs>
          <w:tab w:val="right" w:leader="dot" w:pos="9350"/>
        </w:tabs>
        <w:rPr>
          <w:noProof/>
        </w:rPr>
      </w:pPr>
      <w:r>
        <w:rPr>
          <w:noProof/>
        </w:rPr>
        <w:t>VBECS Maximum Surgical Blood Order Schedule (MSBOS)</w:t>
      </w:r>
      <w:r>
        <w:rPr>
          <w:noProof/>
        </w:rPr>
        <w:tab/>
        <w:t>432</w:t>
      </w:r>
    </w:p>
    <w:p w14:paraId="0FF8FD49" w14:textId="77777777" w:rsidR="00812371" w:rsidRDefault="00812371">
      <w:pPr>
        <w:pStyle w:val="Index2"/>
        <w:tabs>
          <w:tab w:val="right" w:leader="dot" w:pos="9350"/>
        </w:tabs>
        <w:rPr>
          <w:noProof/>
        </w:rPr>
      </w:pPr>
      <w:r>
        <w:rPr>
          <w:noProof/>
        </w:rPr>
        <w:t>Workload Process Mapping to Application Option</w:t>
      </w:r>
      <w:r>
        <w:rPr>
          <w:noProof/>
        </w:rPr>
        <w:tab/>
        <w:t>508</w:t>
      </w:r>
    </w:p>
    <w:p w14:paraId="5E198B45" w14:textId="77777777" w:rsidR="00812371" w:rsidRDefault="00812371">
      <w:pPr>
        <w:pStyle w:val="Index2"/>
        <w:tabs>
          <w:tab w:val="right" w:leader="dot" w:pos="9350"/>
        </w:tabs>
        <w:rPr>
          <w:noProof/>
        </w:rPr>
      </w:pPr>
      <w:r>
        <w:rPr>
          <w:noProof/>
        </w:rPr>
        <w:t>Workload Process to Use Case Mapping Table</w:t>
      </w:r>
      <w:r>
        <w:rPr>
          <w:noProof/>
        </w:rPr>
        <w:tab/>
        <w:t>436</w:t>
      </w:r>
    </w:p>
    <w:p w14:paraId="1500C749" w14:textId="77777777" w:rsidR="00812371" w:rsidRDefault="00812371">
      <w:pPr>
        <w:pStyle w:val="Index1"/>
        <w:tabs>
          <w:tab w:val="right" w:leader="dot" w:pos="9350"/>
        </w:tabs>
        <w:rPr>
          <w:noProof/>
        </w:rPr>
      </w:pPr>
      <w:r>
        <w:rPr>
          <w:noProof/>
        </w:rPr>
        <w:t>Terms</w:t>
      </w:r>
      <w:r>
        <w:rPr>
          <w:noProof/>
        </w:rPr>
        <w:tab/>
        <w:t>8</w:t>
      </w:r>
    </w:p>
    <w:p w14:paraId="59EA009A" w14:textId="77777777" w:rsidR="00812371" w:rsidRDefault="00812371">
      <w:pPr>
        <w:pStyle w:val="Index1"/>
        <w:tabs>
          <w:tab w:val="right" w:leader="dot" w:pos="9350"/>
        </w:tabs>
        <w:rPr>
          <w:noProof/>
        </w:rPr>
      </w:pPr>
      <w:r>
        <w:rPr>
          <w:noProof/>
        </w:rPr>
        <w:t>Test Units</w:t>
      </w:r>
      <w:r>
        <w:rPr>
          <w:noProof/>
        </w:rPr>
        <w:tab/>
        <w:t>130</w:t>
      </w:r>
    </w:p>
    <w:p w14:paraId="0125FFEC" w14:textId="77777777" w:rsidR="00812371" w:rsidRDefault="00812371">
      <w:pPr>
        <w:pStyle w:val="Index1"/>
        <w:tabs>
          <w:tab w:val="right" w:leader="dot" w:pos="9350"/>
        </w:tabs>
        <w:rPr>
          <w:noProof/>
        </w:rPr>
      </w:pPr>
      <w:r>
        <w:rPr>
          <w:noProof/>
        </w:rPr>
        <w:t>Testing</w:t>
      </w:r>
      <w:r>
        <w:rPr>
          <w:noProof/>
        </w:rPr>
        <w:tab/>
        <w:t>18</w:t>
      </w:r>
    </w:p>
    <w:p w14:paraId="29D7AA65" w14:textId="77777777" w:rsidR="00812371" w:rsidRDefault="00812371">
      <w:pPr>
        <w:pStyle w:val="Index1"/>
        <w:tabs>
          <w:tab w:val="right" w:leader="dot" w:pos="9350"/>
        </w:tabs>
        <w:rPr>
          <w:noProof/>
        </w:rPr>
      </w:pPr>
      <w:r>
        <w:rPr>
          <w:noProof/>
        </w:rPr>
        <w:t>Throughout VBECS</w:t>
      </w:r>
      <w:r>
        <w:rPr>
          <w:noProof/>
        </w:rPr>
        <w:tab/>
        <w:t>41</w:t>
      </w:r>
    </w:p>
    <w:p w14:paraId="51B0BE3B" w14:textId="77777777" w:rsidR="00812371" w:rsidRDefault="00812371">
      <w:pPr>
        <w:pStyle w:val="Index1"/>
        <w:tabs>
          <w:tab w:val="right" w:leader="dot" w:pos="9350"/>
        </w:tabs>
        <w:rPr>
          <w:noProof/>
        </w:rPr>
      </w:pPr>
      <w:r>
        <w:rPr>
          <w:noProof/>
        </w:rPr>
        <w:t>Tool Tips</w:t>
      </w:r>
      <w:r>
        <w:rPr>
          <w:noProof/>
        </w:rPr>
        <w:tab/>
        <w:t>33</w:t>
      </w:r>
    </w:p>
    <w:p w14:paraId="047EC51A" w14:textId="77777777" w:rsidR="00812371" w:rsidRDefault="00812371">
      <w:pPr>
        <w:pStyle w:val="Index1"/>
        <w:tabs>
          <w:tab w:val="right" w:leader="dot" w:pos="9350"/>
        </w:tabs>
        <w:rPr>
          <w:noProof/>
        </w:rPr>
      </w:pPr>
      <w:r>
        <w:rPr>
          <w:noProof/>
        </w:rPr>
        <w:t>Toolbars</w:t>
      </w:r>
      <w:r>
        <w:rPr>
          <w:noProof/>
        </w:rPr>
        <w:tab/>
        <w:t>34</w:t>
      </w:r>
    </w:p>
    <w:p w14:paraId="0E5C2235" w14:textId="77777777" w:rsidR="00812371" w:rsidRDefault="00812371">
      <w:pPr>
        <w:pStyle w:val="Index1"/>
        <w:tabs>
          <w:tab w:val="right" w:leader="dot" w:pos="9350"/>
        </w:tabs>
        <w:rPr>
          <w:noProof/>
        </w:rPr>
      </w:pPr>
      <w:r>
        <w:rPr>
          <w:noProof/>
        </w:rPr>
        <w:t>Transfusion Complications Report</w:t>
      </w:r>
      <w:r>
        <w:rPr>
          <w:noProof/>
        </w:rPr>
        <w:tab/>
        <w:t>378</w:t>
      </w:r>
    </w:p>
    <w:p w14:paraId="7F9901B9" w14:textId="77777777" w:rsidR="00812371" w:rsidRDefault="00812371">
      <w:pPr>
        <w:pStyle w:val="Index1"/>
        <w:tabs>
          <w:tab w:val="right" w:leader="dot" w:pos="9350"/>
        </w:tabs>
        <w:rPr>
          <w:noProof/>
        </w:rPr>
      </w:pPr>
      <w:r>
        <w:rPr>
          <w:noProof/>
        </w:rPr>
        <w:t>Transfusion Effectiveness</w:t>
      </w:r>
      <w:r>
        <w:rPr>
          <w:noProof/>
        </w:rPr>
        <w:tab/>
        <w:t>74</w:t>
      </w:r>
    </w:p>
    <w:p w14:paraId="2BE4186F" w14:textId="77777777" w:rsidR="00812371" w:rsidRDefault="00812371">
      <w:pPr>
        <w:pStyle w:val="Index1"/>
        <w:tabs>
          <w:tab w:val="right" w:leader="dot" w:pos="9350"/>
        </w:tabs>
        <w:rPr>
          <w:noProof/>
        </w:rPr>
      </w:pPr>
      <w:r>
        <w:rPr>
          <w:noProof/>
        </w:rPr>
        <w:t>Transfusion Effectiveness Report</w:t>
      </w:r>
      <w:r>
        <w:rPr>
          <w:noProof/>
        </w:rPr>
        <w:tab/>
        <w:t>380</w:t>
      </w:r>
    </w:p>
    <w:p w14:paraId="688A2879" w14:textId="77777777" w:rsidR="00812371" w:rsidRDefault="00812371">
      <w:pPr>
        <w:pStyle w:val="Index1"/>
        <w:tabs>
          <w:tab w:val="right" w:leader="dot" w:pos="9350"/>
        </w:tabs>
        <w:rPr>
          <w:noProof/>
        </w:rPr>
      </w:pPr>
      <w:r>
        <w:rPr>
          <w:noProof/>
        </w:rPr>
        <w:t>Transfusion Reaction Count Report</w:t>
      </w:r>
      <w:r>
        <w:rPr>
          <w:noProof/>
        </w:rPr>
        <w:tab/>
        <w:t>382</w:t>
      </w:r>
    </w:p>
    <w:p w14:paraId="173F951B" w14:textId="77777777" w:rsidR="00812371" w:rsidRDefault="00812371">
      <w:pPr>
        <w:pStyle w:val="Index1"/>
        <w:tabs>
          <w:tab w:val="right" w:leader="dot" w:pos="9350"/>
        </w:tabs>
        <w:rPr>
          <w:noProof/>
        </w:rPr>
      </w:pPr>
      <w:r>
        <w:rPr>
          <w:noProof/>
        </w:rPr>
        <w:t>Transfusion Requirements Report</w:t>
      </w:r>
      <w:r>
        <w:rPr>
          <w:noProof/>
        </w:rPr>
        <w:tab/>
        <w:t>384</w:t>
      </w:r>
    </w:p>
    <w:p w14:paraId="7D47FCE7"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U</w:t>
      </w:r>
    </w:p>
    <w:p w14:paraId="4DBE30CA" w14:textId="77777777" w:rsidR="00812371" w:rsidRDefault="00812371">
      <w:pPr>
        <w:pStyle w:val="Index1"/>
        <w:tabs>
          <w:tab w:val="right" w:leader="dot" w:pos="9350"/>
        </w:tabs>
        <w:rPr>
          <w:noProof/>
        </w:rPr>
      </w:pPr>
      <w:r>
        <w:rPr>
          <w:noProof/>
        </w:rPr>
        <w:t>Unit ABO/Rh Confirmation Form</w:t>
      </w:r>
      <w:r>
        <w:rPr>
          <w:noProof/>
        </w:rPr>
        <w:tab/>
        <w:t>406</w:t>
      </w:r>
    </w:p>
    <w:p w14:paraId="14628D6D" w14:textId="77777777" w:rsidR="00812371" w:rsidRDefault="00812371">
      <w:pPr>
        <w:pStyle w:val="Index1"/>
        <w:tabs>
          <w:tab w:val="right" w:leader="dot" w:pos="9350"/>
        </w:tabs>
        <w:rPr>
          <w:noProof/>
        </w:rPr>
      </w:pPr>
      <w:r>
        <w:rPr>
          <w:noProof/>
        </w:rPr>
        <w:t>Unit History Report</w:t>
      </w:r>
      <w:r>
        <w:rPr>
          <w:noProof/>
        </w:rPr>
        <w:tab/>
        <w:t>386</w:t>
      </w:r>
    </w:p>
    <w:p w14:paraId="23D8527C" w14:textId="77777777" w:rsidR="00812371" w:rsidRDefault="00812371">
      <w:pPr>
        <w:pStyle w:val="Index1"/>
        <w:tabs>
          <w:tab w:val="right" w:leader="dot" w:pos="9350"/>
        </w:tabs>
        <w:rPr>
          <w:noProof/>
        </w:rPr>
      </w:pPr>
      <w:r>
        <w:rPr>
          <w:noProof/>
        </w:rPr>
        <w:t>Unit Issue and Inspection Log</w:t>
      </w:r>
      <w:r>
        <w:rPr>
          <w:noProof/>
        </w:rPr>
        <w:tab/>
        <w:t>407</w:t>
      </w:r>
    </w:p>
    <w:p w14:paraId="3CE12841" w14:textId="77777777" w:rsidR="00812371" w:rsidRDefault="00812371">
      <w:pPr>
        <w:pStyle w:val="Index1"/>
        <w:tabs>
          <w:tab w:val="right" w:leader="dot" w:pos="9350"/>
        </w:tabs>
        <w:rPr>
          <w:noProof/>
        </w:rPr>
      </w:pPr>
      <w:r>
        <w:rPr>
          <w:noProof/>
        </w:rPr>
        <w:t>Unit Modification Form</w:t>
      </w:r>
      <w:r>
        <w:rPr>
          <w:noProof/>
        </w:rPr>
        <w:tab/>
        <w:t>408</w:t>
      </w:r>
    </w:p>
    <w:p w14:paraId="24D20AD9" w14:textId="77777777" w:rsidR="00812371" w:rsidRDefault="00812371">
      <w:pPr>
        <w:pStyle w:val="Index1"/>
        <w:tabs>
          <w:tab w:val="right" w:leader="dot" w:pos="9350"/>
        </w:tabs>
        <w:rPr>
          <w:noProof/>
        </w:rPr>
      </w:pPr>
      <w:r>
        <w:rPr>
          <w:noProof/>
        </w:rPr>
        <w:t>Unit Search Screen</w:t>
      </w:r>
      <w:r>
        <w:rPr>
          <w:noProof/>
        </w:rPr>
        <w:tab/>
        <w:t>127</w:t>
      </w:r>
    </w:p>
    <w:p w14:paraId="28F6FA61" w14:textId="77777777" w:rsidR="00812371" w:rsidRDefault="00812371">
      <w:pPr>
        <w:pStyle w:val="Index1"/>
        <w:tabs>
          <w:tab w:val="right" w:leader="dot" w:pos="9350"/>
        </w:tabs>
        <w:rPr>
          <w:noProof/>
        </w:rPr>
      </w:pPr>
      <w:r>
        <w:rPr>
          <w:noProof/>
        </w:rPr>
        <w:t>Update Reagent Inventory</w:t>
      </w:r>
      <w:r>
        <w:rPr>
          <w:noProof/>
        </w:rPr>
        <w:tab/>
        <w:t>92</w:t>
      </w:r>
    </w:p>
    <w:p w14:paraId="25F02306" w14:textId="77777777" w:rsidR="00812371" w:rsidRDefault="00812371">
      <w:pPr>
        <w:pStyle w:val="Index1"/>
        <w:tabs>
          <w:tab w:val="right" w:leader="dot" w:pos="9350"/>
        </w:tabs>
        <w:rPr>
          <w:noProof/>
        </w:rPr>
      </w:pPr>
      <w:r>
        <w:rPr>
          <w:noProof/>
        </w:rPr>
        <w:t>Update Supply Inventory</w:t>
      </w:r>
      <w:r>
        <w:rPr>
          <w:noProof/>
        </w:rPr>
        <w:tab/>
        <w:t>100</w:t>
      </w:r>
    </w:p>
    <w:p w14:paraId="087C511C" w14:textId="77777777" w:rsidR="00812371" w:rsidRDefault="00812371">
      <w:pPr>
        <w:pStyle w:val="Index1"/>
        <w:tabs>
          <w:tab w:val="right" w:leader="dot" w:pos="9350"/>
        </w:tabs>
        <w:rPr>
          <w:noProof/>
        </w:rPr>
      </w:pPr>
      <w:r>
        <w:rPr>
          <w:noProof/>
        </w:rPr>
        <w:t>Updated Patients and Deceased Patients</w:t>
      </w:r>
      <w:r>
        <w:rPr>
          <w:noProof/>
        </w:rPr>
        <w:tab/>
        <w:t>270</w:t>
      </w:r>
    </w:p>
    <w:p w14:paraId="24404DEE" w14:textId="77777777" w:rsidR="00812371" w:rsidRDefault="00812371">
      <w:pPr>
        <w:pStyle w:val="Index1"/>
        <w:tabs>
          <w:tab w:val="right" w:leader="dot" w:pos="9350"/>
        </w:tabs>
        <w:rPr>
          <w:noProof/>
        </w:rPr>
      </w:pPr>
      <w:r>
        <w:rPr>
          <w:noProof/>
        </w:rPr>
        <w:t>Using the Software</w:t>
      </w:r>
      <w:r>
        <w:rPr>
          <w:noProof/>
        </w:rPr>
        <w:tab/>
        <w:t>14</w:t>
      </w:r>
    </w:p>
    <w:p w14:paraId="51FA6420" w14:textId="77777777" w:rsidR="00812371" w:rsidRDefault="00812371">
      <w:pPr>
        <w:pStyle w:val="Index1"/>
        <w:tabs>
          <w:tab w:val="right" w:leader="dot" w:pos="9350"/>
        </w:tabs>
        <w:rPr>
          <w:noProof/>
        </w:rPr>
      </w:pPr>
      <w:r>
        <w:rPr>
          <w:noProof/>
        </w:rPr>
        <w:t>Using VBECS</w:t>
      </w:r>
      <w:r>
        <w:rPr>
          <w:noProof/>
        </w:rPr>
        <w:tab/>
        <w:t>22</w:t>
      </w:r>
    </w:p>
    <w:p w14:paraId="0DDFF01A"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V</w:t>
      </w:r>
    </w:p>
    <w:p w14:paraId="630ACC11" w14:textId="77777777" w:rsidR="00812371" w:rsidRDefault="00812371">
      <w:pPr>
        <w:pStyle w:val="Index1"/>
        <w:tabs>
          <w:tab w:val="right" w:leader="dot" w:pos="9350"/>
        </w:tabs>
        <w:rPr>
          <w:noProof/>
        </w:rPr>
      </w:pPr>
      <w:r>
        <w:rPr>
          <w:noProof/>
        </w:rPr>
        <w:t>VBECS User Report</w:t>
      </w:r>
      <w:r>
        <w:rPr>
          <w:noProof/>
        </w:rPr>
        <w:tab/>
        <w:t>45</w:t>
      </w:r>
    </w:p>
    <w:p w14:paraId="304391FA" w14:textId="77777777" w:rsidR="00812371" w:rsidRDefault="00812371">
      <w:pPr>
        <w:pStyle w:val="Index1"/>
        <w:tabs>
          <w:tab w:val="right" w:leader="dot" w:pos="9350"/>
        </w:tabs>
        <w:rPr>
          <w:noProof/>
        </w:rPr>
      </w:pPr>
      <w:r>
        <w:rPr>
          <w:noProof/>
        </w:rPr>
        <w:t>VBECS Work Flow</w:t>
      </w:r>
      <w:r>
        <w:rPr>
          <w:noProof/>
        </w:rPr>
        <w:tab/>
        <w:t>446</w:t>
      </w:r>
    </w:p>
    <w:p w14:paraId="2B43E995" w14:textId="77777777" w:rsidR="00812371" w:rsidRDefault="00812371">
      <w:pPr>
        <w:pStyle w:val="Index1"/>
        <w:tabs>
          <w:tab w:val="right" w:leader="dot" w:pos="9350"/>
        </w:tabs>
        <w:rPr>
          <w:noProof/>
        </w:rPr>
      </w:pPr>
      <w:r>
        <w:rPr>
          <w:noProof/>
        </w:rPr>
        <w:t>View/Print a Finalized Transfusion Reaction Workup Report</w:t>
      </w:r>
      <w:r>
        <w:rPr>
          <w:noProof/>
        </w:rPr>
        <w:tab/>
        <w:t>313</w:t>
      </w:r>
    </w:p>
    <w:p w14:paraId="6764B0B9" w14:textId="77777777" w:rsidR="00812371" w:rsidRDefault="00812371">
      <w:pPr>
        <w:pStyle w:val="Index1"/>
        <w:tabs>
          <w:tab w:val="right" w:leader="dot" w:pos="9350"/>
        </w:tabs>
        <w:rPr>
          <w:noProof/>
        </w:rPr>
      </w:pPr>
      <w:r>
        <w:rPr>
          <w:noProof/>
        </w:rPr>
        <w:t>View/Print Reagent Inventory</w:t>
      </w:r>
      <w:r>
        <w:rPr>
          <w:noProof/>
        </w:rPr>
        <w:tab/>
        <w:t>94</w:t>
      </w:r>
    </w:p>
    <w:p w14:paraId="1CDCA0DF" w14:textId="77777777" w:rsidR="00812371" w:rsidRDefault="00812371">
      <w:pPr>
        <w:pStyle w:val="Index1"/>
        <w:tabs>
          <w:tab w:val="right" w:leader="dot" w:pos="9350"/>
        </w:tabs>
        <w:rPr>
          <w:noProof/>
        </w:rPr>
      </w:pPr>
      <w:r>
        <w:rPr>
          <w:noProof/>
        </w:rPr>
        <w:t>View/Print Supply Inventory</w:t>
      </w:r>
      <w:r>
        <w:rPr>
          <w:noProof/>
        </w:rPr>
        <w:tab/>
        <w:t>102</w:t>
      </w:r>
    </w:p>
    <w:p w14:paraId="5714418F" w14:textId="77777777" w:rsidR="00812371" w:rsidRDefault="00812371">
      <w:pPr>
        <w:pStyle w:val="Index1"/>
        <w:tabs>
          <w:tab w:val="right" w:leader="dot" w:pos="9350"/>
        </w:tabs>
        <w:rPr>
          <w:noProof/>
        </w:rPr>
      </w:pPr>
      <w:r>
        <w:rPr>
          <w:noProof/>
        </w:rPr>
        <w:lastRenderedPageBreak/>
        <w:t>VistA Records in VBECS</w:t>
      </w:r>
      <w:r>
        <w:rPr>
          <w:noProof/>
        </w:rPr>
        <w:tab/>
        <w:t>23</w:t>
      </w:r>
    </w:p>
    <w:p w14:paraId="3F23EDC8" w14:textId="77777777" w:rsidR="00812371" w:rsidRDefault="00812371">
      <w:pPr>
        <w:pStyle w:val="IndexHeading"/>
        <w:keepNext/>
        <w:tabs>
          <w:tab w:val="right" w:leader="dot" w:pos="9350"/>
        </w:tabs>
        <w:rPr>
          <w:rFonts w:asciiTheme="minorHAnsi" w:eastAsiaTheme="minorEastAsia" w:hAnsiTheme="minorHAnsi" w:cstheme="minorBidi"/>
          <w:b w:val="0"/>
          <w:bCs w:val="0"/>
          <w:noProof/>
        </w:rPr>
      </w:pPr>
      <w:r>
        <w:rPr>
          <w:noProof/>
        </w:rPr>
        <w:t>W</w:t>
      </w:r>
    </w:p>
    <w:p w14:paraId="6065DB89" w14:textId="77777777" w:rsidR="00812371" w:rsidRDefault="00812371">
      <w:pPr>
        <w:pStyle w:val="Index1"/>
        <w:tabs>
          <w:tab w:val="right" w:leader="dot" w:pos="9350"/>
        </w:tabs>
        <w:rPr>
          <w:noProof/>
        </w:rPr>
      </w:pPr>
      <w:r>
        <w:rPr>
          <w:noProof/>
        </w:rPr>
        <w:t>Work Process Flowcharts</w:t>
      </w:r>
      <w:r>
        <w:rPr>
          <w:noProof/>
        </w:rPr>
        <w:tab/>
        <w:t>483</w:t>
      </w:r>
    </w:p>
    <w:p w14:paraId="3EA3F45B" w14:textId="77777777" w:rsidR="00812371" w:rsidRDefault="00812371">
      <w:pPr>
        <w:pStyle w:val="Index1"/>
        <w:tabs>
          <w:tab w:val="right" w:leader="dot" w:pos="9350"/>
        </w:tabs>
        <w:rPr>
          <w:noProof/>
        </w:rPr>
      </w:pPr>
      <w:r>
        <w:rPr>
          <w:noProof/>
        </w:rPr>
        <w:t>Working with Data</w:t>
      </w:r>
      <w:r>
        <w:rPr>
          <w:noProof/>
        </w:rPr>
        <w:tab/>
        <w:t>16</w:t>
      </w:r>
    </w:p>
    <w:p w14:paraId="32E21BE1" w14:textId="77777777" w:rsidR="00812371" w:rsidRDefault="00812371">
      <w:pPr>
        <w:pStyle w:val="Index1"/>
        <w:tabs>
          <w:tab w:val="right" w:leader="dot" w:pos="9350"/>
        </w:tabs>
        <w:rPr>
          <w:noProof/>
        </w:rPr>
      </w:pPr>
      <w:r>
        <w:rPr>
          <w:noProof/>
        </w:rPr>
        <w:t>Workload Codes</w:t>
      </w:r>
      <w:r>
        <w:rPr>
          <w:noProof/>
        </w:rPr>
        <w:tab/>
        <w:t>78</w:t>
      </w:r>
    </w:p>
    <w:p w14:paraId="275451E5" w14:textId="77777777" w:rsidR="00812371" w:rsidRDefault="00812371">
      <w:pPr>
        <w:pStyle w:val="Index1"/>
        <w:tabs>
          <w:tab w:val="right" w:leader="dot" w:pos="9350"/>
        </w:tabs>
        <w:rPr>
          <w:noProof/>
        </w:rPr>
      </w:pPr>
      <w:r>
        <w:rPr>
          <w:noProof/>
        </w:rPr>
        <w:t>Workload Process Mapping to Application Option Table</w:t>
      </w:r>
      <w:r>
        <w:rPr>
          <w:noProof/>
        </w:rPr>
        <w:tab/>
        <w:t>508</w:t>
      </w:r>
    </w:p>
    <w:p w14:paraId="68D678C8" w14:textId="77777777" w:rsidR="00812371" w:rsidRDefault="00812371">
      <w:pPr>
        <w:pStyle w:val="Index1"/>
        <w:tabs>
          <w:tab w:val="right" w:leader="dot" w:pos="9350"/>
        </w:tabs>
        <w:rPr>
          <w:noProof/>
        </w:rPr>
      </w:pPr>
      <w:r>
        <w:rPr>
          <w:noProof/>
        </w:rPr>
        <w:t>Workload Process to Use Case Mapping Table</w:t>
      </w:r>
      <w:r>
        <w:rPr>
          <w:noProof/>
        </w:rPr>
        <w:tab/>
        <w:t>436</w:t>
      </w:r>
    </w:p>
    <w:p w14:paraId="7BE7FC30" w14:textId="77777777" w:rsidR="00812371" w:rsidRDefault="00812371" w:rsidP="009C0A99">
      <w:pPr>
        <w:pStyle w:val="BodyText"/>
        <w:jc w:val="center"/>
        <w:rPr>
          <w:rFonts w:ascii="Arial" w:hAnsi="Arial" w:cs="Arial"/>
          <w:b/>
          <w:bCs/>
          <w:noProof/>
          <w:kern w:val="32"/>
        </w:rPr>
        <w:sectPr w:rsidR="00812371" w:rsidSect="00812371">
          <w:type w:val="continuous"/>
          <w:pgSz w:w="12240" w:h="15840" w:code="1"/>
          <w:pgMar w:top="1440" w:right="1440" w:bottom="1440" w:left="1440" w:header="720" w:footer="720" w:gutter="0"/>
          <w:cols w:space="720"/>
          <w:docGrid w:linePitch="360"/>
        </w:sectPr>
      </w:pPr>
    </w:p>
    <w:p w14:paraId="6AE17B98" w14:textId="67C7ED50" w:rsidR="00681D23" w:rsidRDefault="00E93F17" w:rsidP="009C0A99">
      <w:pPr>
        <w:pStyle w:val="BodyText"/>
        <w:jc w:val="center"/>
        <w:rPr>
          <w:kern w:val="32"/>
        </w:rPr>
      </w:pPr>
      <w:r w:rsidRPr="00206945">
        <w:rPr>
          <w:kern w:val="32"/>
        </w:rPr>
        <w:fldChar w:fldCharType="end"/>
      </w:r>
    </w:p>
    <w:p w14:paraId="0B73A6F2" w14:textId="2D9A12FB" w:rsidR="00AD2C30" w:rsidRDefault="00F50F30" w:rsidP="00AD2C30">
      <w:pPr>
        <w:pStyle w:val="Heading1"/>
      </w:pPr>
      <w:r>
        <w:t xml:space="preserve"> </w:t>
      </w:r>
      <w:r w:rsidR="00C033C9">
        <w:br w:type="page"/>
      </w:r>
      <w:bookmarkStart w:id="818" w:name="_Toc163645053"/>
      <w:r w:rsidR="00AD2C30">
        <w:lastRenderedPageBreak/>
        <w:t>Revision History</w:t>
      </w:r>
      <w:bookmarkEnd w:id="818"/>
    </w:p>
    <w:tbl>
      <w:tblPr>
        <w:tblW w:w="10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990"/>
        <w:gridCol w:w="7174"/>
        <w:gridCol w:w="1098"/>
      </w:tblGrid>
      <w:tr w:rsidR="00AD2C30" w14:paraId="05CEA33E" w14:textId="77777777" w:rsidTr="00736D67">
        <w:trPr>
          <w:trHeight w:val="403"/>
          <w:tblHeader/>
        </w:trPr>
        <w:tc>
          <w:tcPr>
            <w:tcW w:w="918" w:type="dxa"/>
            <w:tcBorders>
              <w:bottom w:val="single" w:sz="6" w:space="0" w:color="auto"/>
            </w:tcBorders>
            <w:shd w:val="clear" w:color="auto" w:fill="B3B3B3"/>
            <w:vAlign w:val="bottom"/>
          </w:tcPr>
          <w:p w14:paraId="6ED83BDF" w14:textId="77777777" w:rsidR="00AD2C30" w:rsidRDefault="00AD2C30" w:rsidP="00237FB5">
            <w:pPr>
              <w:pStyle w:val="TableText"/>
              <w:rPr>
                <w:b/>
                <w:u w:val="single"/>
              </w:rPr>
            </w:pPr>
            <w:r>
              <w:rPr>
                <w:b/>
              </w:rPr>
              <w:t>Date</w:t>
            </w:r>
          </w:p>
        </w:tc>
        <w:tc>
          <w:tcPr>
            <w:tcW w:w="990" w:type="dxa"/>
            <w:tcBorders>
              <w:bottom w:val="single" w:sz="6" w:space="0" w:color="auto"/>
            </w:tcBorders>
            <w:shd w:val="clear" w:color="auto" w:fill="B3B3B3"/>
            <w:vAlign w:val="bottom"/>
          </w:tcPr>
          <w:p w14:paraId="787DCF6C" w14:textId="77777777" w:rsidR="00AD2C30" w:rsidRDefault="00AD2C30" w:rsidP="00237FB5">
            <w:pPr>
              <w:pStyle w:val="TableText"/>
              <w:rPr>
                <w:b/>
                <w:u w:val="single"/>
              </w:rPr>
            </w:pPr>
            <w:r>
              <w:rPr>
                <w:b/>
              </w:rPr>
              <w:t>Revision</w:t>
            </w:r>
          </w:p>
        </w:tc>
        <w:tc>
          <w:tcPr>
            <w:tcW w:w="7174" w:type="dxa"/>
            <w:tcBorders>
              <w:bottom w:val="single" w:sz="6" w:space="0" w:color="auto"/>
            </w:tcBorders>
            <w:shd w:val="clear" w:color="auto" w:fill="B3B3B3"/>
            <w:vAlign w:val="bottom"/>
          </w:tcPr>
          <w:p w14:paraId="0D8B545B" w14:textId="77777777" w:rsidR="00AD2C30" w:rsidRDefault="00AD2C30" w:rsidP="00DC1872">
            <w:pPr>
              <w:pStyle w:val="TableText"/>
              <w:ind w:left="136" w:hanging="136"/>
              <w:rPr>
                <w:b/>
                <w:u w:val="single"/>
              </w:rPr>
            </w:pPr>
            <w:r>
              <w:rPr>
                <w:b/>
              </w:rPr>
              <w:t>Description</w:t>
            </w:r>
          </w:p>
        </w:tc>
        <w:tc>
          <w:tcPr>
            <w:tcW w:w="1098" w:type="dxa"/>
            <w:tcBorders>
              <w:bottom w:val="single" w:sz="6" w:space="0" w:color="auto"/>
            </w:tcBorders>
            <w:shd w:val="clear" w:color="auto" w:fill="B3B3B3"/>
            <w:vAlign w:val="bottom"/>
          </w:tcPr>
          <w:p w14:paraId="352FCCC0" w14:textId="77777777" w:rsidR="00AD2C30" w:rsidRDefault="00AD2C30" w:rsidP="00237FB5">
            <w:pPr>
              <w:pStyle w:val="TableText"/>
              <w:rPr>
                <w:b/>
                <w:u w:val="single"/>
              </w:rPr>
            </w:pPr>
            <w:r>
              <w:rPr>
                <w:b/>
              </w:rPr>
              <w:t>Author</w:t>
            </w:r>
          </w:p>
        </w:tc>
      </w:tr>
      <w:tr w:rsidR="00AD2C30" w:rsidRPr="002532D0" w14:paraId="3404C75B" w14:textId="77777777" w:rsidTr="00736D67">
        <w:tc>
          <w:tcPr>
            <w:tcW w:w="918" w:type="dxa"/>
          </w:tcPr>
          <w:p w14:paraId="63592B8E" w14:textId="5C2BC3A4" w:rsidR="00AD2C30" w:rsidRPr="002532D0" w:rsidRDefault="005633D8" w:rsidP="00237FB5">
            <w:pPr>
              <w:pStyle w:val="TableText"/>
            </w:pPr>
            <w:r>
              <w:t>4/</w:t>
            </w:r>
            <w:r w:rsidR="00A6079E">
              <w:t>10</w:t>
            </w:r>
            <w:r w:rsidR="00AD2C30" w:rsidRPr="002532D0">
              <w:t>/</w:t>
            </w:r>
            <w:r w:rsidR="00F57443" w:rsidRPr="002532D0">
              <w:t>2</w:t>
            </w:r>
            <w:r w:rsidR="00886868" w:rsidRPr="002532D0">
              <w:t>4</w:t>
            </w:r>
          </w:p>
        </w:tc>
        <w:tc>
          <w:tcPr>
            <w:tcW w:w="990" w:type="dxa"/>
          </w:tcPr>
          <w:p w14:paraId="6EE8E2F7" w14:textId="77777777" w:rsidR="00AD2C30" w:rsidRPr="002532D0" w:rsidRDefault="00AD2C30" w:rsidP="00237FB5">
            <w:pPr>
              <w:pStyle w:val="TableText"/>
            </w:pPr>
            <w:r w:rsidRPr="002532D0">
              <w:t>1.0</w:t>
            </w:r>
          </w:p>
        </w:tc>
        <w:tc>
          <w:tcPr>
            <w:tcW w:w="7174" w:type="dxa"/>
          </w:tcPr>
          <w:p w14:paraId="5BF9423C" w14:textId="6D6191E8" w:rsidR="0002759E" w:rsidRPr="002532D0" w:rsidRDefault="0002759E" w:rsidP="0002759E">
            <w:pPr>
              <w:ind w:left="136" w:hanging="136"/>
              <w:rPr>
                <w:rFonts w:ascii="Arial" w:hAnsi="Arial" w:cs="Arial"/>
                <w:sz w:val="18"/>
                <w:szCs w:val="18"/>
              </w:rPr>
            </w:pPr>
            <w:r w:rsidRPr="002532D0">
              <w:rPr>
                <w:rFonts w:ascii="Arial" w:hAnsi="Arial" w:cs="Arial"/>
                <w:sz w:val="18"/>
                <w:szCs w:val="18"/>
              </w:rPr>
              <w:t>VBECS 2.</w:t>
            </w:r>
            <w:r w:rsidR="00886868" w:rsidRPr="002532D0">
              <w:rPr>
                <w:rFonts w:ascii="Arial" w:hAnsi="Arial" w:cs="Arial"/>
                <w:sz w:val="18"/>
                <w:szCs w:val="18"/>
              </w:rPr>
              <w:t>4.0</w:t>
            </w:r>
            <w:r w:rsidRPr="002532D0">
              <w:rPr>
                <w:rFonts w:ascii="Arial" w:hAnsi="Arial" w:cs="Arial"/>
                <w:sz w:val="18"/>
                <w:szCs w:val="18"/>
              </w:rPr>
              <w:t xml:space="preserve"> Rev A</w:t>
            </w:r>
          </w:p>
          <w:p w14:paraId="1AFB35F5" w14:textId="77777777" w:rsidR="008F2BB4" w:rsidRPr="00E95647" w:rsidRDefault="0002759E" w:rsidP="00A067DB">
            <w:pPr>
              <w:ind w:left="130" w:hanging="130"/>
              <w:rPr>
                <w:rFonts w:ascii="Arial" w:hAnsi="Arial" w:cs="Arial"/>
                <w:vanish/>
                <w:sz w:val="18"/>
                <w:szCs w:val="18"/>
              </w:rPr>
            </w:pPr>
            <w:r w:rsidRPr="002532D0">
              <w:rPr>
                <w:rFonts w:ascii="Arial" w:hAnsi="Arial" w:cs="Arial"/>
                <w:sz w:val="18"/>
                <w:szCs w:val="18"/>
              </w:rPr>
              <w:t>Modified VBECS 2.3.</w:t>
            </w:r>
            <w:r w:rsidR="00886868" w:rsidRPr="002532D0">
              <w:rPr>
                <w:rFonts w:ascii="Arial" w:hAnsi="Arial" w:cs="Arial"/>
                <w:sz w:val="18"/>
                <w:szCs w:val="18"/>
              </w:rPr>
              <w:t>4</w:t>
            </w:r>
            <w:r w:rsidRPr="002532D0">
              <w:rPr>
                <w:rFonts w:ascii="Arial" w:hAnsi="Arial" w:cs="Arial"/>
                <w:sz w:val="18"/>
                <w:szCs w:val="18"/>
              </w:rPr>
              <w:t xml:space="preserve"> User Guide, Version </w:t>
            </w:r>
            <w:r w:rsidR="00886868" w:rsidRPr="002532D0">
              <w:rPr>
                <w:rFonts w:ascii="Arial" w:hAnsi="Arial" w:cs="Arial"/>
                <w:sz w:val="18"/>
                <w:szCs w:val="18"/>
              </w:rPr>
              <w:t>3</w:t>
            </w:r>
            <w:r w:rsidRPr="002532D0">
              <w:rPr>
                <w:rFonts w:ascii="Arial" w:hAnsi="Arial" w:cs="Arial"/>
                <w:sz w:val="18"/>
                <w:szCs w:val="18"/>
              </w:rPr>
              <w:t>.0 to create VBECS 2.</w:t>
            </w:r>
            <w:r w:rsidR="00886868" w:rsidRPr="002532D0">
              <w:rPr>
                <w:rFonts w:ascii="Arial" w:hAnsi="Arial" w:cs="Arial"/>
                <w:sz w:val="18"/>
                <w:szCs w:val="18"/>
              </w:rPr>
              <w:t>4.0</w:t>
            </w:r>
            <w:r w:rsidRPr="002532D0">
              <w:rPr>
                <w:rFonts w:ascii="Arial" w:hAnsi="Arial" w:cs="Arial"/>
                <w:sz w:val="18"/>
                <w:szCs w:val="18"/>
              </w:rPr>
              <w:t xml:space="preserve"> User Guide, Version 1.0.</w:t>
            </w:r>
          </w:p>
          <w:p w14:paraId="65AC4FEC" w14:textId="2D25B771" w:rsidR="0002759E" w:rsidRPr="00E95647" w:rsidRDefault="003679F4" w:rsidP="00A067DB">
            <w:pPr>
              <w:ind w:left="130" w:hanging="130"/>
              <w:rPr>
                <w:rFonts w:ascii="Arial" w:hAnsi="Arial" w:cs="Arial"/>
                <w:vanish/>
                <w:sz w:val="18"/>
                <w:szCs w:val="18"/>
              </w:rPr>
            </w:pPr>
            <w:r w:rsidRPr="00E95647">
              <w:rPr>
                <w:rFonts w:ascii="Arial" w:hAnsi="Arial" w:cs="Arial"/>
                <w:vanish/>
                <w:sz w:val="18"/>
                <w:szCs w:val="18"/>
              </w:rPr>
              <w:t>(Task 184780)</w:t>
            </w:r>
          </w:p>
          <w:p w14:paraId="2A39979B" w14:textId="21295314" w:rsidR="00F63A03" w:rsidRPr="00E95647" w:rsidRDefault="00F63A03" w:rsidP="00A067DB">
            <w:pPr>
              <w:ind w:left="130" w:hanging="130"/>
              <w:rPr>
                <w:rFonts w:ascii="Arial" w:hAnsi="Arial" w:cs="Arial"/>
                <w:vanish/>
                <w:sz w:val="18"/>
                <w:szCs w:val="18"/>
              </w:rPr>
            </w:pPr>
            <w:r w:rsidRPr="00E95647">
              <w:rPr>
                <w:rFonts w:ascii="Arial" w:hAnsi="Arial" w:cs="Arial"/>
                <w:vanish/>
                <w:sz w:val="18"/>
                <w:szCs w:val="18"/>
              </w:rPr>
              <w:t>Throughout: Changed hidden text BR_41.32 to BR_2.43.</w:t>
            </w:r>
          </w:p>
          <w:p w14:paraId="59B3E6D9" w14:textId="427F5701" w:rsidR="003679F4" w:rsidRPr="00E95647" w:rsidRDefault="002532D0" w:rsidP="00A067DB">
            <w:pPr>
              <w:ind w:left="130" w:hanging="130"/>
              <w:rPr>
                <w:rFonts w:ascii="Arial" w:hAnsi="Arial" w:cs="Arial"/>
                <w:vanish/>
                <w:sz w:val="18"/>
                <w:szCs w:val="18"/>
              </w:rPr>
            </w:pPr>
            <w:r w:rsidRPr="00E95647">
              <w:rPr>
                <w:rFonts w:ascii="Arial" w:hAnsi="Arial" w:cs="Arial"/>
                <w:vanish/>
                <w:sz w:val="18"/>
                <w:szCs w:val="18"/>
              </w:rPr>
              <w:t xml:space="preserve">Security, </w:t>
            </w:r>
            <w:r w:rsidR="003679F4" w:rsidRPr="00E95647">
              <w:rPr>
                <w:rFonts w:ascii="Arial" w:hAnsi="Arial" w:cs="Arial"/>
                <w:vanish/>
                <w:sz w:val="18"/>
                <w:szCs w:val="18"/>
              </w:rPr>
              <w:t>Table 1: Moved second bullet (for new local facility) from Level 5: Enhanced Supervisor to last bullet in Level 1: Blood Bank Technologist.</w:t>
            </w:r>
          </w:p>
          <w:p w14:paraId="13174DAE" w14:textId="77777777" w:rsidR="003679F4" w:rsidRPr="00E95647" w:rsidRDefault="003679F4" w:rsidP="00A067DB">
            <w:pPr>
              <w:ind w:left="130" w:hanging="130"/>
              <w:rPr>
                <w:rFonts w:ascii="Arial" w:hAnsi="Arial" w:cs="Arial"/>
                <w:vanish/>
                <w:sz w:val="18"/>
                <w:szCs w:val="18"/>
              </w:rPr>
            </w:pPr>
            <w:r w:rsidRPr="00E95647">
              <w:rPr>
                <w:rFonts w:ascii="Arial" w:hAnsi="Arial" w:cs="Arial"/>
                <w:vanish/>
                <w:sz w:val="18"/>
                <w:szCs w:val="18"/>
              </w:rPr>
              <w:t>Creating and Viewing Reports: Removed eig</w:t>
            </w:r>
            <w:r w:rsidR="002532D0" w:rsidRPr="00E95647">
              <w:rPr>
                <w:rFonts w:ascii="Arial" w:hAnsi="Arial" w:cs="Arial"/>
                <w:vanish/>
                <w:sz w:val="18"/>
                <w:szCs w:val="18"/>
              </w:rPr>
              <w:t>hth bullet below Figure 5 for 50 page warning.</w:t>
            </w:r>
          </w:p>
          <w:p w14:paraId="629CA950" w14:textId="50E71AAB" w:rsidR="002532D0" w:rsidRPr="00E95647" w:rsidRDefault="002532D0" w:rsidP="00A067DB">
            <w:pPr>
              <w:ind w:left="130" w:hanging="130"/>
              <w:rPr>
                <w:rFonts w:ascii="Arial" w:hAnsi="Arial" w:cs="Arial"/>
                <w:vanish/>
                <w:sz w:val="18"/>
                <w:szCs w:val="18"/>
              </w:rPr>
            </w:pPr>
            <w:r w:rsidRPr="00E95647">
              <w:rPr>
                <w:rFonts w:ascii="Arial" w:hAnsi="Arial" w:cs="Arial"/>
                <w:vanish/>
                <w:sz w:val="18"/>
                <w:szCs w:val="18"/>
              </w:rPr>
              <w:t xml:space="preserve">Creating and Viewing Reports: Added last bullet below Figure 5 for </w:t>
            </w:r>
            <w:r w:rsidR="006C0EB9" w:rsidRPr="00E95647">
              <w:rPr>
                <w:rFonts w:ascii="Arial" w:hAnsi="Arial" w:cs="Arial"/>
                <w:vanish/>
                <w:sz w:val="18"/>
                <w:szCs w:val="18"/>
              </w:rPr>
              <w:t>VBECS Read-Only</w:t>
            </w:r>
            <w:r w:rsidRPr="00E95647">
              <w:rPr>
                <w:rFonts w:ascii="Arial" w:hAnsi="Arial" w:cs="Arial"/>
                <w:vanish/>
                <w:sz w:val="18"/>
                <w:szCs w:val="18"/>
              </w:rPr>
              <w:t>.</w:t>
            </w:r>
          </w:p>
          <w:p w14:paraId="4E59F5FB" w14:textId="5EBD40A5" w:rsidR="002532D0" w:rsidRPr="00E95647" w:rsidRDefault="002532D0" w:rsidP="00A067DB">
            <w:pPr>
              <w:ind w:left="130" w:hanging="130"/>
              <w:rPr>
                <w:rFonts w:ascii="Arial" w:hAnsi="Arial" w:cs="Arial"/>
                <w:vanish/>
                <w:sz w:val="18"/>
                <w:szCs w:val="18"/>
              </w:rPr>
            </w:pPr>
            <w:r w:rsidRPr="00E95647">
              <w:rPr>
                <w:rFonts w:ascii="Arial" w:hAnsi="Arial" w:cs="Arial"/>
                <w:vanish/>
                <w:sz w:val="18"/>
                <w:szCs w:val="18"/>
              </w:rPr>
              <w:t>Report Export, Figure 14: Replaced figure and updated text below figure.</w:t>
            </w:r>
          </w:p>
          <w:p w14:paraId="205B6641" w14:textId="3BF130AF" w:rsidR="002532D0" w:rsidRPr="00E95647" w:rsidRDefault="002532D0" w:rsidP="00A067DB">
            <w:pPr>
              <w:ind w:left="130" w:hanging="130"/>
              <w:rPr>
                <w:rFonts w:ascii="Arial" w:hAnsi="Arial" w:cs="Arial"/>
                <w:vanish/>
                <w:sz w:val="18"/>
                <w:szCs w:val="18"/>
              </w:rPr>
            </w:pPr>
            <w:r w:rsidRPr="00E95647">
              <w:rPr>
                <w:rFonts w:ascii="Arial" w:hAnsi="Arial" w:cs="Arial"/>
                <w:vanish/>
                <w:sz w:val="18"/>
                <w:szCs w:val="18"/>
              </w:rPr>
              <w:t>Accessing the System, Additional Information: Added third bullet for multiple in-date certificates</w:t>
            </w:r>
            <w:r w:rsidR="00F63A03" w:rsidRPr="00E95647">
              <w:rPr>
                <w:rFonts w:ascii="Arial" w:hAnsi="Arial" w:cs="Arial"/>
                <w:vanish/>
                <w:sz w:val="18"/>
                <w:szCs w:val="18"/>
              </w:rPr>
              <w:t>, and updated fourth bullet to replace Hardware and Infrastructure Architecture with the Options That Require VistALink</w:t>
            </w:r>
            <w:r w:rsidRPr="00E95647">
              <w:rPr>
                <w:rFonts w:ascii="Arial" w:hAnsi="Arial" w:cs="Arial"/>
                <w:vanish/>
                <w:sz w:val="18"/>
                <w:szCs w:val="18"/>
              </w:rPr>
              <w:t>.</w:t>
            </w:r>
          </w:p>
          <w:p w14:paraId="6D92D6EC" w14:textId="3B8E5630" w:rsidR="002532D0" w:rsidRPr="00E95647" w:rsidRDefault="002532D0" w:rsidP="00A067DB">
            <w:pPr>
              <w:ind w:left="130" w:hanging="130"/>
              <w:rPr>
                <w:rFonts w:ascii="Arial" w:hAnsi="Arial" w:cs="Arial"/>
                <w:vanish/>
                <w:sz w:val="18"/>
                <w:szCs w:val="18"/>
              </w:rPr>
            </w:pPr>
            <w:r w:rsidRPr="00E95647">
              <w:rPr>
                <w:rFonts w:ascii="Arial" w:hAnsi="Arial" w:cs="Arial"/>
                <w:vanish/>
                <w:sz w:val="18"/>
                <w:szCs w:val="18"/>
              </w:rPr>
              <w:t xml:space="preserve">Main Toolbar: Updated first paragraph for </w:t>
            </w:r>
            <w:r w:rsidR="006C0EB9" w:rsidRPr="00E95647">
              <w:rPr>
                <w:rFonts w:ascii="Arial" w:hAnsi="Arial" w:cs="Arial"/>
                <w:vanish/>
                <w:sz w:val="18"/>
                <w:szCs w:val="18"/>
              </w:rPr>
              <w:t>VBECS Read-Only</w:t>
            </w:r>
            <w:r w:rsidRPr="00E95647">
              <w:rPr>
                <w:rFonts w:ascii="Arial" w:hAnsi="Arial" w:cs="Arial"/>
                <w:vanish/>
                <w:sz w:val="18"/>
                <w:szCs w:val="18"/>
              </w:rPr>
              <w:t>.</w:t>
            </w:r>
          </w:p>
          <w:p w14:paraId="5D88C2CD" w14:textId="6AC64FCC" w:rsidR="002532D0" w:rsidRPr="00E95647" w:rsidRDefault="006C0EB9" w:rsidP="00A067DB">
            <w:pPr>
              <w:ind w:left="130" w:hanging="130"/>
              <w:rPr>
                <w:rFonts w:ascii="Arial" w:hAnsi="Arial" w:cs="Arial"/>
                <w:vanish/>
                <w:sz w:val="18"/>
                <w:szCs w:val="18"/>
              </w:rPr>
            </w:pPr>
            <w:r w:rsidRPr="00E95647">
              <w:rPr>
                <w:rFonts w:ascii="Arial" w:hAnsi="Arial" w:cs="Arial"/>
                <w:vanish/>
                <w:sz w:val="18"/>
                <w:szCs w:val="18"/>
              </w:rPr>
              <w:t>VBECS Read-Only</w:t>
            </w:r>
            <w:r w:rsidR="002532D0" w:rsidRPr="00E95647">
              <w:rPr>
                <w:rFonts w:ascii="Arial" w:hAnsi="Arial" w:cs="Arial"/>
                <w:vanish/>
                <w:sz w:val="18"/>
                <w:szCs w:val="18"/>
              </w:rPr>
              <w:t>: New section added.</w:t>
            </w:r>
          </w:p>
          <w:p w14:paraId="070D8F10" w14:textId="618A5E01" w:rsidR="00F63A03" w:rsidRDefault="00F63A03" w:rsidP="00A067DB">
            <w:pPr>
              <w:ind w:left="130" w:hanging="130"/>
              <w:rPr>
                <w:rFonts w:ascii="Arial" w:hAnsi="Arial" w:cs="Arial"/>
                <w:vanish/>
                <w:sz w:val="18"/>
                <w:szCs w:val="18"/>
              </w:rPr>
            </w:pPr>
            <w:r w:rsidRPr="00E95647">
              <w:rPr>
                <w:rFonts w:ascii="Arial" w:hAnsi="Arial" w:cs="Arial"/>
                <w:vanish/>
                <w:sz w:val="18"/>
                <w:szCs w:val="18"/>
              </w:rPr>
              <w:t>Order Alerts, Limitations and Restrictions: Added last bullet for Read-Only</w:t>
            </w:r>
          </w:p>
          <w:p w14:paraId="601817ED" w14:textId="0CFFD266" w:rsidR="00856F9B" w:rsidRPr="00E95647" w:rsidRDefault="00856F9B" w:rsidP="00A067DB">
            <w:pPr>
              <w:ind w:left="130" w:hanging="130"/>
              <w:rPr>
                <w:rFonts w:ascii="Arial" w:hAnsi="Arial" w:cs="Arial"/>
                <w:vanish/>
                <w:sz w:val="18"/>
                <w:szCs w:val="18"/>
              </w:rPr>
            </w:pPr>
            <w:r>
              <w:rPr>
                <w:rFonts w:ascii="Arial" w:hAnsi="Arial" w:cs="Arial"/>
                <w:vanish/>
                <w:sz w:val="18"/>
                <w:szCs w:val="18"/>
              </w:rPr>
              <w:t>Local Facilities: Removed redundant Heading 3 section header.</w:t>
            </w:r>
          </w:p>
          <w:p w14:paraId="1035CC4F" w14:textId="632B01D9" w:rsidR="00DF363F" w:rsidRPr="00E95647" w:rsidRDefault="00DF363F" w:rsidP="00A067DB">
            <w:pPr>
              <w:ind w:left="130" w:hanging="130"/>
              <w:rPr>
                <w:rFonts w:ascii="Arial" w:hAnsi="Arial" w:cs="Arial"/>
                <w:vanish/>
                <w:sz w:val="18"/>
                <w:szCs w:val="18"/>
              </w:rPr>
            </w:pPr>
            <w:r w:rsidRPr="00E95647">
              <w:rPr>
                <w:rFonts w:ascii="Arial" w:hAnsi="Arial" w:cs="Arial"/>
                <w:vanish/>
                <w:sz w:val="18"/>
                <w:szCs w:val="18"/>
              </w:rPr>
              <w:t>Local Facilities, Limitations and Restrictions: Added last bullet for FDA registration number length.</w:t>
            </w:r>
          </w:p>
          <w:p w14:paraId="3896745C" w14:textId="77777777" w:rsidR="002532D0" w:rsidRPr="00E95647" w:rsidRDefault="002532D0" w:rsidP="00A067DB">
            <w:pPr>
              <w:ind w:left="130" w:hanging="130"/>
              <w:rPr>
                <w:rFonts w:ascii="Arial" w:hAnsi="Arial" w:cs="Arial"/>
                <w:vanish/>
                <w:sz w:val="18"/>
                <w:szCs w:val="18"/>
              </w:rPr>
            </w:pPr>
            <w:r w:rsidRPr="00E95647">
              <w:rPr>
                <w:rFonts w:ascii="Arial" w:hAnsi="Arial" w:cs="Arial"/>
                <w:vanish/>
                <w:sz w:val="18"/>
                <w:szCs w:val="18"/>
              </w:rPr>
              <w:t>Local Facilities, Step 3: Removed third note regarding Enhanced Supervisor.</w:t>
            </w:r>
          </w:p>
          <w:p w14:paraId="41ACD82E" w14:textId="77777777" w:rsidR="002532D0" w:rsidRPr="00E95647" w:rsidRDefault="00C32C1A" w:rsidP="00A067DB">
            <w:pPr>
              <w:ind w:left="130" w:hanging="130"/>
              <w:rPr>
                <w:rFonts w:ascii="Arial" w:hAnsi="Arial" w:cs="Arial"/>
                <w:vanish/>
                <w:sz w:val="18"/>
                <w:szCs w:val="18"/>
              </w:rPr>
            </w:pPr>
            <w:r w:rsidRPr="00E95647">
              <w:rPr>
                <w:rFonts w:ascii="Arial" w:hAnsi="Arial" w:cs="Arial"/>
                <w:vanish/>
                <w:sz w:val="18"/>
                <w:szCs w:val="18"/>
              </w:rPr>
              <w:t>Display Order Alerts, Limitations and Restrictions: Added second bullet for Read-Only.</w:t>
            </w:r>
          </w:p>
          <w:p w14:paraId="3F0A3D5D" w14:textId="08179890" w:rsidR="00B05DFD" w:rsidRPr="00E95647" w:rsidRDefault="00B05DFD" w:rsidP="00A067DB">
            <w:pPr>
              <w:ind w:left="130" w:hanging="130"/>
              <w:rPr>
                <w:rFonts w:ascii="Arial" w:hAnsi="Arial" w:cs="Arial"/>
                <w:vanish/>
                <w:sz w:val="18"/>
                <w:szCs w:val="18"/>
              </w:rPr>
            </w:pPr>
            <w:r w:rsidRPr="00E95647">
              <w:rPr>
                <w:rFonts w:ascii="Arial" w:hAnsi="Arial" w:cs="Arial"/>
                <w:vanish/>
                <w:sz w:val="18"/>
                <w:szCs w:val="18"/>
              </w:rPr>
              <w:t>Post-Transfusion Information, Step 2: Hid last sentence from second note for BR_69.01 and referenced Bug 63797.</w:t>
            </w:r>
          </w:p>
          <w:p w14:paraId="5FBE7CDE" w14:textId="77777777" w:rsidR="008F2BB4" w:rsidRDefault="00C32C1A" w:rsidP="00F63A03">
            <w:pPr>
              <w:ind w:left="130" w:hanging="130"/>
              <w:rPr>
                <w:rFonts w:ascii="Arial" w:hAnsi="Arial" w:cs="Arial"/>
                <w:vanish/>
                <w:sz w:val="18"/>
                <w:szCs w:val="18"/>
              </w:rPr>
            </w:pPr>
            <w:r w:rsidRPr="00E95647">
              <w:rPr>
                <w:rFonts w:ascii="Arial" w:hAnsi="Arial" w:cs="Arial"/>
                <w:vanish/>
                <w:sz w:val="18"/>
                <w:szCs w:val="18"/>
              </w:rPr>
              <w:t>CPRS Blood Bank Report: Added (Used by JLV) to title and updated first paragraph.</w:t>
            </w:r>
          </w:p>
          <w:p w14:paraId="4B4F73D5" w14:textId="69564598" w:rsidR="00856F9B" w:rsidRPr="002532D0" w:rsidRDefault="00856F9B" w:rsidP="00F63A03">
            <w:pPr>
              <w:ind w:left="130" w:hanging="130"/>
              <w:rPr>
                <w:rFonts w:ascii="Arial" w:hAnsi="Arial" w:cs="Arial"/>
                <w:sz w:val="18"/>
                <w:szCs w:val="18"/>
              </w:rPr>
            </w:pPr>
            <w:r>
              <w:rPr>
                <w:rFonts w:ascii="Arial" w:hAnsi="Arial" w:cs="Arial"/>
                <w:vanish/>
                <w:sz w:val="18"/>
                <w:szCs w:val="18"/>
              </w:rPr>
              <w:t>Allowable Product Modification by Original Product Type: Renamed title to "Product Modification Targets" and replaced first paragraph with reference to FAQ Modification Target Not Available.</w:t>
            </w:r>
          </w:p>
        </w:tc>
        <w:tc>
          <w:tcPr>
            <w:tcW w:w="1098" w:type="dxa"/>
          </w:tcPr>
          <w:p w14:paraId="421B7FDB" w14:textId="77777777" w:rsidR="00AD2C30" w:rsidRPr="002532D0" w:rsidRDefault="00AD2C30" w:rsidP="00237FB5">
            <w:pPr>
              <w:pStyle w:val="TableText"/>
            </w:pPr>
            <w:r w:rsidRPr="002532D0">
              <w:t>BBM Team</w:t>
            </w:r>
          </w:p>
        </w:tc>
      </w:tr>
    </w:tbl>
    <w:p w14:paraId="0B51E100" w14:textId="77777777" w:rsidR="00AD2C30" w:rsidRDefault="00AD2C30">
      <w:pPr>
        <w:rPr>
          <w:kern w:val="32"/>
          <w:sz w:val="22"/>
          <w:szCs w:val="22"/>
        </w:rPr>
      </w:pPr>
      <w:r>
        <w:rPr>
          <w:kern w:val="32"/>
        </w:rPr>
        <w:br w:type="page"/>
      </w:r>
    </w:p>
    <w:p w14:paraId="674F5F44" w14:textId="66A4F72A" w:rsidR="009C0A99" w:rsidRDefault="009C0A99" w:rsidP="000F10F5">
      <w:pPr>
        <w:pStyle w:val="BodyText"/>
        <w:jc w:val="center"/>
        <w:rPr>
          <w:snapToGrid w:val="0"/>
          <w:vanish/>
        </w:rPr>
      </w:pPr>
      <w:r>
        <w:lastRenderedPageBreak/>
        <w:t xml:space="preserve">This is the last page of </w:t>
      </w:r>
      <w:r w:rsidRPr="009C0A99">
        <w:rPr>
          <w:i/>
        </w:rPr>
        <w:t xml:space="preserve">VBECS </w:t>
      </w:r>
      <w:r w:rsidR="002E3995">
        <w:rPr>
          <w:i/>
        </w:rPr>
        <w:t>2.</w:t>
      </w:r>
      <w:r w:rsidR="00397587">
        <w:rPr>
          <w:i/>
        </w:rPr>
        <w:t>4.0</w:t>
      </w:r>
      <w:r w:rsidR="00AE6FF1">
        <w:rPr>
          <w:i/>
        </w:rPr>
        <w:t xml:space="preserve"> </w:t>
      </w:r>
      <w:r w:rsidRPr="009C0A99">
        <w:rPr>
          <w:i/>
        </w:rPr>
        <w:t>User Guide</w:t>
      </w:r>
      <w:r>
        <w:t>.</w:t>
      </w:r>
    </w:p>
    <w:p w14:paraId="6B06A704" w14:textId="48C50B01" w:rsidR="0006165B" w:rsidRPr="009C0A99" w:rsidRDefault="0006165B" w:rsidP="009C0A99">
      <w:pPr>
        <w:pStyle w:val="BodyText"/>
        <w:rPr>
          <w:snapToGrid w:val="0"/>
          <w:vanish/>
        </w:rPr>
      </w:pPr>
    </w:p>
    <w:sectPr w:rsidR="0006165B" w:rsidRPr="009C0A99" w:rsidSect="00812371">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5">
      <wne:macro wne:macroName="PROJECT.NEWMACROS.HID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468F8" w14:textId="77777777" w:rsidR="00CA4A9F" w:rsidRDefault="00CA4A9F">
      <w:r>
        <w:separator/>
      </w:r>
    </w:p>
  </w:endnote>
  <w:endnote w:type="continuationSeparator" w:id="0">
    <w:p w14:paraId="4023B664" w14:textId="77777777" w:rsidR="00CA4A9F" w:rsidRDefault="00CA4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A606" w14:textId="77777777" w:rsidR="00EA60B6" w:rsidRDefault="00EA6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5F1C07" w14:textId="77777777" w:rsidR="00EA60B6" w:rsidRDefault="00EA60B6">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8EB3" w14:textId="77777777" w:rsidR="00EA60B6" w:rsidRDefault="00EA60B6" w:rsidP="007566FC">
    <w:pPr>
      <w:pStyle w:val="Footer"/>
      <w:tabs>
        <w:tab w:val="clear" w:pos="4320"/>
        <w:tab w:val="clear" w:pos="8640"/>
        <w:tab w:val="center" w:pos="6480"/>
        <w:tab w:val="right" w:pos="12960"/>
      </w:tabs>
      <w:ind w:right="360"/>
      <w:rPr>
        <w:sz w:val="20"/>
      </w:rPr>
    </w:pPr>
  </w:p>
  <w:p w14:paraId="5E376C86" w14:textId="77777777" w:rsidR="00EA60B6" w:rsidRDefault="00EA60B6" w:rsidP="007566FC">
    <w:pPr>
      <w:pStyle w:val="Footer"/>
      <w:tabs>
        <w:tab w:val="clear" w:pos="4320"/>
        <w:tab w:val="clear" w:pos="8640"/>
        <w:tab w:val="center" w:pos="6480"/>
        <w:tab w:val="right" w:pos="12960"/>
      </w:tabs>
      <w:ind w:right="360"/>
      <w:rPr>
        <w:sz w:val="20"/>
      </w:rPr>
    </w:pPr>
  </w:p>
  <w:p w14:paraId="0F4B487E" w14:textId="6030B031" w:rsidR="00EA60B6" w:rsidRDefault="00826DCE" w:rsidP="007566FC">
    <w:pPr>
      <w:pStyle w:val="Footer"/>
      <w:tabs>
        <w:tab w:val="clear" w:pos="4320"/>
        <w:tab w:val="clear" w:pos="8640"/>
        <w:tab w:val="center" w:pos="6480"/>
        <w:tab w:val="right" w:pos="12780"/>
        <w:tab w:val="right" w:pos="12960"/>
      </w:tabs>
      <w:ind w:right="360"/>
      <w:rPr>
        <w:sz w:val="20"/>
      </w:rPr>
    </w:pPr>
    <w:r>
      <w:rPr>
        <w:sz w:val="20"/>
      </w:rPr>
      <w:t>April 2024</w:t>
    </w:r>
    <w:r w:rsidR="00EA60B6">
      <w:rPr>
        <w:sz w:val="20"/>
      </w:rPr>
      <w:tab/>
      <w:t>VBECS Version 2.</w:t>
    </w:r>
    <w:r w:rsidR="005E5828">
      <w:rPr>
        <w:sz w:val="20"/>
      </w:rPr>
      <w:t>4.0</w:t>
    </w:r>
    <w:r w:rsidR="00EA60B6">
      <w:rPr>
        <w:sz w:val="20"/>
      </w:rPr>
      <w:t xml:space="preserve"> User Guide Version </w:t>
    </w:r>
    <w:r w:rsidR="005E5828">
      <w:rPr>
        <w:sz w:val="20"/>
      </w:rPr>
      <w:t>1</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526</w:t>
    </w:r>
    <w:r w:rsidR="00EA60B6">
      <w:rPr>
        <w:sz w:val="20"/>
      </w:rPr>
      <w:fldChar w:fldCharType="end"/>
    </w:r>
    <w:r w:rsidR="00EA60B6">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592B" w14:textId="77777777" w:rsidR="00EA60B6" w:rsidRDefault="00EA60B6">
    <w:pPr>
      <w:pStyle w:val="Footer"/>
      <w:tabs>
        <w:tab w:val="clear" w:pos="8640"/>
      </w:tabs>
      <w:ind w:right="360"/>
      <w:rPr>
        <w:sz w:val="20"/>
      </w:rPr>
    </w:pPr>
  </w:p>
  <w:p w14:paraId="5069B344" w14:textId="77777777" w:rsidR="00EA60B6" w:rsidRDefault="00EA60B6">
    <w:pPr>
      <w:pStyle w:val="Footer"/>
      <w:tabs>
        <w:tab w:val="clear" w:pos="8640"/>
      </w:tabs>
      <w:ind w:right="360"/>
      <w:rPr>
        <w:sz w:val="20"/>
      </w:rPr>
    </w:pPr>
  </w:p>
  <w:p w14:paraId="020F2015" w14:textId="0FE14344" w:rsidR="00EA60B6" w:rsidRDefault="00826DCE">
    <w:pPr>
      <w:pStyle w:val="Footer"/>
      <w:tabs>
        <w:tab w:val="clear" w:pos="4320"/>
        <w:tab w:val="clear" w:pos="8640"/>
        <w:tab w:val="center" w:pos="4860"/>
      </w:tabs>
      <w:ind w:right="360"/>
      <w:rPr>
        <w:sz w:val="20"/>
      </w:rPr>
    </w:pPr>
    <w:r>
      <w:rPr>
        <w:sz w:val="20"/>
      </w:rPr>
      <w:t>April</w:t>
    </w:r>
    <w:r w:rsidR="00EA60B6">
      <w:rPr>
        <w:sz w:val="20"/>
      </w:rPr>
      <w:t xml:space="preserve"> 202</w:t>
    </w:r>
    <w:r w:rsidR="007D3487">
      <w:rPr>
        <w:sz w:val="20"/>
      </w:rPr>
      <w:t>4</w:t>
    </w:r>
    <w:r w:rsidR="00EA60B6">
      <w:rPr>
        <w:sz w:val="20"/>
      </w:rPr>
      <w:tab/>
      <w:t>VBECS Version 2.</w:t>
    </w:r>
    <w:r w:rsidR="009C473F">
      <w:rPr>
        <w:sz w:val="20"/>
      </w:rPr>
      <w:t>4.0</w:t>
    </w:r>
    <w:r w:rsidR="00EA60B6">
      <w:rPr>
        <w:sz w:val="20"/>
      </w:rPr>
      <w:t xml:space="preserve"> User Guide Version </w:t>
    </w:r>
    <w:r w:rsidR="009C473F">
      <w:rPr>
        <w:sz w:val="20"/>
      </w:rPr>
      <w:t>1</w:t>
    </w:r>
    <w:r w:rsidR="00EA60B6">
      <w:rPr>
        <w:sz w:val="20"/>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0095" w14:textId="77777777" w:rsidR="00EA60B6" w:rsidRDefault="00EA60B6" w:rsidP="00F7279E">
    <w:pPr>
      <w:pStyle w:val="Footer"/>
      <w:tabs>
        <w:tab w:val="clear" w:pos="8640"/>
        <w:tab w:val="right" w:pos="9360"/>
      </w:tabs>
      <w:ind w:right="360"/>
      <w:rPr>
        <w:sz w:val="20"/>
      </w:rPr>
    </w:pPr>
  </w:p>
  <w:p w14:paraId="09F9950B" w14:textId="055D7DDA" w:rsidR="00EA60B6" w:rsidRDefault="00826DCE" w:rsidP="00784D58">
    <w:pPr>
      <w:pStyle w:val="Footer"/>
      <w:tabs>
        <w:tab w:val="clear" w:pos="4320"/>
        <w:tab w:val="clear" w:pos="8640"/>
        <w:tab w:val="center" w:pos="5040"/>
        <w:tab w:val="right" w:pos="9360"/>
        <w:tab w:val="right" w:pos="12780"/>
        <w:tab w:val="right" w:pos="12960"/>
      </w:tabs>
      <w:ind w:right="360"/>
      <w:rPr>
        <w:sz w:val="20"/>
      </w:rPr>
    </w:pPr>
    <w:r>
      <w:rPr>
        <w:sz w:val="20"/>
      </w:rPr>
      <w:t>April 2024</w:t>
    </w:r>
    <w:r w:rsidR="00EA60B6">
      <w:rPr>
        <w:sz w:val="20"/>
      </w:rPr>
      <w:tab/>
      <w:t>VBECS Version 2.</w:t>
    </w:r>
    <w:r w:rsidR="009C473F">
      <w:rPr>
        <w:sz w:val="20"/>
      </w:rPr>
      <w:t>4.0</w:t>
    </w:r>
    <w:r w:rsidR="00EA60B6">
      <w:rPr>
        <w:sz w:val="20"/>
      </w:rPr>
      <w:t xml:space="preserve"> User Guide Version </w:t>
    </w:r>
    <w:r w:rsidR="009C473F">
      <w:rPr>
        <w:sz w:val="20"/>
      </w:rPr>
      <w:t>1</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12</w:t>
    </w:r>
    <w:r w:rsidR="00EA60B6">
      <w:rPr>
        <w:sz w:val="20"/>
      </w:rPr>
      <w:fldChar w:fldCharType="end"/>
    </w:r>
    <w:r w:rsidR="00EA60B6">
      <w:rPr>
        <w:sz w:val="20"/>
      </w:rPr>
      <w:tab/>
    </w:r>
  </w:p>
  <w:p w14:paraId="5A372246" w14:textId="7E43CC17" w:rsidR="00EA60B6" w:rsidRDefault="00EA60B6" w:rsidP="00784D58">
    <w:pPr>
      <w:pStyle w:val="Footer"/>
      <w:tabs>
        <w:tab w:val="clear" w:pos="4320"/>
        <w:tab w:val="clear" w:pos="8640"/>
        <w:tab w:val="center" w:pos="5040"/>
        <w:tab w:val="right" w:pos="9360"/>
      </w:tabs>
      <w:ind w:right="36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A036" w14:textId="77777777" w:rsidR="00EA60B6" w:rsidRDefault="00EA60B6" w:rsidP="00F7279E">
    <w:pPr>
      <w:pStyle w:val="Footer"/>
      <w:tabs>
        <w:tab w:val="clear" w:pos="8640"/>
        <w:tab w:val="right" w:pos="9360"/>
      </w:tabs>
      <w:ind w:right="360"/>
      <w:rPr>
        <w:sz w:val="20"/>
      </w:rPr>
    </w:pPr>
  </w:p>
  <w:p w14:paraId="43EEE313" w14:textId="77777777" w:rsidR="00EA60B6" w:rsidRDefault="00EA60B6" w:rsidP="00F7279E">
    <w:pPr>
      <w:pStyle w:val="Footer"/>
      <w:tabs>
        <w:tab w:val="clear" w:pos="8640"/>
        <w:tab w:val="right" w:pos="9360"/>
      </w:tabs>
      <w:ind w:right="360"/>
      <w:rPr>
        <w:sz w:val="20"/>
      </w:rPr>
    </w:pPr>
  </w:p>
  <w:p w14:paraId="52691F21" w14:textId="353A63AD" w:rsidR="00EA60B6" w:rsidRDefault="00826DCE" w:rsidP="00784D58">
    <w:pPr>
      <w:pStyle w:val="Footer"/>
      <w:tabs>
        <w:tab w:val="clear" w:pos="4320"/>
        <w:tab w:val="clear" w:pos="8640"/>
        <w:tab w:val="center" w:pos="5040"/>
        <w:tab w:val="right" w:pos="9360"/>
        <w:tab w:val="right" w:pos="12780"/>
        <w:tab w:val="right" w:pos="12960"/>
      </w:tabs>
      <w:ind w:right="360"/>
      <w:rPr>
        <w:sz w:val="20"/>
      </w:rPr>
    </w:pPr>
    <w:r>
      <w:rPr>
        <w:sz w:val="20"/>
      </w:rPr>
      <w:t>April 2024</w:t>
    </w:r>
    <w:r w:rsidR="00EA60B6">
      <w:rPr>
        <w:sz w:val="20"/>
      </w:rPr>
      <w:tab/>
      <w:t>VBECS Version 2.</w:t>
    </w:r>
    <w:r w:rsidR="005E5828">
      <w:rPr>
        <w:sz w:val="20"/>
      </w:rPr>
      <w:t>4.0</w:t>
    </w:r>
    <w:r w:rsidR="00EA60B6">
      <w:rPr>
        <w:sz w:val="20"/>
      </w:rPr>
      <w:t xml:space="preserve"> User Guide Version </w:t>
    </w:r>
    <w:r w:rsidR="005E5828">
      <w:rPr>
        <w:sz w:val="20"/>
      </w:rPr>
      <w:t>1</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420</w:t>
    </w:r>
    <w:r w:rsidR="00EA60B6">
      <w:rPr>
        <w:sz w:val="20"/>
      </w:rPr>
      <w:fldChar w:fldCharType="end"/>
    </w:r>
    <w:r w:rsidR="00EA60B6">
      <w:rPr>
        <w:sz w:val="20"/>
      </w:rPr>
      <w:tab/>
    </w:r>
  </w:p>
  <w:p w14:paraId="29A071A8" w14:textId="7A2401E1" w:rsidR="00EA60B6" w:rsidRDefault="00EA60B6" w:rsidP="00784D58">
    <w:pPr>
      <w:pStyle w:val="Footer"/>
      <w:tabs>
        <w:tab w:val="clear" w:pos="4320"/>
        <w:tab w:val="clear" w:pos="8640"/>
        <w:tab w:val="center" w:pos="5040"/>
        <w:tab w:val="right" w:pos="9360"/>
        <w:tab w:val="right" w:pos="12960"/>
      </w:tabs>
      <w:ind w:right="360"/>
      <w:rPr>
        <w:sz w:val="20"/>
      </w:rPr>
    </w:pPr>
  </w:p>
  <w:p w14:paraId="5775986A" w14:textId="6BC3347C" w:rsidR="00EA60B6" w:rsidRDefault="00EA60B6" w:rsidP="00784D58">
    <w:pPr>
      <w:pStyle w:val="Footer"/>
      <w:tabs>
        <w:tab w:val="clear" w:pos="4320"/>
        <w:tab w:val="clear" w:pos="8640"/>
        <w:tab w:val="center" w:pos="5040"/>
        <w:tab w:val="right" w:pos="9360"/>
      </w:tabs>
      <w:ind w:right="36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6797" w14:textId="77777777" w:rsidR="00EA60B6" w:rsidRDefault="00EA60B6" w:rsidP="00140686">
    <w:pPr>
      <w:pStyle w:val="Footer"/>
      <w:tabs>
        <w:tab w:val="clear" w:pos="4320"/>
        <w:tab w:val="clear" w:pos="8640"/>
        <w:tab w:val="center" w:pos="6480"/>
        <w:tab w:val="right" w:pos="12960"/>
      </w:tabs>
      <w:ind w:right="360"/>
      <w:rPr>
        <w:sz w:val="20"/>
      </w:rPr>
    </w:pPr>
  </w:p>
  <w:p w14:paraId="12FBCB06" w14:textId="77777777" w:rsidR="00EA60B6" w:rsidRDefault="00EA60B6" w:rsidP="00140686">
    <w:pPr>
      <w:pStyle w:val="Footer"/>
      <w:tabs>
        <w:tab w:val="clear" w:pos="4320"/>
        <w:tab w:val="clear" w:pos="8640"/>
        <w:tab w:val="center" w:pos="6480"/>
        <w:tab w:val="right" w:pos="12960"/>
      </w:tabs>
      <w:ind w:right="360"/>
      <w:rPr>
        <w:sz w:val="20"/>
      </w:rPr>
    </w:pPr>
  </w:p>
  <w:p w14:paraId="60A85D60" w14:textId="793D00E3" w:rsidR="00EA60B6" w:rsidRDefault="00826DCE" w:rsidP="00140686">
    <w:pPr>
      <w:pStyle w:val="Footer"/>
      <w:tabs>
        <w:tab w:val="clear" w:pos="4320"/>
        <w:tab w:val="clear" w:pos="8640"/>
        <w:tab w:val="center" w:pos="6480"/>
        <w:tab w:val="right" w:pos="12960"/>
      </w:tabs>
      <w:ind w:right="360"/>
      <w:rPr>
        <w:sz w:val="20"/>
      </w:rPr>
    </w:pPr>
    <w:r>
      <w:rPr>
        <w:sz w:val="20"/>
      </w:rPr>
      <w:t>April 2024</w:t>
    </w:r>
    <w:r w:rsidR="00EA60B6">
      <w:rPr>
        <w:sz w:val="20"/>
      </w:rPr>
      <w:tab/>
      <w:t>VBECS Version 2.</w:t>
    </w:r>
    <w:r w:rsidR="005E5828">
      <w:rPr>
        <w:sz w:val="20"/>
      </w:rPr>
      <w:t>4.0</w:t>
    </w:r>
    <w:r w:rsidR="00EA60B6">
      <w:rPr>
        <w:sz w:val="20"/>
      </w:rPr>
      <w:t xml:space="preserve"> User Guide Version </w:t>
    </w:r>
    <w:r w:rsidR="005E5828">
      <w:rPr>
        <w:sz w:val="20"/>
      </w:rPr>
      <w:t>1</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427</w:t>
    </w:r>
    <w:r w:rsidR="00EA60B6">
      <w:rPr>
        <w:sz w:val="20"/>
      </w:rPr>
      <w:fldChar w:fldCharType="end"/>
    </w:r>
  </w:p>
  <w:p w14:paraId="14223FE5" w14:textId="77777777" w:rsidR="00EA60B6" w:rsidRDefault="00EA60B6" w:rsidP="00536F22">
    <w:pPr>
      <w:pStyle w:val="Footer"/>
      <w:tabs>
        <w:tab w:val="clear" w:pos="8640"/>
        <w:tab w:val="right" w:pos="9360"/>
      </w:tabs>
      <w:ind w:right="360"/>
      <w:rPr>
        <w:sz w:val="20"/>
      </w:rPr>
    </w:pPr>
  </w:p>
  <w:p w14:paraId="00F9F3A9" w14:textId="77777777" w:rsidR="00EA60B6" w:rsidRDefault="00EA60B6" w:rsidP="00536F22">
    <w:pPr>
      <w:pStyle w:val="Footer"/>
      <w:tabs>
        <w:tab w:val="clear" w:pos="4320"/>
        <w:tab w:val="clear" w:pos="8640"/>
        <w:tab w:val="center" w:pos="648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DFA5" w14:textId="77777777" w:rsidR="00EA60B6" w:rsidRDefault="00EA60B6" w:rsidP="00F304F2">
    <w:pPr>
      <w:pStyle w:val="Footer"/>
      <w:tabs>
        <w:tab w:val="clear" w:pos="8640"/>
        <w:tab w:val="right" w:pos="9360"/>
      </w:tabs>
      <w:ind w:right="360"/>
      <w:rPr>
        <w:sz w:val="20"/>
      </w:rPr>
    </w:pPr>
  </w:p>
  <w:p w14:paraId="1DAF85E3" w14:textId="77777777" w:rsidR="00EA60B6" w:rsidRDefault="00EA60B6" w:rsidP="00F304F2">
    <w:pPr>
      <w:pStyle w:val="Footer"/>
      <w:tabs>
        <w:tab w:val="clear" w:pos="8640"/>
        <w:tab w:val="right" w:pos="9360"/>
      </w:tabs>
      <w:ind w:right="360"/>
      <w:rPr>
        <w:sz w:val="20"/>
      </w:rPr>
    </w:pPr>
  </w:p>
  <w:p w14:paraId="71B01573" w14:textId="2E7BB418" w:rsidR="00EA60B6" w:rsidRDefault="00826DCE" w:rsidP="00F304F2">
    <w:pPr>
      <w:pStyle w:val="Footer"/>
      <w:tabs>
        <w:tab w:val="clear" w:pos="4320"/>
        <w:tab w:val="clear" w:pos="8640"/>
        <w:tab w:val="center" w:pos="5040"/>
        <w:tab w:val="right" w:pos="9360"/>
      </w:tabs>
      <w:ind w:right="360"/>
      <w:rPr>
        <w:sz w:val="20"/>
      </w:rPr>
    </w:pPr>
    <w:r>
      <w:rPr>
        <w:sz w:val="20"/>
      </w:rPr>
      <w:t>April 2024</w:t>
    </w:r>
    <w:r w:rsidR="00EA60B6">
      <w:rPr>
        <w:sz w:val="20"/>
      </w:rPr>
      <w:tab/>
      <w:t>VBECS Version 2.</w:t>
    </w:r>
    <w:r w:rsidR="005E5828">
      <w:rPr>
        <w:sz w:val="20"/>
      </w:rPr>
      <w:t>4.0</w:t>
    </w:r>
    <w:r w:rsidR="00EA60B6">
      <w:rPr>
        <w:sz w:val="20"/>
      </w:rPr>
      <w:t xml:space="preserve"> User Guide Version </w:t>
    </w:r>
    <w:r w:rsidR="005E5828">
      <w:rPr>
        <w:sz w:val="20"/>
      </w:rPr>
      <w:t>1</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443</w:t>
    </w:r>
    <w:r w:rsidR="00EA60B6">
      <w:rPr>
        <w:sz w:val="20"/>
      </w:rPr>
      <w:fldChar w:fldCharType="end"/>
    </w:r>
  </w:p>
  <w:p w14:paraId="606392E9" w14:textId="77777777" w:rsidR="00EA60B6" w:rsidRDefault="00EA60B6" w:rsidP="00536F22">
    <w:pPr>
      <w:pStyle w:val="Footer"/>
      <w:tabs>
        <w:tab w:val="clear" w:pos="4320"/>
        <w:tab w:val="clear" w:pos="8640"/>
        <w:tab w:val="center" w:pos="648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77AF7" w14:textId="77777777" w:rsidR="00EA60B6" w:rsidRDefault="00EA60B6">
    <w:pPr>
      <w:pStyle w:val="Footer"/>
      <w:tabs>
        <w:tab w:val="clear" w:pos="8640"/>
        <w:tab w:val="right" w:pos="12600"/>
      </w:tabs>
      <w:ind w:right="360"/>
      <w:rPr>
        <w:sz w:val="20"/>
      </w:rPr>
    </w:pPr>
  </w:p>
  <w:p w14:paraId="66B52DB2" w14:textId="77777777" w:rsidR="00EA60B6" w:rsidRDefault="00EA60B6">
    <w:pPr>
      <w:pStyle w:val="Footer"/>
      <w:tabs>
        <w:tab w:val="clear" w:pos="8640"/>
        <w:tab w:val="right" w:pos="9360"/>
      </w:tabs>
      <w:ind w:right="360"/>
      <w:rPr>
        <w:sz w:val="20"/>
      </w:rPr>
    </w:pPr>
  </w:p>
  <w:p w14:paraId="4FA6E8F2" w14:textId="7FF7DE86" w:rsidR="00EA60B6" w:rsidRDefault="00826DCE" w:rsidP="000753FE">
    <w:pPr>
      <w:pStyle w:val="Footer"/>
      <w:tabs>
        <w:tab w:val="clear" w:pos="4320"/>
        <w:tab w:val="clear" w:pos="8640"/>
        <w:tab w:val="center" w:pos="5040"/>
        <w:tab w:val="right" w:pos="9360"/>
        <w:tab w:val="right" w:pos="12960"/>
      </w:tabs>
      <w:ind w:right="360"/>
      <w:rPr>
        <w:sz w:val="20"/>
      </w:rPr>
    </w:pPr>
    <w:r>
      <w:rPr>
        <w:sz w:val="20"/>
      </w:rPr>
      <w:t>April 2024</w:t>
    </w:r>
    <w:r w:rsidR="00EA60B6">
      <w:rPr>
        <w:sz w:val="20"/>
      </w:rPr>
      <w:tab/>
      <w:t>VBECS Version 2.</w:t>
    </w:r>
    <w:r w:rsidR="005E5828">
      <w:rPr>
        <w:sz w:val="20"/>
      </w:rPr>
      <w:t>4.0</w:t>
    </w:r>
    <w:r w:rsidR="00EA60B6">
      <w:rPr>
        <w:sz w:val="20"/>
      </w:rPr>
      <w:t xml:space="preserve"> User Guide Version </w:t>
    </w:r>
    <w:r w:rsidR="005E5828">
      <w:rPr>
        <w:sz w:val="20"/>
      </w:rPr>
      <w:t>1</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519</w:t>
    </w:r>
    <w:r w:rsidR="00EA60B6">
      <w:rPr>
        <w:sz w:val="20"/>
      </w:rPr>
      <w:fldChar w:fldCharType="end"/>
    </w:r>
    <w:r w:rsidR="00EA60B6">
      <w:rPr>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89A4" w14:textId="77777777" w:rsidR="00EA60B6" w:rsidRDefault="00EA60B6">
    <w:pPr>
      <w:pStyle w:val="Footer"/>
      <w:tabs>
        <w:tab w:val="clear" w:pos="8640"/>
        <w:tab w:val="right" w:pos="12600"/>
      </w:tabs>
      <w:ind w:right="360"/>
      <w:rPr>
        <w:sz w:val="20"/>
      </w:rPr>
    </w:pPr>
  </w:p>
  <w:p w14:paraId="06F33F4F" w14:textId="77777777" w:rsidR="00EA60B6" w:rsidRDefault="00EA60B6">
    <w:pPr>
      <w:pStyle w:val="Footer"/>
      <w:tabs>
        <w:tab w:val="clear" w:pos="8640"/>
        <w:tab w:val="right" w:pos="9360"/>
      </w:tabs>
      <w:ind w:right="360"/>
      <w:rPr>
        <w:sz w:val="20"/>
      </w:rPr>
    </w:pPr>
  </w:p>
  <w:p w14:paraId="0778D4BE" w14:textId="782FF31F" w:rsidR="00EA60B6" w:rsidRDefault="00826DCE" w:rsidP="00714F12">
    <w:pPr>
      <w:pStyle w:val="Footer"/>
      <w:tabs>
        <w:tab w:val="clear" w:pos="4320"/>
        <w:tab w:val="clear" w:pos="8640"/>
        <w:tab w:val="center" w:pos="5040"/>
        <w:tab w:val="right" w:pos="9360"/>
        <w:tab w:val="right" w:pos="12780"/>
        <w:tab w:val="right" w:pos="12960"/>
      </w:tabs>
      <w:ind w:right="360"/>
      <w:rPr>
        <w:sz w:val="20"/>
      </w:rPr>
    </w:pPr>
    <w:r>
      <w:rPr>
        <w:sz w:val="20"/>
      </w:rPr>
      <w:t>April 2024</w:t>
    </w:r>
    <w:r w:rsidR="00EA60B6">
      <w:rPr>
        <w:sz w:val="20"/>
      </w:rPr>
      <w:tab/>
      <w:t>VBECS Version 2.</w:t>
    </w:r>
    <w:r w:rsidR="005E5828">
      <w:rPr>
        <w:sz w:val="20"/>
      </w:rPr>
      <w:t>4.0</w:t>
    </w:r>
    <w:r w:rsidR="00EA60B6">
      <w:rPr>
        <w:sz w:val="20"/>
      </w:rPr>
      <w:t xml:space="preserve"> User Guide Version </w:t>
    </w:r>
    <w:r w:rsidR="005E5828">
      <w:rPr>
        <w:sz w:val="20"/>
      </w:rPr>
      <w:t>1</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521</w:t>
    </w:r>
    <w:r w:rsidR="00EA60B6">
      <w:rPr>
        <w:sz w:val="20"/>
      </w:rPr>
      <w:fldChar w:fldCharType="end"/>
    </w:r>
    <w:r w:rsidR="00EA60B6">
      <w:rPr>
        <w:sz w:val="20"/>
      </w:rPr>
      <w:tab/>
    </w:r>
  </w:p>
  <w:p w14:paraId="232726F4" w14:textId="55C87D39" w:rsidR="00EA60B6" w:rsidRDefault="00EA60B6" w:rsidP="00714F12">
    <w:pPr>
      <w:pStyle w:val="Footer"/>
      <w:tabs>
        <w:tab w:val="clear" w:pos="4320"/>
        <w:tab w:val="clear" w:pos="8640"/>
        <w:tab w:val="center" w:pos="6480"/>
        <w:tab w:val="right" w:pos="12960"/>
      </w:tabs>
      <w:ind w:right="360"/>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88BA" w14:textId="77777777" w:rsidR="00EA60B6" w:rsidRDefault="00EA60B6">
    <w:pPr>
      <w:pStyle w:val="Footer"/>
      <w:tabs>
        <w:tab w:val="clear" w:pos="8640"/>
        <w:tab w:val="right" w:pos="12600"/>
      </w:tabs>
      <w:ind w:right="360"/>
      <w:rPr>
        <w:sz w:val="20"/>
      </w:rPr>
    </w:pPr>
  </w:p>
  <w:p w14:paraId="00980158" w14:textId="77777777" w:rsidR="00EA60B6" w:rsidRDefault="00EA60B6">
    <w:pPr>
      <w:pStyle w:val="Footer"/>
      <w:tabs>
        <w:tab w:val="clear" w:pos="8640"/>
        <w:tab w:val="right" w:pos="9360"/>
      </w:tabs>
      <w:ind w:right="360"/>
      <w:rPr>
        <w:sz w:val="20"/>
      </w:rPr>
    </w:pPr>
  </w:p>
  <w:p w14:paraId="6278422B" w14:textId="1DFE9AFB" w:rsidR="00EA60B6" w:rsidRDefault="00826DCE" w:rsidP="007566FC">
    <w:pPr>
      <w:pStyle w:val="Footer"/>
      <w:tabs>
        <w:tab w:val="clear" w:pos="4320"/>
        <w:tab w:val="clear" w:pos="8640"/>
        <w:tab w:val="center" w:pos="5040"/>
        <w:tab w:val="right" w:pos="9360"/>
        <w:tab w:val="right" w:pos="12960"/>
      </w:tabs>
      <w:ind w:right="360"/>
      <w:rPr>
        <w:sz w:val="20"/>
      </w:rPr>
    </w:pPr>
    <w:r>
      <w:rPr>
        <w:sz w:val="20"/>
      </w:rPr>
      <w:t>April 2024</w:t>
    </w:r>
    <w:r w:rsidR="00EA60B6">
      <w:rPr>
        <w:sz w:val="20"/>
      </w:rPr>
      <w:tab/>
      <w:t>VBECS Version 2.</w:t>
    </w:r>
    <w:r w:rsidR="005E5828">
      <w:rPr>
        <w:sz w:val="20"/>
      </w:rPr>
      <w:t>4.0</w:t>
    </w:r>
    <w:r w:rsidR="00EA60B6">
      <w:rPr>
        <w:sz w:val="20"/>
      </w:rPr>
      <w:t xml:space="preserve"> User Guide Version </w:t>
    </w:r>
    <w:r w:rsidR="005E5828">
      <w:rPr>
        <w:sz w:val="20"/>
      </w:rPr>
      <w:t>1</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524</w:t>
    </w:r>
    <w:r w:rsidR="00EA60B6">
      <w:rPr>
        <w:sz w:val="20"/>
      </w:rPr>
      <w:fldChar w:fldCharType="end"/>
    </w:r>
    <w:r w:rsidR="00EA60B6">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A05DA" w14:textId="77777777" w:rsidR="00CA4A9F" w:rsidRDefault="00CA4A9F">
      <w:r>
        <w:separator/>
      </w:r>
    </w:p>
  </w:footnote>
  <w:footnote w:type="continuationSeparator" w:id="0">
    <w:p w14:paraId="6E49D390" w14:textId="77777777" w:rsidR="00CA4A9F" w:rsidRDefault="00CA4A9F">
      <w:r>
        <w:continuationSeparator/>
      </w:r>
    </w:p>
  </w:footnote>
  <w:footnote w:id="1">
    <w:p w14:paraId="4CEEF123" w14:textId="77777777" w:rsidR="00EA60B6" w:rsidRDefault="00EA60B6">
      <w:pPr>
        <w:pStyle w:val="FootnoteText"/>
      </w:pPr>
      <w:r>
        <w:rPr>
          <w:rStyle w:val="FootnoteReference"/>
        </w:rPr>
        <w:footnoteRef/>
      </w:r>
      <w:r>
        <w:t xml:space="preserve"> There is a slight difference in terminology b</w:t>
      </w:r>
      <w:r w:rsidRPr="00670304">
        <w:t>etween VistA and VBECS: VistA us</w:t>
      </w:r>
      <w:r>
        <w:t>es “log on” and “logon,” and VBECS uses “log in” and “login.” Therefore, both terms are used throughout this guide. “Log in” and “login” are used generically when referring to both systems at one time.</w:t>
      </w:r>
    </w:p>
  </w:footnote>
  <w:footnote w:id="2">
    <w:p w14:paraId="3DA217B5" w14:textId="77777777" w:rsidR="00EA60B6" w:rsidRDefault="00EA60B6">
      <w:pPr>
        <w:pStyle w:val="FootnoteText"/>
      </w:pPr>
      <w:r>
        <w:rPr>
          <w:rStyle w:val="FootnoteReference"/>
        </w:rPr>
        <w:footnoteRef/>
      </w:r>
      <w:r>
        <w:t xml:space="preserve"> Larger versions of these icons appear throughout VBECS in the corresponding option windows. They cannot be used to access options.</w:t>
      </w:r>
    </w:p>
  </w:footnote>
  <w:footnote w:id="3">
    <w:p w14:paraId="0E745ABE" w14:textId="6672FE95" w:rsidR="00EA60B6" w:rsidRDefault="00EA60B6" w:rsidP="00F60A24">
      <w:pPr>
        <w:rPr>
          <w:rFonts w:ascii="Arial Bold" w:hAnsi="Arial Bold"/>
        </w:rPr>
      </w:pPr>
      <w:r>
        <w:rPr>
          <w:rStyle w:val="FootnoteReference"/>
        </w:rPr>
        <w:footnoteRef/>
      </w:r>
      <w:r>
        <w:t xml:space="preserve"> </w:t>
      </w:r>
      <w:r w:rsidRPr="00F60A24">
        <w:rPr>
          <w:spacing w:val="-5"/>
          <w:sz w:val="20"/>
          <w:szCs w:val="20"/>
        </w:rPr>
        <w:t>Active: VBECS order that is not rejected, cance</w:t>
      </w:r>
      <w:r>
        <w:rPr>
          <w:spacing w:val="-5"/>
          <w:sz w:val="20"/>
          <w:szCs w:val="20"/>
        </w:rPr>
        <w:t>l</w:t>
      </w:r>
      <w:r w:rsidRPr="00F60A24">
        <w:rPr>
          <w:spacing w:val="-5"/>
          <w:sz w:val="20"/>
          <w:szCs w:val="20"/>
        </w:rPr>
        <w:t xml:space="preserve">led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20C9D24A" w14:textId="77777777" w:rsidR="00EA60B6" w:rsidRDefault="00EA60B6">
      <w:pPr>
        <w:pStyle w:val="FootnoteText"/>
      </w:pPr>
    </w:p>
  </w:footnote>
  <w:footnote w:id="4">
    <w:p w14:paraId="79951B40" w14:textId="77777777" w:rsidR="00EA60B6" w:rsidRDefault="00EA60B6" w:rsidP="004A6408">
      <w:pPr>
        <w:pStyle w:val="FootnoteText"/>
      </w:pPr>
      <w:r>
        <w:rPr>
          <w:rStyle w:val="FootnoteReference"/>
        </w:rPr>
        <w:footnoteRef/>
      </w:r>
      <w:r>
        <w:t xml:space="preserve"> Room Temperature/Immediate Spin</w:t>
      </w:r>
    </w:p>
  </w:footnote>
  <w:footnote w:id="5">
    <w:p w14:paraId="68435332" w14:textId="77777777" w:rsidR="00EA60B6" w:rsidRDefault="00EA60B6" w:rsidP="004A6408">
      <w:pPr>
        <w:pStyle w:val="FootnoteText"/>
      </w:pPr>
      <w:r>
        <w:rPr>
          <w:rStyle w:val="FootnoteReference"/>
        </w:rPr>
        <w:footnoteRef/>
      </w:r>
      <w:r>
        <w:t xml:space="preserve"> Anti-Human Globulin</w:t>
      </w:r>
    </w:p>
  </w:footnote>
  <w:footnote w:id="6">
    <w:p w14:paraId="79DB8332" w14:textId="77777777" w:rsidR="00EA60B6" w:rsidRDefault="00EA60B6" w:rsidP="004A6408">
      <w:pPr>
        <w:pStyle w:val="FootnoteText"/>
      </w:pPr>
      <w:r>
        <w:rPr>
          <w:rStyle w:val="FootnoteReference"/>
        </w:rPr>
        <w:footnoteRef/>
      </w:r>
      <w:r>
        <w:t xml:space="preserve"> Coated cell</w:t>
      </w:r>
    </w:p>
  </w:footnote>
  <w:footnote w:id="7">
    <w:p w14:paraId="754513CA" w14:textId="649D8D4B" w:rsidR="00EA60B6" w:rsidRDefault="00EA60B6" w:rsidP="002369C9">
      <w:pPr>
        <w:rPr>
          <w:rFonts w:ascii="Arial Bold" w:hAnsi="Arial Bold"/>
        </w:rPr>
      </w:pPr>
      <w:r>
        <w:rPr>
          <w:rStyle w:val="FootnoteReference"/>
        </w:rPr>
        <w:footnoteRef/>
      </w:r>
      <w:r>
        <w:t xml:space="preserve"> </w:t>
      </w:r>
      <w:r w:rsidRPr="00F60A24">
        <w:rPr>
          <w:spacing w:val="-5"/>
          <w:sz w:val="20"/>
          <w:szCs w:val="20"/>
        </w:rPr>
        <w:t>Active: VBECS order that is not rejected, cancel</w:t>
      </w:r>
      <w:r>
        <w:rPr>
          <w:spacing w:val="-5"/>
          <w:sz w:val="20"/>
          <w:szCs w:val="20"/>
        </w:rPr>
        <w:t>l</w:t>
      </w:r>
      <w:r w:rsidRPr="00F60A24">
        <w:rPr>
          <w:spacing w:val="-5"/>
          <w:sz w:val="20"/>
          <w:szCs w:val="20"/>
        </w:rPr>
        <w:t xml:space="preserve">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76152BAF" w14:textId="77777777" w:rsidR="00EA60B6" w:rsidRDefault="00EA60B6" w:rsidP="002369C9">
      <w:pPr>
        <w:pStyle w:val="FootnoteText"/>
      </w:pPr>
    </w:p>
  </w:footnote>
  <w:footnote w:id="8">
    <w:p w14:paraId="2539C9CB" w14:textId="77777777" w:rsidR="00EA60B6" w:rsidRDefault="00EA60B6" w:rsidP="002F6D7B">
      <w:pPr>
        <w:numPr>
          <w:ilvl w:val="0"/>
          <w:numId w:val="13"/>
        </w:numPr>
        <w:tabs>
          <w:tab w:val="clear" w:pos="720"/>
        </w:tabs>
        <w:spacing w:before="100" w:beforeAutospacing="1" w:after="100" w:afterAutospacing="1"/>
        <w:ind w:left="135"/>
      </w:pPr>
      <w:r>
        <w:rPr>
          <w:rStyle w:val="FootnoteReference"/>
        </w:rPr>
        <w:footnoteRef/>
      </w:r>
      <w:r>
        <w:t xml:space="preserve"> </w:t>
      </w:r>
      <w:r w:rsidRPr="00BE2EB7">
        <w:rPr>
          <w:sz w:val="20"/>
          <w:szCs w:val="20"/>
        </w:rPr>
        <w:t xml:space="preserve">To make a copy of the active window, press </w:t>
      </w:r>
      <w:r w:rsidRPr="00BE2EB7">
        <w:rPr>
          <w:b/>
          <w:bCs/>
          <w:sz w:val="20"/>
          <w:szCs w:val="20"/>
        </w:rPr>
        <w:t>Alt+Print Screen</w:t>
      </w:r>
      <w:r w:rsidRPr="00BE2EB7">
        <w:rPr>
          <w:sz w:val="20"/>
          <w:szCs w:val="20"/>
        </w:rPr>
        <w:t xml:space="preserve">. To copy the entire screen as it appears on your monitor, press </w:t>
      </w:r>
      <w:r w:rsidRPr="00BE2EB7">
        <w:rPr>
          <w:b/>
          <w:bCs/>
          <w:sz w:val="20"/>
          <w:szCs w:val="20"/>
        </w:rPr>
        <w:t>Print Screen</w:t>
      </w:r>
      <w:r w:rsidRPr="00BE2EB7">
        <w:rPr>
          <w:sz w:val="20"/>
          <w:szCs w:val="20"/>
        </w:rPr>
        <w:t xml:space="preserve">. To paste the image into a file in an Office program, open the file you want to paste the image into, click </w:t>
      </w:r>
      <w:r w:rsidRPr="00BE2EB7">
        <w:rPr>
          <w:b/>
          <w:bCs/>
          <w:sz w:val="20"/>
          <w:szCs w:val="20"/>
        </w:rPr>
        <w:t>Edit</w:t>
      </w:r>
      <w:r w:rsidRPr="00BE2EB7">
        <w:rPr>
          <w:sz w:val="20"/>
          <w:szCs w:val="20"/>
        </w:rPr>
        <w:t xml:space="preserve">, and then click </w:t>
      </w:r>
      <w:r w:rsidRPr="00BE2EB7">
        <w:rPr>
          <w:b/>
          <w:bCs/>
          <w:sz w:val="20"/>
          <w:szCs w:val="20"/>
        </w:rPr>
        <w:t>Paste</w:t>
      </w:r>
      <w:r w:rsidRPr="00BE2EB7">
        <w:rPr>
          <w:sz w:val="20"/>
          <w:szCs w:val="20"/>
        </w:rPr>
        <w:t xml:space="preserve">. </w:t>
      </w:r>
    </w:p>
  </w:footnote>
  <w:footnote w:id="9">
    <w:p w14:paraId="34FF35E8" w14:textId="77777777" w:rsidR="00EA60B6" w:rsidRDefault="00EA60B6" w:rsidP="002E3C00">
      <w:pPr>
        <w:pStyle w:val="FootnoteText"/>
      </w:pPr>
      <w:r>
        <w:rPr>
          <w:rStyle w:val="FootnoteReference"/>
        </w:rPr>
        <w:footnoteRef/>
      </w:r>
      <w:r>
        <w:t xml:space="preserve"> Default is </w:t>
      </w:r>
      <w:r w:rsidRPr="007121BA">
        <w:t>270</w:t>
      </w:r>
      <w:r>
        <w:t xml:space="preserve"> minutes (4 hours, 30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62E1" w14:textId="77777777" w:rsidR="00EA60B6" w:rsidRDefault="00EA60B6">
    <w:pPr>
      <w:pStyle w:val="Header"/>
      <w:jc w:val="center"/>
    </w:pPr>
  </w:p>
  <w:p w14:paraId="19A61421" w14:textId="77777777" w:rsidR="00EA60B6" w:rsidRDefault="00EA60B6">
    <w:pPr>
      <w:pStyle w:val="Header"/>
      <w:jc w:val="center"/>
    </w:pPr>
  </w:p>
  <w:p w14:paraId="135EE6EB" w14:textId="77777777" w:rsidR="00EA60B6" w:rsidRDefault="00EA60B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C6AA" w14:textId="77777777" w:rsidR="00EA60B6" w:rsidRDefault="00EA60B6">
    <w:pPr>
      <w:pStyle w:val="Header"/>
      <w:jc w:val="center"/>
      <w:rPr>
        <w:rFonts w:ascii="Arial" w:hAnsi="Arial" w:cs="Arial"/>
        <w:i/>
      </w:rPr>
    </w:pPr>
  </w:p>
  <w:p w14:paraId="73D33D40" w14:textId="77777777" w:rsidR="00EA60B6" w:rsidRDefault="00EA60B6">
    <w:pPr>
      <w:pStyle w:val="Header"/>
      <w:jc w:val="center"/>
    </w:pPr>
  </w:p>
  <w:p w14:paraId="09E1A3C2" w14:textId="77777777" w:rsidR="00EA60B6" w:rsidRDefault="00EA60B6">
    <w:pPr>
      <w:pStyle w:val="Header"/>
      <w:jc w:val="center"/>
    </w:pPr>
  </w:p>
  <w:p w14:paraId="30540558" w14:textId="77777777" w:rsidR="00EA60B6" w:rsidRDefault="00EA60B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E0D0" w14:textId="77777777" w:rsidR="00EA60B6" w:rsidRDefault="00EA60B6" w:rsidP="001971FE">
    <w:pPr>
      <w:pStyle w:val="Header"/>
      <w:jc w:val="center"/>
      <w:rPr>
        <w:rFonts w:ascii="Arial" w:hAnsi="Arial" w:cs="Arial"/>
        <w:i/>
      </w:rPr>
    </w:pPr>
  </w:p>
  <w:p w14:paraId="55C3433C" w14:textId="77777777" w:rsidR="00EA60B6" w:rsidRDefault="00EA60B6" w:rsidP="001971FE">
    <w:pPr>
      <w:pStyle w:val="Header"/>
      <w:jc w:val="center"/>
    </w:pPr>
  </w:p>
  <w:p w14:paraId="3EF72D10" w14:textId="77777777" w:rsidR="00EA60B6" w:rsidRDefault="00EA60B6">
    <w:pPr>
      <w:pStyle w:val="Header"/>
      <w:jc w:val="center"/>
    </w:pPr>
  </w:p>
  <w:p w14:paraId="2B88979B" w14:textId="77777777" w:rsidR="00EA60B6" w:rsidRDefault="00EA60B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E886" w14:textId="77777777" w:rsidR="00EA60B6" w:rsidRDefault="00EA60B6" w:rsidP="001971FE">
    <w:pPr>
      <w:pStyle w:val="Header"/>
      <w:jc w:val="center"/>
      <w:rPr>
        <w:rFonts w:ascii="Arial" w:hAnsi="Arial" w:cs="Arial"/>
        <w:i/>
      </w:rPr>
    </w:pPr>
  </w:p>
  <w:p w14:paraId="5E934C06" w14:textId="77777777" w:rsidR="00EA60B6" w:rsidRDefault="00EA60B6" w:rsidP="001971FE">
    <w:pPr>
      <w:pStyle w:val="Header"/>
      <w:jc w:val="center"/>
    </w:pPr>
  </w:p>
  <w:p w14:paraId="53D85905" w14:textId="77777777" w:rsidR="00EA60B6" w:rsidRDefault="00EA60B6">
    <w:pPr>
      <w:pStyle w:val="Header"/>
      <w:jc w:val="center"/>
    </w:pPr>
  </w:p>
  <w:p w14:paraId="2DDC02AA" w14:textId="77777777" w:rsidR="00EA60B6" w:rsidRDefault="00EA60B6">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EDAAC" w14:textId="77777777" w:rsidR="00EA60B6" w:rsidRDefault="00EA60B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0CFF" w14:textId="77777777" w:rsidR="00EA60B6" w:rsidRDefault="00EA60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alt="small_vistalink_fail" style="width:12pt;height:12pt;visibility:visible" o:bullet="t">
        <v:imagedata r:id="rId1" o:title="small_vistalink_fail"/>
      </v:shape>
    </w:pict>
  </w:numPicBullet>
  <w:abstractNum w:abstractNumId="0" w15:restartNumberingAfterBreak="0">
    <w:nsid w:val="04613CC0"/>
    <w:multiLevelType w:val="hybridMultilevel"/>
    <w:tmpl w:val="9B14D6CC"/>
    <w:lvl w:ilvl="0" w:tplc="EB7C977E">
      <w:start w:val="1"/>
      <w:numFmt w:val="bullet"/>
      <w:pStyle w:val="GlossaryTableTextBullets"/>
      <w:lvlText w:val=""/>
      <w:lvlJc w:val="left"/>
      <w:pPr>
        <w:tabs>
          <w:tab w:val="num" w:pos="648"/>
        </w:tabs>
        <w:ind w:left="648" w:hanging="288"/>
      </w:pPr>
      <w:rPr>
        <w:rFonts w:ascii="Symbol" w:hAnsi="Symbol" w:hint="default"/>
        <w:sz w:val="18"/>
        <w:szCs w:val="18"/>
      </w:rPr>
    </w:lvl>
    <w:lvl w:ilvl="1" w:tplc="46A45A12" w:tentative="1">
      <w:start w:val="1"/>
      <w:numFmt w:val="bullet"/>
      <w:lvlText w:val="o"/>
      <w:lvlJc w:val="left"/>
      <w:pPr>
        <w:tabs>
          <w:tab w:val="num" w:pos="1800"/>
        </w:tabs>
        <w:ind w:left="1800" w:hanging="360"/>
      </w:pPr>
      <w:rPr>
        <w:rFonts w:ascii="Courier New" w:hAnsi="Courier New" w:cs="Courier New" w:hint="default"/>
      </w:rPr>
    </w:lvl>
    <w:lvl w:ilvl="2" w:tplc="E4DA0104" w:tentative="1">
      <w:start w:val="1"/>
      <w:numFmt w:val="bullet"/>
      <w:lvlText w:val=""/>
      <w:lvlJc w:val="left"/>
      <w:pPr>
        <w:tabs>
          <w:tab w:val="num" w:pos="2520"/>
        </w:tabs>
        <w:ind w:left="2520" w:hanging="360"/>
      </w:pPr>
      <w:rPr>
        <w:rFonts w:ascii="Wingdings" w:hAnsi="Wingdings" w:hint="default"/>
      </w:rPr>
    </w:lvl>
    <w:lvl w:ilvl="3" w:tplc="60B8E00C" w:tentative="1">
      <w:start w:val="1"/>
      <w:numFmt w:val="bullet"/>
      <w:lvlText w:val=""/>
      <w:lvlJc w:val="left"/>
      <w:pPr>
        <w:tabs>
          <w:tab w:val="num" w:pos="3240"/>
        </w:tabs>
        <w:ind w:left="3240" w:hanging="360"/>
      </w:pPr>
      <w:rPr>
        <w:rFonts w:ascii="Symbol" w:hAnsi="Symbol" w:hint="default"/>
      </w:rPr>
    </w:lvl>
    <w:lvl w:ilvl="4" w:tplc="CE0E6B90" w:tentative="1">
      <w:start w:val="1"/>
      <w:numFmt w:val="bullet"/>
      <w:lvlText w:val="o"/>
      <w:lvlJc w:val="left"/>
      <w:pPr>
        <w:tabs>
          <w:tab w:val="num" w:pos="3960"/>
        </w:tabs>
        <w:ind w:left="3960" w:hanging="360"/>
      </w:pPr>
      <w:rPr>
        <w:rFonts w:ascii="Courier New" w:hAnsi="Courier New" w:cs="Courier New" w:hint="default"/>
      </w:rPr>
    </w:lvl>
    <w:lvl w:ilvl="5" w:tplc="0456914E" w:tentative="1">
      <w:start w:val="1"/>
      <w:numFmt w:val="bullet"/>
      <w:lvlText w:val=""/>
      <w:lvlJc w:val="left"/>
      <w:pPr>
        <w:tabs>
          <w:tab w:val="num" w:pos="4680"/>
        </w:tabs>
        <w:ind w:left="4680" w:hanging="360"/>
      </w:pPr>
      <w:rPr>
        <w:rFonts w:ascii="Wingdings" w:hAnsi="Wingdings" w:hint="default"/>
      </w:rPr>
    </w:lvl>
    <w:lvl w:ilvl="6" w:tplc="F47E236E" w:tentative="1">
      <w:start w:val="1"/>
      <w:numFmt w:val="bullet"/>
      <w:lvlText w:val=""/>
      <w:lvlJc w:val="left"/>
      <w:pPr>
        <w:tabs>
          <w:tab w:val="num" w:pos="5400"/>
        </w:tabs>
        <w:ind w:left="5400" w:hanging="360"/>
      </w:pPr>
      <w:rPr>
        <w:rFonts w:ascii="Symbol" w:hAnsi="Symbol" w:hint="default"/>
      </w:rPr>
    </w:lvl>
    <w:lvl w:ilvl="7" w:tplc="B2946EFE" w:tentative="1">
      <w:start w:val="1"/>
      <w:numFmt w:val="bullet"/>
      <w:lvlText w:val="o"/>
      <w:lvlJc w:val="left"/>
      <w:pPr>
        <w:tabs>
          <w:tab w:val="num" w:pos="6120"/>
        </w:tabs>
        <w:ind w:left="6120" w:hanging="360"/>
      </w:pPr>
      <w:rPr>
        <w:rFonts w:ascii="Courier New" w:hAnsi="Courier New" w:cs="Courier New" w:hint="default"/>
      </w:rPr>
    </w:lvl>
    <w:lvl w:ilvl="8" w:tplc="A106DE5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E5285"/>
    <w:multiLevelType w:val="hybridMultilevel"/>
    <w:tmpl w:val="ABEE7660"/>
    <w:lvl w:ilvl="0" w:tplc="673E15CA">
      <w:start w:val="1"/>
      <w:numFmt w:val="bullet"/>
      <w:pStyle w:val="TableTextBullet"/>
      <w:lvlText w:val=""/>
      <w:lvlJc w:val="left"/>
      <w:pPr>
        <w:tabs>
          <w:tab w:val="num" w:pos="288"/>
        </w:tabs>
        <w:ind w:left="288" w:hanging="288"/>
      </w:pPr>
      <w:rPr>
        <w:rFonts w:ascii="Symbol" w:hAnsi="Symbol" w:hint="default"/>
        <w:sz w:val="18"/>
        <w:szCs w:val="18"/>
      </w:rPr>
    </w:lvl>
    <w:lvl w:ilvl="1" w:tplc="67C44AEA">
      <w:start w:val="1"/>
      <w:numFmt w:val="bullet"/>
      <w:lvlText w:val="o"/>
      <w:lvlJc w:val="left"/>
      <w:pPr>
        <w:tabs>
          <w:tab w:val="num" w:pos="1440"/>
        </w:tabs>
        <w:ind w:left="1440" w:hanging="360"/>
      </w:pPr>
      <w:rPr>
        <w:rFonts w:ascii="Courier New" w:hAnsi="Courier New" w:cs="Courier New" w:hint="default"/>
      </w:rPr>
    </w:lvl>
    <w:lvl w:ilvl="2" w:tplc="7EEA7A9A" w:tentative="1">
      <w:start w:val="1"/>
      <w:numFmt w:val="bullet"/>
      <w:lvlText w:val=""/>
      <w:lvlJc w:val="left"/>
      <w:pPr>
        <w:tabs>
          <w:tab w:val="num" w:pos="2160"/>
        </w:tabs>
        <w:ind w:left="2160" w:hanging="360"/>
      </w:pPr>
      <w:rPr>
        <w:rFonts w:ascii="Wingdings" w:hAnsi="Wingdings" w:hint="default"/>
      </w:rPr>
    </w:lvl>
    <w:lvl w:ilvl="3" w:tplc="F5A8D8F0" w:tentative="1">
      <w:start w:val="1"/>
      <w:numFmt w:val="bullet"/>
      <w:lvlText w:val=""/>
      <w:lvlJc w:val="left"/>
      <w:pPr>
        <w:tabs>
          <w:tab w:val="num" w:pos="2880"/>
        </w:tabs>
        <w:ind w:left="2880" w:hanging="360"/>
      </w:pPr>
      <w:rPr>
        <w:rFonts w:ascii="Symbol" w:hAnsi="Symbol" w:hint="default"/>
      </w:rPr>
    </w:lvl>
    <w:lvl w:ilvl="4" w:tplc="00E249A6" w:tentative="1">
      <w:start w:val="1"/>
      <w:numFmt w:val="bullet"/>
      <w:lvlText w:val="o"/>
      <w:lvlJc w:val="left"/>
      <w:pPr>
        <w:tabs>
          <w:tab w:val="num" w:pos="3600"/>
        </w:tabs>
        <w:ind w:left="3600" w:hanging="360"/>
      </w:pPr>
      <w:rPr>
        <w:rFonts w:ascii="Courier New" w:hAnsi="Courier New" w:cs="Courier New" w:hint="default"/>
      </w:rPr>
    </w:lvl>
    <w:lvl w:ilvl="5" w:tplc="DBFA9252" w:tentative="1">
      <w:start w:val="1"/>
      <w:numFmt w:val="bullet"/>
      <w:lvlText w:val=""/>
      <w:lvlJc w:val="left"/>
      <w:pPr>
        <w:tabs>
          <w:tab w:val="num" w:pos="4320"/>
        </w:tabs>
        <w:ind w:left="4320" w:hanging="360"/>
      </w:pPr>
      <w:rPr>
        <w:rFonts w:ascii="Wingdings" w:hAnsi="Wingdings" w:hint="default"/>
      </w:rPr>
    </w:lvl>
    <w:lvl w:ilvl="6" w:tplc="FC06345E" w:tentative="1">
      <w:start w:val="1"/>
      <w:numFmt w:val="bullet"/>
      <w:lvlText w:val=""/>
      <w:lvlJc w:val="left"/>
      <w:pPr>
        <w:tabs>
          <w:tab w:val="num" w:pos="5040"/>
        </w:tabs>
        <w:ind w:left="5040" w:hanging="360"/>
      </w:pPr>
      <w:rPr>
        <w:rFonts w:ascii="Symbol" w:hAnsi="Symbol" w:hint="default"/>
      </w:rPr>
    </w:lvl>
    <w:lvl w:ilvl="7" w:tplc="61CE7C36" w:tentative="1">
      <w:start w:val="1"/>
      <w:numFmt w:val="bullet"/>
      <w:lvlText w:val="o"/>
      <w:lvlJc w:val="left"/>
      <w:pPr>
        <w:tabs>
          <w:tab w:val="num" w:pos="5760"/>
        </w:tabs>
        <w:ind w:left="5760" w:hanging="360"/>
      </w:pPr>
      <w:rPr>
        <w:rFonts w:ascii="Courier New" w:hAnsi="Courier New" w:cs="Courier New" w:hint="default"/>
      </w:rPr>
    </w:lvl>
    <w:lvl w:ilvl="8" w:tplc="8D64A2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D0253"/>
    <w:multiLevelType w:val="hybridMultilevel"/>
    <w:tmpl w:val="B406E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7843AB"/>
    <w:multiLevelType w:val="hybridMultilevel"/>
    <w:tmpl w:val="77E4C05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15:restartNumberingAfterBreak="0">
    <w:nsid w:val="0C217292"/>
    <w:multiLevelType w:val="hybridMultilevel"/>
    <w:tmpl w:val="AD3C43EC"/>
    <w:lvl w:ilvl="0" w:tplc="FFFFFFFF">
      <w:start w:val="1"/>
      <w:numFmt w:val="bullet"/>
      <w:lvlText w:val=""/>
      <w:lvlJc w:val="left"/>
      <w:pPr>
        <w:tabs>
          <w:tab w:val="num" w:pos="360"/>
        </w:tabs>
        <w:ind w:left="360" w:hanging="360"/>
      </w:pPr>
      <w:rPr>
        <w:rFonts w:ascii="Symbol" w:hAnsi="Symbol" w:hint="default"/>
        <w:sz w:val="18"/>
      </w:rPr>
    </w:lvl>
    <w:lvl w:ilvl="1" w:tplc="04090001">
      <w:start w:val="1"/>
      <w:numFmt w:val="bullet"/>
      <w:lvlText w:val=""/>
      <w:lvlJc w:val="left"/>
      <w:pPr>
        <w:tabs>
          <w:tab w:val="num" w:pos="1440"/>
        </w:tabs>
        <w:ind w:left="1440" w:hanging="360"/>
      </w:pPr>
      <w:rPr>
        <w:rFonts w:ascii="Symbol" w:hAnsi="Symbol" w:hint="default"/>
        <w:sz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736AE"/>
    <w:multiLevelType w:val="hybridMultilevel"/>
    <w:tmpl w:val="1108E58A"/>
    <w:lvl w:ilvl="0" w:tplc="0040FE08">
      <w:start w:val="1"/>
      <w:numFmt w:val="bullet"/>
      <w:lvlText w:val=""/>
      <w:lvlJc w:val="left"/>
      <w:pPr>
        <w:tabs>
          <w:tab w:val="num" w:pos="288"/>
        </w:tabs>
        <w:ind w:left="288" w:hanging="288"/>
      </w:pPr>
      <w:rPr>
        <w:rFonts w:ascii="Symbol" w:hAnsi="Symbol" w:hint="default"/>
        <w:sz w:val="18"/>
      </w:rPr>
    </w:lvl>
    <w:lvl w:ilvl="1" w:tplc="047416E6">
      <w:start w:val="1"/>
      <w:numFmt w:val="decimal"/>
      <w:lvlText w:val="%2."/>
      <w:lvlJc w:val="left"/>
      <w:pPr>
        <w:tabs>
          <w:tab w:val="num" w:pos="1440"/>
        </w:tabs>
        <w:ind w:left="1440" w:hanging="360"/>
      </w:pPr>
      <w:rPr>
        <w:rFonts w:hint="default"/>
        <w:sz w:val="18"/>
      </w:rPr>
    </w:lvl>
    <w:lvl w:ilvl="2" w:tplc="CF9E79F0" w:tentative="1">
      <w:start w:val="1"/>
      <w:numFmt w:val="bullet"/>
      <w:lvlText w:val=""/>
      <w:lvlJc w:val="left"/>
      <w:pPr>
        <w:tabs>
          <w:tab w:val="num" w:pos="2160"/>
        </w:tabs>
        <w:ind w:left="2160" w:hanging="360"/>
      </w:pPr>
      <w:rPr>
        <w:rFonts w:ascii="Wingdings" w:hAnsi="Wingdings" w:hint="default"/>
      </w:rPr>
    </w:lvl>
    <w:lvl w:ilvl="3" w:tplc="75780262" w:tentative="1">
      <w:start w:val="1"/>
      <w:numFmt w:val="bullet"/>
      <w:lvlText w:val=""/>
      <w:lvlJc w:val="left"/>
      <w:pPr>
        <w:tabs>
          <w:tab w:val="num" w:pos="2880"/>
        </w:tabs>
        <w:ind w:left="2880" w:hanging="360"/>
      </w:pPr>
      <w:rPr>
        <w:rFonts w:ascii="Symbol" w:hAnsi="Symbol" w:hint="default"/>
      </w:rPr>
    </w:lvl>
    <w:lvl w:ilvl="4" w:tplc="E49833F6" w:tentative="1">
      <w:start w:val="1"/>
      <w:numFmt w:val="bullet"/>
      <w:lvlText w:val="o"/>
      <w:lvlJc w:val="left"/>
      <w:pPr>
        <w:tabs>
          <w:tab w:val="num" w:pos="3600"/>
        </w:tabs>
        <w:ind w:left="3600" w:hanging="360"/>
      </w:pPr>
      <w:rPr>
        <w:rFonts w:ascii="Courier New" w:hAnsi="Courier New" w:cs="Courier New" w:hint="default"/>
      </w:rPr>
    </w:lvl>
    <w:lvl w:ilvl="5" w:tplc="EC54FD92" w:tentative="1">
      <w:start w:val="1"/>
      <w:numFmt w:val="bullet"/>
      <w:lvlText w:val=""/>
      <w:lvlJc w:val="left"/>
      <w:pPr>
        <w:tabs>
          <w:tab w:val="num" w:pos="4320"/>
        </w:tabs>
        <w:ind w:left="4320" w:hanging="360"/>
      </w:pPr>
      <w:rPr>
        <w:rFonts w:ascii="Wingdings" w:hAnsi="Wingdings" w:hint="default"/>
      </w:rPr>
    </w:lvl>
    <w:lvl w:ilvl="6" w:tplc="4D169686" w:tentative="1">
      <w:start w:val="1"/>
      <w:numFmt w:val="bullet"/>
      <w:lvlText w:val=""/>
      <w:lvlJc w:val="left"/>
      <w:pPr>
        <w:tabs>
          <w:tab w:val="num" w:pos="5040"/>
        </w:tabs>
        <w:ind w:left="5040" w:hanging="360"/>
      </w:pPr>
      <w:rPr>
        <w:rFonts w:ascii="Symbol" w:hAnsi="Symbol" w:hint="default"/>
      </w:rPr>
    </w:lvl>
    <w:lvl w:ilvl="7" w:tplc="22660948" w:tentative="1">
      <w:start w:val="1"/>
      <w:numFmt w:val="bullet"/>
      <w:lvlText w:val="o"/>
      <w:lvlJc w:val="left"/>
      <w:pPr>
        <w:tabs>
          <w:tab w:val="num" w:pos="5760"/>
        </w:tabs>
        <w:ind w:left="5760" w:hanging="360"/>
      </w:pPr>
      <w:rPr>
        <w:rFonts w:ascii="Courier New" w:hAnsi="Courier New" w:cs="Courier New" w:hint="default"/>
      </w:rPr>
    </w:lvl>
    <w:lvl w:ilvl="8" w:tplc="596E42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963B35"/>
    <w:multiLevelType w:val="hybridMultilevel"/>
    <w:tmpl w:val="57665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481979"/>
    <w:multiLevelType w:val="hybridMultilevel"/>
    <w:tmpl w:val="E236B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DD4DC5"/>
    <w:multiLevelType w:val="hybridMultilevel"/>
    <w:tmpl w:val="8544F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422FE9"/>
    <w:multiLevelType w:val="hybridMultilevel"/>
    <w:tmpl w:val="8B34C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C85357"/>
    <w:multiLevelType w:val="hybridMultilevel"/>
    <w:tmpl w:val="747E78C4"/>
    <w:lvl w:ilvl="0" w:tplc="8D5EE010">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9F20643"/>
    <w:multiLevelType w:val="hybridMultilevel"/>
    <w:tmpl w:val="BABA0F66"/>
    <w:lvl w:ilvl="0" w:tplc="1A126C3E">
      <w:start w:val="1"/>
      <w:numFmt w:val="bullet"/>
      <w:lvlText w:val=""/>
      <w:lvlJc w:val="left"/>
      <w:pPr>
        <w:tabs>
          <w:tab w:val="num" w:pos="720"/>
        </w:tabs>
        <w:ind w:left="720" w:hanging="360"/>
      </w:pPr>
      <w:rPr>
        <w:rFonts w:ascii="Symbol" w:hAnsi="Symbol" w:hint="default"/>
      </w:rPr>
    </w:lvl>
    <w:lvl w:ilvl="1" w:tplc="DE5E6A06" w:tentative="1">
      <w:start w:val="1"/>
      <w:numFmt w:val="bullet"/>
      <w:lvlText w:val="o"/>
      <w:lvlJc w:val="left"/>
      <w:pPr>
        <w:tabs>
          <w:tab w:val="num" w:pos="1440"/>
        </w:tabs>
        <w:ind w:left="1440" w:hanging="360"/>
      </w:pPr>
      <w:rPr>
        <w:rFonts w:ascii="Courier New" w:hAnsi="Courier New" w:hint="default"/>
      </w:rPr>
    </w:lvl>
    <w:lvl w:ilvl="2" w:tplc="DF14889C" w:tentative="1">
      <w:start w:val="1"/>
      <w:numFmt w:val="bullet"/>
      <w:lvlText w:val=""/>
      <w:lvlJc w:val="left"/>
      <w:pPr>
        <w:tabs>
          <w:tab w:val="num" w:pos="2160"/>
        </w:tabs>
        <w:ind w:left="2160" w:hanging="360"/>
      </w:pPr>
      <w:rPr>
        <w:rFonts w:ascii="Wingdings" w:hAnsi="Wingdings" w:hint="default"/>
      </w:rPr>
    </w:lvl>
    <w:lvl w:ilvl="3" w:tplc="30D6EAC2" w:tentative="1">
      <w:start w:val="1"/>
      <w:numFmt w:val="bullet"/>
      <w:lvlText w:val=""/>
      <w:lvlJc w:val="left"/>
      <w:pPr>
        <w:tabs>
          <w:tab w:val="num" w:pos="2880"/>
        </w:tabs>
        <w:ind w:left="2880" w:hanging="360"/>
      </w:pPr>
      <w:rPr>
        <w:rFonts w:ascii="Symbol" w:hAnsi="Symbol" w:hint="default"/>
      </w:rPr>
    </w:lvl>
    <w:lvl w:ilvl="4" w:tplc="AD807362" w:tentative="1">
      <w:start w:val="1"/>
      <w:numFmt w:val="bullet"/>
      <w:lvlText w:val="o"/>
      <w:lvlJc w:val="left"/>
      <w:pPr>
        <w:tabs>
          <w:tab w:val="num" w:pos="3600"/>
        </w:tabs>
        <w:ind w:left="3600" w:hanging="360"/>
      </w:pPr>
      <w:rPr>
        <w:rFonts w:ascii="Courier New" w:hAnsi="Courier New" w:hint="default"/>
      </w:rPr>
    </w:lvl>
    <w:lvl w:ilvl="5" w:tplc="DAC6667A" w:tentative="1">
      <w:start w:val="1"/>
      <w:numFmt w:val="bullet"/>
      <w:lvlText w:val=""/>
      <w:lvlJc w:val="left"/>
      <w:pPr>
        <w:tabs>
          <w:tab w:val="num" w:pos="4320"/>
        </w:tabs>
        <w:ind w:left="4320" w:hanging="360"/>
      </w:pPr>
      <w:rPr>
        <w:rFonts w:ascii="Wingdings" w:hAnsi="Wingdings" w:hint="default"/>
      </w:rPr>
    </w:lvl>
    <w:lvl w:ilvl="6" w:tplc="AE14D8DE" w:tentative="1">
      <w:start w:val="1"/>
      <w:numFmt w:val="bullet"/>
      <w:lvlText w:val=""/>
      <w:lvlJc w:val="left"/>
      <w:pPr>
        <w:tabs>
          <w:tab w:val="num" w:pos="5040"/>
        </w:tabs>
        <w:ind w:left="5040" w:hanging="360"/>
      </w:pPr>
      <w:rPr>
        <w:rFonts w:ascii="Symbol" w:hAnsi="Symbol" w:hint="default"/>
      </w:rPr>
    </w:lvl>
    <w:lvl w:ilvl="7" w:tplc="4434D03C" w:tentative="1">
      <w:start w:val="1"/>
      <w:numFmt w:val="bullet"/>
      <w:lvlText w:val="o"/>
      <w:lvlJc w:val="left"/>
      <w:pPr>
        <w:tabs>
          <w:tab w:val="num" w:pos="5760"/>
        </w:tabs>
        <w:ind w:left="5760" w:hanging="360"/>
      </w:pPr>
      <w:rPr>
        <w:rFonts w:ascii="Courier New" w:hAnsi="Courier New" w:hint="default"/>
      </w:rPr>
    </w:lvl>
    <w:lvl w:ilvl="8" w:tplc="1262C06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5A6219"/>
    <w:multiLevelType w:val="hybridMultilevel"/>
    <w:tmpl w:val="4B28CC3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175C34"/>
    <w:multiLevelType w:val="hybridMultilevel"/>
    <w:tmpl w:val="EC506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583674"/>
    <w:multiLevelType w:val="hybridMultilevel"/>
    <w:tmpl w:val="6072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A7A1F"/>
    <w:multiLevelType w:val="hybridMultilevel"/>
    <w:tmpl w:val="5F5E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EE2B9E"/>
    <w:multiLevelType w:val="hybridMultilevel"/>
    <w:tmpl w:val="2A964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2F00273"/>
    <w:multiLevelType w:val="hybridMultilevel"/>
    <w:tmpl w:val="FCBEB21E"/>
    <w:lvl w:ilvl="0" w:tplc="8D5EE01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7D2BCD"/>
    <w:multiLevelType w:val="hybridMultilevel"/>
    <w:tmpl w:val="3E580BF8"/>
    <w:lvl w:ilvl="0" w:tplc="0966E532">
      <w:start w:val="1"/>
      <w:numFmt w:val="bullet"/>
      <w:lvlText w:val=""/>
      <w:lvlJc w:val="left"/>
      <w:pPr>
        <w:tabs>
          <w:tab w:val="num" w:pos="720"/>
        </w:tabs>
        <w:ind w:left="720" w:hanging="360"/>
      </w:pPr>
      <w:rPr>
        <w:rFonts w:ascii="Symbol" w:hAnsi="Symbol" w:hint="default"/>
        <w:color w:val="auto"/>
        <w:sz w:val="18"/>
        <w:szCs w:val="18"/>
      </w:rPr>
    </w:lvl>
    <w:lvl w:ilvl="1" w:tplc="730C1182" w:tentative="1">
      <w:start w:val="1"/>
      <w:numFmt w:val="bullet"/>
      <w:lvlText w:val="o"/>
      <w:lvlJc w:val="left"/>
      <w:pPr>
        <w:tabs>
          <w:tab w:val="num" w:pos="1440"/>
        </w:tabs>
        <w:ind w:left="1440" w:hanging="360"/>
      </w:pPr>
      <w:rPr>
        <w:rFonts w:ascii="Courier New" w:hAnsi="Courier New" w:cs="Courier New" w:hint="default"/>
      </w:rPr>
    </w:lvl>
    <w:lvl w:ilvl="2" w:tplc="2B5CB1CA" w:tentative="1">
      <w:start w:val="1"/>
      <w:numFmt w:val="bullet"/>
      <w:lvlText w:val=""/>
      <w:lvlJc w:val="left"/>
      <w:pPr>
        <w:tabs>
          <w:tab w:val="num" w:pos="2160"/>
        </w:tabs>
        <w:ind w:left="2160" w:hanging="360"/>
      </w:pPr>
      <w:rPr>
        <w:rFonts w:ascii="Wingdings" w:hAnsi="Wingdings" w:hint="default"/>
      </w:rPr>
    </w:lvl>
    <w:lvl w:ilvl="3" w:tplc="147A038C" w:tentative="1">
      <w:start w:val="1"/>
      <w:numFmt w:val="bullet"/>
      <w:lvlText w:val=""/>
      <w:lvlJc w:val="left"/>
      <w:pPr>
        <w:tabs>
          <w:tab w:val="num" w:pos="2880"/>
        </w:tabs>
        <w:ind w:left="2880" w:hanging="360"/>
      </w:pPr>
      <w:rPr>
        <w:rFonts w:ascii="Symbol" w:hAnsi="Symbol" w:hint="default"/>
      </w:rPr>
    </w:lvl>
    <w:lvl w:ilvl="4" w:tplc="5C64FECC" w:tentative="1">
      <w:start w:val="1"/>
      <w:numFmt w:val="bullet"/>
      <w:lvlText w:val="o"/>
      <w:lvlJc w:val="left"/>
      <w:pPr>
        <w:tabs>
          <w:tab w:val="num" w:pos="3600"/>
        </w:tabs>
        <w:ind w:left="3600" w:hanging="360"/>
      </w:pPr>
      <w:rPr>
        <w:rFonts w:ascii="Courier New" w:hAnsi="Courier New" w:cs="Courier New" w:hint="default"/>
      </w:rPr>
    </w:lvl>
    <w:lvl w:ilvl="5" w:tplc="885C91EC" w:tentative="1">
      <w:start w:val="1"/>
      <w:numFmt w:val="bullet"/>
      <w:lvlText w:val=""/>
      <w:lvlJc w:val="left"/>
      <w:pPr>
        <w:tabs>
          <w:tab w:val="num" w:pos="4320"/>
        </w:tabs>
        <w:ind w:left="4320" w:hanging="360"/>
      </w:pPr>
      <w:rPr>
        <w:rFonts w:ascii="Wingdings" w:hAnsi="Wingdings" w:hint="default"/>
      </w:rPr>
    </w:lvl>
    <w:lvl w:ilvl="6" w:tplc="78444308" w:tentative="1">
      <w:start w:val="1"/>
      <w:numFmt w:val="bullet"/>
      <w:lvlText w:val=""/>
      <w:lvlJc w:val="left"/>
      <w:pPr>
        <w:tabs>
          <w:tab w:val="num" w:pos="5040"/>
        </w:tabs>
        <w:ind w:left="5040" w:hanging="360"/>
      </w:pPr>
      <w:rPr>
        <w:rFonts w:ascii="Symbol" w:hAnsi="Symbol" w:hint="default"/>
      </w:rPr>
    </w:lvl>
    <w:lvl w:ilvl="7" w:tplc="D46E18BE" w:tentative="1">
      <w:start w:val="1"/>
      <w:numFmt w:val="bullet"/>
      <w:lvlText w:val="o"/>
      <w:lvlJc w:val="left"/>
      <w:pPr>
        <w:tabs>
          <w:tab w:val="num" w:pos="5760"/>
        </w:tabs>
        <w:ind w:left="5760" w:hanging="360"/>
      </w:pPr>
      <w:rPr>
        <w:rFonts w:ascii="Courier New" w:hAnsi="Courier New" w:cs="Courier New" w:hint="default"/>
      </w:rPr>
    </w:lvl>
    <w:lvl w:ilvl="8" w:tplc="8EBADF7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2462B0"/>
    <w:multiLevelType w:val="hybridMultilevel"/>
    <w:tmpl w:val="C49A0398"/>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940C9D"/>
    <w:multiLevelType w:val="hybridMultilevel"/>
    <w:tmpl w:val="26F4E356"/>
    <w:lvl w:ilvl="0" w:tplc="1D94FEC6">
      <w:start w:val="1"/>
      <w:numFmt w:val="bullet"/>
      <w:lvlText w:val=""/>
      <w:lvlJc w:val="left"/>
      <w:pPr>
        <w:tabs>
          <w:tab w:val="num" w:pos="720"/>
        </w:tabs>
        <w:ind w:left="72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900B08"/>
    <w:multiLevelType w:val="hybridMultilevel"/>
    <w:tmpl w:val="6C6CFD48"/>
    <w:lvl w:ilvl="0" w:tplc="AFB6843E">
      <w:start w:val="1"/>
      <w:numFmt w:val="bullet"/>
      <w:lvlText w:val=""/>
      <w:lvlJc w:val="left"/>
      <w:pPr>
        <w:tabs>
          <w:tab w:val="num" w:pos="720"/>
        </w:tabs>
        <w:ind w:left="720" w:hanging="360"/>
      </w:pPr>
      <w:rPr>
        <w:rFonts w:ascii="Symbol" w:hAnsi="Symbol" w:hint="default"/>
      </w:rPr>
    </w:lvl>
    <w:lvl w:ilvl="1" w:tplc="CE7856EE" w:tentative="1">
      <w:start w:val="1"/>
      <w:numFmt w:val="bullet"/>
      <w:lvlText w:val="o"/>
      <w:lvlJc w:val="left"/>
      <w:pPr>
        <w:tabs>
          <w:tab w:val="num" w:pos="1440"/>
        </w:tabs>
        <w:ind w:left="1440" w:hanging="360"/>
      </w:pPr>
      <w:rPr>
        <w:rFonts w:ascii="Courier New" w:hAnsi="Courier New" w:cs="Courier New" w:hint="default"/>
      </w:rPr>
    </w:lvl>
    <w:lvl w:ilvl="2" w:tplc="75940A24" w:tentative="1">
      <w:start w:val="1"/>
      <w:numFmt w:val="bullet"/>
      <w:lvlText w:val=""/>
      <w:lvlJc w:val="left"/>
      <w:pPr>
        <w:tabs>
          <w:tab w:val="num" w:pos="2160"/>
        </w:tabs>
        <w:ind w:left="2160" w:hanging="360"/>
      </w:pPr>
      <w:rPr>
        <w:rFonts w:ascii="Wingdings" w:hAnsi="Wingdings" w:hint="default"/>
      </w:rPr>
    </w:lvl>
    <w:lvl w:ilvl="3" w:tplc="6E2896FC" w:tentative="1">
      <w:start w:val="1"/>
      <w:numFmt w:val="bullet"/>
      <w:lvlText w:val=""/>
      <w:lvlJc w:val="left"/>
      <w:pPr>
        <w:tabs>
          <w:tab w:val="num" w:pos="2880"/>
        </w:tabs>
        <w:ind w:left="2880" w:hanging="360"/>
      </w:pPr>
      <w:rPr>
        <w:rFonts w:ascii="Symbol" w:hAnsi="Symbol" w:hint="default"/>
      </w:rPr>
    </w:lvl>
    <w:lvl w:ilvl="4" w:tplc="AA56297A" w:tentative="1">
      <w:start w:val="1"/>
      <w:numFmt w:val="bullet"/>
      <w:lvlText w:val="o"/>
      <w:lvlJc w:val="left"/>
      <w:pPr>
        <w:tabs>
          <w:tab w:val="num" w:pos="3600"/>
        </w:tabs>
        <w:ind w:left="3600" w:hanging="360"/>
      </w:pPr>
      <w:rPr>
        <w:rFonts w:ascii="Courier New" w:hAnsi="Courier New" w:cs="Courier New" w:hint="default"/>
      </w:rPr>
    </w:lvl>
    <w:lvl w:ilvl="5" w:tplc="B79EB7D8" w:tentative="1">
      <w:start w:val="1"/>
      <w:numFmt w:val="bullet"/>
      <w:lvlText w:val=""/>
      <w:lvlJc w:val="left"/>
      <w:pPr>
        <w:tabs>
          <w:tab w:val="num" w:pos="4320"/>
        </w:tabs>
        <w:ind w:left="4320" w:hanging="360"/>
      </w:pPr>
      <w:rPr>
        <w:rFonts w:ascii="Wingdings" w:hAnsi="Wingdings" w:hint="default"/>
      </w:rPr>
    </w:lvl>
    <w:lvl w:ilvl="6" w:tplc="4D0E77EC" w:tentative="1">
      <w:start w:val="1"/>
      <w:numFmt w:val="bullet"/>
      <w:lvlText w:val=""/>
      <w:lvlJc w:val="left"/>
      <w:pPr>
        <w:tabs>
          <w:tab w:val="num" w:pos="5040"/>
        </w:tabs>
        <w:ind w:left="5040" w:hanging="360"/>
      </w:pPr>
      <w:rPr>
        <w:rFonts w:ascii="Symbol" w:hAnsi="Symbol" w:hint="default"/>
      </w:rPr>
    </w:lvl>
    <w:lvl w:ilvl="7" w:tplc="182A736C" w:tentative="1">
      <w:start w:val="1"/>
      <w:numFmt w:val="bullet"/>
      <w:lvlText w:val="o"/>
      <w:lvlJc w:val="left"/>
      <w:pPr>
        <w:tabs>
          <w:tab w:val="num" w:pos="5760"/>
        </w:tabs>
        <w:ind w:left="5760" w:hanging="360"/>
      </w:pPr>
      <w:rPr>
        <w:rFonts w:ascii="Courier New" w:hAnsi="Courier New" w:cs="Courier New" w:hint="default"/>
      </w:rPr>
    </w:lvl>
    <w:lvl w:ilvl="8" w:tplc="6EAAEAC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B92D37"/>
    <w:multiLevelType w:val="hybridMultilevel"/>
    <w:tmpl w:val="B376640E"/>
    <w:lvl w:ilvl="0" w:tplc="34783E16">
      <w:start w:val="1"/>
      <w:numFmt w:val="bullet"/>
      <w:lvlText w:val=""/>
      <w:lvlJc w:val="left"/>
      <w:pPr>
        <w:tabs>
          <w:tab w:val="num" w:pos="720"/>
        </w:tabs>
        <w:ind w:left="720" w:hanging="360"/>
      </w:pPr>
      <w:rPr>
        <w:rFonts w:ascii="Symbol" w:hAnsi="Symbol" w:hint="default"/>
      </w:rPr>
    </w:lvl>
    <w:lvl w:ilvl="1" w:tplc="335CBF94" w:tentative="1">
      <w:start w:val="1"/>
      <w:numFmt w:val="bullet"/>
      <w:lvlText w:val="o"/>
      <w:lvlJc w:val="left"/>
      <w:pPr>
        <w:tabs>
          <w:tab w:val="num" w:pos="1440"/>
        </w:tabs>
        <w:ind w:left="1440" w:hanging="360"/>
      </w:pPr>
      <w:rPr>
        <w:rFonts w:ascii="Courier New" w:hAnsi="Courier New" w:cs="Courier New" w:hint="default"/>
      </w:rPr>
    </w:lvl>
    <w:lvl w:ilvl="2" w:tplc="0B529BFA" w:tentative="1">
      <w:start w:val="1"/>
      <w:numFmt w:val="bullet"/>
      <w:lvlText w:val=""/>
      <w:lvlJc w:val="left"/>
      <w:pPr>
        <w:tabs>
          <w:tab w:val="num" w:pos="2160"/>
        </w:tabs>
        <w:ind w:left="2160" w:hanging="360"/>
      </w:pPr>
      <w:rPr>
        <w:rFonts w:ascii="Wingdings" w:hAnsi="Wingdings" w:hint="default"/>
      </w:rPr>
    </w:lvl>
    <w:lvl w:ilvl="3" w:tplc="2EC0DF06" w:tentative="1">
      <w:start w:val="1"/>
      <w:numFmt w:val="bullet"/>
      <w:lvlText w:val=""/>
      <w:lvlJc w:val="left"/>
      <w:pPr>
        <w:tabs>
          <w:tab w:val="num" w:pos="2880"/>
        </w:tabs>
        <w:ind w:left="2880" w:hanging="360"/>
      </w:pPr>
      <w:rPr>
        <w:rFonts w:ascii="Symbol" w:hAnsi="Symbol" w:hint="default"/>
      </w:rPr>
    </w:lvl>
    <w:lvl w:ilvl="4" w:tplc="6406C58C" w:tentative="1">
      <w:start w:val="1"/>
      <w:numFmt w:val="bullet"/>
      <w:lvlText w:val="o"/>
      <w:lvlJc w:val="left"/>
      <w:pPr>
        <w:tabs>
          <w:tab w:val="num" w:pos="3600"/>
        </w:tabs>
        <w:ind w:left="3600" w:hanging="360"/>
      </w:pPr>
      <w:rPr>
        <w:rFonts w:ascii="Courier New" w:hAnsi="Courier New" w:cs="Courier New" w:hint="default"/>
      </w:rPr>
    </w:lvl>
    <w:lvl w:ilvl="5" w:tplc="11821C82" w:tentative="1">
      <w:start w:val="1"/>
      <w:numFmt w:val="bullet"/>
      <w:lvlText w:val=""/>
      <w:lvlJc w:val="left"/>
      <w:pPr>
        <w:tabs>
          <w:tab w:val="num" w:pos="4320"/>
        </w:tabs>
        <w:ind w:left="4320" w:hanging="360"/>
      </w:pPr>
      <w:rPr>
        <w:rFonts w:ascii="Wingdings" w:hAnsi="Wingdings" w:hint="default"/>
      </w:rPr>
    </w:lvl>
    <w:lvl w:ilvl="6" w:tplc="F0DE08D8" w:tentative="1">
      <w:start w:val="1"/>
      <w:numFmt w:val="bullet"/>
      <w:lvlText w:val=""/>
      <w:lvlJc w:val="left"/>
      <w:pPr>
        <w:tabs>
          <w:tab w:val="num" w:pos="5040"/>
        </w:tabs>
        <w:ind w:left="5040" w:hanging="360"/>
      </w:pPr>
      <w:rPr>
        <w:rFonts w:ascii="Symbol" w:hAnsi="Symbol" w:hint="default"/>
      </w:rPr>
    </w:lvl>
    <w:lvl w:ilvl="7" w:tplc="AEF476E0" w:tentative="1">
      <w:start w:val="1"/>
      <w:numFmt w:val="bullet"/>
      <w:lvlText w:val="o"/>
      <w:lvlJc w:val="left"/>
      <w:pPr>
        <w:tabs>
          <w:tab w:val="num" w:pos="5760"/>
        </w:tabs>
        <w:ind w:left="5760" w:hanging="360"/>
      </w:pPr>
      <w:rPr>
        <w:rFonts w:ascii="Courier New" w:hAnsi="Courier New" w:cs="Courier New" w:hint="default"/>
      </w:rPr>
    </w:lvl>
    <w:lvl w:ilvl="8" w:tplc="12885ED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C44000"/>
    <w:multiLevelType w:val="hybridMultilevel"/>
    <w:tmpl w:val="4A90CF5E"/>
    <w:lvl w:ilvl="0" w:tplc="23E440DA">
      <w:start w:val="1"/>
      <w:numFmt w:val="bullet"/>
      <w:pStyle w:val="NotesTextBullet"/>
      <w:lvlText w:val=""/>
      <w:lvlJc w:val="left"/>
      <w:pPr>
        <w:tabs>
          <w:tab w:val="num" w:pos="1008"/>
        </w:tabs>
        <w:ind w:left="1008" w:hanging="288"/>
      </w:pPr>
      <w:rPr>
        <w:rFonts w:ascii="Symbol" w:hAnsi="Symbol" w:hint="default"/>
        <w:sz w:val="18"/>
      </w:rPr>
    </w:lvl>
    <w:lvl w:ilvl="1" w:tplc="7132EB9C">
      <w:start w:val="1"/>
      <w:numFmt w:val="decimal"/>
      <w:lvlText w:val="%2."/>
      <w:lvlJc w:val="left"/>
      <w:pPr>
        <w:tabs>
          <w:tab w:val="num" w:pos="1440"/>
        </w:tabs>
        <w:ind w:left="1440" w:hanging="360"/>
      </w:pPr>
      <w:rPr>
        <w:rFonts w:hint="default"/>
        <w:sz w:val="18"/>
      </w:rPr>
    </w:lvl>
    <w:lvl w:ilvl="2" w:tplc="44E0D6AA" w:tentative="1">
      <w:start w:val="1"/>
      <w:numFmt w:val="bullet"/>
      <w:lvlText w:val=""/>
      <w:lvlJc w:val="left"/>
      <w:pPr>
        <w:tabs>
          <w:tab w:val="num" w:pos="2160"/>
        </w:tabs>
        <w:ind w:left="2160" w:hanging="360"/>
      </w:pPr>
      <w:rPr>
        <w:rFonts w:ascii="Wingdings" w:hAnsi="Wingdings" w:hint="default"/>
      </w:rPr>
    </w:lvl>
    <w:lvl w:ilvl="3" w:tplc="F2DEEF18" w:tentative="1">
      <w:start w:val="1"/>
      <w:numFmt w:val="bullet"/>
      <w:lvlText w:val=""/>
      <w:lvlJc w:val="left"/>
      <w:pPr>
        <w:tabs>
          <w:tab w:val="num" w:pos="2880"/>
        </w:tabs>
        <w:ind w:left="2880" w:hanging="360"/>
      </w:pPr>
      <w:rPr>
        <w:rFonts w:ascii="Symbol" w:hAnsi="Symbol" w:hint="default"/>
      </w:rPr>
    </w:lvl>
    <w:lvl w:ilvl="4" w:tplc="F2D44DE4" w:tentative="1">
      <w:start w:val="1"/>
      <w:numFmt w:val="bullet"/>
      <w:lvlText w:val="o"/>
      <w:lvlJc w:val="left"/>
      <w:pPr>
        <w:tabs>
          <w:tab w:val="num" w:pos="3600"/>
        </w:tabs>
        <w:ind w:left="3600" w:hanging="360"/>
      </w:pPr>
      <w:rPr>
        <w:rFonts w:ascii="Courier New" w:hAnsi="Courier New" w:cs="Courier New" w:hint="default"/>
      </w:rPr>
    </w:lvl>
    <w:lvl w:ilvl="5" w:tplc="797046BA" w:tentative="1">
      <w:start w:val="1"/>
      <w:numFmt w:val="bullet"/>
      <w:lvlText w:val=""/>
      <w:lvlJc w:val="left"/>
      <w:pPr>
        <w:tabs>
          <w:tab w:val="num" w:pos="4320"/>
        </w:tabs>
        <w:ind w:left="4320" w:hanging="360"/>
      </w:pPr>
      <w:rPr>
        <w:rFonts w:ascii="Wingdings" w:hAnsi="Wingdings" w:hint="default"/>
      </w:rPr>
    </w:lvl>
    <w:lvl w:ilvl="6" w:tplc="C1A6B414" w:tentative="1">
      <w:start w:val="1"/>
      <w:numFmt w:val="bullet"/>
      <w:lvlText w:val=""/>
      <w:lvlJc w:val="left"/>
      <w:pPr>
        <w:tabs>
          <w:tab w:val="num" w:pos="5040"/>
        </w:tabs>
        <w:ind w:left="5040" w:hanging="360"/>
      </w:pPr>
      <w:rPr>
        <w:rFonts w:ascii="Symbol" w:hAnsi="Symbol" w:hint="default"/>
      </w:rPr>
    </w:lvl>
    <w:lvl w:ilvl="7" w:tplc="F16201C6" w:tentative="1">
      <w:start w:val="1"/>
      <w:numFmt w:val="bullet"/>
      <w:lvlText w:val="o"/>
      <w:lvlJc w:val="left"/>
      <w:pPr>
        <w:tabs>
          <w:tab w:val="num" w:pos="5760"/>
        </w:tabs>
        <w:ind w:left="5760" w:hanging="360"/>
      </w:pPr>
      <w:rPr>
        <w:rFonts w:ascii="Courier New" w:hAnsi="Courier New" w:cs="Courier New" w:hint="default"/>
      </w:rPr>
    </w:lvl>
    <w:lvl w:ilvl="8" w:tplc="7ECA99D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E70E73"/>
    <w:multiLevelType w:val="hybridMultilevel"/>
    <w:tmpl w:val="092E9928"/>
    <w:lvl w:ilvl="0" w:tplc="FFFFFFFF">
      <w:start w:val="1"/>
      <w:numFmt w:val="bullet"/>
      <w:lvlText w:val=""/>
      <w:lvlJc w:val="left"/>
      <w:pPr>
        <w:tabs>
          <w:tab w:val="num" w:pos="360"/>
        </w:tabs>
        <w:ind w:left="36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AB7504"/>
    <w:multiLevelType w:val="hybridMultilevel"/>
    <w:tmpl w:val="DD2ED67C"/>
    <w:lvl w:ilvl="0" w:tplc="FE1C26EE">
      <w:start w:val="1"/>
      <w:numFmt w:val="decimalZero"/>
      <w:pStyle w:val="Substep02"/>
      <w:lvlText w:val="2.%1"/>
      <w:lvlJc w:val="right"/>
      <w:pPr>
        <w:tabs>
          <w:tab w:val="num" w:pos="810"/>
        </w:tabs>
        <w:ind w:left="810" w:firstLine="0"/>
      </w:pPr>
      <w:rPr>
        <w:rFonts w:ascii="Arial" w:hAnsi="Arial" w:hint="default"/>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15A0E22"/>
    <w:multiLevelType w:val="hybridMultilevel"/>
    <w:tmpl w:val="9D14AB3A"/>
    <w:lvl w:ilvl="0" w:tplc="10BC471A">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5114E976"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7B38DC"/>
    <w:multiLevelType w:val="hybridMultilevel"/>
    <w:tmpl w:val="3C62C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8637099"/>
    <w:multiLevelType w:val="hybridMultilevel"/>
    <w:tmpl w:val="BB4E307A"/>
    <w:lvl w:ilvl="0" w:tplc="F82A131E">
      <w:start w:val="1"/>
      <w:numFmt w:val="decimalZero"/>
      <w:pStyle w:val="Substep01"/>
      <w:lvlText w:val="2.%1"/>
      <w:lvlJc w:val="right"/>
      <w:pPr>
        <w:ind w:left="153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3A6913D7"/>
    <w:multiLevelType w:val="hybridMultilevel"/>
    <w:tmpl w:val="C6183B7C"/>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D7621F"/>
    <w:multiLevelType w:val="hybridMultilevel"/>
    <w:tmpl w:val="FFA2B7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216A8F"/>
    <w:multiLevelType w:val="hybridMultilevel"/>
    <w:tmpl w:val="8188D16A"/>
    <w:lvl w:ilvl="0" w:tplc="1D94FEC6">
      <w:start w:val="1"/>
      <w:numFmt w:val="bullet"/>
      <w:pStyle w:val="TableTextBullet1"/>
      <w:lvlText w:val="o"/>
      <w:lvlJc w:val="left"/>
      <w:pPr>
        <w:tabs>
          <w:tab w:val="num" w:pos="576"/>
        </w:tabs>
        <w:ind w:left="576" w:hanging="288"/>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EC6F8A"/>
    <w:multiLevelType w:val="hybridMultilevel"/>
    <w:tmpl w:val="8572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EE31A7"/>
    <w:multiLevelType w:val="hybridMultilevel"/>
    <w:tmpl w:val="78F60CBA"/>
    <w:lvl w:ilvl="0" w:tplc="1D94FEC6">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4" w15:restartNumberingAfterBreak="0">
    <w:nsid w:val="45533453"/>
    <w:multiLevelType w:val="hybridMultilevel"/>
    <w:tmpl w:val="6D700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46DB09A8"/>
    <w:multiLevelType w:val="hybridMultilevel"/>
    <w:tmpl w:val="8B362C16"/>
    <w:lvl w:ilvl="0" w:tplc="3D6CBE7E">
      <w:start w:val="1"/>
      <w:numFmt w:val="decimal"/>
      <w:pStyle w:val="TableTextNumbers"/>
      <w:lvlText w:val="%1."/>
      <w:lvlJc w:val="left"/>
      <w:pPr>
        <w:tabs>
          <w:tab w:val="num" w:pos="288"/>
        </w:tabs>
        <w:ind w:left="288" w:hanging="288"/>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1692"/>
        </w:tabs>
        <w:ind w:left="1692" w:hanging="360"/>
      </w:p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36" w15:restartNumberingAfterBreak="0">
    <w:nsid w:val="47636A78"/>
    <w:multiLevelType w:val="hybridMultilevel"/>
    <w:tmpl w:val="B538D6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8A3515D"/>
    <w:multiLevelType w:val="hybridMultilevel"/>
    <w:tmpl w:val="DA64CAD0"/>
    <w:lvl w:ilvl="0" w:tplc="1658A648">
      <w:start w:val="1"/>
      <w:numFmt w:val="bullet"/>
      <w:lvlText w:val=""/>
      <w:lvlJc w:val="left"/>
      <w:pPr>
        <w:tabs>
          <w:tab w:val="num" w:pos="1440"/>
        </w:tabs>
        <w:ind w:left="1440" w:hanging="360"/>
      </w:pPr>
      <w:rPr>
        <w:rFonts w:ascii="Symbol" w:hAnsi="Symbol" w:hint="default"/>
      </w:rPr>
    </w:lvl>
    <w:lvl w:ilvl="1" w:tplc="B49427D2" w:tentative="1">
      <w:start w:val="1"/>
      <w:numFmt w:val="bullet"/>
      <w:lvlText w:val="o"/>
      <w:lvlJc w:val="left"/>
      <w:pPr>
        <w:tabs>
          <w:tab w:val="num" w:pos="2520"/>
        </w:tabs>
        <w:ind w:left="2520" w:hanging="360"/>
      </w:pPr>
      <w:rPr>
        <w:rFonts w:ascii="Courier New" w:hAnsi="Courier New" w:hint="default"/>
      </w:rPr>
    </w:lvl>
    <w:lvl w:ilvl="2" w:tplc="FD567F5E" w:tentative="1">
      <w:start w:val="1"/>
      <w:numFmt w:val="bullet"/>
      <w:lvlText w:val=""/>
      <w:lvlJc w:val="left"/>
      <w:pPr>
        <w:tabs>
          <w:tab w:val="num" w:pos="3240"/>
        </w:tabs>
        <w:ind w:left="3240" w:hanging="360"/>
      </w:pPr>
      <w:rPr>
        <w:rFonts w:ascii="Wingdings" w:hAnsi="Wingdings" w:hint="default"/>
      </w:rPr>
    </w:lvl>
    <w:lvl w:ilvl="3" w:tplc="9EE2AF06" w:tentative="1">
      <w:start w:val="1"/>
      <w:numFmt w:val="bullet"/>
      <w:lvlText w:val=""/>
      <w:lvlJc w:val="left"/>
      <w:pPr>
        <w:tabs>
          <w:tab w:val="num" w:pos="3960"/>
        </w:tabs>
        <w:ind w:left="3960" w:hanging="360"/>
      </w:pPr>
      <w:rPr>
        <w:rFonts w:ascii="Symbol" w:hAnsi="Symbol" w:hint="default"/>
      </w:rPr>
    </w:lvl>
    <w:lvl w:ilvl="4" w:tplc="EB34BAEE" w:tentative="1">
      <w:start w:val="1"/>
      <w:numFmt w:val="bullet"/>
      <w:lvlText w:val="o"/>
      <w:lvlJc w:val="left"/>
      <w:pPr>
        <w:tabs>
          <w:tab w:val="num" w:pos="4680"/>
        </w:tabs>
        <w:ind w:left="4680" w:hanging="360"/>
      </w:pPr>
      <w:rPr>
        <w:rFonts w:ascii="Courier New" w:hAnsi="Courier New" w:hint="default"/>
      </w:rPr>
    </w:lvl>
    <w:lvl w:ilvl="5" w:tplc="F3ACA352" w:tentative="1">
      <w:start w:val="1"/>
      <w:numFmt w:val="bullet"/>
      <w:lvlText w:val=""/>
      <w:lvlJc w:val="left"/>
      <w:pPr>
        <w:tabs>
          <w:tab w:val="num" w:pos="5400"/>
        </w:tabs>
        <w:ind w:left="5400" w:hanging="360"/>
      </w:pPr>
      <w:rPr>
        <w:rFonts w:ascii="Wingdings" w:hAnsi="Wingdings" w:hint="default"/>
      </w:rPr>
    </w:lvl>
    <w:lvl w:ilvl="6" w:tplc="FCBEB38E" w:tentative="1">
      <w:start w:val="1"/>
      <w:numFmt w:val="bullet"/>
      <w:lvlText w:val=""/>
      <w:lvlJc w:val="left"/>
      <w:pPr>
        <w:tabs>
          <w:tab w:val="num" w:pos="6120"/>
        </w:tabs>
        <w:ind w:left="6120" w:hanging="360"/>
      </w:pPr>
      <w:rPr>
        <w:rFonts w:ascii="Symbol" w:hAnsi="Symbol" w:hint="default"/>
      </w:rPr>
    </w:lvl>
    <w:lvl w:ilvl="7" w:tplc="C07C0BA2" w:tentative="1">
      <w:start w:val="1"/>
      <w:numFmt w:val="bullet"/>
      <w:lvlText w:val="o"/>
      <w:lvlJc w:val="left"/>
      <w:pPr>
        <w:tabs>
          <w:tab w:val="num" w:pos="6840"/>
        </w:tabs>
        <w:ind w:left="6840" w:hanging="360"/>
      </w:pPr>
      <w:rPr>
        <w:rFonts w:ascii="Courier New" w:hAnsi="Courier New" w:hint="default"/>
      </w:rPr>
    </w:lvl>
    <w:lvl w:ilvl="8" w:tplc="B1FC9774"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4B844150"/>
    <w:multiLevelType w:val="hybridMultilevel"/>
    <w:tmpl w:val="988A5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40" w15:restartNumberingAfterBreak="0">
    <w:nsid w:val="4C1C219C"/>
    <w:multiLevelType w:val="hybridMultilevel"/>
    <w:tmpl w:val="100A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4D65F1"/>
    <w:multiLevelType w:val="hybridMultilevel"/>
    <w:tmpl w:val="84D45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D1679D3"/>
    <w:multiLevelType w:val="hybridMultilevel"/>
    <w:tmpl w:val="DD12A84E"/>
    <w:lvl w:ilvl="0" w:tplc="5928C094">
      <w:start w:val="1"/>
      <w:numFmt w:val="bullet"/>
      <w:lvlText w:val=""/>
      <w:lvlJc w:val="left"/>
      <w:pPr>
        <w:tabs>
          <w:tab w:val="num" w:pos="720"/>
        </w:tabs>
        <w:ind w:left="720" w:hanging="360"/>
      </w:pPr>
      <w:rPr>
        <w:rFonts w:ascii="Symbol" w:hAnsi="Symbol" w:hint="default"/>
        <w:color w:val="auto"/>
        <w:sz w:val="18"/>
        <w:szCs w:val="18"/>
      </w:rPr>
    </w:lvl>
    <w:lvl w:ilvl="1" w:tplc="75747766" w:tentative="1">
      <w:start w:val="1"/>
      <w:numFmt w:val="bullet"/>
      <w:lvlText w:val="o"/>
      <w:lvlJc w:val="left"/>
      <w:pPr>
        <w:tabs>
          <w:tab w:val="num" w:pos="1440"/>
        </w:tabs>
        <w:ind w:left="1440" w:hanging="360"/>
      </w:pPr>
      <w:rPr>
        <w:rFonts w:ascii="Courier New" w:hAnsi="Courier New" w:cs="Courier New" w:hint="default"/>
      </w:rPr>
    </w:lvl>
    <w:lvl w:ilvl="2" w:tplc="2786A26E" w:tentative="1">
      <w:start w:val="1"/>
      <w:numFmt w:val="bullet"/>
      <w:lvlText w:val=""/>
      <w:lvlJc w:val="left"/>
      <w:pPr>
        <w:tabs>
          <w:tab w:val="num" w:pos="2160"/>
        </w:tabs>
        <w:ind w:left="2160" w:hanging="360"/>
      </w:pPr>
      <w:rPr>
        <w:rFonts w:ascii="Wingdings" w:hAnsi="Wingdings" w:hint="default"/>
      </w:rPr>
    </w:lvl>
    <w:lvl w:ilvl="3" w:tplc="BDECA0CA" w:tentative="1">
      <w:start w:val="1"/>
      <w:numFmt w:val="bullet"/>
      <w:lvlText w:val=""/>
      <w:lvlJc w:val="left"/>
      <w:pPr>
        <w:tabs>
          <w:tab w:val="num" w:pos="2880"/>
        </w:tabs>
        <w:ind w:left="2880" w:hanging="360"/>
      </w:pPr>
      <w:rPr>
        <w:rFonts w:ascii="Symbol" w:hAnsi="Symbol" w:hint="default"/>
      </w:rPr>
    </w:lvl>
    <w:lvl w:ilvl="4" w:tplc="ECF86A80" w:tentative="1">
      <w:start w:val="1"/>
      <w:numFmt w:val="bullet"/>
      <w:lvlText w:val="o"/>
      <w:lvlJc w:val="left"/>
      <w:pPr>
        <w:tabs>
          <w:tab w:val="num" w:pos="3600"/>
        </w:tabs>
        <w:ind w:left="3600" w:hanging="360"/>
      </w:pPr>
      <w:rPr>
        <w:rFonts w:ascii="Courier New" w:hAnsi="Courier New" w:cs="Courier New" w:hint="default"/>
      </w:rPr>
    </w:lvl>
    <w:lvl w:ilvl="5" w:tplc="0AACC6E2" w:tentative="1">
      <w:start w:val="1"/>
      <w:numFmt w:val="bullet"/>
      <w:lvlText w:val=""/>
      <w:lvlJc w:val="left"/>
      <w:pPr>
        <w:tabs>
          <w:tab w:val="num" w:pos="4320"/>
        </w:tabs>
        <w:ind w:left="4320" w:hanging="360"/>
      </w:pPr>
      <w:rPr>
        <w:rFonts w:ascii="Wingdings" w:hAnsi="Wingdings" w:hint="default"/>
      </w:rPr>
    </w:lvl>
    <w:lvl w:ilvl="6" w:tplc="64DA7556" w:tentative="1">
      <w:start w:val="1"/>
      <w:numFmt w:val="bullet"/>
      <w:lvlText w:val=""/>
      <w:lvlJc w:val="left"/>
      <w:pPr>
        <w:tabs>
          <w:tab w:val="num" w:pos="5040"/>
        </w:tabs>
        <w:ind w:left="5040" w:hanging="360"/>
      </w:pPr>
      <w:rPr>
        <w:rFonts w:ascii="Symbol" w:hAnsi="Symbol" w:hint="default"/>
      </w:rPr>
    </w:lvl>
    <w:lvl w:ilvl="7" w:tplc="FC7CBA9A" w:tentative="1">
      <w:start w:val="1"/>
      <w:numFmt w:val="bullet"/>
      <w:lvlText w:val="o"/>
      <w:lvlJc w:val="left"/>
      <w:pPr>
        <w:tabs>
          <w:tab w:val="num" w:pos="5760"/>
        </w:tabs>
        <w:ind w:left="5760" w:hanging="360"/>
      </w:pPr>
      <w:rPr>
        <w:rFonts w:ascii="Courier New" w:hAnsi="Courier New" w:cs="Courier New" w:hint="default"/>
      </w:rPr>
    </w:lvl>
    <w:lvl w:ilvl="8" w:tplc="492A488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D37508"/>
    <w:multiLevelType w:val="hybridMultilevel"/>
    <w:tmpl w:val="D4F8D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60186C"/>
    <w:multiLevelType w:val="hybridMultilevel"/>
    <w:tmpl w:val="299C9166"/>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45" w15:restartNumberingAfterBreak="0">
    <w:nsid w:val="53720453"/>
    <w:multiLevelType w:val="hybridMultilevel"/>
    <w:tmpl w:val="4AAC0A1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5955FC"/>
    <w:multiLevelType w:val="hybridMultilevel"/>
    <w:tmpl w:val="D458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C20323"/>
    <w:multiLevelType w:val="hybridMultilevel"/>
    <w:tmpl w:val="F5820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C24990"/>
    <w:multiLevelType w:val="hybridMultilevel"/>
    <w:tmpl w:val="BF908B00"/>
    <w:lvl w:ilvl="0" w:tplc="1A56B2AA">
      <w:start w:val="1"/>
      <w:numFmt w:val="bullet"/>
      <w:lvlText w:val=""/>
      <w:lvlPicBulletId w:val="3"/>
      <w:lvlJc w:val="left"/>
      <w:pPr>
        <w:tabs>
          <w:tab w:val="num" w:pos="360"/>
        </w:tabs>
        <w:ind w:left="360" w:hanging="360"/>
      </w:pPr>
      <w:rPr>
        <w:rFonts w:ascii="Symbol" w:hAnsi="Symbol" w:hint="default"/>
      </w:rPr>
    </w:lvl>
    <w:lvl w:ilvl="1" w:tplc="BC20A190" w:tentative="1">
      <w:start w:val="1"/>
      <w:numFmt w:val="bullet"/>
      <w:lvlText w:val=""/>
      <w:lvlJc w:val="left"/>
      <w:pPr>
        <w:tabs>
          <w:tab w:val="num" w:pos="1080"/>
        </w:tabs>
        <w:ind w:left="1080" w:hanging="360"/>
      </w:pPr>
      <w:rPr>
        <w:rFonts w:ascii="Symbol" w:hAnsi="Symbol" w:hint="default"/>
      </w:rPr>
    </w:lvl>
    <w:lvl w:ilvl="2" w:tplc="8D0EC2E8" w:tentative="1">
      <w:start w:val="1"/>
      <w:numFmt w:val="bullet"/>
      <w:lvlText w:val=""/>
      <w:lvlJc w:val="left"/>
      <w:pPr>
        <w:tabs>
          <w:tab w:val="num" w:pos="1800"/>
        </w:tabs>
        <w:ind w:left="1800" w:hanging="360"/>
      </w:pPr>
      <w:rPr>
        <w:rFonts w:ascii="Symbol" w:hAnsi="Symbol" w:hint="default"/>
      </w:rPr>
    </w:lvl>
    <w:lvl w:ilvl="3" w:tplc="D5C8D9DC" w:tentative="1">
      <w:start w:val="1"/>
      <w:numFmt w:val="bullet"/>
      <w:lvlText w:val=""/>
      <w:lvlJc w:val="left"/>
      <w:pPr>
        <w:tabs>
          <w:tab w:val="num" w:pos="2520"/>
        </w:tabs>
        <w:ind w:left="2520" w:hanging="360"/>
      </w:pPr>
      <w:rPr>
        <w:rFonts w:ascii="Symbol" w:hAnsi="Symbol" w:hint="default"/>
      </w:rPr>
    </w:lvl>
    <w:lvl w:ilvl="4" w:tplc="6004159C" w:tentative="1">
      <w:start w:val="1"/>
      <w:numFmt w:val="bullet"/>
      <w:lvlText w:val=""/>
      <w:lvlJc w:val="left"/>
      <w:pPr>
        <w:tabs>
          <w:tab w:val="num" w:pos="3240"/>
        </w:tabs>
        <w:ind w:left="3240" w:hanging="360"/>
      </w:pPr>
      <w:rPr>
        <w:rFonts w:ascii="Symbol" w:hAnsi="Symbol" w:hint="default"/>
      </w:rPr>
    </w:lvl>
    <w:lvl w:ilvl="5" w:tplc="74C40AEE" w:tentative="1">
      <w:start w:val="1"/>
      <w:numFmt w:val="bullet"/>
      <w:lvlText w:val=""/>
      <w:lvlJc w:val="left"/>
      <w:pPr>
        <w:tabs>
          <w:tab w:val="num" w:pos="3960"/>
        </w:tabs>
        <w:ind w:left="3960" w:hanging="360"/>
      </w:pPr>
      <w:rPr>
        <w:rFonts w:ascii="Symbol" w:hAnsi="Symbol" w:hint="default"/>
      </w:rPr>
    </w:lvl>
    <w:lvl w:ilvl="6" w:tplc="86E0A0F4" w:tentative="1">
      <w:start w:val="1"/>
      <w:numFmt w:val="bullet"/>
      <w:lvlText w:val=""/>
      <w:lvlJc w:val="left"/>
      <w:pPr>
        <w:tabs>
          <w:tab w:val="num" w:pos="4680"/>
        </w:tabs>
        <w:ind w:left="4680" w:hanging="360"/>
      </w:pPr>
      <w:rPr>
        <w:rFonts w:ascii="Symbol" w:hAnsi="Symbol" w:hint="default"/>
      </w:rPr>
    </w:lvl>
    <w:lvl w:ilvl="7" w:tplc="21143CD8" w:tentative="1">
      <w:start w:val="1"/>
      <w:numFmt w:val="bullet"/>
      <w:lvlText w:val=""/>
      <w:lvlJc w:val="left"/>
      <w:pPr>
        <w:tabs>
          <w:tab w:val="num" w:pos="5400"/>
        </w:tabs>
        <w:ind w:left="5400" w:hanging="360"/>
      </w:pPr>
      <w:rPr>
        <w:rFonts w:ascii="Symbol" w:hAnsi="Symbol" w:hint="default"/>
      </w:rPr>
    </w:lvl>
    <w:lvl w:ilvl="8" w:tplc="ACE8C9AE" w:tentative="1">
      <w:start w:val="1"/>
      <w:numFmt w:val="bullet"/>
      <w:lvlText w:val=""/>
      <w:lvlJc w:val="left"/>
      <w:pPr>
        <w:tabs>
          <w:tab w:val="num" w:pos="6120"/>
        </w:tabs>
        <w:ind w:left="6120" w:hanging="360"/>
      </w:pPr>
      <w:rPr>
        <w:rFonts w:ascii="Symbol" w:hAnsi="Symbol" w:hint="default"/>
      </w:rPr>
    </w:lvl>
  </w:abstractNum>
  <w:abstractNum w:abstractNumId="49" w15:restartNumberingAfterBreak="0">
    <w:nsid w:val="5D677C61"/>
    <w:multiLevelType w:val="hybridMultilevel"/>
    <w:tmpl w:val="217CDB34"/>
    <w:lvl w:ilvl="0" w:tplc="CE88DDD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7B1F08"/>
    <w:multiLevelType w:val="hybridMultilevel"/>
    <w:tmpl w:val="9CCE2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0B6796A"/>
    <w:multiLevelType w:val="hybridMultilevel"/>
    <w:tmpl w:val="A14683B4"/>
    <w:lvl w:ilvl="0" w:tplc="9D5413AE">
      <w:start w:val="1"/>
      <w:numFmt w:val="bullet"/>
      <w:pStyle w:val="ListBullet2"/>
      <w:lvlText w:val="o"/>
      <w:lvlJc w:val="left"/>
      <w:pPr>
        <w:tabs>
          <w:tab w:val="num" w:pos="648"/>
        </w:tabs>
        <w:ind w:left="648" w:firstLine="0"/>
      </w:pPr>
      <w:rPr>
        <w:rFonts w:ascii="Symbol" w:hAnsi="Symbol" w:hint="default"/>
        <w:sz w:val="18"/>
        <w:szCs w:val="18"/>
      </w:rPr>
    </w:lvl>
    <w:lvl w:ilvl="1" w:tplc="4934A276">
      <w:start w:val="1"/>
      <w:numFmt w:val="bullet"/>
      <w:lvlText w:val="o"/>
      <w:lvlJc w:val="left"/>
      <w:pPr>
        <w:tabs>
          <w:tab w:val="num" w:pos="1728"/>
        </w:tabs>
        <w:ind w:left="1728" w:hanging="360"/>
      </w:pPr>
      <w:rPr>
        <w:rFonts w:ascii="Courier New" w:hAnsi="Courier New" w:cs="Courier New" w:hint="default"/>
      </w:rPr>
    </w:lvl>
    <w:lvl w:ilvl="2" w:tplc="F4C49940" w:tentative="1">
      <w:start w:val="1"/>
      <w:numFmt w:val="bullet"/>
      <w:lvlText w:val=""/>
      <w:lvlJc w:val="left"/>
      <w:pPr>
        <w:tabs>
          <w:tab w:val="num" w:pos="2448"/>
        </w:tabs>
        <w:ind w:left="2448" w:hanging="360"/>
      </w:pPr>
      <w:rPr>
        <w:rFonts w:ascii="Wingdings" w:hAnsi="Wingdings" w:hint="default"/>
      </w:rPr>
    </w:lvl>
    <w:lvl w:ilvl="3" w:tplc="9BF0EEEE" w:tentative="1">
      <w:start w:val="1"/>
      <w:numFmt w:val="bullet"/>
      <w:lvlText w:val=""/>
      <w:lvlJc w:val="left"/>
      <w:pPr>
        <w:tabs>
          <w:tab w:val="num" w:pos="3168"/>
        </w:tabs>
        <w:ind w:left="3168" w:hanging="360"/>
      </w:pPr>
      <w:rPr>
        <w:rFonts w:ascii="Symbol" w:hAnsi="Symbol" w:hint="default"/>
      </w:rPr>
    </w:lvl>
    <w:lvl w:ilvl="4" w:tplc="DAB26242" w:tentative="1">
      <w:start w:val="1"/>
      <w:numFmt w:val="bullet"/>
      <w:lvlText w:val="o"/>
      <w:lvlJc w:val="left"/>
      <w:pPr>
        <w:tabs>
          <w:tab w:val="num" w:pos="3888"/>
        </w:tabs>
        <w:ind w:left="3888" w:hanging="360"/>
      </w:pPr>
      <w:rPr>
        <w:rFonts w:ascii="Courier New" w:hAnsi="Courier New" w:cs="Courier New" w:hint="default"/>
      </w:rPr>
    </w:lvl>
    <w:lvl w:ilvl="5" w:tplc="F6220AC8" w:tentative="1">
      <w:start w:val="1"/>
      <w:numFmt w:val="bullet"/>
      <w:lvlText w:val=""/>
      <w:lvlJc w:val="left"/>
      <w:pPr>
        <w:tabs>
          <w:tab w:val="num" w:pos="4608"/>
        </w:tabs>
        <w:ind w:left="4608" w:hanging="360"/>
      </w:pPr>
      <w:rPr>
        <w:rFonts w:ascii="Wingdings" w:hAnsi="Wingdings" w:hint="default"/>
      </w:rPr>
    </w:lvl>
    <w:lvl w:ilvl="6" w:tplc="19AC45C2" w:tentative="1">
      <w:start w:val="1"/>
      <w:numFmt w:val="bullet"/>
      <w:lvlText w:val=""/>
      <w:lvlJc w:val="left"/>
      <w:pPr>
        <w:tabs>
          <w:tab w:val="num" w:pos="5328"/>
        </w:tabs>
        <w:ind w:left="5328" w:hanging="360"/>
      </w:pPr>
      <w:rPr>
        <w:rFonts w:ascii="Symbol" w:hAnsi="Symbol" w:hint="default"/>
      </w:rPr>
    </w:lvl>
    <w:lvl w:ilvl="7" w:tplc="B78ACCBC" w:tentative="1">
      <w:start w:val="1"/>
      <w:numFmt w:val="bullet"/>
      <w:lvlText w:val="o"/>
      <w:lvlJc w:val="left"/>
      <w:pPr>
        <w:tabs>
          <w:tab w:val="num" w:pos="6048"/>
        </w:tabs>
        <w:ind w:left="6048" w:hanging="360"/>
      </w:pPr>
      <w:rPr>
        <w:rFonts w:ascii="Courier New" w:hAnsi="Courier New" w:cs="Courier New" w:hint="default"/>
      </w:rPr>
    </w:lvl>
    <w:lvl w:ilvl="8" w:tplc="BFE680F6" w:tentative="1">
      <w:start w:val="1"/>
      <w:numFmt w:val="bullet"/>
      <w:lvlText w:val=""/>
      <w:lvlJc w:val="left"/>
      <w:pPr>
        <w:tabs>
          <w:tab w:val="num" w:pos="6768"/>
        </w:tabs>
        <w:ind w:left="6768" w:hanging="360"/>
      </w:pPr>
      <w:rPr>
        <w:rFonts w:ascii="Wingdings" w:hAnsi="Wingdings" w:hint="default"/>
      </w:rPr>
    </w:lvl>
  </w:abstractNum>
  <w:abstractNum w:abstractNumId="52" w15:restartNumberingAfterBreak="0">
    <w:nsid w:val="62F059BA"/>
    <w:multiLevelType w:val="multilevel"/>
    <w:tmpl w:val="ED14D6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F8780D"/>
    <w:multiLevelType w:val="hybridMultilevel"/>
    <w:tmpl w:val="024EB8B2"/>
    <w:lvl w:ilvl="0" w:tplc="7A4AF26A">
      <w:start w:val="1"/>
      <w:numFmt w:val="bullet"/>
      <w:pStyle w:val="ListBullet"/>
      <w:lvlText w:val=""/>
      <w:lvlJc w:val="left"/>
      <w:pPr>
        <w:tabs>
          <w:tab w:val="num" w:pos="648"/>
        </w:tabs>
        <w:ind w:left="648" w:hanging="360"/>
      </w:pPr>
      <w:rPr>
        <w:rFonts w:ascii="Symbol" w:hAnsi="Symbol" w:hint="default"/>
        <w:strike w:val="0"/>
        <w:dstrike w:val="0"/>
        <w:color w:val="auto"/>
        <w:sz w:val="22"/>
        <w:szCs w:val="22"/>
      </w:rPr>
    </w:lvl>
    <w:lvl w:ilvl="1" w:tplc="9678102E">
      <w:start w:val="1"/>
      <w:numFmt w:val="bullet"/>
      <w:lvlText w:val="o"/>
      <w:lvlJc w:val="left"/>
      <w:pPr>
        <w:tabs>
          <w:tab w:val="num" w:pos="1440"/>
        </w:tabs>
        <w:ind w:left="1440" w:hanging="360"/>
      </w:pPr>
      <w:rPr>
        <w:rFonts w:ascii="Courier New" w:hAnsi="Courier New" w:cs="Courier New" w:hint="default"/>
      </w:rPr>
    </w:lvl>
    <w:lvl w:ilvl="2" w:tplc="FE64F57C" w:tentative="1">
      <w:start w:val="1"/>
      <w:numFmt w:val="bullet"/>
      <w:lvlText w:val=""/>
      <w:lvlJc w:val="left"/>
      <w:pPr>
        <w:tabs>
          <w:tab w:val="num" w:pos="2160"/>
        </w:tabs>
        <w:ind w:left="2160" w:hanging="360"/>
      </w:pPr>
      <w:rPr>
        <w:rFonts w:ascii="Wingdings" w:hAnsi="Wingdings" w:hint="default"/>
      </w:rPr>
    </w:lvl>
    <w:lvl w:ilvl="3" w:tplc="45624D4E" w:tentative="1">
      <w:start w:val="1"/>
      <w:numFmt w:val="bullet"/>
      <w:lvlText w:val=""/>
      <w:lvlJc w:val="left"/>
      <w:pPr>
        <w:tabs>
          <w:tab w:val="num" w:pos="2880"/>
        </w:tabs>
        <w:ind w:left="2880" w:hanging="360"/>
      </w:pPr>
      <w:rPr>
        <w:rFonts w:ascii="Symbol" w:hAnsi="Symbol" w:hint="default"/>
      </w:rPr>
    </w:lvl>
    <w:lvl w:ilvl="4" w:tplc="FFA044D0" w:tentative="1">
      <w:start w:val="1"/>
      <w:numFmt w:val="bullet"/>
      <w:lvlText w:val="o"/>
      <w:lvlJc w:val="left"/>
      <w:pPr>
        <w:tabs>
          <w:tab w:val="num" w:pos="3600"/>
        </w:tabs>
        <w:ind w:left="3600" w:hanging="360"/>
      </w:pPr>
      <w:rPr>
        <w:rFonts w:ascii="Courier New" w:hAnsi="Courier New" w:cs="Courier New" w:hint="default"/>
      </w:rPr>
    </w:lvl>
    <w:lvl w:ilvl="5" w:tplc="557CF39A" w:tentative="1">
      <w:start w:val="1"/>
      <w:numFmt w:val="bullet"/>
      <w:lvlText w:val=""/>
      <w:lvlJc w:val="left"/>
      <w:pPr>
        <w:tabs>
          <w:tab w:val="num" w:pos="4320"/>
        </w:tabs>
        <w:ind w:left="4320" w:hanging="360"/>
      </w:pPr>
      <w:rPr>
        <w:rFonts w:ascii="Wingdings" w:hAnsi="Wingdings" w:hint="default"/>
      </w:rPr>
    </w:lvl>
    <w:lvl w:ilvl="6" w:tplc="1EF28D7A" w:tentative="1">
      <w:start w:val="1"/>
      <w:numFmt w:val="bullet"/>
      <w:lvlText w:val=""/>
      <w:lvlJc w:val="left"/>
      <w:pPr>
        <w:tabs>
          <w:tab w:val="num" w:pos="5040"/>
        </w:tabs>
        <w:ind w:left="5040" w:hanging="360"/>
      </w:pPr>
      <w:rPr>
        <w:rFonts w:ascii="Symbol" w:hAnsi="Symbol" w:hint="default"/>
      </w:rPr>
    </w:lvl>
    <w:lvl w:ilvl="7" w:tplc="E47C27E2" w:tentative="1">
      <w:start w:val="1"/>
      <w:numFmt w:val="bullet"/>
      <w:lvlText w:val="o"/>
      <w:lvlJc w:val="left"/>
      <w:pPr>
        <w:tabs>
          <w:tab w:val="num" w:pos="5760"/>
        </w:tabs>
        <w:ind w:left="5760" w:hanging="360"/>
      </w:pPr>
      <w:rPr>
        <w:rFonts w:ascii="Courier New" w:hAnsi="Courier New" w:cs="Courier New" w:hint="default"/>
      </w:rPr>
    </w:lvl>
    <w:lvl w:ilvl="8" w:tplc="5BA8C6BE"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3FC7FED"/>
    <w:multiLevelType w:val="hybridMultilevel"/>
    <w:tmpl w:val="05969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5E67AC4"/>
    <w:multiLevelType w:val="hybridMultilevel"/>
    <w:tmpl w:val="0CB492B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70E4C09"/>
    <w:multiLevelType w:val="hybridMultilevel"/>
    <w:tmpl w:val="E018ADEA"/>
    <w:lvl w:ilvl="0" w:tplc="04090003">
      <w:start w:val="1"/>
      <w:numFmt w:val="bullet"/>
      <w:lvlText w:val="o"/>
      <w:lvlJc w:val="left"/>
      <w:pPr>
        <w:tabs>
          <w:tab w:val="num" w:pos="1008"/>
        </w:tabs>
        <w:ind w:left="1008" w:hanging="360"/>
      </w:pPr>
      <w:rPr>
        <w:rFonts w:ascii="Courier New" w:hAnsi="Courier New" w:cs="Courier New" w:hint="default"/>
        <w:strike w:val="0"/>
        <w:dstrike w:val="0"/>
        <w:color w:val="auto"/>
        <w:sz w:val="22"/>
        <w:szCs w:val="22"/>
      </w:rPr>
    </w:lvl>
    <w:lvl w:ilvl="1" w:tplc="29C0FDC6">
      <w:start w:val="1"/>
      <w:numFmt w:val="bullet"/>
      <w:lvlText w:val="o"/>
      <w:lvlJc w:val="left"/>
      <w:pPr>
        <w:tabs>
          <w:tab w:val="num" w:pos="1800"/>
        </w:tabs>
        <w:ind w:left="1800" w:hanging="360"/>
      </w:pPr>
      <w:rPr>
        <w:rFonts w:ascii="Courier New" w:hAnsi="Courier New" w:cs="Courier New" w:hint="default"/>
      </w:rPr>
    </w:lvl>
    <w:lvl w:ilvl="2" w:tplc="1D06B920" w:tentative="1">
      <w:start w:val="1"/>
      <w:numFmt w:val="bullet"/>
      <w:lvlText w:val=""/>
      <w:lvlJc w:val="left"/>
      <w:pPr>
        <w:tabs>
          <w:tab w:val="num" w:pos="2520"/>
        </w:tabs>
        <w:ind w:left="2520" w:hanging="360"/>
      </w:pPr>
      <w:rPr>
        <w:rFonts w:ascii="Wingdings" w:hAnsi="Wingdings" w:hint="default"/>
      </w:rPr>
    </w:lvl>
    <w:lvl w:ilvl="3" w:tplc="8ACA0C3C" w:tentative="1">
      <w:start w:val="1"/>
      <w:numFmt w:val="bullet"/>
      <w:lvlText w:val=""/>
      <w:lvlJc w:val="left"/>
      <w:pPr>
        <w:tabs>
          <w:tab w:val="num" w:pos="3240"/>
        </w:tabs>
        <w:ind w:left="3240" w:hanging="360"/>
      </w:pPr>
      <w:rPr>
        <w:rFonts w:ascii="Symbol" w:hAnsi="Symbol" w:hint="default"/>
      </w:rPr>
    </w:lvl>
    <w:lvl w:ilvl="4" w:tplc="CC428646" w:tentative="1">
      <w:start w:val="1"/>
      <w:numFmt w:val="bullet"/>
      <w:lvlText w:val="o"/>
      <w:lvlJc w:val="left"/>
      <w:pPr>
        <w:tabs>
          <w:tab w:val="num" w:pos="3960"/>
        </w:tabs>
        <w:ind w:left="3960" w:hanging="360"/>
      </w:pPr>
      <w:rPr>
        <w:rFonts w:ascii="Courier New" w:hAnsi="Courier New" w:cs="Courier New" w:hint="default"/>
      </w:rPr>
    </w:lvl>
    <w:lvl w:ilvl="5" w:tplc="A61C0152" w:tentative="1">
      <w:start w:val="1"/>
      <w:numFmt w:val="bullet"/>
      <w:lvlText w:val=""/>
      <w:lvlJc w:val="left"/>
      <w:pPr>
        <w:tabs>
          <w:tab w:val="num" w:pos="4680"/>
        </w:tabs>
        <w:ind w:left="4680" w:hanging="360"/>
      </w:pPr>
      <w:rPr>
        <w:rFonts w:ascii="Wingdings" w:hAnsi="Wingdings" w:hint="default"/>
      </w:rPr>
    </w:lvl>
    <w:lvl w:ilvl="6" w:tplc="DDDCF7E6" w:tentative="1">
      <w:start w:val="1"/>
      <w:numFmt w:val="bullet"/>
      <w:lvlText w:val=""/>
      <w:lvlJc w:val="left"/>
      <w:pPr>
        <w:tabs>
          <w:tab w:val="num" w:pos="5400"/>
        </w:tabs>
        <w:ind w:left="5400" w:hanging="360"/>
      </w:pPr>
      <w:rPr>
        <w:rFonts w:ascii="Symbol" w:hAnsi="Symbol" w:hint="default"/>
      </w:rPr>
    </w:lvl>
    <w:lvl w:ilvl="7" w:tplc="CD8E4C8A" w:tentative="1">
      <w:start w:val="1"/>
      <w:numFmt w:val="bullet"/>
      <w:lvlText w:val="o"/>
      <w:lvlJc w:val="left"/>
      <w:pPr>
        <w:tabs>
          <w:tab w:val="num" w:pos="6120"/>
        </w:tabs>
        <w:ind w:left="6120" w:hanging="360"/>
      </w:pPr>
      <w:rPr>
        <w:rFonts w:ascii="Courier New" w:hAnsi="Courier New" w:cs="Courier New" w:hint="default"/>
      </w:rPr>
    </w:lvl>
    <w:lvl w:ilvl="8" w:tplc="B61CE16E"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72A86BD2"/>
    <w:multiLevelType w:val="singleLevel"/>
    <w:tmpl w:val="606ED0A8"/>
    <w:lvl w:ilvl="0">
      <w:start w:val="1"/>
      <w:numFmt w:val="bullet"/>
      <w:lvlText w:val=""/>
      <w:lvlJc w:val="left"/>
      <w:pPr>
        <w:tabs>
          <w:tab w:val="num" w:pos="720"/>
        </w:tabs>
        <w:ind w:left="720" w:hanging="360"/>
      </w:pPr>
      <w:rPr>
        <w:rFonts w:ascii="Symbol" w:hAnsi="Symbol" w:hint="default"/>
        <w:sz w:val="24"/>
      </w:rPr>
    </w:lvl>
  </w:abstractNum>
  <w:abstractNum w:abstractNumId="58" w15:restartNumberingAfterBreak="0">
    <w:nsid w:val="758D651D"/>
    <w:multiLevelType w:val="hybridMultilevel"/>
    <w:tmpl w:val="C210867C"/>
    <w:lvl w:ilvl="0" w:tplc="9C84FF40">
      <w:start w:val="1"/>
      <w:numFmt w:val="bullet"/>
      <w:pStyle w:val="TableTextNumbersBullet"/>
      <w:lvlText w:val=""/>
      <w:lvlJc w:val="left"/>
      <w:pPr>
        <w:tabs>
          <w:tab w:val="num" w:pos="288"/>
        </w:tabs>
        <w:ind w:left="288" w:firstLine="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1256CB5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D36AAB"/>
    <w:multiLevelType w:val="hybridMultilevel"/>
    <w:tmpl w:val="D87E1606"/>
    <w:lvl w:ilvl="0" w:tplc="80FEF9BA">
      <w:start w:val="1"/>
      <w:numFmt w:val="bullet"/>
      <w:lvlText w:val=""/>
      <w:lvlJc w:val="left"/>
      <w:pPr>
        <w:tabs>
          <w:tab w:val="num" w:pos="1440"/>
        </w:tabs>
        <w:ind w:left="1440" w:hanging="360"/>
      </w:pPr>
      <w:rPr>
        <w:rFonts w:ascii="Symbol" w:hAnsi="Symbol" w:hint="default"/>
      </w:rPr>
    </w:lvl>
    <w:lvl w:ilvl="1" w:tplc="E2A43398" w:tentative="1">
      <w:start w:val="1"/>
      <w:numFmt w:val="bullet"/>
      <w:lvlText w:val="o"/>
      <w:lvlJc w:val="left"/>
      <w:pPr>
        <w:tabs>
          <w:tab w:val="num" w:pos="2160"/>
        </w:tabs>
        <w:ind w:left="2160" w:hanging="360"/>
      </w:pPr>
      <w:rPr>
        <w:rFonts w:ascii="Courier New" w:hAnsi="Courier New" w:cs="Courier New" w:hint="default"/>
      </w:rPr>
    </w:lvl>
    <w:lvl w:ilvl="2" w:tplc="B2F87258" w:tentative="1">
      <w:start w:val="1"/>
      <w:numFmt w:val="bullet"/>
      <w:lvlText w:val=""/>
      <w:lvlJc w:val="left"/>
      <w:pPr>
        <w:tabs>
          <w:tab w:val="num" w:pos="2880"/>
        </w:tabs>
        <w:ind w:left="2880" w:hanging="360"/>
      </w:pPr>
      <w:rPr>
        <w:rFonts w:ascii="Wingdings" w:hAnsi="Wingdings" w:hint="default"/>
      </w:rPr>
    </w:lvl>
    <w:lvl w:ilvl="3" w:tplc="116CE0E6" w:tentative="1">
      <w:start w:val="1"/>
      <w:numFmt w:val="bullet"/>
      <w:lvlText w:val=""/>
      <w:lvlJc w:val="left"/>
      <w:pPr>
        <w:tabs>
          <w:tab w:val="num" w:pos="3600"/>
        </w:tabs>
        <w:ind w:left="3600" w:hanging="360"/>
      </w:pPr>
      <w:rPr>
        <w:rFonts w:ascii="Symbol" w:hAnsi="Symbol" w:hint="default"/>
      </w:rPr>
    </w:lvl>
    <w:lvl w:ilvl="4" w:tplc="65782802" w:tentative="1">
      <w:start w:val="1"/>
      <w:numFmt w:val="bullet"/>
      <w:lvlText w:val="o"/>
      <w:lvlJc w:val="left"/>
      <w:pPr>
        <w:tabs>
          <w:tab w:val="num" w:pos="4320"/>
        </w:tabs>
        <w:ind w:left="4320" w:hanging="360"/>
      </w:pPr>
      <w:rPr>
        <w:rFonts w:ascii="Courier New" w:hAnsi="Courier New" w:cs="Courier New" w:hint="default"/>
      </w:rPr>
    </w:lvl>
    <w:lvl w:ilvl="5" w:tplc="4D4E0C78" w:tentative="1">
      <w:start w:val="1"/>
      <w:numFmt w:val="bullet"/>
      <w:lvlText w:val=""/>
      <w:lvlJc w:val="left"/>
      <w:pPr>
        <w:tabs>
          <w:tab w:val="num" w:pos="5040"/>
        </w:tabs>
        <w:ind w:left="5040" w:hanging="360"/>
      </w:pPr>
      <w:rPr>
        <w:rFonts w:ascii="Wingdings" w:hAnsi="Wingdings" w:hint="default"/>
      </w:rPr>
    </w:lvl>
    <w:lvl w:ilvl="6" w:tplc="9F6434EE" w:tentative="1">
      <w:start w:val="1"/>
      <w:numFmt w:val="bullet"/>
      <w:lvlText w:val=""/>
      <w:lvlJc w:val="left"/>
      <w:pPr>
        <w:tabs>
          <w:tab w:val="num" w:pos="5760"/>
        </w:tabs>
        <w:ind w:left="5760" w:hanging="360"/>
      </w:pPr>
      <w:rPr>
        <w:rFonts w:ascii="Symbol" w:hAnsi="Symbol" w:hint="default"/>
      </w:rPr>
    </w:lvl>
    <w:lvl w:ilvl="7" w:tplc="F8B857D2" w:tentative="1">
      <w:start w:val="1"/>
      <w:numFmt w:val="bullet"/>
      <w:lvlText w:val="o"/>
      <w:lvlJc w:val="left"/>
      <w:pPr>
        <w:tabs>
          <w:tab w:val="num" w:pos="6480"/>
        </w:tabs>
        <w:ind w:left="6480" w:hanging="360"/>
      </w:pPr>
      <w:rPr>
        <w:rFonts w:ascii="Courier New" w:hAnsi="Courier New" w:cs="Courier New" w:hint="default"/>
      </w:rPr>
    </w:lvl>
    <w:lvl w:ilvl="8" w:tplc="8836122C"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7AAD1F61"/>
    <w:multiLevelType w:val="hybridMultilevel"/>
    <w:tmpl w:val="19449DFA"/>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C022B11"/>
    <w:multiLevelType w:val="hybridMultilevel"/>
    <w:tmpl w:val="B60A4BCE"/>
    <w:lvl w:ilvl="0" w:tplc="FFFFFFFF">
      <w:start w:val="2"/>
      <w:numFmt w:val="bullet"/>
      <w:lvlText w:val=""/>
      <w:lvlJc w:val="left"/>
      <w:pPr>
        <w:tabs>
          <w:tab w:val="num" w:pos="795"/>
        </w:tabs>
        <w:ind w:left="795" w:hanging="405"/>
      </w:pPr>
      <w:rPr>
        <w:rFonts w:ascii="Symbol" w:eastAsia="Times New Roman" w:hAnsi="Symbol" w:cs="Aria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7ECB7E7E"/>
    <w:multiLevelType w:val="hybridMultilevel"/>
    <w:tmpl w:val="EF403034"/>
    <w:lvl w:ilvl="0" w:tplc="851AB840">
      <w:start w:val="1"/>
      <w:numFmt w:val="decimal"/>
      <w:pStyle w:val="ListNumbe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746900">
    <w:abstractNumId w:val="39"/>
  </w:num>
  <w:num w:numId="2" w16cid:durableId="633872729">
    <w:abstractNumId w:val="5"/>
  </w:num>
  <w:num w:numId="3" w16cid:durableId="83498105">
    <w:abstractNumId w:val="23"/>
  </w:num>
  <w:num w:numId="4" w16cid:durableId="134375107">
    <w:abstractNumId w:val="35"/>
  </w:num>
  <w:num w:numId="5" w16cid:durableId="1999579306">
    <w:abstractNumId w:val="26"/>
  </w:num>
  <w:num w:numId="6" w16cid:durableId="1310599876">
    <w:abstractNumId w:val="31"/>
  </w:num>
  <w:num w:numId="7" w16cid:durableId="2013141732">
    <w:abstractNumId w:val="58"/>
  </w:num>
  <w:num w:numId="8" w16cid:durableId="586116255">
    <w:abstractNumId w:val="51"/>
  </w:num>
  <w:num w:numId="9" w16cid:durableId="1926722751">
    <w:abstractNumId w:val="33"/>
  </w:num>
  <w:num w:numId="10" w16cid:durableId="1116292555">
    <w:abstractNumId w:val="20"/>
  </w:num>
  <w:num w:numId="11" w16cid:durableId="58334146">
    <w:abstractNumId w:val="0"/>
  </w:num>
  <w:num w:numId="12" w16cid:durableId="1489132252">
    <w:abstractNumId w:val="1"/>
  </w:num>
  <w:num w:numId="13" w16cid:durableId="1935279611">
    <w:abstractNumId w:val="52"/>
  </w:num>
  <w:num w:numId="14" w16cid:durableId="543909864">
    <w:abstractNumId w:val="36"/>
  </w:num>
  <w:num w:numId="15" w16cid:durableId="1784034794">
    <w:abstractNumId w:val="53"/>
  </w:num>
  <w:num w:numId="16" w16cid:durableId="1529103664">
    <w:abstractNumId w:val="10"/>
    <w:lvlOverride w:ilvl="0">
      <w:startOverride w:val="1"/>
    </w:lvlOverride>
  </w:num>
  <w:num w:numId="17" w16cid:durableId="1395199243">
    <w:abstractNumId w:val="10"/>
    <w:lvlOverride w:ilvl="0">
      <w:startOverride w:val="1"/>
    </w:lvlOverride>
  </w:num>
  <w:num w:numId="18" w16cid:durableId="1561402202">
    <w:abstractNumId w:val="10"/>
    <w:lvlOverride w:ilvl="0">
      <w:startOverride w:val="1"/>
    </w:lvlOverride>
  </w:num>
  <w:num w:numId="19" w16cid:durableId="1717047532">
    <w:abstractNumId w:val="10"/>
    <w:lvlOverride w:ilvl="0">
      <w:startOverride w:val="1"/>
    </w:lvlOverride>
  </w:num>
  <w:num w:numId="20" w16cid:durableId="900944138">
    <w:abstractNumId w:val="10"/>
    <w:lvlOverride w:ilvl="0">
      <w:startOverride w:val="1"/>
    </w:lvlOverride>
  </w:num>
  <w:num w:numId="21" w16cid:durableId="636036508">
    <w:abstractNumId w:val="10"/>
    <w:lvlOverride w:ilvl="0">
      <w:startOverride w:val="1"/>
    </w:lvlOverride>
  </w:num>
  <w:num w:numId="22" w16cid:durableId="167328196">
    <w:abstractNumId w:val="10"/>
    <w:lvlOverride w:ilvl="0">
      <w:startOverride w:val="1"/>
    </w:lvlOverride>
  </w:num>
  <w:num w:numId="23" w16cid:durableId="988289447">
    <w:abstractNumId w:val="10"/>
    <w:lvlOverride w:ilvl="0">
      <w:startOverride w:val="1"/>
    </w:lvlOverride>
  </w:num>
  <w:num w:numId="24" w16cid:durableId="1817143825">
    <w:abstractNumId w:val="10"/>
    <w:lvlOverride w:ilvl="0">
      <w:startOverride w:val="1"/>
    </w:lvlOverride>
  </w:num>
  <w:num w:numId="25" w16cid:durableId="1874881950">
    <w:abstractNumId w:val="10"/>
    <w:lvlOverride w:ilvl="0">
      <w:startOverride w:val="1"/>
    </w:lvlOverride>
  </w:num>
  <w:num w:numId="26" w16cid:durableId="2064600313">
    <w:abstractNumId w:val="10"/>
    <w:lvlOverride w:ilvl="0">
      <w:startOverride w:val="1"/>
    </w:lvlOverride>
  </w:num>
  <w:num w:numId="27" w16cid:durableId="506211203">
    <w:abstractNumId w:val="10"/>
    <w:lvlOverride w:ilvl="0">
      <w:startOverride w:val="1"/>
    </w:lvlOverride>
  </w:num>
  <w:num w:numId="28" w16cid:durableId="470026120">
    <w:abstractNumId w:val="10"/>
    <w:lvlOverride w:ilvl="0">
      <w:startOverride w:val="1"/>
    </w:lvlOverride>
  </w:num>
  <w:num w:numId="29" w16cid:durableId="2066221516">
    <w:abstractNumId w:val="10"/>
    <w:lvlOverride w:ilvl="0">
      <w:startOverride w:val="1"/>
    </w:lvlOverride>
  </w:num>
  <w:num w:numId="30" w16cid:durableId="687564376">
    <w:abstractNumId w:val="30"/>
  </w:num>
  <w:num w:numId="31" w16cid:durableId="1663656862">
    <w:abstractNumId w:val="24"/>
  </w:num>
  <w:num w:numId="32" w16cid:durableId="705058007">
    <w:abstractNumId w:val="4"/>
  </w:num>
  <w:num w:numId="33" w16cid:durableId="1398095182">
    <w:abstractNumId w:val="43"/>
  </w:num>
  <w:num w:numId="34" w16cid:durableId="215826094">
    <w:abstractNumId w:val="12"/>
  </w:num>
  <w:num w:numId="35" w16cid:durableId="1628586774">
    <w:abstractNumId w:val="40"/>
  </w:num>
  <w:num w:numId="36" w16cid:durableId="1592079858">
    <w:abstractNumId w:val="15"/>
  </w:num>
  <w:num w:numId="37" w16cid:durableId="119735986">
    <w:abstractNumId w:val="6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59595546">
    <w:abstractNumId w:val="35"/>
    <w:lvlOverride w:ilvl="0">
      <w:startOverride w:val="1"/>
    </w:lvlOverride>
  </w:num>
  <w:num w:numId="39" w16cid:durableId="201988328">
    <w:abstractNumId w:val="35"/>
    <w:lvlOverride w:ilvl="0">
      <w:startOverride w:val="1"/>
    </w:lvlOverride>
  </w:num>
  <w:num w:numId="40" w16cid:durableId="1164199095">
    <w:abstractNumId w:val="62"/>
  </w:num>
  <w:num w:numId="41" w16cid:durableId="758605106">
    <w:abstractNumId w:val="44"/>
  </w:num>
  <w:num w:numId="42" w16cid:durableId="388964426">
    <w:abstractNumId w:val="57"/>
  </w:num>
  <w:num w:numId="43" w16cid:durableId="106123824">
    <w:abstractNumId w:val="13"/>
  </w:num>
  <w:num w:numId="44" w16cid:durableId="1660037261">
    <w:abstractNumId w:val="28"/>
  </w:num>
  <w:num w:numId="45" w16cid:durableId="945162905">
    <w:abstractNumId w:val="3"/>
  </w:num>
  <w:num w:numId="46" w16cid:durableId="540166580">
    <w:abstractNumId w:val="35"/>
    <w:lvlOverride w:ilvl="0">
      <w:startOverride w:val="1"/>
    </w:lvlOverride>
  </w:num>
  <w:num w:numId="47" w16cid:durableId="1869104359">
    <w:abstractNumId w:val="35"/>
    <w:lvlOverride w:ilvl="0">
      <w:startOverride w:val="1"/>
    </w:lvlOverride>
  </w:num>
  <w:num w:numId="48" w16cid:durableId="122693026">
    <w:abstractNumId w:val="25"/>
  </w:num>
  <w:num w:numId="49" w16cid:durableId="150802658">
    <w:abstractNumId w:val="54"/>
  </w:num>
  <w:num w:numId="50" w16cid:durableId="1072628094">
    <w:abstractNumId w:val="35"/>
    <w:lvlOverride w:ilvl="0">
      <w:startOverride w:val="1"/>
    </w:lvlOverride>
  </w:num>
  <w:num w:numId="51" w16cid:durableId="1381779591">
    <w:abstractNumId w:val="21"/>
  </w:num>
  <w:num w:numId="52" w16cid:durableId="247152754">
    <w:abstractNumId w:val="29"/>
  </w:num>
  <w:num w:numId="53" w16cid:durableId="1565138766">
    <w:abstractNumId w:val="59"/>
  </w:num>
  <w:num w:numId="54" w16cid:durableId="1627852252">
    <w:abstractNumId w:val="22"/>
  </w:num>
  <w:num w:numId="55" w16cid:durableId="524641120">
    <w:abstractNumId w:val="50"/>
  </w:num>
  <w:num w:numId="56" w16cid:durableId="1869832282">
    <w:abstractNumId w:val="60"/>
  </w:num>
  <w:num w:numId="57" w16cid:durableId="1151751740">
    <w:abstractNumId w:val="55"/>
  </w:num>
  <w:num w:numId="58" w16cid:durableId="571430509">
    <w:abstractNumId w:val="45"/>
  </w:num>
  <w:num w:numId="59" w16cid:durableId="1871527378">
    <w:abstractNumId w:val="19"/>
  </w:num>
  <w:num w:numId="60" w16cid:durableId="1671978918">
    <w:abstractNumId w:val="7"/>
  </w:num>
  <w:num w:numId="61" w16cid:durableId="1406950418">
    <w:abstractNumId w:val="11"/>
  </w:num>
  <w:num w:numId="62" w16cid:durableId="396442478">
    <w:abstractNumId w:val="18"/>
  </w:num>
  <w:num w:numId="63" w16cid:durableId="1309362208">
    <w:abstractNumId w:val="42"/>
  </w:num>
  <w:num w:numId="64" w16cid:durableId="983046844">
    <w:abstractNumId w:val="38"/>
  </w:num>
  <w:num w:numId="65" w16cid:durableId="1095322205">
    <w:abstractNumId w:val="37"/>
  </w:num>
  <w:num w:numId="66" w16cid:durableId="1324967998">
    <w:abstractNumId w:val="6"/>
  </w:num>
  <w:num w:numId="67" w16cid:durableId="521020712">
    <w:abstractNumId w:val="46"/>
  </w:num>
  <w:num w:numId="68" w16cid:durableId="807741758">
    <w:abstractNumId w:val="34"/>
  </w:num>
  <w:num w:numId="69" w16cid:durableId="701326977">
    <w:abstractNumId w:val="56"/>
  </w:num>
  <w:num w:numId="70" w16cid:durableId="638076397">
    <w:abstractNumId w:val="17"/>
  </w:num>
  <w:num w:numId="71" w16cid:durableId="346753629">
    <w:abstractNumId w:val="32"/>
  </w:num>
  <w:num w:numId="72" w16cid:durableId="603684128">
    <w:abstractNumId w:val="35"/>
    <w:lvlOverride w:ilvl="0">
      <w:startOverride w:val="1"/>
    </w:lvlOverride>
  </w:num>
  <w:num w:numId="73" w16cid:durableId="971667655">
    <w:abstractNumId w:val="35"/>
    <w:lvlOverride w:ilvl="0">
      <w:startOverride w:val="1"/>
    </w:lvlOverride>
  </w:num>
  <w:num w:numId="74" w16cid:durableId="1232234856">
    <w:abstractNumId w:val="35"/>
    <w:lvlOverride w:ilvl="0">
      <w:startOverride w:val="1"/>
    </w:lvlOverride>
  </w:num>
  <w:num w:numId="75" w16cid:durableId="913321115">
    <w:abstractNumId w:val="48"/>
  </w:num>
  <w:num w:numId="76" w16cid:durableId="34818698">
    <w:abstractNumId w:val="49"/>
  </w:num>
  <w:num w:numId="77" w16cid:durableId="1558125404">
    <w:abstractNumId w:val="9"/>
  </w:num>
  <w:num w:numId="78" w16cid:durableId="449204993">
    <w:abstractNumId w:val="8"/>
  </w:num>
  <w:num w:numId="79" w16cid:durableId="247081688">
    <w:abstractNumId w:val="27"/>
  </w:num>
  <w:num w:numId="80" w16cid:durableId="2008710952">
    <w:abstractNumId w:val="35"/>
    <w:lvlOverride w:ilvl="0">
      <w:startOverride w:val="1"/>
    </w:lvlOverride>
  </w:num>
  <w:num w:numId="81" w16cid:durableId="178391115">
    <w:abstractNumId w:val="47"/>
  </w:num>
  <w:num w:numId="82" w16cid:durableId="220529107">
    <w:abstractNumId w:val="41"/>
  </w:num>
  <w:num w:numId="83" w16cid:durableId="52698127">
    <w:abstractNumId w:val="14"/>
  </w:num>
  <w:num w:numId="84" w16cid:durableId="1437479363">
    <w:abstractNumId w:val="16"/>
  </w:num>
  <w:num w:numId="85" w16cid:durableId="837695979">
    <w:abstractNumId w:val="2"/>
  </w:num>
  <w:num w:numId="86" w16cid:durableId="1200511521">
    <w:abstractNumId w:val="35"/>
    <w:lvlOverride w:ilvl="0">
      <w:startOverride w:val="1"/>
    </w:lvlOverride>
  </w:num>
  <w:num w:numId="87" w16cid:durableId="552884436">
    <w:abstractNumId w:val="35"/>
    <w:lvlOverride w:ilvl="0">
      <w:startOverride w:val="1"/>
    </w:lvlOverride>
  </w:num>
  <w:num w:numId="88" w16cid:durableId="666640163">
    <w:abstractNumId w:val="53"/>
  </w:num>
  <w:num w:numId="89" w16cid:durableId="91780613">
    <w:abstractNumId w:val="53"/>
  </w:num>
  <w:num w:numId="90" w16cid:durableId="1406368323">
    <w:abstractNumId w:val="5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5" w:nlCheck="1" w:checkStyle="1"/>
  <w:activeWritingStyle w:appName="MSWord" w:lang="es-ES"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5121"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F5"/>
    <w:rsid w:val="0000095B"/>
    <w:rsid w:val="00000A27"/>
    <w:rsid w:val="00000CF1"/>
    <w:rsid w:val="000013B4"/>
    <w:rsid w:val="000014DD"/>
    <w:rsid w:val="00001639"/>
    <w:rsid w:val="000016CF"/>
    <w:rsid w:val="00001996"/>
    <w:rsid w:val="000022C2"/>
    <w:rsid w:val="00002564"/>
    <w:rsid w:val="000026FF"/>
    <w:rsid w:val="0000295A"/>
    <w:rsid w:val="00002A54"/>
    <w:rsid w:val="00002D13"/>
    <w:rsid w:val="00002DA1"/>
    <w:rsid w:val="000037E8"/>
    <w:rsid w:val="00003944"/>
    <w:rsid w:val="00003AD3"/>
    <w:rsid w:val="00003AD8"/>
    <w:rsid w:val="00003B87"/>
    <w:rsid w:val="00003BE9"/>
    <w:rsid w:val="00004139"/>
    <w:rsid w:val="0000455C"/>
    <w:rsid w:val="00004786"/>
    <w:rsid w:val="00004A4C"/>
    <w:rsid w:val="0000544A"/>
    <w:rsid w:val="000054DE"/>
    <w:rsid w:val="00005649"/>
    <w:rsid w:val="00005A4E"/>
    <w:rsid w:val="00005C14"/>
    <w:rsid w:val="00005EFF"/>
    <w:rsid w:val="0000620B"/>
    <w:rsid w:val="00006808"/>
    <w:rsid w:val="00006995"/>
    <w:rsid w:val="000069FC"/>
    <w:rsid w:val="00006D30"/>
    <w:rsid w:val="00006D86"/>
    <w:rsid w:val="000075A9"/>
    <w:rsid w:val="000075AF"/>
    <w:rsid w:val="00007986"/>
    <w:rsid w:val="00007B62"/>
    <w:rsid w:val="00007E6C"/>
    <w:rsid w:val="00007EFF"/>
    <w:rsid w:val="00007FC3"/>
    <w:rsid w:val="00010613"/>
    <w:rsid w:val="000106E7"/>
    <w:rsid w:val="00010A5B"/>
    <w:rsid w:val="00010B77"/>
    <w:rsid w:val="00010CF8"/>
    <w:rsid w:val="00011036"/>
    <w:rsid w:val="0001187F"/>
    <w:rsid w:val="0001199A"/>
    <w:rsid w:val="00011A43"/>
    <w:rsid w:val="00011FD2"/>
    <w:rsid w:val="00012087"/>
    <w:rsid w:val="000120C4"/>
    <w:rsid w:val="000120CE"/>
    <w:rsid w:val="000124FF"/>
    <w:rsid w:val="0001265E"/>
    <w:rsid w:val="00013002"/>
    <w:rsid w:val="00013047"/>
    <w:rsid w:val="0001312C"/>
    <w:rsid w:val="00013932"/>
    <w:rsid w:val="000143B5"/>
    <w:rsid w:val="000144A0"/>
    <w:rsid w:val="000144FD"/>
    <w:rsid w:val="000145FB"/>
    <w:rsid w:val="000148C3"/>
    <w:rsid w:val="00014955"/>
    <w:rsid w:val="00014B34"/>
    <w:rsid w:val="00014BE4"/>
    <w:rsid w:val="00014EFE"/>
    <w:rsid w:val="000150E9"/>
    <w:rsid w:val="00015258"/>
    <w:rsid w:val="0001548D"/>
    <w:rsid w:val="0001556E"/>
    <w:rsid w:val="00015581"/>
    <w:rsid w:val="00015977"/>
    <w:rsid w:val="00015AFD"/>
    <w:rsid w:val="000162F5"/>
    <w:rsid w:val="000166D4"/>
    <w:rsid w:val="0001680D"/>
    <w:rsid w:val="00016901"/>
    <w:rsid w:val="00016C78"/>
    <w:rsid w:val="000178A6"/>
    <w:rsid w:val="00017EC9"/>
    <w:rsid w:val="000200AF"/>
    <w:rsid w:val="0002020B"/>
    <w:rsid w:val="00020721"/>
    <w:rsid w:val="00020B22"/>
    <w:rsid w:val="0002125E"/>
    <w:rsid w:val="00021B72"/>
    <w:rsid w:val="00021CEB"/>
    <w:rsid w:val="00021E64"/>
    <w:rsid w:val="0002207D"/>
    <w:rsid w:val="000221BC"/>
    <w:rsid w:val="000222FC"/>
    <w:rsid w:val="00022B7B"/>
    <w:rsid w:val="0002312A"/>
    <w:rsid w:val="00023201"/>
    <w:rsid w:val="000234FD"/>
    <w:rsid w:val="00023520"/>
    <w:rsid w:val="000237FB"/>
    <w:rsid w:val="00024376"/>
    <w:rsid w:val="00024989"/>
    <w:rsid w:val="00024B9F"/>
    <w:rsid w:val="00025409"/>
    <w:rsid w:val="0002560C"/>
    <w:rsid w:val="0002571B"/>
    <w:rsid w:val="00025A5C"/>
    <w:rsid w:val="00025A95"/>
    <w:rsid w:val="00025A9B"/>
    <w:rsid w:val="00025BD0"/>
    <w:rsid w:val="00025CF7"/>
    <w:rsid w:val="00026099"/>
    <w:rsid w:val="00026628"/>
    <w:rsid w:val="0002675E"/>
    <w:rsid w:val="00026AC5"/>
    <w:rsid w:val="00026F72"/>
    <w:rsid w:val="00026FF3"/>
    <w:rsid w:val="00027368"/>
    <w:rsid w:val="000273C3"/>
    <w:rsid w:val="00027505"/>
    <w:rsid w:val="0002759E"/>
    <w:rsid w:val="000275FF"/>
    <w:rsid w:val="00027667"/>
    <w:rsid w:val="00027A1C"/>
    <w:rsid w:val="00027EC0"/>
    <w:rsid w:val="00027ED3"/>
    <w:rsid w:val="00027FF5"/>
    <w:rsid w:val="0003045D"/>
    <w:rsid w:val="000305DD"/>
    <w:rsid w:val="00030AF7"/>
    <w:rsid w:val="00030B84"/>
    <w:rsid w:val="00030D9B"/>
    <w:rsid w:val="00030E55"/>
    <w:rsid w:val="00031138"/>
    <w:rsid w:val="000314AF"/>
    <w:rsid w:val="00031618"/>
    <w:rsid w:val="0003186D"/>
    <w:rsid w:val="0003186E"/>
    <w:rsid w:val="000318FD"/>
    <w:rsid w:val="000319CE"/>
    <w:rsid w:val="00031E53"/>
    <w:rsid w:val="00032278"/>
    <w:rsid w:val="000325C4"/>
    <w:rsid w:val="00032782"/>
    <w:rsid w:val="00032B5D"/>
    <w:rsid w:val="000332A7"/>
    <w:rsid w:val="000333EE"/>
    <w:rsid w:val="0003355D"/>
    <w:rsid w:val="00033719"/>
    <w:rsid w:val="000337E9"/>
    <w:rsid w:val="00033916"/>
    <w:rsid w:val="00033B59"/>
    <w:rsid w:val="00033D17"/>
    <w:rsid w:val="00034390"/>
    <w:rsid w:val="000345A6"/>
    <w:rsid w:val="000349A0"/>
    <w:rsid w:val="00034C09"/>
    <w:rsid w:val="000350E5"/>
    <w:rsid w:val="0003580E"/>
    <w:rsid w:val="0003596C"/>
    <w:rsid w:val="000359E4"/>
    <w:rsid w:val="00035A64"/>
    <w:rsid w:val="00035BA7"/>
    <w:rsid w:val="00035CDC"/>
    <w:rsid w:val="00035F16"/>
    <w:rsid w:val="0003608A"/>
    <w:rsid w:val="00036095"/>
    <w:rsid w:val="000360F1"/>
    <w:rsid w:val="00036285"/>
    <w:rsid w:val="000362A2"/>
    <w:rsid w:val="00036449"/>
    <w:rsid w:val="00036B7D"/>
    <w:rsid w:val="00036C25"/>
    <w:rsid w:val="0003705A"/>
    <w:rsid w:val="000371B2"/>
    <w:rsid w:val="00037976"/>
    <w:rsid w:val="00037A18"/>
    <w:rsid w:val="00037BAD"/>
    <w:rsid w:val="00037C16"/>
    <w:rsid w:val="000404B7"/>
    <w:rsid w:val="000405AD"/>
    <w:rsid w:val="000405D5"/>
    <w:rsid w:val="0004065B"/>
    <w:rsid w:val="00040807"/>
    <w:rsid w:val="00040832"/>
    <w:rsid w:val="000409B1"/>
    <w:rsid w:val="00040E28"/>
    <w:rsid w:val="00040E3B"/>
    <w:rsid w:val="000417FC"/>
    <w:rsid w:val="00041C69"/>
    <w:rsid w:val="00041E00"/>
    <w:rsid w:val="00041FCF"/>
    <w:rsid w:val="0004202A"/>
    <w:rsid w:val="000428C6"/>
    <w:rsid w:val="00042A07"/>
    <w:rsid w:val="00042A36"/>
    <w:rsid w:val="00042AF9"/>
    <w:rsid w:val="00042B1F"/>
    <w:rsid w:val="00042FBA"/>
    <w:rsid w:val="0004302A"/>
    <w:rsid w:val="000430E8"/>
    <w:rsid w:val="00043785"/>
    <w:rsid w:val="00044822"/>
    <w:rsid w:val="000448EA"/>
    <w:rsid w:val="0004496F"/>
    <w:rsid w:val="00045009"/>
    <w:rsid w:val="0004514D"/>
    <w:rsid w:val="0004545F"/>
    <w:rsid w:val="0004558D"/>
    <w:rsid w:val="00045736"/>
    <w:rsid w:val="00045762"/>
    <w:rsid w:val="00045CEA"/>
    <w:rsid w:val="00045ED7"/>
    <w:rsid w:val="00046218"/>
    <w:rsid w:val="00046402"/>
    <w:rsid w:val="0004660C"/>
    <w:rsid w:val="0004665B"/>
    <w:rsid w:val="00046907"/>
    <w:rsid w:val="00046C55"/>
    <w:rsid w:val="00046D06"/>
    <w:rsid w:val="00046F4B"/>
    <w:rsid w:val="00047579"/>
    <w:rsid w:val="0004774A"/>
    <w:rsid w:val="00047819"/>
    <w:rsid w:val="00047C2D"/>
    <w:rsid w:val="00047C63"/>
    <w:rsid w:val="000502C3"/>
    <w:rsid w:val="000502D2"/>
    <w:rsid w:val="00050576"/>
    <w:rsid w:val="000507E1"/>
    <w:rsid w:val="000509A8"/>
    <w:rsid w:val="00050BB7"/>
    <w:rsid w:val="000513B1"/>
    <w:rsid w:val="00051401"/>
    <w:rsid w:val="00051554"/>
    <w:rsid w:val="000518ED"/>
    <w:rsid w:val="00051AAE"/>
    <w:rsid w:val="00051E30"/>
    <w:rsid w:val="000526B7"/>
    <w:rsid w:val="00052726"/>
    <w:rsid w:val="00052821"/>
    <w:rsid w:val="00052BC6"/>
    <w:rsid w:val="00052C4E"/>
    <w:rsid w:val="000531FE"/>
    <w:rsid w:val="00053349"/>
    <w:rsid w:val="0005347A"/>
    <w:rsid w:val="0005399B"/>
    <w:rsid w:val="000540F1"/>
    <w:rsid w:val="0005419D"/>
    <w:rsid w:val="0005459C"/>
    <w:rsid w:val="000545BF"/>
    <w:rsid w:val="000546CB"/>
    <w:rsid w:val="00054FA6"/>
    <w:rsid w:val="00055596"/>
    <w:rsid w:val="000558FF"/>
    <w:rsid w:val="00055B6C"/>
    <w:rsid w:val="00055FD7"/>
    <w:rsid w:val="000563F7"/>
    <w:rsid w:val="000565A1"/>
    <w:rsid w:val="000566D6"/>
    <w:rsid w:val="000568BA"/>
    <w:rsid w:val="00056BCC"/>
    <w:rsid w:val="00056CBF"/>
    <w:rsid w:val="000571E4"/>
    <w:rsid w:val="000574B4"/>
    <w:rsid w:val="00057549"/>
    <w:rsid w:val="00057898"/>
    <w:rsid w:val="00057948"/>
    <w:rsid w:val="00057A94"/>
    <w:rsid w:val="00057ADC"/>
    <w:rsid w:val="000603C6"/>
    <w:rsid w:val="000604AA"/>
    <w:rsid w:val="000607CC"/>
    <w:rsid w:val="00060964"/>
    <w:rsid w:val="00060C94"/>
    <w:rsid w:val="00060DE4"/>
    <w:rsid w:val="00061040"/>
    <w:rsid w:val="000612EF"/>
    <w:rsid w:val="0006165B"/>
    <w:rsid w:val="000617B7"/>
    <w:rsid w:val="000618E0"/>
    <w:rsid w:val="00061930"/>
    <w:rsid w:val="00061AEC"/>
    <w:rsid w:val="00061F5B"/>
    <w:rsid w:val="00061FCF"/>
    <w:rsid w:val="00062337"/>
    <w:rsid w:val="00062A58"/>
    <w:rsid w:val="00062D0F"/>
    <w:rsid w:val="00062E99"/>
    <w:rsid w:val="00063114"/>
    <w:rsid w:val="00063AED"/>
    <w:rsid w:val="00063D3D"/>
    <w:rsid w:val="000640BC"/>
    <w:rsid w:val="00064198"/>
    <w:rsid w:val="0006424F"/>
    <w:rsid w:val="00064269"/>
    <w:rsid w:val="0006446E"/>
    <w:rsid w:val="0006459B"/>
    <w:rsid w:val="00064B66"/>
    <w:rsid w:val="00064B9D"/>
    <w:rsid w:val="00064E16"/>
    <w:rsid w:val="00065387"/>
    <w:rsid w:val="00065638"/>
    <w:rsid w:val="00065725"/>
    <w:rsid w:val="00066305"/>
    <w:rsid w:val="000664AE"/>
    <w:rsid w:val="000668C0"/>
    <w:rsid w:val="00066A1D"/>
    <w:rsid w:val="00066B1B"/>
    <w:rsid w:val="00066BE2"/>
    <w:rsid w:val="00066D49"/>
    <w:rsid w:val="0006709D"/>
    <w:rsid w:val="0006735F"/>
    <w:rsid w:val="000673C5"/>
    <w:rsid w:val="00067592"/>
    <w:rsid w:val="00067A9E"/>
    <w:rsid w:val="00067C65"/>
    <w:rsid w:val="000700FB"/>
    <w:rsid w:val="00070C25"/>
    <w:rsid w:val="00070C5D"/>
    <w:rsid w:val="00070CCC"/>
    <w:rsid w:val="00070D1C"/>
    <w:rsid w:val="00071143"/>
    <w:rsid w:val="0007120F"/>
    <w:rsid w:val="000717C2"/>
    <w:rsid w:val="00071FAF"/>
    <w:rsid w:val="00072131"/>
    <w:rsid w:val="00072167"/>
    <w:rsid w:val="00072475"/>
    <w:rsid w:val="0007268D"/>
    <w:rsid w:val="00073282"/>
    <w:rsid w:val="00073695"/>
    <w:rsid w:val="000738BC"/>
    <w:rsid w:val="00073E80"/>
    <w:rsid w:val="0007426E"/>
    <w:rsid w:val="0007472F"/>
    <w:rsid w:val="000751A2"/>
    <w:rsid w:val="0007535F"/>
    <w:rsid w:val="000753FE"/>
    <w:rsid w:val="0007544E"/>
    <w:rsid w:val="00075AA3"/>
    <w:rsid w:val="00075CB7"/>
    <w:rsid w:val="00075D59"/>
    <w:rsid w:val="00076459"/>
    <w:rsid w:val="00076A4A"/>
    <w:rsid w:val="00077037"/>
    <w:rsid w:val="00077082"/>
    <w:rsid w:val="000772BA"/>
    <w:rsid w:val="0007734F"/>
    <w:rsid w:val="0007765F"/>
    <w:rsid w:val="000779C9"/>
    <w:rsid w:val="00077D7E"/>
    <w:rsid w:val="00080078"/>
    <w:rsid w:val="000809E3"/>
    <w:rsid w:val="00080A13"/>
    <w:rsid w:val="00080BF3"/>
    <w:rsid w:val="00080E52"/>
    <w:rsid w:val="00081385"/>
    <w:rsid w:val="0008169A"/>
    <w:rsid w:val="000826CF"/>
    <w:rsid w:val="0008272B"/>
    <w:rsid w:val="00082DBB"/>
    <w:rsid w:val="00082F78"/>
    <w:rsid w:val="0008348E"/>
    <w:rsid w:val="00083924"/>
    <w:rsid w:val="00083AC1"/>
    <w:rsid w:val="00083B7D"/>
    <w:rsid w:val="00083F3A"/>
    <w:rsid w:val="00084027"/>
    <w:rsid w:val="000844AF"/>
    <w:rsid w:val="0008457F"/>
    <w:rsid w:val="000848EE"/>
    <w:rsid w:val="00084DB4"/>
    <w:rsid w:val="00084E6B"/>
    <w:rsid w:val="000850E3"/>
    <w:rsid w:val="00085388"/>
    <w:rsid w:val="000856A7"/>
    <w:rsid w:val="00085DCF"/>
    <w:rsid w:val="00086085"/>
    <w:rsid w:val="000860BB"/>
    <w:rsid w:val="000866EE"/>
    <w:rsid w:val="00086F22"/>
    <w:rsid w:val="00086FDE"/>
    <w:rsid w:val="000873D0"/>
    <w:rsid w:val="000876E5"/>
    <w:rsid w:val="0008774E"/>
    <w:rsid w:val="00087860"/>
    <w:rsid w:val="00087BEA"/>
    <w:rsid w:val="00087DA6"/>
    <w:rsid w:val="00087E50"/>
    <w:rsid w:val="00090795"/>
    <w:rsid w:val="00090B68"/>
    <w:rsid w:val="00090B78"/>
    <w:rsid w:val="00091096"/>
    <w:rsid w:val="00091338"/>
    <w:rsid w:val="000913E7"/>
    <w:rsid w:val="0009149D"/>
    <w:rsid w:val="00091792"/>
    <w:rsid w:val="00091DC8"/>
    <w:rsid w:val="000921F1"/>
    <w:rsid w:val="00092254"/>
    <w:rsid w:val="00092276"/>
    <w:rsid w:val="0009235F"/>
    <w:rsid w:val="000925E5"/>
    <w:rsid w:val="0009266F"/>
    <w:rsid w:val="000926B4"/>
    <w:rsid w:val="00092A53"/>
    <w:rsid w:val="00092B25"/>
    <w:rsid w:val="00092B96"/>
    <w:rsid w:val="00092CFE"/>
    <w:rsid w:val="00092DC9"/>
    <w:rsid w:val="00092F48"/>
    <w:rsid w:val="00093181"/>
    <w:rsid w:val="000937E4"/>
    <w:rsid w:val="0009383F"/>
    <w:rsid w:val="00093E5D"/>
    <w:rsid w:val="0009404D"/>
    <w:rsid w:val="000949C9"/>
    <w:rsid w:val="00094C7D"/>
    <w:rsid w:val="00094D34"/>
    <w:rsid w:val="00095070"/>
    <w:rsid w:val="000953D8"/>
    <w:rsid w:val="00095650"/>
    <w:rsid w:val="00095AA1"/>
    <w:rsid w:val="00095BAC"/>
    <w:rsid w:val="00095C5D"/>
    <w:rsid w:val="00095CB3"/>
    <w:rsid w:val="00095D68"/>
    <w:rsid w:val="000961DF"/>
    <w:rsid w:val="0009655B"/>
    <w:rsid w:val="000969E3"/>
    <w:rsid w:val="00096D10"/>
    <w:rsid w:val="00096EDC"/>
    <w:rsid w:val="00096F1A"/>
    <w:rsid w:val="00096F7A"/>
    <w:rsid w:val="000975BF"/>
    <w:rsid w:val="000977A4"/>
    <w:rsid w:val="00097F10"/>
    <w:rsid w:val="00097FB3"/>
    <w:rsid w:val="000A0354"/>
    <w:rsid w:val="000A04D8"/>
    <w:rsid w:val="000A04E1"/>
    <w:rsid w:val="000A06F5"/>
    <w:rsid w:val="000A0BE8"/>
    <w:rsid w:val="000A0FDE"/>
    <w:rsid w:val="000A10EE"/>
    <w:rsid w:val="000A1199"/>
    <w:rsid w:val="000A126F"/>
    <w:rsid w:val="000A12C5"/>
    <w:rsid w:val="000A15BA"/>
    <w:rsid w:val="000A1A0F"/>
    <w:rsid w:val="000A2260"/>
    <w:rsid w:val="000A23ED"/>
    <w:rsid w:val="000A273B"/>
    <w:rsid w:val="000A29E2"/>
    <w:rsid w:val="000A2E5E"/>
    <w:rsid w:val="000A2FBB"/>
    <w:rsid w:val="000A38A4"/>
    <w:rsid w:val="000A3973"/>
    <w:rsid w:val="000A3D20"/>
    <w:rsid w:val="000A3D88"/>
    <w:rsid w:val="000A3FEB"/>
    <w:rsid w:val="000A4886"/>
    <w:rsid w:val="000A4948"/>
    <w:rsid w:val="000A4A97"/>
    <w:rsid w:val="000A4BAE"/>
    <w:rsid w:val="000A4CE0"/>
    <w:rsid w:val="000A5167"/>
    <w:rsid w:val="000A5281"/>
    <w:rsid w:val="000A5385"/>
    <w:rsid w:val="000A62C9"/>
    <w:rsid w:val="000A6348"/>
    <w:rsid w:val="000A6572"/>
    <w:rsid w:val="000A66AC"/>
    <w:rsid w:val="000A67CF"/>
    <w:rsid w:val="000A6837"/>
    <w:rsid w:val="000A701E"/>
    <w:rsid w:val="000A70BE"/>
    <w:rsid w:val="000A750D"/>
    <w:rsid w:val="000A7B84"/>
    <w:rsid w:val="000A7E9E"/>
    <w:rsid w:val="000A7EFC"/>
    <w:rsid w:val="000B0115"/>
    <w:rsid w:val="000B0170"/>
    <w:rsid w:val="000B0454"/>
    <w:rsid w:val="000B09C8"/>
    <w:rsid w:val="000B0A9D"/>
    <w:rsid w:val="000B0AFD"/>
    <w:rsid w:val="000B10E6"/>
    <w:rsid w:val="000B12DA"/>
    <w:rsid w:val="000B176B"/>
    <w:rsid w:val="000B1BA7"/>
    <w:rsid w:val="000B1D08"/>
    <w:rsid w:val="000B284D"/>
    <w:rsid w:val="000B2B9F"/>
    <w:rsid w:val="000B2EB2"/>
    <w:rsid w:val="000B2F76"/>
    <w:rsid w:val="000B3B22"/>
    <w:rsid w:val="000B3C91"/>
    <w:rsid w:val="000B3D31"/>
    <w:rsid w:val="000B3F35"/>
    <w:rsid w:val="000B407A"/>
    <w:rsid w:val="000B4589"/>
    <w:rsid w:val="000B4E47"/>
    <w:rsid w:val="000B5252"/>
    <w:rsid w:val="000B56AE"/>
    <w:rsid w:val="000B5827"/>
    <w:rsid w:val="000B5A85"/>
    <w:rsid w:val="000B5EBA"/>
    <w:rsid w:val="000B5F8F"/>
    <w:rsid w:val="000B63EB"/>
    <w:rsid w:val="000B674A"/>
    <w:rsid w:val="000B697B"/>
    <w:rsid w:val="000B755C"/>
    <w:rsid w:val="000B78C2"/>
    <w:rsid w:val="000B7930"/>
    <w:rsid w:val="000B7965"/>
    <w:rsid w:val="000B79B3"/>
    <w:rsid w:val="000B7C21"/>
    <w:rsid w:val="000B7DDB"/>
    <w:rsid w:val="000C0082"/>
    <w:rsid w:val="000C010D"/>
    <w:rsid w:val="000C01A8"/>
    <w:rsid w:val="000C0600"/>
    <w:rsid w:val="000C0757"/>
    <w:rsid w:val="000C0766"/>
    <w:rsid w:val="000C156B"/>
    <w:rsid w:val="000C18F8"/>
    <w:rsid w:val="000C1C7E"/>
    <w:rsid w:val="000C1CCE"/>
    <w:rsid w:val="000C206C"/>
    <w:rsid w:val="000C22E7"/>
    <w:rsid w:val="000C2B00"/>
    <w:rsid w:val="000C2D98"/>
    <w:rsid w:val="000C342D"/>
    <w:rsid w:val="000C3495"/>
    <w:rsid w:val="000C3870"/>
    <w:rsid w:val="000C38E7"/>
    <w:rsid w:val="000C3AB4"/>
    <w:rsid w:val="000C3D5C"/>
    <w:rsid w:val="000C426C"/>
    <w:rsid w:val="000C4296"/>
    <w:rsid w:val="000C4324"/>
    <w:rsid w:val="000C4603"/>
    <w:rsid w:val="000C5084"/>
    <w:rsid w:val="000C50E9"/>
    <w:rsid w:val="000C5126"/>
    <w:rsid w:val="000C5593"/>
    <w:rsid w:val="000C56A3"/>
    <w:rsid w:val="000C577B"/>
    <w:rsid w:val="000C57EB"/>
    <w:rsid w:val="000C5C2A"/>
    <w:rsid w:val="000C5F71"/>
    <w:rsid w:val="000C6318"/>
    <w:rsid w:val="000C647B"/>
    <w:rsid w:val="000C6A48"/>
    <w:rsid w:val="000C6CEA"/>
    <w:rsid w:val="000C6D24"/>
    <w:rsid w:val="000C6D97"/>
    <w:rsid w:val="000C7684"/>
    <w:rsid w:val="000C7999"/>
    <w:rsid w:val="000C7C69"/>
    <w:rsid w:val="000D0591"/>
    <w:rsid w:val="000D0722"/>
    <w:rsid w:val="000D08F0"/>
    <w:rsid w:val="000D091B"/>
    <w:rsid w:val="000D0CFB"/>
    <w:rsid w:val="000D14B2"/>
    <w:rsid w:val="000D169A"/>
    <w:rsid w:val="000D1D29"/>
    <w:rsid w:val="000D2373"/>
    <w:rsid w:val="000D2C2C"/>
    <w:rsid w:val="000D30B7"/>
    <w:rsid w:val="000D329F"/>
    <w:rsid w:val="000D380C"/>
    <w:rsid w:val="000D389B"/>
    <w:rsid w:val="000D3AC3"/>
    <w:rsid w:val="000D3C6E"/>
    <w:rsid w:val="000D3E2E"/>
    <w:rsid w:val="000D3FFE"/>
    <w:rsid w:val="000D4240"/>
    <w:rsid w:val="000D4810"/>
    <w:rsid w:val="000D49B7"/>
    <w:rsid w:val="000D5534"/>
    <w:rsid w:val="000D5C66"/>
    <w:rsid w:val="000D602C"/>
    <w:rsid w:val="000D609E"/>
    <w:rsid w:val="000D669E"/>
    <w:rsid w:val="000D681E"/>
    <w:rsid w:val="000D69CE"/>
    <w:rsid w:val="000D6A15"/>
    <w:rsid w:val="000D6BFB"/>
    <w:rsid w:val="000D6CA6"/>
    <w:rsid w:val="000D6CFB"/>
    <w:rsid w:val="000D6F9F"/>
    <w:rsid w:val="000D70D6"/>
    <w:rsid w:val="000D75FA"/>
    <w:rsid w:val="000D7828"/>
    <w:rsid w:val="000D79B6"/>
    <w:rsid w:val="000D7B0F"/>
    <w:rsid w:val="000E05CB"/>
    <w:rsid w:val="000E07BD"/>
    <w:rsid w:val="000E07D2"/>
    <w:rsid w:val="000E19EE"/>
    <w:rsid w:val="000E1BFF"/>
    <w:rsid w:val="000E1D69"/>
    <w:rsid w:val="000E2446"/>
    <w:rsid w:val="000E286D"/>
    <w:rsid w:val="000E2D6A"/>
    <w:rsid w:val="000E2F6A"/>
    <w:rsid w:val="000E2F87"/>
    <w:rsid w:val="000E334B"/>
    <w:rsid w:val="000E3650"/>
    <w:rsid w:val="000E3E6B"/>
    <w:rsid w:val="000E44DC"/>
    <w:rsid w:val="000E4FC6"/>
    <w:rsid w:val="000E5480"/>
    <w:rsid w:val="000E5481"/>
    <w:rsid w:val="000E54C1"/>
    <w:rsid w:val="000E5904"/>
    <w:rsid w:val="000E59E4"/>
    <w:rsid w:val="000E5D5B"/>
    <w:rsid w:val="000E5D74"/>
    <w:rsid w:val="000E6247"/>
    <w:rsid w:val="000E6280"/>
    <w:rsid w:val="000E64BC"/>
    <w:rsid w:val="000E6500"/>
    <w:rsid w:val="000E6B34"/>
    <w:rsid w:val="000E6B9F"/>
    <w:rsid w:val="000E6E10"/>
    <w:rsid w:val="000E6F32"/>
    <w:rsid w:val="000E7079"/>
    <w:rsid w:val="000E7610"/>
    <w:rsid w:val="000E7760"/>
    <w:rsid w:val="000E78EE"/>
    <w:rsid w:val="000E7BC3"/>
    <w:rsid w:val="000E7C07"/>
    <w:rsid w:val="000E7CF5"/>
    <w:rsid w:val="000F0115"/>
    <w:rsid w:val="000F05B1"/>
    <w:rsid w:val="000F0DE8"/>
    <w:rsid w:val="000F10F5"/>
    <w:rsid w:val="000F12D4"/>
    <w:rsid w:val="000F217B"/>
    <w:rsid w:val="000F2235"/>
    <w:rsid w:val="000F2292"/>
    <w:rsid w:val="000F2646"/>
    <w:rsid w:val="000F29F3"/>
    <w:rsid w:val="000F2E95"/>
    <w:rsid w:val="000F339C"/>
    <w:rsid w:val="000F37DC"/>
    <w:rsid w:val="000F404E"/>
    <w:rsid w:val="000F40B6"/>
    <w:rsid w:val="000F4421"/>
    <w:rsid w:val="000F4B1D"/>
    <w:rsid w:val="000F4CFE"/>
    <w:rsid w:val="000F5236"/>
    <w:rsid w:val="000F54F2"/>
    <w:rsid w:val="000F57D8"/>
    <w:rsid w:val="000F5C7E"/>
    <w:rsid w:val="000F5E1B"/>
    <w:rsid w:val="000F62D6"/>
    <w:rsid w:val="000F697A"/>
    <w:rsid w:val="000F6B02"/>
    <w:rsid w:val="000F6DC4"/>
    <w:rsid w:val="000F6EEA"/>
    <w:rsid w:val="000F7202"/>
    <w:rsid w:val="000F734F"/>
    <w:rsid w:val="000F73EC"/>
    <w:rsid w:val="000F7A21"/>
    <w:rsid w:val="00100276"/>
    <w:rsid w:val="00100447"/>
    <w:rsid w:val="00100529"/>
    <w:rsid w:val="00100549"/>
    <w:rsid w:val="001005F3"/>
    <w:rsid w:val="00100655"/>
    <w:rsid w:val="00100767"/>
    <w:rsid w:val="00100949"/>
    <w:rsid w:val="00100D77"/>
    <w:rsid w:val="00101169"/>
    <w:rsid w:val="001012DA"/>
    <w:rsid w:val="001014F6"/>
    <w:rsid w:val="001016A5"/>
    <w:rsid w:val="0010177C"/>
    <w:rsid w:val="001017A2"/>
    <w:rsid w:val="00101C38"/>
    <w:rsid w:val="00101C69"/>
    <w:rsid w:val="00101CFA"/>
    <w:rsid w:val="00101EEF"/>
    <w:rsid w:val="0010213C"/>
    <w:rsid w:val="00102607"/>
    <w:rsid w:val="00102700"/>
    <w:rsid w:val="0010275E"/>
    <w:rsid w:val="00102A03"/>
    <w:rsid w:val="00102E3E"/>
    <w:rsid w:val="0010333F"/>
    <w:rsid w:val="0010335E"/>
    <w:rsid w:val="00103E20"/>
    <w:rsid w:val="0010440F"/>
    <w:rsid w:val="00104940"/>
    <w:rsid w:val="001051D0"/>
    <w:rsid w:val="001055DF"/>
    <w:rsid w:val="0010595A"/>
    <w:rsid w:val="00105D66"/>
    <w:rsid w:val="00105DF5"/>
    <w:rsid w:val="00105E53"/>
    <w:rsid w:val="001061A4"/>
    <w:rsid w:val="00106476"/>
    <w:rsid w:val="00106B04"/>
    <w:rsid w:val="00107232"/>
    <w:rsid w:val="0010751B"/>
    <w:rsid w:val="00107CEB"/>
    <w:rsid w:val="00107EFE"/>
    <w:rsid w:val="0011003A"/>
    <w:rsid w:val="00110B97"/>
    <w:rsid w:val="00111380"/>
    <w:rsid w:val="001116E3"/>
    <w:rsid w:val="00111B5F"/>
    <w:rsid w:val="00111DDA"/>
    <w:rsid w:val="001120F2"/>
    <w:rsid w:val="00112590"/>
    <w:rsid w:val="00112979"/>
    <w:rsid w:val="00112C24"/>
    <w:rsid w:val="001131F9"/>
    <w:rsid w:val="00113274"/>
    <w:rsid w:val="001132DE"/>
    <w:rsid w:val="001137FD"/>
    <w:rsid w:val="00113ABA"/>
    <w:rsid w:val="00113B6A"/>
    <w:rsid w:val="00113E2C"/>
    <w:rsid w:val="0011459B"/>
    <w:rsid w:val="00114950"/>
    <w:rsid w:val="001149DC"/>
    <w:rsid w:val="00114FA8"/>
    <w:rsid w:val="0011500D"/>
    <w:rsid w:val="001150D4"/>
    <w:rsid w:val="00115264"/>
    <w:rsid w:val="0011539C"/>
    <w:rsid w:val="0011594A"/>
    <w:rsid w:val="00115A2A"/>
    <w:rsid w:val="00116118"/>
    <w:rsid w:val="0011624B"/>
    <w:rsid w:val="00116B25"/>
    <w:rsid w:val="00117596"/>
    <w:rsid w:val="0011791A"/>
    <w:rsid w:val="00117986"/>
    <w:rsid w:val="001200B8"/>
    <w:rsid w:val="001201D3"/>
    <w:rsid w:val="001202D6"/>
    <w:rsid w:val="001205E0"/>
    <w:rsid w:val="00120B78"/>
    <w:rsid w:val="00120C4C"/>
    <w:rsid w:val="00120C66"/>
    <w:rsid w:val="00120CFF"/>
    <w:rsid w:val="00121110"/>
    <w:rsid w:val="00121161"/>
    <w:rsid w:val="00121179"/>
    <w:rsid w:val="0012140C"/>
    <w:rsid w:val="00121AA6"/>
    <w:rsid w:val="00121ACC"/>
    <w:rsid w:val="00121ADB"/>
    <w:rsid w:val="00121C95"/>
    <w:rsid w:val="00121EB7"/>
    <w:rsid w:val="001220FF"/>
    <w:rsid w:val="00122108"/>
    <w:rsid w:val="001221A1"/>
    <w:rsid w:val="0012237C"/>
    <w:rsid w:val="00122549"/>
    <w:rsid w:val="001228C1"/>
    <w:rsid w:val="00122C0A"/>
    <w:rsid w:val="00122C59"/>
    <w:rsid w:val="00122EF8"/>
    <w:rsid w:val="001231A9"/>
    <w:rsid w:val="0012324C"/>
    <w:rsid w:val="001233F2"/>
    <w:rsid w:val="00123425"/>
    <w:rsid w:val="0012357E"/>
    <w:rsid w:val="001235FC"/>
    <w:rsid w:val="00123629"/>
    <w:rsid w:val="00123B55"/>
    <w:rsid w:val="00123D20"/>
    <w:rsid w:val="00123ED4"/>
    <w:rsid w:val="00124A3D"/>
    <w:rsid w:val="00124B88"/>
    <w:rsid w:val="00124F98"/>
    <w:rsid w:val="001255DD"/>
    <w:rsid w:val="001257A2"/>
    <w:rsid w:val="0012595E"/>
    <w:rsid w:val="0012630F"/>
    <w:rsid w:val="001266F5"/>
    <w:rsid w:val="00126AF8"/>
    <w:rsid w:val="001272CA"/>
    <w:rsid w:val="0012752C"/>
    <w:rsid w:val="001275DD"/>
    <w:rsid w:val="00127783"/>
    <w:rsid w:val="00127DFF"/>
    <w:rsid w:val="00131240"/>
    <w:rsid w:val="00131485"/>
    <w:rsid w:val="00131503"/>
    <w:rsid w:val="00131F07"/>
    <w:rsid w:val="00132178"/>
    <w:rsid w:val="001322C8"/>
    <w:rsid w:val="0013234C"/>
    <w:rsid w:val="00132576"/>
    <w:rsid w:val="00132628"/>
    <w:rsid w:val="00132A2B"/>
    <w:rsid w:val="00132A9A"/>
    <w:rsid w:val="00132F6A"/>
    <w:rsid w:val="00133454"/>
    <w:rsid w:val="00133B5F"/>
    <w:rsid w:val="00133C6C"/>
    <w:rsid w:val="00133C70"/>
    <w:rsid w:val="00134050"/>
    <w:rsid w:val="0013459E"/>
    <w:rsid w:val="00134DFF"/>
    <w:rsid w:val="00135665"/>
    <w:rsid w:val="00135C07"/>
    <w:rsid w:val="00135D5B"/>
    <w:rsid w:val="00136080"/>
    <w:rsid w:val="00136649"/>
    <w:rsid w:val="0013678B"/>
    <w:rsid w:val="00136C64"/>
    <w:rsid w:val="0013758B"/>
    <w:rsid w:val="00137BAE"/>
    <w:rsid w:val="00137C68"/>
    <w:rsid w:val="001403D9"/>
    <w:rsid w:val="0014066B"/>
    <w:rsid w:val="00140686"/>
    <w:rsid w:val="00140843"/>
    <w:rsid w:val="00140AE8"/>
    <w:rsid w:val="00140BE5"/>
    <w:rsid w:val="00141167"/>
    <w:rsid w:val="00141237"/>
    <w:rsid w:val="0014133A"/>
    <w:rsid w:val="00141448"/>
    <w:rsid w:val="001414E9"/>
    <w:rsid w:val="001416EA"/>
    <w:rsid w:val="00141896"/>
    <w:rsid w:val="00141AB2"/>
    <w:rsid w:val="00141E2B"/>
    <w:rsid w:val="00142675"/>
    <w:rsid w:val="00142837"/>
    <w:rsid w:val="00142B16"/>
    <w:rsid w:val="00142CC6"/>
    <w:rsid w:val="00142D18"/>
    <w:rsid w:val="00143160"/>
    <w:rsid w:val="001431F4"/>
    <w:rsid w:val="0014338C"/>
    <w:rsid w:val="0014357E"/>
    <w:rsid w:val="00143C19"/>
    <w:rsid w:val="00144335"/>
    <w:rsid w:val="00144CDF"/>
    <w:rsid w:val="00144F94"/>
    <w:rsid w:val="0014520D"/>
    <w:rsid w:val="0014560E"/>
    <w:rsid w:val="00145AD0"/>
    <w:rsid w:val="00145EEC"/>
    <w:rsid w:val="001467B6"/>
    <w:rsid w:val="00147059"/>
    <w:rsid w:val="0014754D"/>
    <w:rsid w:val="001475F1"/>
    <w:rsid w:val="00147B9F"/>
    <w:rsid w:val="0015006E"/>
    <w:rsid w:val="00150254"/>
    <w:rsid w:val="00150930"/>
    <w:rsid w:val="00150D5C"/>
    <w:rsid w:val="00150E0F"/>
    <w:rsid w:val="00151156"/>
    <w:rsid w:val="00151384"/>
    <w:rsid w:val="00151456"/>
    <w:rsid w:val="00151554"/>
    <w:rsid w:val="00151977"/>
    <w:rsid w:val="00151982"/>
    <w:rsid w:val="00151D93"/>
    <w:rsid w:val="0015205A"/>
    <w:rsid w:val="00152357"/>
    <w:rsid w:val="001525AE"/>
    <w:rsid w:val="00152A88"/>
    <w:rsid w:val="00152B83"/>
    <w:rsid w:val="00152E7B"/>
    <w:rsid w:val="001530DF"/>
    <w:rsid w:val="001530EE"/>
    <w:rsid w:val="00153251"/>
    <w:rsid w:val="0015352F"/>
    <w:rsid w:val="001535D0"/>
    <w:rsid w:val="001536FA"/>
    <w:rsid w:val="001537A7"/>
    <w:rsid w:val="001537BB"/>
    <w:rsid w:val="001537F5"/>
    <w:rsid w:val="0015382B"/>
    <w:rsid w:val="00153A27"/>
    <w:rsid w:val="00153AA4"/>
    <w:rsid w:val="00153CC7"/>
    <w:rsid w:val="00154095"/>
    <w:rsid w:val="00154561"/>
    <w:rsid w:val="001545B8"/>
    <w:rsid w:val="00154CBC"/>
    <w:rsid w:val="00155120"/>
    <w:rsid w:val="00155471"/>
    <w:rsid w:val="001556AE"/>
    <w:rsid w:val="00155827"/>
    <w:rsid w:val="00155BBE"/>
    <w:rsid w:val="00155CB2"/>
    <w:rsid w:val="00155D22"/>
    <w:rsid w:val="00155F6F"/>
    <w:rsid w:val="00156247"/>
    <w:rsid w:val="00156636"/>
    <w:rsid w:val="0015667D"/>
    <w:rsid w:val="00156726"/>
    <w:rsid w:val="00156A38"/>
    <w:rsid w:val="00156AFA"/>
    <w:rsid w:val="00156D0A"/>
    <w:rsid w:val="00157ABC"/>
    <w:rsid w:val="00157C1B"/>
    <w:rsid w:val="00157C43"/>
    <w:rsid w:val="001604D4"/>
    <w:rsid w:val="0016073F"/>
    <w:rsid w:val="001609BE"/>
    <w:rsid w:val="00160BC7"/>
    <w:rsid w:val="00160D7B"/>
    <w:rsid w:val="00161065"/>
    <w:rsid w:val="00161069"/>
    <w:rsid w:val="001610FE"/>
    <w:rsid w:val="00161247"/>
    <w:rsid w:val="001615A5"/>
    <w:rsid w:val="0016162F"/>
    <w:rsid w:val="001626B3"/>
    <w:rsid w:val="00162AEE"/>
    <w:rsid w:val="00162B31"/>
    <w:rsid w:val="001631B2"/>
    <w:rsid w:val="001631DF"/>
    <w:rsid w:val="0016334F"/>
    <w:rsid w:val="00163C35"/>
    <w:rsid w:val="00164B44"/>
    <w:rsid w:val="00164C0F"/>
    <w:rsid w:val="001650CB"/>
    <w:rsid w:val="00165119"/>
    <w:rsid w:val="0016517C"/>
    <w:rsid w:val="00165C19"/>
    <w:rsid w:val="00165FF7"/>
    <w:rsid w:val="0016671A"/>
    <w:rsid w:val="0016677C"/>
    <w:rsid w:val="00166B86"/>
    <w:rsid w:val="00166C27"/>
    <w:rsid w:val="00166ECE"/>
    <w:rsid w:val="00167101"/>
    <w:rsid w:val="001676C5"/>
    <w:rsid w:val="00167B8B"/>
    <w:rsid w:val="00167CC5"/>
    <w:rsid w:val="00170060"/>
    <w:rsid w:val="00170556"/>
    <w:rsid w:val="001705B2"/>
    <w:rsid w:val="0017088C"/>
    <w:rsid w:val="00170A14"/>
    <w:rsid w:val="00170EEF"/>
    <w:rsid w:val="001710A2"/>
    <w:rsid w:val="001710D5"/>
    <w:rsid w:val="0017153D"/>
    <w:rsid w:val="0017175D"/>
    <w:rsid w:val="00171C51"/>
    <w:rsid w:val="00171D3D"/>
    <w:rsid w:val="001723A8"/>
    <w:rsid w:val="0017266E"/>
    <w:rsid w:val="0017270C"/>
    <w:rsid w:val="00172967"/>
    <w:rsid w:val="00172B07"/>
    <w:rsid w:val="00172C39"/>
    <w:rsid w:val="0017307E"/>
    <w:rsid w:val="001730E0"/>
    <w:rsid w:val="00173187"/>
    <w:rsid w:val="0017341A"/>
    <w:rsid w:val="001737EE"/>
    <w:rsid w:val="0017387F"/>
    <w:rsid w:val="00173A2B"/>
    <w:rsid w:val="00173A54"/>
    <w:rsid w:val="00173BDA"/>
    <w:rsid w:val="001740D6"/>
    <w:rsid w:val="00174155"/>
    <w:rsid w:val="001743E6"/>
    <w:rsid w:val="00174514"/>
    <w:rsid w:val="00174A86"/>
    <w:rsid w:val="00174AE3"/>
    <w:rsid w:val="00174BD8"/>
    <w:rsid w:val="00174E42"/>
    <w:rsid w:val="00174F0E"/>
    <w:rsid w:val="0017525B"/>
    <w:rsid w:val="0017553F"/>
    <w:rsid w:val="00175BAD"/>
    <w:rsid w:val="00175FCB"/>
    <w:rsid w:val="0017630B"/>
    <w:rsid w:val="0017641A"/>
    <w:rsid w:val="00176587"/>
    <w:rsid w:val="00176725"/>
    <w:rsid w:val="00176C67"/>
    <w:rsid w:val="00177110"/>
    <w:rsid w:val="00177419"/>
    <w:rsid w:val="00177470"/>
    <w:rsid w:val="001774BD"/>
    <w:rsid w:val="00177E10"/>
    <w:rsid w:val="00177E5C"/>
    <w:rsid w:val="001803E2"/>
    <w:rsid w:val="001809EC"/>
    <w:rsid w:val="00180D64"/>
    <w:rsid w:val="00180DD4"/>
    <w:rsid w:val="00180F86"/>
    <w:rsid w:val="001816DB"/>
    <w:rsid w:val="00181773"/>
    <w:rsid w:val="00181A5E"/>
    <w:rsid w:val="00181ECD"/>
    <w:rsid w:val="0018209A"/>
    <w:rsid w:val="00182103"/>
    <w:rsid w:val="0018258A"/>
    <w:rsid w:val="00182B9B"/>
    <w:rsid w:val="00182C38"/>
    <w:rsid w:val="00182D07"/>
    <w:rsid w:val="00183575"/>
    <w:rsid w:val="00183964"/>
    <w:rsid w:val="00183B36"/>
    <w:rsid w:val="00183B56"/>
    <w:rsid w:val="00184325"/>
    <w:rsid w:val="00184401"/>
    <w:rsid w:val="00184A1D"/>
    <w:rsid w:val="00184ABE"/>
    <w:rsid w:val="00184EA4"/>
    <w:rsid w:val="00185119"/>
    <w:rsid w:val="00185D0C"/>
    <w:rsid w:val="00185DBB"/>
    <w:rsid w:val="0018661D"/>
    <w:rsid w:val="0018665E"/>
    <w:rsid w:val="001866C8"/>
    <w:rsid w:val="00186E73"/>
    <w:rsid w:val="00187BDC"/>
    <w:rsid w:val="00187C2A"/>
    <w:rsid w:val="001902A0"/>
    <w:rsid w:val="00190420"/>
    <w:rsid w:val="00190939"/>
    <w:rsid w:val="00190AFA"/>
    <w:rsid w:val="00190BD2"/>
    <w:rsid w:val="00190BEC"/>
    <w:rsid w:val="00190D04"/>
    <w:rsid w:val="001911CF"/>
    <w:rsid w:val="001912FC"/>
    <w:rsid w:val="00191509"/>
    <w:rsid w:val="00191560"/>
    <w:rsid w:val="00191728"/>
    <w:rsid w:val="001917A7"/>
    <w:rsid w:val="00191920"/>
    <w:rsid w:val="00191AFE"/>
    <w:rsid w:val="00191BC6"/>
    <w:rsid w:val="00191CFE"/>
    <w:rsid w:val="00191FE7"/>
    <w:rsid w:val="00192A95"/>
    <w:rsid w:val="00192E38"/>
    <w:rsid w:val="00192F17"/>
    <w:rsid w:val="0019303F"/>
    <w:rsid w:val="00193128"/>
    <w:rsid w:val="001931A6"/>
    <w:rsid w:val="001931D9"/>
    <w:rsid w:val="00193544"/>
    <w:rsid w:val="00193561"/>
    <w:rsid w:val="001938AF"/>
    <w:rsid w:val="00193E97"/>
    <w:rsid w:val="001940AE"/>
    <w:rsid w:val="001941CC"/>
    <w:rsid w:val="00194509"/>
    <w:rsid w:val="001947FE"/>
    <w:rsid w:val="00194862"/>
    <w:rsid w:val="00194BD4"/>
    <w:rsid w:val="00194D2F"/>
    <w:rsid w:val="0019510C"/>
    <w:rsid w:val="001952FA"/>
    <w:rsid w:val="00195C16"/>
    <w:rsid w:val="00195D83"/>
    <w:rsid w:val="001964E3"/>
    <w:rsid w:val="001970AB"/>
    <w:rsid w:val="001971FE"/>
    <w:rsid w:val="001973DB"/>
    <w:rsid w:val="00197566"/>
    <w:rsid w:val="00197E75"/>
    <w:rsid w:val="001A009A"/>
    <w:rsid w:val="001A044F"/>
    <w:rsid w:val="001A049C"/>
    <w:rsid w:val="001A05C6"/>
    <w:rsid w:val="001A07EC"/>
    <w:rsid w:val="001A0AAD"/>
    <w:rsid w:val="001A0BF6"/>
    <w:rsid w:val="001A1374"/>
    <w:rsid w:val="001A151D"/>
    <w:rsid w:val="001A1559"/>
    <w:rsid w:val="001A16B3"/>
    <w:rsid w:val="001A19F4"/>
    <w:rsid w:val="001A1C71"/>
    <w:rsid w:val="001A1D10"/>
    <w:rsid w:val="001A21EF"/>
    <w:rsid w:val="001A234F"/>
    <w:rsid w:val="001A27D6"/>
    <w:rsid w:val="001A2901"/>
    <w:rsid w:val="001A2E7A"/>
    <w:rsid w:val="001A3140"/>
    <w:rsid w:val="001A3179"/>
    <w:rsid w:val="001A3E89"/>
    <w:rsid w:val="001A459B"/>
    <w:rsid w:val="001A49C2"/>
    <w:rsid w:val="001A4C83"/>
    <w:rsid w:val="001A4FD5"/>
    <w:rsid w:val="001A505C"/>
    <w:rsid w:val="001A535D"/>
    <w:rsid w:val="001A53C8"/>
    <w:rsid w:val="001A5555"/>
    <w:rsid w:val="001A5A46"/>
    <w:rsid w:val="001A5EAA"/>
    <w:rsid w:val="001A6891"/>
    <w:rsid w:val="001A6986"/>
    <w:rsid w:val="001A6C60"/>
    <w:rsid w:val="001A72BE"/>
    <w:rsid w:val="001A7C4F"/>
    <w:rsid w:val="001A7E50"/>
    <w:rsid w:val="001B0664"/>
    <w:rsid w:val="001B08E3"/>
    <w:rsid w:val="001B0B0C"/>
    <w:rsid w:val="001B0C97"/>
    <w:rsid w:val="001B0CCD"/>
    <w:rsid w:val="001B0F97"/>
    <w:rsid w:val="001B1422"/>
    <w:rsid w:val="001B15EC"/>
    <w:rsid w:val="001B1D2F"/>
    <w:rsid w:val="001B1F53"/>
    <w:rsid w:val="001B2013"/>
    <w:rsid w:val="001B2258"/>
    <w:rsid w:val="001B2AED"/>
    <w:rsid w:val="001B2C68"/>
    <w:rsid w:val="001B2CBA"/>
    <w:rsid w:val="001B3283"/>
    <w:rsid w:val="001B3ADD"/>
    <w:rsid w:val="001B3C0E"/>
    <w:rsid w:val="001B40D7"/>
    <w:rsid w:val="001B4207"/>
    <w:rsid w:val="001B42C7"/>
    <w:rsid w:val="001B4885"/>
    <w:rsid w:val="001B48FE"/>
    <w:rsid w:val="001B4B71"/>
    <w:rsid w:val="001B4DFE"/>
    <w:rsid w:val="001B51FE"/>
    <w:rsid w:val="001B52E9"/>
    <w:rsid w:val="001B5600"/>
    <w:rsid w:val="001B5B84"/>
    <w:rsid w:val="001B61AF"/>
    <w:rsid w:val="001B61D3"/>
    <w:rsid w:val="001B63FE"/>
    <w:rsid w:val="001B67CD"/>
    <w:rsid w:val="001B6BE9"/>
    <w:rsid w:val="001B6C56"/>
    <w:rsid w:val="001B6D4B"/>
    <w:rsid w:val="001B6D63"/>
    <w:rsid w:val="001B7165"/>
    <w:rsid w:val="001B7883"/>
    <w:rsid w:val="001B7A70"/>
    <w:rsid w:val="001C011A"/>
    <w:rsid w:val="001C0682"/>
    <w:rsid w:val="001C07B3"/>
    <w:rsid w:val="001C07FE"/>
    <w:rsid w:val="001C08ED"/>
    <w:rsid w:val="001C0D36"/>
    <w:rsid w:val="001C0F6A"/>
    <w:rsid w:val="001C11DB"/>
    <w:rsid w:val="001C1207"/>
    <w:rsid w:val="001C13FD"/>
    <w:rsid w:val="001C156E"/>
    <w:rsid w:val="001C1693"/>
    <w:rsid w:val="001C17DF"/>
    <w:rsid w:val="001C1A57"/>
    <w:rsid w:val="001C2F8E"/>
    <w:rsid w:val="001C317F"/>
    <w:rsid w:val="001C322D"/>
    <w:rsid w:val="001C3305"/>
    <w:rsid w:val="001C3461"/>
    <w:rsid w:val="001C3555"/>
    <w:rsid w:val="001C3823"/>
    <w:rsid w:val="001C39A0"/>
    <w:rsid w:val="001C40A4"/>
    <w:rsid w:val="001C4394"/>
    <w:rsid w:val="001C43BE"/>
    <w:rsid w:val="001C46B0"/>
    <w:rsid w:val="001C498F"/>
    <w:rsid w:val="001C50C2"/>
    <w:rsid w:val="001C59D2"/>
    <w:rsid w:val="001C5CF6"/>
    <w:rsid w:val="001C6432"/>
    <w:rsid w:val="001C651F"/>
    <w:rsid w:val="001C6B1F"/>
    <w:rsid w:val="001C6BDD"/>
    <w:rsid w:val="001C6D3A"/>
    <w:rsid w:val="001C6DF7"/>
    <w:rsid w:val="001C6E3F"/>
    <w:rsid w:val="001C6E63"/>
    <w:rsid w:val="001C6EC9"/>
    <w:rsid w:val="001C6FF1"/>
    <w:rsid w:val="001C73EE"/>
    <w:rsid w:val="001C756B"/>
    <w:rsid w:val="001C7911"/>
    <w:rsid w:val="001D005F"/>
    <w:rsid w:val="001D0217"/>
    <w:rsid w:val="001D0A65"/>
    <w:rsid w:val="001D105E"/>
    <w:rsid w:val="001D107A"/>
    <w:rsid w:val="001D11AD"/>
    <w:rsid w:val="001D1301"/>
    <w:rsid w:val="001D18C3"/>
    <w:rsid w:val="001D19BF"/>
    <w:rsid w:val="001D1C33"/>
    <w:rsid w:val="001D1E93"/>
    <w:rsid w:val="001D2967"/>
    <w:rsid w:val="001D2AE3"/>
    <w:rsid w:val="001D2CA9"/>
    <w:rsid w:val="001D2CDB"/>
    <w:rsid w:val="001D38DE"/>
    <w:rsid w:val="001D3AB2"/>
    <w:rsid w:val="001D3AF6"/>
    <w:rsid w:val="001D3D7A"/>
    <w:rsid w:val="001D3FE8"/>
    <w:rsid w:val="001D400E"/>
    <w:rsid w:val="001D443D"/>
    <w:rsid w:val="001D485D"/>
    <w:rsid w:val="001D48EE"/>
    <w:rsid w:val="001D520F"/>
    <w:rsid w:val="001D555B"/>
    <w:rsid w:val="001D5657"/>
    <w:rsid w:val="001D569F"/>
    <w:rsid w:val="001D57AF"/>
    <w:rsid w:val="001D5829"/>
    <w:rsid w:val="001D5D44"/>
    <w:rsid w:val="001D5D91"/>
    <w:rsid w:val="001D600E"/>
    <w:rsid w:val="001D6217"/>
    <w:rsid w:val="001D62E7"/>
    <w:rsid w:val="001D6377"/>
    <w:rsid w:val="001D6391"/>
    <w:rsid w:val="001D65B4"/>
    <w:rsid w:val="001D6DF1"/>
    <w:rsid w:val="001D706D"/>
    <w:rsid w:val="001D72C9"/>
    <w:rsid w:val="001D7BF3"/>
    <w:rsid w:val="001D7C3B"/>
    <w:rsid w:val="001E0047"/>
    <w:rsid w:val="001E0347"/>
    <w:rsid w:val="001E0858"/>
    <w:rsid w:val="001E0FBA"/>
    <w:rsid w:val="001E1C12"/>
    <w:rsid w:val="001E22C4"/>
    <w:rsid w:val="001E26D9"/>
    <w:rsid w:val="001E283B"/>
    <w:rsid w:val="001E2C60"/>
    <w:rsid w:val="001E2D42"/>
    <w:rsid w:val="001E2DC7"/>
    <w:rsid w:val="001E2E93"/>
    <w:rsid w:val="001E30A0"/>
    <w:rsid w:val="001E365B"/>
    <w:rsid w:val="001E373B"/>
    <w:rsid w:val="001E391F"/>
    <w:rsid w:val="001E396B"/>
    <w:rsid w:val="001E3E16"/>
    <w:rsid w:val="001E3F01"/>
    <w:rsid w:val="001E3F16"/>
    <w:rsid w:val="001E4018"/>
    <w:rsid w:val="001E4417"/>
    <w:rsid w:val="001E467F"/>
    <w:rsid w:val="001E4C3C"/>
    <w:rsid w:val="001E4DCC"/>
    <w:rsid w:val="001E5468"/>
    <w:rsid w:val="001E56DE"/>
    <w:rsid w:val="001E59CE"/>
    <w:rsid w:val="001E5A4B"/>
    <w:rsid w:val="001E5C1B"/>
    <w:rsid w:val="001E5CC3"/>
    <w:rsid w:val="001E5DD6"/>
    <w:rsid w:val="001E6195"/>
    <w:rsid w:val="001E63D9"/>
    <w:rsid w:val="001E66F8"/>
    <w:rsid w:val="001E6766"/>
    <w:rsid w:val="001E70A1"/>
    <w:rsid w:val="001E7158"/>
    <w:rsid w:val="001E71B2"/>
    <w:rsid w:val="001E721D"/>
    <w:rsid w:val="001E72A0"/>
    <w:rsid w:val="001E72D4"/>
    <w:rsid w:val="001E7428"/>
    <w:rsid w:val="001E743E"/>
    <w:rsid w:val="001E75C5"/>
    <w:rsid w:val="001E763B"/>
    <w:rsid w:val="001E7716"/>
    <w:rsid w:val="001E776B"/>
    <w:rsid w:val="001E7BDC"/>
    <w:rsid w:val="001E7E71"/>
    <w:rsid w:val="001F08A5"/>
    <w:rsid w:val="001F0B1B"/>
    <w:rsid w:val="001F0C1C"/>
    <w:rsid w:val="001F0C54"/>
    <w:rsid w:val="001F1013"/>
    <w:rsid w:val="001F1565"/>
    <w:rsid w:val="001F1739"/>
    <w:rsid w:val="001F1DB9"/>
    <w:rsid w:val="001F1E91"/>
    <w:rsid w:val="001F2000"/>
    <w:rsid w:val="001F208B"/>
    <w:rsid w:val="001F21D1"/>
    <w:rsid w:val="001F24A4"/>
    <w:rsid w:val="001F2A3E"/>
    <w:rsid w:val="001F2D31"/>
    <w:rsid w:val="001F303C"/>
    <w:rsid w:val="001F31BB"/>
    <w:rsid w:val="001F33D5"/>
    <w:rsid w:val="001F3863"/>
    <w:rsid w:val="001F3AD5"/>
    <w:rsid w:val="001F3C29"/>
    <w:rsid w:val="001F3D46"/>
    <w:rsid w:val="001F4C96"/>
    <w:rsid w:val="001F4F33"/>
    <w:rsid w:val="001F530A"/>
    <w:rsid w:val="001F54B5"/>
    <w:rsid w:val="001F561F"/>
    <w:rsid w:val="001F56CA"/>
    <w:rsid w:val="001F5982"/>
    <w:rsid w:val="001F59E4"/>
    <w:rsid w:val="001F6038"/>
    <w:rsid w:val="001F6288"/>
    <w:rsid w:val="001F65E7"/>
    <w:rsid w:val="001F6746"/>
    <w:rsid w:val="001F67CE"/>
    <w:rsid w:val="001F7017"/>
    <w:rsid w:val="001F716C"/>
    <w:rsid w:val="001F7479"/>
    <w:rsid w:val="001F7C24"/>
    <w:rsid w:val="00200346"/>
    <w:rsid w:val="00200425"/>
    <w:rsid w:val="002007C8"/>
    <w:rsid w:val="00200A93"/>
    <w:rsid w:val="00200B6D"/>
    <w:rsid w:val="00200CB8"/>
    <w:rsid w:val="00201A45"/>
    <w:rsid w:val="00201E35"/>
    <w:rsid w:val="00202406"/>
    <w:rsid w:val="002027D9"/>
    <w:rsid w:val="00202A1E"/>
    <w:rsid w:val="00202ACF"/>
    <w:rsid w:val="00202B10"/>
    <w:rsid w:val="00202EA9"/>
    <w:rsid w:val="00202F37"/>
    <w:rsid w:val="002032E5"/>
    <w:rsid w:val="00203597"/>
    <w:rsid w:val="00203682"/>
    <w:rsid w:val="002036D0"/>
    <w:rsid w:val="00203702"/>
    <w:rsid w:val="00203E11"/>
    <w:rsid w:val="00203F78"/>
    <w:rsid w:val="002041DB"/>
    <w:rsid w:val="002042B3"/>
    <w:rsid w:val="00204383"/>
    <w:rsid w:val="002044C1"/>
    <w:rsid w:val="002049B2"/>
    <w:rsid w:val="00204BFB"/>
    <w:rsid w:val="00204E17"/>
    <w:rsid w:val="002054CB"/>
    <w:rsid w:val="0020561E"/>
    <w:rsid w:val="00205693"/>
    <w:rsid w:val="0020577D"/>
    <w:rsid w:val="00205F89"/>
    <w:rsid w:val="0020636F"/>
    <w:rsid w:val="00206455"/>
    <w:rsid w:val="002064C3"/>
    <w:rsid w:val="0020651B"/>
    <w:rsid w:val="00206945"/>
    <w:rsid w:val="00206A59"/>
    <w:rsid w:val="00207055"/>
    <w:rsid w:val="0020736F"/>
    <w:rsid w:val="00207521"/>
    <w:rsid w:val="0020776C"/>
    <w:rsid w:val="002077BC"/>
    <w:rsid w:val="002077C2"/>
    <w:rsid w:val="002104CB"/>
    <w:rsid w:val="00210588"/>
    <w:rsid w:val="002106D5"/>
    <w:rsid w:val="00210769"/>
    <w:rsid w:val="00210B19"/>
    <w:rsid w:val="00210FF2"/>
    <w:rsid w:val="00211013"/>
    <w:rsid w:val="002111CA"/>
    <w:rsid w:val="0021145C"/>
    <w:rsid w:val="002115C7"/>
    <w:rsid w:val="002117D4"/>
    <w:rsid w:val="002117F0"/>
    <w:rsid w:val="002118B0"/>
    <w:rsid w:val="00211DCA"/>
    <w:rsid w:val="00211DDA"/>
    <w:rsid w:val="00212116"/>
    <w:rsid w:val="002121D2"/>
    <w:rsid w:val="00212476"/>
    <w:rsid w:val="00212601"/>
    <w:rsid w:val="002126A9"/>
    <w:rsid w:val="00212C6F"/>
    <w:rsid w:val="00212FC4"/>
    <w:rsid w:val="0021365D"/>
    <w:rsid w:val="00214097"/>
    <w:rsid w:val="002148F4"/>
    <w:rsid w:val="00214959"/>
    <w:rsid w:val="00214B12"/>
    <w:rsid w:val="00215030"/>
    <w:rsid w:val="0021522A"/>
    <w:rsid w:val="0021580D"/>
    <w:rsid w:val="002158B7"/>
    <w:rsid w:val="00215931"/>
    <w:rsid w:val="00215AC3"/>
    <w:rsid w:val="00215B6B"/>
    <w:rsid w:val="00215B87"/>
    <w:rsid w:val="00215DFC"/>
    <w:rsid w:val="00216287"/>
    <w:rsid w:val="002168B5"/>
    <w:rsid w:val="00216903"/>
    <w:rsid w:val="002173BD"/>
    <w:rsid w:val="0021744C"/>
    <w:rsid w:val="002176A9"/>
    <w:rsid w:val="00217D9D"/>
    <w:rsid w:val="002200A8"/>
    <w:rsid w:val="002201E6"/>
    <w:rsid w:val="0022026D"/>
    <w:rsid w:val="002202D4"/>
    <w:rsid w:val="00220341"/>
    <w:rsid w:val="00220380"/>
    <w:rsid w:val="00220B56"/>
    <w:rsid w:val="00220D08"/>
    <w:rsid w:val="00220D0D"/>
    <w:rsid w:val="00220D4C"/>
    <w:rsid w:val="00220E09"/>
    <w:rsid w:val="00220E20"/>
    <w:rsid w:val="002211C7"/>
    <w:rsid w:val="002216F3"/>
    <w:rsid w:val="00221C70"/>
    <w:rsid w:val="00222046"/>
    <w:rsid w:val="00223208"/>
    <w:rsid w:val="00223221"/>
    <w:rsid w:val="002232A3"/>
    <w:rsid w:val="0022364B"/>
    <w:rsid w:val="00223829"/>
    <w:rsid w:val="00223ACC"/>
    <w:rsid w:val="00223B1E"/>
    <w:rsid w:val="00223F21"/>
    <w:rsid w:val="00223F83"/>
    <w:rsid w:val="002240DC"/>
    <w:rsid w:val="00224227"/>
    <w:rsid w:val="002242A0"/>
    <w:rsid w:val="0022431A"/>
    <w:rsid w:val="0022447D"/>
    <w:rsid w:val="002244F1"/>
    <w:rsid w:val="002249B4"/>
    <w:rsid w:val="002249FA"/>
    <w:rsid w:val="00224DA1"/>
    <w:rsid w:val="00225093"/>
    <w:rsid w:val="002260EF"/>
    <w:rsid w:val="002261E8"/>
    <w:rsid w:val="00226347"/>
    <w:rsid w:val="0022648D"/>
    <w:rsid w:val="00226B6D"/>
    <w:rsid w:val="00227337"/>
    <w:rsid w:val="002274F1"/>
    <w:rsid w:val="002275D4"/>
    <w:rsid w:val="002276FF"/>
    <w:rsid w:val="002277BE"/>
    <w:rsid w:val="002278AB"/>
    <w:rsid w:val="0022795C"/>
    <w:rsid w:val="00227AFD"/>
    <w:rsid w:val="00230295"/>
    <w:rsid w:val="00230695"/>
    <w:rsid w:val="00230841"/>
    <w:rsid w:val="0023089C"/>
    <w:rsid w:val="0023089E"/>
    <w:rsid w:val="00231060"/>
    <w:rsid w:val="002316B0"/>
    <w:rsid w:val="002316BA"/>
    <w:rsid w:val="002317C3"/>
    <w:rsid w:val="00231909"/>
    <w:rsid w:val="00231D7D"/>
    <w:rsid w:val="00232203"/>
    <w:rsid w:val="002323FF"/>
    <w:rsid w:val="00232453"/>
    <w:rsid w:val="0023261D"/>
    <w:rsid w:val="002326F7"/>
    <w:rsid w:val="002329E3"/>
    <w:rsid w:val="00232A32"/>
    <w:rsid w:val="00232B58"/>
    <w:rsid w:val="00232BA5"/>
    <w:rsid w:val="00232C7C"/>
    <w:rsid w:val="00232E13"/>
    <w:rsid w:val="00232E43"/>
    <w:rsid w:val="00233049"/>
    <w:rsid w:val="0023368D"/>
    <w:rsid w:val="002338BC"/>
    <w:rsid w:val="00233AE7"/>
    <w:rsid w:val="00233AEC"/>
    <w:rsid w:val="00233CBB"/>
    <w:rsid w:val="00234222"/>
    <w:rsid w:val="00234375"/>
    <w:rsid w:val="00234BEF"/>
    <w:rsid w:val="00234C98"/>
    <w:rsid w:val="00234CCA"/>
    <w:rsid w:val="00234D60"/>
    <w:rsid w:val="00234DBC"/>
    <w:rsid w:val="0023512A"/>
    <w:rsid w:val="0023533F"/>
    <w:rsid w:val="00235766"/>
    <w:rsid w:val="00235A1D"/>
    <w:rsid w:val="00236000"/>
    <w:rsid w:val="00236053"/>
    <w:rsid w:val="002369C9"/>
    <w:rsid w:val="00236AAB"/>
    <w:rsid w:val="00236F8C"/>
    <w:rsid w:val="002371EC"/>
    <w:rsid w:val="00237C52"/>
    <w:rsid w:val="00237CFD"/>
    <w:rsid w:val="00237FB5"/>
    <w:rsid w:val="0024008D"/>
    <w:rsid w:val="0024096B"/>
    <w:rsid w:val="00240B1B"/>
    <w:rsid w:val="0024117A"/>
    <w:rsid w:val="00241624"/>
    <w:rsid w:val="002418C9"/>
    <w:rsid w:val="00241D23"/>
    <w:rsid w:val="00241E5D"/>
    <w:rsid w:val="0024222C"/>
    <w:rsid w:val="00242335"/>
    <w:rsid w:val="00242388"/>
    <w:rsid w:val="0024295A"/>
    <w:rsid w:val="00242CD3"/>
    <w:rsid w:val="00242F6D"/>
    <w:rsid w:val="00243046"/>
    <w:rsid w:val="00243084"/>
    <w:rsid w:val="0024379A"/>
    <w:rsid w:val="002439BB"/>
    <w:rsid w:val="0024416B"/>
    <w:rsid w:val="002444AD"/>
    <w:rsid w:val="002445B8"/>
    <w:rsid w:val="002447BA"/>
    <w:rsid w:val="002448F0"/>
    <w:rsid w:val="00244A5B"/>
    <w:rsid w:val="00244AD3"/>
    <w:rsid w:val="00244DDA"/>
    <w:rsid w:val="00244FCD"/>
    <w:rsid w:val="0024511B"/>
    <w:rsid w:val="00245B2C"/>
    <w:rsid w:val="00245D72"/>
    <w:rsid w:val="00246026"/>
    <w:rsid w:val="00246333"/>
    <w:rsid w:val="00246618"/>
    <w:rsid w:val="00246656"/>
    <w:rsid w:val="00246875"/>
    <w:rsid w:val="00246E50"/>
    <w:rsid w:val="00246EC0"/>
    <w:rsid w:val="00246F04"/>
    <w:rsid w:val="002470B4"/>
    <w:rsid w:val="00247207"/>
    <w:rsid w:val="00247208"/>
    <w:rsid w:val="00247663"/>
    <w:rsid w:val="0024791A"/>
    <w:rsid w:val="00250434"/>
    <w:rsid w:val="0025055E"/>
    <w:rsid w:val="002506AC"/>
    <w:rsid w:val="002506F7"/>
    <w:rsid w:val="00250936"/>
    <w:rsid w:val="00250C54"/>
    <w:rsid w:val="00250CF9"/>
    <w:rsid w:val="00250D62"/>
    <w:rsid w:val="00250E0F"/>
    <w:rsid w:val="00250F92"/>
    <w:rsid w:val="002511AB"/>
    <w:rsid w:val="00251330"/>
    <w:rsid w:val="002514CF"/>
    <w:rsid w:val="00251999"/>
    <w:rsid w:val="0025200B"/>
    <w:rsid w:val="0025233A"/>
    <w:rsid w:val="00252B99"/>
    <w:rsid w:val="00252E3E"/>
    <w:rsid w:val="002532D0"/>
    <w:rsid w:val="00253B86"/>
    <w:rsid w:val="002546AC"/>
    <w:rsid w:val="002548EA"/>
    <w:rsid w:val="00254E7B"/>
    <w:rsid w:val="00255293"/>
    <w:rsid w:val="002556BE"/>
    <w:rsid w:val="0025598B"/>
    <w:rsid w:val="00256369"/>
    <w:rsid w:val="002566B0"/>
    <w:rsid w:val="002568AE"/>
    <w:rsid w:val="00256A0C"/>
    <w:rsid w:val="00256CC3"/>
    <w:rsid w:val="002576B2"/>
    <w:rsid w:val="0026010A"/>
    <w:rsid w:val="0026033F"/>
    <w:rsid w:val="00260BEA"/>
    <w:rsid w:val="00260D14"/>
    <w:rsid w:val="002611BC"/>
    <w:rsid w:val="00261476"/>
    <w:rsid w:val="002615AD"/>
    <w:rsid w:val="00261D97"/>
    <w:rsid w:val="002622E1"/>
    <w:rsid w:val="00262311"/>
    <w:rsid w:val="00262351"/>
    <w:rsid w:val="002623C5"/>
    <w:rsid w:val="002623D0"/>
    <w:rsid w:val="002624D5"/>
    <w:rsid w:val="002624F4"/>
    <w:rsid w:val="00262C32"/>
    <w:rsid w:val="00262E92"/>
    <w:rsid w:val="0026301E"/>
    <w:rsid w:val="00263293"/>
    <w:rsid w:val="002639D6"/>
    <w:rsid w:val="00263A9D"/>
    <w:rsid w:val="00263B24"/>
    <w:rsid w:val="00263B38"/>
    <w:rsid w:val="00263DBD"/>
    <w:rsid w:val="00263F21"/>
    <w:rsid w:val="002644DB"/>
    <w:rsid w:val="00264588"/>
    <w:rsid w:val="002646E8"/>
    <w:rsid w:val="00264CE8"/>
    <w:rsid w:val="00264D79"/>
    <w:rsid w:val="00264DEB"/>
    <w:rsid w:val="0026520E"/>
    <w:rsid w:val="0026628A"/>
    <w:rsid w:val="002662A7"/>
    <w:rsid w:val="0026675C"/>
    <w:rsid w:val="00266A37"/>
    <w:rsid w:val="00266B50"/>
    <w:rsid w:val="00266EAB"/>
    <w:rsid w:val="00267432"/>
    <w:rsid w:val="00267515"/>
    <w:rsid w:val="00267A85"/>
    <w:rsid w:val="00267B4C"/>
    <w:rsid w:val="00270083"/>
    <w:rsid w:val="00270245"/>
    <w:rsid w:val="00270551"/>
    <w:rsid w:val="002705FF"/>
    <w:rsid w:val="00270689"/>
    <w:rsid w:val="00270ABE"/>
    <w:rsid w:val="00270C17"/>
    <w:rsid w:val="00270D6F"/>
    <w:rsid w:val="00271275"/>
    <w:rsid w:val="002713C2"/>
    <w:rsid w:val="00271FB6"/>
    <w:rsid w:val="0027202D"/>
    <w:rsid w:val="00272139"/>
    <w:rsid w:val="0027248B"/>
    <w:rsid w:val="0027287E"/>
    <w:rsid w:val="002728D7"/>
    <w:rsid w:val="002729BB"/>
    <w:rsid w:val="00272A86"/>
    <w:rsid w:val="00272CC5"/>
    <w:rsid w:val="00272D65"/>
    <w:rsid w:val="00272E51"/>
    <w:rsid w:val="00273039"/>
    <w:rsid w:val="002732BB"/>
    <w:rsid w:val="00273602"/>
    <w:rsid w:val="0027394C"/>
    <w:rsid w:val="00273A7F"/>
    <w:rsid w:val="002742DD"/>
    <w:rsid w:val="002743C3"/>
    <w:rsid w:val="00274486"/>
    <w:rsid w:val="00274D41"/>
    <w:rsid w:val="002750A1"/>
    <w:rsid w:val="002755DA"/>
    <w:rsid w:val="002758C1"/>
    <w:rsid w:val="002758D9"/>
    <w:rsid w:val="002758EA"/>
    <w:rsid w:val="00275D49"/>
    <w:rsid w:val="002761E3"/>
    <w:rsid w:val="00276485"/>
    <w:rsid w:val="00276D5E"/>
    <w:rsid w:val="00276D68"/>
    <w:rsid w:val="00276D7F"/>
    <w:rsid w:val="00276DAA"/>
    <w:rsid w:val="00277C3A"/>
    <w:rsid w:val="00277C97"/>
    <w:rsid w:val="00280310"/>
    <w:rsid w:val="00280A84"/>
    <w:rsid w:val="00280C3F"/>
    <w:rsid w:val="00280CA9"/>
    <w:rsid w:val="00280CC1"/>
    <w:rsid w:val="00280EE5"/>
    <w:rsid w:val="00281172"/>
    <w:rsid w:val="00281222"/>
    <w:rsid w:val="0028137A"/>
    <w:rsid w:val="002813A3"/>
    <w:rsid w:val="00281640"/>
    <w:rsid w:val="00282037"/>
    <w:rsid w:val="00282464"/>
    <w:rsid w:val="0028250A"/>
    <w:rsid w:val="0028263C"/>
    <w:rsid w:val="00282A20"/>
    <w:rsid w:val="00282F4A"/>
    <w:rsid w:val="0028344B"/>
    <w:rsid w:val="00283637"/>
    <w:rsid w:val="00283731"/>
    <w:rsid w:val="002838D6"/>
    <w:rsid w:val="00283A6A"/>
    <w:rsid w:val="00283DF4"/>
    <w:rsid w:val="00283EB3"/>
    <w:rsid w:val="002841B8"/>
    <w:rsid w:val="002848BD"/>
    <w:rsid w:val="00284D64"/>
    <w:rsid w:val="00284E36"/>
    <w:rsid w:val="002851C8"/>
    <w:rsid w:val="0028547D"/>
    <w:rsid w:val="00285A5D"/>
    <w:rsid w:val="00285D6A"/>
    <w:rsid w:val="00286176"/>
    <w:rsid w:val="00286524"/>
    <w:rsid w:val="002868D4"/>
    <w:rsid w:val="0028739E"/>
    <w:rsid w:val="0028759D"/>
    <w:rsid w:val="002875BF"/>
    <w:rsid w:val="00287898"/>
    <w:rsid w:val="00287C4D"/>
    <w:rsid w:val="00287C58"/>
    <w:rsid w:val="002900DC"/>
    <w:rsid w:val="002904E1"/>
    <w:rsid w:val="002909A9"/>
    <w:rsid w:val="00290CD1"/>
    <w:rsid w:val="00290E11"/>
    <w:rsid w:val="00290EF8"/>
    <w:rsid w:val="0029147B"/>
    <w:rsid w:val="0029150B"/>
    <w:rsid w:val="00291592"/>
    <w:rsid w:val="002915A2"/>
    <w:rsid w:val="002915B4"/>
    <w:rsid w:val="00291798"/>
    <w:rsid w:val="00291D67"/>
    <w:rsid w:val="00291DD6"/>
    <w:rsid w:val="00291E60"/>
    <w:rsid w:val="00291F3E"/>
    <w:rsid w:val="00292063"/>
    <w:rsid w:val="002929A8"/>
    <w:rsid w:val="00292A7B"/>
    <w:rsid w:val="00292B85"/>
    <w:rsid w:val="00292BA5"/>
    <w:rsid w:val="00292C17"/>
    <w:rsid w:val="00292ED0"/>
    <w:rsid w:val="00292F47"/>
    <w:rsid w:val="00293205"/>
    <w:rsid w:val="002939A8"/>
    <w:rsid w:val="00293BD5"/>
    <w:rsid w:val="00294238"/>
    <w:rsid w:val="0029430D"/>
    <w:rsid w:val="002944DE"/>
    <w:rsid w:val="0029473B"/>
    <w:rsid w:val="00294C0F"/>
    <w:rsid w:val="00294FD3"/>
    <w:rsid w:val="002956AC"/>
    <w:rsid w:val="00295719"/>
    <w:rsid w:val="0029596B"/>
    <w:rsid w:val="002959BC"/>
    <w:rsid w:val="00295AB3"/>
    <w:rsid w:val="00295E4F"/>
    <w:rsid w:val="00295FAE"/>
    <w:rsid w:val="00296054"/>
    <w:rsid w:val="002961EA"/>
    <w:rsid w:val="0029663A"/>
    <w:rsid w:val="0029712B"/>
    <w:rsid w:val="002979CF"/>
    <w:rsid w:val="00297ACE"/>
    <w:rsid w:val="00297B57"/>
    <w:rsid w:val="00297B5F"/>
    <w:rsid w:val="00297C8C"/>
    <w:rsid w:val="002A03C9"/>
    <w:rsid w:val="002A09A9"/>
    <w:rsid w:val="002A0E70"/>
    <w:rsid w:val="002A0F47"/>
    <w:rsid w:val="002A11A1"/>
    <w:rsid w:val="002A137C"/>
    <w:rsid w:val="002A14F9"/>
    <w:rsid w:val="002A160A"/>
    <w:rsid w:val="002A1659"/>
    <w:rsid w:val="002A1669"/>
    <w:rsid w:val="002A1982"/>
    <w:rsid w:val="002A19A9"/>
    <w:rsid w:val="002A1A3A"/>
    <w:rsid w:val="002A21AE"/>
    <w:rsid w:val="002A249F"/>
    <w:rsid w:val="002A27A3"/>
    <w:rsid w:val="002A2D1C"/>
    <w:rsid w:val="002A2E1E"/>
    <w:rsid w:val="002A2FBF"/>
    <w:rsid w:val="002A30DF"/>
    <w:rsid w:val="002A3178"/>
    <w:rsid w:val="002A34D1"/>
    <w:rsid w:val="002A3666"/>
    <w:rsid w:val="002A36EF"/>
    <w:rsid w:val="002A40BF"/>
    <w:rsid w:val="002A4159"/>
    <w:rsid w:val="002A4A77"/>
    <w:rsid w:val="002A4CB4"/>
    <w:rsid w:val="002A4F71"/>
    <w:rsid w:val="002A55D3"/>
    <w:rsid w:val="002A5604"/>
    <w:rsid w:val="002A6002"/>
    <w:rsid w:val="002A65A7"/>
    <w:rsid w:val="002A675D"/>
    <w:rsid w:val="002A68B8"/>
    <w:rsid w:val="002A6AEA"/>
    <w:rsid w:val="002A6CE1"/>
    <w:rsid w:val="002A6D29"/>
    <w:rsid w:val="002A7432"/>
    <w:rsid w:val="002A767C"/>
    <w:rsid w:val="002A770E"/>
    <w:rsid w:val="002A7CAB"/>
    <w:rsid w:val="002A7EE9"/>
    <w:rsid w:val="002B04EB"/>
    <w:rsid w:val="002B0525"/>
    <w:rsid w:val="002B06B2"/>
    <w:rsid w:val="002B0ABF"/>
    <w:rsid w:val="002B0D24"/>
    <w:rsid w:val="002B0F17"/>
    <w:rsid w:val="002B0F51"/>
    <w:rsid w:val="002B1949"/>
    <w:rsid w:val="002B1D25"/>
    <w:rsid w:val="002B25A3"/>
    <w:rsid w:val="002B292C"/>
    <w:rsid w:val="002B29EA"/>
    <w:rsid w:val="002B2AFE"/>
    <w:rsid w:val="002B2BCF"/>
    <w:rsid w:val="002B2CB0"/>
    <w:rsid w:val="002B2F04"/>
    <w:rsid w:val="002B3455"/>
    <w:rsid w:val="002B3469"/>
    <w:rsid w:val="002B3604"/>
    <w:rsid w:val="002B3CB4"/>
    <w:rsid w:val="002B4501"/>
    <w:rsid w:val="002B50FE"/>
    <w:rsid w:val="002B51D0"/>
    <w:rsid w:val="002B5351"/>
    <w:rsid w:val="002B570D"/>
    <w:rsid w:val="002B58EA"/>
    <w:rsid w:val="002B5CD5"/>
    <w:rsid w:val="002B5DD3"/>
    <w:rsid w:val="002B5E51"/>
    <w:rsid w:val="002B5F2E"/>
    <w:rsid w:val="002B5F58"/>
    <w:rsid w:val="002B64D8"/>
    <w:rsid w:val="002B6600"/>
    <w:rsid w:val="002B6A72"/>
    <w:rsid w:val="002B6B38"/>
    <w:rsid w:val="002B7556"/>
    <w:rsid w:val="002B7882"/>
    <w:rsid w:val="002B7A05"/>
    <w:rsid w:val="002B7B95"/>
    <w:rsid w:val="002B7BBB"/>
    <w:rsid w:val="002C02CC"/>
    <w:rsid w:val="002C02DA"/>
    <w:rsid w:val="002C0647"/>
    <w:rsid w:val="002C0670"/>
    <w:rsid w:val="002C06CC"/>
    <w:rsid w:val="002C0830"/>
    <w:rsid w:val="002C0A80"/>
    <w:rsid w:val="002C0B9B"/>
    <w:rsid w:val="002C0FA1"/>
    <w:rsid w:val="002C10CA"/>
    <w:rsid w:val="002C10F6"/>
    <w:rsid w:val="002C1235"/>
    <w:rsid w:val="002C14E7"/>
    <w:rsid w:val="002C15CF"/>
    <w:rsid w:val="002C166A"/>
    <w:rsid w:val="002C1673"/>
    <w:rsid w:val="002C179C"/>
    <w:rsid w:val="002C1D13"/>
    <w:rsid w:val="002C1E45"/>
    <w:rsid w:val="002C2030"/>
    <w:rsid w:val="002C2034"/>
    <w:rsid w:val="002C213E"/>
    <w:rsid w:val="002C2290"/>
    <w:rsid w:val="002C235F"/>
    <w:rsid w:val="002C25F5"/>
    <w:rsid w:val="002C2E21"/>
    <w:rsid w:val="002C3287"/>
    <w:rsid w:val="002C3458"/>
    <w:rsid w:val="002C3607"/>
    <w:rsid w:val="002C3957"/>
    <w:rsid w:val="002C3B06"/>
    <w:rsid w:val="002C3F2F"/>
    <w:rsid w:val="002C40F2"/>
    <w:rsid w:val="002C42C3"/>
    <w:rsid w:val="002C4355"/>
    <w:rsid w:val="002C4684"/>
    <w:rsid w:val="002C48A7"/>
    <w:rsid w:val="002C4BF5"/>
    <w:rsid w:val="002C4D39"/>
    <w:rsid w:val="002C4F7C"/>
    <w:rsid w:val="002C50EA"/>
    <w:rsid w:val="002C518A"/>
    <w:rsid w:val="002C5829"/>
    <w:rsid w:val="002C5A43"/>
    <w:rsid w:val="002C6160"/>
    <w:rsid w:val="002C6669"/>
    <w:rsid w:val="002C66BA"/>
    <w:rsid w:val="002C698D"/>
    <w:rsid w:val="002C6BD1"/>
    <w:rsid w:val="002C6ED0"/>
    <w:rsid w:val="002C71AF"/>
    <w:rsid w:val="002C7462"/>
    <w:rsid w:val="002C76DB"/>
    <w:rsid w:val="002C7A21"/>
    <w:rsid w:val="002C7CC3"/>
    <w:rsid w:val="002C7E73"/>
    <w:rsid w:val="002C7ECA"/>
    <w:rsid w:val="002C7ED1"/>
    <w:rsid w:val="002C7EF9"/>
    <w:rsid w:val="002D0252"/>
    <w:rsid w:val="002D072F"/>
    <w:rsid w:val="002D126B"/>
    <w:rsid w:val="002D153F"/>
    <w:rsid w:val="002D23D2"/>
    <w:rsid w:val="002D258A"/>
    <w:rsid w:val="002D2742"/>
    <w:rsid w:val="002D2971"/>
    <w:rsid w:val="002D2A08"/>
    <w:rsid w:val="002D3100"/>
    <w:rsid w:val="002D36FC"/>
    <w:rsid w:val="002D3ACD"/>
    <w:rsid w:val="002D3BEC"/>
    <w:rsid w:val="002D4435"/>
    <w:rsid w:val="002D4794"/>
    <w:rsid w:val="002D4C4A"/>
    <w:rsid w:val="002D4F18"/>
    <w:rsid w:val="002D516C"/>
    <w:rsid w:val="002D59D6"/>
    <w:rsid w:val="002D5CBF"/>
    <w:rsid w:val="002D6306"/>
    <w:rsid w:val="002D640B"/>
    <w:rsid w:val="002D6427"/>
    <w:rsid w:val="002D6470"/>
    <w:rsid w:val="002D67BB"/>
    <w:rsid w:val="002D7202"/>
    <w:rsid w:val="002D7272"/>
    <w:rsid w:val="002D770B"/>
    <w:rsid w:val="002D77E5"/>
    <w:rsid w:val="002D7A9F"/>
    <w:rsid w:val="002D7AAD"/>
    <w:rsid w:val="002D7C7C"/>
    <w:rsid w:val="002D7D8C"/>
    <w:rsid w:val="002E04F5"/>
    <w:rsid w:val="002E08AA"/>
    <w:rsid w:val="002E14AC"/>
    <w:rsid w:val="002E14E2"/>
    <w:rsid w:val="002E1917"/>
    <w:rsid w:val="002E1949"/>
    <w:rsid w:val="002E1B10"/>
    <w:rsid w:val="002E1F2B"/>
    <w:rsid w:val="002E23D2"/>
    <w:rsid w:val="002E27C1"/>
    <w:rsid w:val="002E2988"/>
    <w:rsid w:val="002E2AAE"/>
    <w:rsid w:val="002E301F"/>
    <w:rsid w:val="002E3308"/>
    <w:rsid w:val="002E3995"/>
    <w:rsid w:val="002E3B5D"/>
    <w:rsid w:val="002E3C00"/>
    <w:rsid w:val="002E451D"/>
    <w:rsid w:val="002E4771"/>
    <w:rsid w:val="002E5001"/>
    <w:rsid w:val="002E50AD"/>
    <w:rsid w:val="002E5248"/>
    <w:rsid w:val="002E5493"/>
    <w:rsid w:val="002E54E9"/>
    <w:rsid w:val="002E5AC8"/>
    <w:rsid w:val="002E69EB"/>
    <w:rsid w:val="002E6A12"/>
    <w:rsid w:val="002E6B82"/>
    <w:rsid w:val="002E6DDE"/>
    <w:rsid w:val="002E71AE"/>
    <w:rsid w:val="002E7C67"/>
    <w:rsid w:val="002E7D1D"/>
    <w:rsid w:val="002E7EBF"/>
    <w:rsid w:val="002F026F"/>
    <w:rsid w:val="002F07F8"/>
    <w:rsid w:val="002F0C57"/>
    <w:rsid w:val="002F1289"/>
    <w:rsid w:val="002F1554"/>
    <w:rsid w:val="002F1731"/>
    <w:rsid w:val="002F19A3"/>
    <w:rsid w:val="002F1E2B"/>
    <w:rsid w:val="002F200D"/>
    <w:rsid w:val="002F2043"/>
    <w:rsid w:val="002F218F"/>
    <w:rsid w:val="002F2520"/>
    <w:rsid w:val="002F25DF"/>
    <w:rsid w:val="002F2927"/>
    <w:rsid w:val="002F2B09"/>
    <w:rsid w:val="002F2DC5"/>
    <w:rsid w:val="002F2DF7"/>
    <w:rsid w:val="002F3A14"/>
    <w:rsid w:val="002F3BCC"/>
    <w:rsid w:val="002F475B"/>
    <w:rsid w:val="002F47AC"/>
    <w:rsid w:val="002F48C2"/>
    <w:rsid w:val="002F4B61"/>
    <w:rsid w:val="002F5288"/>
    <w:rsid w:val="002F53E0"/>
    <w:rsid w:val="002F55AF"/>
    <w:rsid w:val="002F5BFE"/>
    <w:rsid w:val="002F5EE5"/>
    <w:rsid w:val="002F6113"/>
    <w:rsid w:val="002F619E"/>
    <w:rsid w:val="002F627F"/>
    <w:rsid w:val="002F629E"/>
    <w:rsid w:val="002F692D"/>
    <w:rsid w:val="002F6D2F"/>
    <w:rsid w:val="002F6D7B"/>
    <w:rsid w:val="002F7047"/>
    <w:rsid w:val="002F74B6"/>
    <w:rsid w:val="002F766E"/>
    <w:rsid w:val="002F7A52"/>
    <w:rsid w:val="002F7CC9"/>
    <w:rsid w:val="002F7D16"/>
    <w:rsid w:val="002F7E19"/>
    <w:rsid w:val="002F7FF1"/>
    <w:rsid w:val="003002BD"/>
    <w:rsid w:val="003004A7"/>
    <w:rsid w:val="00300682"/>
    <w:rsid w:val="00300710"/>
    <w:rsid w:val="0030185B"/>
    <w:rsid w:val="00301F2A"/>
    <w:rsid w:val="0030208D"/>
    <w:rsid w:val="00302434"/>
    <w:rsid w:val="00302B3B"/>
    <w:rsid w:val="00302CEE"/>
    <w:rsid w:val="00303708"/>
    <w:rsid w:val="003039DA"/>
    <w:rsid w:val="0030405B"/>
    <w:rsid w:val="00304382"/>
    <w:rsid w:val="003049A9"/>
    <w:rsid w:val="00304B73"/>
    <w:rsid w:val="00304D65"/>
    <w:rsid w:val="00304F8D"/>
    <w:rsid w:val="003052D6"/>
    <w:rsid w:val="0030530D"/>
    <w:rsid w:val="00305385"/>
    <w:rsid w:val="0030557D"/>
    <w:rsid w:val="00305772"/>
    <w:rsid w:val="00305882"/>
    <w:rsid w:val="00305B16"/>
    <w:rsid w:val="00305C83"/>
    <w:rsid w:val="003062CE"/>
    <w:rsid w:val="00307125"/>
    <w:rsid w:val="003075DA"/>
    <w:rsid w:val="003078AD"/>
    <w:rsid w:val="00307930"/>
    <w:rsid w:val="00307D76"/>
    <w:rsid w:val="00310DBF"/>
    <w:rsid w:val="003111E4"/>
    <w:rsid w:val="003118F4"/>
    <w:rsid w:val="00311A54"/>
    <w:rsid w:val="00311F17"/>
    <w:rsid w:val="0031243B"/>
    <w:rsid w:val="003128E0"/>
    <w:rsid w:val="00312A53"/>
    <w:rsid w:val="00312B1C"/>
    <w:rsid w:val="0031313E"/>
    <w:rsid w:val="003131EF"/>
    <w:rsid w:val="003133AE"/>
    <w:rsid w:val="00313732"/>
    <w:rsid w:val="003139BF"/>
    <w:rsid w:val="00313B5D"/>
    <w:rsid w:val="00313B75"/>
    <w:rsid w:val="00313C6B"/>
    <w:rsid w:val="00314127"/>
    <w:rsid w:val="0031442B"/>
    <w:rsid w:val="00314470"/>
    <w:rsid w:val="00314505"/>
    <w:rsid w:val="003148A8"/>
    <w:rsid w:val="00314F62"/>
    <w:rsid w:val="0031530E"/>
    <w:rsid w:val="0031537C"/>
    <w:rsid w:val="0031555E"/>
    <w:rsid w:val="0031563C"/>
    <w:rsid w:val="00315950"/>
    <w:rsid w:val="003171B4"/>
    <w:rsid w:val="00317528"/>
    <w:rsid w:val="00317A11"/>
    <w:rsid w:val="00317A8A"/>
    <w:rsid w:val="00317E41"/>
    <w:rsid w:val="00320118"/>
    <w:rsid w:val="0032011A"/>
    <w:rsid w:val="003206E9"/>
    <w:rsid w:val="003209A5"/>
    <w:rsid w:val="00320B43"/>
    <w:rsid w:val="00320DAE"/>
    <w:rsid w:val="00321988"/>
    <w:rsid w:val="003221AE"/>
    <w:rsid w:val="003221B7"/>
    <w:rsid w:val="0032260E"/>
    <w:rsid w:val="003226D0"/>
    <w:rsid w:val="003226F1"/>
    <w:rsid w:val="00322AF0"/>
    <w:rsid w:val="00322C74"/>
    <w:rsid w:val="00323155"/>
    <w:rsid w:val="00323241"/>
    <w:rsid w:val="003234B3"/>
    <w:rsid w:val="00323744"/>
    <w:rsid w:val="00323872"/>
    <w:rsid w:val="00323F55"/>
    <w:rsid w:val="00323FCD"/>
    <w:rsid w:val="00323FD7"/>
    <w:rsid w:val="003246B1"/>
    <w:rsid w:val="003247FD"/>
    <w:rsid w:val="003248C0"/>
    <w:rsid w:val="00324E04"/>
    <w:rsid w:val="00325067"/>
    <w:rsid w:val="003254B7"/>
    <w:rsid w:val="00325943"/>
    <w:rsid w:val="00325C70"/>
    <w:rsid w:val="00325D9E"/>
    <w:rsid w:val="003261A4"/>
    <w:rsid w:val="0032634C"/>
    <w:rsid w:val="00326353"/>
    <w:rsid w:val="00326882"/>
    <w:rsid w:val="00326905"/>
    <w:rsid w:val="00326CD8"/>
    <w:rsid w:val="00327353"/>
    <w:rsid w:val="00327477"/>
    <w:rsid w:val="00327839"/>
    <w:rsid w:val="00327B76"/>
    <w:rsid w:val="00327BDD"/>
    <w:rsid w:val="00327C06"/>
    <w:rsid w:val="003306DB"/>
    <w:rsid w:val="00330868"/>
    <w:rsid w:val="003308A2"/>
    <w:rsid w:val="003309E7"/>
    <w:rsid w:val="00330B40"/>
    <w:rsid w:val="00331054"/>
    <w:rsid w:val="00331163"/>
    <w:rsid w:val="00331BB3"/>
    <w:rsid w:val="00331C0A"/>
    <w:rsid w:val="00331E98"/>
    <w:rsid w:val="00332140"/>
    <w:rsid w:val="00332C22"/>
    <w:rsid w:val="00332E10"/>
    <w:rsid w:val="003331D6"/>
    <w:rsid w:val="00333209"/>
    <w:rsid w:val="0033390D"/>
    <w:rsid w:val="00333E75"/>
    <w:rsid w:val="00334E5D"/>
    <w:rsid w:val="003350E0"/>
    <w:rsid w:val="003354C6"/>
    <w:rsid w:val="003354F2"/>
    <w:rsid w:val="003356B8"/>
    <w:rsid w:val="00335DBF"/>
    <w:rsid w:val="00335F1C"/>
    <w:rsid w:val="003360CC"/>
    <w:rsid w:val="00336253"/>
    <w:rsid w:val="003362B2"/>
    <w:rsid w:val="003362FE"/>
    <w:rsid w:val="00336F10"/>
    <w:rsid w:val="00336F17"/>
    <w:rsid w:val="00337673"/>
    <w:rsid w:val="00337961"/>
    <w:rsid w:val="00337C71"/>
    <w:rsid w:val="003400FC"/>
    <w:rsid w:val="00340259"/>
    <w:rsid w:val="00340676"/>
    <w:rsid w:val="00340D5B"/>
    <w:rsid w:val="00340DF3"/>
    <w:rsid w:val="00342002"/>
    <w:rsid w:val="00342230"/>
    <w:rsid w:val="003427EE"/>
    <w:rsid w:val="0034286D"/>
    <w:rsid w:val="003429BE"/>
    <w:rsid w:val="00342C0E"/>
    <w:rsid w:val="00342DE3"/>
    <w:rsid w:val="00342FD6"/>
    <w:rsid w:val="00343275"/>
    <w:rsid w:val="00343AB5"/>
    <w:rsid w:val="00343DC4"/>
    <w:rsid w:val="003447AA"/>
    <w:rsid w:val="003449A2"/>
    <w:rsid w:val="00344C04"/>
    <w:rsid w:val="00344E38"/>
    <w:rsid w:val="00345053"/>
    <w:rsid w:val="00345379"/>
    <w:rsid w:val="0034563E"/>
    <w:rsid w:val="003458BC"/>
    <w:rsid w:val="003459BC"/>
    <w:rsid w:val="00345AA3"/>
    <w:rsid w:val="00345DE8"/>
    <w:rsid w:val="00346026"/>
    <w:rsid w:val="003468D8"/>
    <w:rsid w:val="00346B6E"/>
    <w:rsid w:val="0034736F"/>
    <w:rsid w:val="00347F10"/>
    <w:rsid w:val="00350017"/>
    <w:rsid w:val="0035003C"/>
    <w:rsid w:val="003502C9"/>
    <w:rsid w:val="00350772"/>
    <w:rsid w:val="003509D4"/>
    <w:rsid w:val="00350AFF"/>
    <w:rsid w:val="00350F40"/>
    <w:rsid w:val="003510BE"/>
    <w:rsid w:val="00351221"/>
    <w:rsid w:val="003523E4"/>
    <w:rsid w:val="00352790"/>
    <w:rsid w:val="00352C41"/>
    <w:rsid w:val="00352CE6"/>
    <w:rsid w:val="00352DC7"/>
    <w:rsid w:val="00353343"/>
    <w:rsid w:val="00353557"/>
    <w:rsid w:val="00353D02"/>
    <w:rsid w:val="00353E04"/>
    <w:rsid w:val="003540DE"/>
    <w:rsid w:val="003540F5"/>
    <w:rsid w:val="00354248"/>
    <w:rsid w:val="0035498D"/>
    <w:rsid w:val="003549BA"/>
    <w:rsid w:val="00355A17"/>
    <w:rsid w:val="0035653E"/>
    <w:rsid w:val="003567A3"/>
    <w:rsid w:val="00356FA8"/>
    <w:rsid w:val="003577C8"/>
    <w:rsid w:val="00357A19"/>
    <w:rsid w:val="003604F3"/>
    <w:rsid w:val="00360515"/>
    <w:rsid w:val="003605E3"/>
    <w:rsid w:val="00360927"/>
    <w:rsid w:val="00360A0A"/>
    <w:rsid w:val="00360D26"/>
    <w:rsid w:val="00361028"/>
    <w:rsid w:val="0036114D"/>
    <w:rsid w:val="00361237"/>
    <w:rsid w:val="0036138B"/>
    <w:rsid w:val="00361446"/>
    <w:rsid w:val="0036182E"/>
    <w:rsid w:val="0036198D"/>
    <w:rsid w:val="00361CDE"/>
    <w:rsid w:val="00361EC2"/>
    <w:rsid w:val="00361F79"/>
    <w:rsid w:val="0036250C"/>
    <w:rsid w:val="00362731"/>
    <w:rsid w:val="003627C6"/>
    <w:rsid w:val="00362960"/>
    <w:rsid w:val="00363509"/>
    <w:rsid w:val="00363693"/>
    <w:rsid w:val="00363757"/>
    <w:rsid w:val="0036397C"/>
    <w:rsid w:val="00363BE3"/>
    <w:rsid w:val="00363C2C"/>
    <w:rsid w:val="00364086"/>
    <w:rsid w:val="003640CD"/>
    <w:rsid w:val="00364222"/>
    <w:rsid w:val="0036471F"/>
    <w:rsid w:val="0036538B"/>
    <w:rsid w:val="003653C0"/>
    <w:rsid w:val="003653DB"/>
    <w:rsid w:val="003655E8"/>
    <w:rsid w:val="0036565E"/>
    <w:rsid w:val="003658F2"/>
    <w:rsid w:val="003659FC"/>
    <w:rsid w:val="00365B90"/>
    <w:rsid w:val="00365D8A"/>
    <w:rsid w:val="00366313"/>
    <w:rsid w:val="00366433"/>
    <w:rsid w:val="00366819"/>
    <w:rsid w:val="00366922"/>
    <w:rsid w:val="00366A22"/>
    <w:rsid w:val="00366DE1"/>
    <w:rsid w:val="00367903"/>
    <w:rsid w:val="003679A6"/>
    <w:rsid w:val="003679F4"/>
    <w:rsid w:val="0037016B"/>
    <w:rsid w:val="00370263"/>
    <w:rsid w:val="00371243"/>
    <w:rsid w:val="00371304"/>
    <w:rsid w:val="0037135F"/>
    <w:rsid w:val="003713E2"/>
    <w:rsid w:val="003715C0"/>
    <w:rsid w:val="00371670"/>
    <w:rsid w:val="00371750"/>
    <w:rsid w:val="00371B65"/>
    <w:rsid w:val="003723D4"/>
    <w:rsid w:val="00372501"/>
    <w:rsid w:val="00372736"/>
    <w:rsid w:val="00372AA3"/>
    <w:rsid w:val="00372F13"/>
    <w:rsid w:val="00372FC9"/>
    <w:rsid w:val="003738EE"/>
    <w:rsid w:val="00373926"/>
    <w:rsid w:val="00373A49"/>
    <w:rsid w:val="00373BCF"/>
    <w:rsid w:val="00373CB1"/>
    <w:rsid w:val="00374647"/>
    <w:rsid w:val="003747EB"/>
    <w:rsid w:val="00374EA9"/>
    <w:rsid w:val="003751C6"/>
    <w:rsid w:val="00375257"/>
    <w:rsid w:val="003752A4"/>
    <w:rsid w:val="0037534D"/>
    <w:rsid w:val="00375393"/>
    <w:rsid w:val="00375678"/>
    <w:rsid w:val="003760D3"/>
    <w:rsid w:val="003763F2"/>
    <w:rsid w:val="003767D2"/>
    <w:rsid w:val="00376944"/>
    <w:rsid w:val="00376D9D"/>
    <w:rsid w:val="003772C7"/>
    <w:rsid w:val="003773D7"/>
    <w:rsid w:val="00377878"/>
    <w:rsid w:val="00377A80"/>
    <w:rsid w:val="00377DCA"/>
    <w:rsid w:val="00377EE1"/>
    <w:rsid w:val="00380254"/>
    <w:rsid w:val="003802FB"/>
    <w:rsid w:val="00380854"/>
    <w:rsid w:val="003808B9"/>
    <w:rsid w:val="00380967"/>
    <w:rsid w:val="00380ACC"/>
    <w:rsid w:val="00380E19"/>
    <w:rsid w:val="00381224"/>
    <w:rsid w:val="0038145B"/>
    <w:rsid w:val="003814BF"/>
    <w:rsid w:val="00381733"/>
    <w:rsid w:val="00381B2F"/>
    <w:rsid w:val="00381E1B"/>
    <w:rsid w:val="00381F26"/>
    <w:rsid w:val="00382123"/>
    <w:rsid w:val="003823FE"/>
    <w:rsid w:val="003825B3"/>
    <w:rsid w:val="0038298F"/>
    <w:rsid w:val="003829A4"/>
    <w:rsid w:val="00382B3C"/>
    <w:rsid w:val="00382DF2"/>
    <w:rsid w:val="00382EB1"/>
    <w:rsid w:val="00383289"/>
    <w:rsid w:val="003834D4"/>
    <w:rsid w:val="00383985"/>
    <w:rsid w:val="00383C83"/>
    <w:rsid w:val="00383D52"/>
    <w:rsid w:val="00383EAC"/>
    <w:rsid w:val="0038414C"/>
    <w:rsid w:val="00384190"/>
    <w:rsid w:val="0038440D"/>
    <w:rsid w:val="0038450D"/>
    <w:rsid w:val="00384773"/>
    <w:rsid w:val="00384BB6"/>
    <w:rsid w:val="00384BF1"/>
    <w:rsid w:val="003850B6"/>
    <w:rsid w:val="00385548"/>
    <w:rsid w:val="003855BB"/>
    <w:rsid w:val="0038568C"/>
    <w:rsid w:val="0038583A"/>
    <w:rsid w:val="003861B5"/>
    <w:rsid w:val="003864A6"/>
    <w:rsid w:val="00386899"/>
    <w:rsid w:val="00386AFE"/>
    <w:rsid w:val="00387337"/>
    <w:rsid w:val="003874E8"/>
    <w:rsid w:val="003877E0"/>
    <w:rsid w:val="00387ADD"/>
    <w:rsid w:val="00387AEE"/>
    <w:rsid w:val="00387CBE"/>
    <w:rsid w:val="0039034C"/>
    <w:rsid w:val="00390982"/>
    <w:rsid w:val="00390A6F"/>
    <w:rsid w:val="00390AEF"/>
    <w:rsid w:val="00390E15"/>
    <w:rsid w:val="00390FB2"/>
    <w:rsid w:val="00391084"/>
    <w:rsid w:val="003917DD"/>
    <w:rsid w:val="00391940"/>
    <w:rsid w:val="003919A6"/>
    <w:rsid w:val="00391C50"/>
    <w:rsid w:val="00391CDF"/>
    <w:rsid w:val="00391F2C"/>
    <w:rsid w:val="0039242E"/>
    <w:rsid w:val="0039274B"/>
    <w:rsid w:val="00392837"/>
    <w:rsid w:val="00392897"/>
    <w:rsid w:val="00392A54"/>
    <w:rsid w:val="00392B0E"/>
    <w:rsid w:val="00392E5C"/>
    <w:rsid w:val="003933CD"/>
    <w:rsid w:val="00393691"/>
    <w:rsid w:val="003937C6"/>
    <w:rsid w:val="00393916"/>
    <w:rsid w:val="00393FDF"/>
    <w:rsid w:val="0039408D"/>
    <w:rsid w:val="0039428E"/>
    <w:rsid w:val="003947A4"/>
    <w:rsid w:val="003947ED"/>
    <w:rsid w:val="00394BCB"/>
    <w:rsid w:val="003951A7"/>
    <w:rsid w:val="003953F4"/>
    <w:rsid w:val="003955C7"/>
    <w:rsid w:val="003957B5"/>
    <w:rsid w:val="00395AB5"/>
    <w:rsid w:val="00395ABB"/>
    <w:rsid w:val="0039610E"/>
    <w:rsid w:val="003964D7"/>
    <w:rsid w:val="00396A5D"/>
    <w:rsid w:val="00396ACB"/>
    <w:rsid w:val="00396B2B"/>
    <w:rsid w:val="00396BD5"/>
    <w:rsid w:val="00396D65"/>
    <w:rsid w:val="003970A1"/>
    <w:rsid w:val="00397485"/>
    <w:rsid w:val="00397587"/>
    <w:rsid w:val="00397823"/>
    <w:rsid w:val="0039783A"/>
    <w:rsid w:val="0039792B"/>
    <w:rsid w:val="00397F00"/>
    <w:rsid w:val="003A05F7"/>
    <w:rsid w:val="003A0C34"/>
    <w:rsid w:val="003A0F91"/>
    <w:rsid w:val="003A130E"/>
    <w:rsid w:val="003A1472"/>
    <w:rsid w:val="003A1809"/>
    <w:rsid w:val="003A1D65"/>
    <w:rsid w:val="003A25D4"/>
    <w:rsid w:val="003A29B9"/>
    <w:rsid w:val="003A2D61"/>
    <w:rsid w:val="003A3116"/>
    <w:rsid w:val="003A32EE"/>
    <w:rsid w:val="003A3484"/>
    <w:rsid w:val="003A360F"/>
    <w:rsid w:val="003A39EF"/>
    <w:rsid w:val="003A40E1"/>
    <w:rsid w:val="003A447F"/>
    <w:rsid w:val="003A4489"/>
    <w:rsid w:val="003A44FF"/>
    <w:rsid w:val="003A4566"/>
    <w:rsid w:val="003A463D"/>
    <w:rsid w:val="003A485D"/>
    <w:rsid w:val="003A4D1E"/>
    <w:rsid w:val="003A514F"/>
    <w:rsid w:val="003A628D"/>
    <w:rsid w:val="003A649B"/>
    <w:rsid w:val="003A6ADE"/>
    <w:rsid w:val="003A6D3F"/>
    <w:rsid w:val="003A6D5C"/>
    <w:rsid w:val="003A7199"/>
    <w:rsid w:val="003A742F"/>
    <w:rsid w:val="003A7501"/>
    <w:rsid w:val="003A7B6C"/>
    <w:rsid w:val="003A7BFF"/>
    <w:rsid w:val="003A7C77"/>
    <w:rsid w:val="003A7D91"/>
    <w:rsid w:val="003B017D"/>
    <w:rsid w:val="003B03EA"/>
    <w:rsid w:val="003B0CE2"/>
    <w:rsid w:val="003B174C"/>
    <w:rsid w:val="003B1AEA"/>
    <w:rsid w:val="003B1EFF"/>
    <w:rsid w:val="003B2005"/>
    <w:rsid w:val="003B23F8"/>
    <w:rsid w:val="003B2553"/>
    <w:rsid w:val="003B2567"/>
    <w:rsid w:val="003B2A68"/>
    <w:rsid w:val="003B2CDC"/>
    <w:rsid w:val="003B2E74"/>
    <w:rsid w:val="003B302A"/>
    <w:rsid w:val="003B3441"/>
    <w:rsid w:val="003B3B94"/>
    <w:rsid w:val="003B43DE"/>
    <w:rsid w:val="003B449E"/>
    <w:rsid w:val="003B45DC"/>
    <w:rsid w:val="003B475F"/>
    <w:rsid w:val="003B4820"/>
    <w:rsid w:val="003B4BF0"/>
    <w:rsid w:val="003B4C67"/>
    <w:rsid w:val="003B4E1C"/>
    <w:rsid w:val="003B4F03"/>
    <w:rsid w:val="003B4F07"/>
    <w:rsid w:val="003B501A"/>
    <w:rsid w:val="003B5560"/>
    <w:rsid w:val="003B5719"/>
    <w:rsid w:val="003B5D8C"/>
    <w:rsid w:val="003B5F9B"/>
    <w:rsid w:val="003B64FF"/>
    <w:rsid w:val="003B6B32"/>
    <w:rsid w:val="003B6B93"/>
    <w:rsid w:val="003B6D5A"/>
    <w:rsid w:val="003B6DA6"/>
    <w:rsid w:val="003B6DCF"/>
    <w:rsid w:val="003B6F20"/>
    <w:rsid w:val="003B7116"/>
    <w:rsid w:val="003B72DF"/>
    <w:rsid w:val="003B75D4"/>
    <w:rsid w:val="003B7F11"/>
    <w:rsid w:val="003B7FE5"/>
    <w:rsid w:val="003C0028"/>
    <w:rsid w:val="003C0133"/>
    <w:rsid w:val="003C0703"/>
    <w:rsid w:val="003C0B48"/>
    <w:rsid w:val="003C1116"/>
    <w:rsid w:val="003C1391"/>
    <w:rsid w:val="003C1A05"/>
    <w:rsid w:val="003C2102"/>
    <w:rsid w:val="003C2390"/>
    <w:rsid w:val="003C244C"/>
    <w:rsid w:val="003C25CC"/>
    <w:rsid w:val="003C25F5"/>
    <w:rsid w:val="003C263E"/>
    <w:rsid w:val="003C2FA5"/>
    <w:rsid w:val="003C31EC"/>
    <w:rsid w:val="003C3262"/>
    <w:rsid w:val="003C3409"/>
    <w:rsid w:val="003C36B3"/>
    <w:rsid w:val="003C37E0"/>
    <w:rsid w:val="003C3D1E"/>
    <w:rsid w:val="003C40AF"/>
    <w:rsid w:val="003C4A11"/>
    <w:rsid w:val="003C4FA9"/>
    <w:rsid w:val="003C4FE0"/>
    <w:rsid w:val="003C5278"/>
    <w:rsid w:val="003C52E6"/>
    <w:rsid w:val="003C5356"/>
    <w:rsid w:val="003C5D7B"/>
    <w:rsid w:val="003C6490"/>
    <w:rsid w:val="003C6BC7"/>
    <w:rsid w:val="003C6D47"/>
    <w:rsid w:val="003C6F7B"/>
    <w:rsid w:val="003C7340"/>
    <w:rsid w:val="003C77C1"/>
    <w:rsid w:val="003D0161"/>
    <w:rsid w:val="003D01F0"/>
    <w:rsid w:val="003D06B5"/>
    <w:rsid w:val="003D0759"/>
    <w:rsid w:val="003D07AE"/>
    <w:rsid w:val="003D0CA1"/>
    <w:rsid w:val="003D1396"/>
    <w:rsid w:val="003D1470"/>
    <w:rsid w:val="003D16EE"/>
    <w:rsid w:val="003D17C8"/>
    <w:rsid w:val="003D1CB1"/>
    <w:rsid w:val="003D2064"/>
    <w:rsid w:val="003D20FA"/>
    <w:rsid w:val="003D267D"/>
    <w:rsid w:val="003D2805"/>
    <w:rsid w:val="003D2BAD"/>
    <w:rsid w:val="003D2EAC"/>
    <w:rsid w:val="003D2F26"/>
    <w:rsid w:val="003D3067"/>
    <w:rsid w:val="003D3211"/>
    <w:rsid w:val="003D328E"/>
    <w:rsid w:val="003D3531"/>
    <w:rsid w:val="003D36B6"/>
    <w:rsid w:val="003D36BC"/>
    <w:rsid w:val="003D39FC"/>
    <w:rsid w:val="003D3D68"/>
    <w:rsid w:val="003D40BE"/>
    <w:rsid w:val="003D4345"/>
    <w:rsid w:val="003D47B2"/>
    <w:rsid w:val="003D47D0"/>
    <w:rsid w:val="003D4843"/>
    <w:rsid w:val="003D487D"/>
    <w:rsid w:val="003D4F1C"/>
    <w:rsid w:val="003D5578"/>
    <w:rsid w:val="003D5A93"/>
    <w:rsid w:val="003D5E36"/>
    <w:rsid w:val="003D604B"/>
    <w:rsid w:val="003D61DB"/>
    <w:rsid w:val="003D69AC"/>
    <w:rsid w:val="003D6B91"/>
    <w:rsid w:val="003D719C"/>
    <w:rsid w:val="003D71A3"/>
    <w:rsid w:val="003D7296"/>
    <w:rsid w:val="003D73A0"/>
    <w:rsid w:val="003D7C1C"/>
    <w:rsid w:val="003D7CE5"/>
    <w:rsid w:val="003D7CE8"/>
    <w:rsid w:val="003D7F63"/>
    <w:rsid w:val="003E0483"/>
    <w:rsid w:val="003E0578"/>
    <w:rsid w:val="003E0915"/>
    <w:rsid w:val="003E0921"/>
    <w:rsid w:val="003E0BAF"/>
    <w:rsid w:val="003E12DE"/>
    <w:rsid w:val="003E1565"/>
    <w:rsid w:val="003E15B6"/>
    <w:rsid w:val="003E1884"/>
    <w:rsid w:val="003E18A3"/>
    <w:rsid w:val="003E1A15"/>
    <w:rsid w:val="003E1A45"/>
    <w:rsid w:val="003E1D32"/>
    <w:rsid w:val="003E1DD1"/>
    <w:rsid w:val="003E1F52"/>
    <w:rsid w:val="003E28C1"/>
    <w:rsid w:val="003E28FB"/>
    <w:rsid w:val="003E292B"/>
    <w:rsid w:val="003E2E8A"/>
    <w:rsid w:val="003E31A0"/>
    <w:rsid w:val="003E3565"/>
    <w:rsid w:val="003E3D07"/>
    <w:rsid w:val="003E3E86"/>
    <w:rsid w:val="003E4324"/>
    <w:rsid w:val="003E4D83"/>
    <w:rsid w:val="003E5238"/>
    <w:rsid w:val="003E5484"/>
    <w:rsid w:val="003E560F"/>
    <w:rsid w:val="003E5C27"/>
    <w:rsid w:val="003E5FF8"/>
    <w:rsid w:val="003E636E"/>
    <w:rsid w:val="003E663B"/>
    <w:rsid w:val="003E68C0"/>
    <w:rsid w:val="003E698A"/>
    <w:rsid w:val="003E6DD2"/>
    <w:rsid w:val="003E754E"/>
    <w:rsid w:val="003E76A8"/>
    <w:rsid w:val="003E7781"/>
    <w:rsid w:val="003E78E3"/>
    <w:rsid w:val="003F01C6"/>
    <w:rsid w:val="003F03F0"/>
    <w:rsid w:val="003F0440"/>
    <w:rsid w:val="003F0771"/>
    <w:rsid w:val="003F0C14"/>
    <w:rsid w:val="003F0E4F"/>
    <w:rsid w:val="003F0E80"/>
    <w:rsid w:val="003F10A5"/>
    <w:rsid w:val="003F1199"/>
    <w:rsid w:val="003F11ED"/>
    <w:rsid w:val="003F1660"/>
    <w:rsid w:val="003F1CE8"/>
    <w:rsid w:val="003F1DDA"/>
    <w:rsid w:val="003F212E"/>
    <w:rsid w:val="003F2431"/>
    <w:rsid w:val="003F270D"/>
    <w:rsid w:val="003F2791"/>
    <w:rsid w:val="003F29BE"/>
    <w:rsid w:val="003F2B3D"/>
    <w:rsid w:val="003F2CA0"/>
    <w:rsid w:val="003F3122"/>
    <w:rsid w:val="003F32E7"/>
    <w:rsid w:val="003F33F3"/>
    <w:rsid w:val="003F354B"/>
    <w:rsid w:val="003F3754"/>
    <w:rsid w:val="003F3892"/>
    <w:rsid w:val="003F3A76"/>
    <w:rsid w:val="003F3AC9"/>
    <w:rsid w:val="003F3B4B"/>
    <w:rsid w:val="003F3F74"/>
    <w:rsid w:val="003F3FBD"/>
    <w:rsid w:val="003F40B8"/>
    <w:rsid w:val="003F40DD"/>
    <w:rsid w:val="003F44A2"/>
    <w:rsid w:val="003F4C26"/>
    <w:rsid w:val="003F4D9F"/>
    <w:rsid w:val="003F4F8B"/>
    <w:rsid w:val="003F57BD"/>
    <w:rsid w:val="003F57C7"/>
    <w:rsid w:val="003F59AB"/>
    <w:rsid w:val="003F5D84"/>
    <w:rsid w:val="003F629A"/>
    <w:rsid w:val="003F62EC"/>
    <w:rsid w:val="003F68AD"/>
    <w:rsid w:val="003F6E8A"/>
    <w:rsid w:val="003F7046"/>
    <w:rsid w:val="003F7207"/>
    <w:rsid w:val="003F73CA"/>
    <w:rsid w:val="003F789D"/>
    <w:rsid w:val="003F7ACD"/>
    <w:rsid w:val="003F7B98"/>
    <w:rsid w:val="003F7BEF"/>
    <w:rsid w:val="003F7F15"/>
    <w:rsid w:val="00400505"/>
    <w:rsid w:val="00400890"/>
    <w:rsid w:val="004008D5"/>
    <w:rsid w:val="00400E39"/>
    <w:rsid w:val="00400E5D"/>
    <w:rsid w:val="004013A1"/>
    <w:rsid w:val="0040176F"/>
    <w:rsid w:val="004017CC"/>
    <w:rsid w:val="00401847"/>
    <w:rsid w:val="00402784"/>
    <w:rsid w:val="00402919"/>
    <w:rsid w:val="00402D04"/>
    <w:rsid w:val="00403724"/>
    <w:rsid w:val="00403743"/>
    <w:rsid w:val="00403765"/>
    <w:rsid w:val="004038FF"/>
    <w:rsid w:val="0040397B"/>
    <w:rsid w:val="00403BE1"/>
    <w:rsid w:val="00403DE4"/>
    <w:rsid w:val="00403F3E"/>
    <w:rsid w:val="004040E5"/>
    <w:rsid w:val="004045A9"/>
    <w:rsid w:val="00404602"/>
    <w:rsid w:val="0040465D"/>
    <w:rsid w:val="004047E3"/>
    <w:rsid w:val="00404B65"/>
    <w:rsid w:val="0040523B"/>
    <w:rsid w:val="00405A24"/>
    <w:rsid w:val="00405EAC"/>
    <w:rsid w:val="00405F19"/>
    <w:rsid w:val="00405F70"/>
    <w:rsid w:val="00406682"/>
    <w:rsid w:val="00406B37"/>
    <w:rsid w:val="00407283"/>
    <w:rsid w:val="004073E6"/>
    <w:rsid w:val="004075C0"/>
    <w:rsid w:val="00407B62"/>
    <w:rsid w:val="00407BAC"/>
    <w:rsid w:val="00410012"/>
    <w:rsid w:val="004102C9"/>
    <w:rsid w:val="00410757"/>
    <w:rsid w:val="004107C2"/>
    <w:rsid w:val="0041098D"/>
    <w:rsid w:val="004109CF"/>
    <w:rsid w:val="00410B0E"/>
    <w:rsid w:val="00411087"/>
    <w:rsid w:val="00411292"/>
    <w:rsid w:val="00411372"/>
    <w:rsid w:val="0041183A"/>
    <w:rsid w:val="004120BD"/>
    <w:rsid w:val="00412219"/>
    <w:rsid w:val="004126D3"/>
    <w:rsid w:val="00412E1A"/>
    <w:rsid w:val="0041300C"/>
    <w:rsid w:val="004132D2"/>
    <w:rsid w:val="00413345"/>
    <w:rsid w:val="00413876"/>
    <w:rsid w:val="00413A92"/>
    <w:rsid w:val="00413C4F"/>
    <w:rsid w:val="00413CBC"/>
    <w:rsid w:val="00413CD5"/>
    <w:rsid w:val="00413ECA"/>
    <w:rsid w:val="00414071"/>
    <w:rsid w:val="004143F7"/>
    <w:rsid w:val="00414644"/>
    <w:rsid w:val="004146C8"/>
    <w:rsid w:val="00414A38"/>
    <w:rsid w:val="00414E65"/>
    <w:rsid w:val="004151E6"/>
    <w:rsid w:val="00415C5B"/>
    <w:rsid w:val="00415D29"/>
    <w:rsid w:val="00415DBF"/>
    <w:rsid w:val="004162BD"/>
    <w:rsid w:val="0041670F"/>
    <w:rsid w:val="00416A26"/>
    <w:rsid w:val="00416AAE"/>
    <w:rsid w:val="00416BB3"/>
    <w:rsid w:val="00416C59"/>
    <w:rsid w:val="00416D54"/>
    <w:rsid w:val="004170C6"/>
    <w:rsid w:val="004171E1"/>
    <w:rsid w:val="00417381"/>
    <w:rsid w:val="00417531"/>
    <w:rsid w:val="00417CD5"/>
    <w:rsid w:val="00417CFD"/>
    <w:rsid w:val="00417F88"/>
    <w:rsid w:val="00417F9B"/>
    <w:rsid w:val="00420007"/>
    <w:rsid w:val="004206EE"/>
    <w:rsid w:val="004208AF"/>
    <w:rsid w:val="004210FE"/>
    <w:rsid w:val="00421203"/>
    <w:rsid w:val="004212C7"/>
    <w:rsid w:val="0042160F"/>
    <w:rsid w:val="004216FC"/>
    <w:rsid w:val="00421C6E"/>
    <w:rsid w:val="00422274"/>
    <w:rsid w:val="00422796"/>
    <w:rsid w:val="0042280F"/>
    <w:rsid w:val="00422830"/>
    <w:rsid w:val="0042288E"/>
    <w:rsid w:val="00422A44"/>
    <w:rsid w:val="00422E3E"/>
    <w:rsid w:val="00422E94"/>
    <w:rsid w:val="00422F39"/>
    <w:rsid w:val="004231E2"/>
    <w:rsid w:val="00423606"/>
    <w:rsid w:val="0042360C"/>
    <w:rsid w:val="00423948"/>
    <w:rsid w:val="00423966"/>
    <w:rsid w:val="00423A7F"/>
    <w:rsid w:val="00423B9B"/>
    <w:rsid w:val="00423CC1"/>
    <w:rsid w:val="0042433B"/>
    <w:rsid w:val="004248F5"/>
    <w:rsid w:val="00424B5E"/>
    <w:rsid w:val="00424DA7"/>
    <w:rsid w:val="00424EF8"/>
    <w:rsid w:val="00424F28"/>
    <w:rsid w:val="00424F4F"/>
    <w:rsid w:val="00425089"/>
    <w:rsid w:val="004254A3"/>
    <w:rsid w:val="00425845"/>
    <w:rsid w:val="00425938"/>
    <w:rsid w:val="00425A23"/>
    <w:rsid w:val="00425BC3"/>
    <w:rsid w:val="00425F42"/>
    <w:rsid w:val="00425FC2"/>
    <w:rsid w:val="0042617D"/>
    <w:rsid w:val="00426234"/>
    <w:rsid w:val="00426375"/>
    <w:rsid w:val="00426E4D"/>
    <w:rsid w:val="004277F6"/>
    <w:rsid w:val="00427BD6"/>
    <w:rsid w:val="00427C4A"/>
    <w:rsid w:val="004304B5"/>
    <w:rsid w:val="004304E8"/>
    <w:rsid w:val="004305B5"/>
    <w:rsid w:val="004305BC"/>
    <w:rsid w:val="00430715"/>
    <w:rsid w:val="00430868"/>
    <w:rsid w:val="00430883"/>
    <w:rsid w:val="004309FB"/>
    <w:rsid w:val="00430AE1"/>
    <w:rsid w:val="00430B64"/>
    <w:rsid w:val="00430EF6"/>
    <w:rsid w:val="004310DB"/>
    <w:rsid w:val="004313E4"/>
    <w:rsid w:val="00431655"/>
    <w:rsid w:val="004329D9"/>
    <w:rsid w:val="00432A30"/>
    <w:rsid w:val="00432B50"/>
    <w:rsid w:val="00432EE2"/>
    <w:rsid w:val="00432F57"/>
    <w:rsid w:val="00432FCC"/>
    <w:rsid w:val="00433406"/>
    <w:rsid w:val="0043405B"/>
    <w:rsid w:val="004342D1"/>
    <w:rsid w:val="00434312"/>
    <w:rsid w:val="00434529"/>
    <w:rsid w:val="00434D54"/>
    <w:rsid w:val="00434F15"/>
    <w:rsid w:val="00435359"/>
    <w:rsid w:val="004353ED"/>
    <w:rsid w:val="0043543A"/>
    <w:rsid w:val="0043549D"/>
    <w:rsid w:val="004356BF"/>
    <w:rsid w:val="00435B71"/>
    <w:rsid w:val="00435DF2"/>
    <w:rsid w:val="00435F15"/>
    <w:rsid w:val="0043608A"/>
    <w:rsid w:val="00436271"/>
    <w:rsid w:val="0043651F"/>
    <w:rsid w:val="00436668"/>
    <w:rsid w:val="004366C7"/>
    <w:rsid w:val="0043684E"/>
    <w:rsid w:val="00436A4E"/>
    <w:rsid w:val="00436CB3"/>
    <w:rsid w:val="00437114"/>
    <w:rsid w:val="0043733A"/>
    <w:rsid w:val="00437C28"/>
    <w:rsid w:val="00440657"/>
    <w:rsid w:val="0044084A"/>
    <w:rsid w:val="00440A75"/>
    <w:rsid w:val="00440BE1"/>
    <w:rsid w:val="00440D46"/>
    <w:rsid w:val="00440DF9"/>
    <w:rsid w:val="00441124"/>
    <w:rsid w:val="00441150"/>
    <w:rsid w:val="00441450"/>
    <w:rsid w:val="0044157E"/>
    <w:rsid w:val="0044172D"/>
    <w:rsid w:val="00441C53"/>
    <w:rsid w:val="00441D44"/>
    <w:rsid w:val="00441F14"/>
    <w:rsid w:val="00441F87"/>
    <w:rsid w:val="0044245C"/>
    <w:rsid w:val="00442AD3"/>
    <w:rsid w:val="00443024"/>
    <w:rsid w:val="0044329E"/>
    <w:rsid w:val="004435A0"/>
    <w:rsid w:val="004437ED"/>
    <w:rsid w:val="00443802"/>
    <w:rsid w:val="00443BD5"/>
    <w:rsid w:val="00443C18"/>
    <w:rsid w:val="00443D7F"/>
    <w:rsid w:val="004442B3"/>
    <w:rsid w:val="004446A8"/>
    <w:rsid w:val="0044519A"/>
    <w:rsid w:val="00445298"/>
    <w:rsid w:val="00445B34"/>
    <w:rsid w:val="00445BE7"/>
    <w:rsid w:val="00445C85"/>
    <w:rsid w:val="0044609E"/>
    <w:rsid w:val="00446146"/>
    <w:rsid w:val="0044616B"/>
    <w:rsid w:val="0044651B"/>
    <w:rsid w:val="004468FC"/>
    <w:rsid w:val="00446911"/>
    <w:rsid w:val="00446BC3"/>
    <w:rsid w:val="00446D96"/>
    <w:rsid w:val="00446F51"/>
    <w:rsid w:val="00447051"/>
    <w:rsid w:val="004475C7"/>
    <w:rsid w:val="004479C5"/>
    <w:rsid w:val="00447DC2"/>
    <w:rsid w:val="004501DE"/>
    <w:rsid w:val="0045020A"/>
    <w:rsid w:val="004503BD"/>
    <w:rsid w:val="00450404"/>
    <w:rsid w:val="00450A29"/>
    <w:rsid w:val="004511F4"/>
    <w:rsid w:val="0045130F"/>
    <w:rsid w:val="00451456"/>
    <w:rsid w:val="00451526"/>
    <w:rsid w:val="00451640"/>
    <w:rsid w:val="0045199A"/>
    <w:rsid w:val="0045199E"/>
    <w:rsid w:val="00451DCA"/>
    <w:rsid w:val="00451E78"/>
    <w:rsid w:val="00452A6C"/>
    <w:rsid w:val="00452AD2"/>
    <w:rsid w:val="00452BA4"/>
    <w:rsid w:val="00452E06"/>
    <w:rsid w:val="004531B5"/>
    <w:rsid w:val="0045341A"/>
    <w:rsid w:val="0045387D"/>
    <w:rsid w:val="00453B6E"/>
    <w:rsid w:val="00453D1F"/>
    <w:rsid w:val="004540A8"/>
    <w:rsid w:val="00454122"/>
    <w:rsid w:val="004545DE"/>
    <w:rsid w:val="004547A0"/>
    <w:rsid w:val="004547D5"/>
    <w:rsid w:val="00454FA9"/>
    <w:rsid w:val="0045517B"/>
    <w:rsid w:val="00455195"/>
    <w:rsid w:val="00455261"/>
    <w:rsid w:val="004555B9"/>
    <w:rsid w:val="004564CE"/>
    <w:rsid w:val="00456819"/>
    <w:rsid w:val="00456850"/>
    <w:rsid w:val="00456D10"/>
    <w:rsid w:val="00460102"/>
    <w:rsid w:val="0046013A"/>
    <w:rsid w:val="00460566"/>
    <w:rsid w:val="004607B4"/>
    <w:rsid w:val="00460918"/>
    <w:rsid w:val="00460F61"/>
    <w:rsid w:val="004615FC"/>
    <w:rsid w:val="00461A0A"/>
    <w:rsid w:val="00461AA3"/>
    <w:rsid w:val="00461DCD"/>
    <w:rsid w:val="00462332"/>
    <w:rsid w:val="0046254C"/>
    <w:rsid w:val="00462CAD"/>
    <w:rsid w:val="00462E2C"/>
    <w:rsid w:val="00462FB1"/>
    <w:rsid w:val="00462FF8"/>
    <w:rsid w:val="00463112"/>
    <w:rsid w:val="004633AE"/>
    <w:rsid w:val="004635C9"/>
    <w:rsid w:val="00463A66"/>
    <w:rsid w:val="0046409A"/>
    <w:rsid w:val="004641B8"/>
    <w:rsid w:val="004641E8"/>
    <w:rsid w:val="004645AA"/>
    <w:rsid w:val="004647E0"/>
    <w:rsid w:val="00464BEC"/>
    <w:rsid w:val="00464CB2"/>
    <w:rsid w:val="00464E13"/>
    <w:rsid w:val="004654F5"/>
    <w:rsid w:val="00465D70"/>
    <w:rsid w:val="00466326"/>
    <w:rsid w:val="00466CF2"/>
    <w:rsid w:val="00466CF8"/>
    <w:rsid w:val="004673EA"/>
    <w:rsid w:val="004675B3"/>
    <w:rsid w:val="004675C2"/>
    <w:rsid w:val="00467976"/>
    <w:rsid w:val="00467C77"/>
    <w:rsid w:val="00467CDF"/>
    <w:rsid w:val="00467E7D"/>
    <w:rsid w:val="004701CB"/>
    <w:rsid w:val="00470387"/>
    <w:rsid w:val="0047039D"/>
    <w:rsid w:val="0047066C"/>
    <w:rsid w:val="004707BA"/>
    <w:rsid w:val="004707E2"/>
    <w:rsid w:val="004709F8"/>
    <w:rsid w:val="00470C7E"/>
    <w:rsid w:val="00470DA1"/>
    <w:rsid w:val="00471BF6"/>
    <w:rsid w:val="00471C69"/>
    <w:rsid w:val="00472043"/>
    <w:rsid w:val="004723F8"/>
    <w:rsid w:val="004724C0"/>
    <w:rsid w:val="00472700"/>
    <w:rsid w:val="004728E4"/>
    <w:rsid w:val="00472CF9"/>
    <w:rsid w:val="004730F6"/>
    <w:rsid w:val="00473130"/>
    <w:rsid w:val="0047315B"/>
    <w:rsid w:val="0047319C"/>
    <w:rsid w:val="004736C2"/>
    <w:rsid w:val="00473BFF"/>
    <w:rsid w:val="00473EA6"/>
    <w:rsid w:val="004740B7"/>
    <w:rsid w:val="00474116"/>
    <w:rsid w:val="00474488"/>
    <w:rsid w:val="004748D6"/>
    <w:rsid w:val="00474D59"/>
    <w:rsid w:val="0047503D"/>
    <w:rsid w:val="0047520D"/>
    <w:rsid w:val="00475898"/>
    <w:rsid w:val="004758A9"/>
    <w:rsid w:val="00475B64"/>
    <w:rsid w:val="00475D01"/>
    <w:rsid w:val="00475DFC"/>
    <w:rsid w:val="0047615C"/>
    <w:rsid w:val="0047626A"/>
    <w:rsid w:val="004764F4"/>
    <w:rsid w:val="00476B3E"/>
    <w:rsid w:val="00476D76"/>
    <w:rsid w:val="004770D8"/>
    <w:rsid w:val="004772C9"/>
    <w:rsid w:val="004772E5"/>
    <w:rsid w:val="00477524"/>
    <w:rsid w:val="004776BB"/>
    <w:rsid w:val="0047798B"/>
    <w:rsid w:val="004802D9"/>
    <w:rsid w:val="00480334"/>
    <w:rsid w:val="0048099F"/>
    <w:rsid w:val="00480BD6"/>
    <w:rsid w:val="00480CBD"/>
    <w:rsid w:val="00480E2C"/>
    <w:rsid w:val="00480F1E"/>
    <w:rsid w:val="00481145"/>
    <w:rsid w:val="00481672"/>
    <w:rsid w:val="00481912"/>
    <w:rsid w:val="004819A5"/>
    <w:rsid w:val="00482018"/>
    <w:rsid w:val="00482779"/>
    <w:rsid w:val="004831F9"/>
    <w:rsid w:val="0048389A"/>
    <w:rsid w:val="00483C0B"/>
    <w:rsid w:val="00483C5D"/>
    <w:rsid w:val="00483D1C"/>
    <w:rsid w:val="00483FF1"/>
    <w:rsid w:val="004840A0"/>
    <w:rsid w:val="00484306"/>
    <w:rsid w:val="0048432D"/>
    <w:rsid w:val="00484377"/>
    <w:rsid w:val="0048460C"/>
    <w:rsid w:val="0048486E"/>
    <w:rsid w:val="00484BDB"/>
    <w:rsid w:val="00484E57"/>
    <w:rsid w:val="004850A1"/>
    <w:rsid w:val="004853C7"/>
    <w:rsid w:val="00485475"/>
    <w:rsid w:val="00485495"/>
    <w:rsid w:val="004854B6"/>
    <w:rsid w:val="004854EF"/>
    <w:rsid w:val="0048564C"/>
    <w:rsid w:val="00485934"/>
    <w:rsid w:val="00485B51"/>
    <w:rsid w:val="00485B8F"/>
    <w:rsid w:val="00485C85"/>
    <w:rsid w:val="0048604A"/>
    <w:rsid w:val="00486A41"/>
    <w:rsid w:val="00486B15"/>
    <w:rsid w:val="00486D34"/>
    <w:rsid w:val="004870C9"/>
    <w:rsid w:val="0048718E"/>
    <w:rsid w:val="004871C8"/>
    <w:rsid w:val="004874F2"/>
    <w:rsid w:val="00487AC6"/>
    <w:rsid w:val="00487D4D"/>
    <w:rsid w:val="00487EF6"/>
    <w:rsid w:val="00487FDC"/>
    <w:rsid w:val="004903EE"/>
    <w:rsid w:val="00490777"/>
    <w:rsid w:val="0049098F"/>
    <w:rsid w:val="00490C06"/>
    <w:rsid w:val="00490CE4"/>
    <w:rsid w:val="00490D01"/>
    <w:rsid w:val="00490EE6"/>
    <w:rsid w:val="004910BC"/>
    <w:rsid w:val="0049125E"/>
    <w:rsid w:val="004912C8"/>
    <w:rsid w:val="00491350"/>
    <w:rsid w:val="004918C6"/>
    <w:rsid w:val="00491BEC"/>
    <w:rsid w:val="00491D80"/>
    <w:rsid w:val="00491E6F"/>
    <w:rsid w:val="00491ECD"/>
    <w:rsid w:val="0049229F"/>
    <w:rsid w:val="00492514"/>
    <w:rsid w:val="00492551"/>
    <w:rsid w:val="004926E0"/>
    <w:rsid w:val="0049278C"/>
    <w:rsid w:val="00492DAA"/>
    <w:rsid w:val="00492FDB"/>
    <w:rsid w:val="004930CA"/>
    <w:rsid w:val="00493210"/>
    <w:rsid w:val="004935D1"/>
    <w:rsid w:val="00493623"/>
    <w:rsid w:val="00493CA8"/>
    <w:rsid w:val="00493CE3"/>
    <w:rsid w:val="0049417B"/>
    <w:rsid w:val="00494357"/>
    <w:rsid w:val="00494A5E"/>
    <w:rsid w:val="00494EC6"/>
    <w:rsid w:val="0049579E"/>
    <w:rsid w:val="0049582B"/>
    <w:rsid w:val="00495898"/>
    <w:rsid w:val="00495A5C"/>
    <w:rsid w:val="00495C72"/>
    <w:rsid w:val="0049662F"/>
    <w:rsid w:val="00496B33"/>
    <w:rsid w:val="00496E08"/>
    <w:rsid w:val="0049702F"/>
    <w:rsid w:val="00497307"/>
    <w:rsid w:val="004974ED"/>
    <w:rsid w:val="00497752"/>
    <w:rsid w:val="004977B7"/>
    <w:rsid w:val="00497AE1"/>
    <w:rsid w:val="004A00CB"/>
    <w:rsid w:val="004A0192"/>
    <w:rsid w:val="004A05E8"/>
    <w:rsid w:val="004A0E3F"/>
    <w:rsid w:val="004A1342"/>
    <w:rsid w:val="004A178C"/>
    <w:rsid w:val="004A183B"/>
    <w:rsid w:val="004A1BB9"/>
    <w:rsid w:val="004A1C69"/>
    <w:rsid w:val="004A2487"/>
    <w:rsid w:val="004A2D6F"/>
    <w:rsid w:val="004A34A4"/>
    <w:rsid w:val="004A39DB"/>
    <w:rsid w:val="004A429A"/>
    <w:rsid w:val="004A42CB"/>
    <w:rsid w:val="004A48EB"/>
    <w:rsid w:val="004A497A"/>
    <w:rsid w:val="004A4E01"/>
    <w:rsid w:val="004A4EC2"/>
    <w:rsid w:val="004A4FC6"/>
    <w:rsid w:val="004A51F9"/>
    <w:rsid w:val="004A523E"/>
    <w:rsid w:val="004A5E39"/>
    <w:rsid w:val="004A5EF6"/>
    <w:rsid w:val="004A62C5"/>
    <w:rsid w:val="004A63D6"/>
    <w:rsid w:val="004A6408"/>
    <w:rsid w:val="004A6764"/>
    <w:rsid w:val="004A67D3"/>
    <w:rsid w:val="004A69AE"/>
    <w:rsid w:val="004A6E1E"/>
    <w:rsid w:val="004A7373"/>
    <w:rsid w:val="004A7A55"/>
    <w:rsid w:val="004A7B44"/>
    <w:rsid w:val="004A7F01"/>
    <w:rsid w:val="004A7FC2"/>
    <w:rsid w:val="004B00E6"/>
    <w:rsid w:val="004B042B"/>
    <w:rsid w:val="004B05D1"/>
    <w:rsid w:val="004B05DD"/>
    <w:rsid w:val="004B07C4"/>
    <w:rsid w:val="004B0900"/>
    <w:rsid w:val="004B0D8E"/>
    <w:rsid w:val="004B1206"/>
    <w:rsid w:val="004B1F58"/>
    <w:rsid w:val="004B1FAC"/>
    <w:rsid w:val="004B200B"/>
    <w:rsid w:val="004B2579"/>
    <w:rsid w:val="004B2B92"/>
    <w:rsid w:val="004B2D58"/>
    <w:rsid w:val="004B2EE5"/>
    <w:rsid w:val="004B2F32"/>
    <w:rsid w:val="004B3001"/>
    <w:rsid w:val="004B3110"/>
    <w:rsid w:val="004B333E"/>
    <w:rsid w:val="004B355F"/>
    <w:rsid w:val="004B3753"/>
    <w:rsid w:val="004B3CB3"/>
    <w:rsid w:val="004B47DA"/>
    <w:rsid w:val="004B490E"/>
    <w:rsid w:val="004B49FC"/>
    <w:rsid w:val="004B4CE8"/>
    <w:rsid w:val="004B4E91"/>
    <w:rsid w:val="004B54A9"/>
    <w:rsid w:val="004B54B4"/>
    <w:rsid w:val="004B557B"/>
    <w:rsid w:val="004B5608"/>
    <w:rsid w:val="004B56B6"/>
    <w:rsid w:val="004B56E3"/>
    <w:rsid w:val="004B58C5"/>
    <w:rsid w:val="004B5DCB"/>
    <w:rsid w:val="004B5E89"/>
    <w:rsid w:val="004B6116"/>
    <w:rsid w:val="004B6655"/>
    <w:rsid w:val="004B6CA9"/>
    <w:rsid w:val="004B6CC0"/>
    <w:rsid w:val="004B714E"/>
    <w:rsid w:val="004B7443"/>
    <w:rsid w:val="004B7492"/>
    <w:rsid w:val="004B7649"/>
    <w:rsid w:val="004B7774"/>
    <w:rsid w:val="004B7CCC"/>
    <w:rsid w:val="004B7F19"/>
    <w:rsid w:val="004C00DF"/>
    <w:rsid w:val="004C0250"/>
    <w:rsid w:val="004C0655"/>
    <w:rsid w:val="004C08ED"/>
    <w:rsid w:val="004C0AFB"/>
    <w:rsid w:val="004C0FCC"/>
    <w:rsid w:val="004C17C9"/>
    <w:rsid w:val="004C1952"/>
    <w:rsid w:val="004C19CC"/>
    <w:rsid w:val="004C1CD0"/>
    <w:rsid w:val="004C1D60"/>
    <w:rsid w:val="004C1E6C"/>
    <w:rsid w:val="004C2360"/>
    <w:rsid w:val="004C2614"/>
    <w:rsid w:val="004C2A71"/>
    <w:rsid w:val="004C2B4C"/>
    <w:rsid w:val="004C2C6A"/>
    <w:rsid w:val="004C3298"/>
    <w:rsid w:val="004C35A2"/>
    <w:rsid w:val="004C35A7"/>
    <w:rsid w:val="004C470C"/>
    <w:rsid w:val="004C49BF"/>
    <w:rsid w:val="004C51AE"/>
    <w:rsid w:val="004C51CB"/>
    <w:rsid w:val="004C51FE"/>
    <w:rsid w:val="004C53EA"/>
    <w:rsid w:val="004C542E"/>
    <w:rsid w:val="004C5440"/>
    <w:rsid w:val="004C5759"/>
    <w:rsid w:val="004C5781"/>
    <w:rsid w:val="004C5B40"/>
    <w:rsid w:val="004C5C76"/>
    <w:rsid w:val="004C5C7D"/>
    <w:rsid w:val="004C5CD0"/>
    <w:rsid w:val="004C63BA"/>
    <w:rsid w:val="004C65E3"/>
    <w:rsid w:val="004C6777"/>
    <w:rsid w:val="004C67AB"/>
    <w:rsid w:val="004C67FE"/>
    <w:rsid w:val="004C6ACF"/>
    <w:rsid w:val="004C6F72"/>
    <w:rsid w:val="004C7721"/>
    <w:rsid w:val="004C7A9B"/>
    <w:rsid w:val="004C7D2E"/>
    <w:rsid w:val="004C7D98"/>
    <w:rsid w:val="004D02C0"/>
    <w:rsid w:val="004D0818"/>
    <w:rsid w:val="004D098F"/>
    <w:rsid w:val="004D0A41"/>
    <w:rsid w:val="004D0A70"/>
    <w:rsid w:val="004D0C24"/>
    <w:rsid w:val="004D1052"/>
    <w:rsid w:val="004D1B25"/>
    <w:rsid w:val="004D1D94"/>
    <w:rsid w:val="004D224B"/>
    <w:rsid w:val="004D2640"/>
    <w:rsid w:val="004D3195"/>
    <w:rsid w:val="004D32DD"/>
    <w:rsid w:val="004D3303"/>
    <w:rsid w:val="004D3348"/>
    <w:rsid w:val="004D343C"/>
    <w:rsid w:val="004D3B33"/>
    <w:rsid w:val="004D3DC9"/>
    <w:rsid w:val="004D3F67"/>
    <w:rsid w:val="004D44ED"/>
    <w:rsid w:val="004D45B3"/>
    <w:rsid w:val="004D4C69"/>
    <w:rsid w:val="004D5297"/>
    <w:rsid w:val="004D54E9"/>
    <w:rsid w:val="004D54F6"/>
    <w:rsid w:val="004D55F4"/>
    <w:rsid w:val="004D5AC4"/>
    <w:rsid w:val="004D5FBF"/>
    <w:rsid w:val="004D656F"/>
    <w:rsid w:val="004D691B"/>
    <w:rsid w:val="004D6F51"/>
    <w:rsid w:val="004D6FC7"/>
    <w:rsid w:val="004D735A"/>
    <w:rsid w:val="004D7585"/>
    <w:rsid w:val="004D763D"/>
    <w:rsid w:val="004D7ECB"/>
    <w:rsid w:val="004E0016"/>
    <w:rsid w:val="004E0061"/>
    <w:rsid w:val="004E0154"/>
    <w:rsid w:val="004E0817"/>
    <w:rsid w:val="004E0AFB"/>
    <w:rsid w:val="004E0B69"/>
    <w:rsid w:val="004E0E40"/>
    <w:rsid w:val="004E0FCD"/>
    <w:rsid w:val="004E10A2"/>
    <w:rsid w:val="004E1268"/>
    <w:rsid w:val="004E13DE"/>
    <w:rsid w:val="004E149E"/>
    <w:rsid w:val="004E150F"/>
    <w:rsid w:val="004E1DF1"/>
    <w:rsid w:val="004E1E95"/>
    <w:rsid w:val="004E20BD"/>
    <w:rsid w:val="004E21D6"/>
    <w:rsid w:val="004E2550"/>
    <w:rsid w:val="004E2729"/>
    <w:rsid w:val="004E27E6"/>
    <w:rsid w:val="004E2963"/>
    <w:rsid w:val="004E2AB6"/>
    <w:rsid w:val="004E2F2D"/>
    <w:rsid w:val="004E334C"/>
    <w:rsid w:val="004E33C4"/>
    <w:rsid w:val="004E3501"/>
    <w:rsid w:val="004E39CE"/>
    <w:rsid w:val="004E3F70"/>
    <w:rsid w:val="004E402A"/>
    <w:rsid w:val="004E4368"/>
    <w:rsid w:val="004E4393"/>
    <w:rsid w:val="004E454E"/>
    <w:rsid w:val="004E4882"/>
    <w:rsid w:val="004E4889"/>
    <w:rsid w:val="004E48A3"/>
    <w:rsid w:val="004E4A9E"/>
    <w:rsid w:val="004E4C50"/>
    <w:rsid w:val="004E4FC0"/>
    <w:rsid w:val="004E501B"/>
    <w:rsid w:val="004E5290"/>
    <w:rsid w:val="004E54FD"/>
    <w:rsid w:val="004E57F7"/>
    <w:rsid w:val="004E5EEE"/>
    <w:rsid w:val="004E61FE"/>
    <w:rsid w:val="004E67E9"/>
    <w:rsid w:val="004E6DAF"/>
    <w:rsid w:val="004E7582"/>
    <w:rsid w:val="004E75A5"/>
    <w:rsid w:val="004E776A"/>
    <w:rsid w:val="004E7B0C"/>
    <w:rsid w:val="004E7BD1"/>
    <w:rsid w:val="004F0095"/>
    <w:rsid w:val="004F0102"/>
    <w:rsid w:val="004F0553"/>
    <w:rsid w:val="004F09C6"/>
    <w:rsid w:val="004F0A0D"/>
    <w:rsid w:val="004F0F48"/>
    <w:rsid w:val="004F1322"/>
    <w:rsid w:val="004F17EB"/>
    <w:rsid w:val="004F19DB"/>
    <w:rsid w:val="004F1EFA"/>
    <w:rsid w:val="004F20BB"/>
    <w:rsid w:val="004F2549"/>
    <w:rsid w:val="004F2A5E"/>
    <w:rsid w:val="004F2A80"/>
    <w:rsid w:val="004F2D49"/>
    <w:rsid w:val="004F2FEA"/>
    <w:rsid w:val="004F3B19"/>
    <w:rsid w:val="004F3C1E"/>
    <w:rsid w:val="004F3C85"/>
    <w:rsid w:val="004F3E1E"/>
    <w:rsid w:val="004F3F89"/>
    <w:rsid w:val="004F468E"/>
    <w:rsid w:val="004F4B17"/>
    <w:rsid w:val="004F51D3"/>
    <w:rsid w:val="004F5220"/>
    <w:rsid w:val="004F5292"/>
    <w:rsid w:val="004F54A1"/>
    <w:rsid w:val="004F556C"/>
    <w:rsid w:val="004F5578"/>
    <w:rsid w:val="004F5589"/>
    <w:rsid w:val="004F5DF6"/>
    <w:rsid w:val="004F5F28"/>
    <w:rsid w:val="004F6172"/>
    <w:rsid w:val="004F6AD4"/>
    <w:rsid w:val="004F6DD8"/>
    <w:rsid w:val="004F6DF9"/>
    <w:rsid w:val="004F6F55"/>
    <w:rsid w:val="004F7630"/>
    <w:rsid w:val="004F76F6"/>
    <w:rsid w:val="004F78FE"/>
    <w:rsid w:val="004F7C13"/>
    <w:rsid w:val="004F7C26"/>
    <w:rsid w:val="0050055B"/>
    <w:rsid w:val="00500872"/>
    <w:rsid w:val="00500993"/>
    <w:rsid w:val="00500C2F"/>
    <w:rsid w:val="00500DA5"/>
    <w:rsid w:val="0050114F"/>
    <w:rsid w:val="00501170"/>
    <w:rsid w:val="005017D8"/>
    <w:rsid w:val="00501AF4"/>
    <w:rsid w:val="00501F92"/>
    <w:rsid w:val="0050203A"/>
    <w:rsid w:val="0050266C"/>
    <w:rsid w:val="005027B3"/>
    <w:rsid w:val="00502896"/>
    <w:rsid w:val="005028F8"/>
    <w:rsid w:val="00502986"/>
    <w:rsid w:val="00502C90"/>
    <w:rsid w:val="00502ED6"/>
    <w:rsid w:val="00502FB4"/>
    <w:rsid w:val="0050322E"/>
    <w:rsid w:val="00503461"/>
    <w:rsid w:val="00503680"/>
    <w:rsid w:val="005039C8"/>
    <w:rsid w:val="00503D13"/>
    <w:rsid w:val="00503F5E"/>
    <w:rsid w:val="00504818"/>
    <w:rsid w:val="00504CD6"/>
    <w:rsid w:val="00504EBA"/>
    <w:rsid w:val="00504FEC"/>
    <w:rsid w:val="0050577D"/>
    <w:rsid w:val="00505CF7"/>
    <w:rsid w:val="00505EB4"/>
    <w:rsid w:val="00505F89"/>
    <w:rsid w:val="00506CA6"/>
    <w:rsid w:val="00506EE2"/>
    <w:rsid w:val="005071C8"/>
    <w:rsid w:val="0050722E"/>
    <w:rsid w:val="00507482"/>
    <w:rsid w:val="00510232"/>
    <w:rsid w:val="005104DE"/>
    <w:rsid w:val="005104F5"/>
    <w:rsid w:val="005109EB"/>
    <w:rsid w:val="00510CA3"/>
    <w:rsid w:val="00511091"/>
    <w:rsid w:val="00511118"/>
    <w:rsid w:val="00511276"/>
    <w:rsid w:val="0051192A"/>
    <w:rsid w:val="005122E2"/>
    <w:rsid w:val="005125FD"/>
    <w:rsid w:val="0051299B"/>
    <w:rsid w:val="005129E1"/>
    <w:rsid w:val="005129F7"/>
    <w:rsid w:val="00512A32"/>
    <w:rsid w:val="00512B62"/>
    <w:rsid w:val="005131BC"/>
    <w:rsid w:val="00513477"/>
    <w:rsid w:val="00513A28"/>
    <w:rsid w:val="00513FB0"/>
    <w:rsid w:val="005148B9"/>
    <w:rsid w:val="00514A3F"/>
    <w:rsid w:val="00514E4C"/>
    <w:rsid w:val="00514F60"/>
    <w:rsid w:val="0051536B"/>
    <w:rsid w:val="0051565D"/>
    <w:rsid w:val="00515843"/>
    <w:rsid w:val="00516048"/>
    <w:rsid w:val="00516158"/>
    <w:rsid w:val="00516242"/>
    <w:rsid w:val="00516343"/>
    <w:rsid w:val="00516480"/>
    <w:rsid w:val="00516804"/>
    <w:rsid w:val="00516846"/>
    <w:rsid w:val="005168D9"/>
    <w:rsid w:val="00516B97"/>
    <w:rsid w:val="0051757B"/>
    <w:rsid w:val="005178BE"/>
    <w:rsid w:val="00517AC6"/>
    <w:rsid w:val="00517C55"/>
    <w:rsid w:val="005202F2"/>
    <w:rsid w:val="00520684"/>
    <w:rsid w:val="005207A3"/>
    <w:rsid w:val="0052091A"/>
    <w:rsid w:val="00520B12"/>
    <w:rsid w:val="00520CAE"/>
    <w:rsid w:val="00520FD5"/>
    <w:rsid w:val="005215D6"/>
    <w:rsid w:val="0052161B"/>
    <w:rsid w:val="00521660"/>
    <w:rsid w:val="0052183E"/>
    <w:rsid w:val="005218E2"/>
    <w:rsid w:val="00522467"/>
    <w:rsid w:val="0052263C"/>
    <w:rsid w:val="0052270D"/>
    <w:rsid w:val="00522908"/>
    <w:rsid w:val="00522BC8"/>
    <w:rsid w:val="00522DBA"/>
    <w:rsid w:val="00523073"/>
    <w:rsid w:val="00523215"/>
    <w:rsid w:val="00523956"/>
    <w:rsid w:val="00523E61"/>
    <w:rsid w:val="00523FA9"/>
    <w:rsid w:val="00524280"/>
    <w:rsid w:val="005243B6"/>
    <w:rsid w:val="005243DA"/>
    <w:rsid w:val="005246E0"/>
    <w:rsid w:val="00524D66"/>
    <w:rsid w:val="00524EDF"/>
    <w:rsid w:val="00524F4C"/>
    <w:rsid w:val="005259AC"/>
    <w:rsid w:val="00525BBD"/>
    <w:rsid w:val="00525D98"/>
    <w:rsid w:val="00525F62"/>
    <w:rsid w:val="00526331"/>
    <w:rsid w:val="0052655C"/>
    <w:rsid w:val="005267D9"/>
    <w:rsid w:val="00526D15"/>
    <w:rsid w:val="00526D93"/>
    <w:rsid w:val="00526F70"/>
    <w:rsid w:val="005270AE"/>
    <w:rsid w:val="005270B4"/>
    <w:rsid w:val="00527340"/>
    <w:rsid w:val="005274EE"/>
    <w:rsid w:val="0052794C"/>
    <w:rsid w:val="005279AE"/>
    <w:rsid w:val="00527CF2"/>
    <w:rsid w:val="00530298"/>
    <w:rsid w:val="00530348"/>
    <w:rsid w:val="005304F5"/>
    <w:rsid w:val="00531232"/>
    <w:rsid w:val="00531617"/>
    <w:rsid w:val="00531737"/>
    <w:rsid w:val="0053173B"/>
    <w:rsid w:val="00531E18"/>
    <w:rsid w:val="005321B0"/>
    <w:rsid w:val="00532542"/>
    <w:rsid w:val="005329B9"/>
    <w:rsid w:val="00532FD9"/>
    <w:rsid w:val="005333AF"/>
    <w:rsid w:val="00533912"/>
    <w:rsid w:val="00533A82"/>
    <w:rsid w:val="0053445B"/>
    <w:rsid w:val="005346F4"/>
    <w:rsid w:val="0053484B"/>
    <w:rsid w:val="0053487B"/>
    <w:rsid w:val="005349B4"/>
    <w:rsid w:val="00534B75"/>
    <w:rsid w:val="00534BA9"/>
    <w:rsid w:val="00534C65"/>
    <w:rsid w:val="00534E3B"/>
    <w:rsid w:val="00535898"/>
    <w:rsid w:val="005359E2"/>
    <w:rsid w:val="00535F97"/>
    <w:rsid w:val="00536074"/>
    <w:rsid w:val="005364D9"/>
    <w:rsid w:val="0053686A"/>
    <w:rsid w:val="00536B57"/>
    <w:rsid w:val="00536DA7"/>
    <w:rsid w:val="00536F22"/>
    <w:rsid w:val="00537576"/>
    <w:rsid w:val="005375AC"/>
    <w:rsid w:val="0053799A"/>
    <w:rsid w:val="0054052C"/>
    <w:rsid w:val="0054068F"/>
    <w:rsid w:val="0054074A"/>
    <w:rsid w:val="0054099E"/>
    <w:rsid w:val="00540AE2"/>
    <w:rsid w:val="00540EB1"/>
    <w:rsid w:val="00540F27"/>
    <w:rsid w:val="00541483"/>
    <w:rsid w:val="00541860"/>
    <w:rsid w:val="005418F0"/>
    <w:rsid w:val="00541DC0"/>
    <w:rsid w:val="00542001"/>
    <w:rsid w:val="00542729"/>
    <w:rsid w:val="00542733"/>
    <w:rsid w:val="0054279C"/>
    <w:rsid w:val="005427E1"/>
    <w:rsid w:val="0054285E"/>
    <w:rsid w:val="00542972"/>
    <w:rsid w:val="00542C41"/>
    <w:rsid w:val="00542EA2"/>
    <w:rsid w:val="0054324D"/>
    <w:rsid w:val="00543271"/>
    <w:rsid w:val="0054359F"/>
    <w:rsid w:val="005438DD"/>
    <w:rsid w:val="00543B0D"/>
    <w:rsid w:val="00543C20"/>
    <w:rsid w:val="00543C4A"/>
    <w:rsid w:val="00543DAF"/>
    <w:rsid w:val="00544637"/>
    <w:rsid w:val="00544B8C"/>
    <w:rsid w:val="00544CE2"/>
    <w:rsid w:val="00544EE5"/>
    <w:rsid w:val="005452C9"/>
    <w:rsid w:val="005452F7"/>
    <w:rsid w:val="00545642"/>
    <w:rsid w:val="00545664"/>
    <w:rsid w:val="005457F3"/>
    <w:rsid w:val="00545A03"/>
    <w:rsid w:val="00545FFE"/>
    <w:rsid w:val="005460E8"/>
    <w:rsid w:val="0054623C"/>
    <w:rsid w:val="0054648D"/>
    <w:rsid w:val="00546BE9"/>
    <w:rsid w:val="00546EB6"/>
    <w:rsid w:val="00547283"/>
    <w:rsid w:val="005474D6"/>
    <w:rsid w:val="0054751B"/>
    <w:rsid w:val="005477A8"/>
    <w:rsid w:val="00547F23"/>
    <w:rsid w:val="00547F29"/>
    <w:rsid w:val="0055000A"/>
    <w:rsid w:val="00550123"/>
    <w:rsid w:val="00550732"/>
    <w:rsid w:val="00550959"/>
    <w:rsid w:val="00550AB5"/>
    <w:rsid w:val="00550B93"/>
    <w:rsid w:val="0055121B"/>
    <w:rsid w:val="0055131E"/>
    <w:rsid w:val="00551508"/>
    <w:rsid w:val="0055162E"/>
    <w:rsid w:val="005517DD"/>
    <w:rsid w:val="00551EF1"/>
    <w:rsid w:val="00552142"/>
    <w:rsid w:val="005523E4"/>
    <w:rsid w:val="00552811"/>
    <w:rsid w:val="00553320"/>
    <w:rsid w:val="005534A6"/>
    <w:rsid w:val="0055373D"/>
    <w:rsid w:val="0055390C"/>
    <w:rsid w:val="005539DE"/>
    <w:rsid w:val="00553AC4"/>
    <w:rsid w:val="00553ED0"/>
    <w:rsid w:val="0055440E"/>
    <w:rsid w:val="005548CE"/>
    <w:rsid w:val="005556BB"/>
    <w:rsid w:val="00555EA2"/>
    <w:rsid w:val="005562DA"/>
    <w:rsid w:val="005563CA"/>
    <w:rsid w:val="0055679E"/>
    <w:rsid w:val="0055690F"/>
    <w:rsid w:val="00556F9B"/>
    <w:rsid w:val="00557655"/>
    <w:rsid w:val="0055788D"/>
    <w:rsid w:val="00557A54"/>
    <w:rsid w:val="00557C79"/>
    <w:rsid w:val="00560239"/>
    <w:rsid w:val="005602F1"/>
    <w:rsid w:val="00560574"/>
    <w:rsid w:val="00560BC1"/>
    <w:rsid w:val="00560F4A"/>
    <w:rsid w:val="005618E9"/>
    <w:rsid w:val="0056195D"/>
    <w:rsid w:val="00561A59"/>
    <w:rsid w:val="00561C3D"/>
    <w:rsid w:val="00561E05"/>
    <w:rsid w:val="00561EA7"/>
    <w:rsid w:val="00562075"/>
    <w:rsid w:val="005622A6"/>
    <w:rsid w:val="005623EC"/>
    <w:rsid w:val="00562516"/>
    <w:rsid w:val="005627A6"/>
    <w:rsid w:val="00562B7F"/>
    <w:rsid w:val="00562E66"/>
    <w:rsid w:val="00562F1A"/>
    <w:rsid w:val="00563120"/>
    <w:rsid w:val="00563318"/>
    <w:rsid w:val="005633D8"/>
    <w:rsid w:val="0056366F"/>
    <w:rsid w:val="00563B9C"/>
    <w:rsid w:val="00563F93"/>
    <w:rsid w:val="00564CD2"/>
    <w:rsid w:val="00565835"/>
    <w:rsid w:val="0056586B"/>
    <w:rsid w:val="00565951"/>
    <w:rsid w:val="00565A21"/>
    <w:rsid w:val="00565C18"/>
    <w:rsid w:val="00565F46"/>
    <w:rsid w:val="005662A4"/>
    <w:rsid w:val="005662AB"/>
    <w:rsid w:val="005663D0"/>
    <w:rsid w:val="00566429"/>
    <w:rsid w:val="0056674A"/>
    <w:rsid w:val="00566A3F"/>
    <w:rsid w:val="00566EC6"/>
    <w:rsid w:val="0056722D"/>
    <w:rsid w:val="00567255"/>
    <w:rsid w:val="00567479"/>
    <w:rsid w:val="0056786C"/>
    <w:rsid w:val="005701DF"/>
    <w:rsid w:val="005702D2"/>
    <w:rsid w:val="005705B4"/>
    <w:rsid w:val="0057063D"/>
    <w:rsid w:val="00570AA8"/>
    <w:rsid w:val="00570C93"/>
    <w:rsid w:val="00570EC1"/>
    <w:rsid w:val="005710A4"/>
    <w:rsid w:val="005710CE"/>
    <w:rsid w:val="00571B9E"/>
    <w:rsid w:val="00571BE3"/>
    <w:rsid w:val="00571D70"/>
    <w:rsid w:val="005720E7"/>
    <w:rsid w:val="00572225"/>
    <w:rsid w:val="005727FC"/>
    <w:rsid w:val="0057318C"/>
    <w:rsid w:val="00573228"/>
    <w:rsid w:val="00573292"/>
    <w:rsid w:val="00573977"/>
    <w:rsid w:val="005739D0"/>
    <w:rsid w:val="00573C72"/>
    <w:rsid w:val="0057402B"/>
    <w:rsid w:val="005741F3"/>
    <w:rsid w:val="005742CF"/>
    <w:rsid w:val="005742D3"/>
    <w:rsid w:val="00574346"/>
    <w:rsid w:val="0057434E"/>
    <w:rsid w:val="00574388"/>
    <w:rsid w:val="005743BF"/>
    <w:rsid w:val="00574581"/>
    <w:rsid w:val="0057460D"/>
    <w:rsid w:val="00574875"/>
    <w:rsid w:val="005748EE"/>
    <w:rsid w:val="00574ED4"/>
    <w:rsid w:val="005752AE"/>
    <w:rsid w:val="0057536E"/>
    <w:rsid w:val="005753B8"/>
    <w:rsid w:val="005755DC"/>
    <w:rsid w:val="005759DC"/>
    <w:rsid w:val="00575BE5"/>
    <w:rsid w:val="00575E6D"/>
    <w:rsid w:val="005764AC"/>
    <w:rsid w:val="005768EA"/>
    <w:rsid w:val="00576ACA"/>
    <w:rsid w:val="00576CEA"/>
    <w:rsid w:val="00576D72"/>
    <w:rsid w:val="0057713A"/>
    <w:rsid w:val="005773E9"/>
    <w:rsid w:val="00577C1F"/>
    <w:rsid w:val="00577C74"/>
    <w:rsid w:val="00577E43"/>
    <w:rsid w:val="0058040F"/>
    <w:rsid w:val="00580422"/>
    <w:rsid w:val="00580531"/>
    <w:rsid w:val="0058054E"/>
    <w:rsid w:val="00580934"/>
    <w:rsid w:val="00580B77"/>
    <w:rsid w:val="00580E36"/>
    <w:rsid w:val="0058122A"/>
    <w:rsid w:val="00581448"/>
    <w:rsid w:val="00581553"/>
    <w:rsid w:val="00581935"/>
    <w:rsid w:val="00581B19"/>
    <w:rsid w:val="00581D1A"/>
    <w:rsid w:val="00581FC8"/>
    <w:rsid w:val="005829AE"/>
    <w:rsid w:val="00582AE9"/>
    <w:rsid w:val="00583027"/>
    <w:rsid w:val="00583062"/>
    <w:rsid w:val="005840BC"/>
    <w:rsid w:val="00584414"/>
    <w:rsid w:val="0058499D"/>
    <w:rsid w:val="005849E5"/>
    <w:rsid w:val="00584AF9"/>
    <w:rsid w:val="0058549F"/>
    <w:rsid w:val="005856E7"/>
    <w:rsid w:val="005857F1"/>
    <w:rsid w:val="005860B5"/>
    <w:rsid w:val="005862F8"/>
    <w:rsid w:val="00586388"/>
    <w:rsid w:val="00586452"/>
    <w:rsid w:val="005869C8"/>
    <w:rsid w:val="005874E9"/>
    <w:rsid w:val="005876B4"/>
    <w:rsid w:val="00587744"/>
    <w:rsid w:val="005878B9"/>
    <w:rsid w:val="00587B27"/>
    <w:rsid w:val="00587EE2"/>
    <w:rsid w:val="00590097"/>
    <w:rsid w:val="0059018D"/>
    <w:rsid w:val="00590248"/>
    <w:rsid w:val="005908E7"/>
    <w:rsid w:val="0059092A"/>
    <w:rsid w:val="00590A7C"/>
    <w:rsid w:val="0059143B"/>
    <w:rsid w:val="00591508"/>
    <w:rsid w:val="00591A3B"/>
    <w:rsid w:val="0059212D"/>
    <w:rsid w:val="00592134"/>
    <w:rsid w:val="0059219D"/>
    <w:rsid w:val="005922EA"/>
    <w:rsid w:val="005926FE"/>
    <w:rsid w:val="0059278B"/>
    <w:rsid w:val="00592846"/>
    <w:rsid w:val="0059346C"/>
    <w:rsid w:val="00593DDD"/>
    <w:rsid w:val="005944FC"/>
    <w:rsid w:val="005945B6"/>
    <w:rsid w:val="00594D2E"/>
    <w:rsid w:val="00594F36"/>
    <w:rsid w:val="00594F8A"/>
    <w:rsid w:val="005952AF"/>
    <w:rsid w:val="005952BD"/>
    <w:rsid w:val="00595334"/>
    <w:rsid w:val="0059553A"/>
    <w:rsid w:val="005956D0"/>
    <w:rsid w:val="0059575A"/>
    <w:rsid w:val="005957FF"/>
    <w:rsid w:val="00595AFA"/>
    <w:rsid w:val="00595E4A"/>
    <w:rsid w:val="00595F71"/>
    <w:rsid w:val="00596172"/>
    <w:rsid w:val="00596706"/>
    <w:rsid w:val="0059697E"/>
    <w:rsid w:val="00596A1E"/>
    <w:rsid w:val="00596A24"/>
    <w:rsid w:val="00596A35"/>
    <w:rsid w:val="00596BEB"/>
    <w:rsid w:val="00597198"/>
    <w:rsid w:val="00597295"/>
    <w:rsid w:val="00597891"/>
    <w:rsid w:val="00597C3A"/>
    <w:rsid w:val="00597D83"/>
    <w:rsid w:val="00597E97"/>
    <w:rsid w:val="00597EEA"/>
    <w:rsid w:val="005A02EB"/>
    <w:rsid w:val="005A03A5"/>
    <w:rsid w:val="005A0799"/>
    <w:rsid w:val="005A09B4"/>
    <w:rsid w:val="005A0A97"/>
    <w:rsid w:val="005A0B3F"/>
    <w:rsid w:val="005A0CC5"/>
    <w:rsid w:val="005A0CF9"/>
    <w:rsid w:val="005A110F"/>
    <w:rsid w:val="005A1402"/>
    <w:rsid w:val="005A1429"/>
    <w:rsid w:val="005A15F5"/>
    <w:rsid w:val="005A1C30"/>
    <w:rsid w:val="005A1E2B"/>
    <w:rsid w:val="005A1FF9"/>
    <w:rsid w:val="005A218E"/>
    <w:rsid w:val="005A2BEE"/>
    <w:rsid w:val="005A3214"/>
    <w:rsid w:val="005A3928"/>
    <w:rsid w:val="005A423A"/>
    <w:rsid w:val="005A4573"/>
    <w:rsid w:val="005A4768"/>
    <w:rsid w:val="005A4994"/>
    <w:rsid w:val="005A4EF4"/>
    <w:rsid w:val="005A51C9"/>
    <w:rsid w:val="005A52F3"/>
    <w:rsid w:val="005A5F5C"/>
    <w:rsid w:val="005A630C"/>
    <w:rsid w:val="005A67BF"/>
    <w:rsid w:val="005A68C1"/>
    <w:rsid w:val="005A68EB"/>
    <w:rsid w:val="005A6F50"/>
    <w:rsid w:val="005A6F7E"/>
    <w:rsid w:val="005A7048"/>
    <w:rsid w:val="005A73A7"/>
    <w:rsid w:val="005A75E0"/>
    <w:rsid w:val="005A7636"/>
    <w:rsid w:val="005A7651"/>
    <w:rsid w:val="005A769A"/>
    <w:rsid w:val="005A79F3"/>
    <w:rsid w:val="005A7EE0"/>
    <w:rsid w:val="005B025F"/>
    <w:rsid w:val="005B034A"/>
    <w:rsid w:val="005B08F5"/>
    <w:rsid w:val="005B0C52"/>
    <w:rsid w:val="005B0C5A"/>
    <w:rsid w:val="005B0FB7"/>
    <w:rsid w:val="005B10BD"/>
    <w:rsid w:val="005B1DF4"/>
    <w:rsid w:val="005B1EF1"/>
    <w:rsid w:val="005B2554"/>
    <w:rsid w:val="005B265F"/>
    <w:rsid w:val="005B29A7"/>
    <w:rsid w:val="005B2BDB"/>
    <w:rsid w:val="005B2D56"/>
    <w:rsid w:val="005B2FFA"/>
    <w:rsid w:val="005B3104"/>
    <w:rsid w:val="005B3199"/>
    <w:rsid w:val="005B3943"/>
    <w:rsid w:val="005B3991"/>
    <w:rsid w:val="005B4041"/>
    <w:rsid w:val="005B4B2C"/>
    <w:rsid w:val="005B4E11"/>
    <w:rsid w:val="005B5C06"/>
    <w:rsid w:val="005B5E25"/>
    <w:rsid w:val="005B60F7"/>
    <w:rsid w:val="005B6414"/>
    <w:rsid w:val="005B6A94"/>
    <w:rsid w:val="005B6A9C"/>
    <w:rsid w:val="005B6E37"/>
    <w:rsid w:val="005B6E47"/>
    <w:rsid w:val="005B6F39"/>
    <w:rsid w:val="005B6FF5"/>
    <w:rsid w:val="005B71C6"/>
    <w:rsid w:val="005B7897"/>
    <w:rsid w:val="005C01C3"/>
    <w:rsid w:val="005C01E3"/>
    <w:rsid w:val="005C03DD"/>
    <w:rsid w:val="005C043C"/>
    <w:rsid w:val="005C0559"/>
    <w:rsid w:val="005C076D"/>
    <w:rsid w:val="005C09DF"/>
    <w:rsid w:val="005C0A0E"/>
    <w:rsid w:val="005C0D5D"/>
    <w:rsid w:val="005C1078"/>
    <w:rsid w:val="005C1490"/>
    <w:rsid w:val="005C1621"/>
    <w:rsid w:val="005C1748"/>
    <w:rsid w:val="005C1767"/>
    <w:rsid w:val="005C1947"/>
    <w:rsid w:val="005C1B84"/>
    <w:rsid w:val="005C1D70"/>
    <w:rsid w:val="005C22EF"/>
    <w:rsid w:val="005C271B"/>
    <w:rsid w:val="005C2727"/>
    <w:rsid w:val="005C277F"/>
    <w:rsid w:val="005C28A5"/>
    <w:rsid w:val="005C2BD7"/>
    <w:rsid w:val="005C2D6C"/>
    <w:rsid w:val="005C3958"/>
    <w:rsid w:val="005C40A1"/>
    <w:rsid w:val="005C42D0"/>
    <w:rsid w:val="005C4586"/>
    <w:rsid w:val="005C4619"/>
    <w:rsid w:val="005C48D9"/>
    <w:rsid w:val="005C4CB5"/>
    <w:rsid w:val="005C5BD9"/>
    <w:rsid w:val="005C6950"/>
    <w:rsid w:val="005C696D"/>
    <w:rsid w:val="005C6D50"/>
    <w:rsid w:val="005C73EB"/>
    <w:rsid w:val="005C7504"/>
    <w:rsid w:val="005C768D"/>
    <w:rsid w:val="005C7822"/>
    <w:rsid w:val="005C7C1A"/>
    <w:rsid w:val="005C7E46"/>
    <w:rsid w:val="005C7E5F"/>
    <w:rsid w:val="005D048D"/>
    <w:rsid w:val="005D07D7"/>
    <w:rsid w:val="005D0D2B"/>
    <w:rsid w:val="005D0D6B"/>
    <w:rsid w:val="005D0E40"/>
    <w:rsid w:val="005D0F25"/>
    <w:rsid w:val="005D1016"/>
    <w:rsid w:val="005D141F"/>
    <w:rsid w:val="005D1568"/>
    <w:rsid w:val="005D1D72"/>
    <w:rsid w:val="005D2A5F"/>
    <w:rsid w:val="005D2BC2"/>
    <w:rsid w:val="005D2D3B"/>
    <w:rsid w:val="005D32B0"/>
    <w:rsid w:val="005D36D3"/>
    <w:rsid w:val="005D3D67"/>
    <w:rsid w:val="005D3F4F"/>
    <w:rsid w:val="005D400B"/>
    <w:rsid w:val="005D406B"/>
    <w:rsid w:val="005D42CA"/>
    <w:rsid w:val="005D46EC"/>
    <w:rsid w:val="005D4C0E"/>
    <w:rsid w:val="005D4CCC"/>
    <w:rsid w:val="005D4DA6"/>
    <w:rsid w:val="005D53C2"/>
    <w:rsid w:val="005D558B"/>
    <w:rsid w:val="005D61D3"/>
    <w:rsid w:val="005D6419"/>
    <w:rsid w:val="005D686E"/>
    <w:rsid w:val="005D6BE7"/>
    <w:rsid w:val="005D6C7F"/>
    <w:rsid w:val="005D6F0D"/>
    <w:rsid w:val="005D72AC"/>
    <w:rsid w:val="005D7312"/>
    <w:rsid w:val="005D757C"/>
    <w:rsid w:val="005D7668"/>
    <w:rsid w:val="005D7E72"/>
    <w:rsid w:val="005E0061"/>
    <w:rsid w:val="005E01BC"/>
    <w:rsid w:val="005E0296"/>
    <w:rsid w:val="005E0472"/>
    <w:rsid w:val="005E0771"/>
    <w:rsid w:val="005E0BEC"/>
    <w:rsid w:val="005E1395"/>
    <w:rsid w:val="005E16D4"/>
    <w:rsid w:val="005E17F4"/>
    <w:rsid w:val="005E1B14"/>
    <w:rsid w:val="005E1E2B"/>
    <w:rsid w:val="005E1E95"/>
    <w:rsid w:val="005E2369"/>
    <w:rsid w:val="005E237B"/>
    <w:rsid w:val="005E262B"/>
    <w:rsid w:val="005E26A6"/>
    <w:rsid w:val="005E27C3"/>
    <w:rsid w:val="005E27E7"/>
    <w:rsid w:val="005E2F10"/>
    <w:rsid w:val="005E2FF5"/>
    <w:rsid w:val="005E30B8"/>
    <w:rsid w:val="005E385B"/>
    <w:rsid w:val="005E39DA"/>
    <w:rsid w:val="005E3B7C"/>
    <w:rsid w:val="005E3EC4"/>
    <w:rsid w:val="005E40BF"/>
    <w:rsid w:val="005E4113"/>
    <w:rsid w:val="005E42EC"/>
    <w:rsid w:val="005E431D"/>
    <w:rsid w:val="005E43F0"/>
    <w:rsid w:val="005E4C78"/>
    <w:rsid w:val="005E4F34"/>
    <w:rsid w:val="005E4FB0"/>
    <w:rsid w:val="005E50DC"/>
    <w:rsid w:val="005E51A9"/>
    <w:rsid w:val="005E5594"/>
    <w:rsid w:val="005E57E3"/>
    <w:rsid w:val="005E5828"/>
    <w:rsid w:val="005E58CF"/>
    <w:rsid w:val="005E5B12"/>
    <w:rsid w:val="005E5E9E"/>
    <w:rsid w:val="005E6088"/>
    <w:rsid w:val="005E6101"/>
    <w:rsid w:val="005E61C9"/>
    <w:rsid w:val="005E6352"/>
    <w:rsid w:val="005E64B5"/>
    <w:rsid w:val="005E6617"/>
    <w:rsid w:val="005E6EBD"/>
    <w:rsid w:val="005E6F80"/>
    <w:rsid w:val="005E70E7"/>
    <w:rsid w:val="005E7952"/>
    <w:rsid w:val="005E7BB7"/>
    <w:rsid w:val="005F006F"/>
    <w:rsid w:val="005F01CD"/>
    <w:rsid w:val="005F07D8"/>
    <w:rsid w:val="005F0D89"/>
    <w:rsid w:val="005F0E72"/>
    <w:rsid w:val="005F1427"/>
    <w:rsid w:val="005F1F08"/>
    <w:rsid w:val="005F23AD"/>
    <w:rsid w:val="005F3091"/>
    <w:rsid w:val="005F339F"/>
    <w:rsid w:val="005F34AE"/>
    <w:rsid w:val="005F3685"/>
    <w:rsid w:val="005F38BC"/>
    <w:rsid w:val="005F3AD1"/>
    <w:rsid w:val="005F4119"/>
    <w:rsid w:val="005F446F"/>
    <w:rsid w:val="005F46D4"/>
    <w:rsid w:val="005F470C"/>
    <w:rsid w:val="005F48D9"/>
    <w:rsid w:val="005F521F"/>
    <w:rsid w:val="005F536B"/>
    <w:rsid w:val="005F5509"/>
    <w:rsid w:val="005F578B"/>
    <w:rsid w:val="005F5BAD"/>
    <w:rsid w:val="005F5D86"/>
    <w:rsid w:val="005F6016"/>
    <w:rsid w:val="005F65D6"/>
    <w:rsid w:val="005F68E7"/>
    <w:rsid w:val="005F6FBE"/>
    <w:rsid w:val="005F708B"/>
    <w:rsid w:val="005F76E6"/>
    <w:rsid w:val="005F77ED"/>
    <w:rsid w:val="005F7A43"/>
    <w:rsid w:val="005F7BF5"/>
    <w:rsid w:val="005F7D8B"/>
    <w:rsid w:val="0060023C"/>
    <w:rsid w:val="006003BF"/>
    <w:rsid w:val="00600497"/>
    <w:rsid w:val="00600921"/>
    <w:rsid w:val="00600D06"/>
    <w:rsid w:val="00600F6F"/>
    <w:rsid w:val="006010B5"/>
    <w:rsid w:val="00601320"/>
    <w:rsid w:val="006017E2"/>
    <w:rsid w:val="00601D23"/>
    <w:rsid w:val="00601F55"/>
    <w:rsid w:val="006020B2"/>
    <w:rsid w:val="006021DF"/>
    <w:rsid w:val="006023F8"/>
    <w:rsid w:val="0060282D"/>
    <w:rsid w:val="00602A93"/>
    <w:rsid w:val="00602AD7"/>
    <w:rsid w:val="00602E53"/>
    <w:rsid w:val="0060312C"/>
    <w:rsid w:val="00603356"/>
    <w:rsid w:val="00603412"/>
    <w:rsid w:val="00603676"/>
    <w:rsid w:val="00603680"/>
    <w:rsid w:val="00604046"/>
    <w:rsid w:val="00604154"/>
    <w:rsid w:val="00604ABB"/>
    <w:rsid w:val="00605241"/>
    <w:rsid w:val="00605B20"/>
    <w:rsid w:val="00605DA8"/>
    <w:rsid w:val="00606669"/>
    <w:rsid w:val="00606853"/>
    <w:rsid w:val="006068DE"/>
    <w:rsid w:val="00606AFC"/>
    <w:rsid w:val="00606FB0"/>
    <w:rsid w:val="00607122"/>
    <w:rsid w:val="0060740E"/>
    <w:rsid w:val="00607E31"/>
    <w:rsid w:val="006105C7"/>
    <w:rsid w:val="00610798"/>
    <w:rsid w:val="006107EF"/>
    <w:rsid w:val="006109D2"/>
    <w:rsid w:val="006111EE"/>
    <w:rsid w:val="0061127F"/>
    <w:rsid w:val="00611406"/>
    <w:rsid w:val="00611855"/>
    <w:rsid w:val="006119C3"/>
    <w:rsid w:val="00611EBC"/>
    <w:rsid w:val="00611F44"/>
    <w:rsid w:val="00611F7B"/>
    <w:rsid w:val="0061237B"/>
    <w:rsid w:val="006128A6"/>
    <w:rsid w:val="006129D0"/>
    <w:rsid w:val="00612A0C"/>
    <w:rsid w:val="00613584"/>
    <w:rsid w:val="0061366C"/>
    <w:rsid w:val="00613D46"/>
    <w:rsid w:val="00613D4E"/>
    <w:rsid w:val="00613DA8"/>
    <w:rsid w:val="00613E18"/>
    <w:rsid w:val="00614535"/>
    <w:rsid w:val="00614566"/>
    <w:rsid w:val="00614DD4"/>
    <w:rsid w:val="0061512B"/>
    <w:rsid w:val="006153CE"/>
    <w:rsid w:val="00615563"/>
    <w:rsid w:val="00615747"/>
    <w:rsid w:val="00615A4E"/>
    <w:rsid w:val="00615BD6"/>
    <w:rsid w:val="00615D5F"/>
    <w:rsid w:val="00615E44"/>
    <w:rsid w:val="00616B9E"/>
    <w:rsid w:val="00616EF4"/>
    <w:rsid w:val="00616F66"/>
    <w:rsid w:val="0061702F"/>
    <w:rsid w:val="006176B8"/>
    <w:rsid w:val="006178E5"/>
    <w:rsid w:val="0062036F"/>
    <w:rsid w:val="00620413"/>
    <w:rsid w:val="0062092C"/>
    <w:rsid w:val="00620A0C"/>
    <w:rsid w:val="00620B40"/>
    <w:rsid w:val="006212E6"/>
    <w:rsid w:val="006219BD"/>
    <w:rsid w:val="00621E98"/>
    <w:rsid w:val="00622085"/>
    <w:rsid w:val="0062218F"/>
    <w:rsid w:val="0062220D"/>
    <w:rsid w:val="006223D2"/>
    <w:rsid w:val="00622767"/>
    <w:rsid w:val="00622918"/>
    <w:rsid w:val="006229D4"/>
    <w:rsid w:val="00622BC0"/>
    <w:rsid w:val="00622C54"/>
    <w:rsid w:val="00622FCB"/>
    <w:rsid w:val="00623738"/>
    <w:rsid w:val="00623790"/>
    <w:rsid w:val="00623965"/>
    <w:rsid w:val="00623CD2"/>
    <w:rsid w:val="00623E7F"/>
    <w:rsid w:val="00623E8F"/>
    <w:rsid w:val="0062400E"/>
    <w:rsid w:val="006240A3"/>
    <w:rsid w:val="0062436F"/>
    <w:rsid w:val="00624828"/>
    <w:rsid w:val="00624D16"/>
    <w:rsid w:val="0062532A"/>
    <w:rsid w:val="00625C47"/>
    <w:rsid w:val="00626014"/>
    <w:rsid w:val="00626AC8"/>
    <w:rsid w:val="00626C6A"/>
    <w:rsid w:val="00626EB4"/>
    <w:rsid w:val="00627114"/>
    <w:rsid w:val="006272C5"/>
    <w:rsid w:val="006274F7"/>
    <w:rsid w:val="0062763B"/>
    <w:rsid w:val="00627964"/>
    <w:rsid w:val="00627B0C"/>
    <w:rsid w:val="00630012"/>
    <w:rsid w:val="0063037F"/>
    <w:rsid w:val="006304EB"/>
    <w:rsid w:val="00630535"/>
    <w:rsid w:val="0063094B"/>
    <w:rsid w:val="00631299"/>
    <w:rsid w:val="006312DC"/>
    <w:rsid w:val="00631661"/>
    <w:rsid w:val="00631695"/>
    <w:rsid w:val="0063194E"/>
    <w:rsid w:val="00631F48"/>
    <w:rsid w:val="00631F52"/>
    <w:rsid w:val="00631FAC"/>
    <w:rsid w:val="00632002"/>
    <w:rsid w:val="00632100"/>
    <w:rsid w:val="00632245"/>
    <w:rsid w:val="0063237F"/>
    <w:rsid w:val="00632590"/>
    <w:rsid w:val="006328EF"/>
    <w:rsid w:val="00632D2C"/>
    <w:rsid w:val="00632D82"/>
    <w:rsid w:val="00633420"/>
    <w:rsid w:val="00633462"/>
    <w:rsid w:val="006337EA"/>
    <w:rsid w:val="006340B9"/>
    <w:rsid w:val="00634210"/>
    <w:rsid w:val="0063461D"/>
    <w:rsid w:val="00634903"/>
    <w:rsid w:val="00634A15"/>
    <w:rsid w:val="00634A84"/>
    <w:rsid w:val="00634DAB"/>
    <w:rsid w:val="00634F12"/>
    <w:rsid w:val="00634FC7"/>
    <w:rsid w:val="00634FD1"/>
    <w:rsid w:val="006356BA"/>
    <w:rsid w:val="006361BC"/>
    <w:rsid w:val="00636531"/>
    <w:rsid w:val="00636659"/>
    <w:rsid w:val="00636AB3"/>
    <w:rsid w:val="00636B4A"/>
    <w:rsid w:val="00636D3D"/>
    <w:rsid w:val="00636D5D"/>
    <w:rsid w:val="0063728A"/>
    <w:rsid w:val="006373F1"/>
    <w:rsid w:val="00637941"/>
    <w:rsid w:val="00637E48"/>
    <w:rsid w:val="00640159"/>
    <w:rsid w:val="00640245"/>
    <w:rsid w:val="006402C7"/>
    <w:rsid w:val="006406D8"/>
    <w:rsid w:val="00640909"/>
    <w:rsid w:val="00640A26"/>
    <w:rsid w:val="006410F0"/>
    <w:rsid w:val="006414F2"/>
    <w:rsid w:val="00641529"/>
    <w:rsid w:val="006418B6"/>
    <w:rsid w:val="00641D09"/>
    <w:rsid w:val="0064211E"/>
    <w:rsid w:val="0064284B"/>
    <w:rsid w:val="0064291B"/>
    <w:rsid w:val="00642C27"/>
    <w:rsid w:val="00642F76"/>
    <w:rsid w:val="0064308B"/>
    <w:rsid w:val="006433F1"/>
    <w:rsid w:val="00643699"/>
    <w:rsid w:val="0064398B"/>
    <w:rsid w:val="006439A2"/>
    <w:rsid w:val="00643C9A"/>
    <w:rsid w:val="006442F7"/>
    <w:rsid w:val="0064481B"/>
    <w:rsid w:val="00644B37"/>
    <w:rsid w:val="00644B8C"/>
    <w:rsid w:val="00644BF3"/>
    <w:rsid w:val="006452B0"/>
    <w:rsid w:val="00645BE3"/>
    <w:rsid w:val="00645F63"/>
    <w:rsid w:val="006462CD"/>
    <w:rsid w:val="006464E3"/>
    <w:rsid w:val="0064667E"/>
    <w:rsid w:val="00646873"/>
    <w:rsid w:val="00646B73"/>
    <w:rsid w:val="00646D98"/>
    <w:rsid w:val="00646F65"/>
    <w:rsid w:val="00647046"/>
    <w:rsid w:val="006471B0"/>
    <w:rsid w:val="006474A9"/>
    <w:rsid w:val="0064751E"/>
    <w:rsid w:val="006476D3"/>
    <w:rsid w:val="00647F29"/>
    <w:rsid w:val="00647F54"/>
    <w:rsid w:val="0065062F"/>
    <w:rsid w:val="00650B52"/>
    <w:rsid w:val="00650B86"/>
    <w:rsid w:val="00650BB9"/>
    <w:rsid w:val="00650F0B"/>
    <w:rsid w:val="00650FE1"/>
    <w:rsid w:val="00651291"/>
    <w:rsid w:val="0065168F"/>
    <w:rsid w:val="00651771"/>
    <w:rsid w:val="00651874"/>
    <w:rsid w:val="0065187A"/>
    <w:rsid w:val="00651EB0"/>
    <w:rsid w:val="0065280E"/>
    <w:rsid w:val="00652842"/>
    <w:rsid w:val="0065349F"/>
    <w:rsid w:val="00653553"/>
    <w:rsid w:val="00653917"/>
    <w:rsid w:val="00653A4D"/>
    <w:rsid w:val="00653EEA"/>
    <w:rsid w:val="0065423E"/>
    <w:rsid w:val="00654290"/>
    <w:rsid w:val="0065457E"/>
    <w:rsid w:val="006549B7"/>
    <w:rsid w:val="00654CF2"/>
    <w:rsid w:val="00654F19"/>
    <w:rsid w:val="0065539A"/>
    <w:rsid w:val="006560ED"/>
    <w:rsid w:val="006561CB"/>
    <w:rsid w:val="0065690E"/>
    <w:rsid w:val="0065696C"/>
    <w:rsid w:val="00656AFE"/>
    <w:rsid w:val="00656F30"/>
    <w:rsid w:val="00657069"/>
    <w:rsid w:val="006572AB"/>
    <w:rsid w:val="00657663"/>
    <w:rsid w:val="00657A5C"/>
    <w:rsid w:val="00657C98"/>
    <w:rsid w:val="006602B5"/>
    <w:rsid w:val="00660511"/>
    <w:rsid w:val="006605B8"/>
    <w:rsid w:val="006608E3"/>
    <w:rsid w:val="00660C6B"/>
    <w:rsid w:val="00660E46"/>
    <w:rsid w:val="00660EA0"/>
    <w:rsid w:val="0066150B"/>
    <w:rsid w:val="00661DF0"/>
    <w:rsid w:val="00661E8D"/>
    <w:rsid w:val="00662057"/>
    <w:rsid w:val="006621FD"/>
    <w:rsid w:val="00662235"/>
    <w:rsid w:val="00662374"/>
    <w:rsid w:val="00662531"/>
    <w:rsid w:val="00662B75"/>
    <w:rsid w:val="00662C08"/>
    <w:rsid w:val="00662F2F"/>
    <w:rsid w:val="0066302A"/>
    <w:rsid w:val="00663AF4"/>
    <w:rsid w:val="00663B00"/>
    <w:rsid w:val="00663B27"/>
    <w:rsid w:val="00664161"/>
    <w:rsid w:val="0066425F"/>
    <w:rsid w:val="00664477"/>
    <w:rsid w:val="00664C74"/>
    <w:rsid w:val="0066538D"/>
    <w:rsid w:val="00665443"/>
    <w:rsid w:val="00665554"/>
    <w:rsid w:val="006655EF"/>
    <w:rsid w:val="00665AD9"/>
    <w:rsid w:val="00665B77"/>
    <w:rsid w:val="00665D6A"/>
    <w:rsid w:val="006663CB"/>
    <w:rsid w:val="0066648D"/>
    <w:rsid w:val="00666930"/>
    <w:rsid w:val="00666ED4"/>
    <w:rsid w:val="00667357"/>
    <w:rsid w:val="006678F5"/>
    <w:rsid w:val="00667BD5"/>
    <w:rsid w:val="00667BEE"/>
    <w:rsid w:val="00670304"/>
    <w:rsid w:val="00670529"/>
    <w:rsid w:val="006709A3"/>
    <w:rsid w:val="00670FE8"/>
    <w:rsid w:val="00671081"/>
    <w:rsid w:val="00671459"/>
    <w:rsid w:val="0067160B"/>
    <w:rsid w:val="00671830"/>
    <w:rsid w:val="00671ACB"/>
    <w:rsid w:val="00671B1C"/>
    <w:rsid w:val="00671B56"/>
    <w:rsid w:val="00671BB5"/>
    <w:rsid w:val="00671E1A"/>
    <w:rsid w:val="00671EA6"/>
    <w:rsid w:val="00671F08"/>
    <w:rsid w:val="0067232F"/>
    <w:rsid w:val="00672426"/>
    <w:rsid w:val="00672710"/>
    <w:rsid w:val="00672CDE"/>
    <w:rsid w:val="00672FA8"/>
    <w:rsid w:val="006730CD"/>
    <w:rsid w:val="006733D0"/>
    <w:rsid w:val="0067377C"/>
    <w:rsid w:val="006737F1"/>
    <w:rsid w:val="006738EE"/>
    <w:rsid w:val="00673EF0"/>
    <w:rsid w:val="00674B59"/>
    <w:rsid w:val="006751FA"/>
    <w:rsid w:val="0067521A"/>
    <w:rsid w:val="00675961"/>
    <w:rsid w:val="00675FB9"/>
    <w:rsid w:val="0067601B"/>
    <w:rsid w:val="00676095"/>
    <w:rsid w:val="00676270"/>
    <w:rsid w:val="0067689F"/>
    <w:rsid w:val="00676CAC"/>
    <w:rsid w:val="0067711F"/>
    <w:rsid w:val="00677A46"/>
    <w:rsid w:val="00677B86"/>
    <w:rsid w:val="0068031E"/>
    <w:rsid w:val="006805FF"/>
    <w:rsid w:val="00680669"/>
    <w:rsid w:val="00680B7F"/>
    <w:rsid w:val="00680E9A"/>
    <w:rsid w:val="00681070"/>
    <w:rsid w:val="006814B6"/>
    <w:rsid w:val="00681D23"/>
    <w:rsid w:val="00681D37"/>
    <w:rsid w:val="00681DED"/>
    <w:rsid w:val="006822AA"/>
    <w:rsid w:val="00682345"/>
    <w:rsid w:val="0068235D"/>
    <w:rsid w:val="00682656"/>
    <w:rsid w:val="006826E5"/>
    <w:rsid w:val="006829C9"/>
    <w:rsid w:val="00682B5F"/>
    <w:rsid w:val="00682C9E"/>
    <w:rsid w:val="00682CF5"/>
    <w:rsid w:val="00682EC8"/>
    <w:rsid w:val="0068309D"/>
    <w:rsid w:val="006831BE"/>
    <w:rsid w:val="0068324F"/>
    <w:rsid w:val="006832A2"/>
    <w:rsid w:val="006832AA"/>
    <w:rsid w:val="006832BE"/>
    <w:rsid w:val="0068383A"/>
    <w:rsid w:val="00683B19"/>
    <w:rsid w:val="00683F3A"/>
    <w:rsid w:val="0068435C"/>
    <w:rsid w:val="00684625"/>
    <w:rsid w:val="00684888"/>
    <w:rsid w:val="00684890"/>
    <w:rsid w:val="006849F6"/>
    <w:rsid w:val="00684BB4"/>
    <w:rsid w:val="00684FB4"/>
    <w:rsid w:val="00685492"/>
    <w:rsid w:val="0068564B"/>
    <w:rsid w:val="00685A5F"/>
    <w:rsid w:val="00686785"/>
    <w:rsid w:val="00686D38"/>
    <w:rsid w:val="00686D70"/>
    <w:rsid w:val="00687101"/>
    <w:rsid w:val="00687B1C"/>
    <w:rsid w:val="00687D72"/>
    <w:rsid w:val="00690134"/>
    <w:rsid w:val="0069022E"/>
    <w:rsid w:val="006906F1"/>
    <w:rsid w:val="00690E42"/>
    <w:rsid w:val="006911FF"/>
    <w:rsid w:val="0069120A"/>
    <w:rsid w:val="00691229"/>
    <w:rsid w:val="00691342"/>
    <w:rsid w:val="00691959"/>
    <w:rsid w:val="00691DFF"/>
    <w:rsid w:val="00692353"/>
    <w:rsid w:val="006926EB"/>
    <w:rsid w:val="00692DD1"/>
    <w:rsid w:val="0069322D"/>
    <w:rsid w:val="00693288"/>
    <w:rsid w:val="0069334D"/>
    <w:rsid w:val="00693ADE"/>
    <w:rsid w:val="00693AE8"/>
    <w:rsid w:val="00693C43"/>
    <w:rsid w:val="00693D9B"/>
    <w:rsid w:val="00693E8E"/>
    <w:rsid w:val="006941AE"/>
    <w:rsid w:val="00694B70"/>
    <w:rsid w:val="00694C76"/>
    <w:rsid w:val="00694D7D"/>
    <w:rsid w:val="00694DE8"/>
    <w:rsid w:val="006952F8"/>
    <w:rsid w:val="0069540E"/>
    <w:rsid w:val="00695BEA"/>
    <w:rsid w:val="00695EBA"/>
    <w:rsid w:val="006962D7"/>
    <w:rsid w:val="00696609"/>
    <w:rsid w:val="00696708"/>
    <w:rsid w:val="00696DE6"/>
    <w:rsid w:val="00696E9C"/>
    <w:rsid w:val="00696F28"/>
    <w:rsid w:val="00696F59"/>
    <w:rsid w:val="0069720B"/>
    <w:rsid w:val="006972E0"/>
    <w:rsid w:val="00697939"/>
    <w:rsid w:val="006A0516"/>
    <w:rsid w:val="006A0979"/>
    <w:rsid w:val="006A09D6"/>
    <w:rsid w:val="006A0A4A"/>
    <w:rsid w:val="006A0E05"/>
    <w:rsid w:val="006A0FD6"/>
    <w:rsid w:val="006A1388"/>
    <w:rsid w:val="006A1989"/>
    <w:rsid w:val="006A1D1C"/>
    <w:rsid w:val="006A1E28"/>
    <w:rsid w:val="006A1E55"/>
    <w:rsid w:val="006A1E58"/>
    <w:rsid w:val="006A22C2"/>
    <w:rsid w:val="006A2B09"/>
    <w:rsid w:val="006A2DFC"/>
    <w:rsid w:val="006A3356"/>
    <w:rsid w:val="006A3A5A"/>
    <w:rsid w:val="006A3BA4"/>
    <w:rsid w:val="006A40D8"/>
    <w:rsid w:val="006A47B1"/>
    <w:rsid w:val="006A49AE"/>
    <w:rsid w:val="006A4AFF"/>
    <w:rsid w:val="006A4D78"/>
    <w:rsid w:val="006A4DD7"/>
    <w:rsid w:val="006A5081"/>
    <w:rsid w:val="006A5231"/>
    <w:rsid w:val="006A52B9"/>
    <w:rsid w:val="006A5562"/>
    <w:rsid w:val="006A576D"/>
    <w:rsid w:val="006A57C0"/>
    <w:rsid w:val="006A57C4"/>
    <w:rsid w:val="006A5B6D"/>
    <w:rsid w:val="006A5D0F"/>
    <w:rsid w:val="006A611A"/>
    <w:rsid w:val="006A65A5"/>
    <w:rsid w:val="006A65AB"/>
    <w:rsid w:val="006A6CFF"/>
    <w:rsid w:val="006A754F"/>
    <w:rsid w:val="006A755B"/>
    <w:rsid w:val="006A7B5C"/>
    <w:rsid w:val="006B014A"/>
    <w:rsid w:val="006B03C9"/>
    <w:rsid w:val="006B06A0"/>
    <w:rsid w:val="006B0790"/>
    <w:rsid w:val="006B08CD"/>
    <w:rsid w:val="006B09A9"/>
    <w:rsid w:val="006B0CBD"/>
    <w:rsid w:val="006B0DD4"/>
    <w:rsid w:val="006B0F81"/>
    <w:rsid w:val="006B122E"/>
    <w:rsid w:val="006B1442"/>
    <w:rsid w:val="006B174A"/>
    <w:rsid w:val="006B1C23"/>
    <w:rsid w:val="006B2037"/>
    <w:rsid w:val="006B2239"/>
    <w:rsid w:val="006B2374"/>
    <w:rsid w:val="006B270F"/>
    <w:rsid w:val="006B2F1A"/>
    <w:rsid w:val="006B317D"/>
    <w:rsid w:val="006B3A4A"/>
    <w:rsid w:val="006B3EDF"/>
    <w:rsid w:val="006B3F9A"/>
    <w:rsid w:val="006B4284"/>
    <w:rsid w:val="006B451C"/>
    <w:rsid w:val="006B4836"/>
    <w:rsid w:val="006B4DC5"/>
    <w:rsid w:val="006B4DCB"/>
    <w:rsid w:val="006B4F71"/>
    <w:rsid w:val="006B5E7F"/>
    <w:rsid w:val="006B5F50"/>
    <w:rsid w:val="006B60EF"/>
    <w:rsid w:val="006B6410"/>
    <w:rsid w:val="006B6B74"/>
    <w:rsid w:val="006B6C5C"/>
    <w:rsid w:val="006B6F60"/>
    <w:rsid w:val="006B7258"/>
    <w:rsid w:val="006B7AA9"/>
    <w:rsid w:val="006B7ADC"/>
    <w:rsid w:val="006C0002"/>
    <w:rsid w:val="006C04E6"/>
    <w:rsid w:val="006C04EE"/>
    <w:rsid w:val="006C058D"/>
    <w:rsid w:val="006C0EB9"/>
    <w:rsid w:val="006C0EC9"/>
    <w:rsid w:val="006C1277"/>
    <w:rsid w:val="006C1316"/>
    <w:rsid w:val="006C1480"/>
    <w:rsid w:val="006C1675"/>
    <w:rsid w:val="006C187F"/>
    <w:rsid w:val="006C18E7"/>
    <w:rsid w:val="006C1F1B"/>
    <w:rsid w:val="006C279E"/>
    <w:rsid w:val="006C2E91"/>
    <w:rsid w:val="006C2ED3"/>
    <w:rsid w:val="006C320C"/>
    <w:rsid w:val="006C322B"/>
    <w:rsid w:val="006C34C0"/>
    <w:rsid w:val="006C3C54"/>
    <w:rsid w:val="006C3D7F"/>
    <w:rsid w:val="006C3E9C"/>
    <w:rsid w:val="006C453A"/>
    <w:rsid w:val="006C4777"/>
    <w:rsid w:val="006C4B1B"/>
    <w:rsid w:val="006C4B67"/>
    <w:rsid w:val="006C52EE"/>
    <w:rsid w:val="006C558B"/>
    <w:rsid w:val="006C579D"/>
    <w:rsid w:val="006C5917"/>
    <w:rsid w:val="006C5ACC"/>
    <w:rsid w:val="006C5C75"/>
    <w:rsid w:val="006C5E2E"/>
    <w:rsid w:val="006C5E3A"/>
    <w:rsid w:val="006C5F62"/>
    <w:rsid w:val="006C67E5"/>
    <w:rsid w:val="006C6B3A"/>
    <w:rsid w:val="006C74FF"/>
    <w:rsid w:val="006C79C7"/>
    <w:rsid w:val="006C7D2B"/>
    <w:rsid w:val="006C7F04"/>
    <w:rsid w:val="006D0362"/>
    <w:rsid w:val="006D078C"/>
    <w:rsid w:val="006D093A"/>
    <w:rsid w:val="006D09BD"/>
    <w:rsid w:val="006D0C21"/>
    <w:rsid w:val="006D0CA6"/>
    <w:rsid w:val="006D0F49"/>
    <w:rsid w:val="006D0FAC"/>
    <w:rsid w:val="006D10D2"/>
    <w:rsid w:val="006D158E"/>
    <w:rsid w:val="006D15C8"/>
    <w:rsid w:val="006D2C87"/>
    <w:rsid w:val="006D37BC"/>
    <w:rsid w:val="006D384A"/>
    <w:rsid w:val="006D38E5"/>
    <w:rsid w:val="006D3CDC"/>
    <w:rsid w:val="006D3D24"/>
    <w:rsid w:val="006D3E64"/>
    <w:rsid w:val="006D40D4"/>
    <w:rsid w:val="006D4168"/>
    <w:rsid w:val="006D442F"/>
    <w:rsid w:val="006D484B"/>
    <w:rsid w:val="006D48B2"/>
    <w:rsid w:val="006D4A3C"/>
    <w:rsid w:val="006D54AE"/>
    <w:rsid w:val="006D555D"/>
    <w:rsid w:val="006D571D"/>
    <w:rsid w:val="006D5D00"/>
    <w:rsid w:val="006D5D06"/>
    <w:rsid w:val="006D6005"/>
    <w:rsid w:val="006D628A"/>
    <w:rsid w:val="006D65F1"/>
    <w:rsid w:val="006D6752"/>
    <w:rsid w:val="006D698E"/>
    <w:rsid w:val="006D76A4"/>
    <w:rsid w:val="006D76A5"/>
    <w:rsid w:val="006D7B40"/>
    <w:rsid w:val="006D7C53"/>
    <w:rsid w:val="006D7CA0"/>
    <w:rsid w:val="006D7FC0"/>
    <w:rsid w:val="006E00AE"/>
    <w:rsid w:val="006E021E"/>
    <w:rsid w:val="006E036F"/>
    <w:rsid w:val="006E05B3"/>
    <w:rsid w:val="006E065C"/>
    <w:rsid w:val="006E0BC0"/>
    <w:rsid w:val="006E12D3"/>
    <w:rsid w:val="006E16A5"/>
    <w:rsid w:val="006E1A7B"/>
    <w:rsid w:val="006E1BB2"/>
    <w:rsid w:val="006E1C12"/>
    <w:rsid w:val="006E1CCC"/>
    <w:rsid w:val="006E2086"/>
    <w:rsid w:val="006E22F3"/>
    <w:rsid w:val="006E2623"/>
    <w:rsid w:val="006E2907"/>
    <w:rsid w:val="006E2A12"/>
    <w:rsid w:val="006E2EC6"/>
    <w:rsid w:val="006E2F46"/>
    <w:rsid w:val="006E30BA"/>
    <w:rsid w:val="006E3123"/>
    <w:rsid w:val="006E3236"/>
    <w:rsid w:val="006E36EF"/>
    <w:rsid w:val="006E4031"/>
    <w:rsid w:val="006E4408"/>
    <w:rsid w:val="006E44D8"/>
    <w:rsid w:val="006E5589"/>
    <w:rsid w:val="006E59DC"/>
    <w:rsid w:val="006E5BE1"/>
    <w:rsid w:val="006E5C1E"/>
    <w:rsid w:val="006E65B3"/>
    <w:rsid w:val="006E6F00"/>
    <w:rsid w:val="006E7172"/>
    <w:rsid w:val="006E71C0"/>
    <w:rsid w:val="006E71D9"/>
    <w:rsid w:val="006E72E3"/>
    <w:rsid w:val="006E734E"/>
    <w:rsid w:val="006E74F2"/>
    <w:rsid w:val="006E7A13"/>
    <w:rsid w:val="006E7D73"/>
    <w:rsid w:val="006E7EAC"/>
    <w:rsid w:val="006E7ECE"/>
    <w:rsid w:val="006F0124"/>
    <w:rsid w:val="006F0636"/>
    <w:rsid w:val="006F0C35"/>
    <w:rsid w:val="006F0C87"/>
    <w:rsid w:val="006F1029"/>
    <w:rsid w:val="006F1241"/>
    <w:rsid w:val="006F1457"/>
    <w:rsid w:val="006F16F5"/>
    <w:rsid w:val="006F17F7"/>
    <w:rsid w:val="006F1B1A"/>
    <w:rsid w:val="006F1FB3"/>
    <w:rsid w:val="006F2228"/>
    <w:rsid w:val="006F25B6"/>
    <w:rsid w:val="006F2884"/>
    <w:rsid w:val="006F2D7E"/>
    <w:rsid w:val="006F371C"/>
    <w:rsid w:val="006F3CD3"/>
    <w:rsid w:val="006F3D70"/>
    <w:rsid w:val="006F3F08"/>
    <w:rsid w:val="006F3F85"/>
    <w:rsid w:val="006F4071"/>
    <w:rsid w:val="006F42C5"/>
    <w:rsid w:val="006F4368"/>
    <w:rsid w:val="006F4516"/>
    <w:rsid w:val="006F4ADF"/>
    <w:rsid w:val="006F4AE2"/>
    <w:rsid w:val="006F4B80"/>
    <w:rsid w:val="006F5013"/>
    <w:rsid w:val="006F51AC"/>
    <w:rsid w:val="006F58C9"/>
    <w:rsid w:val="006F5AE0"/>
    <w:rsid w:val="006F6393"/>
    <w:rsid w:val="006F65DA"/>
    <w:rsid w:val="006F6B59"/>
    <w:rsid w:val="006F6D8E"/>
    <w:rsid w:val="006F7641"/>
    <w:rsid w:val="006F799E"/>
    <w:rsid w:val="006F7FC5"/>
    <w:rsid w:val="007004B1"/>
    <w:rsid w:val="00700BB0"/>
    <w:rsid w:val="00700CAA"/>
    <w:rsid w:val="00700CE1"/>
    <w:rsid w:val="007019DF"/>
    <w:rsid w:val="00701B90"/>
    <w:rsid w:val="00701E2A"/>
    <w:rsid w:val="0070243C"/>
    <w:rsid w:val="00702921"/>
    <w:rsid w:val="00702B01"/>
    <w:rsid w:val="00702C05"/>
    <w:rsid w:val="00702CFB"/>
    <w:rsid w:val="00703780"/>
    <w:rsid w:val="00703803"/>
    <w:rsid w:val="00703B36"/>
    <w:rsid w:val="00703C68"/>
    <w:rsid w:val="00703FFF"/>
    <w:rsid w:val="007040C7"/>
    <w:rsid w:val="0070432F"/>
    <w:rsid w:val="00704854"/>
    <w:rsid w:val="00704C7E"/>
    <w:rsid w:val="00704C96"/>
    <w:rsid w:val="0070525D"/>
    <w:rsid w:val="007055F6"/>
    <w:rsid w:val="007056F9"/>
    <w:rsid w:val="00705AC7"/>
    <w:rsid w:val="00705CE7"/>
    <w:rsid w:val="00705F3D"/>
    <w:rsid w:val="00706312"/>
    <w:rsid w:val="00706360"/>
    <w:rsid w:val="007067EE"/>
    <w:rsid w:val="00706D5B"/>
    <w:rsid w:val="00706DB3"/>
    <w:rsid w:val="00707B78"/>
    <w:rsid w:val="00710318"/>
    <w:rsid w:val="007105D0"/>
    <w:rsid w:val="0071068C"/>
    <w:rsid w:val="00710732"/>
    <w:rsid w:val="0071094D"/>
    <w:rsid w:val="007109BA"/>
    <w:rsid w:val="00710D3A"/>
    <w:rsid w:val="00710E7E"/>
    <w:rsid w:val="00711206"/>
    <w:rsid w:val="0071127B"/>
    <w:rsid w:val="007113A2"/>
    <w:rsid w:val="007114A4"/>
    <w:rsid w:val="00711C37"/>
    <w:rsid w:val="00711E45"/>
    <w:rsid w:val="007122D4"/>
    <w:rsid w:val="007124A6"/>
    <w:rsid w:val="007124F8"/>
    <w:rsid w:val="0071264A"/>
    <w:rsid w:val="0071317D"/>
    <w:rsid w:val="0071381D"/>
    <w:rsid w:val="00713A26"/>
    <w:rsid w:val="00714365"/>
    <w:rsid w:val="007144AE"/>
    <w:rsid w:val="00714B30"/>
    <w:rsid w:val="00714C4E"/>
    <w:rsid w:val="00714D28"/>
    <w:rsid w:val="00714F12"/>
    <w:rsid w:val="007151EF"/>
    <w:rsid w:val="007152DF"/>
    <w:rsid w:val="0071531B"/>
    <w:rsid w:val="0071550C"/>
    <w:rsid w:val="007160AE"/>
    <w:rsid w:val="007161A8"/>
    <w:rsid w:val="007163E2"/>
    <w:rsid w:val="00716444"/>
    <w:rsid w:val="0071657D"/>
    <w:rsid w:val="0071663C"/>
    <w:rsid w:val="00716890"/>
    <w:rsid w:val="0071699C"/>
    <w:rsid w:val="00716AE6"/>
    <w:rsid w:val="00716B49"/>
    <w:rsid w:val="00716ED8"/>
    <w:rsid w:val="00716F04"/>
    <w:rsid w:val="00716FBE"/>
    <w:rsid w:val="0071712C"/>
    <w:rsid w:val="0071742A"/>
    <w:rsid w:val="0071792D"/>
    <w:rsid w:val="00717BAF"/>
    <w:rsid w:val="00717C8F"/>
    <w:rsid w:val="00717D11"/>
    <w:rsid w:val="00720464"/>
    <w:rsid w:val="00720552"/>
    <w:rsid w:val="00720D80"/>
    <w:rsid w:val="0072124A"/>
    <w:rsid w:val="00721301"/>
    <w:rsid w:val="007217AC"/>
    <w:rsid w:val="00721A8D"/>
    <w:rsid w:val="00721A9D"/>
    <w:rsid w:val="00721D09"/>
    <w:rsid w:val="00721E57"/>
    <w:rsid w:val="00722031"/>
    <w:rsid w:val="00722837"/>
    <w:rsid w:val="007228E1"/>
    <w:rsid w:val="00722B84"/>
    <w:rsid w:val="00722DBF"/>
    <w:rsid w:val="00723261"/>
    <w:rsid w:val="007236FE"/>
    <w:rsid w:val="00723A11"/>
    <w:rsid w:val="00723A42"/>
    <w:rsid w:val="00723EC0"/>
    <w:rsid w:val="00724130"/>
    <w:rsid w:val="0072429B"/>
    <w:rsid w:val="007246DE"/>
    <w:rsid w:val="00724738"/>
    <w:rsid w:val="00724926"/>
    <w:rsid w:val="00724CD4"/>
    <w:rsid w:val="007250D4"/>
    <w:rsid w:val="0072553E"/>
    <w:rsid w:val="007255FB"/>
    <w:rsid w:val="00725902"/>
    <w:rsid w:val="00725947"/>
    <w:rsid w:val="00725E6E"/>
    <w:rsid w:val="00725EA9"/>
    <w:rsid w:val="0072673B"/>
    <w:rsid w:val="00726BF3"/>
    <w:rsid w:val="00726DAC"/>
    <w:rsid w:val="00726EA5"/>
    <w:rsid w:val="00726EAD"/>
    <w:rsid w:val="00727092"/>
    <w:rsid w:val="007270C3"/>
    <w:rsid w:val="007276E5"/>
    <w:rsid w:val="00727879"/>
    <w:rsid w:val="00727AC7"/>
    <w:rsid w:val="007305E4"/>
    <w:rsid w:val="007305E5"/>
    <w:rsid w:val="007306E4"/>
    <w:rsid w:val="00730B0B"/>
    <w:rsid w:val="00730CAA"/>
    <w:rsid w:val="00730FE6"/>
    <w:rsid w:val="007310D5"/>
    <w:rsid w:val="00731216"/>
    <w:rsid w:val="0073125C"/>
    <w:rsid w:val="007313EB"/>
    <w:rsid w:val="007315F6"/>
    <w:rsid w:val="00731BFF"/>
    <w:rsid w:val="007323AC"/>
    <w:rsid w:val="00732401"/>
    <w:rsid w:val="00732835"/>
    <w:rsid w:val="007329B9"/>
    <w:rsid w:val="00732AEE"/>
    <w:rsid w:val="00732D3D"/>
    <w:rsid w:val="007332ED"/>
    <w:rsid w:val="0073347F"/>
    <w:rsid w:val="0073350C"/>
    <w:rsid w:val="0073377E"/>
    <w:rsid w:val="00733A12"/>
    <w:rsid w:val="00733A22"/>
    <w:rsid w:val="00733B28"/>
    <w:rsid w:val="00734377"/>
    <w:rsid w:val="0073493B"/>
    <w:rsid w:val="00735422"/>
    <w:rsid w:val="00735532"/>
    <w:rsid w:val="00735830"/>
    <w:rsid w:val="00735C30"/>
    <w:rsid w:val="0073632E"/>
    <w:rsid w:val="00736C8D"/>
    <w:rsid w:val="00736D67"/>
    <w:rsid w:val="007370E3"/>
    <w:rsid w:val="007375B1"/>
    <w:rsid w:val="007378EC"/>
    <w:rsid w:val="00737AD4"/>
    <w:rsid w:val="00737DBB"/>
    <w:rsid w:val="0074084F"/>
    <w:rsid w:val="007408F1"/>
    <w:rsid w:val="00740F64"/>
    <w:rsid w:val="00740FD0"/>
    <w:rsid w:val="00741071"/>
    <w:rsid w:val="00741357"/>
    <w:rsid w:val="007419B3"/>
    <w:rsid w:val="00741C68"/>
    <w:rsid w:val="00741E18"/>
    <w:rsid w:val="0074247E"/>
    <w:rsid w:val="007426D1"/>
    <w:rsid w:val="00742850"/>
    <w:rsid w:val="007429A3"/>
    <w:rsid w:val="00742B82"/>
    <w:rsid w:val="00742E5F"/>
    <w:rsid w:val="00742EEB"/>
    <w:rsid w:val="00742F59"/>
    <w:rsid w:val="0074412C"/>
    <w:rsid w:val="007441D3"/>
    <w:rsid w:val="00744C58"/>
    <w:rsid w:val="00745332"/>
    <w:rsid w:val="00745630"/>
    <w:rsid w:val="00745692"/>
    <w:rsid w:val="00745FA3"/>
    <w:rsid w:val="00746317"/>
    <w:rsid w:val="00746454"/>
    <w:rsid w:val="00746496"/>
    <w:rsid w:val="00746E4C"/>
    <w:rsid w:val="00746F32"/>
    <w:rsid w:val="00747468"/>
    <w:rsid w:val="00747AD3"/>
    <w:rsid w:val="00747D92"/>
    <w:rsid w:val="0075044F"/>
    <w:rsid w:val="00750533"/>
    <w:rsid w:val="007505C4"/>
    <w:rsid w:val="00750760"/>
    <w:rsid w:val="00750861"/>
    <w:rsid w:val="007510C0"/>
    <w:rsid w:val="00751497"/>
    <w:rsid w:val="007515DB"/>
    <w:rsid w:val="00751755"/>
    <w:rsid w:val="00751EFD"/>
    <w:rsid w:val="00751F83"/>
    <w:rsid w:val="00752026"/>
    <w:rsid w:val="007524AD"/>
    <w:rsid w:val="00752960"/>
    <w:rsid w:val="00752B7A"/>
    <w:rsid w:val="00753212"/>
    <w:rsid w:val="007536F3"/>
    <w:rsid w:val="007539DF"/>
    <w:rsid w:val="00753E10"/>
    <w:rsid w:val="00754086"/>
    <w:rsid w:val="007540C1"/>
    <w:rsid w:val="007548B5"/>
    <w:rsid w:val="00754947"/>
    <w:rsid w:val="00754B24"/>
    <w:rsid w:val="00754F9C"/>
    <w:rsid w:val="0075507D"/>
    <w:rsid w:val="00755193"/>
    <w:rsid w:val="0075548B"/>
    <w:rsid w:val="007554C5"/>
    <w:rsid w:val="007556BD"/>
    <w:rsid w:val="00755812"/>
    <w:rsid w:val="007566FC"/>
    <w:rsid w:val="007567E9"/>
    <w:rsid w:val="00756D8E"/>
    <w:rsid w:val="00756E5A"/>
    <w:rsid w:val="0075704D"/>
    <w:rsid w:val="00757270"/>
    <w:rsid w:val="007575D7"/>
    <w:rsid w:val="007577E5"/>
    <w:rsid w:val="00757A26"/>
    <w:rsid w:val="00757C69"/>
    <w:rsid w:val="00760165"/>
    <w:rsid w:val="00760201"/>
    <w:rsid w:val="00760A4D"/>
    <w:rsid w:val="00760AB7"/>
    <w:rsid w:val="00760B98"/>
    <w:rsid w:val="00761165"/>
    <w:rsid w:val="00761B47"/>
    <w:rsid w:val="00761DA0"/>
    <w:rsid w:val="007621B7"/>
    <w:rsid w:val="0076230B"/>
    <w:rsid w:val="00762A84"/>
    <w:rsid w:val="00763143"/>
    <w:rsid w:val="007632DC"/>
    <w:rsid w:val="0076371D"/>
    <w:rsid w:val="00763D7F"/>
    <w:rsid w:val="00764A64"/>
    <w:rsid w:val="00764B28"/>
    <w:rsid w:val="00764C92"/>
    <w:rsid w:val="00764EF1"/>
    <w:rsid w:val="007651BC"/>
    <w:rsid w:val="00765991"/>
    <w:rsid w:val="00765FF5"/>
    <w:rsid w:val="00766604"/>
    <w:rsid w:val="00766706"/>
    <w:rsid w:val="0076680C"/>
    <w:rsid w:val="00766E31"/>
    <w:rsid w:val="007672FC"/>
    <w:rsid w:val="00767604"/>
    <w:rsid w:val="00767921"/>
    <w:rsid w:val="00767BC7"/>
    <w:rsid w:val="00767ECE"/>
    <w:rsid w:val="0077041C"/>
    <w:rsid w:val="00770D27"/>
    <w:rsid w:val="00770D73"/>
    <w:rsid w:val="00770D97"/>
    <w:rsid w:val="00770FF0"/>
    <w:rsid w:val="007710C5"/>
    <w:rsid w:val="007711E6"/>
    <w:rsid w:val="0077168F"/>
    <w:rsid w:val="007716F7"/>
    <w:rsid w:val="00771C65"/>
    <w:rsid w:val="00771DBD"/>
    <w:rsid w:val="00771E2D"/>
    <w:rsid w:val="00772004"/>
    <w:rsid w:val="0077206E"/>
    <w:rsid w:val="0077216D"/>
    <w:rsid w:val="0077267A"/>
    <w:rsid w:val="0077268F"/>
    <w:rsid w:val="00772B21"/>
    <w:rsid w:val="00772B87"/>
    <w:rsid w:val="00772C9B"/>
    <w:rsid w:val="00772DD7"/>
    <w:rsid w:val="00772F06"/>
    <w:rsid w:val="007732A8"/>
    <w:rsid w:val="0077367B"/>
    <w:rsid w:val="00773947"/>
    <w:rsid w:val="00773FF6"/>
    <w:rsid w:val="0077424C"/>
    <w:rsid w:val="007743E5"/>
    <w:rsid w:val="00774911"/>
    <w:rsid w:val="00774A57"/>
    <w:rsid w:val="00774B1B"/>
    <w:rsid w:val="00774C40"/>
    <w:rsid w:val="00775123"/>
    <w:rsid w:val="007759D2"/>
    <w:rsid w:val="00775B6D"/>
    <w:rsid w:val="00775C2B"/>
    <w:rsid w:val="00775EFA"/>
    <w:rsid w:val="007762A7"/>
    <w:rsid w:val="0077631D"/>
    <w:rsid w:val="00776377"/>
    <w:rsid w:val="00776535"/>
    <w:rsid w:val="00776A08"/>
    <w:rsid w:val="00776AAE"/>
    <w:rsid w:val="00776B38"/>
    <w:rsid w:val="00776BB4"/>
    <w:rsid w:val="00776D53"/>
    <w:rsid w:val="0077759F"/>
    <w:rsid w:val="00777BB3"/>
    <w:rsid w:val="00777BB5"/>
    <w:rsid w:val="00777EF9"/>
    <w:rsid w:val="0078056E"/>
    <w:rsid w:val="00780763"/>
    <w:rsid w:val="0078090A"/>
    <w:rsid w:val="007809C3"/>
    <w:rsid w:val="00780A01"/>
    <w:rsid w:val="00780C90"/>
    <w:rsid w:val="0078100D"/>
    <w:rsid w:val="007810A1"/>
    <w:rsid w:val="00781113"/>
    <w:rsid w:val="00781200"/>
    <w:rsid w:val="00781303"/>
    <w:rsid w:val="007815DE"/>
    <w:rsid w:val="007819AD"/>
    <w:rsid w:val="007819B9"/>
    <w:rsid w:val="00781DAE"/>
    <w:rsid w:val="00781DD4"/>
    <w:rsid w:val="00782012"/>
    <w:rsid w:val="00782056"/>
    <w:rsid w:val="00782487"/>
    <w:rsid w:val="007826D2"/>
    <w:rsid w:val="007827C4"/>
    <w:rsid w:val="00782992"/>
    <w:rsid w:val="007829E4"/>
    <w:rsid w:val="00782BAB"/>
    <w:rsid w:val="0078302A"/>
    <w:rsid w:val="0078306A"/>
    <w:rsid w:val="007832E1"/>
    <w:rsid w:val="0078339D"/>
    <w:rsid w:val="00783514"/>
    <w:rsid w:val="00783596"/>
    <w:rsid w:val="00783A3A"/>
    <w:rsid w:val="00783D44"/>
    <w:rsid w:val="00784D21"/>
    <w:rsid w:val="00784D58"/>
    <w:rsid w:val="00784E4B"/>
    <w:rsid w:val="0078512B"/>
    <w:rsid w:val="00785478"/>
    <w:rsid w:val="00785616"/>
    <w:rsid w:val="00785DA1"/>
    <w:rsid w:val="00785FF1"/>
    <w:rsid w:val="00786249"/>
    <w:rsid w:val="00786F85"/>
    <w:rsid w:val="007878A0"/>
    <w:rsid w:val="00787BC1"/>
    <w:rsid w:val="007903A0"/>
    <w:rsid w:val="0079067D"/>
    <w:rsid w:val="00790827"/>
    <w:rsid w:val="007908CC"/>
    <w:rsid w:val="00790A5F"/>
    <w:rsid w:val="00790C4B"/>
    <w:rsid w:val="00790D7A"/>
    <w:rsid w:val="00790EF7"/>
    <w:rsid w:val="0079117F"/>
    <w:rsid w:val="00791497"/>
    <w:rsid w:val="00791DA3"/>
    <w:rsid w:val="00792086"/>
    <w:rsid w:val="00792C64"/>
    <w:rsid w:val="00792CD6"/>
    <w:rsid w:val="007934CF"/>
    <w:rsid w:val="0079407C"/>
    <w:rsid w:val="0079413B"/>
    <w:rsid w:val="007941BA"/>
    <w:rsid w:val="007942CB"/>
    <w:rsid w:val="00794B04"/>
    <w:rsid w:val="00794BA2"/>
    <w:rsid w:val="00794C02"/>
    <w:rsid w:val="00794E90"/>
    <w:rsid w:val="00794FD5"/>
    <w:rsid w:val="007951E4"/>
    <w:rsid w:val="007952C0"/>
    <w:rsid w:val="00795391"/>
    <w:rsid w:val="00795493"/>
    <w:rsid w:val="0079582B"/>
    <w:rsid w:val="00795836"/>
    <w:rsid w:val="00795EC9"/>
    <w:rsid w:val="00796039"/>
    <w:rsid w:val="007962E6"/>
    <w:rsid w:val="00796516"/>
    <w:rsid w:val="007965E6"/>
    <w:rsid w:val="00796883"/>
    <w:rsid w:val="00796A3A"/>
    <w:rsid w:val="00796FC8"/>
    <w:rsid w:val="00797183"/>
    <w:rsid w:val="00797250"/>
    <w:rsid w:val="0079794A"/>
    <w:rsid w:val="00797BC0"/>
    <w:rsid w:val="00797C23"/>
    <w:rsid w:val="00797D35"/>
    <w:rsid w:val="00797E11"/>
    <w:rsid w:val="00797E60"/>
    <w:rsid w:val="007A00DE"/>
    <w:rsid w:val="007A011D"/>
    <w:rsid w:val="007A0423"/>
    <w:rsid w:val="007A04AD"/>
    <w:rsid w:val="007A0729"/>
    <w:rsid w:val="007A0743"/>
    <w:rsid w:val="007A0867"/>
    <w:rsid w:val="007A099E"/>
    <w:rsid w:val="007A0E39"/>
    <w:rsid w:val="007A0E65"/>
    <w:rsid w:val="007A10BB"/>
    <w:rsid w:val="007A10F9"/>
    <w:rsid w:val="007A1432"/>
    <w:rsid w:val="007A1463"/>
    <w:rsid w:val="007A18CD"/>
    <w:rsid w:val="007A1C09"/>
    <w:rsid w:val="007A20C1"/>
    <w:rsid w:val="007A20C2"/>
    <w:rsid w:val="007A247B"/>
    <w:rsid w:val="007A2CEA"/>
    <w:rsid w:val="007A2FC3"/>
    <w:rsid w:val="007A3208"/>
    <w:rsid w:val="007A3914"/>
    <w:rsid w:val="007A3930"/>
    <w:rsid w:val="007A3D1B"/>
    <w:rsid w:val="007A3EAF"/>
    <w:rsid w:val="007A413F"/>
    <w:rsid w:val="007A44AD"/>
    <w:rsid w:val="007A44E4"/>
    <w:rsid w:val="007A4841"/>
    <w:rsid w:val="007A48D1"/>
    <w:rsid w:val="007A49E1"/>
    <w:rsid w:val="007A4C70"/>
    <w:rsid w:val="007A4F14"/>
    <w:rsid w:val="007A55DC"/>
    <w:rsid w:val="007A5917"/>
    <w:rsid w:val="007A5CE1"/>
    <w:rsid w:val="007A5DC2"/>
    <w:rsid w:val="007A606F"/>
    <w:rsid w:val="007A6452"/>
    <w:rsid w:val="007A666A"/>
    <w:rsid w:val="007A674E"/>
    <w:rsid w:val="007A67A4"/>
    <w:rsid w:val="007A68B6"/>
    <w:rsid w:val="007A6A08"/>
    <w:rsid w:val="007A6B88"/>
    <w:rsid w:val="007A6EB0"/>
    <w:rsid w:val="007A6F23"/>
    <w:rsid w:val="007A71D3"/>
    <w:rsid w:val="007A7D97"/>
    <w:rsid w:val="007A7F88"/>
    <w:rsid w:val="007B001F"/>
    <w:rsid w:val="007B0020"/>
    <w:rsid w:val="007B0550"/>
    <w:rsid w:val="007B07CA"/>
    <w:rsid w:val="007B08C6"/>
    <w:rsid w:val="007B0EF4"/>
    <w:rsid w:val="007B1023"/>
    <w:rsid w:val="007B1281"/>
    <w:rsid w:val="007B14DA"/>
    <w:rsid w:val="007B1B11"/>
    <w:rsid w:val="007B2424"/>
    <w:rsid w:val="007B275F"/>
    <w:rsid w:val="007B2AFE"/>
    <w:rsid w:val="007B2B68"/>
    <w:rsid w:val="007B2C73"/>
    <w:rsid w:val="007B31A6"/>
    <w:rsid w:val="007B32B4"/>
    <w:rsid w:val="007B3410"/>
    <w:rsid w:val="007B344D"/>
    <w:rsid w:val="007B3769"/>
    <w:rsid w:val="007B38A2"/>
    <w:rsid w:val="007B3972"/>
    <w:rsid w:val="007B4751"/>
    <w:rsid w:val="007B4770"/>
    <w:rsid w:val="007B47C2"/>
    <w:rsid w:val="007B4959"/>
    <w:rsid w:val="007B4A40"/>
    <w:rsid w:val="007B4C92"/>
    <w:rsid w:val="007B4D2A"/>
    <w:rsid w:val="007B52EA"/>
    <w:rsid w:val="007B530B"/>
    <w:rsid w:val="007B546F"/>
    <w:rsid w:val="007B5474"/>
    <w:rsid w:val="007B5529"/>
    <w:rsid w:val="007B5797"/>
    <w:rsid w:val="007B5AB4"/>
    <w:rsid w:val="007B5D98"/>
    <w:rsid w:val="007B5F16"/>
    <w:rsid w:val="007B6183"/>
    <w:rsid w:val="007B6563"/>
    <w:rsid w:val="007B6632"/>
    <w:rsid w:val="007B681E"/>
    <w:rsid w:val="007B6D4B"/>
    <w:rsid w:val="007B6F88"/>
    <w:rsid w:val="007B71AE"/>
    <w:rsid w:val="007B7967"/>
    <w:rsid w:val="007B799D"/>
    <w:rsid w:val="007B7DEC"/>
    <w:rsid w:val="007B7F36"/>
    <w:rsid w:val="007B7FC5"/>
    <w:rsid w:val="007C00C8"/>
    <w:rsid w:val="007C035C"/>
    <w:rsid w:val="007C07F9"/>
    <w:rsid w:val="007C0883"/>
    <w:rsid w:val="007C0946"/>
    <w:rsid w:val="007C0A3F"/>
    <w:rsid w:val="007C0A7F"/>
    <w:rsid w:val="007C0D69"/>
    <w:rsid w:val="007C119D"/>
    <w:rsid w:val="007C1329"/>
    <w:rsid w:val="007C1385"/>
    <w:rsid w:val="007C1448"/>
    <w:rsid w:val="007C191F"/>
    <w:rsid w:val="007C1947"/>
    <w:rsid w:val="007C1C6C"/>
    <w:rsid w:val="007C262D"/>
    <w:rsid w:val="007C2BA3"/>
    <w:rsid w:val="007C2E02"/>
    <w:rsid w:val="007C3261"/>
    <w:rsid w:val="007C336F"/>
    <w:rsid w:val="007C37E8"/>
    <w:rsid w:val="007C3851"/>
    <w:rsid w:val="007C3863"/>
    <w:rsid w:val="007C4093"/>
    <w:rsid w:val="007C428C"/>
    <w:rsid w:val="007C44DE"/>
    <w:rsid w:val="007C457A"/>
    <w:rsid w:val="007C4707"/>
    <w:rsid w:val="007C518F"/>
    <w:rsid w:val="007C52D2"/>
    <w:rsid w:val="007C5D69"/>
    <w:rsid w:val="007C5DEF"/>
    <w:rsid w:val="007C5E77"/>
    <w:rsid w:val="007C5F98"/>
    <w:rsid w:val="007C5FB2"/>
    <w:rsid w:val="007C6377"/>
    <w:rsid w:val="007C6390"/>
    <w:rsid w:val="007C6471"/>
    <w:rsid w:val="007C6513"/>
    <w:rsid w:val="007C6538"/>
    <w:rsid w:val="007C66E4"/>
    <w:rsid w:val="007C6D84"/>
    <w:rsid w:val="007C6E0E"/>
    <w:rsid w:val="007C7B04"/>
    <w:rsid w:val="007C7B3C"/>
    <w:rsid w:val="007C7F2D"/>
    <w:rsid w:val="007C7F66"/>
    <w:rsid w:val="007D0155"/>
    <w:rsid w:val="007D0CD3"/>
    <w:rsid w:val="007D0CF3"/>
    <w:rsid w:val="007D0ECC"/>
    <w:rsid w:val="007D11F6"/>
    <w:rsid w:val="007D14F9"/>
    <w:rsid w:val="007D18D8"/>
    <w:rsid w:val="007D2056"/>
    <w:rsid w:val="007D23B5"/>
    <w:rsid w:val="007D28E0"/>
    <w:rsid w:val="007D3487"/>
    <w:rsid w:val="007D3828"/>
    <w:rsid w:val="007D3C0F"/>
    <w:rsid w:val="007D3E9A"/>
    <w:rsid w:val="007D3F07"/>
    <w:rsid w:val="007D43E6"/>
    <w:rsid w:val="007D4423"/>
    <w:rsid w:val="007D4544"/>
    <w:rsid w:val="007D4756"/>
    <w:rsid w:val="007D4886"/>
    <w:rsid w:val="007D4D78"/>
    <w:rsid w:val="007D4E77"/>
    <w:rsid w:val="007D4F6D"/>
    <w:rsid w:val="007D5130"/>
    <w:rsid w:val="007D535F"/>
    <w:rsid w:val="007D540F"/>
    <w:rsid w:val="007D57F9"/>
    <w:rsid w:val="007D5C00"/>
    <w:rsid w:val="007D5C40"/>
    <w:rsid w:val="007D5DAE"/>
    <w:rsid w:val="007D5F3E"/>
    <w:rsid w:val="007D652A"/>
    <w:rsid w:val="007D695D"/>
    <w:rsid w:val="007D6B48"/>
    <w:rsid w:val="007D6E11"/>
    <w:rsid w:val="007D7651"/>
    <w:rsid w:val="007D7738"/>
    <w:rsid w:val="007D7744"/>
    <w:rsid w:val="007D779A"/>
    <w:rsid w:val="007D7892"/>
    <w:rsid w:val="007E0010"/>
    <w:rsid w:val="007E004C"/>
    <w:rsid w:val="007E004D"/>
    <w:rsid w:val="007E0090"/>
    <w:rsid w:val="007E05D6"/>
    <w:rsid w:val="007E06EE"/>
    <w:rsid w:val="007E0908"/>
    <w:rsid w:val="007E0D77"/>
    <w:rsid w:val="007E0D91"/>
    <w:rsid w:val="007E0DEB"/>
    <w:rsid w:val="007E11BF"/>
    <w:rsid w:val="007E14BD"/>
    <w:rsid w:val="007E150C"/>
    <w:rsid w:val="007E1789"/>
    <w:rsid w:val="007E180B"/>
    <w:rsid w:val="007E18A6"/>
    <w:rsid w:val="007E1AF8"/>
    <w:rsid w:val="007E1B6B"/>
    <w:rsid w:val="007E1C53"/>
    <w:rsid w:val="007E23B3"/>
    <w:rsid w:val="007E2543"/>
    <w:rsid w:val="007E27AF"/>
    <w:rsid w:val="007E33DF"/>
    <w:rsid w:val="007E34C8"/>
    <w:rsid w:val="007E34DA"/>
    <w:rsid w:val="007E35AC"/>
    <w:rsid w:val="007E3941"/>
    <w:rsid w:val="007E3BC4"/>
    <w:rsid w:val="007E3EE1"/>
    <w:rsid w:val="007E40E8"/>
    <w:rsid w:val="007E4649"/>
    <w:rsid w:val="007E4714"/>
    <w:rsid w:val="007E4F3D"/>
    <w:rsid w:val="007E500E"/>
    <w:rsid w:val="007E549A"/>
    <w:rsid w:val="007E56E1"/>
    <w:rsid w:val="007E59D0"/>
    <w:rsid w:val="007E5D37"/>
    <w:rsid w:val="007E5E6A"/>
    <w:rsid w:val="007E64EF"/>
    <w:rsid w:val="007E668B"/>
    <w:rsid w:val="007E6942"/>
    <w:rsid w:val="007E6BE0"/>
    <w:rsid w:val="007E7337"/>
    <w:rsid w:val="007E7C08"/>
    <w:rsid w:val="007F00C5"/>
    <w:rsid w:val="007F0132"/>
    <w:rsid w:val="007F032F"/>
    <w:rsid w:val="007F04F4"/>
    <w:rsid w:val="007F054B"/>
    <w:rsid w:val="007F06CA"/>
    <w:rsid w:val="007F074A"/>
    <w:rsid w:val="007F0770"/>
    <w:rsid w:val="007F12F1"/>
    <w:rsid w:val="007F14B8"/>
    <w:rsid w:val="007F1550"/>
    <w:rsid w:val="007F1742"/>
    <w:rsid w:val="007F1B07"/>
    <w:rsid w:val="007F1DC7"/>
    <w:rsid w:val="007F1DDF"/>
    <w:rsid w:val="007F1FF7"/>
    <w:rsid w:val="007F29FA"/>
    <w:rsid w:val="007F2B6A"/>
    <w:rsid w:val="007F2C58"/>
    <w:rsid w:val="007F2F11"/>
    <w:rsid w:val="007F32A0"/>
    <w:rsid w:val="007F3383"/>
    <w:rsid w:val="007F357B"/>
    <w:rsid w:val="007F37AB"/>
    <w:rsid w:val="007F3AFA"/>
    <w:rsid w:val="007F3D59"/>
    <w:rsid w:val="007F4102"/>
    <w:rsid w:val="007F427E"/>
    <w:rsid w:val="007F445A"/>
    <w:rsid w:val="007F458E"/>
    <w:rsid w:val="007F4644"/>
    <w:rsid w:val="007F4949"/>
    <w:rsid w:val="007F4CB3"/>
    <w:rsid w:val="007F4E51"/>
    <w:rsid w:val="007F5200"/>
    <w:rsid w:val="007F5A9A"/>
    <w:rsid w:val="007F5FAC"/>
    <w:rsid w:val="007F5FC3"/>
    <w:rsid w:val="007F6293"/>
    <w:rsid w:val="007F641C"/>
    <w:rsid w:val="007F6441"/>
    <w:rsid w:val="007F68C7"/>
    <w:rsid w:val="007F6D1A"/>
    <w:rsid w:val="007F6D8D"/>
    <w:rsid w:val="007F70AA"/>
    <w:rsid w:val="007F7206"/>
    <w:rsid w:val="007F77E6"/>
    <w:rsid w:val="007F7AC7"/>
    <w:rsid w:val="007F7C43"/>
    <w:rsid w:val="008000E5"/>
    <w:rsid w:val="008000FB"/>
    <w:rsid w:val="00800320"/>
    <w:rsid w:val="008013A7"/>
    <w:rsid w:val="008013F1"/>
    <w:rsid w:val="0080180A"/>
    <w:rsid w:val="00801D1F"/>
    <w:rsid w:val="008026A6"/>
    <w:rsid w:val="00802A86"/>
    <w:rsid w:val="00802EB1"/>
    <w:rsid w:val="00802EE9"/>
    <w:rsid w:val="00803E2A"/>
    <w:rsid w:val="00803E72"/>
    <w:rsid w:val="0080417F"/>
    <w:rsid w:val="008047C2"/>
    <w:rsid w:val="00804C2E"/>
    <w:rsid w:val="00804DED"/>
    <w:rsid w:val="00805EFD"/>
    <w:rsid w:val="00806036"/>
    <w:rsid w:val="0080615E"/>
    <w:rsid w:val="0080651E"/>
    <w:rsid w:val="0080656D"/>
    <w:rsid w:val="008067B0"/>
    <w:rsid w:val="00806F29"/>
    <w:rsid w:val="0080715E"/>
    <w:rsid w:val="0080720F"/>
    <w:rsid w:val="008074CB"/>
    <w:rsid w:val="0080766D"/>
    <w:rsid w:val="00807BFB"/>
    <w:rsid w:val="008101B3"/>
    <w:rsid w:val="00810930"/>
    <w:rsid w:val="00810934"/>
    <w:rsid w:val="0081093E"/>
    <w:rsid w:val="00810ACB"/>
    <w:rsid w:val="00810E0A"/>
    <w:rsid w:val="00810E22"/>
    <w:rsid w:val="008110A2"/>
    <w:rsid w:val="008112B4"/>
    <w:rsid w:val="00811354"/>
    <w:rsid w:val="008114AB"/>
    <w:rsid w:val="00811AE6"/>
    <w:rsid w:val="00811C2D"/>
    <w:rsid w:val="00811C5F"/>
    <w:rsid w:val="00812371"/>
    <w:rsid w:val="00812458"/>
    <w:rsid w:val="008137F4"/>
    <w:rsid w:val="00813AE2"/>
    <w:rsid w:val="00814342"/>
    <w:rsid w:val="00814EE1"/>
    <w:rsid w:val="00814F27"/>
    <w:rsid w:val="00815029"/>
    <w:rsid w:val="008150DF"/>
    <w:rsid w:val="00815360"/>
    <w:rsid w:val="00815384"/>
    <w:rsid w:val="008159B8"/>
    <w:rsid w:val="00815E4A"/>
    <w:rsid w:val="00815E7B"/>
    <w:rsid w:val="00815ED8"/>
    <w:rsid w:val="008164FC"/>
    <w:rsid w:val="008167A1"/>
    <w:rsid w:val="00816939"/>
    <w:rsid w:val="0081699D"/>
    <w:rsid w:val="00816CEB"/>
    <w:rsid w:val="00816D1E"/>
    <w:rsid w:val="00817083"/>
    <w:rsid w:val="00817234"/>
    <w:rsid w:val="0081763F"/>
    <w:rsid w:val="00817976"/>
    <w:rsid w:val="00817AB2"/>
    <w:rsid w:val="00817EC6"/>
    <w:rsid w:val="0082055E"/>
    <w:rsid w:val="008208AE"/>
    <w:rsid w:val="00820D94"/>
    <w:rsid w:val="00820E97"/>
    <w:rsid w:val="0082101B"/>
    <w:rsid w:val="00821CAB"/>
    <w:rsid w:val="00822375"/>
    <w:rsid w:val="00822E0E"/>
    <w:rsid w:val="008230F8"/>
    <w:rsid w:val="00823261"/>
    <w:rsid w:val="00823734"/>
    <w:rsid w:val="00823797"/>
    <w:rsid w:val="00823973"/>
    <w:rsid w:val="00823AC0"/>
    <w:rsid w:val="00823F23"/>
    <w:rsid w:val="008240E2"/>
    <w:rsid w:val="008240F1"/>
    <w:rsid w:val="00824338"/>
    <w:rsid w:val="00824389"/>
    <w:rsid w:val="00824505"/>
    <w:rsid w:val="008245AB"/>
    <w:rsid w:val="00824FD0"/>
    <w:rsid w:val="00825170"/>
    <w:rsid w:val="008251CD"/>
    <w:rsid w:val="00825A62"/>
    <w:rsid w:val="00826461"/>
    <w:rsid w:val="0082681C"/>
    <w:rsid w:val="00826DCE"/>
    <w:rsid w:val="00826F79"/>
    <w:rsid w:val="00827811"/>
    <w:rsid w:val="008279C2"/>
    <w:rsid w:val="00827C1C"/>
    <w:rsid w:val="00827F5A"/>
    <w:rsid w:val="008303D4"/>
    <w:rsid w:val="00830887"/>
    <w:rsid w:val="0083097C"/>
    <w:rsid w:val="00830A4C"/>
    <w:rsid w:val="00831141"/>
    <w:rsid w:val="00831235"/>
    <w:rsid w:val="0083176A"/>
    <w:rsid w:val="00831A11"/>
    <w:rsid w:val="00831D8F"/>
    <w:rsid w:val="00831FB5"/>
    <w:rsid w:val="00832124"/>
    <w:rsid w:val="00832442"/>
    <w:rsid w:val="00832C9D"/>
    <w:rsid w:val="00832E21"/>
    <w:rsid w:val="00833047"/>
    <w:rsid w:val="0083331E"/>
    <w:rsid w:val="00833746"/>
    <w:rsid w:val="008338F6"/>
    <w:rsid w:val="00833958"/>
    <w:rsid w:val="00833BEF"/>
    <w:rsid w:val="00833E13"/>
    <w:rsid w:val="008343A9"/>
    <w:rsid w:val="0083451B"/>
    <w:rsid w:val="00834667"/>
    <w:rsid w:val="00834B1B"/>
    <w:rsid w:val="00834BA7"/>
    <w:rsid w:val="0083516B"/>
    <w:rsid w:val="008356D0"/>
    <w:rsid w:val="0083579B"/>
    <w:rsid w:val="0083592C"/>
    <w:rsid w:val="00835CE2"/>
    <w:rsid w:val="00835E85"/>
    <w:rsid w:val="0083673C"/>
    <w:rsid w:val="00836786"/>
    <w:rsid w:val="00836A99"/>
    <w:rsid w:val="00836F52"/>
    <w:rsid w:val="00837204"/>
    <w:rsid w:val="0083732D"/>
    <w:rsid w:val="0083737B"/>
    <w:rsid w:val="00837FCD"/>
    <w:rsid w:val="00840036"/>
    <w:rsid w:val="00840726"/>
    <w:rsid w:val="00840DB0"/>
    <w:rsid w:val="00841A4F"/>
    <w:rsid w:val="00841AF8"/>
    <w:rsid w:val="00841CCA"/>
    <w:rsid w:val="00841D96"/>
    <w:rsid w:val="00842346"/>
    <w:rsid w:val="008426BA"/>
    <w:rsid w:val="008427DB"/>
    <w:rsid w:val="008428FB"/>
    <w:rsid w:val="00843297"/>
    <w:rsid w:val="00843ABB"/>
    <w:rsid w:val="0084410F"/>
    <w:rsid w:val="008442AA"/>
    <w:rsid w:val="00844381"/>
    <w:rsid w:val="00844C3F"/>
    <w:rsid w:val="00844E41"/>
    <w:rsid w:val="0084506A"/>
    <w:rsid w:val="008450AE"/>
    <w:rsid w:val="008452BB"/>
    <w:rsid w:val="00845709"/>
    <w:rsid w:val="00845B27"/>
    <w:rsid w:val="00845D52"/>
    <w:rsid w:val="008462F6"/>
    <w:rsid w:val="00846371"/>
    <w:rsid w:val="008463D1"/>
    <w:rsid w:val="008465FA"/>
    <w:rsid w:val="0084673B"/>
    <w:rsid w:val="008468DA"/>
    <w:rsid w:val="008468E9"/>
    <w:rsid w:val="00846A7D"/>
    <w:rsid w:val="00846DE1"/>
    <w:rsid w:val="008470B0"/>
    <w:rsid w:val="0084755D"/>
    <w:rsid w:val="00847748"/>
    <w:rsid w:val="00847A1C"/>
    <w:rsid w:val="00847FF1"/>
    <w:rsid w:val="00850692"/>
    <w:rsid w:val="00850DE6"/>
    <w:rsid w:val="008517DB"/>
    <w:rsid w:val="00851960"/>
    <w:rsid w:val="00851D5B"/>
    <w:rsid w:val="008521F4"/>
    <w:rsid w:val="008522AF"/>
    <w:rsid w:val="008525C3"/>
    <w:rsid w:val="00852952"/>
    <w:rsid w:val="00852AC1"/>
    <w:rsid w:val="00853060"/>
    <w:rsid w:val="008534C3"/>
    <w:rsid w:val="00853776"/>
    <w:rsid w:val="00853E4C"/>
    <w:rsid w:val="00853E5F"/>
    <w:rsid w:val="00854112"/>
    <w:rsid w:val="0085412D"/>
    <w:rsid w:val="008553F6"/>
    <w:rsid w:val="00855659"/>
    <w:rsid w:val="008557B6"/>
    <w:rsid w:val="00855A2D"/>
    <w:rsid w:val="00855CAD"/>
    <w:rsid w:val="00855ECD"/>
    <w:rsid w:val="008560E0"/>
    <w:rsid w:val="00856136"/>
    <w:rsid w:val="0085679C"/>
    <w:rsid w:val="00856F9B"/>
    <w:rsid w:val="00857128"/>
    <w:rsid w:val="00857363"/>
    <w:rsid w:val="00857508"/>
    <w:rsid w:val="00857515"/>
    <w:rsid w:val="0085788A"/>
    <w:rsid w:val="00857A1A"/>
    <w:rsid w:val="00857D5F"/>
    <w:rsid w:val="0086066C"/>
    <w:rsid w:val="00860B71"/>
    <w:rsid w:val="00860C46"/>
    <w:rsid w:val="0086100A"/>
    <w:rsid w:val="00861347"/>
    <w:rsid w:val="00861486"/>
    <w:rsid w:val="008614C5"/>
    <w:rsid w:val="0086195D"/>
    <w:rsid w:val="00861B79"/>
    <w:rsid w:val="00861EE2"/>
    <w:rsid w:val="00861F92"/>
    <w:rsid w:val="0086218A"/>
    <w:rsid w:val="008621D6"/>
    <w:rsid w:val="00862343"/>
    <w:rsid w:val="008623CE"/>
    <w:rsid w:val="0086281C"/>
    <w:rsid w:val="00862F95"/>
    <w:rsid w:val="00862FE6"/>
    <w:rsid w:val="008631E9"/>
    <w:rsid w:val="0086329A"/>
    <w:rsid w:val="008632FE"/>
    <w:rsid w:val="00863A70"/>
    <w:rsid w:val="00863F3E"/>
    <w:rsid w:val="00863F6D"/>
    <w:rsid w:val="0086419A"/>
    <w:rsid w:val="0086447D"/>
    <w:rsid w:val="00864906"/>
    <w:rsid w:val="00864B3A"/>
    <w:rsid w:val="00864FFA"/>
    <w:rsid w:val="0086504B"/>
    <w:rsid w:val="0086534E"/>
    <w:rsid w:val="008653BE"/>
    <w:rsid w:val="00865A02"/>
    <w:rsid w:val="0086617D"/>
    <w:rsid w:val="00866669"/>
    <w:rsid w:val="00866797"/>
    <w:rsid w:val="0086695B"/>
    <w:rsid w:val="00867146"/>
    <w:rsid w:val="00867443"/>
    <w:rsid w:val="008674D1"/>
    <w:rsid w:val="00867B83"/>
    <w:rsid w:val="00867DFC"/>
    <w:rsid w:val="0087088B"/>
    <w:rsid w:val="00870CEC"/>
    <w:rsid w:val="008712AB"/>
    <w:rsid w:val="0087152B"/>
    <w:rsid w:val="00871639"/>
    <w:rsid w:val="00871739"/>
    <w:rsid w:val="00871BF5"/>
    <w:rsid w:val="008723D3"/>
    <w:rsid w:val="0087272D"/>
    <w:rsid w:val="00872A1B"/>
    <w:rsid w:val="00872BB8"/>
    <w:rsid w:val="00872BFC"/>
    <w:rsid w:val="00872F73"/>
    <w:rsid w:val="008731A3"/>
    <w:rsid w:val="008738FB"/>
    <w:rsid w:val="00873E92"/>
    <w:rsid w:val="00873EEB"/>
    <w:rsid w:val="0087414D"/>
    <w:rsid w:val="0087443C"/>
    <w:rsid w:val="008746E5"/>
    <w:rsid w:val="00874D0E"/>
    <w:rsid w:val="0087535C"/>
    <w:rsid w:val="00875713"/>
    <w:rsid w:val="008757F2"/>
    <w:rsid w:val="008758CB"/>
    <w:rsid w:val="0087596C"/>
    <w:rsid w:val="0087596E"/>
    <w:rsid w:val="00875D04"/>
    <w:rsid w:val="00875F0A"/>
    <w:rsid w:val="0087613F"/>
    <w:rsid w:val="008761B6"/>
    <w:rsid w:val="00876271"/>
    <w:rsid w:val="008763A7"/>
    <w:rsid w:val="008764F2"/>
    <w:rsid w:val="00876568"/>
    <w:rsid w:val="0087658C"/>
    <w:rsid w:val="00876AF8"/>
    <w:rsid w:val="0087742E"/>
    <w:rsid w:val="008775C9"/>
    <w:rsid w:val="0087768D"/>
    <w:rsid w:val="00877F00"/>
    <w:rsid w:val="0088039E"/>
    <w:rsid w:val="008803E6"/>
    <w:rsid w:val="008807BD"/>
    <w:rsid w:val="0088097C"/>
    <w:rsid w:val="00880AA7"/>
    <w:rsid w:val="00880C72"/>
    <w:rsid w:val="00880CE3"/>
    <w:rsid w:val="00881170"/>
    <w:rsid w:val="008811BC"/>
    <w:rsid w:val="0088139E"/>
    <w:rsid w:val="00881649"/>
    <w:rsid w:val="0088177A"/>
    <w:rsid w:val="008818F2"/>
    <w:rsid w:val="0088239F"/>
    <w:rsid w:val="0088290C"/>
    <w:rsid w:val="00882921"/>
    <w:rsid w:val="00882BA3"/>
    <w:rsid w:val="00882CF0"/>
    <w:rsid w:val="00882DB5"/>
    <w:rsid w:val="00883410"/>
    <w:rsid w:val="00883ABA"/>
    <w:rsid w:val="00883DA7"/>
    <w:rsid w:val="00883DE9"/>
    <w:rsid w:val="008847AA"/>
    <w:rsid w:val="008847B8"/>
    <w:rsid w:val="008848DB"/>
    <w:rsid w:val="008850F8"/>
    <w:rsid w:val="008852A5"/>
    <w:rsid w:val="008856D4"/>
    <w:rsid w:val="00885BCF"/>
    <w:rsid w:val="00885F7E"/>
    <w:rsid w:val="00885FB5"/>
    <w:rsid w:val="008867E6"/>
    <w:rsid w:val="00886868"/>
    <w:rsid w:val="00886E52"/>
    <w:rsid w:val="00886F16"/>
    <w:rsid w:val="00887627"/>
    <w:rsid w:val="00887694"/>
    <w:rsid w:val="00887834"/>
    <w:rsid w:val="008879B5"/>
    <w:rsid w:val="00887BC6"/>
    <w:rsid w:val="008902F4"/>
    <w:rsid w:val="0089077C"/>
    <w:rsid w:val="00890F91"/>
    <w:rsid w:val="008915A6"/>
    <w:rsid w:val="00891BAC"/>
    <w:rsid w:val="00891F94"/>
    <w:rsid w:val="00892350"/>
    <w:rsid w:val="008923B1"/>
    <w:rsid w:val="008925E8"/>
    <w:rsid w:val="008926C4"/>
    <w:rsid w:val="00892AB1"/>
    <w:rsid w:val="00892C58"/>
    <w:rsid w:val="008930BE"/>
    <w:rsid w:val="008932E9"/>
    <w:rsid w:val="00893456"/>
    <w:rsid w:val="008938A1"/>
    <w:rsid w:val="00893E3E"/>
    <w:rsid w:val="00893E8A"/>
    <w:rsid w:val="00893F52"/>
    <w:rsid w:val="008941EC"/>
    <w:rsid w:val="008945EE"/>
    <w:rsid w:val="00894624"/>
    <w:rsid w:val="008952A8"/>
    <w:rsid w:val="008959B2"/>
    <w:rsid w:val="00896015"/>
    <w:rsid w:val="008964A9"/>
    <w:rsid w:val="00896783"/>
    <w:rsid w:val="0089681A"/>
    <w:rsid w:val="00896989"/>
    <w:rsid w:val="00896B41"/>
    <w:rsid w:val="00896F17"/>
    <w:rsid w:val="00897252"/>
    <w:rsid w:val="008975CC"/>
    <w:rsid w:val="00897618"/>
    <w:rsid w:val="00897BEF"/>
    <w:rsid w:val="008A1B3C"/>
    <w:rsid w:val="008A1BFD"/>
    <w:rsid w:val="008A1C39"/>
    <w:rsid w:val="008A248A"/>
    <w:rsid w:val="008A26CB"/>
    <w:rsid w:val="008A27B8"/>
    <w:rsid w:val="008A2805"/>
    <w:rsid w:val="008A28BF"/>
    <w:rsid w:val="008A2ACA"/>
    <w:rsid w:val="008A2E47"/>
    <w:rsid w:val="008A2E8D"/>
    <w:rsid w:val="008A2FBC"/>
    <w:rsid w:val="008A3222"/>
    <w:rsid w:val="008A3500"/>
    <w:rsid w:val="008A379C"/>
    <w:rsid w:val="008A3A5A"/>
    <w:rsid w:val="008A3E67"/>
    <w:rsid w:val="008A403A"/>
    <w:rsid w:val="008A42DA"/>
    <w:rsid w:val="008A43B4"/>
    <w:rsid w:val="008A49B2"/>
    <w:rsid w:val="008A4F00"/>
    <w:rsid w:val="008A5522"/>
    <w:rsid w:val="008A5684"/>
    <w:rsid w:val="008A5C62"/>
    <w:rsid w:val="008A65C2"/>
    <w:rsid w:val="008A6E48"/>
    <w:rsid w:val="008A6FC3"/>
    <w:rsid w:val="008A701E"/>
    <w:rsid w:val="008A734B"/>
    <w:rsid w:val="008A7706"/>
    <w:rsid w:val="008A7BDA"/>
    <w:rsid w:val="008A7F65"/>
    <w:rsid w:val="008B0210"/>
    <w:rsid w:val="008B0328"/>
    <w:rsid w:val="008B0C9A"/>
    <w:rsid w:val="008B17D9"/>
    <w:rsid w:val="008B1A1C"/>
    <w:rsid w:val="008B1D5C"/>
    <w:rsid w:val="008B1D60"/>
    <w:rsid w:val="008B1E73"/>
    <w:rsid w:val="008B207B"/>
    <w:rsid w:val="008B2510"/>
    <w:rsid w:val="008B2A87"/>
    <w:rsid w:val="008B2D49"/>
    <w:rsid w:val="008B2D7F"/>
    <w:rsid w:val="008B31CD"/>
    <w:rsid w:val="008B31EE"/>
    <w:rsid w:val="008B34D8"/>
    <w:rsid w:val="008B3624"/>
    <w:rsid w:val="008B3878"/>
    <w:rsid w:val="008B4555"/>
    <w:rsid w:val="008B4F22"/>
    <w:rsid w:val="008B508B"/>
    <w:rsid w:val="008B5229"/>
    <w:rsid w:val="008B527F"/>
    <w:rsid w:val="008B578F"/>
    <w:rsid w:val="008B5CC4"/>
    <w:rsid w:val="008B5D88"/>
    <w:rsid w:val="008B5EEE"/>
    <w:rsid w:val="008B5F62"/>
    <w:rsid w:val="008B601B"/>
    <w:rsid w:val="008B6796"/>
    <w:rsid w:val="008B67BD"/>
    <w:rsid w:val="008B6AB9"/>
    <w:rsid w:val="008B6CFB"/>
    <w:rsid w:val="008B6D25"/>
    <w:rsid w:val="008B6EAE"/>
    <w:rsid w:val="008B6F70"/>
    <w:rsid w:val="008B70C7"/>
    <w:rsid w:val="008B7391"/>
    <w:rsid w:val="008B73A0"/>
    <w:rsid w:val="008B7427"/>
    <w:rsid w:val="008B7AF1"/>
    <w:rsid w:val="008B7F48"/>
    <w:rsid w:val="008B7FE3"/>
    <w:rsid w:val="008C1075"/>
    <w:rsid w:val="008C12E3"/>
    <w:rsid w:val="008C169C"/>
    <w:rsid w:val="008C1BD3"/>
    <w:rsid w:val="008C1F08"/>
    <w:rsid w:val="008C1F25"/>
    <w:rsid w:val="008C249A"/>
    <w:rsid w:val="008C2617"/>
    <w:rsid w:val="008C2711"/>
    <w:rsid w:val="008C2886"/>
    <w:rsid w:val="008C2AAA"/>
    <w:rsid w:val="008C2CEA"/>
    <w:rsid w:val="008C2E0E"/>
    <w:rsid w:val="008C3117"/>
    <w:rsid w:val="008C3398"/>
    <w:rsid w:val="008C386F"/>
    <w:rsid w:val="008C3BED"/>
    <w:rsid w:val="008C46A1"/>
    <w:rsid w:val="008C4A72"/>
    <w:rsid w:val="008C4B26"/>
    <w:rsid w:val="008C4FF4"/>
    <w:rsid w:val="008C5564"/>
    <w:rsid w:val="008C5886"/>
    <w:rsid w:val="008C5A8F"/>
    <w:rsid w:val="008C5F1E"/>
    <w:rsid w:val="008C616F"/>
    <w:rsid w:val="008C6185"/>
    <w:rsid w:val="008C618B"/>
    <w:rsid w:val="008C62E1"/>
    <w:rsid w:val="008C6502"/>
    <w:rsid w:val="008C657D"/>
    <w:rsid w:val="008C66C5"/>
    <w:rsid w:val="008C69A0"/>
    <w:rsid w:val="008C69E2"/>
    <w:rsid w:val="008C6BC5"/>
    <w:rsid w:val="008C7599"/>
    <w:rsid w:val="008C75A6"/>
    <w:rsid w:val="008C7628"/>
    <w:rsid w:val="008C77D4"/>
    <w:rsid w:val="008C7BB5"/>
    <w:rsid w:val="008C7C03"/>
    <w:rsid w:val="008C7C92"/>
    <w:rsid w:val="008C7D5C"/>
    <w:rsid w:val="008D0654"/>
    <w:rsid w:val="008D0814"/>
    <w:rsid w:val="008D0D33"/>
    <w:rsid w:val="008D0D9B"/>
    <w:rsid w:val="008D0E7B"/>
    <w:rsid w:val="008D0F28"/>
    <w:rsid w:val="008D0FEE"/>
    <w:rsid w:val="008D10F4"/>
    <w:rsid w:val="008D12CC"/>
    <w:rsid w:val="008D1324"/>
    <w:rsid w:val="008D134F"/>
    <w:rsid w:val="008D14C3"/>
    <w:rsid w:val="008D1739"/>
    <w:rsid w:val="008D18B9"/>
    <w:rsid w:val="008D1C1D"/>
    <w:rsid w:val="008D2364"/>
    <w:rsid w:val="008D25BA"/>
    <w:rsid w:val="008D26B3"/>
    <w:rsid w:val="008D26FD"/>
    <w:rsid w:val="008D2738"/>
    <w:rsid w:val="008D2779"/>
    <w:rsid w:val="008D2925"/>
    <w:rsid w:val="008D2AF6"/>
    <w:rsid w:val="008D2B2C"/>
    <w:rsid w:val="008D2E60"/>
    <w:rsid w:val="008D2E7C"/>
    <w:rsid w:val="008D32F7"/>
    <w:rsid w:val="008D333F"/>
    <w:rsid w:val="008D371F"/>
    <w:rsid w:val="008D39F5"/>
    <w:rsid w:val="008D3B52"/>
    <w:rsid w:val="008D41C5"/>
    <w:rsid w:val="008D45B6"/>
    <w:rsid w:val="008D4668"/>
    <w:rsid w:val="008D47AB"/>
    <w:rsid w:val="008D5174"/>
    <w:rsid w:val="008D51BC"/>
    <w:rsid w:val="008D574C"/>
    <w:rsid w:val="008D5ED9"/>
    <w:rsid w:val="008D5F1F"/>
    <w:rsid w:val="008D6543"/>
    <w:rsid w:val="008D65D0"/>
    <w:rsid w:val="008D65DA"/>
    <w:rsid w:val="008D65FA"/>
    <w:rsid w:val="008D6720"/>
    <w:rsid w:val="008D6CB8"/>
    <w:rsid w:val="008D6DF2"/>
    <w:rsid w:val="008D6E9E"/>
    <w:rsid w:val="008D7106"/>
    <w:rsid w:val="008D7438"/>
    <w:rsid w:val="008D7526"/>
    <w:rsid w:val="008E012C"/>
    <w:rsid w:val="008E02D0"/>
    <w:rsid w:val="008E06DA"/>
    <w:rsid w:val="008E07C8"/>
    <w:rsid w:val="008E08AF"/>
    <w:rsid w:val="008E0A1A"/>
    <w:rsid w:val="008E0EE4"/>
    <w:rsid w:val="008E1032"/>
    <w:rsid w:val="008E1095"/>
    <w:rsid w:val="008E15BE"/>
    <w:rsid w:val="008E1635"/>
    <w:rsid w:val="008E18C4"/>
    <w:rsid w:val="008E1D4F"/>
    <w:rsid w:val="008E2286"/>
    <w:rsid w:val="008E2767"/>
    <w:rsid w:val="008E2778"/>
    <w:rsid w:val="008E29EC"/>
    <w:rsid w:val="008E2CB0"/>
    <w:rsid w:val="008E2D0A"/>
    <w:rsid w:val="008E2E30"/>
    <w:rsid w:val="008E35BF"/>
    <w:rsid w:val="008E3E1C"/>
    <w:rsid w:val="008E3EDC"/>
    <w:rsid w:val="008E3F46"/>
    <w:rsid w:val="008E3FCB"/>
    <w:rsid w:val="008E40F8"/>
    <w:rsid w:val="008E4599"/>
    <w:rsid w:val="008E45C7"/>
    <w:rsid w:val="008E48F6"/>
    <w:rsid w:val="008E4F8F"/>
    <w:rsid w:val="008E5063"/>
    <w:rsid w:val="008E51D5"/>
    <w:rsid w:val="008E55B7"/>
    <w:rsid w:val="008E6099"/>
    <w:rsid w:val="008E6447"/>
    <w:rsid w:val="008E6859"/>
    <w:rsid w:val="008E68C8"/>
    <w:rsid w:val="008E68EC"/>
    <w:rsid w:val="008E6B35"/>
    <w:rsid w:val="008E6E94"/>
    <w:rsid w:val="008E7065"/>
    <w:rsid w:val="008E79CA"/>
    <w:rsid w:val="008E79E8"/>
    <w:rsid w:val="008E7C49"/>
    <w:rsid w:val="008F0300"/>
    <w:rsid w:val="008F079B"/>
    <w:rsid w:val="008F0849"/>
    <w:rsid w:val="008F096C"/>
    <w:rsid w:val="008F0A39"/>
    <w:rsid w:val="008F0B0D"/>
    <w:rsid w:val="008F0BCD"/>
    <w:rsid w:val="008F0F19"/>
    <w:rsid w:val="008F128B"/>
    <w:rsid w:val="008F12E8"/>
    <w:rsid w:val="008F16A0"/>
    <w:rsid w:val="008F16F7"/>
    <w:rsid w:val="008F1924"/>
    <w:rsid w:val="008F1B39"/>
    <w:rsid w:val="008F1BE0"/>
    <w:rsid w:val="008F1BF3"/>
    <w:rsid w:val="008F2199"/>
    <w:rsid w:val="008F2343"/>
    <w:rsid w:val="008F234E"/>
    <w:rsid w:val="008F2404"/>
    <w:rsid w:val="008F2429"/>
    <w:rsid w:val="008F26C4"/>
    <w:rsid w:val="008F297C"/>
    <w:rsid w:val="008F2BB4"/>
    <w:rsid w:val="008F2BFA"/>
    <w:rsid w:val="008F2DE4"/>
    <w:rsid w:val="008F2E2A"/>
    <w:rsid w:val="008F2FBA"/>
    <w:rsid w:val="008F34DC"/>
    <w:rsid w:val="008F3522"/>
    <w:rsid w:val="008F35E9"/>
    <w:rsid w:val="008F3CE4"/>
    <w:rsid w:val="008F406C"/>
    <w:rsid w:val="008F4AA6"/>
    <w:rsid w:val="008F5298"/>
    <w:rsid w:val="008F5BF3"/>
    <w:rsid w:val="008F5D3F"/>
    <w:rsid w:val="008F5D53"/>
    <w:rsid w:val="008F6093"/>
    <w:rsid w:val="008F6227"/>
    <w:rsid w:val="008F63E0"/>
    <w:rsid w:val="008F675A"/>
    <w:rsid w:val="008F6BF1"/>
    <w:rsid w:val="008F6C57"/>
    <w:rsid w:val="008F6D1E"/>
    <w:rsid w:val="008F6EC2"/>
    <w:rsid w:val="008F72F4"/>
    <w:rsid w:val="008F74B3"/>
    <w:rsid w:val="008F75F6"/>
    <w:rsid w:val="008F78FC"/>
    <w:rsid w:val="008F7E05"/>
    <w:rsid w:val="008F7EF9"/>
    <w:rsid w:val="00900495"/>
    <w:rsid w:val="00900927"/>
    <w:rsid w:val="00900A79"/>
    <w:rsid w:val="00900F30"/>
    <w:rsid w:val="0090203E"/>
    <w:rsid w:val="00902159"/>
    <w:rsid w:val="009023E2"/>
    <w:rsid w:val="009026B6"/>
    <w:rsid w:val="00902B08"/>
    <w:rsid w:val="00902D46"/>
    <w:rsid w:val="00903CE9"/>
    <w:rsid w:val="00903FB7"/>
    <w:rsid w:val="009046B4"/>
    <w:rsid w:val="009046D3"/>
    <w:rsid w:val="00904FD5"/>
    <w:rsid w:val="009052D7"/>
    <w:rsid w:val="00905466"/>
    <w:rsid w:val="00905C47"/>
    <w:rsid w:val="00905CBA"/>
    <w:rsid w:val="0090615F"/>
    <w:rsid w:val="00906248"/>
    <w:rsid w:val="0090671D"/>
    <w:rsid w:val="009068D5"/>
    <w:rsid w:val="00906AE3"/>
    <w:rsid w:val="00906CCE"/>
    <w:rsid w:val="0090746A"/>
    <w:rsid w:val="009078D6"/>
    <w:rsid w:val="0090790B"/>
    <w:rsid w:val="00907CE9"/>
    <w:rsid w:val="00907EB7"/>
    <w:rsid w:val="00910117"/>
    <w:rsid w:val="00910216"/>
    <w:rsid w:val="0091034E"/>
    <w:rsid w:val="00910609"/>
    <w:rsid w:val="00910AA5"/>
    <w:rsid w:val="009110F0"/>
    <w:rsid w:val="00911772"/>
    <w:rsid w:val="0091178B"/>
    <w:rsid w:val="00911832"/>
    <w:rsid w:val="00911AD9"/>
    <w:rsid w:val="00911ADE"/>
    <w:rsid w:val="00911CAF"/>
    <w:rsid w:val="00911DAD"/>
    <w:rsid w:val="00911E1E"/>
    <w:rsid w:val="00911EA4"/>
    <w:rsid w:val="00911F47"/>
    <w:rsid w:val="009125FD"/>
    <w:rsid w:val="009129BC"/>
    <w:rsid w:val="00912C44"/>
    <w:rsid w:val="00912E70"/>
    <w:rsid w:val="00912F51"/>
    <w:rsid w:val="0091378E"/>
    <w:rsid w:val="0091394A"/>
    <w:rsid w:val="009139F9"/>
    <w:rsid w:val="00913F95"/>
    <w:rsid w:val="0091416B"/>
    <w:rsid w:val="009141CF"/>
    <w:rsid w:val="009142E5"/>
    <w:rsid w:val="009144AE"/>
    <w:rsid w:val="00914644"/>
    <w:rsid w:val="009148E8"/>
    <w:rsid w:val="00914E35"/>
    <w:rsid w:val="009153A8"/>
    <w:rsid w:val="009155B0"/>
    <w:rsid w:val="0091577E"/>
    <w:rsid w:val="00915AC0"/>
    <w:rsid w:val="00915BA2"/>
    <w:rsid w:val="00915BD8"/>
    <w:rsid w:val="00915E29"/>
    <w:rsid w:val="009162DB"/>
    <w:rsid w:val="00916418"/>
    <w:rsid w:val="0091688B"/>
    <w:rsid w:val="00916D36"/>
    <w:rsid w:val="00917168"/>
    <w:rsid w:val="00917338"/>
    <w:rsid w:val="009174D5"/>
    <w:rsid w:val="00917E9F"/>
    <w:rsid w:val="00917F0B"/>
    <w:rsid w:val="00917FF2"/>
    <w:rsid w:val="00920200"/>
    <w:rsid w:val="00920237"/>
    <w:rsid w:val="0092040A"/>
    <w:rsid w:val="009204CC"/>
    <w:rsid w:val="00920506"/>
    <w:rsid w:val="0092083D"/>
    <w:rsid w:val="00920AB3"/>
    <w:rsid w:val="00920C19"/>
    <w:rsid w:val="00920D43"/>
    <w:rsid w:val="009212B0"/>
    <w:rsid w:val="00921485"/>
    <w:rsid w:val="009219F9"/>
    <w:rsid w:val="00922413"/>
    <w:rsid w:val="00922793"/>
    <w:rsid w:val="009227D1"/>
    <w:rsid w:val="00922A50"/>
    <w:rsid w:val="00922AD8"/>
    <w:rsid w:val="00922B68"/>
    <w:rsid w:val="00922C77"/>
    <w:rsid w:val="00922EBC"/>
    <w:rsid w:val="009230AA"/>
    <w:rsid w:val="009239B8"/>
    <w:rsid w:val="00923C23"/>
    <w:rsid w:val="00924105"/>
    <w:rsid w:val="009246B3"/>
    <w:rsid w:val="00924E7B"/>
    <w:rsid w:val="00925128"/>
    <w:rsid w:val="00925541"/>
    <w:rsid w:val="009256FE"/>
    <w:rsid w:val="00925CAD"/>
    <w:rsid w:val="0092694F"/>
    <w:rsid w:val="00927199"/>
    <w:rsid w:val="009277FD"/>
    <w:rsid w:val="00927825"/>
    <w:rsid w:val="00927973"/>
    <w:rsid w:val="00927C99"/>
    <w:rsid w:val="00927F2C"/>
    <w:rsid w:val="009303DE"/>
    <w:rsid w:val="009303F8"/>
    <w:rsid w:val="00930BC9"/>
    <w:rsid w:val="009310A7"/>
    <w:rsid w:val="00931283"/>
    <w:rsid w:val="009312D9"/>
    <w:rsid w:val="0093195D"/>
    <w:rsid w:val="00931AD5"/>
    <w:rsid w:val="00931B15"/>
    <w:rsid w:val="00931B8D"/>
    <w:rsid w:val="00931D60"/>
    <w:rsid w:val="00931F96"/>
    <w:rsid w:val="00932460"/>
    <w:rsid w:val="009324C7"/>
    <w:rsid w:val="0093263B"/>
    <w:rsid w:val="00932724"/>
    <w:rsid w:val="00932948"/>
    <w:rsid w:val="00932962"/>
    <w:rsid w:val="009329C1"/>
    <w:rsid w:val="00932CE1"/>
    <w:rsid w:val="009333B1"/>
    <w:rsid w:val="009335BC"/>
    <w:rsid w:val="009335DA"/>
    <w:rsid w:val="0093421C"/>
    <w:rsid w:val="00934D16"/>
    <w:rsid w:val="00934F5E"/>
    <w:rsid w:val="00935133"/>
    <w:rsid w:val="0093518C"/>
    <w:rsid w:val="009355BC"/>
    <w:rsid w:val="009359AB"/>
    <w:rsid w:val="00935E73"/>
    <w:rsid w:val="0093638C"/>
    <w:rsid w:val="009363FF"/>
    <w:rsid w:val="0093641C"/>
    <w:rsid w:val="00936845"/>
    <w:rsid w:val="009368F1"/>
    <w:rsid w:val="00936BD4"/>
    <w:rsid w:val="00936CE0"/>
    <w:rsid w:val="0093725F"/>
    <w:rsid w:val="00937534"/>
    <w:rsid w:val="00937FC3"/>
    <w:rsid w:val="0094087F"/>
    <w:rsid w:val="009409EA"/>
    <w:rsid w:val="00940D48"/>
    <w:rsid w:val="00941175"/>
    <w:rsid w:val="009412D6"/>
    <w:rsid w:val="00941464"/>
    <w:rsid w:val="00941683"/>
    <w:rsid w:val="00941DC2"/>
    <w:rsid w:val="00942363"/>
    <w:rsid w:val="00942822"/>
    <w:rsid w:val="00942B0D"/>
    <w:rsid w:val="00942BB2"/>
    <w:rsid w:val="009434C7"/>
    <w:rsid w:val="009439F8"/>
    <w:rsid w:val="009439FB"/>
    <w:rsid w:val="00943A7A"/>
    <w:rsid w:val="00943CDD"/>
    <w:rsid w:val="009446C7"/>
    <w:rsid w:val="009446CC"/>
    <w:rsid w:val="00944F36"/>
    <w:rsid w:val="0094527A"/>
    <w:rsid w:val="00945750"/>
    <w:rsid w:val="009457C8"/>
    <w:rsid w:val="009458A9"/>
    <w:rsid w:val="00945BF5"/>
    <w:rsid w:val="009463A6"/>
    <w:rsid w:val="00946DA2"/>
    <w:rsid w:val="00947497"/>
    <w:rsid w:val="009478A5"/>
    <w:rsid w:val="00947B35"/>
    <w:rsid w:val="00947B3E"/>
    <w:rsid w:val="00947C97"/>
    <w:rsid w:val="00947E91"/>
    <w:rsid w:val="00947FF8"/>
    <w:rsid w:val="0095049A"/>
    <w:rsid w:val="00950605"/>
    <w:rsid w:val="00950FBB"/>
    <w:rsid w:val="009512B4"/>
    <w:rsid w:val="009515D3"/>
    <w:rsid w:val="009516A4"/>
    <w:rsid w:val="00951CA8"/>
    <w:rsid w:val="00951D13"/>
    <w:rsid w:val="0095211D"/>
    <w:rsid w:val="009521D3"/>
    <w:rsid w:val="009521F7"/>
    <w:rsid w:val="009522A6"/>
    <w:rsid w:val="00952440"/>
    <w:rsid w:val="00952749"/>
    <w:rsid w:val="009529A2"/>
    <w:rsid w:val="00952F27"/>
    <w:rsid w:val="009530CA"/>
    <w:rsid w:val="009532BE"/>
    <w:rsid w:val="009533C6"/>
    <w:rsid w:val="009535FF"/>
    <w:rsid w:val="00953DA2"/>
    <w:rsid w:val="00953FEE"/>
    <w:rsid w:val="009544D4"/>
    <w:rsid w:val="00954B38"/>
    <w:rsid w:val="00954B52"/>
    <w:rsid w:val="00954C98"/>
    <w:rsid w:val="0095508A"/>
    <w:rsid w:val="00955317"/>
    <w:rsid w:val="009553DB"/>
    <w:rsid w:val="009554A6"/>
    <w:rsid w:val="0095563F"/>
    <w:rsid w:val="009556B9"/>
    <w:rsid w:val="00955C10"/>
    <w:rsid w:val="00955DA3"/>
    <w:rsid w:val="00955FA3"/>
    <w:rsid w:val="009560FB"/>
    <w:rsid w:val="00956196"/>
    <w:rsid w:val="009562EE"/>
    <w:rsid w:val="0095659A"/>
    <w:rsid w:val="009567C2"/>
    <w:rsid w:val="009567F0"/>
    <w:rsid w:val="009569C8"/>
    <w:rsid w:val="00956BE1"/>
    <w:rsid w:val="00956E0B"/>
    <w:rsid w:val="00956F9E"/>
    <w:rsid w:val="00957008"/>
    <w:rsid w:val="00957046"/>
    <w:rsid w:val="00957095"/>
    <w:rsid w:val="00957151"/>
    <w:rsid w:val="0095742F"/>
    <w:rsid w:val="0095796B"/>
    <w:rsid w:val="00957EE4"/>
    <w:rsid w:val="00957F1C"/>
    <w:rsid w:val="0096027B"/>
    <w:rsid w:val="009602CB"/>
    <w:rsid w:val="009605EB"/>
    <w:rsid w:val="00960693"/>
    <w:rsid w:val="00960851"/>
    <w:rsid w:val="0096089A"/>
    <w:rsid w:val="009611C1"/>
    <w:rsid w:val="0096126C"/>
    <w:rsid w:val="00961362"/>
    <w:rsid w:val="009615B1"/>
    <w:rsid w:val="00961B21"/>
    <w:rsid w:val="00961D71"/>
    <w:rsid w:val="00961F12"/>
    <w:rsid w:val="009625A8"/>
    <w:rsid w:val="0096275A"/>
    <w:rsid w:val="009629A0"/>
    <w:rsid w:val="00962AB6"/>
    <w:rsid w:val="00962AB7"/>
    <w:rsid w:val="009631E6"/>
    <w:rsid w:val="00963554"/>
    <w:rsid w:val="00963650"/>
    <w:rsid w:val="00963680"/>
    <w:rsid w:val="00963715"/>
    <w:rsid w:val="00963A79"/>
    <w:rsid w:val="00963F12"/>
    <w:rsid w:val="00963FBB"/>
    <w:rsid w:val="009644D4"/>
    <w:rsid w:val="00964647"/>
    <w:rsid w:val="00964844"/>
    <w:rsid w:val="00964CD2"/>
    <w:rsid w:val="00964CF6"/>
    <w:rsid w:val="00964E4B"/>
    <w:rsid w:val="00965666"/>
    <w:rsid w:val="0096583A"/>
    <w:rsid w:val="00965A17"/>
    <w:rsid w:val="00965ABC"/>
    <w:rsid w:val="00965B34"/>
    <w:rsid w:val="00965C04"/>
    <w:rsid w:val="00965E61"/>
    <w:rsid w:val="009660C3"/>
    <w:rsid w:val="00966310"/>
    <w:rsid w:val="00966400"/>
    <w:rsid w:val="009667A2"/>
    <w:rsid w:val="00966967"/>
    <w:rsid w:val="00966BAC"/>
    <w:rsid w:val="0096773B"/>
    <w:rsid w:val="009677B9"/>
    <w:rsid w:val="009678E8"/>
    <w:rsid w:val="0096797E"/>
    <w:rsid w:val="00967B44"/>
    <w:rsid w:val="00967CF7"/>
    <w:rsid w:val="00967E07"/>
    <w:rsid w:val="009701C6"/>
    <w:rsid w:val="00970274"/>
    <w:rsid w:val="0097048D"/>
    <w:rsid w:val="00970581"/>
    <w:rsid w:val="00970D3B"/>
    <w:rsid w:val="00970E91"/>
    <w:rsid w:val="009710F9"/>
    <w:rsid w:val="009715FB"/>
    <w:rsid w:val="00971708"/>
    <w:rsid w:val="00971715"/>
    <w:rsid w:val="00971852"/>
    <w:rsid w:val="00971928"/>
    <w:rsid w:val="00971AB8"/>
    <w:rsid w:val="00971D59"/>
    <w:rsid w:val="00971ED0"/>
    <w:rsid w:val="00971FFC"/>
    <w:rsid w:val="00972041"/>
    <w:rsid w:val="00972057"/>
    <w:rsid w:val="0097243A"/>
    <w:rsid w:val="0097274B"/>
    <w:rsid w:val="00973023"/>
    <w:rsid w:val="0097326A"/>
    <w:rsid w:val="00973AD0"/>
    <w:rsid w:val="00973D6E"/>
    <w:rsid w:val="00973E11"/>
    <w:rsid w:val="00973F74"/>
    <w:rsid w:val="00974B9D"/>
    <w:rsid w:val="00974FEB"/>
    <w:rsid w:val="009750D1"/>
    <w:rsid w:val="00975688"/>
    <w:rsid w:val="00975BB0"/>
    <w:rsid w:val="00975FF2"/>
    <w:rsid w:val="00976013"/>
    <w:rsid w:val="009763FC"/>
    <w:rsid w:val="00976552"/>
    <w:rsid w:val="00976C53"/>
    <w:rsid w:val="00976FFC"/>
    <w:rsid w:val="009771E4"/>
    <w:rsid w:val="00977387"/>
    <w:rsid w:val="009801C4"/>
    <w:rsid w:val="0098047D"/>
    <w:rsid w:val="00980BAD"/>
    <w:rsid w:val="00980C38"/>
    <w:rsid w:val="00981244"/>
    <w:rsid w:val="0098139A"/>
    <w:rsid w:val="0098182A"/>
    <w:rsid w:val="00981B25"/>
    <w:rsid w:val="00981F3F"/>
    <w:rsid w:val="00981F4F"/>
    <w:rsid w:val="00982864"/>
    <w:rsid w:val="009831B4"/>
    <w:rsid w:val="00983382"/>
    <w:rsid w:val="0098344D"/>
    <w:rsid w:val="00983972"/>
    <w:rsid w:val="009848A6"/>
    <w:rsid w:val="00985762"/>
    <w:rsid w:val="00985C6D"/>
    <w:rsid w:val="00985C7F"/>
    <w:rsid w:val="00985DA9"/>
    <w:rsid w:val="009861A9"/>
    <w:rsid w:val="009863F4"/>
    <w:rsid w:val="009868ED"/>
    <w:rsid w:val="00986A74"/>
    <w:rsid w:val="00986CD3"/>
    <w:rsid w:val="0098709F"/>
    <w:rsid w:val="009870B1"/>
    <w:rsid w:val="00987442"/>
    <w:rsid w:val="009874B8"/>
    <w:rsid w:val="00987559"/>
    <w:rsid w:val="00987823"/>
    <w:rsid w:val="00987983"/>
    <w:rsid w:val="00990103"/>
    <w:rsid w:val="0099011A"/>
    <w:rsid w:val="00990297"/>
    <w:rsid w:val="009903AA"/>
    <w:rsid w:val="00990452"/>
    <w:rsid w:val="0099063F"/>
    <w:rsid w:val="0099073E"/>
    <w:rsid w:val="009907C9"/>
    <w:rsid w:val="009913C5"/>
    <w:rsid w:val="009915D1"/>
    <w:rsid w:val="0099163C"/>
    <w:rsid w:val="00991787"/>
    <w:rsid w:val="00991A9A"/>
    <w:rsid w:val="00991CFE"/>
    <w:rsid w:val="00992121"/>
    <w:rsid w:val="00992A81"/>
    <w:rsid w:val="00992B64"/>
    <w:rsid w:val="00992C7D"/>
    <w:rsid w:val="00992C86"/>
    <w:rsid w:val="00992DE9"/>
    <w:rsid w:val="00992E88"/>
    <w:rsid w:val="009930F5"/>
    <w:rsid w:val="00993A74"/>
    <w:rsid w:val="0099420A"/>
    <w:rsid w:val="009942EE"/>
    <w:rsid w:val="009946C4"/>
    <w:rsid w:val="0099483E"/>
    <w:rsid w:val="0099484F"/>
    <w:rsid w:val="00994C11"/>
    <w:rsid w:val="00994CA0"/>
    <w:rsid w:val="00994DBA"/>
    <w:rsid w:val="00994FF2"/>
    <w:rsid w:val="00995145"/>
    <w:rsid w:val="009954AF"/>
    <w:rsid w:val="009958D8"/>
    <w:rsid w:val="00995DAE"/>
    <w:rsid w:val="00995EAA"/>
    <w:rsid w:val="0099610A"/>
    <w:rsid w:val="009963A5"/>
    <w:rsid w:val="0099648C"/>
    <w:rsid w:val="009965B7"/>
    <w:rsid w:val="0099729D"/>
    <w:rsid w:val="0099776A"/>
    <w:rsid w:val="00997F98"/>
    <w:rsid w:val="009A0308"/>
    <w:rsid w:val="009A061C"/>
    <w:rsid w:val="009A0DEE"/>
    <w:rsid w:val="009A11C7"/>
    <w:rsid w:val="009A11E3"/>
    <w:rsid w:val="009A12DC"/>
    <w:rsid w:val="009A16E2"/>
    <w:rsid w:val="009A1817"/>
    <w:rsid w:val="009A1825"/>
    <w:rsid w:val="009A1A60"/>
    <w:rsid w:val="009A1BA7"/>
    <w:rsid w:val="009A27D3"/>
    <w:rsid w:val="009A2B4C"/>
    <w:rsid w:val="009A316C"/>
    <w:rsid w:val="009A3191"/>
    <w:rsid w:val="009A3321"/>
    <w:rsid w:val="009A35E6"/>
    <w:rsid w:val="009A3E00"/>
    <w:rsid w:val="009A3F10"/>
    <w:rsid w:val="009A437C"/>
    <w:rsid w:val="009A4943"/>
    <w:rsid w:val="009A4A6D"/>
    <w:rsid w:val="009A4F88"/>
    <w:rsid w:val="009A5050"/>
    <w:rsid w:val="009A51A9"/>
    <w:rsid w:val="009A5D90"/>
    <w:rsid w:val="009A5EF7"/>
    <w:rsid w:val="009A6575"/>
    <w:rsid w:val="009A667D"/>
    <w:rsid w:val="009A68E3"/>
    <w:rsid w:val="009A6A1E"/>
    <w:rsid w:val="009A6B43"/>
    <w:rsid w:val="009A7383"/>
    <w:rsid w:val="009A78E5"/>
    <w:rsid w:val="009A793B"/>
    <w:rsid w:val="009A7994"/>
    <w:rsid w:val="009A7B37"/>
    <w:rsid w:val="009A7DAC"/>
    <w:rsid w:val="009B0422"/>
    <w:rsid w:val="009B07A5"/>
    <w:rsid w:val="009B0984"/>
    <w:rsid w:val="009B0C1B"/>
    <w:rsid w:val="009B0ECB"/>
    <w:rsid w:val="009B0FB1"/>
    <w:rsid w:val="009B0FB2"/>
    <w:rsid w:val="009B102E"/>
    <w:rsid w:val="009B1E9C"/>
    <w:rsid w:val="009B1EB3"/>
    <w:rsid w:val="009B1FD9"/>
    <w:rsid w:val="009B2103"/>
    <w:rsid w:val="009B26E4"/>
    <w:rsid w:val="009B2E0B"/>
    <w:rsid w:val="009B37AA"/>
    <w:rsid w:val="009B389B"/>
    <w:rsid w:val="009B3993"/>
    <w:rsid w:val="009B3BFC"/>
    <w:rsid w:val="009B3CD1"/>
    <w:rsid w:val="009B3F24"/>
    <w:rsid w:val="009B4224"/>
    <w:rsid w:val="009B4546"/>
    <w:rsid w:val="009B4615"/>
    <w:rsid w:val="009B4927"/>
    <w:rsid w:val="009B4BF9"/>
    <w:rsid w:val="009B4D9E"/>
    <w:rsid w:val="009B5127"/>
    <w:rsid w:val="009B557A"/>
    <w:rsid w:val="009B5B80"/>
    <w:rsid w:val="009B6520"/>
    <w:rsid w:val="009B65B1"/>
    <w:rsid w:val="009B7914"/>
    <w:rsid w:val="009B79CE"/>
    <w:rsid w:val="009B7D62"/>
    <w:rsid w:val="009C003E"/>
    <w:rsid w:val="009C023E"/>
    <w:rsid w:val="009C033B"/>
    <w:rsid w:val="009C0490"/>
    <w:rsid w:val="009C0568"/>
    <w:rsid w:val="009C0A67"/>
    <w:rsid w:val="009C0A99"/>
    <w:rsid w:val="009C0ACB"/>
    <w:rsid w:val="009C0BE9"/>
    <w:rsid w:val="009C0C39"/>
    <w:rsid w:val="009C0CDD"/>
    <w:rsid w:val="009C1360"/>
    <w:rsid w:val="009C1A31"/>
    <w:rsid w:val="009C1E5E"/>
    <w:rsid w:val="009C1EBC"/>
    <w:rsid w:val="009C25B8"/>
    <w:rsid w:val="009C289E"/>
    <w:rsid w:val="009C28F1"/>
    <w:rsid w:val="009C295C"/>
    <w:rsid w:val="009C2D6F"/>
    <w:rsid w:val="009C2E0C"/>
    <w:rsid w:val="009C30D6"/>
    <w:rsid w:val="009C3193"/>
    <w:rsid w:val="009C34E7"/>
    <w:rsid w:val="009C362B"/>
    <w:rsid w:val="009C36F9"/>
    <w:rsid w:val="009C3F2B"/>
    <w:rsid w:val="009C40FA"/>
    <w:rsid w:val="009C413A"/>
    <w:rsid w:val="009C473F"/>
    <w:rsid w:val="009C49A0"/>
    <w:rsid w:val="009C4EA7"/>
    <w:rsid w:val="009C4F04"/>
    <w:rsid w:val="009C5939"/>
    <w:rsid w:val="009C59AD"/>
    <w:rsid w:val="009C59FE"/>
    <w:rsid w:val="009C7023"/>
    <w:rsid w:val="009C7104"/>
    <w:rsid w:val="009C72EC"/>
    <w:rsid w:val="009C72FA"/>
    <w:rsid w:val="009C762F"/>
    <w:rsid w:val="009C7A5F"/>
    <w:rsid w:val="009C7B46"/>
    <w:rsid w:val="009C7B49"/>
    <w:rsid w:val="009C7B5E"/>
    <w:rsid w:val="009C7C13"/>
    <w:rsid w:val="009C7DA7"/>
    <w:rsid w:val="009C7E9A"/>
    <w:rsid w:val="009C7F4B"/>
    <w:rsid w:val="009D0008"/>
    <w:rsid w:val="009D00C1"/>
    <w:rsid w:val="009D0148"/>
    <w:rsid w:val="009D0259"/>
    <w:rsid w:val="009D055E"/>
    <w:rsid w:val="009D0B69"/>
    <w:rsid w:val="009D0BB3"/>
    <w:rsid w:val="009D0CAA"/>
    <w:rsid w:val="009D13DE"/>
    <w:rsid w:val="009D13E4"/>
    <w:rsid w:val="009D1680"/>
    <w:rsid w:val="009D19D5"/>
    <w:rsid w:val="009D2266"/>
    <w:rsid w:val="009D2560"/>
    <w:rsid w:val="009D2990"/>
    <w:rsid w:val="009D2C1A"/>
    <w:rsid w:val="009D2C46"/>
    <w:rsid w:val="009D2CEA"/>
    <w:rsid w:val="009D3041"/>
    <w:rsid w:val="009D316D"/>
    <w:rsid w:val="009D31CD"/>
    <w:rsid w:val="009D330C"/>
    <w:rsid w:val="009D3830"/>
    <w:rsid w:val="009D390D"/>
    <w:rsid w:val="009D3972"/>
    <w:rsid w:val="009D4082"/>
    <w:rsid w:val="009D411A"/>
    <w:rsid w:val="009D44AC"/>
    <w:rsid w:val="009D459D"/>
    <w:rsid w:val="009D4700"/>
    <w:rsid w:val="009D47C1"/>
    <w:rsid w:val="009D4805"/>
    <w:rsid w:val="009D4EB0"/>
    <w:rsid w:val="009D4EE3"/>
    <w:rsid w:val="009D4EED"/>
    <w:rsid w:val="009D4F33"/>
    <w:rsid w:val="009D548A"/>
    <w:rsid w:val="009D57A6"/>
    <w:rsid w:val="009D59DD"/>
    <w:rsid w:val="009D5AF3"/>
    <w:rsid w:val="009D5F16"/>
    <w:rsid w:val="009D604A"/>
    <w:rsid w:val="009D60F4"/>
    <w:rsid w:val="009D642A"/>
    <w:rsid w:val="009D66C2"/>
    <w:rsid w:val="009D6B4E"/>
    <w:rsid w:val="009D6D56"/>
    <w:rsid w:val="009D6FB6"/>
    <w:rsid w:val="009D7052"/>
    <w:rsid w:val="009D715F"/>
    <w:rsid w:val="009D71EE"/>
    <w:rsid w:val="009D7320"/>
    <w:rsid w:val="009D787A"/>
    <w:rsid w:val="009D79E4"/>
    <w:rsid w:val="009D7E1B"/>
    <w:rsid w:val="009E024C"/>
    <w:rsid w:val="009E080B"/>
    <w:rsid w:val="009E0A43"/>
    <w:rsid w:val="009E0C3C"/>
    <w:rsid w:val="009E1728"/>
    <w:rsid w:val="009E1D3B"/>
    <w:rsid w:val="009E20D1"/>
    <w:rsid w:val="009E22E2"/>
    <w:rsid w:val="009E2D49"/>
    <w:rsid w:val="009E2EF4"/>
    <w:rsid w:val="009E307C"/>
    <w:rsid w:val="009E30CF"/>
    <w:rsid w:val="009E31C5"/>
    <w:rsid w:val="009E33ED"/>
    <w:rsid w:val="009E3414"/>
    <w:rsid w:val="009E3531"/>
    <w:rsid w:val="009E38FE"/>
    <w:rsid w:val="009E40D9"/>
    <w:rsid w:val="009E4D93"/>
    <w:rsid w:val="009E508D"/>
    <w:rsid w:val="009E55BF"/>
    <w:rsid w:val="009E5BAC"/>
    <w:rsid w:val="009E6385"/>
    <w:rsid w:val="009E642E"/>
    <w:rsid w:val="009E64CB"/>
    <w:rsid w:val="009E656C"/>
    <w:rsid w:val="009E6830"/>
    <w:rsid w:val="009E6A51"/>
    <w:rsid w:val="009E6E2B"/>
    <w:rsid w:val="009E6FCD"/>
    <w:rsid w:val="009E77D5"/>
    <w:rsid w:val="009E7FF3"/>
    <w:rsid w:val="009F036F"/>
    <w:rsid w:val="009F058A"/>
    <w:rsid w:val="009F0813"/>
    <w:rsid w:val="009F0876"/>
    <w:rsid w:val="009F0A55"/>
    <w:rsid w:val="009F0BAF"/>
    <w:rsid w:val="009F0D10"/>
    <w:rsid w:val="009F11B0"/>
    <w:rsid w:val="009F12F3"/>
    <w:rsid w:val="009F1B54"/>
    <w:rsid w:val="009F1C96"/>
    <w:rsid w:val="009F1CF2"/>
    <w:rsid w:val="009F1FD4"/>
    <w:rsid w:val="009F225E"/>
    <w:rsid w:val="009F22AE"/>
    <w:rsid w:val="009F22C1"/>
    <w:rsid w:val="009F2628"/>
    <w:rsid w:val="009F26EA"/>
    <w:rsid w:val="009F2865"/>
    <w:rsid w:val="009F2A03"/>
    <w:rsid w:val="009F2DE7"/>
    <w:rsid w:val="009F327A"/>
    <w:rsid w:val="009F3403"/>
    <w:rsid w:val="009F35E5"/>
    <w:rsid w:val="009F406F"/>
    <w:rsid w:val="009F424B"/>
    <w:rsid w:val="009F431C"/>
    <w:rsid w:val="009F434E"/>
    <w:rsid w:val="009F4352"/>
    <w:rsid w:val="009F45BF"/>
    <w:rsid w:val="009F470D"/>
    <w:rsid w:val="009F4E8F"/>
    <w:rsid w:val="009F4EF4"/>
    <w:rsid w:val="009F522D"/>
    <w:rsid w:val="009F53F3"/>
    <w:rsid w:val="009F55FD"/>
    <w:rsid w:val="009F5782"/>
    <w:rsid w:val="009F591F"/>
    <w:rsid w:val="009F5B93"/>
    <w:rsid w:val="009F642C"/>
    <w:rsid w:val="009F64E8"/>
    <w:rsid w:val="009F6F64"/>
    <w:rsid w:val="009F7017"/>
    <w:rsid w:val="009F7BF9"/>
    <w:rsid w:val="009F7E51"/>
    <w:rsid w:val="00A001E2"/>
    <w:rsid w:val="00A0045D"/>
    <w:rsid w:val="00A00502"/>
    <w:rsid w:val="00A00904"/>
    <w:rsid w:val="00A0090C"/>
    <w:rsid w:val="00A0100F"/>
    <w:rsid w:val="00A013ED"/>
    <w:rsid w:val="00A01C30"/>
    <w:rsid w:val="00A01C54"/>
    <w:rsid w:val="00A01DF2"/>
    <w:rsid w:val="00A01EA6"/>
    <w:rsid w:val="00A01EB8"/>
    <w:rsid w:val="00A02439"/>
    <w:rsid w:val="00A027B1"/>
    <w:rsid w:val="00A03201"/>
    <w:rsid w:val="00A032AC"/>
    <w:rsid w:val="00A03888"/>
    <w:rsid w:val="00A03A28"/>
    <w:rsid w:val="00A03B5F"/>
    <w:rsid w:val="00A03C1C"/>
    <w:rsid w:val="00A03FB7"/>
    <w:rsid w:val="00A04663"/>
    <w:rsid w:val="00A04720"/>
    <w:rsid w:val="00A047A4"/>
    <w:rsid w:val="00A04AD4"/>
    <w:rsid w:val="00A04B86"/>
    <w:rsid w:val="00A04F10"/>
    <w:rsid w:val="00A04F1C"/>
    <w:rsid w:val="00A052EB"/>
    <w:rsid w:val="00A05433"/>
    <w:rsid w:val="00A058F9"/>
    <w:rsid w:val="00A0623E"/>
    <w:rsid w:val="00A067DB"/>
    <w:rsid w:val="00A069CB"/>
    <w:rsid w:val="00A06C7F"/>
    <w:rsid w:val="00A06E05"/>
    <w:rsid w:val="00A06F82"/>
    <w:rsid w:val="00A07263"/>
    <w:rsid w:val="00A07330"/>
    <w:rsid w:val="00A07998"/>
    <w:rsid w:val="00A07F43"/>
    <w:rsid w:val="00A10483"/>
    <w:rsid w:val="00A1063F"/>
    <w:rsid w:val="00A113B2"/>
    <w:rsid w:val="00A11794"/>
    <w:rsid w:val="00A11CA3"/>
    <w:rsid w:val="00A11E4D"/>
    <w:rsid w:val="00A1211F"/>
    <w:rsid w:val="00A12407"/>
    <w:rsid w:val="00A12582"/>
    <w:rsid w:val="00A12663"/>
    <w:rsid w:val="00A12E97"/>
    <w:rsid w:val="00A13077"/>
    <w:rsid w:val="00A134BA"/>
    <w:rsid w:val="00A134D8"/>
    <w:rsid w:val="00A137C8"/>
    <w:rsid w:val="00A138D2"/>
    <w:rsid w:val="00A13E40"/>
    <w:rsid w:val="00A14266"/>
    <w:rsid w:val="00A14B79"/>
    <w:rsid w:val="00A15240"/>
    <w:rsid w:val="00A15357"/>
    <w:rsid w:val="00A1537E"/>
    <w:rsid w:val="00A154CD"/>
    <w:rsid w:val="00A156FA"/>
    <w:rsid w:val="00A1587A"/>
    <w:rsid w:val="00A15B42"/>
    <w:rsid w:val="00A15C65"/>
    <w:rsid w:val="00A15FF4"/>
    <w:rsid w:val="00A1714A"/>
    <w:rsid w:val="00A1725C"/>
    <w:rsid w:val="00A1734A"/>
    <w:rsid w:val="00A17FC6"/>
    <w:rsid w:val="00A202AF"/>
    <w:rsid w:val="00A20472"/>
    <w:rsid w:val="00A20C10"/>
    <w:rsid w:val="00A20CA7"/>
    <w:rsid w:val="00A212C9"/>
    <w:rsid w:val="00A2164C"/>
    <w:rsid w:val="00A21742"/>
    <w:rsid w:val="00A2186F"/>
    <w:rsid w:val="00A21E6F"/>
    <w:rsid w:val="00A2206D"/>
    <w:rsid w:val="00A22105"/>
    <w:rsid w:val="00A224DE"/>
    <w:rsid w:val="00A22686"/>
    <w:rsid w:val="00A22A23"/>
    <w:rsid w:val="00A23019"/>
    <w:rsid w:val="00A233F9"/>
    <w:rsid w:val="00A23402"/>
    <w:rsid w:val="00A23B3A"/>
    <w:rsid w:val="00A23C48"/>
    <w:rsid w:val="00A23F41"/>
    <w:rsid w:val="00A23F58"/>
    <w:rsid w:val="00A23FF9"/>
    <w:rsid w:val="00A24123"/>
    <w:rsid w:val="00A24624"/>
    <w:rsid w:val="00A2465C"/>
    <w:rsid w:val="00A24AD6"/>
    <w:rsid w:val="00A24EC1"/>
    <w:rsid w:val="00A256BB"/>
    <w:rsid w:val="00A25BC9"/>
    <w:rsid w:val="00A25D30"/>
    <w:rsid w:val="00A2613A"/>
    <w:rsid w:val="00A2785C"/>
    <w:rsid w:val="00A27A51"/>
    <w:rsid w:val="00A27D5A"/>
    <w:rsid w:val="00A302F5"/>
    <w:rsid w:val="00A304AE"/>
    <w:rsid w:val="00A30CD7"/>
    <w:rsid w:val="00A30DD1"/>
    <w:rsid w:val="00A31105"/>
    <w:rsid w:val="00A3113A"/>
    <w:rsid w:val="00A3133F"/>
    <w:rsid w:val="00A31373"/>
    <w:rsid w:val="00A31869"/>
    <w:rsid w:val="00A31A8A"/>
    <w:rsid w:val="00A31E0C"/>
    <w:rsid w:val="00A32227"/>
    <w:rsid w:val="00A3235A"/>
    <w:rsid w:val="00A32505"/>
    <w:rsid w:val="00A3263D"/>
    <w:rsid w:val="00A328F4"/>
    <w:rsid w:val="00A32CB7"/>
    <w:rsid w:val="00A33011"/>
    <w:rsid w:val="00A333E5"/>
    <w:rsid w:val="00A33841"/>
    <w:rsid w:val="00A33872"/>
    <w:rsid w:val="00A33DDA"/>
    <w:rsid w:val="00A33FCC"/>
    <w:rsid w:val="00A3442C"/>
    <w:rsid w:val="00A3449E"/>
    <w:rsid w:val="00A3466C"/>
    <w:rsid w:val="00A34BEB"/>
    <w:rsid w:val="00A3557C"/>
    <w:rsid w:val="00A35742"/>
    <w:rsid w:val="00A3608B"/>
    <w:rsid w:val="00A360E3"/>
    <w:rsid w:val="00A36148"/>
    <w:rsid w:val="00A36419"/>
    <w:rsid w:val="00A36571"/>
    <w:rsid w:val="00A36582"/>
    <w:rsid w:val="00A3661B"/>
    <w:rsid w:val="00A367A9"/>
    <w:rsid w:val="00A36884"/>
    <w:rsid w:val="00A36A29"/>
    <w:rsid w:val="00A36DF2"/>
    <w:rsid w:val="00A36E70"/>
    <w:rsid w:val="00A36F63"/>
    <w:rsid w:val="00A370B3"/>
    <w:rsid w:val="00A37248"/>
    <w:rsid w:val="00A37337"/>
    <w:rsid w:val="00A374BA"/>
    <w:rsid w:val="00A40202"/>
    <w:rsid w:val="00A4028C"/>
    <w:rsid w:val="00A403FD"/>
    <w:rsid w:val="00A40500"/>
    <w:rsid w:val="00A40D01"/>
    <w:rsid w:val="00A41070"/>
    <w:rsid w:val="00A41378"/>
    <w:rsid w:val="00A415D8"/>
    <w:rsid w:val="00A41729"/>
    <w:rsid w:val="00A41AB9"/>
    <w:rsid w:val="00A41AE1"/>
    <w:rsid w:val="00A422C8"/>
    <w:rsid w:val="00A42491"/>
    <w:rsid w:val="00A425C8"/>
    <w:rsid w:val="00A42B8B"/>
    <w:rsid w:val="00A42C29"/>
    <w:rsid w:val="00A42CB6"/>
    <w:rsid w:val="00A4307D"/>
    <w:rsid w:val="00A4315F"/>
    <w:rsid w:val="00A43571"/>
    <w:rsid w:val="00A43714"/>
    <w:rsid w:val="00A43B9B"/>
    <w:rsid w:val="00A43D4B"/>
    <w:rsid w:val="00A43E29"/>
    <w:rsid w:val="00A43F15"/>
    <w:rsid w:val="00A447A2"/>
    <w:rsid w:val="00A4517B"/>
    <w:rsid w:val="00A4526B"/>
    <w:rsid w:val="00A452AD"/>
    <w:rsid w:val="00A452DC"/>
    <w:rsid w:val="00A45578"/>
    <w:rsid w:val="00A45793"/>
    <w:rsid w:val="00A458F8"/>
    <w:rsid w:val="00A45CEB"/>
    <w:rsid w:val="00A4612E"/>
    <w:rsid w:val="00A4627C"/>
    <w:rsid w:val="00A4668B"/>
    <w:rsid w:val="00A46959"/>
    <w:rsid w:val="00A46BBA"/>
    <w:rsid w:val="00A46C74"/>
    <w:rsid w:val="00A47004"/>
    <w:rsid w:val="00A4721F"/>
    <w:rsid w:val="00A47414"/>
    <w:rsid w:val="00A47792"/>
    <w:rsid w:val="00A479CC"/>
    <w:rsid w:val="00A47D9A"/>
    <w:rsid w:val="00A509EE"/>
    <w:rsid w:val="00A50BB5"/>
    <w:rsid w:val="00A510F2"/>
    <w:rsid w:val="00A51451"/>
    <w:rsid w:val="00A515D0"/>
    <w:rsid w:val="00A517D3"/>
    <w:rsid w:val="00A51B57"/>
    <w:rsid w:val="00A51EC1"/>
    <w:rsid w:val="00A51F68"/>
    <w:rsid w:val="00A5265A"/>
    <w:rsid w:val="00A52884"/>
    <w:rsid w:val="00A52BB6"/>
    <w:rsid w:val="00A5332E"/>
    <w:rsid w:val="00A537E6"/>
    <w:rsid w:val="00A541C8"/>
    <w:rsid w:val="00A542EE"/>
    <w:rsid w:val="00A544E8"/>
    <w:rsid w:val="00A549B8"/>
    <w:rsid w:val="00A54A01"/>
    <w:rsid w:val="00A54AD7"/>
    <w:rsid w:val="00A54BDD"/>
    <w:rsid w:val="00A54D47"/>
    <w:rsid w:val="00A54EE5"/>
    <w:rsid w:val="00A55189"/>
    <w:rsid w:val="00A55202"/>
    <w:rsid w:val="00A556E8"/>
    <w:rsid w:val="00A55BC7"/>
    <w:rsid w:val="00A55D3A"/>
    <w:rsid w:val="00A5602F"/>
    <w:rsid w:val="00A5635C"/>
    <w:rsid w:val="00A56386"/>
    <w:rsid w:val="00A5663C"/>
    <w:rsid w:val="00A56896"/>
    <w:rsid w:val="00A56951"/>
    <w:rsid w:val="00A569CE"/>
    <w:rsid w:val="00A56A63"/>
    <w:rsid w:val="00A56DAE"/>
    <w:rsid w:val="00A57031"/>
    <w:rsid w:val="00A570C0"/>
    <w:rsid w:val="00A576D7"/>
    <w:rsid w:val="00A57833"/>
    <w:rsid w:val="00A601D8"/>
    <w:rsid w:val="00A602D2"/>
    <w:rsid w:val="00A60522"/>
    <w:rsid w:val="00A6079E"/>
    <w:rsid w:val="00A60ABB"/>
    <w:rsid w:val="00A611B6"/>
    <w:rsid w:val="00A6148D"/>
    <w:rsid w:val="00A615EC"/>
    <w:rsid w:val="00A61C33"/>
    <w:rsid w:val="00A61E75"/>
    <w:rsid w:val="00A61FFD"/>
    <w:rsid w:val="00A62219"/>
    <w:rsid w:val="00A62307"/>
    <w:rsid w:val="00A62384"/>
    <w:rsid w:val="00A6279D"/>
    <w:rsid w:val="00A628A7"/>
    <w:rsid w:val="00A62C6F"/>
    <w:rsid w:val="00A634B9"/>
    <w:rsid w:val="00A63649"/>
    <w:rsid w:val="00A6373D"/>
    <w:rsid w:val="00A6383B"/>
    <w:rsid w:val="00A63864"/>
    <w:rsid w:val="00A64A6F"/>
    <w:rsid w:val="00A64FBF"/>
    <w:rsid w:val="00A65139"/>
    <w:rsid w:val="00A654A0"/>
    <w:rsid w:val="00A6565F"/>
    <w:rsid w:val="00A65805"/>
    <w:rsid w:val="00A65947"/>
    <w:rsid w:val="00A65C62"/>
    <w:rsid w:val="00A65E9C"/>
    <w:rsid w:val="00A65EB4"/>
    <w:rsid w:val="00A66245"/>
    <w:rsid w:val="00A66441"/>
    <w:rsid w:val="00A6647D"/>
    <w:rsid w:val="00A664FA"/>
    <w:rsid w:val="00A6655A"/>
    <w:rsid w:val="00A668AC"/>
    <w:rsid w:val="00A668D1"/>
    <w:rsid w:val="00A66B66"/>
    <w:rsid w:val="00A67368"/>
    <w:rsid w:val="00A6761F"/>
    <w:rsid w:val="00A6799C"/>
    <w:rsid w:val="00A67B18"/>
    <w:rsid w:val="00A67B62"/>
    <w:rsid w:val="00A67E6C"/>
    <w:rsid w:val="00A70204"/>
    <w:rsid w:val="00A70533"/>
    <w:rsid w:val="00A70938"/>
    <w:rsid w:val="00A717D3"/>
    <w:rsid w:val="00A718C8"/>
    <w:rsid w:val="00A71A4A"/>
    <w:rsid w:val="00A71C30"/>
    <w:rsid w:val="00A71D77"/>
    <w:rsid w:val="00A723D5"/>
    <w:rsid w:val="00A72402"/>
    <w:rsid w:val="00A725F2"/>
    <w:rsid w:val="00A72710"/>
    <w:rsid w:val="00A72ACA"/>
    <w:rsid w:val="00A72B3A"/>
    <w:rsid w:val="00A732E0"/>
    <w:rsid w:val="00A73927"/>
    <w:rsid w:val="00A73D1E"/>
    <w:rsid w:val="00A73EA2"/>
    <w:rsid w:val="00A74496"/>
    <w:rsid w:val="00A751E4"/>
    <w:rsid w:val="00A7524F"/>
    <w:rsid w:val="00A752B1"/>
    <w:rsid w:val="00A753B8"/>
    <w:rsid w:val="00A757C3"/>
    <w:rsid w:val="00A7582C"/>
    <w:rsid w:val="00A75997"/>
    <w:rsid w:val="00A76142"/>
    <w:rsid w:val="00A762BD"/>
    <w:rsid w:val="00A76428"/>
    <w:rsid w:val="00A7660A"/>
    <w:rsid w:val="00A76634"/>
    <w:rsid w:val="00A76671"/>
    <w:rsid w:val="00A7670D"/>
    <w:rsid w:val="00A76854"/>
    <w:rsid w:val="00A7700F"/>
    <w:rsid w:val="00A770C9"/>
    <w:rsid w:val="00A772A8"/>
    <w:rsid w:val="00A777D2"/>
    <w:rsid w:val="00A77C51"/>
    <w:rsid w:val="00A77C69"/>
    <w:rsid w:val="00A77D1F"/>
    <w:rsid w:val="00A800FB"/>
    <w:rsid w:val="00A80240"/>
    <w:rsid w:val="00A8078B"/>
    <w:rsid w:val="00A8093E"/>
    <w:rsid w:val="00A8096A"/>
    <w:rsid w:val="00A809BB"/>
    <w:rsid w:val="00A8101B"/>
    <w:rsid w:val="00A812F2"/>
    <w:rsid w:val="00A81342"/>
    <w:rsid w:val="00A814C4"/>
    <w:rsid w:val="00A815F7"/>
    <w:rsid w:val="00A817A2"/>
    <w:rsid w:val="00A818C7"/>
    <w:rsid w:val="00A81E34"/>
    <w:rsid w:val="00A81F1B"/>
    <w:rsid w:val="00A82452"/>
    <w:rsid w:val="00A8283D"/>
    <w:rsid w:val="00A82B7B"/>
    <w:rsid w:val="00A82D1A"/>
    <w:rsid w:val="00A82F4B"/>
    <w:rsid w:val="00A8302F"/>
    <w:rsid w:val="00A83117"/>
    <w:rsid w:val="00A8352D"/>
    <w:rsid w:val="00A83A22"/>
    <w:rsid w:val="00A83DCA"/>
    <w:rsid w:val="00A83F42"/>
    <w:rsid w:val="00A840E7"/>
    <w:rsid w:val="00A849FC"/>
    <w:rsid w:val="00A84E55"/>
    <w:rsid w:val="00A8507A"/>
    <w:rsid w:val="00A86581"/>
    <w:rsid w:val="00A86640"/>
    <w:rsid w:val="00A867F2"/>
    <w:rsid w:val="00A868BE"/>
    <w:rsid w:val="00A86D14"/>
    <w:rsid w:val="00A86E1F"/>
    <w:rsid w:val="00A87224"/>
    <w:rsid w:val="00A873D4"/>
    <w:rsid w:val="00A874CE"/>
    <w:rsid w:val="00A8756B"/>
    <w:rsid w:val="00A878E4"/>
    <w:rsid w:val="00A87A13"/>
    <w:rsid w:val="00A87DA2"/>
    <w:rsid w:val="00A87E0D"/>
    <w:rsid w:val="00A90031"/>
    <w:rsid w:val="00A90191"/>
    <w:rsid w:val="00A901D7"/>
    <w:rsid w:val="00A90257"/>
    <w:rsid w:val="00A902A8"/>
    <w:rsid w:val="00A906CD"/>
    <w:rsid w:val="00A90872"/>
    <w:rsid w:val="00A908CC"/>
    <w:rsid w:val="00A90D0A"/>
    <w:rsid w:val="00A91655"/>
    <w:rsid w:val="00A9183F"/>
    <w:rsid w:val="00A9190C"/>
    <w:rsid w:val="00A9198B"/>
    <w:rsid w:val="00A91B09"/>
    <w:rsid w:val="00A91B57"/>
    <w:rsid w:val="00A91B7F"/>
    <w:rsid w:val="00A91BAF"/>
    <w:rsid w:val="00A91C73"/>
    <w:rsid w:val="00A91D5F"/>
    <w:rsid w:val="00A922BB"/>
    <w:rsid w:val="00A9231F"/>
    <w:rsid w:val="00A92813"/>
    <w:rsid w:val="00A92A24"/>
    <w:rsid w:val="00A92E75"/>
    <w:rsid w:val="00A9337E"/>
    <w:rsid w:val="00A9345E"/>
    <w:rsid w:val="00A937B3"/>
    <w:rsid w:val="00A93B85"/>
    <w:rsid w:val="00A93FEA"/>
    <w:rsid w:val="00A9420F"/>
    <w:rsid w:val="00A94310"/>
    <w:rsid w:val="00A9458F"/>
    <w:rsid w:val="00A949F2"/>
    <w:rsid w:val="00A94A90"/>
    <w:rsid w:val="00A94E4F"/>
    <w:rsid w:val="00A9528E"/>
    <w:rsid w:val="00A95362"/>
    <w:rsid w:val="00A95965"/>
    <w:rsid w:val="00A95B55"/>
    <w:rsid w:val="00A9622F"/>
    <w:rsid w:val="00A96590"/>
    <w:rsid w:val="00A96612"/>
    <w:rsid w:val="00A96766"/>
    <w:rsid w:val="00A9688A"/>
    <w:rsid w:val="00A96E2F"/>
    <w:rsid w:val="00A97275"/>
    <w:rsid w:val="00A97628"/>
    <w:rsid w:val="00A9799D"/>
    <w:rsid w:val="00AA0019"/>
    <w:rsid w:val="00AA089C"/>
    <w:rsid w:val="00AA0BD3"/>
    <w:rsid w:val="00AA0D5B"/>
    <w:rsid w:val="00AA0F53"/>
    <w:rsid w:val="00AA1115"/>
    <w:rsid w:val="00AA14D7"/>
    <w:rsid w:val="00AA155D"/>
    <w:rsid w:val="00AA1751"/>
    <w:rsid w:val="00AA19CB"/>
    <w:rsid w:val="00AA1F95"/>
    <w:rsid w:val="00AA251D"/>
    <w:rsid w:val="00AA2B2E"/>
    <w:rsid w:val="00AA2CAB"/>
    <w:rsid w:val="00AA2CBA"/>
    <w:rsid w:val="00AA2DDD"/>
    <w:rsid w:val="00AA2F19"/>
    <w:rsid w:val="00AA30D4"/>
    <w:rsid w:val="00AA3193"/>
    <w:rsid w:val="00AA3667"/>
    <w:rsid w:val="00AA380C"/>
    <w:rsid w:val="00AA3950"/>
    <w:rsid w:val="00AA3964"/>
    <w:rsid w:val="00AA3DF4"/>
    <w:rsid w:val="00AA40AC"/>
    <w:rsid w:val="00AA4AB6"/>
    <w:rsid w:val="00AA5115"/>
    <w:rsid w:val="00AA511E"/>
    <w:rsid w:val="00AA5124"/>
    <w:rsid w:val="00AA54B0"/>
    <w:rsid w:val="00AA54D2"/>
    <w:rsid w:val="00AA5561"/>
    <w:rsid w:val="00AA5B2F"/>
    <w:rsid w:val="00AA5C48"/>
    <w:rsid w:val="00AA5CED"/>
    <w:rsid w:val="00AA5EA0"/>
    <w:rsid w:val="00AA6360"/>
    <w:rsid w:val="00AA647C"/>
    <w:rsid w:val="00AA653D"/>
    <w:rsid w:val="00AA68B2"/>
    <w:rsid w:val="00AA69EA"/>
    <w:rsid w:val="00AA6C54"/>
    <w:rsid w:val="00AA6FFB"/>
    <w:rsid w:val="00AA7152"/>
    <w:rsid w:val="00AA736C"/>
    <w:rsid w:val="00AA7470"/>
    <w:rsid w:val="00AA7825"/>
    <w:rsid w:val="00AA7A38"/>
    <w:rsid w:val="00AA7B45"/>
    <w:rsid w:val="00AA7C58"/>
    <w:rsid w:val="00AA7C63"/>
    <w:rsid w:val="00AA7F84"/>
    <w:rsid w:val="00AB00F0"/>
    <w:rsid w:val="00AB0325"/>
    <w:rsid w:val="00AB042C"/>
    <w:rsid w:val="00AB044D"/>
    <w:rsid w:val="00AB0BEB"/>
    <w:rsid w:val="00AB0C95"/>
    <w:rsid w:val="00AB0E74"/>
    <w:rsid w:val="00AB0EAC"/>
    <w:rsid w:val="00AB16BE"/>
    <w:rsid w:val="00AB19A8"/>
    <w:rsid w:val="00AB1D6F"/>
    <w:rsid w:val="00AB1E83"/>
    <w:rsid w:val="00AB1F58"/>
    <w:rsid w:val="00AB210A"/>
    <w:rsid w:val="00AB21DA"/>
    <w:rsid w:val="00AB225C"/>
    <w:rsid w:val="00AB2467"/>
    <w:rsid w:val="00AB25A4"/>
    <w:rsid w:val="00AB276F"/>
    <w:rsid w:val="00AB27B5"/>
    <w:rsid w:val="00AB28A7"/>
    <w:rsid w:val="00AB292E"/>
    <w:rsid w:val="00AB2CA4"/>
    <w:rsid w:val="00AB2E44"/>
    <w:rsid w:val="00AB304C"/>
    <w:rsid w:val="00AB31E8"/>
    <w:rsid w:val="00AB3B2D"/>
    <w:rsid w:val="00AB3BA1"/>
    <w:rsid w:val="00AB3D10"/>
    <w:rsid w:val="00AB4026"/>
    <w:rsid w:val="00AB40C7"/>
    <w:rsid w:val="00AB4ABB"/>
    <w:rsid w:val="00AB4BD9"/>
    <w:rsid w:val="00AB5121"/>
    <w:rsid w:val="00AB5461"/>
    <w:rsid w:val="00AB565A"/>
    <w:rsid w:val="00AB59B8"/>
    <w:rsid w:val="00AB61ED"/>
    <w:rsid w:val="00AB6515"/>
    <w:rsid w:val="00AB6531"/>
    <w:rsid w:val="00AB67A6"/>
    <w:rsid w:val="00AB68C7"/>
    <w:rsid w:val="00AB6CCA"/>
    <w:rsid w:val="00AB6F2A"/>
    <w:rsid w:val="00AB6F67"/>
    <w:rsid w:val="00AB725A"/>
    <w:rsid w:val="00AB786F"/>
    <w:rsid w:val="00AC01A5"/>
    <w:rsid w:val="00AC0313"/>
    <w:rsid w:val="00AC04C2"/>
    <w:rsid w:val="00AC093B"/>
    <w:rsid w:val="00AC0D1C"/>
    <w:rsid w:val="00AC123F"/>
    <w:rsid w:val="00AC12B8"/>
    <w:rsid w:val="00AC14FC"/>
    <w:rsid w:val="00AC171B"/>
    <w:rsid w:val="00AC1808"/>
    <w:rsid w:val="00AC183B"/>
    <w:rsid w:val="00AC1AB0"/>
    <w:rsid w:val="00AC1ACD"/>
    <w:rsid w:val="00AC2186"/>
    <w:rsid w:val="00AC2AFF"/>
    <w:rsid w:val="00AC2D9E"/>
    <w:rsid w:val="00AC36A2"/>
    <w:rsid w:val="00AC3860"/>
    <w:rsid w:val="00AC3E67"/>
    <w:rsid w:val="00AC406E"/>
    <w:rsid w:val="00AC4234"/>
    <w:rsid w:val="00AC457B"/>
    <w:rsid w:val="00AC49C2"/>
    <w:rsid w:val="00AC50BB"/>
    <w:rsid w:val="00AC51A5"/>
    <w:rsid w:val="00AC52D9"/>
    <w:rsid w:val="00AC5979"/>
    <w:rsid w:val="00AC5C4C"/>
    <w:rsid w:val="00AC5D7B"/>
    <w:rsid w:val="00AC5DC7"/>
    <w:rsid w:val="00AC6742"/>
    <w:rsid w:val="00AC682A"/>
    <w:rsid w:val="00AC6BE6"/>
    <w:rsid w:val="00AC6D7D"/>
    <w:rsid w:val="00AC6DA1"/>
    <w:rsid w:val="00AC6F33"/>
    <w:rsid w:val="00AC6F94"/>
    <w:rsid w:val="00AC7151"/>
    <w:rsid w:val="00AC7173"/>
    <w:rsid w:val="00AC75B2"/>
    <w:rsid w:val="00AC7C16"/>
    <w:rsid w:val="00AC7CC7"/>
    <w:rsid w:val="00AC7D2D"/>
    <w:rsid w:val="00AC7D64"/>
    <w:rsid w:val="00AC7D83"/>
    <w:rsid w:val="00AC7E3C"/>
    <w:rsid w:val="00AC7F15"/>
    <w:rsid w:val="00AD0481"/>
    <w:rsid w:val="00AD04D3"/>
    <w:rsid w:val="00AD07B3"/>
    <w:rsid w:val="00AD0810"/>
    <w:rsid w:val="00AD09BA"/>
    <w:rsid w:val="00AD0B01"/>
    <w:rsid w:val="00AD0CD3"/>
    <w:rsid w:val="00AD1081"/>
    <w:rsid w:val="00AD11F4"/>
    <w:rsid w:val="00AD124E"/>
    <w:rsid w:val="00AD1949"/>
    <w:rsid w:val="00AD1A09"/>
    <w:rsid w:val="00AD1B87"/>
    <w:rsid w:val="00AD1DDD"/>
    <w:rsid w:val="00AD21B2"/>
    <w:rsid w:val="00AD2803"/>
    <w:rsid w:val="00AD29E0"/>
    <w:rsid w:val="00AD2C30"/>
    <w:rsid w:val="00AD3AB9"/>
    <w:rsid w:val="00AD3BBD"/>
    <w:rsid w:val="00AD4A3C"/>
    <w:rsid w:val="00AD4A89"/>
    <w:rsid w:val="00AD4E42"/>
    <w:rsid w:val="00AD5117"/>
    <w:rsid w:val="00AD53C1"/>
    <w:rsid w:val="00AD547D"/>
    <w:rsid w:val="00AD5827"/>
    <w:rsid w:val="00AD591C"/>
    <w:rsid w:val="00AD5990"/>
    <w:rsid w:val="00AD5BA9"/>
    <w:rsid w:val="00AD60CF"/>
    <w:rsid w:val="00AD6662"/>
    <w:rsid w:val="00AD68E1"/>
    <w:rsid w:val="00AD6A88"/>
    <w:rsid w:val="00AD6F42"/>
    <w:rsid w:val="00AD6F61"/>
    <w:rsid w:val="00AD70BB"/>
    <w:rsid w:val="00AD73C0"/>
    <w:rsid w:val="00AD77D1"/>
    <w:rsid w:val="00AD7B8A"/>
    <w:rsid w:val="00AE02FE"/>
    <w:rsid w:val="00AE062E"/>
    <w:rsid w:val="00AE0830"/>
    <w:rsid w:val="00AE0895"/>
    <w:rsid w:val="00AE0916"/>
    <w:rsid w:val="00AE0AD3"/>
    <w:rsid w:val="00AE0BBE"/>
    <w:rsid w:val="00AE0D52"/>
    <w:rsid w:val="00AE1227"/>
    <w:rsid w:val="00AE1751"/>
    <w:rsid w:val="00AE19A0"/>
    <w:rsid w:val="00AE22B8"/>
    <w:rsid w:val="00AE23F9"/>
    <w:rsid w:val="00AE271A"/>
    <w:rsid w:val="00AE2C2C"/>
    <w:rsid w:val="00AE2DC1"/>
    <w:rsid w:val="00AE3053"/>
    <w:rsid w:val="00AE36CC"/>
    <w:rsid w:val="00AE3748"/>
    <w:rsid w:val="00AE3B37"/>
    <w:rsid w:val="00AE3C64"/>
    <w:rsid w:val="00AE3CC7"/>
    <w:rsid w:val="00AE3F2C"/>
    <w:rsid w:val="00AE40A8"/>
    <w:rsid w:val="00AE41B8"/>
    <w:rsid w:val="00AE455B"/>
    <w:rsid w:val="00AE4DB4"/>
    <w:rsid w:val="00AE4EE4"/>
    <w:rsid w:val="00AE51D7"/>
    <w:rsid w:val="00AE521B"/>
    <w:rsid w:val="00AE524E"/>
    <w:rsid w:val="00AE65B3"/>
    <w:rsid w:val="00AE68C3"/>
    <w:rsid w:val="00AE6AAB"/>
    <w:rsid w:val="00AE6FF1"/>
    <w:rsid w:val="00AE70F3"/>
    <w:rsid w:val="00AE73C3"/>
    <w:rsid w:val="00AE76CF"/>
    <w:rsid w:val="00AF00F1"/>
    <w:rsid w:val="00AF089A"/>
    <w:rsid w:val="00AF08FF"/>
    <w:rsid w:val="00AF09D3"/>
    <w:rsid w:val="00AF0AA5"/>
    <w:rsid w:val="00AF0CAA"/>
    <w:rsid w:val="00AF0CB8"/>
    <w:rsid w:val="00AF0F0D"/>
    <w:rsid w:val="00AF0FCE"/>
    <w:rsid w:val="00AF10DA"/>
    <w:rsid w:val="00AF1A26"/>
    <w:rsid w:val="00AF2382"/>
    <w:rsid w:val="00AF25A4"/>
    <w:rsid w:val="00AF274B"/>
    <w:rsid w:val="00AF2BF1"/>
    <w:rsid w:val="00AF2D0E"/>
    <w:rsid w:val="00AF37DA"/>
    <w:rsid w:val="00AF37FE"/>
    <w:rsid w:val="00AF3C57"/>
    <w:rsid w:val="00AF3CA7"/>
    <w:rsid w:val="00AF43CC"/>
    <w:rsid w:val="00AF4568"/>
    <w:rsid w:val="00AF48B3"/>
    <w:rsid w:val="00AF4E07"/>
    <w:rsid w:val="00AF54AC"/>
    <w:rsid w:val="00AF5504"/>
    <w:rsid w:val="00AF5893"/>
    <w:rsid w:val="00AF59E4"/>
    <w:rsid w:val="00AF5D80"/>
    <w:rsid w:val="00AF5EE3"/>
    <w:rsid w:val="00AF61AA"/>
    <w:rsid w:val="00AF6263"/>
    <w:rsid w:val="00AF6F7F"/>
    <w:rsid w:val="00AF71F0"/>
    <w:rsid w:val="00AF72B8"/>
    <w:rsid w:val="00AF7441"/>
    <w:rsid w:val="00AF76D5"/>
    <w:rsid w:val="00AF7B5C"/>
    <w:rsid w:val="00AF7F40"/>
    <w:rsid w:val="00B00127"/>
    <w:rsid w:val="00B008B5"/>
    <w:rsid w:val="00B00959"/>
    <w:rsid w:val="00B00BE7"/>
    <w:rsid w:val="00B00DEF"/>
    <w:rsid w:val="00B00E73"/>
    <w:rsid w:val="00B00EFA"/>
    <w:rsid w:val="00B01176"/>
    <w:rsid w:val="00B01BCF"/>
    <w:rsid w:val="00B028E4"/>
    <w:rsid w:val="00B0341E"/>
    <w:rsid w:val="00B03BDD"/>
    <w:rsid w:val="00B03E70"/>
    <w:rsid w:val="00B04E4F"/>
    <w:rsid w:val="00B04F70"/>
    <w:rsid w:val="00B05289"/>
    <w:rsid w:val="00B059A9"/>
    <w:rsid w:val="00B05B28"/>
    <w:rsid w:val="00B05CCE"/>
    <w:rsid w:val="00B05DFD"/>
    <w:rsid w:val="00B05FA5"/>
    <w:rsid w:val="00B062AA"/>
    <w:rsid w:val="00B062CD"/>
    <w:rsid w:val="00B06392"/>
    <w:rsid w:val="00B066BE"/>
    <w:rsid w:val="00B06B4F"/>
    <w:rsid w:val="00B06E01"/>
    <w:rsid w:val="00B071D4"/>
    <w:rsid w:val="00B07D95"/>
    <w:rsid w:val="00B100F7"/>
    <w:rsid w:val="00B1085A"/>
    <w:rsid w:val="00B1099B"/>
    <w:rsid w:val="00B10AB7"/>
    <w:rsid w:val="00B10B13"/>
    <w:rsid w:val="00B10B5F"/>
    <w:rsid w:val="00B11528"/>
    <w:rsid w:val="00B116A6"/>
    <w:rsid w:val="00B11C93"/>
    <w:rsid w:val="00B11FCB"/>
    <w:rsid w:val="00B12169"/>
    <w:rsid w:val="00B12316"/>
    <w:rsid w:val="00B1272B"/>
    <w:rsid w:val="00B1274C"/>
    <w:rsid w:val="00B12B42"/>
    <w:rsid w:val="00B1359E"/>
    <w:rsid w:val="00B13684"/>
    <w:rsid w:val="00B137E4"/>
    <w:rsid w:val="00B13954"/>
    <w:rsid w:val="00B13D1F"/>
    <w:rsid w:val="00B13E4A"/>
    <w:rsid w:val="00B1413B"/>
    <w:rsid w:val="00B145BB"/>
    <w:rsid w:val="00B146F8"/>
    <w:rsid w:val="00B14C4D"/>
    <w:rsid w:val="00B14D53"/>
    <w:rsid w:val="00B14E03"/>
    <w:rsid w:val="00B14F35"/>
    <w:rsid w:val="00B1560A"/>
    <w:rsid w:val="00B157B4"/>
    <w:rsid w:val="00B15891"/>
    <w:rsid w:val="00B15C5F"/>
    <w:rsid w:val="00B15CB1"/>
    <w:rsid w:val="00B15FBF"/>
    <w:rsid w:val="00B15FF8"/>
    <w:rsid w:val="00B16194"/>
    <w:rsid w:val="00B16403"/>
    <w:rsid w:val="00B1655A"/>
    <w:rsid w:val="00B166B3"/>
    <w:rsid w:val="00B168CE"/>
    <w:rsid w:val="00B172FE"/>
    <w:rsid w:val="00B173C6"/>
    <w:rsid w:val="00B173E0"/>
    <w:rsid w:val="00B17F97"/>
    <w:rsid w:val="00B20020"/>
    <w:rsid w:val="00B200D0"/>
    <w:rsid w:val="00B20440"/>
    <w:rsid w:val="00B20446"/>
    <w:rsid w:val="00B2061C"/>
    <w:rsid w:val="00B2123B"/>
    <w:rsid w:val="00B2129A"/>
    <w:rsid w:val="00B21C4F"/>
    <w:rsid w:val="00B21CDF"/>
    <w:rsid w:val="00B21CEA"/>
    <w:rsid w:val="00B21F7F"/>
    <w:rsid w:val="00B2267D"/>
    <w:rsid w:val="00B2275D"/>
    <w:rsid w:val="00B22EAF"/>
    <w:rsid w:val="00B2300E"/>
    <w:rsid w:val="00B234DB"/>
    <w:rsid w:val="00B234DF"/>
    <w:rsid w:val="00B239C9"/>
    <w:rsid w:val="00B23B06"/>
    <w:rsid w:val="00B24419"/>
    <w:rsid w:val="00B249E8"/>
    <w:rsid w:val="00B249FF"/>
    <w:rsid w:val="00B24B8C"/>
    <w:rsid w:val="00B2513B"/>
    <w:rsid w:val="00B2522C"/>
    <w:rsid w:val="00B252C0"/>
    <w:rsid w:val="00B25AD0"/>
    <w:rsid w:val="00B25CE5"/>
    <w:rsid w:val="00B25E96"/>
    <w:rsid w:val="00B25F6C"/>
    <w:rsid w:val="00B2600F"/>
    <w:rsid w:val="00B26579"/>
    <w:rsid w:val="00B26E41"/>
    <w:rsid w:val="00B27967"/>
    <w:rsid w:val="00B27AB7"/>
    <w:rsid w:val="00B27B40"/>
    <w:rsid w:val="00B27B63"/>
    <w:rsid w:val="00B27C5A"/>
    <w:rsid w:val="00B27FE8"/>
    <w:rsid w:val="00B30206"/>
    <w:rsid w:val="00B306AF"/>
    <w:rsid w:val="00B30800"/>
    <w:rsid w:val="00B308A7"/>
    <w:rsid w:val="00B30CE5"/>
    <w:rsid w:val="00B30D1F"/>
    <w:rsid w:val="00B313F2"/>
    <w:rsid w:val="00B313F9"/>
    <w:rsid w:val="00B315BC"/>
    <w:rsid w:val="00B31C95"/>
    <w:rsid w:val="00B31CBF"/>
    <w:rsid w:val="00B31DA1"/>
    <w:rsid w:val="00B31DEA"/>
    <w:rsid w:val="00B31E5A"/>
    <w:rsid w:val="00B31FAC"/>
    <w:rsid w:val="00B320F4"/>
    <w:rsid w:val="00B32569"/>
    <w:rsid w:val="00B3268F"/>
    <w:rsid w:val="00B32A27"/>
    <w:rsid w:val="00B32BF6"/>
    <w:rsid w:val="00B32F1A"/>
    <w:rsid w:val="00B330B3"/>
    <w:rsid w:val="00B33802"/>
    <w:rsid w:val="00B3380F"/>
    <w:rsid w:val="00B33AD8"/>
    <w:rsid w:val="00B33CCA"/>
    <w:rsid w:val="00B33E9C"/>
    <w:rsid w:val="00B33FB0"/>
    <w:rsid w:val="00B3421C"/>
    <w:rsid w:val="00B34268"/>
    <w:rsid w:val="00B3440A"/>
    <w:rsid w:val="00B345E0"/>
    <w:rsid w:val="00B348B5"/>
    <w:rsid w:val="00B34DF7"/>
    <w:rsid w:val="00B3507E"/>
    <w:rsid w:val="00B358AC"/>
    <w:rsid w:val="00B35A4A"/>
    <w:rsid w:val="00B3615E"/>
    <w:rsid w:val="00B363BE"/>
    <w:rsid w:val="00B369ED"/>
    <w:rsid w:val="00B36B12"/>
    <w:rsid w:val="00B3702D"/>
    <w:rsid w:val="00B37169"/>
    <w:rsid w:val="00B37335"/>
    <w:rsid w:val="00B37CE1"/>
    <w:rsid w:val="00B40499"/>
    <w:rsid w:val="00B40A66"/>
    <w:rsid w:val="00B40DB2"/>
    <w:rsid w:val="00B40DDD"/>
    <w:rsid w:val="00B413D4"/>
    <w:rsid w:val="00B4181E"/>
    <w:rsid w:val="00B41BC2"/>
    <w:rsid w:val="00B42650"/>
    <w:rsid w:val="00B42C52"/>
    <w:rsid w:val="00B43207"/>
    <w:rsid w:val="00B433DD"/>
    <w:rsid w:val="00B4342A"/>
    <w:rsid w:val="00B437AD"/>
    <w:rsid w:val="00B4381D"/>
    <w:rsid w:val="00B43925"/>
    <w:rsid w:val="00B439DD"/>
    <w:rsid w:val="00B43E0D"/>
    <w:rsid w:val="00B441D9"/>
    <w:rsid w:val="00B44271"/>
    <w:rsid w:val="00B4455C"/>
    <w:rsid w:val="00B44625"/>
    <w:rsid w:val="00B446F5"/>
    <w:rsid w:val="00B447A2"/>
    <w:rsid w:val="00B448CE"/>
    <w:rsid w:val="00B44A92"/>
    <w:rsid w:val="00B44B37"/>
    <w:rsid w:val="00B44EA6"/>
    <w:rsid w:val="00B452BD"/>
    <w:rsid w:val="00B4590E"/>
    <w:rsid w:val="00B45A6E"/>
    <w:rsid w:val="00B45B39"/>
    <w:rsid w:val="00B45FA2"/>
    <w:rsid w:val="00B46534"/>
    <w:rsid w:val="00B4679A"/>
    <w:rsid w:val="00B46881"/>
    <w:rsid w:val="00B46B5C"/>
    <w:rsid w:val="00B46CB0"/>
    <w:rsid w:val="00B46D6D"/>
    <w:rsid w:val="00B46E8E"/>
    <w:rsid w:val="00B46EEA"/>
    <w:rsid w:val="00B473F5"/>
    <w:rsid w:val="00B50195"/>
    <w:rsid w:val="00B506F6"/>
    <w:rsid w:val="00B5070F"/>
    <w:rsid w:val="00B50BC4"/>
    <w:rsid w:val="00B51382"/>
    <w:rsid w:val="00B5143E"/>
    <w:rsid w:val="00B514B7"/>
    <w:rsid w:val="00B51535"/>
    <w:rsid w:val="00B51A86"/>
    <w:rsid w:val="00B51CFF"/>
    <w:rsid w:val="00B51FD4"/>
    <w:rsid w:val="00B52009"/>
    <w:rsid w:val="00B52244"/>
    <w:rsid w:val="00B52267"/>
    <w:rsid w:val="00B52332"/>
    <w:rsid w:val="00B52688"/>
    <w:rsid w:val="00B5277F"/>
    <w:rsid w:val="00B528ED"/>
    <w:rsid w:val="00B52C54"/>
    <w:rsid w:val="00B53715"/>
    <w:rsid w:val="00B540C0"/>
    <w:rsid w:val="00B547A8"/>
    <w:rsid w:val="00B5499A"/>
    <w:rsid w:val="00B54D54"/>
    <w:rsid w:val="00B54DAF"/>
    <w:rsid w:val="00B54E55"/>
    <w:rsid w:val="00B54EB6"/>
    <w:rsid w:val="00B55295"/>
    <w:rsid w:val="00B556A0"/>
    <w:rsid w:val="00B55723"/>
    <w:rsid w:val="00B5574D"/>
    <w:rsid w:val="00B55772"/>
    <w:rsid w:val="00B55CA5"/>
    <w:rsid w:val="00B55D31"/>
    <w:rsid w:val="00B55DA0"/>
    <w:rsid w:val="00B5630B"/>
    <w:rsid w:val="00B5649B"/>
    <w:rsid w:val="00B564E7"/>
    <w:rsid w:val="00B5706B"/>
    <w:rsid w:val="00B571AC"/>
    <w:rsid w:val="00B5721B"/>
    <w:rsid w:val="00B577D9"/>
    <w:rsid w:val="00B578C9"/>
    <w:rsid w:val="00B57938"/>
    <w:rsid w:val="00B5793B"/>
    <w:rsid w:val="00B57BF5"/>
    <w:rsid w:val="00B57CCA"/>
    <w:rsid w:val="00B57E41"/>
    <w:rsid w:val="00B57F42"/>
    <w:rsid w:val="00B57F4C"/>
    <w:rsid w:val="00B60089"/>
    <w:rsid w:val="00B606BA"/>
    <w:rsid w:val="00B60A67"/>
    <w:rsid w:val="00B6138E"/>
    <w:rsid w:val="00B61495"/>
    <w:rsid w:val="00B61D4E"/>
    <w:rsid w:val="00B621A0"/>
    <w:rsid w:val="00B62541"/>
    <w:rsid w:val="00B628D6"/>
    <w:rsid w:val="00B62A0A"/>
    <w:rsid w:val="00B62C7E"/>
    <w:rsid w:val="00B62E05"/>
    <w:rsid w:val="00B62EFB"/>
    <w:rsid w:val="00B63930"/>
    <w:rsid w:val="00B6397E"/>
    <w:rsid w:val="00B63A0F"/>
    <w:rsid w:val="00B63D3C"/>
    <w:rsid w:val="00B63D9F"/>
    <w:rsid w:val="00B63DE9"/>
    <w:rsid w:val="00B63E26"/>
    <w:rsid w:val="00B63E54"/>
    <w:rsid w:val="00B640AC"/>
    <w:rsid w:val="00B64237"/>
    <w:rsid w:val="00B64A43"/>
    <w:rsid w:val="00B64CEA"/>
    <w:rsid w:val="00B6504D"/>
    <w:rsid w:val="00B650FB"/>
    <w:rsid w:val="00B6515C"/>
    <w:rsid w:val="00B65627"/>
    <w:rsid w:val="00B65BA7"/>
    <w:rsid w:val="00B65FD0"/>
    <w:rsid w:val="00B6611E"/>
    <w:rsid w:val="00B66535"/>
    <w:rsid w:val="00B66E55"/>
    <w:rsid w:val="00B66F77"/>
    <w:rsid w:val="00B67E8C"/>
    <w:rsid w:val="00B7005E"/>
    <w:rsid w:val="00B70069"/>
    <w:rsid w:val="00B70590"/>
    <w:rsid w:val="00B707F8"/>
    <w:rsid w:val="00B70DAA"/>
    <w:rsid w:val="00B712FD"/>
    <w:rsid w:val="00B71592"/>
    <w:rsid w:val="00B7170B"/>
    <w:rsid w:val="00B71FC4"/>
    <w:rsid w:val="00B71FE6"/>
    <w:rsid w:val="00B7202A"/>
    <w:rsid w:val="00B720AE"/>
    <w:rsid w:val="00B7221D"/>
    <w:rsid w:val="00B725CC"/>
    <w:rsid w:val="00B725ED"/>
    <w:rsid w:val="00B7268F"/>
    <w:rsid w:val="00B72A6B"/>
    <w:rsid w:val="00B72B15"/>
    <w:rsid w:val="00B72E6E"/>
    <w:rsid w:val="00B738A1"/>
    <w:rsid w:val="00B73CEF"/>
    <w:rsid w:val="00B73D6A"/>
    <w:rsid w:val="00B743A4"/>
    <w:rsid w:val="00B7440C"/>
    <w:rsid w:val="00B74547"/>
    <w:rsid w:val="00B745E5"/>
    <w:rsid w:val="00B74754"/>
    <w:rsid w:val="00B74C11"/>
    <w:rsid w:val="00B74D8D"/>
    <w:rsid w:val="00B75028"/>
    <w:rsid w:val="00B750C2"/>
    <w:rsid w:val="00B750D6"/>
    <w:rsid w:val="00B752FE"/>
    <w:rsid w:val="00B75780"/>
    <w:rsid w:val="00B75AA9"/>
    <w:rsid w:val="00B75ABB"/>
    <w:rsid w:val="00B76294"/>
    <w:rsid w:val="00B763C4"/>
    <w:rsid w:val="00B767B6"/>
    <w:rsid w:val="00B769D3"/>
    <w:rsid w:val="00B76C19"/>
    <w:rsid w:val="00B76C61"/>
    <w:rsid w:val="00B76CAA"/>
    <w:rsid w:val="00B77280"/>
    <w:rsid w:val="00B77356"/>
    <w:rsid w:val="00B77358"/>
    <w:rsid w:val="00B77B17"/>
    <w:rsid w:val="00B77F89"/>
    <w:rsid w:val="00B80078"/>
    <w:rsid w:val="00B802A8"/>
    <w:rsid w:val="00B8081D"/>
    <w:rsid w:val="00B80B4A"/>
    <w:rsid w:val="00B80F86"/>
    <w:rsid w:val="00B81061"/>
    <w:rsid w:val="00B81464"/>
    <w:rsid w:val="00B814B4"/>
    <w:rsid w:val="00B818B2"/>
    <w:rsid w:val="00B8218D"/>
    <w:rsid w:val="00B82472"/>
    <w:rsid w:val="00B82C53"/>
    <w:rsid w:val="00B82DFE"/>
    <w:rsid w:val="00B82F36"/>
    <w:rsid w:val="00B83530"/>
    <w:rsid w:val="00B84872"/>
    <w:rsid w:val="00B84A3B"/>
    <w:rsid w:val="00B84C1D"/>
    <w:rsid w:val="00B84D5D"/>
    <w:rsid w:val="00B84DA4"/>
    <w:rsid w:val="00B85006"/>
    <w:rsid w:val="00B85085"/>
    <w:rsid w:val="00B85400"/>
    <w:rsid w:val="00B85812"/>
    <w:rsid w:val="00B85891"/>
    <w:rsid w:val="00B85B86"/>
    <w:rsid w:val="00B86586"/>
    <w:rsid w:val="00B868F1"/>
    <w:rsid w:val="00B86B92"/>
    <w:rsid w:val="00B8771E"/>
    <w:rsid w:val="00B878DF"/>
    <w:rsid w:val="00B87C33"/>
    <w:rsid w:val="00B900CC"/>
    <w:rsid w:val="00B9018E"/>
    <w:rsid w:val="00B90391"/>
    <w:rsid w:val="00B90645"/>
    <w:rsid w:val="00B90653"/>
    <w:rsid w:val="00B90A0D"/>
    <w:rsid w:val="00B90CA2"/>
    <w:rsid w:val="00B913DA"/>
    <w:rsid w:val="00B91603"/>
    <w:rsid w:val="00B917A8"/>
    <w:rsid w:val="00B9192F"/>
    <w:rsid w:val="00B91CE3"/>
    <w:rsid w:val="00B92169"/>
    <w:rsid w:val="00B921EE"/>
    <w:rsid w:val="00B92857"/>
    <w:rsid w:val="00B92ABF"/>
    <w:rsid w:val="00B93109"/>
    <w:rsid w:val="00B93273"/>
    <w:rsid w:val="00B93577"/>
    <w:rsid w:val="00B937AA"/>
    <w:rsid w:val="00B93A05"/>
    <w:rsid w:val="00B93B42"/>
    <w:rsid w:val="00B94768"/>
    <w:rsid w:val="00B948D2"/>
    <w:rsid w:val="00B94B94"/>
    <w:rsid w:val="00B94CA8"/>
    <w:rsid w:val="00B94CCD"/>
    <w:rsid w:val="00B95014"/>
    <w:rsid w:val="00B955FB"/>
    <w:rsid w:val="00B95A32"/>
    <w:rsid w:val="00B96599"/>
    <w:rsid w:val="00B96AF7"/>
    <w:rsid w:val="00B96FB6"/>
    <w:rsid w:val="00B97078"/>
    <w:rsid w:val="00B97198"/>
    <w:rsid w:val="00B97396"/>
    <w:rsid w:val="00B973E2"/>
    <w:rsid w:val="00B97587"/>
    <w:rsid w:val="00BA0222"/>
    <w:rsid w:val="00BA0524"/>
    <w:rsid w:val="00BA05F4"/>
    <w:rsid w:val="00BA0AD9"/>
    <w:rsid w:val="00BA0CA6"/>
    <w:rsid w:val="00BA0F42"/>
    <w:rsid w:val="00BA14E9"/>
    <w:rsid w:val="00BA15F6"/>
    <w:rsid w:val="00BA1811"/>
    <w:rsid w:val="00BA1AE3"/>
    <w:rsid w:val="00BA1CBC"/>
    <w:rsid w:val="00BA1FF8"/>
    <w:rsid w:val="00BA20B7"/>
    <w:rsid w:val="00BA2ACB"/>
    <w:rsid w:val="00BA2D0A"/>
    <w:rsid w:val="00BA2EAA"/>
    <w:rsid w:val="00BA2FFC"/>
    <w:rsid w:val="00BA3292"/>
    <w:rsid w:val="00BA3336"/>
    <w:rsid w:val="00BA41E2"/>
    <w:rsid w:val="00BA43D4"/>
    <w:rsid w:val="00BA4C24"/>
    <w:rsid w:val="00BA4C80"/>
    <w:rsid w:val="00BA4D88"/>
    <w:rsid w:val="00BA4FB1"/>
    <w:rsid w:val="00BA595C"/>
    <w:rsid w:val="00BA5BE4"/>
    <w:rsid w:val="00BA5E9B"/>
    <w:rsid w:val="00BA6094"/>
    <w:rsid w:val="00BA627C"/>
    <w:rsid w:val="00BA69AD"/>
    <w:rsid w:val="00BA6C77"/>
    <w:rsid w:val="00BA6E0A"/>
    <w:rsid w:val="00BA77E8"/>
    <w:rsid w:val="00BA7846"/>
    <w:rsid w:val="00BA7963"/>
    <w:rsid w:val="00BA7D17"/>
    <w:rsid w:val="00BA7EC0"/>
    <w:rsid w:val="00BB0316"/>
    <w:rsid w:val="00BB0C34"/>
    <w:rsid w:val="00BB0EAB"/>
    <w:rsid w:val="00BB113E"/>
    <w:rsid w:val="00BB1616"/>
    <w:rsid w:val="00BB1657"/>
    <w:rsid w:val="00BB1B50"/>
    <w:rsid w:val="00BB1D04"/>
    <w:rsid w:val="00BB1F95"/>
    <w:rsid w:val="00BB236F"/>
    <w:rsid w:val="00BB27CE"/>
    <w:rsid w:val="00BB2C4E"/>
    <w:rsid w:val="00BB304F"/>
    <w:rsid w:val="00BB30E7"/>
    <w:rsid w:val="00BB3198"/>
    <w:rsid w:val="00BB39EC"/>
    <w:rsid w:val="00BB3E6D"/>
    <w:rsid w:val="00BB46CB"/>
    <w:rsid w:val="00BB4942"/>
    <w:rsid w:val="00BB49D0"/>
    <w:rsid w:val="00BB4EBB"/>
    <w:rsid w:val="00BB51B1"/>
    <w:rsid w:val="00BB5288"/>
    <w:rsid w:val="00BB52F5"/>
    <w:rsid w:val="00BB5AEC"/>
    <w:rsid w:val="00BB5C70"/>
    <w:rsid w:val="00BB61B3"/>
    <w:rsid w:val="00BB6868"/>
    <w:rsid w:val="00BB6AB5"/>
    <w:rsid w:val="00BB6D3D"/>
    <w:rsid w:val="00BB7719"/>
    <w:rsid w:val="00BB7B66"/>
    <w:rsid w:val="00BB7DFE"/>
    <w:rsid w:val="00BC04D1"/>
    <w:rsid w:val="00BC05B4"/>
    <w:rsid w:val="00BC0E81"/>
    <w:rsid w:val="00BC0FC1"/>
    <w:rsid w:val="00BC196C"/>
    <w:rsid w:val="00BC1999"/>
    <w:rsid w:val="00BC1A3C"/>
    <w:rsid w:val="00BC1CDD"/>
    <w:rsid w:val="00BC1FE7"/>
    <w:rsid w:val="00BC200A"/>
    <w:rsid w:val="00BC255F"/>
    <w:rsid w:val="00BC2656"/>
    <w:rsid w:val="00BC28AE"/>
    <w:rsid w:val="00BC2C05"/>
    <w:rsid w:val="00BC3003"/>
    <w:rsid w:val="00BC3138"/>
    <w:rsid w:val="00BC3647"/>
    <w:rsid w:val="00BC3648"/>
    <w:rsid w:val="00BC3A1C"/>
    <w:rsid w:val="00BC4550"/>
    <w:rsid w:val="00BC4A37"/>
    <w:rsid w:val="00BC4AAC"/>
    <w:rsid w:val="00BC4AB6"/>
    <w:rsid w:val="00BC4B7B"/>
    <w:rsid w:val="00BC4D3D"/>
    <w:rsid w:val="00BC58B1"/>
    <w:rsid w:val="00BC58E2"/>
    <w:rsid w:val="00BC6032"/>
    <w:rsid w:val="00BC617E"/>
    <w:rsid w:val="00BC62B7"/>
    <w:rsid w:val="00BC6433"/>
    <w:rsid w:val="00BC664F"/>
    <w:rsid w:val="00BC7250"/>
    <w:rsid w:val="00BC7420"/>
    <w:rsid w:val="00BC74A8"/>
    <w:rsid w:val="00BC74C6"/>
    <w:rsid w:val="00BC7526"/>
    <w:rsid w:val="00BC797F"/>
    <w:rsid w:val="00BC7A6E"/>
    <w:rsid w:val="00BC7A99"/>
    <w:rsid w:val="00BC7B60"/>
    <w:rsid w:val="00BC7F26"/>
    <w:rsid w:val="00BD090B"/>
    <w:rsid w:val="00BD0C05"/>
    <w:rsid w:val="00BD12FB"/>
    <w:rsid w:val="00BD15BD"/>
    <w:rsid w:val="00BD202E"/>
    <w:rsid w:val="00BD2134"/>
    <w:rsid w:val="00BD22C1"/>
    <w:rsid w:val="00BD2426"/>
    <w:rsid w:val="00BD2FF8"/>
    <w:rsid w:val="00BD31FB"/>
    <w:rsid w:val="00BD3287"/>
    <w:rsid w:val="00BD4462"/>
    <w:rsid w:val="00BD44DA"/>
    <w:rsid w:val="00BD4990"/>
    <w:rsid w:val="00BD5467"/>
    <w:rsid w:val="00BD5506"/>
    <w:rsid w:val="00BD5547"/>
    <w:rsid w:val="00BD5A8A"/>
    <w:rsid w:val="00BD5D3B"/>
    <w:rsid w:val="00BD5D9D"/>
    <w:rsid w:val="00BD6496"/>
    <w:rsid w:val="00BD658A"/>
    <w:rsid w:val="00BD6594"/>
    <w:rsid w:val="00BD67C7"/>
    <w:rsid w:val="00BD69EB"/>
    <w:rsid w:val="00BD6C59"/>
    <w:rsid w:val="00BD6F21"/>
    <w:rsid w:val="00BD6F6A"/>
    <w:rsid w:val="00BD7275"/>
    <w:rsid w:val="00BD738E"/>
    <w:rsid w:val="00BD76D0"/>
    <w:rsid w:val="00BD7769"/>
    <w:rsid w:val="00BD7BF7"/>
    <w:rsid w:val="00BE013F"/>
    <w:rsid w:val="00BE0192"/>
    <w:rsid w:val="00BE05CD"/>
    <w:rsid w:val="00BE0DF4"/>
    <w:rsid w:val="00BE0F31"/>
    <w:rsid w:val="00BE14D5"/>
    <w:rsid w:val="00BE1A93"/>
    <w:rsid w:val="00BE1AC3"/>
    <w:rsid w:val="00BE1ACA"/>
    <w:rsid w:val="00BE1E4F"/>
    <w:rsid w:val="00BE1FBB"/>
    <w:rsid w:val="00BE2824"/>
    <w:rsid w:val="00BE2D19"/>
    <w:rsid w:val="00BE2EB7"/>
    <w:rsid w:val="00BE2EF9"/>
    <w:rsid w:val="00BE2F01"/>
    <w:rsid w:val="00BE3237"/>
    <w:rsid w:val="00BE3412"/>
    <w:rsid w:val="00BE3500"/>
    <w:rsid w:val="00BE3719"/>
    <w:rsid w:val="00BE3C21"/>
    <w:rsid w:val="00BE425A"/>
    <w:rsid w:val="00BE46B0"/>
    <w:rsid w:val="00BE47E0"/>
    <w:rsid w:val="00BE4A3F"/>
    <w:rsid w:val="00BE4A91"/>
    <w:rsid w:val="00BE4F09"/>
    <w:rsid w:val="00BE5264"/>
    <w:rsid w:val="00BE53DD"/>
    <w:rsid w:val="00BE554D"/>
    <w:rsid w:val="00BE59B0"/>
    <w:rsid w:val="00BE5CA2"/>
    <w:rsid w:val="00BE5D47"/>
    <w:rsid w:val="00BE5F7F"/>
    <w:rsid w:val="00BE60A1"/>
    <w:rsid w:val="00BE616B"/>
    <w:rsid w:val="00BE66DE"/>
    <w:rsid w:val="00BE6AC6"/>
    <w:rsid w:val="00BE7172"/>
    <w:rsid w:val="00BE74B9"/>
    <w:rsid w:val="00BE7839"/>
    <w:rsid w:val="00BE78D6"/>
    <w:rsid w:val="00BE7EE3"/>
    <w:rsid w:val="00BF016E"/>
    <w:rsid w:val="00BF0467"/>
    <w:rsid w:val="00BF0499"/>
    <w:rsid w:val="00BF0538"/>
    <w:rsid w:val="00BF053B"/>
    <w:rsid w:val="00BF0784"/>
    <w:rsid w:val="00BF08A0"/>
    <w:rsid w:val="00BF09AE"/>
    <w:rsid w:val="00BF09ED"/>
    <w:rsid w:val="00BF0C0F"/>
    <w:rsid w:val="00BF10B2"/>
    <w:rsid w:val="00BF1242"/>
    <w:rsid w:val="00BF133F"/>
    <w:rsid w:val="00BF1521"/>
    <w:rsid w:val="00BF1993"/>
    <w:rsid w:val="00BF1B17"/>
    <w:rsid w:val="00BF20D3"/>
    <w:rsid w:val="00BF2379"/>
    <w:rsid w:val="00BF2429"/>
    <w:rsid w:val="00BF2568"/>
    <w:rsid w:val="00BF2692"/>
    <w:rsid w:val="00BF2719"/>
    <w:rsid w:val="00BF2783"/>
    <w:rsid w:val="00BF2B55"/>
    <w:rsid w:val="00BF2E41"/>
    <w:rsid w:val="00BF2E8B"/>
    <w:rsid w:val="00BF3020"/>
    <w:rsid w:val="00BF30E4"/>
    <w:rsid w:val="00BF31E9"/>
    <w:rsid w:val="00BF32E5"/>
    <w:rsid w:val="00BF4153"/>
    <w:rsid w:val="00BF41BF"/>
    <w:rsid w:val="00BF4239"/>
    <w:rsid w:val="00BF430F"/>
    <w:rsid w:val="00BF43B0"/>
    <w:rsid w:val="00BF4474"/>
    <w:rsid w:val="00BF4680"/>
    <w:rsid w:val="00BF4964"/>
    <w:rsid w:val="00BF4B65"/>
    <w:rsid w:val="00BF4C3C"/>
    <w:rsid w:val="00BF4EC3"/>
    <w:rsid w:val="00BF56F1"/>
    <w:rsid w:val="00BF579F"/>
    <w:rsid w:val="00BF57E6"/>
    <w:rsid w:val="00BF6145"/>
    <w:rsid w:val="00BF61AC"/>
    <w:rsid w:val="00BF677A"/>
    <w:rsid w:val="00BF6A7C"/>
    <w:rsid w:val="00BF7321"/>
    <w:rsid w:val="00BF73DF"/>
    <w:rsid w:val="00BF7676"/>
    <w:rsid w:val="00BF7ACD"/>
    <w:rsid w:val="00C0022B"/>
    <w:rsid w:val="00C00476"/>
    <w:rsid w:val="00C0050E"/>
    <w:rsid w:val="00C00766"/>
    <w:rsid w:val="00C00C0D"/>
    <w:rsid w:val="00C01442"/>
    <w:rsid w:val="00C0155E"/>
    <w:rsid w:val="00C015DE"/>
    <w:rsid w:val="00C01746"/>
    <w:rsid w:val="00C0195C"/>
    <w:rsid w:val="00C01B11"/>
    <w:rsid w:val="00C01C9A"/>
    <w:rsid w:val="00C01D0A"/>
    <w:rsid w:val="00C01E45"/>
    <w:rsid w:val="00C01E9A"/>
    <w:rsid w:val="00C0219F"/>
    <w:rsid w:val="00C02647"/>
    <w:rsid w:val="00C02E65"/>
    <w:rsid w:val="00C033C9"/>
    <w:rsid w:val="00C0345E"/>
    <w:rsid w:val="00C034DE"/>
    <w:rsid w:val="00C037E6"/>
    <w:rsid w:val="00C0383C"/>
    <w:rsid w:val="00C03916"/>
    <w:rsid w:val="00C03A17"/>
    <w:rsid w:val="00C04329"/>
    <w:rsid w:val="00C04389"/>
    <w:rsid w:val="00C045C1"/>
    <w:rsid w:val="00C04D07"/>
    <w:rsid w:val="00C04E79"/>
    <w:rsid w:val="00C055E2"/>
    <w:rsid w:val="00C05F6C"/>
    <w:rsid w:val="00C05FB7"/>
    <w:rsid w:val="00C06111"/>
    <w:rsid w:val="00C06130"/>
    <w:rsid w:val="00C0624B"/>
    <w:rsid w:val="00C0646F"/>
    <w:rsid w:val="00C069F1"/>
    <w:rsid w:val="00C07000"/>
    <w:rsid w:val="00C077A2"/>
    <w:rsid w:val="00C077EE"/>
    <w:rsid w:val="00C078CC"/>
    <w:rsid w:val="00C07995"/>
    <w:rsid w:val="00C07E84"/>
    <w:rsid w:val="00C10667"/>
    <w:rsid w:val="00C109DD"/>
    <w:rsid w:val="00C11291"/>
    <w:rsid w:val="00C113F3"/>
    <w:rsid w:val="00C1162B"/>
    <w:rsid w:val="00C11664"/>
    <w:rsid w:val="00C11930"/>
    <w:rsid w:val="00C1265E"/>
    <w:rsid w:val="00C12CF8"/>
    <w:rsid w:val="00C12DEC"/>
    <w:rsid w:val="00C12F8D"/>
    <w:rsid w:val="00C133B1"/>
    <w:rsid w:val="00C13840"/>
    <w:rsid w:val="00C13900"/>
    <w:rsid w:val="00C13B70"/>
    <w:rsid w:val="00C13BF4"/>
    <w:rsid w:val="00C13EF5"/>
    <w:rsid w:val="00C1401A"/>
    <w:rsid w:val="00C14265"/>
    <w:rsid w:val="00C14688"/>
    <w:rsid w:val="00C14773"/>
    <w:rsid w:val="00C14A0B"/>
    <w:rsid w:val="00C15299"/>
    <w:rsid w:val="00C152FF"/>
    <w:rsid w:val="00C153F2"/>
    <w:rsid w:val="00C15422"/>
    <w:rsid w:val="00C15633"/>
    <w:rsid w:val="00C15725"/>
    <w:rsid w:val="00C15955"/>
    <w:rsid w:val="00C15C74"/>
    <w:rsid w:val="00C1633C"/>
    <w:rsid w:val="00C16592"/>
    <w:rsid w:val="00C1669F"/>
    <w:rsid w:val="00C166BB"/>
    <w:rsid w:val="00C16B3B"/>
    <w:rsid w:val="00C16C03"/>
    <w:rsid w:val="00C170E4"/>
    <w:rsid w:val="00C172A4"/>
    <w:rsid w:val="00C17377"/>
    <w:rsid w:val="00C17389"/>
    <w:rsid w:val="00C176D0"/>
    <w:rsid w:val="00C179C6"/>
    <w:rsid w:val="00C17A11"/>
    <w:rsid w:val="00C17ED1"/>
    <w:rsid w:val="00C17F7C"/>
    <w:rsid w:val="00C20AF0"/>
    <w:rsid w:val="00C212DC"/>
    <w:rsid w:val="00C21893"/>
    <w:rsid w:val="00C21BB9"/>
    <w:rsid w:val="00C2223B"/>
    <w:rsid w:val="00C22A63"/>
    <w:rsid w:val="00C230C9"/>
    <w:rsid w:val="00C233B7"/>
    <w:rsid w:val="00C2360C"/>
    <w:rsid w:val="00C239D1"/>
    <w:rsid w:val="00C23AF8"/>
    <w:rsid w:val="00C242AA"/>
    <w:rsid w:val="00C243AB"/>
    <w:rsid w:val="00C24647"/>
    <w:rsid w:val="00C249B1"/>
    <w:rsid w:val="00C24B2A"/>
    <w:rsid w:val="00C24C53"/>
    <w:rsid w:val="00C25228"/>
    <w:rsid w:val="00C25C1E"/>
    <w:rsid w:val="00C260F0"/>
    <w:rsid w:val="00C266B8"/>
    <w:rsid w:val="00C2698E"/>
    <w:rsid w:val="00C26BE6"/>
    <w:rsid w:val="00C26EE9"/>
    <w:rsid w:val="00C26FA7"/>
    <w:rsid w:val="00C2774B"/>
    <w:rsid w:val="00C27ED7"/>
    <w:rsid w:val="00C27F18"/>
    <w:rsid w:val="00C30AE1"/>
    <w:rsid w:val="00C30B6F"/>
    <w:rsid w:val="00C30E99"/>
    <w:rsid w:val="00C30F9C"/>
    <w:rsid w:val="00C3145B"/>
    <w:rsid w:val="00C314B5"/>
    <w:rsid w:val="00C315E3"/>
    <w:rsid w:val="00C322C9"/>
    <w:rsid w:val="00C3266A"/>
    <w:rsid w:val="00C3293E"/>
    <w:rsid w:val="00C32C1A"/>
    <w:rsid w:val="00C32FB5"/>
    <w:rsid w:val="00C330B4"/>
    <w:rsid w:val="00C335E3"/>
    <w:rsid w:val="00C33A42"/>
    <w:rsid w:val="00C33E1D"/>
    <w:rsid w:val="00C341A6"/>
    <w:rsid w:val="00C345E8"/>
    <w:rsid w:val="00C34657"/>
    <w:rsid w:val="00C34869"/>
    <w:rsid w:val="00C34B1D"/>
    <w:rsid w:val="00C34E17"/>
    <w:rsid w:val="00C3558E"/>
    <w:rsid w:val="00C357BB"/>
    <w:rsid w:val="00C3594D"/>
    <w:rsid w:val="00C35BC8"/>
    <w:rsid w:val="00C35D84"/>
    <w:rsid w:val="00C3611D"/>
    <w:rsid w:val="00C3613D"/>
    <w:rsid w:val="00C3618B"/>
    <w:rsid w:val="00C36763"/>
    <w:rsid w:val="00C36A62"/>
    <w:rsid w:val="00C36D4F"/>
    <w:rsid w:val="00C36D9B"/>
    <w:rsid w:val="00C36F54"/>
    <w:rsid w:val="00C370A3"/>
    <w:rsid w:val="00C37242"/>
    <w:rsid w:val="00C37282"/>
    <w:rsid w:val="00C377F3"/>
    <w:rsid w:val="00C400F4"/>
    <w:rsid w:val="00C4014D"/>
    <w:rsid w:val="00C401F7"/>
    <w:rsid w:val="00C40330"/>
    <w:rsid w:val="00C40441"/>
    <w:rsid w:val="00C40873"/>
    <w:rsid w:val="00C40D13"/>
    <w:rsid w:val="00C41A95"/>
    <w:rsid w:val="00C41C1D"/>
    <w:rsid w:val="00C41CB0"/>
    <w:rsid w:val="00C41CB8"/>
    <w:rsid w:val="00C4235F"/>
    <w:rsid w:val="00C423E9"/>
    <w:rsid w:val="00C425B6"/>
    <w:rsid w:val="00C42744"/>
    <w:rsid w:val="00C428B3"/>
    <w:rsid w:val="00C4296C"/>
    <w:rsid w:val="00C429EA"/>
    <w:rsid w:val="00C42AF4"/>
    <w:rsid w:val="00C42B9E"/>
    <w:rsid w:val="00C43421"/>
    <w:rsid w:val="00C43506"/>
    <w:rsid w:val="00C43566"/>
    <w:rsid w:val="00C43733"/>
    <w:rsid w:val="00C43B9C"/>
    <w:rsid w:val="00C43E70"/>
    <w:rsid w:val="00C44000"/>
    <w:rsid w:val="00C4437D"/>
    <w:rsid w:val="00C447CB"/>
    <w:rsid w:val="00C447DA"/>
    <w:rsid w:val="00C44957"/>
    <w:rsid w:val="00C44D44"/>
    <w:rsid w:val="00C4509A"/>
    <w:rsid w:val="00C451C9"/>
    <w:rsid w:val="00C45888"/>
    <w:rsid w:val="00C45B80"/>
    <w:rsid w:val="00C45D69"/>
    <w:rsid w:val="00C46164"/>
    <w:rsid w:val="00C461C7"/>
    <w:rsid w:val="00C464E2"/>
    <w:rsid w:val="00C46568"/>
    <w:rsid w:val="00C46644"/>
    <w:rsid w:val="00C466CA"/>
    <w:rsid w:val="00C46850"/>
    <w:rsid w:val="00C468A2"/>
    <w:rsid w:val="00C46B71"/>
    <w:rsid w:val="00C46D06"/>
    <w:rsid w:val="00C46DE2"/>
    <w:rsid w:val="00C46FA2"/>
    <w:rsid w:val="00C47144"/>
    <w:rsid w:val="00C4728A"/>
    <w:rsid w:val="00C475D0"/>
    <w:rsid w:val="00C47F3B"/>
    <w:rsid w:val="00C47F9D"/>
    <w:rsid w:val="00C5000E"/>
    <w:rsid w:val="00C50703"/>
    <w:rsid w:val="00C50CD2"/>
    <w:rsid w:val="00C50F88"/>
    <w:rsid w:val="00C510BD"/>
    <w:rsid w:val="00C5170E"/>
    <w:rsid w:val="00C51C45"/>
    <w:rsid w:val="00C51CD6"/>
    <w:rsid w:val="00C51D45"/>
    <w:rsid w:val="00C51DC5"/>
    <w:rsid w:val="00C51E5C"/>
    <w:rsid w:val="00C5239A"/>
    <w:rsid w:val="00C52D15"/>
    <w:rsid w:val="00C52F72"/>
    <w:rsid w:val="00C5303D"/>
    <w:rsid w:val="00C53077"/>
    <w:rsid w:val="00C53602"/>
    <w:rsid w:val="00C53FE1"/>
    <w:rsid w:val="00C54571"/>
    <w:rsid w:val="00C545DC"/>
    <w:rsid w:val="00C54677"/>
    <w:rsid w:val="00C549FA"/>
    <w:rsid w:val="00C54ACF"/>
    <w:rsid w:val="00C54FC7"/>
    <w:rsid w:val="00C55227"/>
    <w:rsid w:val="00C5528C"/>
    <w:rsid w:val="00C55323"/>
    <w:rsid w:val="00C55514"/>
    <w:rsid w:val="00C55756"/>
    <w:rsid w:val="00C55908"/>
    <w:rsid w:val="00C56251"/>
    <w:rsid w:val="00C56496"/>
    <w:rsid w:val="00C5661E"/>
    <w:rsid w:val="00C5671A"/>
    <w:rsid w:val="00C56F35"/>
    <w:rsid w:val="00C5700C"/>
    <w:rsid w:val="00C570DF"/>
    <w:rsid w:val="00C57219"/>
    <w:rsid w:val="00C57974"/>
    <w:rsid w:val="00C57DD2"/>
    <w:rsid w:val="00C57E2F"/>
    <w:rsid w:val="00C57F9C"/>
    <w:rsid w:val="00C60221"/>
    <w:rsid w:val="00C602D5"/>
    <w:rsid w:val="00C60EBB"/>
    <w:rsid w:val="00C611B0"/>
    <w:rsid w:val="00C616C1"/>
    <w:rsid w:val="00C61968"/>
    <w:rsid w:val="00C619C2"/>
    <w:rsid w:val="00C61E60"/>
    <w:rsid w:val="00C61ED6"/>
    <w:rsid w:val="00C61F42"/>
    <w:rsid w:val="00C622F7"/>
    <w:rsid w:val="00C626C6"/>
    <w:rsid w:val="00C62792"/>
    <w:rsid w:val="00C62A2C"/>
    <w:rsid w:val="00C62A42"/>
    <w:rsid w:val="00C62BB0"/>
    <w:rsid w:val="00C62C4D"/>
    <w:rsid w:val="00C62CA0"/>
    <w:rsid w:val="00C62D0D"/>
    <w:rsid w:val="00C63194"/>
    <w:rsid w:val="00C63461"/>
    <w:rsid w:val="00C635F4"/>
    <w:rsid w:val="00C6380E"/>
    <w:rsid w:val="00C63893"/>
    <w:rsid w:val="00C63936"/>
    <w:rsid w:val="00C63BD8"/>
    <w:rsid w:val="00C63E18"/>
    <w:rsid w:val="00C63FA9"/>
    <w:rsid w:val="00C64169"/>
    <w:rsid w:val="00C64288"/>
    <w:rsid w:val="00C644E6"/>
    <w:rsid w:val="00C64C05"/>
    <w:rsid w:val="00C64E50"/>
    <w:rsid w:val="00C64FC8"/>
    <w:rsid w:val="00C662A3"/>
    <w:rsid w:val="00C663F2"/>
    <w:rsid w:val="00C66DEE"/>
    <w:rsid w:val="00C6758B"/>
    <w:rsid w:val="00C676DC"/>
    <w:rsid w:val="00C679D7"/>
    <w:rsid w:val="00C700E2"/>
    <w:rsid w:val="00C70194"/>
    <w:rsid w:val="00C70587"/>
    <w:rsid w:val="00C707CC"/>
    <w:rsid w:val="00C7099D"/>
    <w:rsid w:val="00C71106"/>
    <w:rsid w:val="00C712E7"/>
    <w:rsid w:val="00C71503"/>
    <w:rsid w:val="00C7159B"/>
    <w:rsid w:val="00C718D7"/>
    <w:rsid w:val="00C71A37"/>
    <w:rsid w:val="00C71A63"/>
    <w:rsid w:val="00C71E72"/>
    <w:rsid w:val="00C72656"/>
    <w:rsid w:val="00C72BEC"/>
    <w:rsid w:val="00C732CF"/>
    <w:rsid w:val="00C73BF5"/>
    <w:rsid w:val="00C73C48"/>
    <w:rsid w:val="00C73E0E"/>
    <w:rsid w:val="00C73F67"/>
    <w:rsid w:val="00C74185"/>
    <w:rsid w:val="00C74523"/>
    <w:rsid w:val="00C74683"/>
    <w:rsid w:val="00C74852"/>
    <w:rsid w:val="00C749CF"/>
    <w:rsid w:val="00C74B7D"/>
    <w:rsid w:val="00C74BD5"/>
    <w:rsid w:val="00C74C82"/>
    <w:rsid w:val="00C74FED"/>
    <w:rsid w:val="00C750CB"/>
    <w:rsid w:val="00C75490"/>
    <w:rsid w:val="00C757A0"/>
    <w:rsid w:val="00C75CEE"/>
    <w:rsid w:val="00C75D6B"/>
    <w:rsid w:val="00C75E5C"/>
    <w:rsid w:val="00C75F45"/>
    <w:rsid w:val="00C761CD"/>
    <w:rsid w:val="00C776DB"/>
    <w:rsid w:val="00C77D0D"/>
    <w:rsid w:val="00C77E47"/>
    <w:rsid w:val="00C805FB"/>
    <w:rsid w:val="00C80AF6"/>
    <w:rsid w:val="00C80C8C"/>
    <w:rsid w:val="00C80DEB"/>
    <w:rsid w:val="00C80F0F"/>
    <w:rsid w:val="00C81250"/>
    <w:rsid w:val="00C814B7"/>
    <w:rsid w:val="00C816A6"/>
    <w:rsid w:val="00C81715"/>
    <w:rsid w:val="00C81AB4"/>
    <w:rsid w:val="00C81AD0"/>
    <w:rsid w:val="00C81B34"/>
    <w:rsid w:val="00C81E8B"/>
    <w:rsid w:val="00C8229B"/>
    <w:rsid w:val="00C82313"/>
    <w:rsid w:val="00C82460"/>
    <w:rsid w:val="00C827F9"/>
    <w:rsid w:val="00C82886"/>
    <w:rsid w:val="00C828CA"/>
    <w:rsid w:val="00C82F6D"/>
    <w:rsid w:val="00C82FD1"/>
    <w:rsid w:val="00C830DE"/>
    <w:rsid w:val="00C8315E"/>
    <w:rsid w:val="00C83CF0"/>
    <w:rsid w:val="00C8441F"/>
    <w:rsid w:val="00C84455"/>
    <w:rsid w:val="00C84564"/>
    <w:rsid w:val="00C8482D"/>
    <w:rsid w:val="00C84A5E"/>
    <w:rsid w:val="00C84BC5"/>
    <w:rsid w:val="00C84E22"/>
    <w:rsid w:val="00C84E95"/>
    <w:rsid w:val="00C852BF"/>
    <w:rsid w:val="00C85450"/>
    <w:rsid w:val="00C85A03"/>
    <w:rsid w:val="00C85D52"/>
    <w:rsid w:val="00C8608B"/>
    <w:rsid w:val="00C86442"/>
    <w:rsid w:val="00C8670F"/>
    <w:rsid w:val="00C868B9"/>
    <w:rsid w:val="00C86AB4"/>
    <w:rsid w:val="00C8713B"/>
    <w:rsid w:val="00C873F6"/>
    <w:rsid w:val="00C87452"/>
    <w:rsid w:val="00C877D1"/>
    <w:rsid w:val="00C87A2E"/>
    <w:rsid w:val="00C900C7"/>
    <w:rsid w:val="00C90418"/>
    <w:rsid w:val="00C90466"/>
    <w:rsid w:val="00C905E4"/>
    <w:rsid w:val="00C90694"/>
    <w:rsid w:val="00C90984"/>
    <w:rsid w:val="00C909C1"/>
    <w:rsid w:val="00C90C09"/>
    <w:rsid w:val="00C90CCC"/>
    <w:rsid w:val="00C911D5"/>
    <w:rsid w:val="00C91824"/>
    <w:rsid w:val="00C91861"/>
    <w:rsid w:val="00C91926"/>
    <w:rsid w:val="00C91E8D"/>
    <w:rsid w:val="00C921F5"/>
    <w:rsid w:val="00C92456"/>
    <w:rsid w:val="00C92599"/>
    <w:rsid w:val="00C925FB"/>
    <w:rsid w:val="00C92722"/>
    <w:rsid w:val="00C92953"/>
    <w:rsid w:val="00C92B1A"/>
    <w:rsid w:val="00C931C4"/>
    <w:rsid w:val="00C935BF"/>
    <w:rsid w:val="00C93673"/>
    <w:rsid w:val="00C93B6B"/>
    <w:rsid w:val="00C940AF"/>
    <w:rsid w:val="00C94245"/>
    <w:rsid w:val="00C94A42"/>
    <w:rsid w:val="00C95314"/>
    <w:rsid w:val="00C95401"/>
    <w:rsid w:val="00C95A11"/>
    <w:rsid w:val="00C95AD0"/>
    <w:rsid w:val="00C95ED8"/>
    <w:rsid w:val="00C963C1"/>
    <w:rsid w:val="00C96530"/>
    <w:rsid w:val="00C968F6"/>
    <w:rsid w:val="00C96AA2"/>
    <w:rsid w:val="00C96BF6"/>
    <w:rsid w:val="00C96CC3"/>
    <w:rsid w:val="00C9718C"/>
    <w:rsid w:val="00C973F9"/>
    <w:rsid w:val="00C97617"/>
    <w:rsid w:val="00C97C16"/>
    <w:rsid w:val="00C97C28"/>
    <w:rsid w:val="00CA0045"/>
    <w:rsid w:val="00CA009F"/>
    <w:rsid w:val="00CA00AA"/>
    <w:rsid w:val="00CA0133"/>
    <w:rsid w:val="00CA0937"/>
    <w:rsid w:val="00CA0D6E"/>
    <w:rsid w:val="00CA0DB7"/>
    <w:rsid w:val="00CA0F98"/>
    <w:rsid w:val="00CA0F9F"/>
    <w:rsid w:val="00CA119C"/>
    <w:rsid w:val="00CA195A"/>
    <w:rsid w:val="00CA1AFE"/>
    <w:rsid w:val="00CA1BD2"/>
    <w:rsid w:val="00CA1F44"/>
    <w:rsid w:val="00CA1FAF"/>
    <w:rsid w:val="00CA1FF9"/>
    <w:rsid w:val="00CA2400"/>
    <w:rsid w:val="00CA248D"/>
    <w:rsid w:val="00CA2640"/>
    <w:rsid w:val="00CA2E17"/>
    <w:rsid w:val="00CA301D"/>
    <w:rsid w:val="00CA30DE"/>
    <w:rsid w:val="00CA3D91"/>
    <w:rsid w:val="00CA3E27"/>
    <w:rsid w:val="00CA4662"/>
    <w:rsid w:val="00CA479B"/>
    <w:rsid w:val="00CA495D"/>
    <w:rsid w:val="00CA4A9F"/>
    <w:rsid w:val="00CA4C08"/>
    <w:rsid w:val="00CA4C79"/>
    <w:rsid w:val="00CA4C8E"/>
    <w:rsid w:val="00CA4E29"/>
    <w:rsid w:val="00CA57D7"/>
    <w:rsid w:val="00CA65FE"/>
    <w:rsid w:val="00CA660A"/>
    <w:rsid w:val="00CA67F2"/>
    <w:rsid w:val="00CA6970"/>
    <w:rsid w:val="00CA6BEA"/>
    <w:rsid w:val="00CA6C45"/>
    <w:rsid w:val="00CA6E27"/>
    <w:rsid w:val="00CA6E2B"/>
    <w:rsid w:val="00CA732B"/>
    <w:rsid w:val="00CA745C"/>
    <w:rsid w:val="00CA79F6"/>
    <w:rsid w:val="00CA7D1E"/>
    <w:rsid w:val="00CA7E0B"/>
    <w:rsid w:val="00CA7F03"/>
    <w:rsid w:val="00CA7F67"/>
    <w:rsid w:val="00CB01C6"/>
    <w:rsid w:val="00CB01DE"/>
    <w:rsid w:val="00CB023F"/>
    <w:rsid w:val="00CB0319"/>
    <w:rsid w:val="00CB07D2"/>
    <w:rsid w:val="00CB0D5A"/>
    <w:rsid w:val="00CB0EA5"/>
    <w:rsid w:val="00CB127B"/>
    <w:rsid w:val="00CB1721"/>
    <w:rsid w:val="00CB1989"/>
    <w:rsid w:val="00CB1C51"/>
    <w:rsid w:val="00CB1D74"/>
    <w:rsid w:val="00CB1E6F"/>
    <w:rsid w:val="00CB20E3"/>
    <w:rsid w:val="00CB2427"/>
    <w:rsid w:val="00CB257C"/>
    <w:rsid w:val="00CB26FA"/>
    <w:rsid w:val="00CB32C2"/>
    <w:rsid w:val="00CB376B"/>
    <w:rsid w:val="00CB3BC6"/>
    <w:rsid w:val="00CB3DB1"/>
    <w:rsid w:val="00CB4177"/>
    <w:rsid w:val="00CB4275"/>
    <w:rsid w:val="00CB4A46"/>
    <w:rsid w:val="00CB4C0E"/>
    <w:rsid w:val="00CB4C8E"/>
    <w:rsid w:val="00CB4D59"/>
    <w:rsid w:val="00CB5688"/>
    <w:rsid w:val="00CB5A2D"/>
    <w:rsid w:val="00CB5B26"/>
    <w:rsid w:val="00CB5B48"/>
    <w:rsid w:val="00CB5D3F"/>
    <w:rsid w:val="00CB5D7E"/>
    <w:rsid w:val="00CB5E41"/>
    <w:rsid w:val="00CB6A89"/>
    <w:rsid w:val="00CB6B0C"/>
    <w:rsid w:val="00CB6DEB"/>
    <w:rsid w:val="00CB70E3"/>
    <w:rsid w:val="00CB7470"/>
    <w:rsid w:val="00CB7676"/>
    <w:rsid w:val="00CB7A35"/>
    <w:rsid w:val="00CB7AD5"/>
    <w:rsid w:val="00CB7D9B"/>
    <w:rsid w:val="00CB7E7B"/>
    <w:rsid w:val="00CC006F"/>
    <w:rsid w:val="00CC01AC"/>
    <w:rsid w:val="00CC0324"/>
    <w:rsid w:val="00CC0418"/>
    <w:rsid w:val="00CC07A6"/>
    <w:rsid w:val="00CC086A"/>
    <w:rsid w:val="00CC08BC"/>
    <w:rsid w:val="00CC0DB7"/>
    <w:rsid w:val="00CC11B6"/>
    <w:rsid w:val="00CC140A"/>
    <w:rsid w:val="00CC16EA"/>
    <w:rsid w:val="00CC188C"/>
    <w:rsid w:val="00CC1911"/>
    <w:rsid w:val="00CC1A13"/>
    <w:rsid w:val="00CC1BC3"/>
    <w:rsid w:val="00CC1D39"/>
    <w:rsid w:val="00CC1E5B"/>
    <w:rsid w:val="00CC271E"/>
    <w:rsid w:val="00CC2F39"/>
    <w:rsid w:val="00CC3452"/>
    <w:rsid w:val="00CC3C89"/>
    <w:rsid w:val="00CC4183"/>
    <w:rsid w:val="00CC4422"/>
    <w:rsid w:val="00CC4B22"/>
    <w:rsid w:val="00CC50D7"/>
    <w:rsid w:val="00CC526E"/>
    <w:rsid w:val="00CC588F"/>
    <w:rsid w:val="00CC58D8"/>
    <w:rsid w:val="00CC5F64"/>
    <w:rsid w:val="00CC5FE9"/>
    <w:rsid w:val="00CC6070"/>
    <w:rsid w:val="00CC61DA"/>
    <w:rsid w:val="00CC6396"/>
    <w:rsid w:val="00CC6497"/>
    <w:rsid w:val="00CC6520"/>
    <w:rsid w:val="00CC6534"/>
    <w:rsid w:val="00CC6656"/>
    <w:rsid w:val="00CC6997"/>
    <w:rsid w:val="00CC69D1"/>
    <w:rsid w:val="00CC7202"/>
    <w:rsid w:val="00CC7215"/>
    <w:rsid w:val="00CC774E"/>
    <w:rsid w:val="00CC7800"/>
    <w:rsid w:val="00CC782A"/>
    <w:rsid w:val="00CC794B"/>
    <w:rsid w:val="00CC7AF7"/>
    <w:rsid w:val="00CD013C"/>
    <w:rsid w:val="00CD07D1"/>
    <w:rsid w:val="00CD0FD7"/>
    <w:rsid w:val="00CD1B8C"/>
    <w:rsid w:val="00CD1CF8"/>
    <w:rsid w:val="00CD25C8"/>
    <w:rsid w:val="00CD2BE3"/>
    <w:rsid w:val="00CD2EF6"/>
    <w:rsid w:val="00CD34EB"/>
    <w:rsid w:val="00CD3546"/>
    <w:rsid w:val="00CD3C64"/>
    <w:rsid w:val="00CD40A5"/>
    <w:rsid w:val="00CD423B"/>
    <w:rsid w:val="00CD49E2"/>
    <w:rsid w:val="00CD49EA"/>
    <w:rsid w:val="00CD4A6F"/>
    <w:rsid w:val="00CD4DBB"/>
    <w:rsid w:val="00CD5A0C"/>
    <w:rsid w:val="00CD5BA1"/>
    <w:rsid w:val="00CD5D6A"/>
    <w:rsid w:val="00CD5F82"/>
    <w:rsid w:val="00CD6052"/>
    <w:rsid w:val="00CD60A2"/>
    <w:rsid w:val="00CD612D"/>
    <w:rsid w:val="00CD635A"/>
    <w:rsid w:val="00CD64AC"/>
    <w:rsid w:val="00CD6B13"/>
    <w:rsid w:val="00CD6BC0"/>
    <w:rsid w:val="00CD6CA6"/>
    <w:rsid w:val="00CD6CF3"/>
    <w:rsid w:val="00CD6D3C"/>
    <w:rsid w:val="00CD6F06"/>
    <w:rsid w:val="00CD7212"/>
    <w:rsid w:val="00CD7224"/>
    <w:rsid w:val="00CE0474"/>
    <w:rsid w:val="00CE0A76"/>
    <w:rsid w:val="00CE0A80"/>
    <w:rsid w:val="00CE0AAB"/>
    <w:rsid w:val="00CE0EEE"/>
    <w:rsid w:val="00CE11DF"/>
    <w:rsid w:val="00CE1233"/>
    <w:rsid w:val="00CE12EA"/>
    <w:rsid w:val="00CE13F4"/>
    <w:rsid w:val="00CE16C3"/>
    <w:rsid w:val="00CE1944"/>
    <w:rsid w:val="00CE1BCA"/>
    <w:rsid w:val="00CE20B4"/>
    <w:rsid w:val="00CE2473"/>
    <w:rsid w:val="00CE2820"/>
    <w:rsid w:val="00CE28C0"/>
    <w:rsid w:val="00CE2A94"/>
    <w:rsid w:val="00CE2DB8"/>
    <w:rsid w:val="00CE38AA"/>
    <w:rsid w:val="00CE3961"/>
    <w:rsid w:val="00CE4441"/>
    <w:rsid w:val="00CE445B"/>
    <w:rsid w:val="00CE44A1"/>
    <w:rsid w:val="00CE47BA"/>
    <w:rsid w:val="00CE47EE"/>
    <w:rsid w:val="00CE49C9"/>
    <w:rsid w:val="00CE4B07"/>
    <w:rsid w:val="00CE4C78"/>
    <w:rsid w:val="00CE51B0"/>
    <w:rsid w:val="00CE5345"/>
    <w:rsid w:val="00CE551A"/>
    <w:rsid w:val="00CE570E"/>
    <w:rsid w:val="00CE58B6"/>
    <w:rsid w:val="00CE58C1"/>
    <w:rsid w:val="00CE5DBF"/>
    <w:rsid w:val="00CE5E55"/>
    <w:rsid w:val="00CE5ED2"/>
    <w:rsid w:val="00CE6543"/>
    <w:rsid w:val="00CE6574"/>
    <w:rsid w:val="00CE6B22"/>
    <w:rsid w:val="00CE6B6A"/>
    <w:rsid w:val="00CE71B1"/>
    <w:rsid w:val="00CE724C"/>
    <w:rsid w:val="00CE7258"/>
    <w:rsid w:val="00CE743B"/>
    <w:rsid w:val="00CE74F2"/>
    <w:rsid w:val="00CE7BD2"/>
    <w:rsid w:val="00CF05C5"/>
    <w:rsid w:val="00CF09E3"/>
    <w:rsid w:val="00CF0BDB"/>
    <w:rsid w:val="00CF1546"/>
    <w:rsid w:val="00CF15BD"/>
    <w:rsid w:val="00CF1D18"/>
    <w:rsid w:val="00CF1DBE"/>
    <w:rsid w:val="00CF1F7F"/>
    <w:rsid w:val="00CF225C"/>
    <w:rsid w:val="00CF23B1"/>
    <w:rsid w:val="00CF276B"/>
    <w:rsid w:val="00CF29CE"/>
    <w:rsid w:val="00CF29E2"/>
    <w:rsid w:val="00CF2D0E"/>
    <w:rsid w:val="00CF2E1B"/>
    <w:rsid w:val="00CF2E5F"/>
    <w:rsid w:val="00CF3044"/>
    <w:rsid w:val="00CF31B7"/>
    <w:rsid w:val="00CF3293"/>
    <w:rsid w:val="00CF32F4"/>
    <w:rsid w:val="00CF3887"/>
    <w:rsid w:val="00CF3AEF"/>
    <w:rsid w:val="00CF3D0F"/>
    <w:rsid w:val="00CF3FCE"/>
    <w:rsid w:val="00CF410C"/>
    <w:rsid w:val="00CF42BF"/>
    <w:rsid w:val="00CF465A"/>
    <w:rsid w:val="00CF47D5"/>
    <w:rsid w:val="00CF4AA9"/>
    <w:rsid w:val="00CF4AB6"/>
    <w:rsid w:val="00CF52E0"/>
    <w:rsid w:val="00CF5477"/>
    <w:rsid w:val="00CF5ACD"/>
    <w:rsid w:val="00CF5E49"/>
    <w:rsid w:val="00CF5F76"/>
    <w:rsid w:val="00CF62EC"/>
    <w:rsid w:val="00CF6549"/>
    <w:rsid w:val="00CF695A"/>
    <w:rsid w:val="00CF6A19"/>
    <w:rsid w:val="00CF6C68"/>
    <w:rsid w:val="00CF6FBB"/>
    <w:rsid w:val="00CF7148"/>
    <w:rsid w:val="00CF72C6"/>
    <w:rsid w:val="00CF735D"/>
    <w:rsid w:val="00CF755A"/>
    <w:rsid w:val="00CF762A"/>
    <w:rsid w:val="00CF76AE"/>
    <w:rsid w:val="00CF7C81"/>
    <w:rsid w:val="00CF7D15"/>
    <w:rsid w:val="00D00389"/>
    <w:rsid w:val="00D00478"/>
    <w:rsid w:val="00D00CAC"/>
    <w:rsid w:val="00D00E0D"/>
    <w:rsid w:val="00D00E79"/>
    <w:rsid w:val="00D00F31"/>
    <w:rsid w:val="00D011DB"/>
    <w:rsid w:val="00D0186E"/>
    <w:rsid w:val="00D0213A"/>
    <w:rsid w:val="00D02628"/>
    <w:rsid w:val="00D0283D"/>
    <w:rsid w:val="00D02BED"/>
    <w:rsid w:val="00D033DC"/>
    <w:rsid w:val="00D037AE"/>
    <w:rsid w:val="00D037D5"/>
    <w:rsid w:val="00D039A6"/>
    <w:rsid w:val="00D03A42"/>
    <w:rsid w:val="00D03BCF"/>
    <w:rsid w:val="00D03D1B"/>
    <w:rsid w:val="00D0406D"/>
    <w:rsid w:val="00D043C9"/>
    <w:rsid w:val="00D044A1"/>
    <w:rsid w:val="00D047FB"/>
    <w:rsid w:val="00D04945"/>
    <w:rsid w:val="00D0496E"/>
    <w:rsid w:val="00D04AE3"/>
    <w:rsid w:val="00D04B1B"/>
    <w:rsid w:val="00D051B7"/>
    <w:rsid w:val="00D05436"/>
    <w:rsid w:val="00D0555B"/>
    <w:rsid w:val="00D055B0"/>
    <w:rsid w:val="00D059AF"/>
    <w:rsid w:val="00D05D35"/>
    <w:rsid w:val="00D05F0F"/>
    <w:rsid w:val="00D064F8"/>
    <w:rsid w:val="00D06956"/>
    <w:rsid w:val="00D06B44"/>
    <w:rsid w:val="00D06CE4"/>
    <w:rsid w:val="00D06D15"/>
    <w:rsid w:val="00D06F67"/>
    <w:rsid w:val="00D072DE"/>
    <w:rsid w:val="00D07403"/>
    <w:rsid w:val="00D074EC"/>
    <w:rsid w:val="00D075C1"/>
    <w:rsid w:val="00D07780"/>
    <w:rsid w:val="00D07AA6"/>
    <w:rsid w:val="00D07DA1"/>
    <w:rsid w:val="00D07E1B"/>
    <w:rsid w:val="00D10343"/>
    <w:rsid w:val="00D10407"/>
    <w:rsid w:val="00D1049C"/>
    <w:rsid w:val="00D105E2"/>
    <w:rsid w:val="00D10CA6"/>
    <w:rsid w:val="00D10D4C"/>
    <w:rsid w:val="00D10EF6"/>
    <w:rsid w:val="00D1100E"/>
    <w:rsid w:val="00D11F30"/>
    <w:rsid w:val="00D11FAB"/>
    <w:rsid w:val="00D1234D"/>
    <w:rsid w:val="00D12DC6"/>
    <w:rsid w:val="00D12FCD"/>
    <w:rsid w:val="00D13252"/>
    <w:rsid w:val="00D1343E"/>
    <w:rsid w:val="00D1350E"/>
    <w:rsid w:val="00D1367D"/>
    <w:rsid w:val="00D137CA"/>
    <w:rsid w:val="00D139BB"/>
    <w:rsid w:val="00D139EE"/>
    <w:rsid w:val="00D13B7F"/>
    <w:rsid w:val="00D13C07"/>
    <w:rsid w:val="00D13D9B"/>
    <w:rsid w:val="00D1417C"/>
    <w:rsid w:val="00D141A2"/>
    <w:rsid w:val="00D14259"/>
    <w:rsid w:val="00D1435D"/>
    <w:rsid w:val="00D143F4"/>
    <w:rsid w:val="00D14444"/>
    <w:rsid w:val="00D1486F"/>
    <w:rsid w:val="00D148D7"/>
    <w:rsid w:val="00D1493E"/>
    <w:rsid w:val="00D14968"/>
    <w:rsid w:val="00D1498F"/>
    <w:rsid w:val="00D1509A"/>
    <w:rsid w:val="00D1536D"/>
    <w:rsid w:val="00D153E8"/>
    <w:rsid w:val="00D1551A"/>
    <w:rsid w:val="00D1572E"/>
    <w:rsid w:val="00D1603E"/>
    <w:rsid w:val="00D167B0"/>
    <w:rsid w:val="00D169C0"/>
    <w:rsid w:val="00D171D2"/>
    <w:rsid w:val="00D1735B"/>
    <w:rsid w:val="00D175A0"/>
    <w:rsid w:val="00D17F64"/>
    <w:rsid w:val="00D20257"/>
    <w:rsid w:val="00D20331"/>
    <w:rsid w:val="00D204B0"/>
    <w:rsid w:val="00D207B7"/>
    <w:rsid w:val="00D20B3E"/>
    <w:rsid w:val="00D20E3E"/>
    <w:rsid w:val="00D210F0"/>
    <w:rsid w:val="00D21A67"/>
    <w:rsid w:val="00D21A82"/>
    <w:rsid w:val="00D21BA8"/>
    <w:rsid w:val="00D21D3F"/>
    <w:rsid w:val="00D221DA"/>
    <w:rsid w:val="00D22248"/>
    <w:rsid w:val="00D2246A"/>
    <w:rsid w:val="00D2265D"/>
    <w:rsid w:val="00D23054"/>
    <w:rsid w:val="00D231F7"/>
    <w:rsid w:val="00D23470"/>
    <w:rsid w:val="00D23C29"/>
    <w:rsid w:val="00D23EF9"/>
    <w:rsid w:val="00D24746"/>
    <w:rsid w:val="00D24B40"/>
    <w:rsid w:val="00D24B68"/>
    <w:rsid w:val="00D25068"/>
    <w:rsid w:val="00D25275"/>
    <w:rsid w:val="00D25382"/>
    <w:rsid w:val="00D2565B"/>
    <w:rsid w:val="00D257A5"/>
    <w:rsid w:val="00D258CC"/>
    <w:rsid w:val="00D25A01"/>
    <w:rsid w:val="00D25AEB"/>
    <w:rsid w:val="00D25CCE"/>
    <w:rsid w:val="00D2638B"/>
    <w:rsid w:val="00D2638D"/>
    <w:rsid w:val="00D2652F"/>
    <w:rsid w:val="00D26686"/>
    <w:rsid w:val="00D268A9"/>
    <w:rsid w:val="00D26DD7"/>
    <w:rsid w:val="00D26EE8"/>
    <w:rsid w:val="00D27271"/>
    <w:rsid w:val="00D279DE"/>
    <w:rsid w:val="00D27B33"/>
    <w:rsid w:val="00D27B59"/>
    <w:rsid w:val="00D30119"/>
    <w:rsid w:val="00D30796"/>
    <w:rsid w:val="00D30BE6"/>
    <w:rsid w:val="00D3109A"/>
    <w:rsid w:val="00D3121D"/>
    <w:rsid w:val="00D31229"/>
    <w:rsid w:val="00D3124A"/>
    <w:rsid w:val="00D31340"/>
    <w:rsid w:val="00D31691"/>
    <w:rsid w:val="00D318BB"/>
    <w:rsid w:val="00D31A97"/>
    <w:rsid w:val="00D31AD8"/>
    <w:rsid w:val="00D31EC9"/>
    <w:rsid w:val="00D323CC"/>
    <w:rsid w:val="00D323CF"/>
    <w:rsid w:val="00D323F5"/>
    <w:rsid w:val="00D32546"/>
    <w:rsid w:val="00D325C4"/>
    <w:rsid w:val="00D3261A"/>
    <w:rsid w:val="00D3276C"/>
    <w:rsid w:val="00D32778"/>
    <w:rsid w:val="00D327A3"/>
    <w:rsid w:val="00D328DA"/>
    <w:rsid w:val="00D32A05"/>
    <w:rsid w:val="00D32D18"/>
    <w:rsid w:val="00D32DD0"/>
    <w:rsid w:val="00D3308B"/>
    <w:rsid w:val="00D330A4"/>
    <w:rsid w:val="00D330ED"/>
    <w:rsid w:val="00D3324B"/>
    <w:rsid w:val="00D337D6"/>
    <w:rsid w:val="00D33B43"/>
    <w:rsid w:val="00D33C56"/>
    <w:rsid w:val="00D33C6B"/>
    <w:rsid w:val="00D33FE0"/>
    <w:rsid w:val="00D34365"/>
    <w:rsid w:val="00D346CE"/>
    <w:rsid w:val="00D347ED"/>
    <w:rsid w:val="00D34814"/>
    <w:rsid w:val="00D34858"/>
    <w:rsid w:val="00D34E74"/>
    <w:rsid w:val="00D34F22"/>
    <w:rsid w:val="00D35035"/>
    <w:rsid w:val="00D350BA"/>
    <w:rsid w:val="00D352FC"/>
    <w:rsid w:val="00D354F9"/>
    <w:rsid w:val="00D35B68"/>
    <w:rsid w:val="00D3672D"/>
    <w:rsid w:val="00D36CDB"/>
    <w:rsid w:val="00D36FE1"/>
    <w:rsid w:val="00D3708F"/>
    <w:rsid w:val="00D37276"/>
    <w:rsid w:val="00D3749E"/>
    <w:rsid w:val="00D37C37"/>
    <w:rsid w:val="00D37CF1"/>
    <w:rsid w:val="00D37EC8"/>
    <w:rsid w:val="00D4024A"/>
    <w:rsid w:val="00D4027E"/>
    <w:rsid w:val="00D4062E"/>
    <w:rsid w:val="00D407D0"/>
    <w:rsid w:val="00D40C44"/>
    <w:rsid w:val="00D40D04"/>
    <w:rsid w:val="00D40E35"/>
    <w:rsid w:val="00D40EB2"/>
    <w:rsid w:val="00D40FAE"/>
    <w:rsid w:val="00D41170"/>
    <w:rsid w:val="00D412AF"/>
    <w:rsid w:val="00D415FB"/>
    <w:rsid w:val="00D418A4"/>
    <w:rsid w:val="00D41D7A"/>
    <w:rsid w:val="00D41F17"/>
    <w:rsid w:val="00D4220E"/>
    <w:rsid w:val="00D42994"/>
    <w:rsid w:val="00D42999"/>
    <w:rsid w:val="00D429D1"/>
    <w:rsid w:val="00D42D20"/>
    <w:rsid w:val="00D42E9C"/>
    <w:rsid w:val="00D42F05"/>
    <w:rsid w:val="00D430C4"/>
    <w:rsid w:val="00D43171"/>
    <w:rsid w:val="00D431F7"/>
    <w:rsid w:val="00D43534"/>
    <w:rsid w:val="00D43820"/>
    <w:rsid w:val="00D43DB8"/>
    <w:rsid w:val="00D43EF7"/>
    <w:rsid w:val="00D441C9"/>
    <w:rsid w:val="00D443BD"/>
    <w:rsid w:val="00D44689"/>
    <w:rsid w:val="00D44691"/>
    <w:rsid w:val="00D448B1"/>
    <w:rsid w:val="00D452FC"/>
    <w:rsid w:val="00D4562A"/>
    <w:rsid w:val="00D4567F"/>
    <w:rsid w:val="00D45879"/>
    <w:rsid w:val="00D45D8C"/>
    <w:rsid w:val="00D45E58"/>
    <w:rsid w:val="00D470AE"/>
    <w:rsid w:val="00D47277"/>
    <w:rsid w:val="00D473B6"/>
    <w:rsid w:val="00D47504"/>
    <w:rsid w:val="00D4760F"/>
    <w:rsid w:val="00D47674"/>
    <w:rsid w:val="00D47A5A"/>
    <w:rsid w:val="00D47D4A"/>
    <w:rsid w:val="00D47D80"/>
    <w:rsid w:val="00D50617"/>
    <w:rsid w:val="00D50784"/>
    <w:rsid w:val="00D50813"/>
    <w:rsid w:val="00D5085C"/>
    <w:rsid w:val="00D5087E"/>
    <w:rsid w:val="00D509C6"/>
    <w:rsid w:val="00D51068"/>
    <w:rsid w:val="00D5161F"/>
    <w:rsid w:val="00D51933"/>
    <w:rsid w:val="00D51A40"/>
    <w:rsid w:val="00D51A80"/>
    <w:rsid w:val="00D51EEA"/>
    <w:rsid w:val="00D5222B"/>
    <w:rsid w:val="00D52250"/>
    <w:rsid w:val="00D524CB"/>
    <w:rsid w:val="00D52554"/>
    <w:rsid w:val="00D52783"/>
    <w:rsid w:val="00D5280C"/>
    <w:rsid w:val="00D52853"/>
    <w:rsid w:val="00D528D2"/>
    <w:rsid w:val="00D52B1C"/>
    <w:rsid w:val="00D52F09"/>
    <w:rsid w:val="00D52FF0"/>
    <w:rsid w:val="00D531B9"/>
    <w:rsid w:val="00D5325D"/>
    <w:rsid w:val="00D53681"/>
    <w:rsid w:val="00D53760"/>
    <w:rsid w:val="00D53BD0"/>
    <w:rsid w:val="00D53DC3"/>
    <w:rsid w:val="00D53FD3"/>
    <w:rsid w:val="00D54264"/>
    <w:rsid w:val="00D544AC"/>
    <w:rsid w:val="00D549A4"/>
    <w:rsid w:val="00D54CFF"/>
    <w:rsid w:val="00D5504F"/>
    <w:rsid w:val="00D550CD"/>
    <w:rsid w:val="00D5538E"/>
    <w:rsid w:val="00D553A3"/>
    <w:rsid w:val="00D55805"/>
    <w:rsid w:val="00D55B9E"/>
    <w:rsid w:val="00D55D09"/>
    <w:rsid w:val="00D5657D"/>
    <w:rsid w:val="00D565C8"/>
    <w:rsid w:val="00D56637"/>
    <w:rsid w:val="00D567C9"/>
    <w:rsid w:val="00D56A09"/>
    <w:rsid w:val="00D579E9"/>
    <w:rsid w:val="00D57F25"/>
    <w:rsid w:val="00D601EA"/>
    <w:rsid w:val="00D602C3"/>
    <w:rsid w:val="00D607F1"/>
    <w:rsid w:val="00D60BA8"/>
    <w:rsid w:val="00D611E5"/>
    <w:rsid w:val="00D612C6"/>
    <w:rsid w:val="00D61FC2"/>
    <w:rsid w:val="00D6245F"/>
    <w:rsid w:val="00D627EB"/>
    <w:rsid w:val="00D627F3"/>
    <w:rsid w:val="00D62811"/>
    <w:rsid w:val="00D6284B"/>
    <w:rsid w:val="00D62D8E"/>
    <w:rsid w:val="00D62E7A"/>
    <w:rsid w:val="00D62E87"/>
    <w:rsid w:val="00D63110"/>
    <w:rsid w:val="00D63149"/>
    <w:rsid w:val="00D6383B"/>
    <w:rsid w:val="00D63C08"/>
    <w:rsid w:val="00D6436E"/>
    <w:rsid w:val="00D643A3"/>
    <w:rsid w:val="00D64989"/>
    <w:rsid w:val="00D64A23"/>
    <w:rsid w:val="00D64D63"/>
    <w:rsid w:val="00D64E15"/>
    <w:rsid w:val="00D64EFA"/>
    <w:rsid w:val="00D654A6"/>
    <w:rsid w:val="00D6556D"/>
    <w:rsid w:val="00D65592"/>
    <w:rsid w:val="00D657B7"/>
    <w:rsid w:val="00D657C3"/>
    <w:rsid w:val="00D65A81"/>
    <w:rsid w:val="00D65C6C"/>
    <w:rsid w:val="00D6657D"/>
    <w:rsid w:val="00D66AEF"/>
    <w:rsid w:val="00D671CA"/>
    <w:rsid w:val="00D67527"/>
    <w:rsid w:val="00D676C0"/>
    <w:rsid w:val="00D67AB0"/>
    <w:rsid w:val="00D67ABB"/>
    <w:rsid w:val="00D67E13"/>
    <w:rsid w:val="00D67EC5"/>
    <w:rsid w:val="00D70124"/>
    <w:rsid w:val="00D701D3"/>
    <w:rsid w:val="00D70242"/>
    <w:rsid w:val="00D702AD"/>
    <w:rsid w:val="00D702AF"/>
    <w:rsid w:val="00D70548"/>
    <w:rsid w:val="00D7085B"/>
    <w:rsid w:val="00D71C8D"/>
    <w:rsid w:val="00D71D64"/>
    <w:rsid w:val="00D71D82"/>
    <w:rsid w:val="00D723CF"/>
    <w:rsid w:val="00D72649"/>
    <w:rsid w:val="00D72664"/>
    <w:rsid w:val="00D7283A"/>
    <w:rsid w:val="00D728B2"/>
    <w:rsid w:val="00D72BC1"/>
    <w:rsid w:val="00D72D06"/>
    <w:rsid w:val="00D72D13"/>
    <w:rsid w:val="00D7329E"/>
    <w:rsid w:val="00D7366E"/>
    <w:rsid w:val="00D73AB9"/>
    <w:rsid w:val="00D73DE8"/>
    <w:rsid w:val="00D73EB3"/>
    <w:rsid w:val="00D74A79"/>
    <w:rsid w:val="00D74B71"/>
    <w:rsid w:val="00D75676"/>
    <w:rsid w:val="00D75808"/>
    <w:rsid w:val="00D75AEC"/>
    <w:rsid w:val="00D75B18"/>
    <w:rsid w:val="00D75EF6"/>
    <w:rsid w:val="00D7606A"/>
    <w:rsid w:val="00D7626B"/>
    <w:rsid w:val="00D76A13"/>
    <w:rsid w:val="00D76B5E"/>
    <w:rsid w:val="00D76C2F"/>
    <w:rsid w:val="00D76C47"/>
    <w:rsid w:val="00D76D67"/>
    <w:rsid w:val="00D77008"/>
    <w:rsid w:val="00D77438"/>
    <w:rsid w:val="00D77462"/>
    <w:rsid w:val="00D7769F"/>
    <w:rsid w:val="00D776D1"/>
    <w:rsid w:val="00D77997"/>
    <w:rsid w:val="00D77CDA"/>
    <w:rsid w:val="00D804B8"/>
    <w:rsid w:val="00D806A1"/>
    <w:rsid w:val="00D80D5F"/>
    <w:rsid w:val="00D81675"/>
    <w:rsid w:val="00D82160"/>
    <w:rsid w:val="00D823F2"/>
    <w:rsid w:val="00D82443"/>
    <w:rsid w:val="00D82584"/>
    <w:rsid w:val="00D827B9"/>
    <w:rsid w:val="00D82D94"/>
    <w:rsid w:val="00D8300A"/>
    <w:rsid w:val="00D836A2"/>
    <w:rsid w:val="00D8375D"/>
    <w:rsid w:val="00D8384F"/>
    <w:rsid w:val="00D84237"/>
    <w:rsid w:val="00D842D7"/>
    <w:rsid w:val="00D843BF"/>
    <w:rsid w:val="00D844B3"/>
    <w:rsid w:val="00D84AB3"/>
    <w:rsid w:val="00D84B16"/>
    <w:rsid w:val="00D84EE7"/>
    <w:rsid w:val="00D8503C"/>
    <w:rsid w:val="00D8515B"/>
    <w:rsid w:val="00D852A0"/>
    <w:rsid w:val="00D852DB"/>
    <w:rsid w:val="00D85353"/>
    <w:rsid w:val="00D855DB"/>
    <w:rsid w:val="00D85940"/>
    <w:rsid w:val="00D85C1C"/>
    <w:rsid w:val="00D86197"/>
    <w:rsid w:val="00D8628A"/>
    <w:rsid w:val="00D863A9"/>
    <w:rsid w:val="00D867BF"/>
    <w:rsid w:val="00D86843"/>
    <w:rsid w:val="00D86E4C"/>
    <w:rsid w:val="00D86E6D"/>
    <w:rsid w:val="00D876E0"/>
    <w:rsid w:val="00D87841"/>
    <w:rsid w:val="00D87C3A"/>
    <w:rsid w:val="00D905FE"/>
    <w:rsid w:val="00D914A9"/>
    <w:rsid w:val="00D91621"/>
    <w:rsid w:val="00D916CC"/>
    <w:rsid w:val="00D91C73"/>
    <w:rsid w:val="00D91CE5"/>
    <w:rsid w:val="00D91CEA"/>
    <w:rsid w:val="00D91D7B"/>
    <w:rsid w:val="00D9211C"/>
    <w:rsid w:val="00D923F9"/>
    <w:rsid w:val="00D92641"/>
    <w:rsid w:val="00D92814"/>
    <w:rsid w:val="00D92AAC"/>
    <w:rsid w:val="00D92BE9"/>
    <w:rsid w:val="00D92E3C"/>
    <w:rsid w:val="00D92EC4"/>
    <w:rsid w:val="00D92F28"/>
    <w:rsid w:val="00D931B9"/>
    <w:rsid w:val="00D931C3"/>
    <w:rsid w:val="00D9320F"/>
    <w:rsid w:val="00D93317"/>
    <w:rsid w:val="00D9344D"/>
    <w:rsid w:val="00D93651"/>
    <w:rsid w:val="00D938AE"/>
    <w:rsid w:val="00D93AB0"/>
    <w:rsid w:val="00D93B3E"/>
    <w:rsid w:val="00D93B46"/>
    <w:rsid w:val="00D93BF3"/>
    <w:rsid w:val="00D93C17"/>
    <w:rsid w:val="00D944B1"/>
    <w:rsid w:val="00D94DA3"/>
    <w:rsid w:val="00D950D3"/>
    <w:rsid w:val="00D952D2"/>
    <w:rsid w:val="00D95552"/>
    <w:rsid w:val="00D9569F"/>
    <w:rsid w:val="00D95812"/>
    <w:rsid w:val="00D95F25"/>
    <w:rsid w:val="00D96649"/>
    <w:rsid w:val="00D96746"/>
    <w:rsid w:val="00D9684C"/>
    <w:rsid w:val="00D96905"/>
    <w:rsid w:val="00D96C4E"/>
    <w:rsid w:val="00D97277"/>
    <w:rsid w:val="00D974D0"/>
    <w:rsid w:val="00D9781B"/>
    <w:rsid w:val="00D97A3D"/>
    <w:rsid w:val="00DA05C9"/>
    <w:rsid w:val="00DA069A"/>
    <w:rsid w:val="00DA09BD"/>
    <w:rsid w:val="00DA0A28"/>
    <w:rsid w:val="00DA0D7E"/>
    <w:rsid w:val="00DA0FEB"/>
    <w:rsid w:val="00DA12E9"/>
    <w:rsid w:val="00DA1590"/>
    <w:rsid w:val="00DA1CA7"/>
    <w:rsid w:val="00DA2271"/>
    <w:rsid w:val="00DA233E"/>
    <w:rsid w:val="00DA258E"/>
    <w:rsid w:val="00DA27C7"/>
    <w:rsid w:val="00DA2C6B"/>
    <w:rsid w:val="00DA2E99"/>
    <w:rsid w:val="00DA3007"/>
    <w:rsid w:val="00DA3237"/>
    <w:rsid w:val="00DA3678"/>
    <w:rsid w:val="00DA37EF"/>
    <w:rsid w:val="00DA3ECA"/>
    <w:rsid w:val="00DA3EDD"/>
    <w:rsid w:val="00DA41E4"/>
    <w:rsid w:val="00DA42F6"/>
    <w:rsid w:val="00DA43CD"/>
    <w:rsid w:val="00DA44DC"/>
    <w:rsid w:val="00DA499D"/>
    <w:rsid w:val="00DA4DF2"/>
    <w:rsid w:val="00DA5187"/>
    <w:rsid w:val="00DA52CF"/>
    <w:rsid w:val="00DA53D3"/>
    <w:rsid w:val="00DA57A5"/>
    <w:rsid w:val="00DA5A41"/>
    <w:rsid w:val="00DA5ED4"/>
    <w:rsid w:val="00DA5F37"/>
    <w:rsid w:val="00DA5F80"/>
    <w:rsid w:val="00DA62A4"/>
    <w:rsid w:val="00DA6312"/>
    <w:rsid w:val="00DA63F6"/>
    <w:rsid w:val="00DA64B1"/>
    <w:rsid w:val="00DA6624"/>
    <w:rsid w:val="00DA6932"/>
    <w:rsid w:val="00DA6A8C"/>
    <w:rsid w:val="00DA7128"/>
    <w:rsid w:val="00DA7212"/>
    <w:rsid w:val="00DA747E"/>
    <w:rsid w:val="00DA75F5"/>
    <w:rsid w:val="00DA771F"/>
    <w:rsid w:val="00DA7A2E"/>
    <w:rsid w:val="00DA7D7F"/>
    <w:rsid w:val="00DA7DE2"/>
    <w:rsid w:val="00DA7E29"/>
    <w:rsid w:val="00DB0629"/>
    <w:rsid w:val="00DB0A6F"/>
    <w:rsid w:val="00DB0CE8"/>
    <w:rsid w:val="00DB10F4"/>
    <w:rsid w:val="00DB1100"/>
    <w:rsid w:val="00DB12F9"/>
    <w:rsid w:val="00DB1399"/>
    <w:rsid w:val="00DB1497"/>
    <w:rsid w:val="00DB1ADD"/>
    <w:rsid w:val="00DB1C20"/>
    <w:rsid w:val="00DB1D38"/>
    <w:rsid w:val="00DB1EB3"/>
    <w:rsid w:val="00DB201F"/>
    <w:rsid w:val="00DB209C"/>
    <w:rsid w:val="00DB268C"/>
    <w:rsid w:val="00DB2C4C"/>
    <w:rsid w:val="00DB2DCD"/>
    <w:rsid w:val="00DB31A8"/>
    <w:rsid w:val="00DB3377"/>
    <w:rsid w:val="00DB35FC"/>
    <w:rsid w:val="00DB3762"/>
    <w:rsid w:val="00DB3777"/>
    <w:rsid w:val="00DB3E37"/>
    <w:rsid w:val="00DB3F0C"/>
    <w:rsid w:val="00DB3F75"/>
    <w:rsid w:val="00DB41BA"/>
    <w:rsid w:val="00DB4890"/>
    <w:rsid w:val="00DB4A75"/>
    <w:rsid w:val="00DB4AE0"/>
    <w:rsid w:val="00DB4B42"/>
    <w:rsid w:val="00DB529D"/>
    <w:rsid w:val="00DB5319"/>
    <w:rsid w:val="00DB5337"/>
    <w:rsid w:val="00DB596E"/>
    <w:rsid w:val="00DB597E"/>
    <w:rsid w:val="00DB5CF1"/>
    <w:rsid w:val="00DB5E0C"/>
    <w:rsid w:val="00DB6090"/>
    <w:rsid w:val="00DB64F1"/>
    <w:rsid w:val="00DB68D8"/>
    <w:rsid w:val="00DB6C84"/>
    <w:rsid w:val="00DB6CA0"/>
    <w:rsid w:val="00DB6CF8"/>
    <w:rsid w:val="00DB7013"/>
    <w:rsid w:val="00DB7443"/>
    <w:rsid w:val="00DB7466"/>
    <w:rsid w:val="00DB7814"/>
    <w:rsid w:val="00DB7837"/>
    <w:rsid w:val="00DB7FBC"/>
    <w:rsid w:val="00DC0467"/>
    <w:rsid w:val="00DC0882"/>
    <w:rsid w:val="00DC0EB7"/>
    <w:rsid w:val="00DC0F5E"/>
    <w:rsid w:val="00DC11D0"/>
    <w:rsid w:val="00DC1403"/>
    <w:rsid w:val="00DC1872"/>
    <w:rsid w:val="00DC1E94"/>
    <w:rsid w:val="00DC22C9"/>
    <w:rsid w:val="00DC30B5"/>
    <w:rsid w:val="00DC3678"/>
    <w:rsid w:val="00DC36C4"/>
    <w:rsid w:val="00DC382A"/>
    <w:rsid w:val="00DC3A9D"/>
    <w:rsid w:val="00DC3B23"/>
    <w:rsid w:val="00DC3BBD"/>
    <w:rsid w:val="00DC3DA1"/>
    <w:rsid w:val="00DC402D"/>
    <w:rsid w:val="00DC40FC"/>
    <w:rsid w:val="00DC4386"/>
    <w:rsid w:val="00DC4674"/>
    <w:rsid w:val="00DC49C6"/>
    <w:rsid w:val="00DC4D3E"/>
    <w:rsid w:val="00DC53CB"/>
    <w:rsid w:val="00DC5A13"/>
    <w:rsid w:val="00DC5B95"/>
    <w:rsid w:val="00DC5F89"/>
    <w:rsid w:val="00DC6152"/>
    <w:rsid w:val="00DC622C"/>
    <w:rsid w:val="00DC622D"/>
    <w:rsid w:val="00DC63E8"/>
    <w:rsid w:val="00DC645C"/>
    <w:rsid w:val="00DC673E"/>
    <w:rsid w:val="00DC6B68"/>
    <w:rsid w:val="00DC6BEF"/>
    <w:rsid w:val="00DC6C19"/>
    <w:rsid w:val="00DC6F96"/>
    <w:rsid w:val="00DC6F9C"/>
    <w:rsid w:val="00DC70D1"/>
    <w:rsid w:val="00DC72EA"/>
    <w:rsid w:val="00DC7696"/>
    <w:rsid w:val="00DC7784"/>
    <w:rsid w:val="00DC786E"/>
    <w:rsid w:val="00DC79C9"/>
    <w:rsid w:val="00DC7C0B"/>
    <w:rsid w:val="00DD022C"/>
    <w:rsid w:val="00DD0642"/>
    <w:rsid w:val="00DD077F"/>
    <w:rsid w:val="00DD0B23"/>
    <w:rsid w:val="00DD0BFD"/>
    <w:rsid w:val="00DD0D86"/>
    <w:rsid w:val="00DD0E58"/>
    <w:rsid w:val="00DD1728"/>
    <w:rsid w:val="00DD18AC"/>
    <w:rsid w:val="00DD1A96"/>
    <w:rsid w:val="00DD1D7D"/>
    <w:rsid w:val="00DD2CF2"/>
    <w:rsid w:val="00DD2E4A"/>
    <w:rsid w:val="00DD3355"/>
    <w:rsid w:val="00DD355C"/>
    <w:rsid w:val="00DD3B4E"/>
    <w:rsid w:val="00DD41F5"/>
    <w:rsid w:val="00DD4232"/>
    <w:rsid w:val="00DD4445"/>
    <w:rsid w:val="00DD4AD4"/>
    <w:rsid w:val="00DD4B65"/>
    <w:rsid w:val="00DD4D19"/>
    <w:rsid w:val="00DD5019"/>
    <w:rsid w:val="00DD5208"/>
    <w:rsid w:val="00DD5226"/>
    <w:rsid w:val="00DD593E"/>
    <w:rsid w:val="00DD6197"/>
    <w:rsid w:val="00DD635C"/>
    <w:rsid w:val="00DD6637"/>
    <w:rsid w:val="00DD68ED"/>
    <w:rsid w:val="00DD69D0"/>
    <w:rsid w:val="00DD69EC"/>
    <w:rsid w:val="00DD6A31"/>
    <w:rsid w:val="00DD6A38"/>
    <w:rsid w:val="00DD6B21"/>
    <w:rsid w:val="00DD71C6"/>
    <w:rsid w:val="00DD73AD"/>
    <w:rsid w:val="00DD74E6"/>
    <w:rsid w:val="00DD755B"/>
    <w:rsid w:val="00DD75E5"/>
    <w:rsid w:val="00DD77DC"/>
    <w:rsid w:val="00DD7967"/>
    <w:rsid w:val="00DD7CAF"/>
    <w:rsid w:val="00DD7D29"/>
    <w:rsid w:val="00DE022E"/>
    <w:rsid w:val="00DE03AF"/>
    <w:rsid w:val="00DE090E"/>
    <w:rsid w:val="00DE0AC4"/>
    <w:rsid w:val="00DE0F15"/>
    <w:rsid w:val="00DE10EE"/>
    <w:rsid w:val="00DE19EA"/>
    <w:rsid w:val="00DE2276"/>
    <w:rsid w:val="00DE253F"/>
    <w:rsid w:val="00DE2677"/>
    <w:rsid w:val="00DE2DE7"/>
    <w:rsid w:val="00DE3DFB"/>
    <w:rsid w:val="00DE3E37"/>
    <w:rsid w:val="00DE3FDB"/>
    <w:rsid w:val="00DE401A"/>
    <w:rsid w:val="00DE4723"/>
    <w:rsid w:val="00DE4AA8"/>
    <w:rsid w:val="00DE4AFC"/>
    <w:rsid w:val="00DE4B5F"/>
    <w:rsid w:val="00DE4FF7"/>
    <w:rsid w:val="00DE5376"/>
    <w:rsid w:val="00DE5A90"/>
    <w:rsid w:val="00DE5EF3"/>
    <w:rsid w:val="00DE5F48"/>
    <w:rsid w:val="00DE61D9"/>
    <w:rsid w:val="00DE6289"/>
    <w:rsid w:val="00DE6633"/>
    <w:rsid w:val="00DE665F"/>
    <w:rsid w:val="00DE67AE"/>
    <w:rsid w:val="00DE6822"/>
    <w:rsid w:val="00DE6961"/>
    <w:rsid w:val="00DE69E1"/>
    <w:rsid w:val="00DE6AA7"/>
    <w:rsid w:val="00DE6B6B"/>
    <w:rsid w:val="00DE7667"/>
    <w:rsid w:val="00DE7899"/>
    <w:rsid w:val="00DE7B75"/>
    <w:rsid w:val="00DE7D08"/>
    <w:rsid w:val="00DE7D81"/>
    <w:rsid w:val="00DF02FA"/>
    <w:rsid w:val="00DF031C"/>
    <w:rsid w:val="00DF0A1D"/>
    <w:rsid w:val="00DF12C8"/>
    <w:rsid w:val="00DF1B1E"/>
    <w:rsid w:val="00DF1C73"/>
    <w:rsid w:val="00DF1FB3"/>
    <w:rsid w:val="00DF2243"/>
    <w:rsid w:val="00DF2305"/>
    <w:rsid w:val="00DF2468"/>
    <w:rsid w:val="00DF2BDA"/>
    <w:rsid w:val="00DF2DAF"/>
    <w:rsid w:val="00DF3323"/>
    <w:rsid w:val="00DF355E"/>
    <w:rsid w:val="00DF363F"/>
    <w:rsid w:val="00DF36B1"/>
    <w:rsid w:val="00DF389C"/>
    <w:rsid w:val="00DF46B4"/>
    <w:rsid w:val="00DF4846"/>
    <w:rsid w:val="00DF532C"/>
    <w:rsid w:val="00DF542F"/>
    <w:rsid w:val="00DF5525"/>
    <w:rsid w:val="00DF5739"/>
    <w:rsid w:val="00DF58AB"/>
    <w:rsid w:val="00DF5920"/>
    <w:rsid w:val="00DF6CCC"/>
    <w:rsid w:val="00DF7355"/>
    <w:rsid w:val="00DF73EF"/>
    <w:rsid w:val="00DF74D1"/>
    <w:rsid w:val="00DF7D1A"/>
    <w:rsid w:val="00E001FE"/>
    <w:rsid w:val="00E0031B"/>
    <w:rsid w:val="00E00A07"/>
    <w:rsid w:val="00E00D07"/>
    <w:rsid w:val="00E00D0E"/>
    <w:rsid w:val="00E01A40"/>
    <w:rsid w:val="00E01AD8"/>
    <w:rsid w:val="00E01C7A"/>
    <w:rsid w:val="00E01E34"/>
    <w:rsid w:val="00E01F4B"/>
    <w:rsid w:val="00E0239F"/>
    <w:rsid w:val="00E02437"/>
    <w:rsid w:val="00E02667"/>
    <w:rsid w:val="00E032D7"/>
    <w:rsid w:val="00E03582"/>
    <w:rsid w:val="00E037D2"/>
    <w:rsid w:val="00E039E6"/>
    <w:rsid w:val="00E04423"/>
    <w:rsid w:val="00E04548"/>
    <w:rsid w:val="00E047E8"/>
    <w:rsid w:val="00E055FF"/>
    <w:rsid w:val="00E05EDA"/>
    <w:rsid w:val="00E06C13"/>
    <w:rsid w:val="00E06D68"/>
    <w:rsid w:val="00E0721C"/>
    <w:rsid w:val="00E07645"/>
    <w:rsid w:val="00E079D4"/>
    <w:rsid w:val="00E10142"/>
    <w:rsid w:val="00E102F6"/>
    <w:rsid w:val="00E105E6"/>
    <w:rsid w:val="00E10815"/>
    <w:rsid w:val="00E10A42"/>
    <w:rsid w:val="00E11118"/>
    <w:rsid w:val="00E1190F"/>
    <w:rsid w:val="00E11A15"/>
    <w:rsid w:val="00E11C00"/>
    <w:rsid w:val="00E11C56"/>
    <w:rsid w:val="00E11F6C"/>
    <w:rsid w:val="00E12095"/>
    <w:rsid w:val="00E124DD"/>
    <w:rsid w:val="00E1279C"/>
    <w:rsid w:val="00E12A85"/>
    <w:rsid w:val="00E12CB9"/>
    <w:rsid w:val="00E12CD1"/>
    <w:rsid w:val="00E133A1"/>
    <w:rsid w:val="00E13587"/>
    <w:rsid w:val="00E14583"/>
    <w:rsid w:val="00E14736"/>
    <w:rsid w:val="00E150F0"/>
    <w:rsid w:val="00E15517"/>
    <w:rsid w:val="00E155EF"/>
    <w:rsid w:val="00E15889"/>
    <w:rsid w:val="00E15B34"/>
    <w:rsid w:val="00E15CC5"/>
    <w:rsid w:val="00E15CC7"/>
    <w:rsid w:val="00E1642D"/>
    <w:rsid w:val="00E1658C"/>
    <w:rsid w:val="00E16A73"/>
    <w:rsid w:val="00E170B3"/>
    <w:rsid w:val="00E1797A"/>
    <w:rsid w:val="00E20237"/>
    <w:rsid w:val="00E205DD"/>
    <w:rsid w:val="00E207EA"/>
    <w:rsid w:val="00E20BD6"/>
    <w:rsid w:val="00E20CC0"/>
    <w:rsid w:val="00E20E0E"/>
    <w:rsid w:val="00E20E5D"/>
    <w:rsid w:val="00E20FBB"/>
    <w:rsid w:val="00E2140B"/>
    <w:rsid w:val="00E215ED"/>
    <w:rsid w:val="00E218C7"/>
    <w:rsid w:val="00E21A6B"/>
    <w:rsid w:val="00E21DC2"/>
    <w:rsid w:val="00E21E67"/>
    <w:rsid w:val="00E21F36"/>
    <w:rsid w:val="00E22621"/>
    <w:rsid w:val="00E22860"/>
    <w:rsid w:val="00E229A9"/>
    <w:rsid w:val="00E22CE7"/>
    <w:rsid w:val="00E23074"/>
    <w:rsid w:val="00E23312"/>
    <w:rsid w:val="00E23893"/>
    <w:rsid w:val="00E242ED"/>
    <w:rsid w:val="00E246C6"/>
    <w:rsid w:val="00E248ED"/>
    <w:rsid w:val="00E24CBD"/>
    <w:rsid w:val="00E24DD0"/>
    <w:rsid w:val="00E24FF2"/>
    <w:rsid w:val="00E251DB"/>
    <w:rsid w:val="00E2587F"/>
    <w:rsid w:val="00E25A26"/>
    <w:rsid w:val="00E25AC9"/>
    <w:rsid w:val="00E25BD4"/>
    <w:rsid w:val="00E25C40"/>
    <w:rsid w:val="00E267A8"/>
    <w:rsid w:val="00E26FB3"/>
    <w:rsid w:val="00E274BF"/>
    <w:rsid w:val="00E27590"/>
    <w:rsid w:val="00E27C04"/>
    <w:rsid w:val="00E27D9F"/>
    <w:rsid w:val="00E27E7A"/>
    <w:rsid w:val="00E27F2E"/>
    <w:rsid w:val="00E303B4"/>
    <w:rsid w:val="00E3059E"/>
    <w:rsid w:val="00E309DC"/>
    <w:rsid w:val="00E30BA6"/>
    <w:rsid w:val="00E30E04"/>
    <w:rsid w:val="00E316CA"/>
    <w:rsid w:val="00E319DD"/>
    <w:rsid w:val="00E31C46"/>
    <w:rsid w:val="00E31C5D"/>
    <w:rsid w:val="00E31C64"/>
    <w:rsid w:val="00E31D14"/>
    <w:rsid w:val="00E31D65"/>
    <w:rsid w:val="00E31D7C"/>
    <w:rsid w:val="00E31E25"/>
    <w:rsid w:val="00E31FC6"/>
    <w:rsid w:val="00E3226E"/>
    <w:rsid w:val="00E32A64"/>
    <w:rsid w:val="00E32B87"/>
    <w:rsid w:val="00E32CFA"/>
    <w:rsid w:val="00E32E71"/>
    <w:rsid w:val="00E332E4"/>
    <w:rsid w:val="00E33396"/>
    <w:rsid w:val="00E33504"/>
    <w:rsid w:val="00E337E6"/>
    <w:rsid w:val="00E33ACF"/>
    <w:rsid w:val="00E33E4F"/>
    <w:rsid w:val="00E3402B"/>
    <w:rsid w:val="00E344DC"/>
    <w:rsid w:val="00E344FB"/>
    <w:rsid w:val="00E3453A"/>
    <w:rsid w:val="00E34CA7"/>
    <w:rsid w:val="00E34F9D"/>
    <w:rsid w:val="00E3508E"/>
    <w:rsid w:val="00E35400"/>
    <w:rsid w:val="00E35561"/>
    <w:rsid w:val="00E359FB"/>
    <w:rsid w:val="00E35D5C"/>
    <w:rsid w:val="00E35EAC"/>
    <w:rsid w:val="00E35FC4"/>
    <w:rsid w:val="00E36335"/>
    <w:rsid w:val="00E363D5"/>
    <w:rsid w:val="00E365A8"/>
    <w:rsid w:val="00E36641"/>
    <w:rsid w:val="00E36CAB"/>
    <w:rsid w:val="00E36D18"/>
    <w:rsid w:val="00E36F43"/>
    <w:rsid w:val="00E3701B"/>
    <w:rsid w:val="00E37599"/>
    <w:rsid w:val="00E37DB9"/>
    <w:rsid w:val="00E4088B"/>
    <w:rsid w:val="00E40CA3"/>
    <w:rsid w:val="00E40CDE"/>
    <w:rsid w:val="00E40D0D"/>
    <w:rsid w:val="00E40D5A"/>
    <w:rsid w:val="00E40DE4"/>
    <w:rsid w:val="00E413E2"/>
    <w:rsid w:val="00E4140F"/>
    <w:rsid w:val="00E41620"/>
    <w:rsid w:val="00E42405"/>
    <w:rsid w:val="00E42B9A"/>
    <w:rsid w:val="00E42BF8"/>
    <w:rsid w:val="00E42F78"/>
    <w:rsid w:val="00E43586"/>
    <w:rsid w:val="00E435B5"/>
    <w:rsid w:val="00E435F1"/>
    <w:rsid w:val="00E43C60"/>
    <w:rsid w:val="00E43DE4"/>
    <w:rsid w:val="00E44A2A"/>
    <w:rsid w:val="00E44A83"/>
    <w:rsid w:val="00E44B03"/>
    <w:rsid w:val="00E451C2"/>
    <w:rsid w:val="00E4540D"/>
    <w:rsid w:val="00E4593F"/>
    <w:rsid w:val="00E45952"/>
    <w:rsid w:val="00E459C6"/>
    <w:rsid w:val="00E45C48"/>
    <w:rsid w:val="00E45C84"/>
    <w:rsid w:val="00E463CC"/>
    <w:rsid w:val="00E46422"/>
    <w:rsid w:val="00E4667F"/>
    <w:rsid w:val="00E46E21"/>
    <w:rsid w:val="00E46EB0"/>
    <w:rsid w:val="00E46ECA"/>
    <w:rsid w:val="00E47147"/>
    <w:rsid w:val="00E4754E"/>
    <w:rsid w:val="00E4760A"/>
    <w:rsid w:val="00E47A23"/>
    <w:rsid w:val="00E47EDD"/>
    <w:rsid w:val="00E47F66"/>
    <w:rsid w:val="00E500A5"/>
    <w:rsid w:val="00E50119"/>
    <w:rsid w:val="00E501C5"/>
    <w:rsid w:val="00E502AA"/>
    <w:rsid w:val="00E50460"/>
    <w:rsid w:val="00E504C7"/>
    <w:rsid w:val="00E506B0"/>
    <w:rsid w:val="00E507A1"/>
    <w:rsid w:val="00E50945"/>
    <w:rsid w:val="00E50AC4"/>
    <w:rsid w:val="00E50B6B"/>
    <w:rsid w:val="00E51319"/>
    <w:rsid w:val="00E5138A"/>
    <w:rsid w:val="00E5155E"/>
    <w:rsid w:val="00E516F6"/>
    <w:rsid w:val="00E51B8B"/>
    <w:rsid w:val="00E51D8E"/>
    <w:rsid w:val="00E51FD2"/>
    <w:rsid w:val="00E529A2"/>
    <w:rsid w:val="00E52DD4"/>
    <w:rsid w:val="00E531AC"/>
    <w:rsid w:val="00E537E5"/>
    <w:rsid w:val="00E5394A"/>
    <w:rsid w:val="00E53D6C"/>
    <w:rsid w:val="00E5424A"/>
    <w:rsid w:val="00E54729"/>
    <w:rsid w:val="00E5478F"/>
    <w:rsid w:val="00E54962"/>
    <w:rsid w:val="00E549F3"/>
    <w:rsid w:val="00E54FDB"/>
    <w:rsid w:val="00E551C3"/>
    <w:rsid w:val="00E5529A"/>
    <w:rsid w:val="00E5555E"/>
    <w:rsid w:val="00E555D2"/>
    <w:rsid w:val="00E55982"/>
    <w:rsid w:val="00E55D7B"/>
    <w:rsid w:val="00E55FB0"/>
    <w:rsid w:val="00E56534"/>
    <w:rsid w:val="00E56542"/>
    <w:rsid w:val="00E5680B"/>
    <w:rsid w:val="00E56A79"/>
    <w:rsid w:val="00E56D5C"/>
    <w:rsid w:val="00E56D86"/>
    <w:rsid w:val="00E56FC3"/>
    <w:rsid w:val="00E57109"/>
    <w:rsid w:val="00E5778C"/>
    <w:rsid w:val="00E57896"/>
    <w:rsid w:val="00E578C3"/>
    <w:rsid w:val="00E57947"/>
    <w:rsid w:val="00E57A44"/>
    <w:rsid w:val="00E57AC5"/>
    <w:rsid w:val="00E57B40"/>
    <w:rsid w:val="00E57D56"/>
    <w:rsid w:val="00E57FEA"/>
    <w:rsid w:val="00E602F7"/>
    <w:rsid w:val="00E60477"/>
    <w:rsid w:val="00E6048C"/>
    <w:rsid w:val="00E605B1"/>
    <w:rsid w:val="00E609FA"/>
    <w:rsid w:val="00E613F2"/>
    <w:rsid w:val="00E614F2"/>
    <w:rsid w:val="00E61994"/>
    <w:rsid w:val="00E61CC4"/>
    <w:rsid w:val="00E62059"/>
    <w:rsid w:val="00E627F1"/>
    <w:rsid w:val="00E62837"/>
    <w:rsid w:val="00E62957"/>
    <w:rsid w:val="00E62B9E"/>
    <w:rsid w:val="00E62C51"/>
    <w:rsid w:val="00E635C9"/>
    <w:rsid w:val="00E63663"/>
    <w:rsid w:val="00E63726"/>
    <w:rsid w:val="00E637A2"/>
    <w:rsid w:val="00E6394E"/>
    <w:rsid w:val="00E645A6"/>
    <w:rsid w:val="00E653FE"/>
    <w:rsid w:val="00E658BB"/>
    <w:rsid w:val="00E659AB"/>
    <w:rsid w:val="00E661A1"/>
    <w:rsid w:val="00E66267"/>
    <w:rsid w:val="00E662B2"/>
    <w:rsid w:val="00E66ACD"/>
    <w:rsid w:val="00E673CF"/>
    <w:rsid w:val="00E67BAF"/>
    <w:rsid w:val="00E706B1"/>
    <w:rsid w:val="00E70DF5"/>
    <w:rsid w:val="00E71039"/>
    <w:rsid w:val="00E712C8"/>
    <w:rsid w:val="00E719B9"/>
    <w:rsid w:val="00E71AA5"/>
    <w:rsid w:val="00E71B91"/>
    <w:rsid w:val="00E72176"/>
    <w:rsid w:val="00E7240A"/>
    <w:rsid w:val="00E72A55"/>
    <w:rsid w:val="00E72BC8"/>
    <w:rsid w:val="00E73261"/>
    <w:rsid w:val="00E73CD7"/>
    <w:rsid w:val="00E73D6B"/>
    <w:rsid w:val="00E73D86"/>
    <w:rsid w:val="00E73DEB"/>
    <w:rsid w:val="00E73E6C"/>
    <w:rsid w:val="00E73EB1"/>
    <w:rsid w:val="00E74609"/>
    <w:rsid w:val="00E7478C"/>
    <w:rsid w:val="00E74C3A"/>
    <w:rsid w:val="00E751BE"/>
    <w:rsid w:val="00E751D9"/>
    <w:rsid w:val="00E75307"/>
    <w:rsid w:val="00E755C0"/>
    <w:rsid w:val="00E756E9"/>
    <w:rsid w:val="00E75743"/>
    <w:rsid w:val="00E75C73"/>
    <w:rsid w:val="00E75E0A"/>
    <w:rsid w:val="00E75FAD"/>
    <w:rsid w:val="00E76315"/>
    <w:rsid w:val="00E7644F"/>
    <w:rsid w:val="00E767E6"/>
    <w:rsid w:val="00E768A3"/>
    <w:rsid w:val="00E76E36"/>
    <w:rsid w:val="00E77639"/>
    <w:rsid w:val="00E77733"/>
    <w:rsid w:val="00E7787E"/>
    <w:rsid w:val="00E77D78"/>
    <w:rsid w:val="00E805F0"/>
    <w:rsid w:val="00E80CAD"/>
    <w:rsid w:val="00E8165D"/>
    <w:rsid w:val="00E817A3"/>
    <w:rsid w:val="00E81AA8"/>
    <w:rsid w:val="00E81B37"/>
    <w:rsid w:val="00E81D01"/>
    <w:rsid w:val="00E81DF0"/>
    <w:rsid w:val="00E81EA6"/>
    <w:rsid w:val="00E8242F"/>
    <w:rsid w:val="00E82663"/>
    <w:rsid w:val="00E82A45"/>
    <w:rsid w:val="00E82BF2"/>
    <w:rsid w:val="00E82F44"/>
    <w:rsid w:val="00E831C2"/>
    <w:rsid w:val="00E8340D"/>
    <w:rsid w:val="00E8359C"/>
    <w:rsid w:val="00E83993"/>
    <w:rsid w:val="00E83D83"/>
    <w:rsid w:val="00E842E5"/>
    <w:rsid w:val="00E84514"/>
    <w:rsid w:val="00E847FD"/>
    <w:rsid w:val="00E84D85"/>
    <w:rsid w:val="00E84F5F"/>
    <w:rsid w:val="00E856B9"/>
    <w:rsid w:val="00E85768"/>
    <w:rsid w:val="00E8576E"/>
    <w:rsid w:val="00E85B7C"/>
    <w:rsid w:val="00E85CF4"/>
    <w:rsid w:val="00E860C6"/>
    <w:rsid w:val="00E861C4"/>
    <w:rsid w:val="00E8667B"/>
    <w:rsid w:val="00E86718"/>
    <w:rsid w:val="00E86766"/>
    <w:rsid w:val="00E867FD"/>
    <w:rsid w:val="00E86D2E"/>
    <w:rsid w:val="00E86F1D"/>
    <w:rsid w:val="00E87A80"/>
    <w:rsid w:val="00E87A8E"/>
    <w:rsid w:val="00E90083"/>
    <w:rsid w:val="00E9078C"/>
    <w:rsid w:val="00E90A01"/>
    <w:rsid w:val="00E90C1E"/>
    <w:rsid w:val="00E90E3C"/>
    <w:rsid w:val="00E91492"/>
    <w:rsid w:val="00E91569"/>
    <w:rsid w:val="00E92B60"/>
    <w:rsid w:val="00E932DA"/>
    <w:rsid w:val="00E9352F"/>
    <w:rsid w:val="00E938B7"/>
    <w:rsid w:val="00E93A0E"/>
    <w:rsid w:val="00E93A51"/>
    <w:rsid w:val="00E93A6C"/>
    <w:rsid w:val="00E93AC0"/>
    <w:rsid w:val="00E93F17"/>
    <w:rsid w:val="00E9427C"/>
    <w:rsid w:val="00E9481A"/>
    <w:rsid w:val="00E94BC3"/>
    <w:rsid w:val="00E95395"/>
    <w:rsid w:val="00E9554D"/>
    <w:rsid w:val="00E95647"/>
    <w:rsid w:val="00E957B1"/>
    <w:rsid w:val="00E959B5"/>
    <w:rsid w:val="00E95B9F"/>
    <w:rsid w:val="00E95BB0"/>
    <w:rsid w:val="00E968FE"/>
    <w:rsid w:val="00E96A36"/>
    <w:rsid w:val="00E971D0"/>
    <w:rsid w:val="00E97883"/>
    <w:rsid w:val="00E979DB"/>
    <w:rsid w:val="00EA021C"/>
    <w:rsid w:val="00EA0428"/>
    <w:rsid w:val="00EA07D7"/>
    <w:rsid w:val="00EA0B3A"/>
    <w:rsid w:val="00EA1569"/>
    <w:rsid w:val="00EA1839"/>
    <w:rsid w:val="00EA1A6F"/>
    <w:rsid w:val="00EA26C1"/>
    <w:rsid w:val="00EA2B38"/>
    <w:rsid w:val="00EA2B46"/>
    <w:rsid w:val="00EA2FA8"/>
    <w:rsid w:val="00EA31C5"/>
    <w:rsid w:val="00EA34D7"/>
    <w:rsid w:val="00EA35CD"/>
    <w:rsid w:val="00EA3A1F"/>
    <w:rsid w:val="00EA3B30"/>
    <w:rsid w:val="00EA3BEB"/>
    <w:rsid w:val="00EA42FC"/>
    <w:rsid w:val="00EA44F9"/>
    <w:rsid w:val="00EA450A"/>
    <w:rsid w:val="00EA47A6"/>
    <w:rsid w:val="00EA4C2C"/>
    <w:rsid w:val="00EA4FD2"/>
    <w:rsid w:val="00EA51B4"/>
    <w:rsid w:val="00EA5AA6"/>
    <w:rsid w:val="00EA5E95"/>
    <w:rsid w:val="00EA5FF4"/>
    <w:rsid w:val="00EA60B6"/>
    <w:rsid w:val="00EA658D"/>
    <w:rsid w:val="00EA6744"/>
    <w:rsid w:val="00EA6850"/>
    <w:rsid w:val="00EA6F14"/>
    <w:rsid w:val="00EA7670"/>
    <w:rsid w:val="00EA7989"/>
    <w:rsid w:val="00EA7FA8"/>
    <w:rsid w:val="00EB00A3"/>
    <w:rsid w:val="00EB0865"/>
    <w:rsid w:val="00EB121B"/>
    <w:rsid w:val="00EB1438"/>
    <w:rsid w:val="00EB160D"/>
    <w:rsid w:val="00EB17AC"/>
    <w:rsid w:val="00EB1894"/>
    <w:rsid w:val="00EB1C18"/>
    <w:rsid w:val="00EB1C92"/>
    <w:rsid w:val="00EB1D88"/>
    <w:rsid w:val="00EB1E5A"/>
    <w:rsid w:val="00EB1E75"/>
    <w:rsid w:val="00EB2579"/>
    <w:rsid w:val="00EB26A1"/>
    <w:rsid w:val="00EB26C9"/>
    <w:rsid w:val="00EB26CD"/>
    <w:rsid w:val="00EB27C1"/>
    <w:rsid w:val="00EB2CC3"/>
    <w:rsid w:val="00EB2DEF"/>
    <w:rsid w:val="00EB30CB"/>
    <w:rsid w:val="00EB3107"/>
    <w:rsid w:val="00EB34E1"/>
    <w:rsid w:val="00EB3B6D"/>
    <w:rsid w:val="00EB3EBF"/>
    <w:rsid w:val="00EB421B"/>
    <w:rsid w:val="00EB4235"/>
    <w:rsid w:val="00EB46F8"/>
    <w:rsid w:val="00EB4BDF"/>
    <w:rsid w:val="00EB5139"/>
    <w:rsid w:val="00EB53BF"/>
    <w:rsid w:val="00EB59D5"/>
    <w:rsid w:val="00EB5A90"/>
    <w:rsid w:val="00EB5AAB"/>
    <w:rsid w:val="00EB5BD0"/>
    <w:rsid w:val="00EB5D2F"/>
    <w:rsid w:val="00EB6924"/>
    <w:rsid w:val="00EB6AAF"/>
    <w:rsid w:val="00EB6BAC"/>
    <w:rsid w:val="00EB70AF"/>
    <w:rsid w:val="00EB7DE3"/>
    <w:rsid w:val="00EB7EC5"/>
    <w:rsid w:val="00EB7F00"/>
    <w:rsid w:val="00EB7F52"/>
    <w:rsid w:val="00EB7F66"/>
    <w:rsid w:val="00EC10DB"/>
    <w:rsid w:val="00EC113B"/>
    <w:rsid w:val="00EC1460"/>
    <w:rsid w:val="00EC1534"/>
    <w:rsid w:val="00EC1B75"/>
    <w:rsid w:val="00EC1C2B"/>
    <w:rsid w:val="00EC2164"/>
    <w:rsid w:val="00EC2271"/>
    <w:rsid w:val="00EC237A"/>
    <w:rsid w:val="00EC25E3"/>
    <w:rsid w:val="00EC2B23"/>
    <w:rsid w:val="00EC2CD2"/>
    <w:rsid w:val="00EC2E09"/>
    <w:rsid w:val="00EC3106"/>
    <w:rsid w:val="00EC3254"/>
    <w:rsid w:val="00EC34E1"/>
    <w:rsid w:val="00EC352E"/>
    <w:rsid w:val="00EC3710"/>
    <w:rsid w:val="00EC443B"/>
    <w:rsid w:val="00EC4710"/>
    <w:rsid w:val="00EC4A28"/>
    <w:rsid w:val="00EC4F2C"/>
    <w:rsid w:val="00EC593F"/>
    <w:rsid w:val="00EC5AEF"/>
    <w:rsid w:val="00EC6129"/>
    <w:rsid w:val="00EC673F"/>
    <w:rsid w:val="00EC6847"/>
    <w:rsid w:val="00EC6D86"/>
    <w:rsid w:val="00EC6EE5"/>
    <w:rsid w:val="00EC7489"/>
    <w:rsid w:val="00EC7749"/>
    <w:rsid w:val="00EC78AB"/>
    <w:rsid w:val="00EC7AE4"/>
    <w:rsid w:val="00EC7F87"/>
    <w:rsid w:val="00ED05EC"/>
    <w:rsid w:val="00ED0A7A"/>
    <w:rsid w:val="00ED0E8C"/>
    <w:rsid w:val="00ED1076"/>
    <w:rsid w:val="00ED1C1B"/>
    <w:rsid w:val="00ED1FEE"/>
    <w:rsid w:val="00ED20E2"/>
    <w:rsid w:val="00ED22BD"/>
    <w:rsid w:val="00ED2629"/>
    <w:rsid w:val="00ED264B"/>
    <w:rsid w:val="00ED280E"/>
    <w:rsid w:val="00ED325E"/>
    <w:rsid w:val="00ED3496"/>
    <w:rsid w:val="00ED3C7A"/>
    <w:rsid w:val="00ED4161"/>
    <w:rsid w:val="00ED4264"/>
    <w:rsid w:val="00ED4660"/>
    <w:rsid w:val="00ED4B9C"/>
    <w:rsid w:val="00ED4D95"/>
    <w:rsid w:val="00ED5339"/>
    <w:rsid w:val="00ED5636"/>
    <w:rsid w:val="00ED5745"/>
    <w:rsid w:val="00ED59FA"/>
    <w:rsid w:val="00ED5AC5"/>
    <w:rsid w:val="00ED5B9A"/>
    <w:rsid w:val="00ED5FB6"/>
    <w:rsid w:val="00ED639D"/>
    <w:rsid w:val="00ED67B4"/>
    <w:rsid w:val="00ED6B65"/>
    <w:rsid w:val="00ED6DFC"/>
    <w:rsid w:val="00ED6EA0"/>
    <w:rsid w:val="00ED7401"/>
    <w:rsid w:val="00ED76AD"/>
    <w:rsid w:val="00ED7DAC"/>
    <w:rsid w:val="00EE020A"/>
    <w:rsid w:val="00EE046A"/>
    <w:rsid w:val="00EE0907"/>
    <w:rsid w:val="00EE0D73"/>
    <w:rsid w:val="00EE1017"/>
    <w:rsid w:val="00EE1033"/>
    <w:rsid w:val="00EE11ED"/>
    <w:rsid w:val="00EE1726"/>
    <w:rsid w:val="00EE1981"/>
    <w:rsid w:val="00EE1C61"/>
    <w:rsid w:val="00EE1EA0"/>
    <w:rsid w:val="00EE2073"/>
    <w:rsid w:val="00EE223F"/>
    <w:rsid w:val="00EE2299"/>
    <w:rsid w:val="00EE28CF"/>
    <w:rsid w:val="00EE2911"/>
    <w:rsid w:val="00EE352A"/>
    <w:rsid w:val="00EE3873"/>
    <w:rsid w:val="00EE38AD"/>
    <w:rsid w:val="00EE3DFF"/>
    <w:rsid w:val="00EE3F5F"/>
    <w:rsid w:val="00EE4091"/>
    <w:rsid w:val="00EE4146"/>
    <w:rsid w:val="00EE41EC"/>
    <w:rsid w:val="00EE438C"/>
    <w:rsid w:val="00EE44F1"/>
    <w:rsid w:val="00EE455E"/>
    <w:rsid w:val="00EE4647"/>
    <w:rsid w:val="00EE5132"/>
    <w:rsid w:val="00EE573C"/>
    <w:rsid w:val="00EE57A3"/>
    <w:rsid w:val="00EE5809"/>
    <w:rsid w:val="00EE6112"/>
    <w:rsid w:val="00EE644B"/>
    <w:rsid w:val="00EE665E"/>
    <w:rsid w:val="00EE6BC0"/>
    <w:rsid w:val="00EE6DB5"/>
    <w:rsid w:val="00EE6E19"/>
    <w:rsid w:val="00EE6F41"/>
    <w:rsid w:val="00EE7175"/>
    <w:rsid w:val="00EE76B5"/>
    <w:rsid w:val="00EE771C"/>
    <w:rsid w:val="00EE7A38"/>
    <w:rsid w:val="00EE7E79"/>
    <w:rsid w:val="00EF0211"/>
    <w:rsid w:val="00EF055A"/>
    <w:rsid w:val="00EF08C3"/>
    <w:rsid w:val="00EF0A66"/>
    <w:rsid w:val="00EF0B68"/>
    <w:rsid w:val="00EF0C55"/>
    <w:rsid w:val="00EF0F79"/>
    <w:rsid w:val="00EF17EB"/>
    <w:rsid w:val="00EF1A33"/>
    <w:rsid w:val="00EF20F9"/>
    <w:rsid w:val="00EF230F"/>
    <w:rsid w:val="00EF233F"/>
    <w:rsid w:val="00EF2707"/>
    <w:rsid w:val="00EF3408"/>
    <w:rsid w:val="00EF39BA"/>
    <w:rsid w:val="00EF3D00"/>
    <w:rsid w:val="00EF41C4"/>
    <w:rsid w:val="00EF4212"/>
    <w:rsid w:val="00EF43FE"/>
    <w:rsid w:val="00EF47AF"/>
    <w:rsid w:val="00EF4DDE"/>
    <w:rsid w:val="00EF5693"/>
    <w:rsid w:val="00EF577C"/>
    <w:rsid w:val="00EF5885"/>
    <w:rsid w:val="00EF6001"/>
    <w:rsid w:val="00EF64BD"/>
    <w:rsid w:val="00EF68AD"/>
    <w:rsid w:val="00EF69E2"/>
    <w:rsid w:val="00EF6BBD"/>
    <w:rsid w:val="00EF6C4B"/>
    <w:rsid w:val="00EF6D41"/>
    <w:rsid w:val="00EF6F2A"/>
    <w:rsid w:val="00EF717F"/>
    <w:rsid w:val="00EF77F8"/>
    <w:rsid w:val="00EF795B"/>
    <w:rsid w:val="00EF7A1C"/>
    <w:rsid w:val="00EF7C8A"/>
    <w:rsid w:val="00F0003E"/>
    <w:rsid w:val="00F002ED"/>
    <w:rsid w:val="00F00594"/>
    <w:rsid w:val="00F00782"/>
    <w:rsid w:val="00F0085C"/>
    <w:rsid w:val="00F00D44"/>
    <w:rsid w:val="00F00E49"/>
    <w:rsid w:val="00F00E6D"/>
    <w:rsid w:val="00F0184E"/>
    <w:rsid w:val="00F01B32"/>
    <w:rsid w:val="00F01B68"/>
    <w:rsid w:val="00F01E9E"/>
    <w:rsid w:val="00F0285D"/>
    <w:rsid w:val="00F02B80"/>
    <w:rsid w:val="00F02F0A"/>
    <w:rsid w:val="00F036AD"/>
    <w:rsid w:val="00F037B9"/>
    <w:rsid w:val="00F03ABE"/>
    <w:rsid w:val="00F04185"/>
    <w:rsid w:val="00F043CF"/>
    <w:rsid w:val="00F04725"/>
    <w:rsid w:val="00F048D5"/>
    <w:rsid w:val="00F04B98"/>
    <w:rsid w:val="00F05A1E"/>
    <w:rsid w:val="00F05A35"/>
    <w:rsid w:val="00F05B26"/>
    <w:rsid w:val="00F05C1D"/>
    <w:rsid w:val="00F05FA1"/>
    <w:rsid w:val="00F06707"/>
    <w:rsid w:val="00F067E0"/>
    <w:rsid w:val="00F06ADF"/>
    <w:rsid w:val="00F06C4A"/>
    <w:rsid w:val="00F06D63"/>
    <w:rsid w:val="00F06EF0"/>
    <w:rsid w:val="00F076AF"/>
    <w:rsid w:val="00F078F4"/>
    <w:rsid w:val="00F07B1C"/>
    <w:rsid w:val="00F07C4D"/>
    <w:rsid w:val="00F07DC8"/>
    <w:rsid w:val="00F07E1D"/>
    <w:rsid w:val="00F100A6"/>
    <w:rsid w:val="00F10360"/>
    <w:rsid w:val="00F104D3"/>
    <w:rsid w:val="00F104FA"/>
    <w:rsid w:val="00F10EB3"/>
    <w:rsid w:val="00F11052"/>
    <w:rsid w:val="00F113B9"/>
    <w:rsid w:val="00F114DE"/>
    <w:rsid w:val="00F11554"/>
    <w:rsid w:val="00F11F45"/>
    <w:rsid w:val="00F12769"/>
    <w:rsid w:val="00F1278D"/>
    <w:rsid w:val="00F128E4"/>
    <w:rsid w:val="00F12D69"/>
    <w:rsid w:val="00F130A1"/>
    <w:rsid w:val="00F135CB"/>
    <w:rsid w:val="00F13656"/>
    <w:rsid w:val="00F13AC5"/>
    <w:rsid w:val="00F13FBE"/>
    <w:rsid w:val="00F1401D"/>
    <w:rsid w:val="00F1409F"/>
    <w:rsid w:val="00F1437A"/>
    <w:rsid w:val="00F1479E"/>
    <w:rsid w:val="00F14DF3"/>
    <w:rsid w:val="00F14EA0"/>
    <w:rsid w:val="00F1519B"/>
    <w:rsid w:val="00F155B1"/>
    <w:rsid w:val="00F15743"/>
    <w:rsid w:val="00F161F6"/>
    <w:rsid w:val="00F169CC"/>
    <w:rsid w:val="00F16C9E"/>
    <w:rsid w:val="00F17535"/>
    <w:rsid w:val="00F17965"/>
    <w:rsid w:val="00F17D26"/>
    <w:rsid w:val="00F17E22"/>
    <w:rsid w:val="00F17F64"/>
    <w:rsid w:val="00F200F0"/>
    <w:rsid w:val="00F208B7"/>
    <w:rsid w:val="00F20BC5"/>
    <w:rsid w:val="00F20C8C"/>
    <w:rsid w:val="00F20D51"/>
    <w:rsid w:val="00F20F71"/>
    <w:rsid w:val="00F21253"/>
    <w:rsid w:val="00F21567"/>
    <w:rsid w:val="00F21D1F"/>
    <w:rsid w:val="00F22231"/>
    <w:rsid w:val="00F22438"/>
    <w:rsid w:val="00F22645"/>
    <w:rsid w:val="00F22926"/>
    <w:rsid w:val="00F22B2E"/>
    <w:rsid w:val="00F22C7B"/>
    <w:rsid w:val="00F233CC"/>
    <w:rsid w:val="00F23CD1"/>
    <w:rsid w:val="00F240F4"/>
    <w:rsid w:val="00F2448A"/>
    <w:rsid w:val="00F246F3"/>
    <w:rsid w:val="00F24A8F"/>
    <w:rsid w:val="00F24DE3"/>
    <w:rsid w:val="00F24F99"/>
    <w:rsid w:val="00F25338"/>
    <w:rsid w:val="00F25CDA"/>
    <w:rsid w:val="00F2615F"/>
    <w:rsid w:val="00F26575"/>
    <w:rsid w:val="00F26886"/>
    <w:rsid w:val="00F26899"/>
    <w:rsid w:val="00F26AB4"/>
    <w:rsid w:val="00F26AD6"/>
    <w:rsid w:val="00F26B72"/>
    <w:rsid w:val="00F26D97"/>
    <w:rsid w:val="00F272D5"/>
    <w:rsid w:val="00F2752C"/>
    <w:rsid w:val="00F276FF"/>
    <w:rsid w:val="00F27904"/>
    <w:rsid w:val="00F27D24"/>
    <w:rsid w:val="00F3003E"/>
    <w:rsid w:val="00F3007B"/>
    <w:rsid w:val="00F3010E"/>
    <w:rsid w:val="00F30158"/>
    <w:rsid w:val="00F3040D"/>
    <w:rsid w:val="00F304F2"/>
    <w:rsid w:val="00F3121D"/>
    <w:rsid w:val="00F31454"/>
    <w:rsid w:val="00F317D8"/>
    <w:rsid w:val="00F317E7"/>
    <w:rsid w:val="00F31DE0"/>
    <w:rsid w:val="00F32133"/>
    <w:rsid w:val="00F3226E"/>
    <w:rsid w:val="00F328F5"/>
    <w:rsid w:val="00F32AB8"/>
    <w:rsid w:val="00F32DB0"/>
    <w:rsid w:val="00F32F10"/>
    <w:rsid w:val="00F331EC"/>
    <w:rsid w:val="00F33412"/>
    <w:rsid w:val="00F3392A"/>
    <w:rsid w:val="00F33FC0"/>
    <w:rsid w:val="00F34026"/>
    <w:rsid w:val="00F345F3"/>
    <w:rsid w:val="00F347B1"/>
    <w:rsid w:val="00F34EA6"/>
    <w:rsid w:val="00F34F6F"/>
    <w:rsid w:val="00F3514B"/>
    <w:rsid w:val="00F35773"/>
    <w:rsid w:val="00F35843"/>
    <w:rsid w:val="00F358AF"/>
    <w:rsid w:val="00F3598C"/>
    <w:rsid w:val="00F35EF5"/>
    <w:rsid w:val="00F36127"/>
    <w:rsid w:val="00F3651E"/>
    <w:rsid w:val="00F36A56"/>
    <w:rsid w:val="00F36CD8"/>
    <w:rsid w:val="00F3761C"/>
    <w:rsid w:val="00F37B2F"/>
    <w:rsid w:val="00F37D55"/>
    <w:rsid w:val="00F37DFC"/>
    <w:rsid w:val="00F4012D"/>
    <w:rsid w:val="00F40140"/>
    <w:rsid w:val="00F4090A"/>
    <w:rsid w:val="00F40ED2"/>
    <w:rsid w:val="00F40F83"/>
    <w:rsid w:val="00F40FC0"/>
    <w:rsid w:val="00F413C7"/>
    <w:rsid w:val="00F414D6"/>
    <w:rsid w:val="00F41673"/>
    <w:rsid w:val="00F4271D"/>
    <w:rsid w:val="00F42A5B"/>
    <w:rsid w:val="00F42B59"/>
    <w:rsid w:val="00F42CBB"/>
    <w:rsid w:val="00F42E27"/>
    <w:rsid w:val="00F42ECF"/>
    <w:rsid w:val="00F432B8"/>
    <w:rsid w:val="00F4349B"/>
    <w:rsid w:val="00F43701"/>
    <w:rsid w:val="00F4373C"/>
    <w:rsid w:val="00F437F8"/>
    <w:rsid w:val="00F43DD1"/>
    <w:rsid w:val="00F4409D"/>
    <w:rsid w:val="00F44658"/>
    <w:rsid w:val="00F44BE4"/>
    <w:rsid w:val="00F44E08"/>
    <w:rsid w:val="00F45086"/>
    <w:rsid w:val="00F453CE"/>
    <w:rsid w:val="00F45B42"/>
    <w:rsid w:val="00F46159"/>
    <w:rsid w:val="00F462A4"/>
    <w:rsid w:val="00F4651C"/>
    <w:rsid w:val="00F465E9"/>
    <w:rsid w:val="00F468B5"/>
    <w:rsid w:val="00F468F8"/>
    <w:rsid w:val="00F46B5A"/>
    <w:rsid w:val="00F47160"/>
    <w:rsid w:val="00F47488"/>
    <w:rsid w:val="00F479D4"/>
    <w:rsid w:val="00F47ABD"/>
    <w:rsid w:val="00F47B77"/>
    <w:rsid w:val="00F47CA3"/>
    <w:rsid w:val="00F47ED0"/>
    <w:rsid w:val="00F5017E"/>
    <w:rsid w:val="00F509E6"/>
    <w:rsid w:val="00F50D62"/>
    <w:rsid w:val="00F50F30"/>
    <w:rsid w:val="00F5130E"/>
    <w:rsid w:val="00F51319"/>
    <w:rsid w:val="00F51906"/>
    <w:rsid w:val="00F52014"/>
    <w:rsid w:val="00F520A3"/>
    <w:rsid w:val="00F5220A"/>
    <w:rsid w:val="00F5287E"/>
    <w:rsid w:val="00F528F3"/>
    <w:rsid w:val="00F52B18"/>
    <w:rsid w:val="00F52F54"/>
    <w:rsid w:val="00F53404"/>
    <w:rsid w:val="00F538A1"/>
    <w:rsid w:val="00F53A23"/>
    <w:rsid w:val="00F53F2A"/>
    <w:rsid w:val="00F54CD1"/>
    <w:rsid w:val="00F550CC"/>
    <w:rsid w:val="00F551B2"/>
    <w:rsid w:val="00F552C7"/>
    <w:rsid w:val="00F5540E"/>
    <w:rsid w:val="00F55505"/>
    <w:rsid w:val="00F55611"/>
    <w:rsid w:val="00F55832"/>
    <w:rsid w:val="00F558F9"/>
    <w:rsid w:val="00F55B36"/>
    <w:rsid w:val="00F5623C"/>
    <w:rsid w:val="00F569B4"/>
    <w:rsid w:val="00F569CC"/>
    <w:rsid w:val="00F56A27"/>
    <w:rsid w:val="00F56B85"/>
    <w:rsid w:val="00F56CD4"/>
    <w:rsid w:val="00F56D8C"/>
    <w:rsid w:val="00F57289"/>
    <w:rsid w:val="00F57443"/>
    <w:rsid w:val="00F574E0"/>
    <w:rsid w:val="00F6028D"/>
    <w:rsid w:val="00F60998"/>
    <w:rsid w:val="00F60A24"/>
    <w:rsid w:val="00F60AD6"/>
    <w:rsid w:val="00F60E07"/>
    <w:rsid w:val="00F61448"/>
    <w:rsid w:val="00F617D1"/>
    <w:rsid w:val="00F62041"/>
    <w:rsid w:val="00F622E0"/>
    <w:rsid w:val="00F6243D"/>
    <w:rsid w:val="00F62474"/>
    <w:rsid w:val="00F6256C"/>
    <w:rsid w:val="00F62735"/>
    <w:rsid w:val="00F62D64"/>
    <w:rsid w:val="00F62F75"/>
    <w:rsid w:val="00F632F2"/>
    <w:rsid w:val="00F63333"/>
    <w:rsid w:val="00F6394D"/>
    <w:rsid w:val="00F63A03"/>
    <w:rsid w:val="00F648D5"/>
    <w:rsid w:val="00F64B5C"/>
    <w:rsid w:val="00F65BDF"/>
    <w:rsid w:val="00F65F72"/>
    <w:rsid w:val="00F663DE"/>
    <w:rsid w:val="00F66AA6"/>
    <w:rsid w:val="00F6717A"/>
    <w:rsid w:val="00F676B6"/>
    <w:rsid w:val="00F70118"/>
    <w:rsid w:val="00F70183"/>
    <w:rsid w:val="00F7078C"/>
    <w:rsid w:val="00F70825"/>
    <w:rsid w:val="00F70849"/>
    <w:rsid w:val="00F70D0F"/>
    <w:rsid w:val="00F70FC0"/>
    <w:rsid w:val="00F71213"/>
    <w:rsid w:val="00F7149C"/>
    <w:rsid w:val="00F717BC"/>
    <w:rsid w:val="00F71BDD"/>
    <w:rsid w:val="00F71DCF"/>
    <w:rsid w:val="00F71DEE"/>
    <w:rsid w:val="00F72759"/>
    <w:rsid w:val="00F7279E"/>
    <w:rsid w:val="00F72DE4"/>
    <w:rsid w:val="00F730A9"/>
    <w:rsid w:val="00F73E1B"/>
    <w:rsid w:val="00F73F51"/>
    <w:rsid w:val="00F73F69"/>
    <w:rsid w:val="00F744C5"/>
    <w:rsid w:val="00F745DA"/>
    <w:rsid w:val="00F7488D"/>
    <w:rsid w:val="00F74A56"/>
    <w:rsid w:val="00F74DDE"/>
    <w:rsid w:val="00F74E0C"/>
    <w:rsid w:val="00F75784"/>
    <w:rsid w:val="00F759ED"/>
    <w:rsid w:val="00F75AEF"/>
    <w:rsid w:val="00F75F11"/>
    <w:rsid w:val="00F765F2"/>
    <w:rsid w:val="00F76707"/>
    <w:rsid w:val="00F77032"/>
    <w:rsid w:val="00F7713C"/>
    <w:rsid w:val="00F77438"/>
    <w:rsid w:val="00F778F0"/>
    <w:rsid w:val="00F77995"/>
    <w:rsid w:val="00F77B4F"/>
    <w:rsid w:val="00F77BE6"/>
    <w:rsid w:val="00F77C01"/>
    <w:rsid w:val="00F77D38"/>
    <w:rsid w:val="00F77D81"/>
    <w:rsid w:val="00F77E99"/>
    <w:rsid w:val="00F77F81"/>
    <w:rsid w:val="00F801AC"/>
    <w:rsid w:val="00F8157F"/>
    <w:rsid w:val="00F817DC"/>
    <w:rsid w:val="00F81A78"/>
    <w:rsid w:val="00F81C9D"/>
    <w:rsid w:val="00F81D5E"/>
    <w:rsid w:val="00F81F1E"/>
    <w:rsid w:val="00F82331"/>
    <w:rsid w:val="00F823C3"/>
    <w:rsid w:val="00F827F6"/>
    <w:rsid w:val="00F82B0C"/>
    <w:rsid w:val="00F82BC3"/>
    <w:rsid w:val="00F82E87"/>
    <w:rsid w:val="00F82F39"/>
    <w:rsid w:val="00F82F41"/>
    <w:rsid w:val="00F8353F"/>
    <w:rsid w:val="00F83540"/>
    <w:rsid w:val="00F83A57"/>
    <w:rsid w:val="00F83B9E"/>
    <w:rsid w:val="00F83BC3"/>
    <w:rsid w:val="00F8401C"/>
    <w:rsid w:val="00F8403B"/>
    <w:rsid w:val="00F8408D"/>
    <w:rsid w:val="00F841C0"/>
    <w:rsid w:val="00F844EC"/>
    <w:rsid w:val="00F84ADA"/>
    <w:rsid w:val="00F84DED"/>
    <w:rsid w:val="00F8539F"/>
    <w:rsid w:val="00F854CF"/>
    <w:rsid w:val="00F859D5"/>
    <w:rsid w:val="00F85A95"/>
    <w:rsid w:val="00F85F11"/>
    <w:rsid w:val="00F8605F"/>
    <w:rsid w:val="00F862E5"/>
    <w:rsid w:val="00F86514"/>
    <w:rsid w:val="00F8698E"/>
    <w:rsid w:val="00F86A79"/>
    <w:rsid w:val="00F86DFC"/>
    <w:rsid w:val="00F86E44"/>
    <w:rsid w:val="00F86F3A"/>
    <w:rsid w:val="00F871C1"/>
    <w:rsid w:val="00F87646"/>
    <w:rsid w:val="00F876CD"/>
    <w:rsid w:val="00F87DE3"/>
    <w:rsid w:val="00F90585"/>
    <w:rsid w:val="00F9060A"/>
    <w:rsid w:val="00F909DB"/>
    <w:rsid w:val="00F90BBE"/>
    <w:rsid w:val="00F90DFB"/>
    <w:rsid w:val="00F911DD"/>
    <w:rsid w:val="00F91233"/>
    <w:rsid w:val="00F913A7"/>
    <w:rsid w:val="00F9149B"/>
    <w:rsid w:val="00F915DD"/>
    <w:rsid w:val="00F9187A"/>
    <w:rsid w:val="00F91A36"/>
    <w:rsid w:val="00F91DAB"/>
    <w:rsid w:val="00F91EB9"/>
    <w:rsid w:val="00F92484"/>
    <w:rsid w:val="00F92783"/>
    <w:rsid w:val="00F927FC"/>
    <w:rsid w:val="00F928F5"/>
    <w:rsid w:val="00F928F8"/>
    <w:rsid w:val="00F92A28"/>
    <w:rsid w:val="00F92B09"/>
    <w:rsid w:val="00F92E22"/>
    <w:rsid w:val="00F92E73"/>
    <w:rsid w:val="00F92E92"/>
    <w:rsid w:val="00F92F72"/>
    <w:rsid w:val="00F93209"/>
    <w:rsid w:val="00F93821"/>
    <w:rsid w:val="00F93836"/>
    <w:rsid w:val="00F93CA8"/>
    <w:rsid w:val="00F93F8F"/>
    <w:rsid w:val="00F9403F"/>
    <w:rsid w:val="00F94855"/>
    <w:rsid w:val="00F94C4C"/>
    <w:rsid w:val="00F94F44"/>
    <w:rsid w:val="00F951EC"/>
    <w:rsid w:val="00F9533F"/>
    <w:rsid w:val="00F954FB"/>
    <w:rsid w:val="00F95664"/>
    <w:rsid w:val="00F95727"/>
    <w:rsid w:val="00F959DF"/>
    <w:rsid w:val="00F95BCA"/>
    <w:rsid w:val="00F95EB8"/>
    <w:rsid w:val="00F964B4"/>
    <w:rsid w:val="00F9668A"/>
    <w:rsid w:val="00F96DC5"/>
    <w:rsid w:val="00F97262"/>
    <w:rsid w:val="00F9732C"/>
    <w:rsid w:val="00F973B4"/>
    <w:rsid w:val="00F973D1"/>
    <w:rsid w:val="00F9743C"/>
    <w:rsid w:val="00F974A5"/>
    <w:rsid w:val="00F97570"/>
    <w:rsid w:val="00F9765E"/>
    <w:rsid w:val="00F9785F"/>
    <w:rsid w:val="00F9795E"/>
    <w:rsid w:val="00F97B06"/>
    <w:rsid w:val="00F97FAE"/>
    <w:rsid w:val="00FA09D0"/>
    <w:rsid w:val="00FA0A29"/>
    <w:rsid w:val="00FA0A42"/>
    <w:rsid w:val="00FA0E50"/>
    <w:rsid w:val="00FA0EEB"/>
    <w:rsid w:val="00FA1175"/>
    <w:rsid w:val="00FA158F"/>
    <w:rsid w:val="00FA1A16"/>
    <w:rsid w:val="00FA1B63"/>
    <w:rsid w:val="00FA200F"/>
    <w:rsid w:val="00FA205C"/>
    <w:rsid w:val="00FA2570"/>
    <w:rsid w:val="00FA2CA2"/>
    <w:rsid w:val="00FA2D4C"/>
    <w:rsid w:val="00FA311E"/>
    <w:rsid w:val="00FA32AB"/>
    <w:rsid w:val="00FA32B0"/>
    <w:rsid w:val="00FA340F"/>
    <w:rsid w:val="00FA3713"/>
    <w:rsid w:val="00FA3797"/>
    <w:rsid w:val="00FA3D3A"/>
    <w:rsid w:val="00FA3ECD"/>
    <w:rsid w:val="00FA3FEA"/>
    <w:rsid w:val="00FA4685"/>
    <w:rsid w:val="00FA4CF1"/>
    <w:rsid w:val="00FA50BA"/>
    <w:rsid w:val="00FA50D0"/>
    <w:rsid w:val="00FA56CE"/>
    <w:rsid w:val="00FA5837"/>
    <w:rsid w:val="00FA5AF0"/>
    <w:rsid w:val="00FA6054"/>
    <w:rsid w:val="00FA6560"/>
    <w:rsid w:val="00FA65C4"/>
    <w:rsid w:val="00FA66E3"/>
    <w:rsid w:val="00FA6AB9"/>
    <w:rsid w:val="00FA7227"/>
    <w:rsid w:val="00FA724E"/>
    <w:rsid w:val="00FA72BD"/>
    <w:rsid w:val="00FA7E65"/>
    <w:rsid w:val="00FB0025"/>
    <w:rsid w:val="00FB024F"/>
    <w:rsid w:val="00FB0351"/>
    <w:rsid w:val="00FB04A5"/>
    <w:rsid w:val="00FB062C"/>
    <w:rsid w:val="00FB0BC4"/>
    <w:rsid w:val="00FB0D05"/>
    <w:rsid w:val="00FB121F"/>
    <w:rsid w:val="00FB13EC"/>
    <w:rsid w:val="00FB1B3C"/>
    <w:rsid w:val="00FB1C86"/>
    <w:rsid w:val="00FB1D7D"/>
    <w:rsid w:val="00FB1DC1"/>
    <w:rsid w:val="00FB2809"/>
    <w:rsid w:val="00FB2870"/>
    <w:rsid w:val="00FB2A8A"/>
    <w:rsid w:val="00FB2BD7"/>
    <w:rsid w:val="00FB3260"/>
    <w:rsid w:val="00FB34BB"/>
    <w:rsid w:val="00FB3B3B"/>
    <w:rsid w:val="00FB3CC8"/>
    <w:rsid w:val="00FB3F86"/>
    <w:rsid w:val="00FB40C0"/>
    <w:rsid w:val="00FB410D"/>
    <w:rsid w:val="00FB4DCB"/>
    <w:rsid w:val="00FB4E58"/>
    <w:rsid w:val="00FB501B"/>
    <w:rsid w:val="00FB5428"/>
    <w:rsid w:val="00FB59E5"/>
    <w:rsid w:val="00FB5BBB"/>
    <w:rsid w:val="00FB5C42"/>
    <w:rsid w:val="00FB5D3A"/>
    <w:rsid w:val="00FB5E31"/>
    <w:rsid w:val="00FB63B5"/>
    <w:rsid w:val="00FB63B8"/>
    <w:rsid w:val="00FB6788"/>
    <w:rsid w:val="00FB6962"/>
    <w:rsid w:val="00FB6C46"/>
    <w:rsid w:val="00FB6E03"/>
    <w:rsid w:val="00FB6E33"/>
    <w:rsid w:val="00FB7092"/>
    <w:rsid w:val="00FB7B1E"/>
    <w:rsid w:val="00FB7B47"/>
    <w:rsid w:val="00FB7E5D"/>
    <w:rsid w:val="00FC0074"/>
    <w:rsid w:val="00FC0086"/>
    <w:rsid w:val="00FC0845"/>
    <w:rsid w:val="00FC0A61"/>
    <w:rsid w:val="00FC0D5E"/>
    <w:rsid w:val="00FC12DC"/>
    <w:rsid w:val="00FC156E"/>
    <w:rsid w:val="00FC17F8"/>
    <w:rsid w:val="00FC3506"/>
    <w:rsid w:val="00FC35D4"/>
    <w:rsid w:val="00FC3666"/>
    <w:rsid w:val="00FC36D7"/>
    <w:rsid w:val="00FC3A2C"/>
    <w:rsid w:val="00FC3ADF"/>
    <w:rsid w:val="00FC3B68"/>
    <w:rsid w:val="00FC4396"/>
    <w:rsid w:val="00FC497A"/>
    <w:rsid w:val="00FC4E14"/>
    <w:rsid w:val="00FC580E"/>
    <w:rsid w:val="00FC5E37"/>
    <w:rsid w:val="00FC5ED7"/>
    <w:rsid w:val="00FC61FD"/>
    <w:rsid w:val="00FC6604"/>
    <w:rsid w:val="00FC6E10"/>
    <w:rsid w:val="00FC6E3B"/>
    <w:rsid w:val="00FC724F"/>
    <w:rsid w:val="00FC73D1"/>
    <w:rsid w:val="00FC73FB"/>
    <w:rsid w:val="00FC74A0"/>
    <w:rsid w:val="00FC76B3"/>
    <w:rsid w:val="00FD0BB8"/>
    <w:rsid w:val="00FD0D8C"/>
    <w:rsid w:val="00FD0D9D"/>
    <w:rsid w:val="00FD0E16"/>
    <w:rsid w:val="00FD15DE"/>
    <w:rsid w:val="00FD16CD"/>
    <w:rsid w:val="00FD24BA"/>
    <w:rsid w:val="00FD25BE"/>
    <w:rsid w:val="00FD27DB"/>
    <w:rsid w:val="00FD28CB"/>
    <w:rsid w:val="00FD2A6F"/>
    <w:rsid w:val="00FD2E46"/>
    <w:rsid w:val="00FD2F46"/>
    <w:rsid w:val="00FD2FBD"/>
    <w:rsid w:val="00FD40C4"/>
    <w:rsid w:val="00FD40DC"/>
    <w:rsid w:val="00FD4370"/>
    <w:rsid w:val="00FD43C9"/>
    <w:rsid w:val="00FD459E"/>
    <w:rsid w:val="00FD4C4A"/>
    <w:rsid w:val="00FD4CE9"/>
    <w:rsid w:val="00FD6164"/>
    <w:rsid w:val="00FD697C"/>
    <w:rsid w:val="00FD6C8B"/>
    <w:rsid w:val="00FD6D00"/>
    <w:rsid w:val="00FD6D16"/>
    <w:rsid w:val="00FD711C"/>
    <w:rsid w:val="00FD73D3"/>
    <w:rsid w:val="00FD755C"/>
    <w:rsid w:val="00FD7646"/>
    <w:rsid w:val="00FD79F9"/>
    <w:rsid w:val="00FD7E6B"/>
    <w:rsid w:val="00FE06D3"/>
    <w:rsid w:val="00FE0782"/>
    <w:rsid w:val="00FE0A8D"/>
    <w:rsid w:val="00FE0C0C"/>
    <w:rsid w:val="00FE0CA8"/>
    <w:rsid w:val="00FE11FD"/>
    <w:rsid w:val="00FE130E"/>
    <w:rsid w:val="00FE1ABC"/>
    <w:rsid w:val="00FE1B9A"/>
    <w:rsid w:val="00FE1BEB"/>
    <w:rsid w:val="00FE1F14"/>
    <w:rsid w:val="00FE2092"/>
    <w:rsid w:val="00FE21E2"/>
    <w:rsid w:val="00FE21EA"/>
    <w:rsid w:val="00FE23D2"/>
    <w:rsid w:val="00FE2A0C"/>
    <w:rsid w:val="00FE2B42"/>
    <w:rsid w:val="00FE3062"/>
    <w:rsid w:val="00FE3255"/>
    <w:rsid w:val="00FE39F0"/>
    <w:rsid w:val="00FE3AE6"/>
    <w:rsid w:val="00FE3C1C"/>
    <w:rsid w:val="00FE3DC1"/>
    <w:rsid w:val="00FE3EC4"/>
    <w:rsid w:val="00FE3FF7"/>
    <w:rsid w:val="00FE415F"/>
    <w:rsid w:val="00FE419B"/>
    <w:rsid w:val="00FE459D"/>
    <w:rsid w:val="00FE49A2"/>
    <w:rsid w:val="00FE49C1"/>
    <w:rsid w:val="00FE4A87"/>
    <w:rsid w:val="00FE4D07"/>
    <w:rsid w:val="00FE4FD5"/>
    <w:rsid w:val="00FE4FDB"/>
    <w:rsid w:val="00FE525E"/>
    <w:rsid w:val="00FE5608"/>
    <w:rsid w:val="00FE5830"/>
    <w:rsid w:val="00FE59B9"/>
    <w:rsid w:val="00FE6398"/>
    <w:rsid w:val="00FE64A7"/>
    <w:rsid w:val="00FE6750"/>
    <w:rsid w:val="00FE67D6"/>
    <w:rsid w:val="00FE697C"/>
    <w:rsid w:val="00FE6B9A"/>
    <w:rsid w:val="00FE6C5B"/>
    <w:rsid w:val="00FE6E79"/>
    <w:rsid w:val="00FE6F61"/>
    <w:rsid w:val="00FE73F7"/>
    <w:rsid w:val="00FE7547"/>
    <w:rsid w:val="00FE7E48"/>
    <w:rsid w:val="00FF00E0"/>
    <w:rsid w:val="00FF05B8"/>
    <w:rsid w:val="00FF0808"/>
    <w:rsid w:val="00FF0A49"/>
    <w:rsid w:val="00FF0A85"/>
    <w:rsid w:val="00FF10BE"/>
    <w:rsid w:val="00FF1194"/>
    <w:rsid w:val="00FF1406"/>
    <w:rsid w:val="00FF15AD"/>
    <w:rsid w:val="00FF1708"/>
    <w:rsid w:val="00FF176A"/>
    <w:rsid w:val="00FF18BD"/>
    <w:rsid w:val="00FF198A"/>
    <w:rsid w:val="00FF1A08"/>
    <w:rsid w:val="00FF1AF9"/>
    <w:rsid w:val="00FF1B65"/>
    <w:rsid w:val="00FF1D9A"/>
    <w:rsid w:val="00FF225E"/>
    <w:rsid w:val="00FF255C"/>
    <w:rsid w:val="00FF2A0D"/>
    <w:rsid w:val="00FF2D14"/>
    <w:rsid w:val="00FF2F43"/>
    <w:rsid w:val="00FF33C3"/>
    <w:rsid w:val="00FF3EF2"/>
    <w:rsid w:val="00FF4225"/>
    <w:rsid w:val="00FF4766"/>
    <w:rsid w:val="00FF5006"/>
    <w:rsid w:val="00FF500D"/>
    <w:rsid w:val="00FF50AC"/>
    <w:rsid w:val="00FF586C"/>
    <w:rsid w:val="00FF5AF5"/>
    <w:rsid w:val="00FF5E92"/>
    <w:rsid w:val="00FF6295"/>
    <w:rsid w:val="00FF6514"/>
    <w:rsid w:val="00FF65BE"/>
    <w:rsid w:val="00FF6A0A"/>
    <w:rsid w:val="00FF7BD3"/>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color="white">
      <v:fill color="white"/>
    </o:shapedefaults>
    <o:shapelayout v:ext="edit">
      <o:idmap v:ext="edit" data="2"/>
    </o:shapelayout>
  </w:shapeDefaults>
  <w:doNotEmbedSmartTags/>
  <w:decimalSymbol w:val="."/>
  <w:listSeparator w:val=","/>
  <w14:docId w14:val="7F73B9ED"/>
  <w15:docId w15:val="{F161DA89-8494-41E1-83CC-7936E428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466C"/>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6"/>
      <w:szCs w:val="32"/>
    </w:rPr>
  </w:style>
  <w:style w:type="paragraph" w:styleId="Heading2">
    <w:name w:val="heading 2"/>
    <w:aliases w:val="Heading for title,head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Arial" w:hAnsi="Arial"/>
      <w:b/>
      <w:sz w:val="22"/>
    </w:rPr>
  </w:style>
  <w:style w:type="paragraph" w:styleId="Heading5">
    <w:name w:val="heading 5"/>
    <w:basedOn w:val="Normal"/>
    <w:next w:val="Normal"/>
    <w:qFormat/>
    <w:pPr>
      <w:keepNext/>
      <w:numPr>
        <w:ilvl w:val="4"/>
        <w:numId w:val="1"/>
      </w:numPr>
      <w:outlineLvl w:val="4"/>
    </w:pPr>
    <w:rPr>
      <w:b/>
      <w:szCs w:val="20"/>
    </w:rPr>
  </w:style>
  <w:style w:type="paragraph" w:styleId="Heading6">
    <w:name w:val="heading 6"/>
    <w:basedOn w:val="Normal"/>
    <w:next w:val="Normal"/>
    <w:qFormat/>
    <w:pPr>
      <w:numPr>
        <w:ilvl w:val="5"/>
        <w:numId w:val="1"/>
      </w:numPr>
      <w:spacing w:before="240" w:after="60"/>
      <w:outlineLvl w:val="5"/>
    </w:pPr>
    <w:rPr>
      <w:b/>
      <w:sz w:val="22"/>
      <w:szCs w:val="20"/>
    </w:rPr>
  </w:style>
  <w:style w:type="paragraph" w:styleId="Heading7">
    <w:name w:val="heading 7"/>
    <w:basedOn w:val="Normal"/>
    <w:next w:val="Normal"/>
    <w:qFormat/>
    <w:pPr>
      <w:numPr>
        <w:ilvl w:val="6"/>
        <w:numId w:val="1"/>
      </w:numPr>
      <w:spacing w:before="240" w:after="60"/>
      <w:outlineLvl w:val="6"/>
    </w:pPr>
    <w:rPr>
      <w:szCs w:val="20"/>
    </w:rPr>
  </w:style>
  <w:style w:type="paragraph" w:styleId="Heading8">
    <w:name w:val="heading 8"/>
    <w:basedOn w:val="Normal"/>
    <w:next w:val="Normal"/>
    <w:qFormat/>
    <w:pPr>
      <w:numPr>
        <w:ilvl w:val="7"/>
        <w:numId w:val="1"/>
      </w:numPr>
      <w:spacing w:before="240" w:after="60"/>
      <w:outlineLvl w:val="7"/>
    </w:pPr>
    <w:rPr>
      <w:i/>
      <w:szCs w:val="20"/>
    </w:rPr>
  </w:style>
  <w:style w:type="paragraph" w:styleId="Heading9">
    <w:name w:val="heading 9"/>
    <w:basedOn w:val="Normal"/>
    <w:next w:val="Normal"/>
    <w:qFormat/>
    <w:pPr>
      <w:numPr>
        <w:ilvl w:val="8"/>
        <w:numId w:val="1"/>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3C00"/>
    <w:rPr>
      <w:rFonts w:ascii="Arial" w:hAnsi="Arial" w:cs="Arial"/>
      <w:b/>
      <w:bCs/>
      <w:kern w:val="32"/>
      <w:sz w:val="36"/>
      <w:szCs w:val="32"/>
      <w:lang w:val="en-US" w:eastAsia="en-US" w:bidi="ar-SA"/>
    </w:rPr>
  </w:style>
  <w:style w:type="character" w:customStyle="1" w:styleId="Heading3Char1">
    <w:name w:val="Heading 3 Char1"/>
    <w:link w:val="Heading3"/>
    <w:rsid w:val="00C12CF8"/>
    <w:rPr>
      <w:rFonts w:ascii="Arial" w:hAnsi="Arial" w:cs="Arial"/>
      <w:b/>
      <w:bCs/>
      <w:sz w:val="26"/>
      <w:szCs w:val="26"/>
      <w:lang w:val="en-US" w:eastAsia="en-US" w:bidi="ar-SA"/>
    </w:rPr>
  </w:style>
  <w:style w:type="character" w:customStyle="1" w:styleId="Heading4Char">
    <w:name w:val="Heading 4 Char"/>
    <w:link w:val="Heading4"/>
    <w:rsid w:val="00896F17"/>
    <w:rPr>
      <w:rFonts w:ascii="Arial" w:hAnsi="Arial"/>
      <w:b/>
      <w:sz w:val="22"/>
      <w:szCs w:val="24"/>
      <w:lang w:val="en-US" w:eastAsia="en-US" w:bidi="ar-SA"/>
    </w:rPr>
  </w:style>
  <w:style w:type="character" w:customStyle="1" w:styleId="Char">
    <w:name w:val="Char"/>
    <w:semiHidden/>
    <w:rPr>
      <w:sz w:val="22"/>
      <w:lang w:val="en-US" w:eastAsia="en-US" w:bidi="ar-SA"/>
    </w:rPr>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spacing w:before="120" w:after="120"/>
    </w:pPr>
    <w:rPr>
      <w:b/>
      <w:caps/>
      <w:sz w:val="22"/>
      <w:szCs w:val="22"/>
    </w:rPr>
  </w:style>
  <w:style w:type="paragraph" w:styleId="TOC2">
    <w:name w:val="toc 2"/>
    <w:basedOn w:val="Normal"/>
    <w:next w:val="Normal"/>
    <w:uiPriority w:val="39"/>
    <w:pPr>
      <w:ind w:left="245"/>
    </w:pPr>
    <w:rPr>
      <w:smallCaps/>
      <w:sz w:val="22"/>
      <w:szCs w:val="22"/>
    </w:rPr>
  </w:style>
  <w:style w:type="paragraph" w:styleId="TOC3">
    <w:name w:val="toc 3"/>
    <w:basedOn w:val="Normal"/>
    <w:next w:val="Normal"/>
    <w:uiPriority w:val="39"/>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ListBullet">
    <w:name w:val="List Bullet"/>
    <w:basedOn w:val="Normal"/>
    <w:rsid w:val="00BB52F5"/>
    <w:pPr>
      <w:numPr>
        <w:numId w:val="15"/>
      </w:numPr>
      <w:spacing w:line="240" w:lineRule="atLeast"/>
    </w:pPr>
    <w:rPr>
      <w:spacing w:val="-5"/>
      <w:sz w:val="22"/>
      <w:szCs w:val="22"/>
    </w:rPr>
  </w:style>
  <w:style w:type="paragraph" w:customStyle="1" w:styleId="Bullhorn">
    <w:name w:val="Bullhorn"/>
    <w:basedOn w:val="TableText"/>
    <w:next w:val="TableText"/>
    <w:link w:val="BullhornChar"/>
    <w:rsid w:val="00896F17"/>
    <w:rPr>
      <w:rFonts w:ascii="Webdings" w:hAnsi="Webdings"/>
      <w:sz w:val="40"/>
    </w:rPr>
  </w:style>
  <w:style w:type="paragraph" w:customStyle="1" w:styleId="TableText">
    <w:name w:val="Table Text"/>
    <w:basedOn w:val="Normal"/>
    <w:link w:val="TableTextChar6"/>
    <w:rsid w:val="00584AF9"/>
    <w:rPr>
      <w:rFonts w:ascii="Arial" w:hAnsi="Arial"/>
      <w:sz w:val="18"/>
    </w:rPr>
  </w:style>
  <w:style w:type="character" w:customStyle="1" w:styleId="TableTextChar6">
    <w:name w:val="Table Text Char6"/>
    <w:link w:val="TableText"/>
    <w:rsid w:val="00584AF9"/>
    <w:rPr>
      <w:rFonts w:ascii="Arial" w:hAnsi="Arial"/>
      <w:sz w:val="18"/>
      <w:szCs w:val="24"/>
      <w:lang w:val="en-US" w:eastAsia="en-US" w:bidi="ar-SA"/>
    </w:rPr>
  </w:style>
  <w:style w:type="character" w:customStyle="1" w:styleId="BullhornChar">
    <w:name w:val="Bullhorn Char"/>
    <w:link w:val="Bullhorn"/>
    <w:rsid w:val="00896F17"/>
    <w:rPr>
      <w:rFonts w:ascii="Webdings" w:hAnsi="Webdings"/>
      <w:sz w:val="40"/>
      <w:szCs w:val="24"/>
      <w:lang w:val="en-US" w:eastAsia="en-US" w:bidi="ar-SA"/>
    </w:rPr>
  </w:style>
  <w:style w:type="paragraph" w:styleId="BodyText">
    <w:name w:val="Body Text"/>
    <w:basedOn w:val="Normal"/>
    <w:link w:val="BodyTextChar"/>
    <w:uiPriority w:val="99"/>
    <w:rsid w:val="00EE665E"/>
    <w:pPr>
      <w:spacing w:before="60" w:after="120"/>
    </w:pPr>
    <w:rPr>
      <w:sz w:val="22"/>
      <w:szCs w:val="22"/>
    </w:rPr>
  </w:style>
  <w:style w:type="character" w:customStyle="1" w:styleId="BodyTextChar">
    <w:name w:val="Body Text Char"/>
    <w:link w:val="BodyText"/>
    <w:uiPriority w:val="99"/>
    <w:rsid w:val="00EE665E"/>
    <w:rPr>
      <w:sz w:val="22"/>
      <w:szCs w:val="22"/>
      <w:lang w:val="en-US" w:eastAsia="en-US" w:bidi="ar-SA"/>
    </w:rPr>
  </w:style>
  <w:style w:type="table" w:styleId="TableGrid">
    <w:name w:val="Table Grid"/>
    <w:basedOn w:val="TableNormal"/>
    <w:rsid w:val="005F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pPr>
      <w:numPr>
        <w:numId w:val="9"/>
      </w:numPr>
      <w:tabs>
        <w:tab w:val="clear" w:pos="1080"/>
        <w:tab w:val="left" w:pos="1350"/>
      </w:tabs>
      <w:ind w:left="0" w:firstLine="0"/>
    </w:pPr>
    <w:rPr>
      <w:rFonts w:ascii="Geneva" w:hAnsi="Geneva"/>
      <w:sz w:val="22"/>
      <w:szCs w:val="20"/>
    </w:rPr>
  </w:style>
  <w:style w:type="paragraph" w:customStyle="1" w:styleId="TableofContents">
    <w:name w:val="Table of Contents"/>
    <w:basedOn w:val="Heading1"/>
  </w:style>
  <w:style w:type="paragraph" w:customStyle="1" w:styleId="GlossaryTableTextBullets">
    <w:name w:val="Glossary Table Text Bullets"/>
    <w:basedOn w:val="GlossaryTableText"/>
    <w:pPr>
      <w:numPr>
        <w:numId w:val="11"/>
      </w:numPr>
    </w:pPr>
  </w:style>
  <w:style w:type="paragraph" w:customStyle="1" w:styleId="GlossaryTableText">
    <w:name w:val="Glossary Table Text"/>
    <w:basedOn w:val="TableText"/>
    <w:next w:val="TableText"/>
    <w:pPr>
      <w:spacing w:after="60"/>
    </w:pPr>
    <w:rPr>
      <w:rFonts w:eastAsia="Symbol"/>
      <w:sz w:val="20"/>
      <w:szCs w:val="20"/>
    </w:rPr>
  </w:style>
  <w:style w:type="character" w:customStyle="1" w:styleId="TableTextChar1">
    <w:name w:val="Table Text Char1"/>
    <w:rPr>
      <w:rFonts w:ascii="Arial" w:hAnsi="Arial"/>
      <w:sz w:val="18"/>
      <w:szCs w:val="24"/>
      <w:lang w:val="en-US" w:eastAsia="en-US" w:bidi="ar-SA"/>
    </w:rPr>
  </w:style>
  <w:style w:type="paragraph" w:styleId="ListBullet2">
    <w:name w:val="List Bullet 2"/>
    <w:basedOn w:val="BodyText"/>
    <w:rsid w:val="00EB1E75"/>
    <w:pPr>
      <w:numPr>
        <w:numId w:val="8"/>
      </w:numPr>
      <w:spacing w:before="0" w:after="0"/>
    </w:pPr>
  </w:style>
  <w:style w:type="character" w:customStyle="1" w:styleId="NotesTextChar5">
    <w:name w:val="Notes Text Char5"/>
    <w:rPr>
      <w:rFonts w:ascii="Arial" w:hAnsi="Arial"/>
      <w:color w:val="000000"/>
      <w:sz w:val="18"/>
      <w:szCs w:val="24"/>
      <w:lang w:val="en-US" w:eastAsia="en-US" w:bidi="ar-SA"/>
    </w:rPr>
  </w:style>
  <w:style w:type="character" w:styleId="CommentReference">
    <w:name w:val="annotation reference"/>
    <w:semiHidden/>
    <w:rPr>
      <w:sz w:val="16"/>
      <w:szCs w:val="16"/>
    </w:rPr>
  </w:style>
  <w:style w:type="paragraph" w:styleId="CommentText">
    <w:name w:val="annotation text"/>
    <w:basedOn w:val="Normal"/>
    <w:link w:val="CommentTextChar"/>
    <w:uiPriority w:val="99"/>
    <w:pPr>
      <w:tabs>
        <w:tab w:val="num" w:pos="1080"/>
      </w:tabs>
      <w:ind w:left="1080" w:hanging="360"/>
    </w:pP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styleId="FollowedHyperlink">
    <w:name w:val="FollowedHyperlink"/>
    <w:uiPriority w:val="99"/>
    <w:rPr>
      <w:color w:val="800080"/>
      <w:u w:val="single"/>
    </w:rPr>
  </w:style>
  <w:style w:type="paragraph" w:styleId="Caption">
    <w:name w:val="caption"/>
    <w:basedOn w:val="Normal"/>
    <w:next w:val="BodyText"/>
    <w:link w:val="CaptionChar1"/>
    <w:qFormat/>
    <w:rsid w:val="00453B6E"/>
    <w:pPr>
      <w:keepNext/>
      <w:spacing w:before="120" w:after="120"/>
    </w:pPr>
    <w:rPr>
      <w:b/>
      <w:sz w:val="22"/>
      <w:szCs w:val="22"/>
    </w:rPr>
  </w:style>
  <w:style w:type="character" w:customStyle="1" w:styleId="Char1">
    <w:name w:val="Char1"/>
    <w:semiHidden/>
    <w:rPr>
      <w:rFonts w:ascii="Arial" w:hAnsi="Arial" w:cs="Arial"/>
      <w:b/>
      <w:bCs/>
      <w:sz w:val="26"/>
      <w:szCs w:val="26"/>
      <w:lang w:val="en-US" w:eastAsia="en-US" w:bidi="ar-SA"/>
    </w:rPr>
  </w:style>
  <w:style w:type="paragraph" w:customStyle="1" w:styleId="TableTextBullet">
    <w:name w:val="Table Text Bullet"/>
    <w:basedOn w:val="TableText"/>
    <w:link w:val="TableTextBulletChar1"/>
    <w:rsid w:val="00B93B42"/>
    <w:pPr>
      <w:numPr>
        <w:numId w:val="12"/>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E93F17"/>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customStyle="1" w:styleId="TableTextNumbers">
    <w:name w:val="Table Text Numbers"/>
    <w:basedOn w:val="TableText"/>
    <w:link w:val="TableTextNumbersCharChar"/>
    <w:rsid w:val="00584AF9"/>
    <w:pPr>
      <w:numPr>
        <w:numId w:val="4"/>
      </w:numPr>
    </w:pPr>
  </w:style>
  <w:style w:type="character" w:customStyle="1" w:styleId="TableTextNumbersCharChar">
    <w:name w:val="Table Text Numbers Char Char"/>
    <w:basedOn w:val="TableTextChar6"/>
    <w:link w:val="TableTextNumbers"/>
    <w:rsid w:val="00584AF9"/>
    <w:rPr>
      <w:rFonts w:ascii="Arial" w:hAnsi="Arial"/>
      <w:sz w:val="18"/>
      <w:szCs w:val="24"/>
      <w:lang w:val="en-US" w:eastAsia="en-US" w:bidi="ar-SA"/>
    </w:rPr>
  </w:style>
  <w:style w:type="character" w:customStyle="1" w:styleId="TableTextNumbersChar">
    <w:name w:val="Table Text Numbers Char"/>
    <w:rPr>
      <w:rFonts w:ascii="Arial" w:hAnsi="Arial"/>
      <w:sz w:val="18"/>
      <w:szCs w:val="24"/>
      <w:lang w:val="en-US" w:eastAsia="en-US" w:bidi="ar-SA"/>
    </w:rPr>
  </w:style>
  <w:style w:type="character" w:customStyle="1" w:styleId="Heading3Char">
    <w:name w:val="Heading 3 Char"/>
    <w:rPr>
      <w:rFonts w:ascii="Arial" w:hAnsi="Arial" w:cs="Arial"/>
      <w:b/>
      <w:bCs/>
      <w:sz w:val="26"/>
      <w:szCs w:val="26"/>
      <w:lang w:val="en-US" w:eastAsia="en-US" w:bidi="ar-SA"/>
    </w:rPr>
  </w:style>
  <w:style w:type="paragraph" w:customStyle="1" w:styleId="Caution">
    <w:name w:val="Caution"/>
    <w:basedOn w:val="Normal"/>
    <w:link w:val="CautionChar"/>
    <w:pPr>
      <w:pBdr>
        <w:top w:val="single" w:sz="4" w:space="6" w:color="auto"/>
        <w:left w:val="single" w:sz="4" w:space="4" w:color="auto"/>
        <w:bottom w:val="single" w:sz="4" w:space="6" w:color="auto"/>
        <w:right w:val="single" w:sz="4" w:space="0" w:color="auto"/>
      </w:pBdr>
      <w:spacing w:before="120" w:after="120"/>
    </w:pPr>
    <w:rPr>
      <w:i/>
      <w:iCs/>
      <w:sz w:val="22"/>
      <w:szCs w:val="20"/>
    </w:rPr>
  </w:style>
  <w:style w:type="character" w:customStyle="1" w:styleId="CautionChar">
    <w:name w:val="Caution Char"/>
    <w:link w:val="Caution"/>
    <w:rsid w:val="002E3C00"/>
    <w:rPr>
      <w:i/>
      <w:iCs/>
      <w:sz w:val="22"/>
      <w:lang w:val="en-US" w:eastAsia="en-US" w:bidi="ar-SA"/>
    </w:rPr>
  </w:style>
  <w:style w:type="paragraph" w:customStyle="1" w:styleId="TableTextBullet1">
    <w:name w:val="Table Text Bullet 1"/>
    <w:basedOn w:val="TableText"/>
    <w:pPr>
      <w:numPr>
        <w:numId w:val="6"/>
      </w:numPr>
    </w:pPr>
  </w:style>
  <w:style w:type="character" w:customStyle="1" w:styleId="CaptionChar1">
    <w:name w:val="Caption Char1"/>
    <w:link w:val="Caption"/>
    <w:rsid w:val="00453B6E"/>
    <w:rPr>
      <w:b/>
      <w:sz w:val="22"/>
      <w:szCs w:val="22"/>
      <w:lang w:val="en-US" w:eastAsia="en-US" w:bidi="ar-SA"/>
    </w:rPr>
  </w:style>
  <w:style w:type="paragraph" w:customStyle="1" w:styleId="StyleTableText9ptChar">
    <w:name w:val="Style Table Text + 9 pt Char"/>
    <w:basedOn w:val="TableText"/>
    <w:rsid w:val="00A906CD"/>
    <w:rPr>
      <w:color w:val="000000"/>
      <w:szCs w:val="18"/>
    </w:rPr>
  </w:style>
  <w:style w:type="character" w:customStyle="1" w:styleId="historydatafont1">
    <w:name w:val="historydatafont1"/>
    <w:rPr>
      <w:rFonts w:ascii="Arial" w:hAnsi="Arial" w:cs="Arial" w:hint="default"/>
      <w:color w:val="000000"/>
      <w:sz w:val="20"/>
      <w:szCs w:val="20"/>
    </w:rPr>
  </w:style>
  <w:style w:type="paragraph" w:customStyle="1" w:styleId="HeaderDocumentType">
    <w:name w:val="Header Document Type"/>
    <w:basedOn w:val="Normal"/>
    <w:pPr>
      <w:spacing w:after="120"/>
      <w:jc w:val="center"/>
    </w:pPr>
    <w:rPr>
      <w:szCs w:val="20"/>
    </w:rPr>
  </w:style>
  <w:style w:type="paragraph" w:customStyle="1" w:styleId="TableTextHeader">
    <w:name w:val="Table Text Header"/>
    <w:basedOn w:val="TableText"/>
    <w:pPr>
      <w:jc w:val="center"/>
    </w:pPr>
    <w:rPr>
      <w:b/>
      <w:color w:val="000000"/>
      <w:szCs w:val="20"/>
    </w:rPr>
  </w:style>
  <w:style w:type="paragraph" w:styleId="ListNumber">
    <w:name w:val="List Number"/>
    <w:basedOn w:val="Normal"/>
    <w:rsid w:val="006B270F"/>
    <w:rPr>
      <w:sz w:val="22"/>
      <w:szCs w:val="22"/>
    </w:rPr>
  </w:style>
  <w:style w:type="paragraph" w:styleId="ListNumber2">
    <w:name w:val="List Number 2"/>
    <w:basedOn w:val="Normal"/>
    <w:pPr>
      <w:numPr>
        <w:numId w:val="40"/>
      </w:numPr>
    </w:pPr>
    <w:rPr>
      <w:szCs w:val="20"/>
    </w:rPr>
  </w:style>
  <w:style w:type="paragraph" w:customStyle="1" w:styleId="Version">
    <w:name w:val="Version"/>
    <w:basedOn w:val="Normal"/>
    <w:next w:val="Normal"/>
    <w:pPr>
      <w:spacing w:after="480"/>
      <w:jc w:val="center"/>
    </w:pPr>
    <w:rPr>
      <w:b/>
      <w:szCs w:val="20"/>
    </w:rPr>
  </w:style>
  <w:style w:type="paragraph" w:customStyle="1" w:styleId="Part">
    <w:name w:val="Part"/>
    <w:basedOn w:val="Normal"/>
    <w:pPr>
      <w:pBdr>
        <w:top w:val="single" w:sz="4" w:space="1" w:color="auto"/>
      </w:pBdr>
      <w:ind w:left="720"/>
    </w:pPr>
    <w:rPr>
      <w:rFonts w:ascii="Symbol" w:hAnsi="Symbol"/>
      <w:b/>
      <w:color w:val="808080"/>
      <w:sz w:val="48"/>
      <w:szCs w:val="20"/>
    </w:rPr>
  </w:style>
  <w:style w:type="paragraph" w:customStyle="1" w:styleId="Style1">
    <w:name w:val="Style1"/>
    <w:basedOn w:val="Normal"/>
    <w:autoRedefine/>
    <w:rPr>
      <w:b/>
      <w:bCs/>
      <w:szCs w:val="20"/>
    </w:rPr>
  </w:style>
  <w:style w:type="paragraph" w:styleId="ListNumber3">
    <w:name w:val="List Number 3"/>
    <w:pPr>
      <w:tabs>
        <w:tab w:val="num" w:pos="1080"/>
      </w:tabs>
      <w:ind w:left="1080" w:hanging="360"/>
    </w:pPr>
    <w:rPr>
      <w:sz w:val="24"/>
    </w:rPr>
  </w:style>
  <w:style w:type="paragraph" w:customStyle="1" w:styleId="IOPTitle">
    <w:name w:val="IOP Title"/>
    <w:basedOn w:val="Normal"/>
    <w:autoRedefine/>
    <w:pPr>
      <w:jc w:val="right"/>
    </w:pPr>
    <w:rPr>
      <w:rFonts w:ascii="Symbol" w:hAnsi="Symbol"/>
      <w:b/>
      <w:sz w:val="28"/>
      <w:szCs w:val="20"/>
    </w:rPr>
  </w:style>
  <w:style w:type="paragraph" w:customStyle="1" w:styleId="Outline1">
    <w:name w:val="Outline 1"/>
    <w:basedOn w:val="Normal"/>
    <w:rPr>
      <w:szCs w:val="20"/>
    </w:rPr>
  </w:style>
  <w:style w:type="paragraph" w:customStyle="1" w:styleId="Outline3">
    <w:name w:val="Outline 3"/>
    <w:basedOn w:val="Normal"/>
    <w:rPr>
      <w:szCs w:val="20"/>
    </w:rPr>
  </w:style>
  <w:style w:type="paragraph" w:customStyle="1" w:styleId="InfoBlue">
    <w:name w:val="InfoBlue"/>
    <w:basedOn w:val="Normal"/>
    <w:next w:val="BodyText"/>
    <w:autoRedefine/>
    <w:pPr>
      <w:widowControl w:val="0"/>
      <w:spacing w:after="120" w:line="240" w:lineRule="atLeast"/>
    </w:pPr>
    <w:rPr>
      <w:i/>
      <w:color w:val="0000FF"/>
      <w:szCs w:val="20"/>
    </w:rPr>
  </w:style>
  <w:style w:type="paragraph" w:customStyle="1" w:styleId="Outline2">
    <w:name w:val="Outline 2"/>
    <w:basedOn w:val="Normal"/>
    <w:pPr>
      <w:tabs>
        <w:tab w:val="num" w:pos="720"/>
      </w:tabs>
      <w:ind w:left="720" w:hanging="360"/>
    </w:pPr>
    <w:rPr>
      <w:szCs w:val="20"/>
    </w:rPr>
  </w:style>
  <w:style w:type="paragraph" w:customStyle="1" w:styleId="Heading3Subsection">
    <w:name w:val="Heading 3 Subsection"/>
    <w:basedOn w:val="Outline1"/>
    <w:pPr>
      <w:tabs>
        <w:tab w:val="num" w:pos="720"/>
      </w:tabs>
      <w:spacing w:before="240" w:after="60"/>
      <w:ind w:left="1440" w:hanging="720"/>
    </w:pPr>
    <w:rPr>
      <w:rFonts w:ascii="Geneva" w:hAnsi="Geneva"/>
      <w:b/>
      <w:sz w:val="22"/>
    </w:rPr>
  </w:style>
  <w:style w:type="character" w:customStyle="1" w:styleId="DarleneBrill">
    <w:name w:val="Darlene Brill"/>
    <w:semiHidden/>
    <w:rPr>
      <w:rFonts w:ascii="Arial" w:hAnsi="Arial" w:cs="Arial"/>
      <w:color w:val="auto"/>
      <w:sz w:val="20"/>
      <w:szCs w:val="20"/>
    </w:rPr>
  </w:style>
  <w:style w:type="paragraph" w:customStyle="1" w:styleId="ListBulletLast">
    <w:name w:val="List Bullet Last"/>
    <w:basedOn w:val="ListBullet"/>
    <w:next w:val="BodyText"/>
    <w:pPr>
      <w:numPr>
        <w:numId w:val="0"/>
      </w:numPr>
      <w:tabs>
        <w:tab w:val="num" w:pos="1080"/>
      </w:tabs>
      <w:spacing w:after="120"/>
    </w:pPr>
  </w:style>
  <w:style w:type="paragraph" w:customStyle="1" w:styleId="NotesTextBullet">
    <w:name w:val="Notes Text Bullet"/>
    <w:basedOn w:val="TableTextBullet"/>
    <w:pPr>
      <w:numPr>
        <w:numId w:val="3"/>
      </w:numPr>
    </w:pPr>
  </w:style>
  <w:style w:type="paragraph" w:customStyle="1" w:styleId="NotesText">
    <w:name w:val="Notes Text"/>
    <w:basedOn w:val="TableText"/>
    <w:pPr>
      <w:ind w:left="720"/>
    </w:pPr>
  </w:style>
  <w:style w:type="paragraph" w:customStyle="1" w:styleId="TableTextNumbersContinued">
    <w:name w:val="Table Text Numbers Continued"/>
    <w:basedOn w:val="TableTextNumbers"/>
    <w:pPr>
      <w:numPr>
        <w:numId w:val="0"/>
      </w:numPr>
      <w:ind w:left="288"/>
    </w:pPr>
  </w:style>
  <w:style w:type="character" w:customStyle="1" w:styleId="TableTextNumbersContinuedChar1">
    <w:name w:val="Table Text Numbers Continued Char1"/>
    <w:rPr>
      <w:rFonts w:ascii="Arial" w:hAnsi="Arial"/>
      <w:sz w:val="18"/>
      <w:szCs w:val="24"/>
      <w:lang w:val="en-US" w:eastAsia="en-US" w:bidi="ar-SA"/>
    </w:rPr>
  </w:style>
  <w:style w:type="paragraph" w:customStyle="1" w:styleId="NotesTextBullet1">
    <w:name w:val="Notes Text Bullet 1"/>
    <w:basedOn w:val="TableTextBullet1"/>
    <w:pPr>
      <w:numPr>
        <w:numId w:val="5"/>
      </w:numPr>
    </w:pPr>
  </w:style>
  <w:style w:type="paragraph" w:styleId="BlockText">
    <w:name w:val="Block Text"/>
    <w:basedOn w:val="Normal"/>
    <w:pPr>
      <w:spacing w:after="120"/>
      <w:ind w:left="1440" w:right="1440"/>
    </w:pPr>
  </w:style>
  <w:style w:type="paragraph" w:customStyle="1" w:styleId="TableTextBullet2">
    <w:name w:val="Table Text Bullet 2"/>
    <w:pPr>
      <w:tabs>
        <w:tab w:val="num" w:pos="288"/>
      </w:tabs>
      <w:ind w:left="288" w:firstLine="288"/>
    </w:pPr>
    <w:rPr>
      <w:rFonts w:ascii="Arial" w:hAnsi="Arial"/>
      <w:sz w:val="18"/>
      <w:szCs w:val="18"/>
    </w:rPr>
  </w:style>
  <w:style w:type="character" w:customStyle="1" w:styleId="TableTextNumbersContinuedChar">
    <w:name w:val="Table Text Numbers Continued Char"/>
    <w:rPr>
      <w:rFonts w:ascii="Arial" w:hAnsi="Arial"/>
      <w:sz w:val="18"/>
      <w:szCs w:val="24"/>
      <w:lang w:val="en-US" w:eastAsia="en-US" w:bidi="ar-SA"/>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TableTextNumbersBullet">
    <w:name w:val="Table Text Numbers Bullet"/>
    <w:basedOn w:val="TableTextNumbersContinued"/>
    <w:pPr>
      <w:numPr>
        <w:numId w:val="7"/>
      </w:numPr>
    </w:pPr>
  </w:style>
  <w:style w:type="paragraph" w:styleId="Title">
    <w:name w:val="Title"/>
    <w:basedOn w:val="Normal"/>
    <w:next w:val="Normal"/>
    <w:qFormat/>
    <w:pPr>
      <w:widowControl w:val="0"/>
      <w:jc w:val="center"/>
    </w:pPr>
    <w:rPr>
      <w:rFonts w:ascii="Arial" w:hAnsi="Arial"/>
      <w:b/>
      <w:sz w:val="36"/>
      <w:szCs w:val="20"/>
    </w:rPr>
  </w:style>
  <w:style w:type="paragraph" w:styleId="ListBullet3">
    <w:name w:val="List Bullet 3"/>
    <w:basedOn w:val="Normal"/>
    <w:pPr>
      <w:tabs>
        <w:tab w:val="num" w:pos="1080"/>
      </w:tabs>
      <w:ind w:left="1440" w:hanging="360"/>
    </w:pPr>
    <w:rPr>
      <w:sz w:val="22"/>
    </w:rPr>
  </w:style>
  <w:style w:type="character" w:customStyle="1" w:styleId="NotesTextChar4">
    <w:name w:val="Notes Text Char4"/>
    <w:rPr>
      <w:rFonts w:ascii="Arial" w:hAnsi="Arial"/>
      <w:sz w:val="18"/>
      <w:szCs w:val="24"/>
      <w:lang w:val="en-US" w:eastAsia="en-US" w:bidi="ar-SA"/>
    </w:rPr>
  </w:style>
  <w:style w:type="character" w:customStyle="1" w:styleId="TableTextChar2">
    <w:name w:val="Table Text Char2"/>
    <w:rPr>
      <w:rFonts w:ascii="Arial" w:hAnsi="Arial"/>
      <w:sz w:val="18"/>
      <w:szCs w:val="24"/>
      <w:lang w:val="en-US" w:eastAsia="en-US" w:bidi="ar-SA"/>
    </w:rPr>
  </w:style>
  <w:style w:type="character" w:customStyle="1" w:styleId="StyleTableText9ptCharChar">
    <w:name w:val="Style Table Text + 9 pt Char Char"/>
    <w:rsid w:val="007809C3"/>
    <w:rPr>
      <w:rFonts w:ascii="Arial" w:hAnsi="Arial"/>
      <w:noProof/>
      <w:color w:val="000000"/>
      <w:sz w:val="18"/>
      <w:szCs w:val="24"/>
      <w:lang w:val="en-US" w:eastAsia="en-US" w:bidi="ar-SA"/>
    </w:rPr>
  </w:style>
  <w:style w:type="character" w:customStyle="1" w:styleId="TableTextChar4">
    <w:name w:val="Table Text Char4"/>
    <w:rPr>
      <w:rFonts w:ascii="Arial" w:hAnsi="Arial"/>
      <w:sz w:val="18"/>
      <w:szCs w:val="24"/>
      <w:lang w:val="en-US" w:eastAsia="en-US" w:bidi="ar-SA"/>
    </w:rPr>
  </w:style>
  <w:style w:type="character" w:customStyle="1" w:styleId="TableTextBullet1Char">
    <w:name w:val="Table Text Bullet 1 Char"/>
    <w:rPr>
      <w:rFonts w:ascii="Arial" w:hAnsi="Arial"/>
      <w:color w:val="000000"/>
      <w:sz w:val="18"/>
      <w:szCs w:val="24"/>
      <w:lang w:val="en-US" w:eastAsia="en-US" w:bidi="ar-SA"/>
    </w:rPr>
  </w:style>
  <w:style w:type="character" w:customStyle="1" w:styleId="NotesTextBullet1Char">
    <w:name w:val="Notes Text Bullet 1 Char"/>
    <w:basedOn w:val="TableTextBullet1Char"/>
    <w:rPr>
      <w:rFonts w:ascii="Arial" w:hAnsi="Arial"/>
      <w:color w:val="000000"/>
      <w:sz w:val="18"/>
      <w:szCs w:val="24"/>
      <w:lang w:val="en-US" w:eastAsia="en-US" w:bidi="ar-SA"/>
    </w:rPr>
  </w:style>
  <w:style w:type="character" w:customStyle="1" w:styleId="ListBulletChar">
    <w:name w:val="List Bullet Char"/>
    <w:rPr>
      <w:spacing w:val="-5"/>
      <w:sz w:val="22"/>
      <w:szCs w:val="22"/>
      <w:lang w:val="en-US" w:eastAsia="en-US" w:bidi="ar-SA"/>
    </w:rPr>
  </w:style>
  <w:style w:type="paragraph" w:customStyle="1" w:styleId="Paragraph2">
    <w:name w:val="Paragraph2"/>
    <w:basedOn w:val="Normal"/>
    <w:autoRedefine/>
    <w:pPr>
      <w:spacing w:before="80"/>
    </w:pPr>
    <w:rPr>
      <w:color w:val="000000"/>
      <w:szCs w:val="20"/>
    </w:rPr>
  </w:style>
  <w:style w:type="character" w:customStyle="1" w:styleId="TableTextBulletChar">
    <w:name w:val="Table Text Bullet Char"/>
    <w:basedOn w:val="TableTextChar1"/>
    <w:rPr>
      <w:rFonts w:ascii="Arial" w:hAnsi="Arial"/>
      <w:sz w:val="18"/>
      <w:szCs w:val="24"/>
      <w:lang w:val="en-US" w:eastAsia="en-US" w:bidi="ar-SA"/>
    </w:rPr>
  </w:style>
  <w:style w:type="character" w:customStyle="1" w:styleId="TableTextNumbersChar1">
    <w:name w:val="Table Text Numbers Char1"/>
    <w:basedOn w:val="TableTextChar2"/>
    <w:rPr>
      <w:rFonts w:ascii="Arial" w:hAnsi="Arial"/>
      <w:sz w:val="18"/>
      <w:szCs w:val="24"/>
      <w:lang w:val="en-US" w:eastAsia="en-US" w:bidi="ar-SA"/>
    </w:rPr>
  </w:style>
  <w:style w:type="character" w:customStyle="1" w:styleId="Char3">
    <w:name w:val="Char3"/>
    <w:semiHidden/>
    <w:rPr>
      <w:rFonts w:ascii="Arial" w:hAnsi="Arial" w:cs="Arial"/>
      <w:b/>
      <w:bCs/>
      <w:sz w:val="26"/>
      <w:szCs w:val="26"/>
      <w:lang w:val="en-US" w:eastAsia="en-US" w:bidi="ar-SA"/>
    </w:rPr>
  </w:style>
  <w:style w:type="character" w:customStyle="1" w:styleId="TableTextChar">
    <w:name w:val="Table Text Char"/>
    <w:rPr>
      <w:rFonts w:ascii="Arial" w:hAnsi="Arial"/>
      <w:sz w:val="18"/>
      <w:szCs w:val="24"/>
      <w:lang w:val="en-US" w:eastAsia="en-US" w:bidi="ar-SA"/>
    </w:rPr>
  </w:style>
  <w:style w:type="character" w:customStyle="1" w:styleId="TableTextBulletChar2">
    <w:name w:val="Table Text Bullet Char2"/>
    <w:basedOn w:val="TableTextChar4"/>
    <w:rPr>
      <w:rFonts w:ascii="Arial" w:hAnsi="Arial"/>
      <w:sz w:val="18"/>
      <w:szCs w:val="24"/>
      <w:lang w:val="en-US" w:eastAsia="en-US" w:bidi="ar-SA"/>
    </w:rPr>
  </w:style>
  <w:style w:type="paragraph" w:customStyle="1" w:styleId="Bulletlistindented1">
    <w:name w:val="Bullet list indented1"/>
    <w:basedOn w:val="Normal"/>
    <w:autoRedefine/>
    <w:pPr>
      <w:tabs>
        <w:tab w:val="left" w:pos="1350"/>
        <w:tab w:val="num" w:pos="1440"/>
      </w:tabs>
      <w:ind w:left="1440" w:hanging="360"/>
    </w:pPr>
    <w:rPr>
      <w:rFonts w:ascii="Geneva" w:hAnsi="Geneva"/>
      <w:sz w:val="22"/>
      <w:szCs w:val="20"/>
    </w:rPr>
  </w:style>
  <w:style w:type="paragraph" w:customStyle="1" w:styleId="Tabletext0">
    <w:name w:val="Tabletext"/>
    <w:basedOn w:val="Normal"/>
    <w:pPr>
      <w:keepLines/>
      <w:widowControl w:val="0"/>
      <w:spacing w:after="120" w:line="240" w:lineRule="atLeast"/>
    </w:pPr>
    <w:rPr>
      <w:sz w:val="20"/>
      <w:szCs w:val="20"/>
    </w:rPr>
  </w:style>
  <w:style w:type="paragraph" w:styleId="NoteHeading">
    <w:name w:val="Note Heading"/>
    <w:basedOn w:val="Normal"/>
    <w:next w:val="Normal"/>
    <w:pPr>
      <w:widowControl w:val="0"/>
      <w:spacing w:line="240" w:lineRule="atLeast"/>
    </w:pPr>
    <w:rPr>
      <w:rFonts w:ascii="Arial" w:hAnsi="Arial"/>
      <w:b/>
      <w:szCs w:val="20"/>
    </w:rPr>
  </w:style>
  <w:style w:type="paragraph" w:customStyle="1" w:styleId="xl72">
    <w:name w:val="xl7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B93B42"/>
    <w:rPr>
      <w:vanish/>
      <w:color w:val="FFFFFF"/>
      <w:szCs w:val="18"/>
    </w:rPr>
  </w:style>
  <w:style w:type="character" w:customStyle="1" w:styleId="StyleTableTextNumbersWhite1Char">
    <w:name w:val="Style Table Text Numbers + White1 Char"/>
    <w:link w:val="StyleTableTextNumbersWhite1"/>
    <w:rsid w:val="00B93B42"/>
    <w:rPr>
      <w:rFonts w:ascii="Arial" w:hAnsi="Arial"/>
      <w:vanish/>
      <w:color w:val="FFFFFF"/>
      <w:sz w:val="18"/>
      <w:szCs w:val="18"/>
    </w:rPr>
  </w:style>
  <w:style w:type="paragraph" w:styleId="BodyText3">
    <w:name w:val="Body Text 3"/>
    <w:basedOn w:val="Normal"/>
    <w:rPr>
      <w:strike/>
      <w:color w:val="999999"/>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Pr>
      <w:b/>
      <w:noProof w:val="0"/>
      <w:sz w:val="24"/>
      <w:szCs w:val="24"/>
      <w:lang w:val="en-US" w:eastAsia="en-US" w:bidi="ar-SA"/>
    </w:rPr>
  </w:style>
  <w:style w:type="character" w:customStyle="1" w:styleId="ListChar">
    <w:name w:val="List Char"/>
    <w:rPr>
      <w:noProof w:val="0"/>
      <w:sz w:val="24"/>
      <w:lang w:val="en-US" w:eastAsia="en-US" w:bidi="ar-SA"/>
    </w:rPr>
  </w:style>
  <w:style w:type="character" w:customStyle="1" w:styleId="TableTextChar3">
    <w:name w:val="Table Text Char3"/>
    <w:rPr>
      <w:rFonts w:ascii="Arial" w:hAnsi="Arial"/>
      <w:sz w:val="18"/>
      <w:szCs w:val="24"/>
      <w:lang w:val="en-US" w:eastAsia="en-US" w:bidi="ar-SA"/>
    </w:rPr>
  </w:style>
  <w:style w:type="paragraph" w:customStyle="1" w:styleId="ListRole">
    <w:name w:val="List Role"/>
    <w:basedOn w:val="BodyText"/>
    <w:pPr>
      <w:ind w:left="360"/>
    </w:pPr>
  </w:style>
  <w:style w:type="paragraph" w:customStyle="1" w:styleId="Roles">
    <w:name w:val="Roles"/>
    <w:basedOn w:val="BodyText"/>
    <w:link w:val="RolesChar1"/>
    <w:rsid w:val="00237C52"/>
    <w:pPr>
      <w:spacing w:before="0" w:after="0"/>
      <w:ind w:left="288"/>
    </w:pPr>
  </w:style>
  <w:style w:type="character" w:customStyle="1" w:styleId="RolesChar1">
    <w:name w:val="Roles Char1"/>
    <w:basedOn w:val="BodyTextChar"/>
    <w:link w:val="Roles"/>
    <w:rsid w:val="00237C52"/>
    <w:rPr>
      <w:sz w:val="22"/>
      <w:szCs w:val="22"/>
      <w:lang w:val="en-US" w:eastAsia="en-US" w:bidi="ar-SA"/>
    </w:rPr>
  </w:style>
  <w:style w:type="character" w:customStyle="1" w:styleId="RolesChar">
    <w:name w:val="Roles Char"/>
    <w:rPr>
      <w:sz w:val="22"/>
      <w:lang w:val="en-US" w:eastAsia="en-US" w:bidi="ar-SA"/>
    </w:rPr>
  </w:style>
  <w:style w:type="character" w:customStyle="1" w:styleId="TableTextChar5">
    <w:name w:val="Table Text Char5"/>
    <w:rPr>
      <w:rFonts w:ascii="Arial" w:hAnsi="Arial"/>
      <w:sz w:val="18"/>
      <w:szCs w:val="24"/>
      <w:lang w:val="en-US" w:eastAsia="en-US" w:bidi="ar-SA"/>
    </w:rPr>
  </w:style>
  <w:style w:type="character" w:customStyle="1" w:styleId="TableTextNumbersChar2">
    <w:name w:val="Table Text Numbers Char2"/>
    <w:basedOn w:val="TableTextChar5"/>
    <w:rPr>
      <w:rFonts w:ascii="Arial" w:hAnsi="Arial"/>
      <w:sz w:val="18"/>
      <w:szCs w:val="24"/>
      <w:lang w:val="en-US" w:eastAsia="en-US" w:bidi="ar-SA"/>
    </w:rPr>
  </w:style>
  <w:style w:type="paragraph" w:customStyle="1" w:styleId="StyleTableTextBlack">
    <w:name w:val="Style Table Text + Black"/>
    <w:basedOn w:val="TableText"/>
    <w:link w:val="StyleTableTextBlackChar"/>
    <w:rsid w:val="00584AF9"/>
    <w:rPr>
      <w:color w:val="000000"/>
    </w:rPr>
  </w:style>
  <w:style w:type="paragraph" w:customStyle="1" w:styleId="StyleTableTextNumbersWhite2">
    <w:name w:val="Style Table Text Numbers + White2"/>
    <w:basedOn w:val="TableTextNumbers"/>
    <w:link w:val="StyleTableTextNumbersWhite2Char"/>
    <w:rsid w:val="00912F51"/>
    <w:rPr>
      <w:vanish/>
      <w:color w:val="FFFFFF"/>
      <w:szCs w:val="18"/>
    </w:rPr>
  </w:style>
  <w:style w:type="character" w:customStyle="1" w:styleId="StyleTableTextNumbersWhite2Char">
    <w:name w:val="Style Table Text Numbers + White2 Char"/>
    <w:link w:val="StyleTableTextNumbersWhite2"/>
    <w:rsid w:val="00912F51"/>
    <w:rPr>
      <w:rFonts w:ascii="Arial" w:hAnsi="Arial"/>
      <w:vanish/>
      <w:color w:val="FFFFFF"/>
      <w:sz w:val="18"/>
      <w:szCs w:val="18"/>
    </w:rPr>
  </w:style>
  <w:style w:type="character" w:customStyle="1" w:styleId="StyleTableTextBlackChar">
    <w:name w:val="Style Table Text + Black Char"/>
    <w:link w:val="StyleTableTextBlack"/>
    <w:rsid w:val="00584AF9"/>
    <w:rPr>
      <w:rFonts w:ascii="Arial" w:hAnsi="Arial"/>
      <w:color w:val="000000"/>
      <w:sz w:val="18"/>
      <w:szCs w:val="24"/>
      <w:lang w:val="en-US" w:eastAsia="en-US" w:bidi="ar-SA"/>
    </w:rPr>
  </w:style>
  <w:style w:type="paragraph" w:customStyle="1" w:styleId="StyleBodyTextArial9ptBold">
    <w:name w:val="Style Body Text + Arial 9 pt Bold"/>
    <w:basedOn w:val="BodyText"/>
    <w:rsid w:val="00963F12"/>
    <w:pPr>
      <w:spacing w:before="0" w:after="0"/>
    </w:pPr>
    <w:rPr>
      <w:rFonts w:ascii="Arial" w:hAnsi="Arial"/>
      <w:b/>
      <w:bCs/>
      <w:sz w:val="18"/>
    </w:rPr>
  </w:style>
  <w:style w:type="paragraph" w:styleId="List2">
    <w:name w:val="List 2"/>
    <w:basedOn w:val="Normal"/>
    <w:rsid w:val="00FA7E65"/>
    <w:pPr>
      <w:ind w:left="720" w:hanging="360"/>
    </w:pPr>
  </w:style>
  <w:style w:type="paragraph" w:styleId="BodyTextIndent">
    <w:name w:val="Body Text Indent"/>
    <w:basedOn w:val="Normal"/>
    <w:rsid w:val="00FA7E65"/>
    <w:pPr>
      <w:spacing w:after="120"/>
      <w:ind w:left="360"/>
    </w:pPr>
  </w:style>
  <w:style w:type="paragraph" w:styleId="NormalWeb">
    <w:name w:val="Normal (Web)"/>
    <w:basedOn w:val="Normal"/>
    <w:uiPriority w:val="99"/>
    <w:rsid w:val="001D19BF"/>
    <w:pPr>
      <w:spacing w:before="100" w:beforeAutospacing="1" w:after="100" w:afterAutospacing="1"/>
    </w:pPr>
  </w:style>
  <w:style w:type="paragraph" w:customStyle="1" w:styleId="tabletext1">
    <w:name w:val="tabletext"/>
    <w:basedOn w:val="Normal"/>
    <w:rsid w:val="00194509"/>
    <w:rPr>
      <w:rFonts w:ascii="Arial" w:hAnsi="Arial" w:cs="Arial"/>
      <w:color w:val="000000"/>
      <w:sz w:val="18"/>
      <w:szCs w:val="18"/>
    </w:rPr>
  </w:style>
  <w:style w:type="paragraph" w:styleId="Index5">
    <w:name w:val="index 5"/>
    <w:basedOn w:val="Normal"/>
    <w:next w:val="Normal"/>
    <w:autoRedefine/>
    <w:semiHidden/>
    <w:rsid w:val="00E93F17"/>
    <w:pPr>
      <w:ind w:left="1200" w:hanging="240"/>
    </w:pPr>
    <w:rPr>
      <w:sz w:val="18"/>
      <w:szCs w:val="18"/>
    </w:rPr>
  </w:style>
  <w:style w:type="paragraph" w:styleId="Index6">
    <w:name w:val="index 6"/>
    <w:basedOn w:val="Normal"/>
    <w:next w:val="Normal"/>
    <w:autoRedefine/>
    <w:semiHidden/>
    <w:rsid w:val="00E93F17"/>
    <w:pPr>
      <w:ind w:left="1440" w:hanging="240"/>
    </w:pPr>
    <w:rPr>
      <w:sz w:val="18"/>
      <w:szCs w:val="18"/>
    </w:rPr>
  </w:style>
  <w:style w:type="paragraph" w:styleId="Index7">
    <w:name w:val="index 7"/>
    <w:basedOn w:val="Normal"/>
    <w:next w:val="Normal"/>
    <w:autoRedefine/>
    <w:semiHidden/>
    <w:rsid w:val="00E93F17"/>
    <w:pPr>
      <w:ind w:left="1680" w:hanging="240"/>
    </w:pPr>
    <w:rPr>
      <w:sz w:val="18"/>
      <w:szCs w:val="18"/>
    </w:rPr>
  </w:style>
  <w:style w:type="paragraph" w:styleId="Index8">
    <w:name w:val="index 8"/>
    <w:basedOn w:val="Normal"/>
    <w:next w:val="Normal"/>
    <w:autoRedefine/>
    <w:semiHidden/>
    <w:rsid w:val="00E93F17"/>
    <w:pPr>
      <w:ind w:left="1920" w:hanging="240"/>
    </w:pPr>
    <w:rPr>
      <w:sz w:val="18"/>
      <w:szCs w:val="18"/>
    </w:rPr>
  </w:style>
  <w:style w:type="paragraph" w:styleId="Index9">
    <w:name w:val="index 9"/>
    <w:basedOn w:val="Normal"/>
    <w:next w:val="Normal"/>
    <w:autoRedefine/>
    <w:semiHidden/>
    <w:rsid w:val="00E93F17"/>
    <w:pPr>
      <w:ind w:left="2160" w:hanging="240"/>
    </w:pPr>
    <w:rPr>
      <w:sz w:val="18"/>
      <w:szCs w:val="18"/>
    </w:rPr>
  </w:style>
  <w:style w:type="paragraph" w:styleId="IndexHeading">
    <w:name w:val="index heading"/>
    <w:basedOn w:val="Normal"/>
    <w:next w:val="Index1"/>
    <w:uiPriority w:val="99"/>
    <w:semiHidden/>
    <w:rsid w:val="00E93F17"/>
    <w:pPr>
      <w:spacing w:before="240" w:after="120"/>
      <w:jc w:val="center"/>
    </w:pPr>
    <w:rPr>
      <w:b/>
      <w:bCs/>
      <w:sz w:val="26"/>
      <w:szCs w:val="26"/>
    </w:rPr>
  </w:style>
  <w:style w:type="character" w:customStyle="1" w:styleId="VHAISHbrilld">
    <w:name w:val="VHAISHbrilld"/>
    <w:semiHidden/>
    <w:rsid w:val="00DE7D08"/>
    <w:rPr>
      <w:rFonts w:ascii="Arial" w:hAnsi="Arial" w:cs="Arial"/>
      <w:color w:val="auto"/>
      <w:sz w:val="20"/>
      <w:szCs w:val="20"/>
    </w:rPr>
  </w:style>
  <w:style w:type="character" w:customStyle="1" w:styleId="TableTextBulletChar1">
    <w:name w:val="Table Text Bullet Char1"/>
    <w:basedOn w:val="TableTextChar6"/>
    <w:link w:val="TableTextBullet"/>
    <w:rsid w:val="00CC50D7"/>
    <w:rPr>
      <w:rFonts w:ascii="Arial" w:hAnsi="Arial"/>
      <w:sz w:val="18"/>
      <w:szCs w:val="24"/>
      <w:lang w:val="en-US" w:eastAsia="en-US" w:bidi="ar-SA"/>
    </w:rPr>
  </w:style>
  <w:style w:type="character" w:customStyle="1" w:styleId="BodyTextChar1">
    <w:name w:val="Body Text Char1"/>
    <w:rsid w:val="00EE44F1"/>
    <w:rPr>
      <w:sz w:val="22"/>
      <w:szCs w:val="22"/>
      <w:lang w:val="en-US" w:eastAsia="en-US" w:bidi="ar-SA"/>
    </w:rPr>
  </w:style>
  <w:style w:type="character" w:customStyle="1" w:styleId="Heading3Char2">
    <w:name w:val="Heading 3 Char2"/>
    <w:rsid w:val="008A701E"/>
    <w:rPr>
      <w:rFonts w:ascii="Arial" w:hAnsi="Arial" w:cs="Arial"/>
      <w:b/>
      <w:bCs/>
      <w:sz w:val="26"/>
      <w:szCs w:val="26"/>
      <w:lang w:val="en-US" w:eastAsia="en-US" w:bidi="ar-SA"/>
    </w:rPr>
  </w:style>
  <w:style w:type="character" w:customStyle="1" w:styleId="CaptionChar2">
    <w:name w:val="Caption Char2"/>
    <w:rsid w:val="008A701E"/>
    <w:rPr>
      <w:b/>
      <w:sz w:val="22"/>
      <w:szCs w:val="22"/>
      <w:lang w:val="en-US" w:eastAsia="en-US" w:bidi="ar-SA"/>
    </w:rPr>
  </w:style>
  <w:style w:type="character" w:customStyle="1" w:styleId="CommentTextChar">
    <w:name w:val="Comment Text Char"/>
    <w:basedOn w:val="DefaultParagraphFont"/>
    <w:link w:val="CommentText"/>
    <w:uiPriority w:val="99"/>
    <w:rsid w:val="00E36CAB"/>
  </w:style>
  <w:style w:type="character" w:customStyle="1" w:styleId="TableTextCharChar">
    <w:name w:val="Table Text Char Char"/>
    <w:rsid w:val="00D32A05"/>
    <w:rPr>
      <w:rFonts w:ascii="Arial" w:hAnsi="Arial"/>
      <w:sz w:val="18"/>
      <w:szCs w:val="24"/>
      <w:lang w:val="en-US" w:eastAsia="en-US" w:bidi="ar-SA"/>
    </w:rPr>
  </w:style>
  <w:style w:type="paragraph" w:styleId="ListParagraph">
    <w:name w:val="List Paragraph"/>
    <w:basedOn w:val="Normal"/>
    <w:uiPriority w:val="34"/>
    <w:qFormat/>
    <w:rsid w:val="00C33E1D"/>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semiHidden/>
    <w:rsid w:val="00FC3B68"/>
  </w:style>
  <w:style w:type="character" w:customStyle="1" w:styleId="Heading2Char">
    <w:name w:val="Heading 2 Char"/>
    <w:aliases w:val="Heading for title Char,head 2 Char"/>
    <w:link w:val="Heading2"/>
    <w:rsid w:val="000F6EEA"/>
    <w:rPr>
      <w:rFonts w:ascii="Arial" w:hAnsi="Arial" w:cs="Arial"/>
      <w:b/>
      <w:bCs/>
      <w:i/>
      <w:iCs/>
      <w:sz w:val="28"/>
      <w:szCs w:val="28"/>
    </w:rPr>
  </w:style>
  <w:style w:type="paragraph" w:styleId="NoSpacing">
    <w:name w:val="No Spacing"/>
    <w:uiPriority w:val="1"/>
    <w:qFormat/>
    <w:rsid w:val="00280C3F"/>
    <w:rPr>
      <w:rFonts w:ascii="Calibri" w:eastAsia="Calibri" w:hAnsi="Calibri"/>
      <w:sz w:val="22"/>
      <w:szCs w:val="22"/>
    </w:rPr>
  </w:style>
  <w:style w:type="paragraph" w:styleId="HTMLPreformatted">
    <w:name w:val="HTML Preformatted"/>
    <w:basedOn w:val="Normal"/>
    <w:link w:val="HTMLPreformattedChar"/>
    <w:rsid w:val="0039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PreformattedChar">
    <w:name w:val="HTML Preformatted Char"/>
    <w:link w:val="HTMLPreformatted"/>
    <w:rsid w:val="00392B0E"/>
    <w:rPr>
      <w:rFonts w:ascii="Courier New" w:hAnsi="Courier New"/>
    </w:rPr>
  </w:style>
  <w:style w:type="paragraph" w:customStyle="1" w:styleId="Substep01">
    <w:name w:val="Substep 01"/>
    <w:basedOn w:val="TableText"/>
    <w:rsid w:val="00DB1497"/>
    <w:pPr>
      <w:numPr>
        <w:numId w:val="44"/>
      </w:numPr>
      <w:jc w:val="right"/>
    </w:pPr>
    <w:rPr>
      <w:color w:val="000000"/>
      <w:szCs w:val="20"/>
    </w:rPr>
  </w:style>
  <w:style w:type="paragraph" w:customStyle="1" w:styleId="CellBodyLeft">
    <w:name w:val="CellBodyLeft"/>
    <w:basedOn w:val="Normal"/>
    <w:rsid w:val="00DC70D1"/>
    <w:pPr>
      <w:spacing w:before="60"/>
      <w:ind w:left="72"/>
    </w:pPr>
    <w:rPr>
      <w:rFonts w:ascii="Arial" w:hAnsi="Arial"/>
      <w:color w:val="000000"/>
      <w:sz w:val="16"/>
      <w:szCs w:val="20"/>
    </w:rPr>
  </w:style>
  <w:style w:type="paragraph" w:customStyle="1" w:styleId="CellBodyCenter">
    <w:name w:val="CellBodyCenter"/>
    <w:basedOn w:val="Normal"/>
    <w:rsid w:val="00DC70D1"/>
    <w:pPr>
      <w:keepLines/>
      <w:jc w:val="center"/>
    </w:pPr>
    <w:rPr>
      <w:rFonts w:ascii="Arial" w:hAnsi="Arial"/>
      <w:color w:val="000000"/>
      <w:sz w:val="16"/>
      <w:szCs w:val="20"/>
    </w:rPr>
  </w:style>
  <w:style w:type="paragraph" w:customStyle="1" w:styleId="Substep02">
    <w:name w:val="Substep 02"/>
    <w:basedOn w:val="Substep01"/>
    <w:rsid w:val="001809EC"/>
    <w:pPr>
      <w:numPr>
        <w:numId w:val="48"/>
      </w:numPr>
    </w:pPr>
  </w:style>
  <w:style w:type="paragraph" w:styleId="PlainText">
    <w:name w:val="Plain Text"/>
    <w:basedOn w:val="Normal"/>
    <w:link w:val="PlainTextChar"/>
    <w:uiPriority w:val="99"/>
    <w:unhideWhenUsed/>
    <w:rsid w:val="00D53DC3"/>
    <w:rPr>
      <w:rFonts w:ascii="Calibri" w:eastAsia="Calibri" w:hAnsi="Calibri"/>
      <w:sz w:val="22"/>
      <w:szCs w:val="21"/>
    </w:rPr>
  </w:style>
  <w:style w:type="character" w:customStyle="1" w:styleId="PlainTextChar">
    <w:name w:val="Plain Text Char"/>
    <w:link w:val="PlainText"/>
    <w:uiPriority w:val="99"/>
    <w:rsid w:val="00D53DC3"/>
    <w:rPr>
      <w:rFonts w:ascii="Calibri" w:eastAsia="Calibri" w:hAnsi="Calibri"/>
      <w:sz w:val="22"/>
      <w:szCs w:val="21"/>
    </w:rPr>
  </w:style>
  <w:style w:type="character" w:customStyle="1" w:styleId="FooterChar">
    <w:name w:val="Footer Char"/>
    <w:link w:val="Footer"/>
    <w:rsid w:val="00B752FE"/>
    <w:rPr>
      <w:sz w:val="24"/>
      <w:szCs w:val="24"/>
    </w:rPr>
  </w:style>
  <w:style w:type="paragraph" w:customStyle="1" w:styleId="TableText2">
    <w:name w:val="TableText"/>
    <w:rsid w:val="00FE0A8D"/>
    <w:rPr>
      <w:rFonts w:ascii="Arial" w:hAnsi="Arial"/>
      <w:noProof/>
      <w:sz w:val="18"/>
    </w:rPr>
  </w:style>
  <w:style w:type="character" w:styleId="UnresolvedMention">
    <w:name w:val="Unresolved Mention"/>
    <w:basedOn w:val="DefaultParagraphFont"/>
    <w:uiPriority w:val="99"/>
    <w:semiHidden/>
    <w:unhideWhenUsed/>
    <w:rsid w:val="00CC16EA"/>
    <w:rPr>
      <w:color w:val="808080"/>
      <w:shd w:val="clear" w:color="auto" w:fill="E6E6E6"/>
    </w:rPr>
  </w:style>
  <w:style w:type="character" w:customStyle="1" w:styleId="normaltextrun">
    <w:name w:val="normaltextrun"/>
    <w:basedOn w:val="DefaultParagraphFont"/>
    <w:rsid w:val="000E2F6A"/>
  </w:style>
  <w:style w:type="character" w:customStyle="1" w:styleId="ui-provider">
    <w:name w:val="ui-provider"/>
    <w:basedOn w:val="DefaultParagraphFont"/>
    <w:rsid w:val="004F6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468">
      <w:bodyDiv w:val="1"/>
      <w:marLeft w:val="0"/>
      <w:marRight w:val="0"/>
      <w:marTop w:val="0"/>
      <w:marBottom w:val="0"/>
      <w:divBdr>
        <w:top w:val="none" w:sz="0" w:space="0" w:color="auto"/>
        <w:left w:val="none" w:sz="0" w:space="0" w:color="auto"/>
        <w:bottom w:val="none" w:sz="0" w:space="0" w:color="auto"/>
        <w:right w:val="none" w:sz="0" w:space="0" w:color="auto"/>
      </w:divBdr>
    </w:div>
    <w:div w:id="31537333">
      <w:bodyDiv w:val="1"/>
      <w:marLeft w:val="0"/>
      <w:marRight w:val="0"/>
      <w:marTop w:val="0"/>
      <w:marBottom w:val="0"/>
      <w:divBdr>
        <w:top w:val="none" w:sz="0" w:space="0" w:color="auto"/>
        <w:left w:val="none" w:sz="0" w:space="0" w:color="auto"/>
        <w:bottom w:val="none" w:sz="0" w:space="0" w:color="auto"/>
        <w:right w:val="none" w:sz="0" w:space="0" w:color="auto"/>
      </w:divBdr>
    </w:div>
    <w:div w:id="100035678">
      <w:bodyDiv w:val="1"/>
      <w:marLeft w:val="0"/>
      <w:marRight w:val="0"/>
      <w:marTop w:val="0"/>
      <w:marBottom w:val="0"/>
      <w:divBdr>
        <w:top w:val="none" w:sz="0" w:space="0" w:color="auto"/>
        <w:left w:val="none" w:sz="0" w:space="0" w:color="auto"/>
        <w:bottom w:val="none" w:sz="0" w:space="0" w:color="auto"/>
        <w:right w:val="none" w:sz="0" w:space="0" w:color="auto"/>
      </w:divBdr>
    </w:div>
    <w:div w:id="131946998">
      <w:bodyDiv w:val="1"/>
      <w:marLeft w:val="0"/>
      <w:marRight w:val="0"/>
      <w:marTop w:val="0"/>
      <w:marBottom w:val="0"/>
      <w:divBdr>
        <w:top w:val="none" w:sz="0" w:space="0" w:color="auto"/>
        <w:left w:val="none" w:sz="0" w:space="0" w:color="auto"/>
        <w:bottom w:val="none" w:sz="0" w:space="0" w:color="auto"/>
        <w:right w:val="none" w:sz="0" w:space="0" w:color="auto"/>
      </w:divBdr>
    </w:div>
    <w:div w:id="157766379">
      <w:bodyDiv w:val="1"/>
      <w:marLeft w:val="0"/>
      <w:marRight w:val="0"/>
      <w:marTop w:val="0"/>
      <w:marBottom w:val="0"/>
      <w:divBdr>
        <w:top w:val="none" w:sz="0" w:space="0" w:color="auto"/>
        <w:left w:val="none" w:sz="0" w:space="0" w:color="auto"/>
        <w:bottom w:val="none" w:sz="0" w:space="0" w:color="auto"/>
        <w:right w:val="none" w:sz="0" w:space="0" w:color="auto"/>
      </w:divBdr>
    </w:div>
    <w:div w:id="161744170">
      <w:bodyDiv w:val="1"/>
      <w:marLeft w:val="0"/>
      <w:marRight w:val="0"/>
      <w:marTop w:val="0"/>
      <w:marBottom w:val="0"/>
      <w:divBdr>
        <w:top w:val="none" w:sz="0" w:space="0" w:color="auto"/>
        <w:left w:val="none" w:sz="0" w:space="0" w:color="auto"/>
        <w:bottom w:val="none" w:sz="0" w:space="0" w:color="auto"/>
        <w:right w:val="none" w:sz="0" w:space="0" w:color="auto"/>
      </w:divBdr>
    </w:div>
    <w:div w:id="270086669">
      <w:bodyDiv w:val="1"/>
      <w:marLeft w:val="0"/>
      <w:marRight w:val="0"/>
      <w:marTop w:val="0"/>
      <w:marBottom w:val="0"/>
      <w:divBdr>
        <w:top w:val="none" w:sz="0" w:space="0" w:color="auto"/>
        <w:left w:val="none" w:sz="0" w:space="0" w:color="auto"/>
        <w:bottom w:val="none" w:sz="0" w:space="0" w:color="auto"/>
        <w:right w:val="none" w:sz="0" w:space="0" w:color="auto"/>
      </w:divBdr>
    </w:div>
    <w:div w:id="345592832">
      <w:bodyDiv w:val="1"/>
      <w:marLeft w:val="0"/>
      <w:marRight w:val="0"/>
      <w:marTop w:val="0"/>
      <w:marBottom w:val="0"/>
      <w:divBdr>
        <w:top w:val="none" w:sz="0" w:space="0" w:color="auto"/>
        <w:left w:val="none" w:sz="0" w:space="0" w:color="auto"/>
        <w:bottom w:val="none" w:sz="0" w:space="0" w:color="auto"/>
        <w:right w:val="none" w:sz="0" w:space="0" w:color="auto"/>
      </w:divBdr>
    </w:div>
    <w:div w:id="418140494">
      <w:bodyDiv w:val="1"/>
      <w:marLeft w:val="0"/>
      <w:marRight w:val="0"/>
      <w:marTop w:val="0"/>
      <w:marBottom w:val="0"/>
      <w:divBdr>
        <w:top w:val="none" w:sz="0" w:space="0" w:color="auto"/>
        <w:left w:val="none" w:sz="0" w:space="0" w:color="auto"/>
        <w:bottom w:val="none" w:sz="0" w:space="0" w:color="auto"/>
        <w:right w:val="none" w:sz="0" w:space="0" w:color="auto"/>
      </w:divBdr>
    </w:div>
    <w:div w:id="435910963">
      <w:bodyDiv w:val="1"/>
      <w:marLeft w:val="0"/>
      <w:marRight w:val="0"/>
      <w:marTop w:val="0"/>
      <w:marBottom w:val="0"/>
      <w:divBdr>
        <w:top w:val="none" w:sz="0" w:space="0" w:color="auto"/>
        <w:left w:val="none" w:sz="0" w:space="0" w:color="auto"/>
        <w:bottom w:val="none" w:sz="0" w:space="0" w:color="auto"/>
        <w:right w:val="none" w:sz="0" w:space="0" w:color="auto"/>
      </w:divBdr>
    </w:div>
    <w:div w:id="452335249">
      <w:bodyDiv w:val="1"/>
      <w:marLeft w:val="0"/>
      <w:marRight w:val="0"/>
      <w:marTop w:val="0"/>
      <w:marBottom w:val="0"/>
      <w:divBdr>
        <w:top w:val="none" w:sz="0" w:space="0" w:color="auto"/>
        <w:left w:val="none" w:sz="0" w:space="0" w:color="auto"/>
        <w:bottom w:val="none" w:sz="0" w:space="0" w:color="auto"/>
        <w:right w:val="none" w:sz="0" w:space="0" w:color="auto"/>
      </w:divBdr>
    </w:div>
    <w:div w:id="470564108">
      <w:bodyDiv w:val="1"/>
      <w:marLeft w:val="0"/>
      <w:marRight w:val="0"/>
      <w:marTop w:val="0"/>
      <w:marBottom w:val="0"/>
      <w:divBdr>
        <w:top w:val="none" w:sz="0" w:space="0" w:color="auto"/>
        <w:left w:val="none" w:sz="0" w:space="0" w:color="auto"/>
        <w:bottom w:val="none" w:sz="0" w:space="0" w:color="auto"/>
        <w:right w:val="none" w:sz="0" w:space="0" w:color="auto"/>
      </w:divBdr>
    </w:div>
    <w:div w:id="532160172">
      <w:bodyDiv w:val="1"/>
      <w:marLeft w:val="0"/>
      <w:marRight w:val="0"/>
      <w:marTop w:val="0"/>
      <w:marBottom w:val="0"/>
      <w:divBdr>
        <w:top w:val="none" w:sz="0" w:space="0" w:color="auto"/>
        <w:left w:val="none" w:sz="0" w:space="0" w:color="auto"/>
        <w:bottom w:val="none" w:sz="0" w:space="0" w:color="auto"/>
        <w:right w:val="none" w:sz="0" w:space="0" w:color="auto"/>
      </w:divBdr>
    </w:div>
    <w:div w:id="600920004">
      <w:bodyDiv w:val="1"/>
      <w:marLeft w:val="0"/>
      <w:marRight w:val="0"/>
      <w:marTop w:val="0"/>
      <w:marBottom w:val="0"/>
      <w:divBdr>
        <w:top w:val="none" w:sz="0" w:space="0" w:color="auto"/>
        <w:left w:val="none" w:sz="0" w:space="0" w:color="auto"/>
        <w:bottom w:val="none" w:sz="0" w:space="0" w:color="auto"/>
        <w:right w:val="none" w:sz="0" w:space="0" w:color="auto"/>
      </w:divBdr>
    </w:div>
    <w:div w:id="641808994">
      <w:bodyDiv w:val="1"/>
      <w:marLeft w:val="0"/>
      <w:marRight w:val="0"/>
      <w:marTop w:val="0"/>
      <w:marBottom w:val="0"/>
      <w:divBdr>
        <w:top w:val="none" w:sz="0" w:space="0" w:color="auto"/>
        <w:left w:val="none" w:sz="0" w:space="0" w:color="auto"/>
        <w:bottom w:val="none" w:sz="0" w:space="0" w:color="auto"/>
        <w:right w:val="none" w:sz="0" w:space="0" w:color="auto"/>
      </w:divBdr>
    </w:div>
    <w:div w:id="688482817">
      <w:bodyDiv w:val="1"/>
      <w:marLeft w:val="0"/>
      <w:marRight w:val="0"/>
      <w:marTop w:val="0"/>
      <w:marBottom w:val="0"/>
      <w:divBdr>
        <w:top w:val="none" w:sz="0" w:space="0" w:color="auto"/>
        <w:left w:val="none" w:sz="0" w:space="0" w:color="auto"/>
        <w:bottom w:val="none" w:sz="0" w:space="0" w:color="auto"/>
        <w:right w:val="none" w:sz="0" w:space="0" w:color="auto"/>
      </w:divBdr>
    </w:div>
    <w:div w:id="737703322">
      <w:bodyDiv w:val="1"/>
      <w:marLeft w:val="0"/>
      <w:marRight w:val="0"/>
      <w:marTop w:val="0"/>
      <w:marBottom w:val="0"/>
      <w:divBdr>
        <w:top w:val="none" w:sz="0" w:space="0" w:color="auto"/>
        <w:left w:val="none" w:sz="0" w:space="0" w:color="auto"/>
        <w:bottom w:val="none" w:sz="0" w:space="0" w:color="auto"/>
        <w:right w:val="none" w:sz="0" w:space="0" w:color="auto"/>
      </w:divBdr>
    </w:div>
    <w:div w:id="743725817">
      <w:bodyDiv w:val="1"/>
      <w:marLeft w:val="0"/>
      <w:marRight w:val="0"/>
      <w:marTop w:val="0"/>
      <w:marBottom w:val="0"/>
      <w:divBdr>
        <w:top w:val="none" w:sz="0" w:space="0" w:color="auto"/>
        <w:left w:val="none" w:sz="0" w:space="0" w:color="auto"/>
        <w:bottom w:val="none" w:sz="0" w:space="0" w:color="auto"/>
        <w:right w:val="none" w:sz="0" w:space="0" w:color="auto"/>
      </w:divBdr>
      <w:divsChild>
        <w:div w:id="1759789068">
          <w:marLeft w:val="0"/>
          <w:marRight w:val="0"/>
          <w:marTop w:val="0"/>
          <w:marBottom w:val="0"/>
          <w:divBdr>
            <w:top w:val="none" w:sz="0" w:space="0" w:color="auto"/>
            <w:left w:val="none" w:sz="0" w:space="0" w:color="auto"/>
            <w:bottom w:val="none" w:sz="0" w:space="0" w:color="auto"/>
            <w:right w:val="none" w:sz="0" w:space="0" w:color="auto"/>
          </w:divBdr>
        </w:div>
      </w:divsChild>
    </w:div>
    <w:div w:id="762922628">
      <w:bodyDiv w:val="1"/>
      <w:marLeft w:val="0"/>
      <w:marRight w:val="0"/>
      <w:marTop w:val="0"/>
      <w:marBottom w:val="0"/>
      <w:divBdr>
        <w:top w:val="none" w:sz="0" w:space="0" w:color="auto"/>
        <w:left w:val="none" w:sz="0" w:space="0" w:color="auto"/>
        <w:bottom w:val="none" w:sz="0" w:space="0" w:color="auto"/>
        <w:right w:val="none" w:sz="0" w:space="0" w:color="auto"/>
      </w:divBdr>
    </w:div>
    <w:div w:id="793910605">
      <w:bodyDiv w:val="1"/>
      <w:marLeft w:val="0"/>
      <w:marRight w:val="0"/>
      <w:marTop w:val="0"/>
      <w:marBottom w:val="0"/>
      <w:divBdr>
        <w:top w:val="none" w:sz="0" w:space="0" w:color="auto"/>
        <w:left w:val="none" w:sz="0" w:space="0" w:color="auto"/>
        <w:bottom w:val="none" w:sz="0" w:space="0" w:color="auto"/>
        <w:right w:val="none" w:sz="0" w:space="0" w:color="auto"/>
      </w:divBdr>
    </w:div>
    <w:div w:id="808742579">
      <w:bodyDiv w:val="1"/>
      <w:marLeft w:val="0"/>
      <w:marRight w:val="0"/>
      <w:marTop w:val="0"/>
      <w:marBottom w:val="0"/>
      <w:divBdr>
        <w:top w:val="none" w:sz="0" w:space="0" w:color="auto"/>
        <w:left w:val="none" w:sz="0" w:space="0" w:color="auto"/>
        <w:bottom w:val="none" w:sz="0" w:space="0" w:color="auto"/>
        <w:right w:val="none" w:sz="0" w:space="0" w:color="auto"/>
      </w:divBdr>
    </w:div>
    <w:div w:id="812596459">
      <w:bodyDiv w:val="1"/>
      <w:marLeft w:val="0"/>
      <w:marRight w:val="0"/>
      <w:marTop w:val="0"/>
      <w:marBottom w:val="0"/>
      <w:divBdr>
        <w:top w:val="none" w:sz="0" w:space="0" w:color="auto"/>
        <w:left w:val="none" w:sz="0" w:space="0" w:color="auto"/>
        <w:bottom w:val="none" w:sz="0" w:space="0" w:color="auto"/>
        <w:right w:val="none" w:sz="0" w:space="0" w:color="auto"/>
      </w:divBdr>
    </w:div>
    <w:div w:id="812789749">
      <w:bodyDiv w:val="1"/>
      <w:marLeft w:val="30"/>
      <w:marRight w:val="30"/>
      <w:marTop w:val="0"/>
      <w:marBottom w:val="0"/>
      <w:divBdr>
        <w:top w:val="none" w:sz="0" w:space="0" w:color="auto"/>
        <w:left w:val="none" w:sz="0" w:space="0" w:color="auto"/>
        <w:bottom w:val="none" w:sz="0" w:space="0" w:color="auto"/>
        <w:right w:val="none" w:sz="0" w:space="0" w:color="auto"/>
      </w:divBdr>
      <w:divsChild>
        <w:div w:id="632369473">
          <w:marLeft w:val="0"/>
          <w:marRight w:val="0"/>
          <w:marTop w:val="0"/>
          <w:marBottom w:val="0"/>
          <w:divBdr>
            <w:top w:val="none" w:sz="0" w:space="0" w:color="auto"/>
            <w:left w:val="none" w:sz="0" w:space="0" w:color="auto"/>
            <w:bottom w:val="none" w:sz="0" w:space="0" w:color="auto"/>
            <w:right w:val="none" w:sz="0" w:space="0" w:color="auto"/>
          </w:divBdr>
          <w:divsChild>
            <w:div w:id="1539126824">
              <w:marLeft w:val="0"/>
              <w:marRight w:val="0"/>
              <w:marTop w:val="0"/>
              <w:marBottom w:val="0"/>
              <w:divBdr>
                <w:top w:val="none" w:sz="0" w:space="0" w:color="auto"/>
                <w:left w:val="none" w:sz="0" w:space="0" w:color="auto"/>
                <w:bottom w:val="none" w:sz="0" w:space="0" w:color="auto"/>
                <w:right w:val="none" w:sz="0" w:space="0" w:color="auto"/>
              </w:divBdr>
              <w:divsChild>
                <w:div w:id="1736971308">
                  <w:marLeft w:val="180"/>
                  <w:marRight w:val="0"/>
                  <w:marTop w:val="0"/>
                  <w:marBottom w:val="0"/>
                  <w:divBdr>
                    <w:top w:val="none" w:sz="0" w:space="0" w:color="auto"/>
                    <w:left w:val="none" w:sz="0" w:space="0" w:color="auto"/>
                    <w:bottom w:val="none" w:sz="0" w:space="0" w:color="auto"/>
                    <w:right w:val="none" w:sz="0" w:space="0" w:color="auto"/>
                  </w:divBdr>
                  <w:divsChild>
                    <w:div w:id="20246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086">
      <w:bodyDiv w:val="1"/>
      <w:marLeft w:val="0"/>
      <w:marRight w:val="0"/>
      <w:marTop w:val="0"/>
      <w:marBottom w:val="0"/>
      <w:divBdr>
        <w:top w:val="none" w:sz="0" w:space="0" w:color="auto"/>
        <w:left w:val="none" w:sz="0" w:space="0" w:color="auto"/>
        <w:bottom w:val="none" w:sz="0" w:space="0" w:color="auto"/>
        <w:right w:val="none" w:sz="0" w:space="0" w:color="auto"/>
      </w:divBdr>
      <w:divsChild>
        <w:div w:id="1176388080">
          <w:marLeft w:val="0"/>
          <w:marRight w:val="0"/>
          <w:marTop w:val="0"/>
          <w:marBottom w:val="0"/>
          <w:divBdr>
            <w:top w:val="none" w:sz="0" w:space="0" w:color="auto"/>
            <w:left w:val="none" w:sz="0" w:space="0" w:color="auto"/>
            <w:bottom w:val="none" w:sz="0" w:space="0" w:color="auto"/>
            <w:right w:val="none" w:sz="0" w:space="0" w:color="auto"/>
          </w:divBdr>
          <w:divsChild>
            <w:div w:id="1006859337">
              <w:marLeft w:val="0"/>
              <w:marRight w:val="0"/>
              <w:marTop w:val="0"/>
              <w:marBottom w:val="0"/>
              <w:divBdr>
                <w:top w:val="none" w:sz="0" w:space="0" w:color="auto"/>
                <w:left w:val="none" w:sz="0" w:space="0" w:color="auto"/>
                <w:bottom w:val="none" w:sz="0" w:space="0" w:color="auto"/>
                <w:right w:val="none" w:sz="0" w:space="0" w:color="auto"/>
              </w:divBdr>
              <w:divsChild>
                <w:div w:id="1723211576">
                  <w:marLeft w:val="2928"/>
                  <w:marRight w:val="0"/>
                  <w:marTop w:val="720"/>
                  <w:marBottom w:val="0"/>
                  <w:divBdr>
                    <w:top w:val="none" w:sz="0" w:space="0" w:color="auto"/>
                    <w:left w:val="none" w:sz="0" w:space="0" w:color="auto"/>
                    <w:bottom w:val="none" w:sz="0" w:space="0" w:color="auto"/>
                    <w:right w:val="none" w:sz="0" w:space="0" w:color="auto"/>
                  </w:divBdr>
                  <w:divsChild>
                    <w:div w:id="9850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09825">
      <w:bodyDiv w:val="1"/>
      <w:marLeft w:val="0"/>
      <w:marRight w:val="0"/>
      <w:marTop w:val="0"/>
      <w:marBottom w:val="0"/>
      <w:divBdr>
        <w:top w:val="none" w:sz="0" w:space="0" w:color="auto"/>
        <w:left w:val="none" w:sz="0" w:space="0" w:color="auto"/>
        <w:bottom w:val="none" w:sz="0" w:space="0" w:color="auto"/>
        <w:right w:val="none" w:sz="0" w:space="0" w:color="auto"/>
      </w:divBdr>
    </w:div>
    <w:div w:id="915360084">
      <w:bodyDiv w:val="1"/>
      <w:marLeft w:val="0"/>
      <w:marRight w:val="0"/>
      <w:marTop w:val="0"/>
      <w:marBottom w:val="0"/>
      <w:divBdr>
        <w:top w:val="none" w:sz="0" w:space="0" w:color="auto"/>
        <w:left w:val="none" w:sz="0" w:space="0" w:color="auto"/>
        <w:bottom w:val="none" w:sz="0" w:space="0" w:color="auto"/>
        <w:right w:val="none" w:sz="0" w:space="0" w:color="auto"/>
      </w:divBdr>
    </w:div>
    <w:div w:id="1026836370">
      <w:bodyDiv w:val="1"/>
      <w:marLeft w:val="0"/>
      <w:marRight w:val="0"/>
      <w:marTop w:val="0"/>
      <w:marBottom w:val="0"/>
      <w:divBdr>
        <w:top w:val="none" w:sz="0" w:space="0" w:color="auto"/>
        <w:left w:val="none" w:sz="0" w:space="0" w:color="auto"/>
        <w:bottom w:val="none" w:sz="0" w:space="0" w:color="auto"/>
        <w:right w:val="none" w:sz="0" w:space="0" w:color="auto"/>
      </w:divBdr>
    </w:div>
    <w:div w:id="1038776044">
      <w:bodyDiv w:val="1"/>
      <w:marLeft w:val="0"/>
      <w:marRight w:val="0"/>
      <w:marTop w:val="0"/>
      <w:marBottom w:val="0"/>
      <w:divBdr>
        <w:top w:val="none" w:sz="0" w:space="0" w:color="auto"/>
        <w:left w:val="none" w:sz="0" w:space="0" w:color="auto"/>
        <w:bottom w:val="none" w:sz="0" w:space="0" w:color="auto"/>
        <w:right w:val="none" w:sz="0" w:space="0" w:color="auto"/>
      </w:divBdr>
    </w:div>
    <w:div w:id="1069226113">
      <w:bodyDiv w:val="1"/>
      <w:marLeft w:val="0"/>
      <w:marRight w:val="0"/>
      <w:marTop w:val="0"/>
      <w:marBottom w:val="0"/>
      <w:divBdr>
        <w:top w:val="none" w:sz="0" w:space="0" w:color="auto"/>
        <w:left w:val="none" w:sz="0" w:space="0" w:color="auto"/>
        <w:bottom w:val="none" w:sz="0" w:space="0" w:color="auto"/>
        <w:right w:val="none" w:sz="0" w:space="0" w:color="auto"/>
      </w:divBdr>
    </w:div>
    <w:div w:id="1085225097">
      <w:bodyDiv w:val="1"/>
      <w:marLeft w:val="0"/>
      <w:marRight w:val="0"/>
      <w:marTop w:val="0"/>
      <w:marBottom w:val="0"/>
      <w:divBdr>
        <w:top w:val="none" w:sz="0" w:space="0" w:color="auto"/>
        <w:left w:val="none" w:sz="0" w:space="0" w:color="auto"/>
        <w:bottom w:val="none" w:sz="0" w:space="0" w:color="auto"/>
        <w:right w:val="none" w:sz="0" w:space="0" w:color="auto"/>
      </w:divBdr>
    </w:div>
    <w:div w:id="1109079848">
      <w:bodyDiv w:val="1"/>
      <w:marLeft w:val="0"/>
      <w:marRight w:val="0"/>
      <w:marTop w:val="0"/>
      <w:marBottom w:val="0"/>
      <w:divBdr>
        <w:top w:val="none" w:sz="0" w:space="0" w:color="auto"/>
        <w:left w:val="none" w:sz="0" w:space="0" w:color="auto"/>
        <w:bottom w:val="none" w:sz="0" w:space="0" w:color="auto"/>
        <w:right w:val="none" w:sz="0" w:space="0" w:color="auto"/>
      </w:divBdr>
    </w:div>
    <w:div w:id="1123816073">
      <w:bodyDiv w:val="1"/>
      <w:marLeft w:val="0"/>
      <w:marRight w:val="0"/>
      <w:marTop w:val="0"/>
      <w:marBottom w:val="0"/>
      <w:divBdr>
        <w:top w:val="none" w:sz="0" w:space="0" w:color="auto"/>
        <w:left w:val="none" w:sz="0" w:space="0" w:color="auto"/>
        <w:bottom w:val="none" w:sz="0" w:space="0" w:color="auto"/>
        <w:right w:val="none" w:sz="0" w:space="0" w:color="auto"/>
      </w:divBdr>
    </w:div>
    <w:div w:id="1155805781">
      <w:bodyDiv w:val="1"/>
      <w:marLeft w:val="0"/>
      <w:marRight w:val="0"/>
      <w:marTop w:val="0"/>
      <w:marBottom w:val="0"/>
      <w:divBdr>
        <w:top w:val="none" w:sz="0" w:space="0" w:color="auto"/>
        <w:left w:val="none" w:sz="0" w:space="0" w:color="auto"/>
        <w:bottom w:val="none" w:sz="0" w:space="0" w:color="auto"/>
        <w:right w:val="none" w:sz="0" w:space="0" w:color="auto"/>
      </w:divBdr>
    </w:div>
    <w:div w:id="1168979066">
      <w:bodyDiv w:val="1"/>
      <w:marLeft w:val="0"/>
      <w:marRight w:val="0"/>
      <w:marTop w:val="0"/>
      <w:marBottom w:val="0"/>
      <w:divBdr>
        <w:top w:val="none" w:sz="0" w:space="0" w:color="auto"/>
        <w:left w:val="none" w:sz="0" w:space="0" w:color="auto"/>
        <w:bottom w:val="none" w:sz="0" w:space="0" w:color="auto"/>
        <w:right w:val="none" w:sz="0" w:space="0" w:color="auto"/>
      </w:divBdr>
    </w:div>
    <w:div w:id="1189104560">
      <w:bodyDiv w:val="1"/>
      <w:marLeft w:val="0"/>
      <w:marRight w:val="0"/>
      <w:marTop w:val="0"/>
      <w:marBottom w:val="0"/>
      <w:divBdr>
        <w:top w:val="none" w:sz="0" w:space="0" w:color="auto"/>
        <w:left w:val="none" w:sz="0" w:space="0" w:color="auto"/>
        <w:bottom w:val="none" w:sz="0" w:space="0" w:color="auto"/>
        <w:right w:val="none" w:sz="0" w:space="0" w:color="auto"/>
      </w:divBdr>
    </w:div>
    <w:div w:id="1195194650">
      <w:bodyDiv w:val="1"/>
      <w:marLeft w:val="0"/>
      <w:marRight w:val="0"/>
      <w:marTop w:val="0"/>
      <w:marBottom w:val="0"/>
      <w:divBdr>
        <w:top w:val="none" w:sz="0" w:space="0" w:color="auto"/>
        <w:left w:val="none" w:sz="0" w:space="0" w:color="auto"/>
        <w:bottom w:val="none" w:sz="0" w:space="0" w:color="auto"/>
        <w:right w:val="none" w:sz="0" w:space="0" w:color="auto"/>
      </w:divBdr>
    </w:div>
    <w:div w:id="1200625548">
      <w:bodyDiv w:val="1"/>
      <w:marLeft w:val="0"/>
      <w:marRight w:val="0"/>
      <w:marTop w:val="0"/>
      <w:marBottom w:val="0"/>
      <w:divBdr>
        <w:top w:val="none" w:sz="0" w:space="0" w:color="auto"/>
        <w:left w:val="none" w:sz="0" w:space="0" w:color="auto"/>
        <w:bottom w:val="none" w:sz="0" w:space="0" w:color="auto"/>
        <w:right w:val="none" w:sz="0" w:space="0" w:color="auto"/>
      </w:divBdr>
    </w:div>
    <w:div w:id="1223449721">
      <w:bodyDiv w:val="1"/>
      <w:marLeft w:val="0"/>
      <w:marRight w:val="0"/>
      <w:marTop w:val="0"/>
      <w:marBottom w:val="0"/>
      <w:divBdr>
        <w:top w:val="none" w:sz="0" w:space="0" w:color="auto"/>
        <w:left w:val="none" w:sz="0" w:space="0" w:color="auto"/>
        <w:bottom w:val="none" w:sz="0" w:space="0" w:color="auto"/>
        <w:right w:val="none" w:sz="0" w:space="0" w:color="auto"/>
      </w:divBdr>
    </w:div>
    <w:div w:id="1241870287">
      <w:bodyDiv w:val="1"/>
      <w:marLeft w:val="0"/>
      <w:marRight w:val="0"/>
      <w:marTop w:val="0"/>
      <w:marBottom w:val="0"/>
      <w:divBdr>
        <w:top w:val="none" w:sz="0" w:space="0" w:color="auto"/>
        <w:left w:val="none" w:sz="0" w:space="0" w:color="auto"/>
        <w:bottom w:val="none" w:sz="0" w:space="0" w:color="auto"/>
        <w:right w:val="none" w:sz="0" w:space="0" w:color="auto"/>
      </w:divBdr>
    </w:div>
    <w:div w:id="1283146152">
      <w:bodyDiv w:val="1"/>
      <w:marLeft w:val="0"/>
      <w:marRight w:val="0"/>
      <w:marTop w:val="0"/>
      <w:marBottom w:val="0"/>
      <w:divBdr>
        <w:top w:val="none" w:sz="0" w:space="0" w:color="auto"/>
        <w:left w:val="none" w:sz="0" w:space="0" w:color="auto"/>
        <w:bottom w:val="none" w:sz="0" w:space="0" w:color="auto"/>
        <w:right w:val="none" w:sz="0" w:space="0" w:color="auto"/>
      </w:divBdr>
    </w:div>
    <w:div w:id="1394157505">
      <w:bodyDiv w:val="1"/>
      <w:marLeft w:val="30"/>
      <w:marRight w:val="30"/>
      <w:marTop w:val="0"/>
      <w:marBottom w:val="0"/>
      <w:divBdr>
        <w:top w:val="none" w:sz="0" w:space="0" w:color="auto"/>
        <w:left w:val="none" w:sz="0" w:space="0" w:color="auto"/>
        <w:bottom w:val="none" w:sz="0" w:space="0" w:color="auto"/>
        <w:right w:val="none" w:sz="0" w:space="0" w:color="auto"/>
      </w:divBdr>
      <w:divsChild>
        <w:div w:id="829906142">
          <w:marLeft w:val="0"/>
          <w:marRight w:val="0"/>
          <w:marTop w:val="0"/>
          <w:marBottom w:val="0"/>
          <w:divBdr>
            <w:top w:val="none" w:sz="0" w:space="0" w:color="auto"/>
            <w:left w:val="none" w:sz="0" w:space="0" w:color="auto"/>
            <w:bottom w:val="none" w:sz="0" w:space="0" w:color="auto"/>
            <w:right w:val="none" w:sz="0" w:space="0" w:color="auto"/>
          </w:divBdr>
          <w:divsChild>
            <w:div w:id="2076706731">
              <w:marLeft w:val="0"/>
              <w:marRight w:val="0"/>
              <w:marTop w:val="0"/>
              <w:marBottom w:val="0"/>
              <w:divBdr>
                <w:top w:val="none" w:sz="0" w:space="0" w:color="auto"/>
                <w:left w:val="none" w:sz="0" w:space="0" w:color="auto"/>
                <w:bottom w:val="none" w:sz="0" w:space="0" w:color="auto"/>
                <w:right w:val="none" w:sz="0" w:space="0" w:color="auto"/>
              </w:divBdr>
              <w:divsChild>
                <w:div w:id="537623510">
                  <w:marLeft w:val="180"/>
                  <w:marRight w:val="0"/>
                  <w:marTop w:val="0"/>
                  <w:marBottom w:val="0"/>
                  <w:divBdr>
                    <w:top w:val="none" w:sz="0" w:space="0" w:color="auto"/>
                    <w:left w:val="none" w:sz="0" w:space="0" w:color="auto"/>
                    <w:bottom w:val="none" w:sz="0" w:space="0" w:color="auto"/>
                    <w:right w:val="none" w:sz="0" w:space="0" w:color="auto"/>
                  </w:divBdr>
                  <w:divsChild>
                    <w:div w:id="2488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30323">
      <w:bodyDiv w:val="1"/>
      <w:marLeft w:val="0"/>
      <w:marRight w:val="0"/>
      <w:marTop w:val="0"/>
      <w:marBottom w:val="0"/>
      <w:divBdr>
        <w:top w:val="none" w:sz="0" w:space="0" w:color="auto"/>
        <w:left w:val="none" w:sz="0" w:space="0" w:color="auto"/>
        <w:bottom w:val="none" w:sz="0" w:space="0" w:color="auto"/>
        <w:right w:val="none" w:sz="0" w:space="0" w:color="auto"/>
      </w:divBdr>
      <w:divsChild>
        <w:div w:id="1328365962">
          <w:marLeft w:val="0"/>
          <w:marRight w:val="0"/>
          <w:marTop w:val="0"/>
          <w:marBottom w:val="0"/>
          <w:divBdr>
            <w:top w:val="none" w:sz="0" w:space="0" w:color="auto"/>
            <w:left w:val="none" w:sz="0" w:space="0" w:color="auto"/>
            <w:bottom w:val="none" w:sz="0" w:space="0" w:color="auto"/>
            <w:right w:val="none" w:sz="0" w:space="0" w:color="auto"/>
          </w:divBdr>
          <w:divsChild>
            <w:div w:id="281306064">
              <w:marLeft w:val="0"/>
              <w:marRight w:val="0"/>
              <w:marTop w:val="0"/>
              <w:marBottom w:val="0"/>
              <w:divBdr>
                <w:top w:val="none" w:sz="0" w:space="0" w:color="auto"/>
                <w:left w:val="none" w:sz="0" w:space="0" w:color="auto"/>
                <w:bottom w:val="none" w:sz="0" w:space="0" w:color="auto"/>
                <w:right w:val="none" w:sz="0" w:space="0" w:color="auto"/>
              </w:divBdr>
              <w:divsChild>
                <w:div w:id="630088605">
                  <w:marLeft w:val="2928"/>
                  <w:marRight w:val="0"/>
                  <w:marTop w:val="720"/>
                  <w:marBottom w:val="0"/>
                  <w:divBdr>
                    <w:top w:val="none" w:sz="0" w:space="0" w:color="auto"/>
                    <w:left w:val="none" w:sz="0" w:space="0" w:color="auto"/>
                    <w:bottom w:val="none" w:sz="0" w:space="0" w:color="auto"/>
                    <w:right w:val="none" w:sz="0" w:space="0" w:color="auto"/>
                  </w:divBdr>
                  <w:divsChild>
                    <w:div w:id="853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47790">
      <w:bodyDiv w:val="1"/>
      <w:marLeft w:val="0"/>
      <w:marRight w:val="0"/>
      <w:marTop w:val="0"/>
      <w:marBottom w:val="0"/>
      <w:divBdr>
        <w:top w:val="none" w:sz="0" w:space="0" w:color="auto"/>
        <w:left w:val="none" w:sz="0" w:space="0" w:color="auto"/>
        <w:bottom w:val="none" w:sz="0" w:space="0" w:color="auto"/>
        <w:right w:val="none" w:sz="0" w:space="0" w:color="auto"/>
      </w:divBdr>
    </w:div>
    <w:div w:id="1470442920">
      <w:bodyDiv w:val="1"/>
      <w:marLeft w:val="0"/>
      <w:marRight w:val="0"/>
      <w:marTop w:val="0"/>
      <w:marBottom w:val="0"/>
      <w:divBdr>
        <w:top w:val="none" w:sz="0" w:space="0" w:color="auto"/>
        <w:left w:val="none" w:sz="0" w:space="0" w:color="auto"/>
        <w:bottom w:val="none" w:sz="0" w:space="0" w:color="auto"/>
        <w:right w:val="none" w:sz="0" w:space="0" w:color="auto"/>
      </w:divBdr>
    </w:div>
    <w:div w:id="1478181503">
      <w:bodyDiv w:val="1"/>
      <w:marLeft w:val="0"/>
      <w:marRight w:val="0"/>
      <w:marTop w:val="0"/>
      <w:marBottom w:val="0"/>
      <w:divBdr>
        <w:top w:val="none" w:sz="0" w:space="0" w:color="auto"/>
        <w:left w:val="none" w:sz="0" w:space="0" w:color="auto"/>
        <w:bottom w:val="none" w:sz="0" w:space="0" w:color="auto"/>
        <w:right w:val="none" w:sz="0" w:space="0" w:color="auto"/>
      </w:divBdr>
    </w:div>
    <w:div w:id="1495141324">
      <w:bodyDiv w:val="1"/>
      <w:marLeft w:val="0"/>
      <w:marRight w:val="0"/>
      <w:marTop w:val="0"/>
      <w:marBottom w:val="0"/>
      <w:divBdr>
        <w:top w:val="none" w:sz="0" w:space="0" w:color="auto"/>
        <w:left w:val="none" w:sz="0" w:space="0" w:color="auto"/>
        <w:bottom w:val="none" w:sz="0" w:space="0" w:color="auto"/>
        <w:right w:val="none" w:sz="0" w:space="0" w:color="auto"/>
      </w:divBdr>
    </w:div>
    <w:div w:id="1521969979">
      <w:bodyDiv w:val="1"/>
      <w:marLeft w:val="0"/>
      <w:marRight w:val="0"/>
      <w:marTop w:val="0"/>
      <w:marBottom w:val="0"/>
      <w:divBdr>
        <w:top w:val="none" w:sz="0" w:space="0" w:color="auto"/>
        <w:left w:val="none" w:sz="0" w:space="0" w:color="auto"/>
        <w:bottom w:val="none" w:sz="0" w:space="0" w:color="auto"/>
        <w:right w:val="none" w:sz="0" w:space="0" w:color="auto"/>
      </w:divBdr>
    </w:div>
    <w:div w:id="1546406704">
      <w:bodyDiv w:val="1"/>
      <w:marLeft w:val="0"/>
      <w:marRight w:val="0"/>
      <w:marTop w:val="0"/>
      <w:marBottom w:val="0"/>
      <w:divBdr>
        <w:top w:val="none" w:sz="0" w:space="0" w:color="auto"/>
        <w:left w:val="none" w:sz="0" w:space="0" w:color="auto"/>
        <w:bottom w:val="none" w:sz="0" w:space="0" w:color="auto"/>
        <w:right w:val="none" w:sz="0" w:space="0" w:color="auto"/>
      </w:divBdr>
    </w:div>
    <w:div w:id="1571770610">
      <w:bodyDiv w:val="1"/>
      <w:marLeft w:val="0"/>
      <w:marRight w:val="0"/>
      <w:marTop w:val="0"/>
      <w:marBottom w:val="0"/>
      <w:divBdr>
        <w:top w:val="none" w:sz="0" w:space="0" w:color="auto"/>
        <w:left w:val="none" w:sz="0" w:space="0" w:color="auto"/>
        <w:bottom w:val="none" w:sz="0" w:space="0" w:color="auto"/>
        <w:right w:val="none" w:sz="0" w:space="0" w:color="auto"/>
      </w:divBdr>
    </w:div>
    <w:div w:id="1611820335">
      <w:bodyDiv w:val="1"/>
      <w:marLeft w:val="0"/>
      <w:marRight w:val="0"/>
      <w:marTop w:val="0"/>
      <w:marBottom w:val="0"/>
      <w:divBdr>
        <w:top w:val="none" w:sz="0" w:space="0" w:color="auto"/>
        <w:left w:val="none" w:sz="0" w:space="0" w:color="auto"/>
        <w:bottom w:val="none" w:sz="0" w:space="0" w:color="auto"/>
        <w:right w:val="none" w:sz="0" w:space="0" w:color="auto"/>
      </w:divBdr>
    </w:div>
    <w:div w:id="1716008199">
      <w:bodyDiv w:val="1"/>
      <w:marLeft w:val="0"/>
      <w:marRight w:val="0"/>
      <w:marTop w:val="0"/>
      <w:marBottom w:val="0"/>
      <w:divBdr>
        <w:top w:val="none" w:sz="0" w:space="0" w:color="auto"/>
        <w:left w:val="none" w:sz="0" w:space="0" w:color="auto"/>
        <w:bottom w:val="none" w:sz="0" w:space="0" w:color="auto"/>
        <w:right w:val="none" w:sz="0" w:space="0" w:color="auto"/>
      </w:divBdr>
    </w:div>
    <w:div w:id="1722944796">
      <w:bodyDiv w:val="1"/>
      <w:marLeft w:val="0"/>
      <w:marRight w:val="0"/>
      <w:marTop w:val="0"/>
      <w:marBottom w:val="0"/>
      <w:divBdr>
        <w:top w:val="none" w:sz="0" w:space="0" w:color="auto"/>
        <w:left w:val="none" w:sz="0" w:space="0" w:color="auto"/>
        <w:bottom w:val="none" w:sz="0" w:space="0" w:color="auto"/>
        <w:right w:val="none" w:sz="0" w:space="0" w:color="auto"/>
      </w:divBdr>
    </w:div>
    <w:div w:id="1761678205">
      <w:bodyDiv w:val="1"/>
      <w:marLeft w:val="0"/>
      <w:marRight w:val="0"/>
      <w:marTop w:val="0"/>
      <w:marBottom w:val="0"/>
      <w:divBdr>
        <w:top w:val="none" w:sz="0" w:space="0" w:color="auto"/>
        <w:left w:val="none" w:sz="0" w:space="0" w:color="auto"/>
        <w:bottom w:val="none" w:sz="0" w:space="0" w:color="auto"/>
        <w:right w:val="none" w:sz="0" w:space="0" w:color="auto"/>
      </w:divBdr>
    </w:div>
    <w:div w:id="1768574640">
      <w:bodyDiv w:val="1"/>
      <w:marLeft w:val="0"/>
      <w:marRight w:val="0"/>
      <w:marTop w:val="0"/>
      <w:marBottom w:val="0"/>
      <w:divBdr>
        <w:top w:val="none" w:sz="0" w:space="0" w:color="auto"/>
        <w:left w:val="none" w:sz="0" w:space="0" w:color="auto"/>
        <w:bottom w:val="none" w:sz="0" w:space="0" w:color="auto"/>
        <w:right w:val="none" w:sz="0" w:space="0" w:color="auto"/>
      </w:divBdr>
    </w:div>
    <w:div w:id="1788085837">
      <w:bodyDiv w:val="1"/>
      <w:marLeft w:val="0"/>
      <w:marRight w:val="0"/>
      <w:marTop w:val="0"/>
      <w:marBottom w:val="0"/>
      <w:divBdr>
        <w:top w:val="none" w:sz="0" w:space="0" w:color="auto"/>
        <w:left w:val="none" w:sz="0" w:space="0" w:color="auto"/>
        <w:bottom w:val="none" w:sz="0" w:space="0" w:color="auto"/>
        <w:right w:val="none" w:sz="0" w:space="0" w:color="auto"/>
      </w:divBdr>
    </w:div>
    <w:div w:id="1809011044">
      <w:bodyDiv w:val="1"/>
      <w:marLeft w:val="0"/>
      <w:marRight w:val="0"/>
      <w:marTop w:val="0"/>
      <w:marBottom w:val="0"/>
      <w:divBdr>
        <w:top w:val="none" w:sz="0" w:space="0" w:color="auto"/>
        <w:left w:val="none" w:sz="0" w:space="0" w:color="auto"/>
        <w:bottom w:val="none" w:sz="0" w:space="0" w:color="auto"/>
        <w:right w:val="none" w:sz="0" w:space="0" w:color="auto"/>
      </w:divBdr>
    </w:div>
    <w:div w:id="1829127317">
      <w:bodyDiv w:val="1"/>
      <w:marLeft w:val="0"/>
      <w:marRight w:val="0"/>
      <w:marTop w:val="0"/>
      <w:marBottom w:val="0"/>
      <w:divBdr>
        <w:top w:val="none" w:sz="0" w:space="0" w:color="auto"/>
        <w:left w:val="none" w:sz="0" w:space="0" w:color="auto"/>
        <w:bottom w:val="none" w:sz="0" w:space="0" w:color="auto"/>
        <w:right w:val="none" w:sz="0" w:space="0" w:color="auto"/>
      </w:divBdr>
    </w:div>
    <w:div w:id="1839270799">
      <w:bodyDiv w:val="1"/>
      <w:marLeft w:val="0"/>
      <w:marRight w:val="0"/>
      <w:marTop w:val="0"/>
      <w:marBottom w:val="0"/>
      <w:divBdr>
        <w:top w:val="none" w:sz="0" w:space="0" w:color="auto"/>
        <w:left w:val="none" w:sz="0" w:space="0" w:color="auto"/>
        <w:bottom w:val="none" w:sz="0" w:space="0" w:color="auto"/>
        <w:right w:val="none" w:sz="0" w:space="0" w:color="auto"/>
      </w:divBdr>
    </w:div>
    <w:div w:id="1893685321">
      <w:bodyDiv w:val="1"/>
      <w:marLeft w:val="0"/>
      <w:marRight w:val="0"/>
      <w:marTop w:val="0"/>
      <w:marBottom w:val="0"/>
      <w:divBdr>
        <w:top w:val="none" w:sz="0" w:space="0" w:color="auto"/>
        <w:left w:val="none" w:sz="0" w:space="0" w:color="auto"/>
        <w:bottom w:val="none" w:sz="0" w:space="0" w:color="auto"/>
        <w:right w:val="none" w:sz="0" w:space="0" w:color="auto"/>
      </w:divBdr>
    </w:div>
    <w:div w:id="1896892857">
      <w:bodyDiv w:val="1"/>
      <w:marLeft w:val="0"/>
      <w:marRight w:val="0"/>
      <w:marTop w:val="0"/>
      <w:marBottom w:val="0"/>
      <w:divBdr>
        <w:top w:val="none" w:sz="0" w:space="0" w:color="auto"/>
        <w:left w:val="none" w:sz="0" w:space="0" w:color="auto"/>
        <w:bottom w:val="none" w:sz="0" w:space="0" w:color="auto"/>
        <w:right w:val="none" w:sz="0" w:space="0" w:color="auto"/>
      </w:divBdr>
    </w:div>
    <w:div w:id="1932859667">
      <w:bodyDiv w:val="1"/>
      <w:marLeft w:val="0"/>
      <w:marRight w:val="0"/>
      <w:marTop w:val="0"/>
      <w:marBottom w:val="0"/>
      <w:divBdr>
        <w:top w:val="none" w:sz="0" w:space="0" w:color="auto"/>
        <w:left w:val="none" w:sz="0" w:space="0" w:color="auto"/>
        <w:bottom w:val="none" w:sz="0" w:space="0" w:color="auto"/>
        <w:right w:val="none" w:sz="0" w:space="0" w:color="auto"/>
      </w:divBdr>
    </w:div>
    <w:div w:id="1956591473">
      <w:bodyDiv w:val="1"/>
      <w:marLeft w:val="0"/>
      <w:marRight w:val="0"/>
      <w:marTop w:val="0"/>
      <w:marBottom w:val="0"/>
      <w:divBdr>
        <w:top w:val="none" w:sz="0" w:space="0" w:color="auto"/>
        <w:left w:val="none" w:sz="0" w:space="0" w:color="auto"/>
        <w:bottom w:val="none" w:sz="0" w:space="0" w:color="auto"/>
        <w:right w:val="none" w:sz="0" w:space="0" w:color="auto"/>
      </w:divBdr>
    </w:div>
    <w:div w:id="1971400745">
      <w:bodyDiv w:val="1"/>
      <w:marLeft w:val="0"/>
      <w:marRight w:val="0"/>
      <w:marTop w:val="0"/>
      <w:marBottom w:val="0"/>
      <w:divBdr>
        <w:top w:val="none" w:sz="0" w:space="0" w:color="auto"/>
        <w:left w:val="none" w:sz="0" w:space="0" w:color="auto"/>
        <w:bottom w:val="none" w:sz="0" w:space="0" w:color="auto"/>
        <w:right w:val="none" w:sz="0" w:space="0" w:color="auto"/>
      </w:divBdr>
    </w:div>
    <w:div w:id="1978336924">
      <w:bodyDiv w:val="1"/>
      <w:marLeft w:val="30"/>
      <w:marRight w:val="30"/>
      <w:marTop w:val="0"/>
      <w:marBottom w:val="0"/>
      <w:divBdr>
        <w:top w:val="none" w:sz="0" w:space="0" w:color="auto"/>
        <w:left w:val="none" w:sz="0" w:space="0" w:color="auto"/>
        <w:bottom w:val="none" w:sz="0" w:space="0" w:color="auto"/>
        <w:right w:val="none" w:sz="0" w:space="0" w:color="auto"/>
      </w:divBdr>
      <w:divsChild>
        <w:div w:id="373431204">
          <w:marLeft w:val="0"/>
          <w:marRight w:val="0"/>
          <w:marTop w:val="0"/>
          <w:marBottom w:val="0"/>
          <w:divBdr>
            <w:top w:val="none" w:sz="0" w:space="0" w:color="auto"/>
            <w:left w:val="none" w:sz="0" w:space="0" w:color="auto"/>
            <w:bottom w:val="none" w:sz="0" w:space="0" w:color="auto"/>
            <w:right w:val="none" w:sz="0" w:space="0" w:color="auto"/>
          </w:divBdr>
          <w:divsChild>
            <w:div w:id="616251807">
              <w:marLeft w:val="0"/>
              <w:marRight w:val="0"/>
              <w:marTop w:val="0"/>
              <w:marBottom w:val="0"/>
              <w:divBdr>
                <w:top w:val="none" w:sz="0" w:space="0" w:color="auto"/>
                <w:left w:val="none" w:sz="0" w:space="0" w:color="auto"/>
                <w:bottom w:val="none" w:sz="0" w:space="0" w:color="auto"/>
                <w:right w:val="none" w:sz="0" w:space="0" w:color="auto"/>
              </w:divBdr>
              <w:divsChild>
                <w:div w:id="861091678">
                  <w:marLeft w:val="18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1775">
      <w:bodyDiv w:val="1"/>
      <w:marLeft w:val="0"/>
      <w:marRight w:val="0"/>
      <w:marTop w:val="0"/>
      <w:marBottom w:val="0"/>
      <w:divBdr>
        <w:top w:val="none" w:sz="0" w:space="0" w:color="auto"/>
        <w:left w:val="none" w:sz="0" w:space="0" w:color="auto"/>
        <w:bottom w:val="none" w:sz="0" w:space="0" w:color="auto"/>
        <w:right w:val="none" w:sz="0" w:space="0" w:color="auto"/>
      </w:divBdr>
    </w:div>
    <w:div w:id="205654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hyperlink" Target="#_Enter_Daily_QC_Results"/><Relationship Id="rId84" Type="http://schemas.openxmlformats.org/officeDocument/2006/relationships/image" Target="media/image58.png"/><Relationship Id="rId138" Type="http://schemas.openxmlformats.org/officeDocument/2006/relationships/image" Target="media/image105.png"/><Relationship Id="rId159" Type="http://schemas.openxmlformats.org/officeDocument/2006/relationships/image" Target="media/image125.png"/><Relationship Id="rId170" Type="http://schemas.openxmlformats.org/officeDocument/2006/relationships/header" Target="header4.xml"/><Relationship Id="rId191" Type="http://schemas.openxmlformats.org/officeDocument/2006/relationships/image" Target="media/image155.png"/><Relationship Id="rId205" Type="http://schemas.openxmlformats.org/officeDocument/2006/relationships/image" Target="media/image169.png"/><Relationship Id="rId226" Type="http://schemas.openxmlformats.org/officeDocument/2006/relationships/image" Target="media/image178.emf"/><Relationship Id="rId107" Type="http://schemas.openxmlformats.org/officeDocument/2006/relationships/image" Target="media/image74.png"/><Relationship Id="rId11" Type="http://schemas.openxmlformats.org/officeDocument/2006/relationships/footer" Target="footer1.xml"/><Relationship Id="rId32" Type="http://schemas.openxmlformats.org/officeDocument/2006/relationships/footer" Target="footer4.xml"/><Relationship Id="rId53" Type="http://schemas.openxmlformats.org/officeDocument/2006/relationships/image" Target="media/image38.png"/><Relationship Id="rId74" Type="http://schemas.openxmlformats.org/officeDocument/2006/relationships/image" Target="media/image52.png"/><Relationship Id="rId128" Type="http://schemas.openxmlformats.org/officeDocument/2006/relationships/image" Target="media/image95.png"/><Relationship Id="rId149" Type="http://schemas.openxmlformats.org/officeDocument/2006/relationships/image" Target="media/image115.png"/><Relationship Id="rId5" Type="http://schemas.openxmlformats.org/officeDocument/2006/relationships/settings" Target="settings.xml"/><Relationship Id="rId95" Type="http://schemas.openxmlformats.org/officeDocument/2006/relationships/image" Target="media/image62.png"/><Relationship Id="rId160" Type="http://schemas.openxmlformats.org/officeDocument/2006/relationships/image" Target="media/image126.png"/><Relationship Id="rId181" Type="http://schemas.openxmlformats.org/officeDocument/2006/relationships/image" Target="media/image145.png"/><Relationship Id="rId216" Type="http://schemas.openxmlformats.org/officeDocument/2006/relationships/image" Target="media/image174.emf"/><Relationship Id="rId237" Type="http://schemas.openxmlformats.org/officeDocument/2006/relationships/oleObject" Target="embeddings/Microsoft_Visio_2003-2010_Drawing12.vsd"/><Relationship Id="rId22" Type="http://schemas.openxmlformats.org/officeDocument/2006/relationships/image" Target="media/image11.png"/><Relationship Id="rId43" Type="http://schemas.openxmlformats.org/officeDocument/2006/relationships/image" Target="media/image28.png"/><Relationship Id="rId64" Type="http://schemas.openxmlformats.org/officeDocument/2006/relationships/image" Target="media/image47.png"/><Relationship Id="rId118" Type="http://schemas.openxmlformats.org/officeDocument/2006/relationships/image" Target="media/image85.png"/><Relationship Id="rId139" Type="http://schemas.openxmlformats.org/officeDocument/2006/relationships/image" Target="media/image106.png"/><Relationship Id="rId85" Type="http://schemas.openxmlformats.org/officeDocument/2006/relationships/hyperlink" Target="#_Issue_Blood_Components"/><Relationship Id="rId150" Type="http://schemas.openxmlformats.org/officeDocument/2006/relationships/image" Target="media/image116.png"/><Relationship Id="rId171" Type="http://schemas.openxmlformats.org/officeDocument/2006/relationships/image" Target="media/image135.png"/><Relationship Id="rId192" Type="http://schemas.openxmlformats.org/officeDocument/2006/relationships/image" Target="media/image156.png"/><Relationship Id="rId206" Type="http://schemas.openxmlformats.org/officeDocument/2006/relationships/image" Target="media/image170.png"/><Relationship Id="rId227" Type="http://schemas.openxmlformats.org/officeDocument/2006/relationships/oleObject" Target="embeddings/Microsoft_Visio_2003-2010_Drawing8.vsd"/><Relationship Id="rId201" Type="http://schemas.openxmlformats.org/officeDocument/2006/relationships/image" Target="media/image165.png"/><Relationship Id="rId222" Type="http://schemas.openxmlformats.org/officeDocument/2006/relationships/image" Target="media/image176.emf"/><Relationship Id="rId243" Type="http://schemas.openxmlformats.org/officeDocument/2006/relationships/header" Target="header6.xm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emf"/><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1.png"/><Relationship Id="rId129" Type="http://schemas.openxmlformats.org/officeDocument/2006/relationships/image" Target="media/image96.png"/><Relationship Id="rId54" Type="http://schemas.openxmlformats.org/officeDocument/2006/relationships/image" Target="media/image39.png"/><Relationship Id="rId70" Type="http://schemas.openxmlformats.org/officeDocument/2006/relationships/image" Target="media/image50.png"/><Relationship Id="rId75" Type="http://schemas.openxmlformats.org/officeDocument/2006/relationships/hyperlink" Target="#_Accept_Orders:_Accept"/><Relationship Id="rId91" Type="http://schemas.openxmlformats.org/officeDocument/2006/relationships/hyperlink" Target="#_View_Special_Instructions_and Trans"/><Relationship Id="rId96" Type="http://schemas.openxmlformats.org/officeDocument/2006/relationships/image" Target="media/image63.png"/><Relationship Id="rId140" Type="http://schemas.openxmlformats.org/officeDocument/2006/relationships/image" Target="media/image107.png"/><Relationship Id="rId145" Type="http://schemas.openxmlformats.org/officeDocument/2006/relationships/image" Target="media/image111.png"/><Relationship Id="rId161" Type="http://schemas.openxmlformats.org/officeDocument/2006/relationships/image" Target="media/image127.png"/><Relationship Id="rId166" Type="http://schemas.openxmlformats.org/officeDocument/2006/relationships/image" Target="media/image131.png"/><Relationship Id="rId182" Type="http://schemas.openxmlformats.org/officeDocument/2006/relationships/image" Target="media/image146.png"/><Relationship Id="rId187" Type="http://schemas.openxmlformats.org/officeDocument/2006/relationships/image" Target="media/image151.png"/><Relationship Id="rId217" Type="http://schemas.openxmlformats.org/officeDocument/2006/relationships/oleObject" Target="embeddings/Microsoft_Visio_2003-2010_Drawing4.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Microsoft_Visio_2003-2010_Drawing2.vsd"/><Relationship Id="rId233" Type="http://schemas.openxmlformats.org/officeDocument/2006/relationships/image" Target="media/image181.emf"/><Relationship Id="rId238" Type="http://schemas.openxmlformats.org/officeDocument/2006/relationships/image" Target="media/image183.emf"/><Relationship Id="rId23" Type="http://schemas.openxmlformats.org/officeDocument/2006/relationships/hyperlink" Target="https://www.va.gov/vdl/application.asp?appid=182" TargetMode="External"/><Relationship Id="rId28" Type="http://schemas.openxmlformats.org/officeDocument/2006/relationships/footer" Target="footer3.xml"/><Relationship Id="rId49" Type="http://schemas.openxmlformats.org/officeDocument/2006/relationships/image" Target="media/image34.png"/><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hyperlink" Target="#_Incoming_Shipment"/><Relationship Id="rId81" Type="http://schemas.openxmlformats.org/officeDocument/2006/relationships/image" Target="media/image56.png"/><Relationship Id="rId86" Type="http://schemas.openxmlformats.org/officeDocument/2006/relationships/image" Target="media/image59.png"/><Relationship Id="rId130" Type="http://schemas.openxmlformats.org/officeDocument/2006/relationships/image" Target="media/image97.png"/><Relationship Id="rId135" Type="http://schemas.openxmlformats.org/officeDocument/2006/relationships/image" Target="media/image102.png"/><Relationship Id="rId151" Type="http://schemas.openxmlformats.org/officeDocument/2006/relationships/image" Target="media/image117.png"/><Relationship Id="rId156" Type="http://schemas.openxmlformats.org/officeDocument/2006/relationships/image" Target="media/image122.png"/><Relationship Id="rId177" Type="http://schemas.openxmlformats.org/officeDocument/2006/relationships/image" Target="media/image141.png"/><Relationship Id="rId198" Type="http://schemas.openxmlformats.org/officeDocument/2006/relationships/image" Target="media/image162.png"/><Relationship Id="rId172" Type="http://schemas.openxmlformats.org/officeDocument/2006/relationships/image" Target="media/image136.png"/><Relationship Id="rId193" Type="http://schemas.openxmlformats.org/officeDocument/2006/relationships/image" Target="media/image157.png"/><Relationship Id="rId202" Type="http://schemas.openxmlformats.org/officeDocument/2006/relationships/image" Target="media/image166.png"/><Relationship Id="rId207" Type="http://schemas.openxmlformats.org/officeDocument/2006/relationships/footer" Target="footer5.xml"/><Relationship Id="rId223" Type="http://schemas.openxmlformats.org/officeDocument/2006/relationships/oleObject" Target="embeddings/Microsoft_Visio_2003-2010_Drawing6.vsd"/><Relationship Id="rId228" Type="http://schemas.openxmlformats.org/officeDocument/2006/relationships/footer" Target="footer8.xml"/><Relationship Id="rId244" Type="http://schemas.openxmlformats.org/officeDocument/2006/relationships/fontTable" Target="fontTable.xml"/><Relationship Id="rId13" Type="http://schemas.openxmlformats.org/officeDocument/2006/relationships/hyperlink" Target="#_Blood_Availability_UC_49"/><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image" Target="media/image76.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3.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image" Target="media/image108.png"/><Relationship Id="rId146" Type="http://schemas.openxmlformats.org/officeDocument/2006/relationships/image" Target="media/image112.png"/><Relationship Id="rId167" Type="http://schemas.openxmlformats.org/officeDocument/2006/relationships/image" Target="media/image132.png"/><Relationship Id="rId188" Type="http://schemas.openxmlformats.org/officeDocument/2006/relationships/image" Target="media/image152.png"/><Relationship Id="rId7" Type="http://schemas.openxmlformats.org/officeDocument/2006/relationships/footnotes" Target="footnotes.xml"/><Relationship Id="rId71" Type="http://schemas.openxmlformats.org/officeDocument/2006/relationships/hyperlink" Target="#_Unit_Antigen_Typing"/><Relationship Id="rId92" Type="http://schemas.openxmlformats.org/officeDocument/2006/relationships/hyperlink" Target="#_Patient_Information_Toolbar:_Recent_1"/><Relationship Id="rId162" Type="http://schemas.openxmlformats.org/officeDocument/2006/relationships/image" Target="media/image128.png"/><Relationship Id="rId183" Type="http://schemas.openxmlformats.org/officeDocument/2006/relationships/image" Target="media/image147.png"/><Relationship Id="rId213" Type="http://schemas.openxmlformats.org/officeDocument/2006/relationships/footer" Target="footer7.xml"/><Relationship Id="rId218" Type="http://schemas.openxmlformats.org/officeDocument/2006/relationships/hyperlink" Target="https://www.va.gov/vdl/application.asp?appid=182" TargetMode="External"/><Relationship Id="rId234" Type="http://schemas.openxmlformats.org/officeDocument/2006/relationships/oleObject" Target="embeddings/Microsoft_Visio_2003-2010_Drawing11.vsd"/><Relationship Id="rId239" Type="http://schemas.openxmlformats.org/officeDocument/2006/relationships/oleObject" Target="embeddings/Microsoft_Visio_2003-2010_Drawing13.vsd"/><Relationship Id="rId2" Type="http://schemas.openxmlformats.org/officeDocument/2006/relationships/customXml" Target="../customXml/item1.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hyperlink" Target="#_Post-Transfusion_Information"/><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8.png"/><Relationship Id="rId136" Type="http://schemas.openxmlformats.org/officeDocument/2006/relationships/image" Target="media/image103.png"/><Relationship Id="rId157" Type="http://schemas.openxmlformats.org/officeDocument/2006/relationships/image" Target="media/image123.png"/><Relationship Id="rId178" Type="http://schemas.openxmlformats.org/officeDocument/2006/relationships/image" Target="media/image142.png"/><Relationship Id="rId61" Type="http://schemas.openxmlformats.org/officeDocument/2006/relationships/hyperlink" Target="#_Log_In_Reagents,_Update Inventory, "/><Relationship Id="rId82" Type="http://schemas.openxmlformats.org/officeDocument/2006/relationships/image" Target="media/image57.png"/><Relationship Id="rId152" Type="http://schemas.openxmlformats.org/officeDocument/2006/relationships/image" Target="media/image118.png"/><Relationship Id="rId173" Type="http://schemas.openxmlformats.org/officeDocument/2006/relationships/image" Target="media/image137.png"/><Relationship Id="rId194" Type="http://schemas.openxmlformats.org/officeDocument/2006/relationships/image" Target="media/image158.png"/><Relationship Id="rId199" Type="http://schemas.openxmlformats.org/officeDocument/2006/relationships/image" Target="media/image163.png"/><Relationship Id="rId203" Type="http://schemas.openxmlformats.org/officeDocument/2006/relationships/image" Target="media/image167.png"/><Relationship Id="rId208" Type="http://schemas.openxmlformats.org/officeDocument/2006/relationships/footer" Target="footer6.xml"/><Relationship Id="rId229" Type="http://schemas.openxmlformats.org/officeDocument/2006/relationships/image" Target="media/image179.emf"/><Relationship Id="rId19" Type="http://schemas.openxmlformats.org/officeDocument/2006/relationships/image" Target="media/image8.png"/><Relationship Id="rId224" Type="http://schemas.openxmlformats.org/officeDocument/2006/relationships/image" Target="media/image177.emf"/><Relationship Id="rId240" Type="http://schemas.openxmlformats.org/officeDocument/2006/relationships/image" Target="media/image184.emf"/><Relationship Id="rId245" Type="http://schemas.openxmlformats.org/officeDocument/2006/relationships/theme" Target="theme/theme1.xml"/><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_Maintain_Specimen_1"/><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3.png"/><Relationship Id="rId147" Type="http://schemas.openxmlformats.org/officeDocument/2006/relationships/image" Target="media/image113.png"/><Relationship Id="rId168" Type="http://schemas.openxmlformats.org/officeDocument/2006/relationships/image" Target="media/image133.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1.png"/><Relationship Id="rId93" Type="http://schemas.openxmlformats.org/officeDocument/2006/relationships/hyperlink" Target="#_Patient_Information_Toolbar:_Transf"/><Relationship Id="rId98" Type="http://schemas.openxmlformats.org/officeDocument/2006/relationships/image" Target="media/image65.png"/><Relationship Id="rId121" Type="http://schemas.openxmlformats.org/officeDocument/2006/relationships/image" Target="media/image88.png"/><Relationship Id="rId142" Type="http://schemas.openxmlformats.org/officeDocument/2006/relationships/header" Target="header3.xml"/><Relationship Id="rId163" Type="http://schemas.openxmlformats.org/officeDocument/2006/relationships/image" Target="media/image129.emf"/><Relationship Id="rId184" Type="http://schemas.openxmlformats.org/officeDocument/2006/relationships/image" Target="media/image148.png"/><Relationship Id="rId189" Type="http://schemas.openxmlformats.org/officeDocument/2006/relationships/image" Target="media/image153.png"/><Relationship Id="rId219" Type="http://schemas.openxmlformats.org/officeDocument/2006/relationships/header" Target="header5.xml"/><Relationship Id="rId3" Type="http://schemas.openxmlformats.org/officeDocument/2006/relationships/numbering" Target="numbering.xml"/><Relationship Id="rId214" Type="http://schemas.openxmlformats.org/officeDocument/2006/relationships/image" Target="media/image173.emf"/><Relationship Id="rId230" Type="http://schemas.openxmlformats.org/officeDocument/2006/relationships/oleObject" Target="embeddings/Microsoft_Visio_2003-2010_Drawing9.vsd"/><Relationship Id="rId235" Type="http://schemas.openxmlformats.org/officeDocument/2006/relationships/footer" Target="footer9.xml"/><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hyperlink" Target="#_ABO/Rh_Confirmation"/><Relationship Id="rId116" Type="http://schemas.openxmlformats.org/officeDocument/2006/relationships/image" Target="media/image83.png"/><Relationship Id="rId137" Type="http://schemas.openxmlformats.org/officeDocument/2006/relationships/image" Target="media/image104.png"/><Relationship Id="rId158" Type="http://schemas.openxmlformats.org/officeDocument/2006/relationships/image" Target="media/image124.png"/><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image" Target="media/image46.png"/><Relationship Id="rId83" Type="http://schemas.openxmlformats.org/officeDocument/2006/relationships/hyperlink" Target="#_Select_Units_1"/><Relationship Id="rId88" Type="http://schemas.openxmlformats.org/officeDocument/2006/relationships/image" Target="media/image60.png"/><Relationship Id="rId111" Type="http://schemas.openxmlformats.org/officeDocument/2006/relationships/image" Target="media/image78.png"/><Relationship Id="rId132" Type="http://schemas.openxmlformats.org/officeDocument/2006/relationships/image" Target="media/image99.png"/><Relationship Id="rId153" Type="http://schemas.openxmlformats.org/officeDocument/2006/relationships/image" Target="media/image119.png"/><Relationship Id="rId174" Type="http://schemas.openxmlformats.org/officeDocument/2006/relationships/image" Target="media/image138.png"/><Relationship Id="rId179" Type="http://schemas.openxmlformats.org/officeDocument/2006/relationships/image" Target="media/image143.png"/><Relationship Id="rId195" Type="http://schemas.openxmlformats.org/officeDocument/2006/relationships/image" Target="media/image159.png"/><Relationship Id="rId209" Type="http://schemas.openxmlformats.org/officeDocument/2006/relationships/image" Target="media/image171.emf"/><Relationship Id="rId190" Type="http://schemas.openxmlformats.org/officeDocument/2006/relationships/image" Target="media/image154.png"/><Relationship Id="rId204" Type="http://schemas.openxmlformats.org/officeDocument/2006/relationships/image" Target="media/image168.png"/><Relationship Id="rId220" Type="http://schemas.openxmlformats.org/officeDocument/2006/relationships/image" Target="media/image175.emf"/><Relationship Id="rId225" Type="http://schemas.openxmlformats.org/officeDocument/2006/relationships/oleObject" Target="embeddings/Microsoft_Visio_2003-2010_Drawing7.vsd"/><Relationship Id="rId241" Type="http://schemas.openxmlformats.org/officeDocument/2006/relationships/oleObject" Target="embeddings/Microsoft_Visio_2003-2010_Drawing14.vsd"/><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image" Target="media/image42.emf"/><Relationship Id="rId106" Type="http://schemas.openxmlformats.org/officeDocument/2006/relationships/image" Target="media/image73.png"/><Relationship Id="rId127" Type="http://schemas.openxmlformats.org/officeDocument/2006/relationships/image" Target="media/image94.png"/><Relationship Id="rId10" Type="http://schemas.openxmlformats.org/officeDocument/2006/relationships/header" Target="header1.xml"/><Relationship Id="rId31" Type="http://schemas.openxmlformats.org/officeDocument/2006/relationships/header" Target="header2.xml"/><Relationship Id="rId52" Type="http://schemas.openxmlformats.org/officeDocument/2006/relationships/image" Target="media/image37.png"/><Relationship Id="rId73" Type="http://schemas.openxmlformats.org/officeDocument/2006/relationships/hyperlink" Target="#_Outgoing_Shipment"/><Relationship Id="rId78" Type="http://schemas.openxmlformats.org/officeDocument/2006/relationships/image" Target="media/image54.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oleObject" Target="embeddings/Microsoft_Visio_2003-2010_Drawing.vsd"/><Relationship Id="rId169" Type="http://schemas.openxmlformats.org/officeDocument/2006/relationships/image" Target="media/image134.png"/><Relationship Id="rId185" Type="http://schemas.openxmlformats.org/officeDocument/2006/relationships/image" Target="media/image149.png"/><Relationship Id="rId4" Type="http://schemas.openxmlformats.org/officeDocument/2006/relationships/styles" Target="styles.xml"/><Relationship Id="rId9" Type="http://schemas.openxmlformats.org/officeDocument/2006/relationships/image" Target="media/image2.jpeg"/><Relationship Id="rId180" Type="http://schemas.openxmlformats.org/officeDocument/2006/relationships/image" Target="media/image144.png"/><Relationship Id="rId210" Type="http://schemas.openxmlformats.org/officeDocument/2006/relationships/oleObject" Target="embeddings/Microsoft_Visio_2003-2010_Drawing1.vsd"/><Relationship Id="rId215" Type="http://schemas.openxmlformats.org/officeDocument/2006/relationships/oleObject" Target="embeddings/Microsoft_Visio_2003-2010_Drawing3.vsd"/><Relationship Id="rId236" Type="http://schemas.openxmlformats.org/officeDocument/2006/relationships/image" Target="media/image182.emf"/><Relationship Id="rId26" Type="http://schemas.openxmlformats.org/officeDocument/2006/relationships/image" Target="media/image14.png"/><Relationship Id="rId231" Type="http://schemas.openxmlformats.org/officeDocument/2006/relationships/image" Target="media/image180.emf"/><Relationship Id="rId47" Type="http://schemas.openxmlformats.org/officeDocument/2006/relationships/image" Target="media/image32.png"/><Relationship Id="rId68" Type="http://schemas.openxmlformats.org/officeDocument/2006/relationships/image" Target="media/image49.png"/><Relationship Id="rId89" Type="http://schemas.openxmlformats.org/officeDocument/2006/relationships/hyperlink" Target="#_Medication_Profile_UC_46"/><Relationship Id="rId112" Type="http://schemas.openxmlformats.org/officeDocument/2006/relationships/image" Target="media/image79.png"/><Relationship Id="rId133" Type="http://schemas.openxmlformats.org/officeDocument/2006/relationships/image" Target="media/image100.png"/><Relationship Id="rId154" Type="http://schemas.openxmlformats.org/officeDocument/2006/relationships/image" Target="media/image120.png"/><Relationship Id="rId175" Type="http://schemas.openxmlformats.org/officeDocument/2006/relationships/image" Target="media/image139.png"/><Relationship Id="rId196" Type="http://schemas.openxmlformats.org/officeDocument/2006/relationships/image" Target="media/image160.png"/><Relationship Id="rId200" Type="http://schemas.openxmlformats.org/officeDocument/2006/relationships/image" Target="media/image164.png"/><Relationship Id="rId16" Type="http://schemas.openxmlformats.org/officeDocument/2006/relationships/image" Target="media/image5.png"/><Relationship Id="rId221" Type="http://schemas.openxmlformats.org/officeDocument/2006/relationships/oleObject" Target="embeddings/Microsoft_Visio_2003-2010_Drawing5.vsd"/><Relationship Id="rId242" Type="http://schemas.openxmlformats.org/officeDocument/2006/relationships/footer" Target="footer10.xml"/><Relationship Id="rId37" Type="http://schemas.openxmlformats.org/officeDocument/2006/relationships/image" Target="media/image22.png"/><Relationship Id="rId58" Type="http://schemas.openxmlformats.org/officeDocument/2006/relationships/image" Target="media/image43.emf"/><Relationship Id="rId79" Type="http://schemas.openxmlformats.org/officeDocument/2006/relationships/hyperlink" Target="#_Patient_Testing:_Record_1"/><Relationship Id="rId102" Type="http://schemas.openxmlformats.org/officeDocument/2006/relationships/image" Target="media/image69.png"/><Relationship Id="rId123" Type="http://schemas.openxmlformats.org/officeDocument/2006/relationships/image" Target="media/image90.png"/><Relationship Id="rId144" Type="http://schemas.openxmlformats.org/officeDocument/2006/relationships/image" Target="media/image110.png"/><Relationship Id="rId90" Type="http://schemas.openxmlformats.org/officeDocument/2006/relationships/hyperlink" Target="#_Patient_Information_Toolbar:_Recent"/><Relationship Id="rId165" Type="http://schemas.openxmlformats.org/officeDocument/2006/relationships/image" Target="media/image130.png"/><Relationship Id="rId186" Type="http://schemas.openxmlformats.org/officeDocument/2006/relationships/image" Target="media/image150.png"/><Relationship Id="rId211" Type="http://schemas.openxmlformats.org/officeDocument/2006/relationships/image" Target="media/image172.wmf"/><Relationship Id="rId232" Type="http://schemas.openxmlformats.org/officeDocument/2006/relationships/oleObject" Target="embeddings/Microsoft_Visio_2003-2010_Drawing10.vsd"/><Relationship Id="rId27" Type="http://schemas.openxmlformats.org/officeDocument/2006/relationships/image" Target="media/image15.png"/><Relationship Id="rId48" Type="http://schemas.openxmlformats.org/officeDocument/2006/relationships/image" Target="media/image33.png"/><Relationship Id="rId69" Type="http://schemas.openxmlformats.org/officeDocument/2006/relationships/hyperlink" Target="#_Modify_Units"/><Relationship Id="rId113" Type="http://schemas.openxmlformats.org/officeDocument/2006/relationships/image" Target="media/image80.png"/><Relationship Id="rId134" Type="http://schemas.openxmlformats.org/officeDocument/2006/relationships/image" Target="media/image101.png"/><Relationship Id="rId80" Type="http://schemas.openxmlformats.org/officeDocument/2006/relationships/image" Target="media/image55.png"/><Relationship Id="rId155" Type="http://schemas.openxmlformats.org/officeDocument/2006/relationships/image" Target="media/image121.png"/><Relationship Id="rId176" Type="http://schemas.openxmlformats.org/officeDocument/2006/relationships/image" Target="media/image140.png"/><Relationship Id="rId197" Type="http://schemas.openxmlformats.org/officeDocument/2006/relationships/image" Target="media/image16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6D689-2F8F-4959-A201-F09103E0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1227</TotalTime>
  <Pages>508</Pages>
  <Words>137274</Words>
  <Characters>782462</Characters>
  <Application>Microsoft Office Word</Application>
  <DocSecurity>0</DocSecurity>
  <Lines>6520</Lines>
  <Paragraphs>1835</Paragraphs>
  <ScaleCrop>false</ScaleCrop>
  <HeadingPairs>
    <vt:vector size="2" baseType="variant">
      <vt:variant>
        <vt:lpstr>Title</vt:lpstr>
      </vt:variant>
      <vt:variant>
        <vt:i4>1</vt:i4>
      </vt:variant>
    </vt:vector>
  </HeadingPairs>
  <TitlesOfParts>
    <vt:vector size="1" baseType="lpstr">
      <vt:lpstr>VBECS 2.3.4 User Guide</vt:lpstr>
    </vt:vector>
  </TitlesOfParts>
  <Company>Leidos</Company>
  <LinksUpToDate>false</LinksUpToDate>
  <CharactersWithSpaces>917901</CharactersWithSpaces>
  <SharedDoc>false</SharedDoc>
  <HLinks>
    <vt:vector size="1578" baseType="variant">
      <vt:variant>
        <vt:i4>4128827</vt:i4>
      </vt:variant>
      <vt:variant>
        <vt:i4>3271</vt:i4>
      </vt:variant>
      <vt:variant>
        <vt:i4>0</vt:i4>
      </vt:variant>
      <vt:variant>
        <vt:i4>5</vt:i4>
      </vt:variant>
      <vt:variant>
        <vt:lpwstr>http://vaww.oed.portal.va.gov/projects/vbecs/VBECS FAQs/Forms/AllItems.aspx</vt:lpwstr>
      </vt:variant>
      <vt:variant>
        <vt:lpwstr/>
      </vt:variant>
      <vt:variant>
        <vt:i4>5963785</vt:i4>
      </vt:variant>
      <vt:variant>
        <vt:i4>3062</vt:i4>
      </vt:variant>
      <vt:variant>
        <vt:i4>0</vt:i4>
      </vt:variant>
      <vt:variant>
        <vt:i4>5</vt:i4>
      </vt:variant>
      <vt:variant>
        <vt:lpwstr>https://www.va.gov/vdl/application.asp?appid=182</vt:lpwstr>
      </vt:variant>
      <vt:variant>
        <vt:lpwstr/>
      </vt:variant>
      <vt:variant>
        <vt:i4>7798830</vt:i4>
      </vt:variant>
      <vt:variant>
        <vt:i4>1812</vt:i4>
      </vt:variant>
      <vt:variant>
        <vt:i4>0</vt:i4>
      </vt:variant>
      <vt:variant>
        <vt:i4>5</vt:i4>
      </vt:variant>
      <vt:variant>
        <vt:lpwstr/>
      </vt:variant>
      <vt:variant>
        <vt:lpwstr>_Blood_Availability_UC_49</vt:lpwstr>
      </vt:variant>
      <vt:variant>
        <vt:i4>2097264</vt:i4>
      </vt:variant>
      <vt:variant>
        <vt:i4>1809</vt:i4>
      </vt:variant>
      <vt:variant>
        <vt:i4>0</vt:i4>
      </vt:variant>
      <vt:variant>
        <vt:i4>5</vt:i4>
      </vt:variant>
      <vt:variant>
        <vt:lpwstr/>
      </vt:variant>
      <vt:variant>
        <vt:lpwstr>_Patient_Information_Toolbar:_Transf</vt:lpwstr>
      </vt:variant>
      <vt:variant>
        <vt:i4>2031670</vt:i4>
      </vt:variant>
      <vt:variant>
        <vt:i4>1806</vt:i4>
      </vt:variant>
      <vt:variant>
        <vt:i4>0</vt:i4>
      </vt:variant>
      <vt:variant>
        <vt:i4>5</vt:i4>
      </vt:variant>
      <vt:variant>
        <vt:lpwstr/>
      </vt:variant>
      <vt:variant>
        <vt:lpwstr>_Patient_Information_Toolbar:_Recent_1</vt:lpwstr>
      </vt:variant>
      <vt:variant>
        <vt:i4>327763</vt:i4>
      </vt:variant>
      <vt:variant>
        <vt:i4>1803</vt:i4>
      </vt:variant>
      <vt:variant>
        <vt:i4>0</vt:i4>
      </vt:variant>
      <vt:variant>
        <vt:i4>5</vt:i4>
      </vt:variant>
      <vt:variant>
        <vt:lpwstr/>
      </vt:variant>
      <vt:variant>
        <vt:lpwstr>_View_Special_Instructions_and Trans</vt:lpwstr>
      </vt:variant>
      <vt:variant>
        <vt:i4>3014761</vt:i4>
      </vt:variant>
      <vt:variant>
        <vt:i4>1800</vt:i4>
      </vt:variant>
      <vt:variant>
        <vt:i4>0</vt:i4>
      </vt:variant>
      <vt:variant>
        <vt:i4>5</vt:i4>
      </vt:variant>
      <vt:variant>
        <vt:lpwstr/>
      </vt:variant>
      <vt:variant>
        <vt:lpwstr>_Patient_Information_Toolbar:_Recent</vt:lpwstr>
      </vt:variant>
      <vt:variant>
        <vt:i4>6160396</vt:i4>
      </vt:variant>
      <vt:variant>
        <vt:i4>1797</vt:i4>
      </vt:variant>
      <vt:variant>
        <vt:i4>0</vt:i4>
      </vt:variant>
      <vt:variant>
        <vt:i4>5</vt:i4>
      </vt:variant>
      <vt:variant>
        <vt:lpwstr/>
      </vt:variant>
      <vt:variant>
        <vt:lpwstr>_Medication_Profile_UC_46</vt:lpwstr>
      </vt:variant>
      <vt:variant>
        <vt:i4>7798830</vt:i4>
      </vt:variant>
      <vt:variant>
        <vt:i4>1794</vt:i4>
      </vt:variant>
      <vt:variant>
        <vt:i4>0</vt:i4>
      </vt:variant>
      <vt:variant>
        <vt:i4>5</vt:i4>
      </vt:variant>
      <vt:variant>
        <vt:lpwstr/>
      </vt:variant>
      <vt:variant>
        <vt:lpwstr>_Blood_Availability_UC_49</vt:lpwstr>
      </vt:variant>
      <vt:variant>
        <vt:i4>6291493</vt:i4>
      </vt:variant>
      <vt:variant>
        <vt:i4>1791</vt:i4>
      </vt:variant>
      <vt:variant>
        <vt:i4>0</vt:i4>
      </vt:variant>
      <vt:variant>
        <vt:i4>5</vt:i4>
      </vt:variant>
      <vt:variant>
        <vt:lpwstr/>
      </vt:variant>
      <vt:variant>
        <vt:lpwstr>_Post-Transfusion_Information</vt:lpwstr>
      </vt:variant>
      <vt:variant>
        <vt:i4>6684741</vt:i4>
      </vt:variant>
      <vt:variant>
        <vt:i4>1788</vt:i4>
      </vt:variant>
      <vt:variant>
        <vt:i4>0</vt:i4>
      </vt:variant>
      <vt:variant>
        <vt:i4>5</vt:i4>
      </vt:variant>
      <vt:variant>
        <vt:lpwstr/>
      </vt:variant>
      <vt:variant>
        <vt:lpwstr>_Issue_Blood_Components</vt:lpwstr>
      </vt:variant>
      <vt:variant>
        <vt:i4>6684740</vt:i4>
      </vt:variant>
      <vt:variant>
        <vt:i4>1785</vt:i4>
      </vt:variant>
      <vt:variant>
        <vt:i4>0</vt:i4>
      </vt:variant>
      <vt:variant>
        <vt:i4>5</vt:i4>
      </vt:variant>
      <vt:variant>
        <vt:lpwstr/>
      </vt:variant>
      <vt:variant>
        <vt:lpwstr>_Select_Units_1</vt:lpwstr>
      </vt:variant>
      <vt:variant>
        <vt:i4>1835039</vt:i4>
      </vt:variant>
      <vt:variant>
        <vt:i4>1782</vt:i4>
      </vt:variant>
      <vt:variant>
        <vt:i4>0</vt:i4>
      </vt:variant>
      <vt:variant>
        <vt:i4>5</vt:i4>
      </vt:variant>
      <vt:variant>
        <vt:lpwstr/>
      </vt:variant>
      <vt:variant>
        <vt:lpwstr>_Patient_Testing:_Record_1</vt:lpwstr>
      </vt:variant>
      <vt:variant>
        <vt:i4>6750234</vt:i4>
      </vt:variant>
      <vt:variant>
        <vt:i4>1779</vt:i4>
      </vt:variant>
      <vt:variant>
        <vt:i4>0</vt:i4>
      </vt:variant>
      <vt:variant>
        <vt:i4>5</vt:i4>
      </vt:variant>
      <vt:variant>
        <vt:lpwstr/>
      </vt:variant>
      <vt:variant>
        <vt:lpwstr>_Maintain_Specimen_1</vt:lpwstr>
      </vt:variant>
      <vt:variant>
        <vt:i4>6553628</vt:i4>
      </vt:variant>
      <vt:variant>
        <vt:i4>1776</vt:i4>
      </vt:variant>
      <vt:variant>
        <vt:i4>0</vt:i4>
      </vt:variant>
      <vt:variant>
        <vt:i4>5</vt:i4>
      </vt:variant>
      <vt:variant>
        <vt:lpwstr/>
      </vt:variant>
      <vt:variant>
        <vt:lpwstr>_Accept_Orders:_Accept</vt:lpwstr>
      </vt:variant>
      <vt:variant>
        <vt:i4>4980826</vt:i4>
      </vt:variant>
      <vt:variant>
        <vt:i4>1773</vt:i4>
      </vt:variant>
      <vt:variant>
        <vt:i4>0</vt:i4>
      </vt:variant>
      <vt:variant>
        <vt:i4>5</vt:i4>
      </vt:variant>
      <vt:variant>
        <vt:lpwstr/>
      </vt:variant>
      <vt:variant>
        <vt:lpwstr>_Outgoing_Shipment</vt:lpwstr>
      </vt:variant>
      <vt:variant>
        <vt:i4>589875</vt:i4>
      </vt:variant>
      <vt:variant>
        <vt:i4>1770</vt:i4>
      </vt:variant>
      <vt:variant>
        <vt:i4>0</vt:i4>
      </vt:variant>
      <vt:variant>
        <vt:i4>5</vt:i4>
      </vt:variant>
      <vt:variant>
        <vt:lpwstr/>
      </vt:variant>
      <vt:variant>
        <vt:lpwstr>_Unit_Antigen_Typing</vt:lpwstr>
      </vt:variant>
      <vt:variant>
        <vt:i4>2752572</vt:i4>
      </vt:variant>
      <vt:variant>
        <vt:i4>1767</vt:i4>
      </vt:variant>
      <vt:variant>
        <vt:i4>0</vt:i4>
      </vt:variant>
      <vt:variant>
        <vt:i4>5</vt:i4>
      </vt:variant>
      <vt:variant>
        <vt:lpwstr/>
      </vt:variant>
      <vt:variant>
        <vt:lpwstr>_Modify_Units</vt:lpwstr>
      </vt:variant>
      <vt:variant>
        <vt:i4>4063336</vt:i4>
      </vt:variant>
      <vt:variant>
        <vt:i4>1764</vt:i4>
      </vt:variant>
      <vt:variant>
        <vt:i4>0</vt:i4>
      </vt:variant>
      <vt:variant>
        <vt:i4>5</vt:i4>
      </vt:variant>
      <vt:variant>
        <vt:lpwstr/>
      </vt:variant>
      <vt:variant>
        <vt:lpwstr>_ABO/Rh_Confirmation</vt:lpwstr>
      </vt:variant>
      <vt:variant>
        <vt:i4>6225993</vt:i4>
      </vt:variant>
      <vt:variant>
        <vt:i4>1761</vt:i4>
      </vt:variant>
      <vt:variant>
        <vt:i4>0</vt:i4>
      </vt:variant>
      <vt:variant>
        <vt:i4>5</vt:i4>
      </vt:variant>
      <vt:variant>
        <vt:lpwstr/>
      </vt:variant>
      <vt:variant>
        <vt:lpwstr>_Incoming_Shipment</vt:lpwstr>
      </vt:variant>
      <vt:variant>
        <vt:i4>6094935</vt:i4>
      </vt:variant>
      <vt:variant>
        <vt:i4>1758</vt:i4>
      </vt:variant>
      <vt:variant>
        <vt:i4>0</vt:i4>
      </vt:variant>
      <vt:variant>
        <vt:i4>5</vt:i4>
      </vt:variant>
      <vt:variant>
        <vt:lpwstr/>
      </vt:variant>
      <vt:variant>
        <vt:lpwstr>_Enter_Daily_QC_Results</vt:lpwstr>
      </vt:variant>
      <vt:variant>
        <vt:i4>5111883</vt:i4>
      </vt:variant>
      <vt:variant>
        <vt:i4>1755</vt:i4>
      </vt:variant>
      <vt:variant>
        <vt:i4>0</vt:i4>
      </vt:variant>
      <vt:variant>
        <vt:i4>5</vt:i4>
      </vt:variant>
      <vt:variant>
        <vt:lpwstr/>
      </vt:variant>
      <vt:variant>
        <vt:lpwstr>_Log_In_Reagents,_Update Inventory, </vt:lpwstr>
      </vt:variant>
      <vt:variant>
        <vt:i4>5963785</vt:i4>
      </vt:variant>
      <vt:variant>
        <vt:i4>1563</vt:i4>
      </vt:variant>
      <vt:variant>
        <vt:i4>0</vt:i4>
      </vt:variant>
      <vt:variant>
        <vt:i4>5</vt:i4>
      </vt:variant>
      <vt:variant>
        <vt:lpwstr>https://www.va.gov/vdl/application.asp?appid=182</vt:lpwstr>
      </vt:variant>
      <vt:variant>
        <vt:lpwstr/>
      </vt:variant>
      <vt:variant>
        <vt:i4>5898259</vt:i4>
      </vt:variant>
      <vt:variant>
        <vt:i4>1560</vt:i4>
      </vt:variant>
      <vt:variant>
        <vt:i4>0</vt:i4>
      </vt:variant>
      <vt:variant>
        <vt:i4>5</vt:i4>
      </vt:variant>
      <vt:variant>
        <vt:lpwstr>http://vaww.oed.portal.va.gov/projects/vbecs/default.aspx</vt:lpwstr>
      </vt:variant>
      <vt:variant>
        <vt:lpwstr/>
      </vt:variant>
      <vt:variant>
        <vt:i4>1900592</vt:i4>
      </vt:variant>
      <vt:variant>
        <vt:i4>1392</vt:i4>
      </vt:variant>
      <vt:variant>
        <vt:i4>0</vt:i4>
      </vt:variant>
      <vt:variant>
        <vt:i4>5</vt:i4>
      </vt:variant>
      <vt:variant>
        <vt:lpwstr>http://www.foia.va.gov/FOIA_Offices.asp</vt:lpwstr>
      </vt:variant>
      <vt:variant>
        <vt:lpwstr/>
      </vt:variant>
      <vt:variant>
        <vt:i4>1441840</vt:i4>
      </vt:variant>
      <vt:variant>
        <vt:i4>1382</vt:i4>
      </vt:variant>
      <vt:variant>
        <vt:i4>0</vt:i4>
      </vt:variant>
      <vt:variant>
        <vt:i4>5</vt:i4>
      </vt:variant>
      <vt:variant>
        <vt:lpwstr/>
      </vt:variant>
      <vt:variant>
        <vt:lpwstr>_Toc510071213</vt:lpwstr>
      </vt:variant>
      <vt:variant>
        <vt:i4>1441840</vt:i4>
      </vt:variant>
      <vt:variant>
        <vt:i4>1376</vt:i4>
      </vt:variant>
      <vt:variant>
        <vt:i4>0</vt:i4>
      </vt:variant>
      <vt:variant>
        <vt:i4>5</vt:i4>
      </vt:variant>
      <vt:variant>
        <vt:lpwstr/>
      </vt:variant>
      <vt:variant>
        <vt:lpwstr>_Toc510071212</vt:lpwstr>
      </vt:variant>
      <vt:variant>
        <vt:i4>1441840</vt:i4>
      </vt:variant>
      <vt:variant>
        <vt:i4>1370</vt:i4>
      </vt:variant>
      <vt:variant>
        <vt:i4>0</vt:i4>
      </vt:variant>
      <vt:variant>
        <vt:i4>5</vt:i4>
      </vt:variant>
      <vt:variant>
        <vt:lpwstr/>
      </vt:variant>
      <vt:variant>
        <vt:lpwstr>_Toc510071211</vt:lpwstr>
      </vt:variant>
      <vt:variant>
        <vt:i4>1441840</vt:i4>
      </vt:variant>
      <vt:variant>
        <vt:i4>1364</vt:i4>
      </vt:variant>
      <vt:variant>
        <vt:i4>0</vt:i4>
      </vt:variant>
      <vt:variant>
        <vt:i4>5</vt:i4>
      </vt:variant>
      <vt:variant>
        <vt:lpwstr/>
      </vt:variant>
      <vt:variant>
        <vt:lpwstr>_Toc510071210</vt:lpwstr>
      </vt:variant>
      <vt:variant>
        <vt:i4>1507376</vt:i4>
      </vt:variant>
      <vt:variant>
        <vt:i4>1358</vt:i4>
      </vt:variant>
      <vt:variant>
        <vt:i4>0</vt:i4>
      </vt:variant>
      <vt:variant>
        <vt:i4>5</vt:i4>
      </vt:variant>
      <vt:variant>
        <vt:lpwstr/>
      </vt:variant>
      <vt:variant>
        <vt:lpwstr>_Toc510071209</vt:lpwstr>
      </vt:variant>
      <vt:variant>
        <vt:i4>1507376</vt:i4>
      </vt:variant>
      <vt:variant>
        <vt:i4>1352</vt:i4>
      </vt:variant>
      <vt:variant>
        <vt:i4>0</vt:i4>
      </vt:variant>
      <vt:variant>
        <vt:i4>5</vt:i4>
      </vt:variant>
      <vt:variant>
        <vt:lpwstr/>
      </vt:variant>
      <vt:variant>
        <vt:lpwstr>_Toc510071208</vt:lpwstr>
      </vt:variant>
      <vt:variant>
        <vt:i4>1507376</vt:i4>
      </vt:variant>
      <vt:variant>
        <vt:i4>1346</vt:i4>
      </vt:variant>
      <vt:variant>
        <vt:i4>0</vt:i4>
      </vt:variant>
      <vt:variant>
        <vt:i4>5</vt:i4>
      </vt:variant>
      <vt:variant>
        <vt:lpwstr/>
      </vt:variant>
      <vt:variant>
        <vt:lpwstr>_Toc510071207</vt:lpwstr>
      </vt:variant>
      <vt:variant>
        <vt:i4>1507376</vt:i4>
      </vt:variant>
      <vt:variant>
        <vt:i4>1340</vt:i4>
      </vt:variant>
      <vt:variant>
        <vt:i4>0</vt:i4>
      </vt:variant>
      <vt:variant>
        <vt:i4>5</vt:i4>
      </vt:variant>
      <vt:variant>
        <vt:lpwstr/>
      </vt:variant>
      <vt:variant>
        <vt:lpwstr>_Toc510071206</vt:lpwstr>
      </vt:variant>
      <vt:variant>
        <vt:i4>1507376</vt:i4>
      </vt:variant>
      <vt:variant>
        <vt:i4>1334</vt:i4>
      </vt:variant>
      <vt:variant>
        <vt:i4>0</vt:i4>
      </vt:variant>
      <vt:variant>
        <vt:i4>5</vt:i4>
      </vt:variant>
      <vt:variant>
        <vt:lpwstr/>
      </vt:variant>
      <vt:variant>
        <vt:lpwstr>_Toc510071205</vt:lpwstr>
      </vt:variant>
      <vt:variant>
        <vt:i4>1507376</vt:i4>
      </vt:variant>
      <vt:variant>
        <vt:i4>1328</vt:i4>
      </vt:variant>
      <vt:variant>
        <vt:i4>0</vt:i4>
      </vt:variant>
      <vt:variant>
        <vt:i4>5</vt:i4>
      </vt:variant>
      <vt:variant>
        <vt:lpwstr/>
      </vt:variant>
      <vt:variant>
        <vt:lpwstr>_Toc510071204</vt:lpwstr>
      </vt:variant>
      <vt:variant>
        <vt:i4>1507376</vt:i4>
      </vt:variant>
      <vt:variant>
        <vt:i4>1322</vt:i4>
      </vt:variant>
      <vt:variant>
        <vt:i4>0</vt:i4>
      </vt:variant>
      <vt:variant>
        <vt:i4>5</vt:i4>
      </vt:variant>
      <vt:variant>
        <vt:lpwstr/>
      </vt:variant>
      <vt:variant>
        <vt:lpwstr>_Toc510071203</vt:lpwstr>
      </vt:variant>
      <vt:variant>
        <vt:i4>1507376</vt:i4>
      </vt:variant>
      <vt:variant>
        <vt:i4>1316</vt:i4>
      </vt:variant>
      <vt:variant>
        <vt:i4>0</vt:i4>
      </vt:variant>
      <vt:variant>
        <vt:i4>5</vt:i4>
      </vt:variant>
      <vt:variant>
        <vt:lpwstr/>
      </vt:variant>
      <vt:variant>
        <vt:lpwstr>_Toc510071202</vt:lpwstr>
      </vt:variant>
      <vt:variant>
        <vt:i4>1507376</vt:i4>
      </vt:variant>
      <vt:variant>
        <vt:i4>1310</vt:i4>
      </vt:variant>
      <vt:variant>
        <vt:i4>0</vt:i4>
      </vt:variant>
      <vt:variant>
        <vt:i4>5</vt:i4>
      </vt:variant>
      <vt:variant>
        <vt:lpwstr/>
      </vt:variant>
      <vt:variant>
        <vt:lpwstr>_Toc510071201</vt:lpwstr>
      </vt:variant>
      <vt:variant>
        <vt:i4>1507376</vt:i4>
      </vt:variant>
      <vt:variant>
        <vt:i4>1304</vt:i4>
      </vt:variant>
      <vt:variant>
        <vt:i4>0</vt:i4>
      </vt:variant>
      <vt:variant>
        <vt:i4>5</vt:i4>
      </vt:variant>
      <vt:variant>
        <vt:lpwstr/>
      </vt:variant>
      <vt:variant>
        <vt:lpwstr>_Toc510071200</vt:lpwstr>
      </vt:variant>
      <vt:variant>
        <vt:i4>1966131</vt:i4>
      </vt:variant>
      <vt:variant>
        <vt:i4>1298</vt:i4>
      </vt:variant>
      <vt:variant>
        <vt:i4>0</vt:i4>
      </vt:variant>
      <vt:variant>
        <vt:i4>5</vt:i4>
      </vt:variant>
      <vt:variant>
        <vt:lpwstr/>
      </vt:variant>
      <vt:variant>
        <vt:lpwstr>_Toc510071199</vt:lpwstr>
      </vt:variant>
      <vt:variant>
        <vt:i4>1966131</vt:i4>
      </vt:variant>
      <vt:variant>
        <vt:i4>1292</vt:i4>
      </vt:variant>
      <vt:variant>
        <vt:i4>0</vt:i4>
      </vt:variant>
      <vt:variant>
        <vt:i4>5</vt:i4>
      </vt:variant>
      <vt:variant>
        <vt:lpwstr/>
      </vt:variant>
      <vt:variant>
        <vt:lpwstr>_Toc510071198</vt:lpwstr>
      </vt:variant>
      <vt:variant>
        <vt:i4>1966131</vt:i4>
      </vt:variant>
      <vt:variant>
        <vt:i4>1286</vt:i4>
      </vt:variant>
      <vt:variant>
        <vt:i4>0</vt:i4>
      </vt:variant>
      <vt:variant>
        <vt:i4>5</vt:i4>
      </vt:variant>
      <vt:variant>
        <vt:lpwstr/>
      </vt:variant>
      <vt:variant>
        <vt:lpwstr>_Toc510071197</vt:lpwstr>
      </vt:variant>
      <vt:variant>
        <vt:i4>1966131</vt:i4>
      </vt:variant>
      <vt:variant>
        <vt:i4>1280</vt:i4>
      </vt:variant>
      <vt:variant>
        <vt:i4>0</vt:i4>
      </vt:variant>
      <vt:variant>
        <vt:i4>5</vt:i4>
      </vt:variant>
      <vt:variant>
        <vt:lpwstr/>
      </vt:variant>
      <vt:variant>
        <vt:lpwstr>_Toc510071196</vt:lpwstr>
      </vt:variant>
      <vt:variant>
        <vt:i4>1966131</vt:i4>
      </vt:variant>
      <vt:variant>
        <vt:i4>1274</vt:i4>
      </vt:variant>
      <vt:variant>
        <vt:i4>0</vt:i4>
      </vt:variant>
      <vt:variant>
        <vt:i4>5</vt:i4>
      </vt:variant>
      <vt:variant>
        <vt:lpwstr/>
      </vt:variant>
      <vt:variant>
        <vt:lpwstr>_Toc510071195</vt:lpwstr>
      </vt:variant>
      <vt:variant>
        <vt:i4>1966131</vt:i4>
      </vt:variant>
      <vt:variant>
        <vt:i4>1268</vt:i4>
      </vt:variant>
      <vt:variant>
        <vt:i4>0</vt:i4>
      </vt:variant>
      <vt:variant>
        <vt:i4>5</vt:i4>
      </vt:variant>
      <vt:variant>
        <vt:lpwstr/>
      </vt:variant>
      <vt:variant>
        <vt:lpwstr>_Toc510071194</vt:lpwstr>
      </vt:variant>
      <vt:variant>
        <vt:i4>1966131</vt:i4>
      </vt:variant>
      <vt:variant>
        <vt:i4>1262</vt:i4>
      </vt:variant>
      <vt:variant>
        <vt:i4>0</vt:i4>
      </vt:variant>
      <vt:variant>
        <vt:i4>5</vt:i4>
      </vt:variant>
      <vt:variant>
        <vt:lpwstr/>
      </vt:variant>
      <vt:variant>
        <vt:lpwstr>_Toc510071193</vt:lpwstr>
      </vt:variant>
      <vt:variant>
        <vt:i4>1966131</vt:i4>
      </vt:variant>
      <vt:variant>
        <vt:i4>1256</vt:i4>
      </vt:variant>
      <vt:variant>
        <vt:i4>0</vt:i4>
      </vt:variant>
      <vt:variant>
        <vt:i4>5</vt:i4>
      </vt:variant>
      <vt:variant>
        <vt:lpwstr/>
      </vt:variant>
      <vt:variant>
        <vt:lpwstr>_Toc510071192</vt:lpwstr>
      </vt:variant>
      <vt:variant>
        <vt:i4>1966131</vt:i4>
      </vt:variant>
      <vt:variant>
        <vt:i4>1250</vt:i4>
      </vt:variant>
      <vt:variant>
        <vt:i4>0</vt:i4>
      </vt:variant>
      <vt:variant>
        <vt:i4>5</vt:i4>
      </vt:variant>
      <vt:variant>
        <vt:lpwstr/>
      </vt:variant>
      <vt:variant>
        <vt:lpwstr>_Toc510071191</vt:lpwstr>
      </vt:variant>
      <vt:variant>
        <vt:i4>1966131</vt:i4>
      </vt:variant>
      <vt:variant>
        <vt:i4>1244</vt:i4>
      </vt:variant>
      <vt:variant>
        <vt:i4>0</vt:i4>
      </vt:variant>
      <vt:variant>
        <vt:i4>5</vt:i4>
      </vt:variant>
      <vt:variant>
        <vt:lpwstr/>
      </vt:variant>
      <vt:variant>
        <vt:lpwstr>_Toc510071190</vt:lpwstr>
      </vt:variant>
      <vt:variant>
        <vt:i4>2031667</vt:i4>
      </vt:variant>
      <vt:variant>
        <vt:i4>1238</vt:i4>
      </vt:variant>
      <vt:variant>
        <vt:i4>0</vt:i4>
      </vt:variant>
      <vt:variant>
        <vt:i4>5</vt:i4>
      </vt:variant>
      <vt:variant>
        <vt:lpwstr/>
      </vt:variant>
      <vt:variant>
        <vt:lpwstr>_Toc510071189</vt:lpwstr>
      </vt:variant>
      <vt:variant>
        <vt:i4>2031667</vt:i4>
      </vt:variant>
      <vt:variant>
        <vt:i4>1232</vt:i4>
      </vt:variant>
      <vt:variant>
        <vt:i4>0</vt:i4>
      </vt:variant>
      <vt:variant>
        <vt:i4>5</vt:i4>
      </vt:variant>
      <vt:variant>
        <vt:lpwstr/>
      </vt:variant>
      <vt:variant>
        <vt:lpwstr>_Toc510071188</vt:lpwstr>
      </vt:variant>
      <vt:variant>
        <vt:i4>2031667</vt:i4>
      </vt:variant>
      <vt:variant>
        <vt:i4>1226</vt:i4>
      </vt:variant>
      <vt:variant>
        <vt:i4>0</vt:i4>
      </vt:variant>
      <vt:variant>
        <vt:i4>5</vt:i4>
      </vt:variant>
      <vt:variant>
        <vt:lpwstr/>
      </vt:variant>
      <vt:variant>
        <vt:lpwstr>_Toc510071187</vt:lpwstr>
      </vt:variant>
      <vt:variant>
        <vt:i4>2031667</vt:i4>
      </vt:variant>
      <vt:variant>
        <vt:i4>1220</vt:i4>
      </vt:variant>
      <vt:variant>
        <vt:i4>0</vt:i4>
      </vt:variant>
      <vt:variant>
        <vt:i4>5</vt:i4>
      </vt:variant>
      <vt:variant>
        <vt:lpwstr/>
      </vt:variant>
      <vt:variant>
        <vt:lpwstr>_Toc510071186</vt:lpwstr>
      </vt:variant>
      <vt:variant>
        <vt:i4>2031667</vt:i4>
      </vt:variant>
      <vt:variant>
        <vt:i4>1214</vt:i4>
      </vt:variant>
      <vt:variant>
        <vt:i4>0</vt:i4>
      </vt:variant>
      <vt:variant>
        <vt:i4>5</vt:i4>
      </vt:variant>
      <vt:variant>
        <vt:lpwstr/>
      </vt:variant>
      <vt:variant>
        <vt:lpwstr>_Toc510071185</vt:lpwstr>
      </vt:variant>
      <vt:variant>
        <vt:i4>2031667</vt:i4>
      </vt:variant>
      <vt:variant>
        <vt:i4>1208</vt:i4>
      </vt:variant>
      <vt:variant>
        <vt:i4>0</vt:i4>
      </vt:variant>
      <vt:variant>
        <vt:i4>5</vt:i4>
      </vt:variant>
      <vt:variant>
        <vt:lpwstr/>
      </vt:variant>
      <vt:variant>
        <vt:lpwstr>_Toc510071184</vt:lpwstr>
      </vt:variant>
      <vt:variant>
        <vt:i4>2031667</vt:i4>
      </vt:variant>
      <vt:variant>
        <vt:i4>1202</vt:i4>
      </vt:variant>
      <vt:variant>
        <vt:i4>0</vt:i4>
      </vt:variant>
      <vt:variant>
        <vt:i4>5</vt:i4>
      </vt:variant>
      <vt:variant>
        <vt:lpwstr/>
      </vt:variant>
      <vt:variant>
        <vt:lpwstr>_Toc510071183</vt:lpwstr>
      </vt:variant>
      <vt:variant>
        <vt:i4>2031667</vt:i4>
      </vt:variant>
      <vt:variant>
        <vt:i4>1196</vt:i4>
      </vt:variant>
      <vt:variant>
        <vt:i4>0</vt:i4>
      </vt:variant>
      <vt:variant>
        <vt:i4>5</vt:i4>
      </vt:variant>
      <vt:variant>
        <vt:lpwstr/>
      </vt:variant>
      <vt:variant>
        <vt:lpwstr>_Toc510071182</vt:lpwstr>
      </vt:variant>
      <vt:variant>
        <vt:i4>2031667</vt:i4>
      </vt:variant>
      <vt:variant>
        <vt:i4>1190</vt:i4>
      </vt:variant>
      <vt:variant>
        <vt:i4>0</vt:i4>
      </vt:variant>
      <vt:variant>
        <vt:i4>5</vt:i4>
      </vt:variant>
      <vt:variant>
        <vt:lpwstr/>
      </vt:variant>
      <vt:variant>
        <vt:lpwstr>_Toc510071181</vt:lpwstr>
      </vt:variant>
      <vt:variant>
        <vt:i4>2031667</vt:i4>
      </vt:variant>
      <vt:variant>
        <vt:i4>1184</vt:i4>
      </vt:variant>
      <vt:variant>
        <vt:i4>0</vt:i4>
      </vt:variant>
      <vt:variant>
        <vt:i4>5</vt:i4>
      </vt:variant>
      <vt:variant>
        <vt:lpwstr/>
      </vt:variant>
      <vt:variant>
        <vt:lpwstr>_Toc510071180</vt:lpwstr>
      </vt:variant>
      <vt:variant>
        <vt:i4>1048627</vt:i4>
      </vt:variant>
      <vt:variant>
        <vt:i4>1178</vt:i4>
      </vt:variant>
      <vt:variant>
        <vt:i4>0</vt:i4>
      </vt:variant>
      <vt:variant>
        <vt:i4>5</vt:i4>
      </vt:variant>
      <vt:variant>
        <vt:lpwstr/>
      </vt:variant>
      <vt:variant>
        <vt:lpwstr>_Toc510071179</vt:lpwstr>
      </vt:variant>
      <vt:variant>
        <vt:i4>1048627</vt:i4>
      </vt:variant>
      <vt:variant>
        <vt:i4>1172</vt:i4>
      </vt:variant>
      <vt:variant>
        <vt:i4>0</vt:i4>
      </vt:variant>
      <vt:variant>
        <vt:i4>5</vt:i4>
      </vt:variant>
      <vt:variant>
        <vt:lpwstr/>
      </vt:variant>
      <vt:variant>
        <vt:lpwstr>_Toc510071178</vt:lpwstr>
      </vt:variant>
      <vt:variant>
        <vt:i4>1048627</vt:i4>
      </vt:variant>
      <vt:variant>
        <vt:i4>1166</vt:i4>
      </vt:variant>
      <vt:variant>
        <vt:i4>0</vt:i4>
      </vt:variant>
      <vt:variant>
        <vt:i4>5</vt:i4>
      </vt:variant>
      <vt:variant>
        <vt:lpwstr/>
      </vt:variant>
      <vt:variant>
        <vt:lpwstr>_Toc510071177</vt:lpwstr>
      </vt:variant>
      <vt:variant>
        <vt:i4>1048627</vt:i4>
      </vt:variant>
      <vt:variant>
        <vt:i4>1160</vt:i4>
      </vt:variant>
      <vt:variant>
        <vt:i4>0</vt:i4>
      </vt:variant>
      <vt:variant>
        <vt:i4>5</vt:i4>
      </vt:variant>
      <vt:variant>
        <vt:lpwstr/>
      </vt:variant>
      <vt:variant>
        <vt:lpwstr>_Toc510071176</vt:lpwstr>
      </vt:variant>
      <vt:variant>
        <vt:i4>1048627</vt:i4>
      </vt:variant>
      <vt:variant>
        <vt:i4>1154</vt:i4>
      </vt:variant>
      <vt:variant>
        <vt:i4>0</vt:i4>
      </vt:variant>
      <vt:variant>
        <vt:i4>5</vt:i4>
      </vt:variant>
      <vt:variant>
        <vt:lpwstr/>
      </vt:variant>
      <vt:variant>
        <vt:lpwstr>_Toc510071175</vt:lpwstr>
      </vt:variant>
      <vt:variant>
        <vt:i4>1048627</vt:i4>
      </vt:variant>
      <vt:variant>
        <vt:i4>1148</vt:i4>
      </vt:variant>
      <vt:variant>
        <vt:i4>0</vt:i4>
      </vt:variant>
      <vt:variant>
        <vt:i4>5</vt:i4>
      </vt:variant>
      <vt:variant>
        <vt:lpwstr/>
      </vt:variant>
      <vt:variant>
        <vt:lpwstr>_Toc510071174</vt:lpwstr>
      </vt:variant>
      <vt:variant>
        <vt:i4>1048627</vt:i4>
      </vt:variant>
      <vt:variant>
        <vt:i4>1142</vt:i4>
      </vt:variant>
      <vt:variant>
        <vt:i4>0</vt:i4>
      </vt:variant>
      <vt:variant>
        <vt:i4>5</vt:i4>
      </vt:variant>
      <vt:variant>
        <vt:lpwstr/>
      </vt:variant>
      <vt:variant>
        <vt:lpwstr>_Toc510071173</vt:lpwstr>
      </vt:variant>
      <vt:variant>
        <vt:i4>1048627</vt:i4>
      </vt:variant>
      <vt:variant>
        <vt:i4>1136</vt:i4>
      </vt:variant>
      <vt:variant>
        <vt:i4>0</vt:i4>
      </vt:variant>
      <vt:variant>
        <vt:i4>5</vt:i4>
      </vt:variant>
      <vt:variant>
        <vt:lpwstr/>
      </vt:variant>
      <vt:variant>
        <vt:lpwstr>_Toc510071172</vt:lpwstr>
      </vt:variant>
      <vt:variant>
        <vt:i4>1048627</vt:i4>
      </vt:variant>
      <vt:variant>
        <vt:i4>1130</vt:i4>
      </vt:variant>
      <vt:variant>
        <vt:i4>0</vt:i4>
      </vt:variant>
      <vt:variant>
        <vt:i4>5</vt:i4>
      </vt:variant>
      <vt:variant>
        <vt:lpwstr/>
      </vt:variant>
      <vt:variant>
        <vt:lpwstr>_Toc510071171</vt:lpwstr>
      </vt:variant>
      <vt:variant>
        <vt:i4>1048627</vt:i4>
      </vt:variant>
      <vt:variant>
        <vt:i4>1124</vt:i4>
      </vt:variant>
      <vt:variant>
        <vt:i4>0</vt:i4>
      </vt:variant>
      <vt:variant>
        <vt:i4>5</vt:i4>
      </vt:variant>
      <vt:variant>
        <vt:lpwstr/>
      </vt:variant>
      <vt:variant>
        <vt:lpwstr>_Toc510071170</vt:lpwstr>
      </vt:variant>
      <vt:variant>
        <vt:i4>1114163</vt:i4>
      </vt:variant>
      <vt:variant>
        <vt:i4>1118</vt:i4>
      </vt:variant>
      <vt:variant>
        <vt:i4>0</vt:i4>
      </vt:variant>
      <vt:variant>
        <vt:i4>5</vt:i4>
      </vt:variant>
      <vt:variant>
        <vt:lpwstr/>
      </vt:variant>
      <vt:variant>
        <vt:lpwstr>_Toc510071169</vt:lpwstr>
      </vt:variant>
      <vt:variant>
        <vt:i4>1114163</vt:i4>
      </vt:variant>
      <vt:variant>
        <vt:i4>1112</vt:i4>
      </vt:variant>
      <vt:variant>
        <vt:i4>0</vt:i4>
      </vt:variant>
      <vt:variant>
        <vt:i4>5</vt:i4>
      </vt:variant>
      <vt:variant>
        <vt:lpwstr/>
      </vt:variant>
      <vt:variant>
        <vt:lpwstr>_Toc510071168</vt:lpwstr>
      </vt:variant>
      <vt:variant>
        <vt:i4>1114163</vt:i4>
      </vt:variant>
      <vt:variant>
        <vt:i4>1106</vt:i4>
      </vt:variant>
      <vt:variant>
        <vt:i4>0</vt:i4>
      </vt:variant>
      <vt:variant>
        <vt:i4>5</vt:i4>
      </vt:variant>
      <vt:variant>
        <vt:lpwstr/>
      </vt:variant>
      <vt:variant>
        <vt:lpwstr>_Toc510071167</vt:lpwstr>
      </vt:variant>
      <vt:variant>
        <vt:i4>1114163</vt:i4>
      </vt:variant>
      <vt:variant>
        <vt:i4>1100</vt:i4>
      </vt:variant>
      <vt:variant>
        <vt:i4>0</vt:i4>
      </vt:variant>
      <vt:variant>
        <vt:i4>5</vt:i4>
      </vt:variant>
      <vt:variant>
        <vt:lpwstr/>
      </vt:variant>
      <vt:variant>
        <vt:lpwstr>_Toc510071166</vt:lpwstr>
      </vt:variant>
      <vt:variant>
        <vt:i4>1114163</vt:i4>
      </vt:variant>
      <vt:variant>
        <vt:i4>1094</vt:i4>
      </vt:variant>
      <vt:variant>
        <vt:i4>0</vt:i4>
      </vt:variant>
      <vt:variant>
        <vt:i4>5</vt:i4>
      </vt:variant>
      <vt:variant>
        <vt:lpwstr/>
      </vt:variant>
      <vt:variant>
        <vt:lpwstr>_Toc510071165</vt:lpwstr>
      </vt:variant>
      <vt:variant>
        <vt:i4>1114163</vt:i4>
      </vt:variant>
      <vt:variant>
        <vt:i4>1088</vt:i4>
      </vt:variant>
      <vt:variant>
        <vt:i4>0</vt:i4>
      </vt:variant>
      <vt:variant>
        <vt:i4>5</vt:i4>
      </vt:variant>
      <vt:variant>
        <vt:lpwstr/>
      </vt:variant>
      <vt:variant>
        <vt:lpwstr>_Toc510071164</vt:lpwstr>
      </vt:variant>
      <vt:variant>
        <vt:i4>1114163</vt:i4>
      </vt:variant>
      <vt:variant>
        <vt:i4>1082</vt:i4>
      </vt:variant>
      <vt:variant>
        <vt:i4>0</vt:i4>
      </vt:variant>
      <vt:variant>
        <vt:i4>5</vt:i4>
      </vt:variant>
      <vt:variant>
        <vt:lpwstr/>
      </vt:variant>
      <vt:variant>
        <vt:lpwstr>_Toc510071163</vt:lpwstr>
      </vt:variant>
      <vt:variant>
        <vt:i4>1114163</vt:i4>
      </vt:variant>
      <vt:variant>
        <vt:i4>1076</vt:i4>
      </vt:variant>
      <vt:variant>
        <vt:i4>0</vt:i4>
      </vt:variant>
      <vt:variant>
        <vt:i4>5</vt:i4>
      </vt:variant>
      <vt:variant>
        <vt:lpwstr/>
      </vt:variant>
      <vt:variant>
        <vt:lpwstr>_Toc510071162</vt:lpwstr>
      </vt:variant>
      <vt:variant>
        <vt:i4>1114163</vt:i4>
      </vt:variant>
      <vt:variant>
        <vt:i4>1070</vt:i4>
      </vt:variant>
      <vt:variant>
        <vt:i4>0</vt:i4>
      </vt:variant>
      <vt:variant>
        <vt:i4>5</vt:i4>
      </vt:variant>
      <vt:variant>
        <vt:lpwstr/>
      </vt:variant>
      <vt:variant>
        <vt:lpwstr>_Toc510071161</vt:lpwstr>
      </vt:variant>
      <vt:variant>
        <vt:i4>1114163</vt:i4>
      </vt:variant>
      <vt:variant>
        <vt:i4>1064</vt:i4>
      </vt:variant>
      <vt:variant>
        <vt:i4>0</vt:i4>
      </vt:variant>
      <vt:variant>
        <vt:i4>5</vt:i4>
      </vt:variant>
      <vt:variant>
        <vt:lpwstr/>
      </vt:variant>
      <vt:variant>
        <vt:lpwstr>_Toc510071160</vt:lpwstr>
      </vt:variant>
      <vt:variant>
        <vt:i4>1179699</vt:i4>
      </vt:variant>
      <vt:variant>
        <vt:i4>1058</vt:i4>
      </vt:variant>
      <vt:variant>
        <vt:i4>0</vt:i4>
      </vt:variant>
      <vt:variant>
        <vt:i4>5</vt:i4>
      </vt:variant>
      <vt:variant>
        <vt:lpwstr/>
      </vt:variant>
      <vt:variant>
        <vt:lpwstr>_Toc510071159</vt:lpwstr>
      </vt:variant>
      <vt:variant>
        <vt:i4>1179699</vt:i4>
      </vt:variant>
      <vt:variant>
        <vt:i4>1052</vt:i4>
      </vt:variant>
      <vt:variant>
        <vt:i4>0</vt:i4>
      </vt:variant>
      <vt:variant>
        <vt:i4>5</vt:i4>
      </vt:variant>
      <vt:variant>
        <vt:lpwstr/>
      </vt:variant>
      <vt:variant>
        <vt:lpwstr>_Toc510071158</vt:lpwstr>
      </vt:variant>
      <vt:variant>
        <vt:i4>1179699</vt:i4>
      </vt:variant>
      <vt:variant>
        <vt:i4>1046</vt:i4>
      </vt:variant>
      <vt:variant>
        <vt:i4>0</vt:i4>
      </vt:variant>
      <vt:variant>
        <vt:i4>5</vt:i4>
      </vt:variant>
      <vt:variant>
        <vt:lpwstr/>
      </vt:variant>
      <vt:variant>
        <vt:lpwstr>_Toc510071157</vt:lpwstr>
      </vt:variant>
      <vt:variant>
        <vt:i4>1179699</vt:i4>
      </vt:variant>
      <vt:variant>
        <vt:i4>1040</vt:i4>
      </vt:variant>
      <vt:variant>
        <vt:i4>0</vt:i4>
      </vt:variant>
      <vt:variant>
        <vt:i4>5</vt:i4>
      </vt:variant>
      <vt:variant>
        <vt:lpwstr/>
      </vt:variant>
      <vt:variant>
        <vt:lpwstr>_Toc510071156</vt:lpwstr>
      </vt:variant>
      <vt:variant>
        <vt:i4>1179699</vt:i4>
      </vt:variant>
      <vt:variant>
        <vt:i4>1034</vt:i4>
      </vt:variant>
      <vt:variant>
        <vt:i4>0</vt:i4>
      </vt:variant>
      <vt:variant>
        <vt:i4>5</vt:i4>
      </vt:variant>
      <vt:variant>
        <vt:lpwstr/>
      </vt:variant>
      <vt:variant>
        <vt:lpwstr>_Toc510071155</vt:lpwstr>
      </vt:variant>
      <vt:variant>
        <vt:i4>1179699</vt:i4>
      </vt:variant>
      <vt:variant>
        <vt:i4>1028</vt:i4>
      </vt:variant>
      <vt:variant>
        <vt:i4>0</vt:i4>
      </vt:variant>
      <vt:variant>
        <vt:i4>5</vt:i4>
      </vt:variant>
      <vt:variant>
        <vt:lpwstr/>
      </vt:variant>
      <vt:variant>
        <vt:lpwstr>_Toc510071154</vt:lpwstr>
      </vt:variant>
      <vt:variant>
        <vt:i4>1179699</vt:i4>
      </vt:variant>
      <vt:variant>
        <vt:i4>1022</vt:i4>
      </vt:variant>
      <vt:variant>
        <vt:i4>0</vt:i4>
      </vt:variant>
      <vt:variant>
        <vt:i4>5</vt:i4>
      </vt:variant>
      <vt:variant>
        <vt:lpwstr/>
      </vt:variant>
      <vt:variant>
        <vt:lpwstr>_Toc510071153</vt:lpwstr>
      </vt:variant>
      <vt:variant>
        <vt:i4>1179699</vt:i4>
      </vt:variant>
      <vt:variant>
        <vt:i4>1016</vt:i4>
      </vt:variant>
      <vt:variant>
        <vt:i4>0</vt:i4>
      </vt:variant>
      <vt:variant>
        <vt:i4>5</vt:i4>
      </vt:variant>
      <vt:variant>
        <vt:lpwstr/>
      </vt:variant>
      <vt:variant>
        <vt:lpwstr>_Toc510071152</vt:lpwstr>
      </vt:variant>
      <vt:variant>
        <vt:i4>1179699</vt:i4>
      </vt:variant>
      <vt:variant>
        <vt:i4>1010</vt:i4>
      </vt:variant>
      <vt:variant>
        <vt:i4>0</vt:i4>
      </vt:variant>
      <vt:variant>
        <vt:i4>5</vt:i4>
      </vt:variant>
      <vt:variant>
        <vt:lpwstr/>
      </vt:variant>
      <vt:variant>
        <vt:lpwstr>_Toc510071151</vt:lpwstr>
      </vt:variant>
      <vt:variant>
        <vt:i4>1179699</vt:i4>
      </vt:variant>
      <vt:variant>
        <vt:i4>1004</vt:i4>
      </vt:variant>
      <vt:variant>
        <vt:i4>0</vt:i4>
      </vt:variant>
      <vt:variant>
        <vt:i4>5</vt:i4>
      </vt:variant>
      <vt:variant>
        <vt:lpwstr/>
      </vt:variant>
      <vt:variant>
        <vt:lpwstr>_Toc510071150</vt:lpwstr>
      </vt:variant>
      <vt:variant>
        <vt:i4>1245235</vt:i4>
      </vt:variant>
      <vt:variant>
        <vt:i4>998</vt:i4>
      </vt:variant>
      <vt:variant>
        <vt:i4>0</vt:i4>
      </vt:variant>
      <vt:variant>
        <vt:i4>5</vt:i4>
      </vt:variant>
      <vt:variant>
        <vt:lpwstr/>
      </vt:variant>
      <vt:variant>
        <vt:lpwstr>_Toc510071149</vt:lpwstr>
      </vt:variant>
      <vt:variant>
        <vt:i4>1245235</vt:i4>
      </vt:variant>
      <vt:variant>
        <vt:i4>992</vt:i4>
      </vt:variant>
      <vt:variant>
        <vt:i4>0</vt:i4>
      </vt:variant>
      <vt:variant>
        <vt:i4>5</vt:i4>
      </vt:variant>
      <vt:variant>
        <vt:lpwstr/>
      </vt:variant>
      <vt:variant>
        <vt:lpwstr>_Toc510071148</vt:lpwstr>
      </vt:variant>
      <vt:variant>
        <vt:i4>1245235</vt:i4>
      </vt:variant>
      <vt:variant>
        <vt:i4>986</vt:i4>
      </vt:variant>
      <vt:variant>
        <vt:i4>0</vt:i4>
      </vt:variant>
      <vt:variant>
        <vt:i4>5</vt:i4>
      </vt:variant>
      <vt:variant>
        <vt:lpwstr/>
      </vt:variant>
      <vt:variant>
        <vt:lpwstr>_Toc510071147</vt:lpwstr>
      </vt:variant>
      <vt:variant>
        <vt:i4>1245235</vt:i4>
      </vt:variant>
      <vt:variant>
        <vt:i4>980</vt:i4>
      </vt:variant>
      <vt:variant>
        <vt:i4>0</vt:i4>
      </vt:variant>
      <vt:variant>
        <vt:i4>5</vt:i4>
      </vt:variant>
      <vt:variant>
        <vt:lpwstr/>
      </vt:variant>
      <vt:variant>
        <vt:lpwstr>_Toc510071146</vt:lpwstr>
      </vt:variant>
      <vt:variant>
        <vt:i4>1245235</vt:i4>
      </vt:variant>
      <vt:variant>
        <vt:i4>974</vt:i4>
      </vt:variant>
      <vt:variant>
        <vt:i4>0</vt:i4>
      </vt:variant>
      <vt:variant>
        <vt:i4>5</vt:i4>
      </vt:variant>
      <vt:variant>
        <vt:lpwstr/>
      </vt:variant>
      <vt:variant>
        <vt:lpwstr>_Toc510071145</vt:lpwstr>
      </vt:variant>
      <vt:variant>
        <vt:i4>1245235</vt:i4>
      </vt:variant>
      <vt:variant>
        <vt:i4>968</vt:i4>
      </vt:variant>
      <vt:variant>
        <vt:i4>0</vt:i4>
      </vt:variant>
      <vt:variant>
        <vt:i4>5</vt:i4>
      </vt:variant>
      <vt:variant>
        <vt:lpwstr/>
      </vt:variant>
      <vt:variant>
        <vt:lpwstr>_Toc510071144</vt:lpwstr>
      </vt:variant>
      <vt:variant>
        <vt:i4>1245235</vt:i4>
      </vt:variant>
      <vt:variant>
        <vt:i4>962</vt:i4>
      </vt:variant>
      <vt:variant>
        <vt:i4>0</vt:i4>
      </vt:variant>
      <vt:variant>
        <vt:i4>5</vt:i4>
      </vt:variant>
      <vt:variant>
        <vt:lpwstr/>
      </vt:variant>
      <vt:variant>
        <vt:lpwstr>_Toc510071143</vt:lpwstr>
      </vt:variant>
      <vt:variant>
        <vt:i4>1245235</vt:i4>
      </vt:variant>
      <vt:variant>
        <vt:i4>956</vt:i4>
      </vt:variant>
      <vt:variant>
        <vt:i4>0</vt:i4>
      </vt:variant>
      <vt:variant>
        <vt:i4>5</vt:i4>
      </vt:variant>
      <vt:variant>
        <vt:lpwstr/>
      </vt:variant>
      <vt:variant>
        <vt:lpwstr>_Toc510071142</vt:lpwstr>
      </vt:variant>
      <vt:variant>
        <vt:i4>1245235</vt:i4>
      </vt:variant>
      <vt:variant>
        <vt:i4>950</vt:i4>
      </vt:variant>
      <vt:variant>
        <vt:i4>0</vt:i4>
      </vt:variant>
      <vt:variant>
        <vt:i4>5</vt:i4>
      </vt:variant>
      <vt:variant>
        <vt:lpwstr/>
      </vt:variant>
      <vt:variant>
        <vt:lpwstr>_Toc510071141</vt:lpwstr>
      </vt:variant>
      <vt:variant>
        <vt:i4>1245235</vt:i4>
      </vt:variant>
      <vt:variant>
        <vt:i4>944</vt:i4>
      </vt:variant>
      <vt:variant>
        <vt:i4>0</vt:i4>
      </vt:variant>
      <vt:variant>
        <vt:i4>5</vt:i4>
      </vt:variant>
      <vt:variant>
        <vt:lpwstr/>
      </vt:variant>
      <vt:variant>
        <vt:lpwstr>_Toc510071140</vt:lpwstr>
      </vt:variant>
      <vt:variant>
        <vt:i4>1310771</vt:i4>
      </vt:variant>
      <vt:variant>
        <vt:i4>938</vt:i4>
      </vt:variant>
      <vt:variant>
        <vt:i4>0</vt:i4>
      </vt:variant>
      <vt:variant>
        <vt:i4>5</vt:i4>
      </vt:variant>
      <vt:variant>
        <vt:lpwstr/>
      </vt:variant>
      <vt:variant>
        <vt:lpwstr>_Toc510071139</vt:lpwstr>
      </vt:variant>
      <vt:variant>
        <vt:i4>1310771</vt:i4>
      </vt:variant>
      <vt:variant>
        <vt:i4>932</vt:i4>
      </vt:variant>
      <vt:variant>
        <vt:i4>0</vt:i4>
      </vt:variant>
      <vt:variant>
        <vt:i4>5</vt:i4>
      </vt:variant>
      <vt:variant>
        <vt:lpwstr/>
      </vt:variant>
      <vt:variant>
        <vt:lpwstr>_Toc510071138</vt:lpwstr>
      </vt:variant>
      <vt:variant>
        <vt:i4>1310771</vt:i4>
      </vt:variant>
      <vt:variant>
        <vt:i4>926</vt:i4>
      </vt:variant>
      <vt:variant>
        <vt:i4>0</vt:i4>
      </vt:variant>
      <vt:variant>
        <vt:i4>5</vt:i4>
      </vt:variant>
      <vt:variant>
        <vt:lpwstr/>
      </vt:variant>
      <vt:variant>
        <vt:lpwstr>_Toc510071137</vt:lpwstr>
      </vt:variant>
      <vt:variant>
        <vt:i4>1310771</vt:i4>
      </vt:variant>
      <vt:variant>
        <vt:i4>920</vt:i4>
      </vt:variant>
      <vt:variant>
        <vt:i4>0</vt:i4>
      </vt:variant>
      <vt:variant>
        <vt:i4>5</vt:i4>
      </vt:variant>
      <vt:variant>
        <vt:lpwstr/>
      </vt:variant>
      <vt:variant>
        <vt:lpwstr>_Toc510071136</vt:lpwstr>
      </vt:variant>
      <vt:variant>
        <vt:i4>1310771</vt:i4>
      </vt:variant>
      <vt:variant>
        <vt:i4>914</vt:i4>
      </vt:variant>
      <vt:variant>
        <vt:i4>0</vt:i4>
      </vt:variant>
      <vt:variant>
        <vt:i4>5</vt:i4>
      </vt:variant>
      <vt:variant>
        <vt:lpwstr/>
      </vt:variant>
      <vt:variant>
        <vt:lpwstr>_Toc510071135</vt:lpwstr>
      </vt:variant>
      <vt:variant>
        <vt:i4>1310771</vt:i4>
      </vt:variant>
      <vt:variant>
        <vt:i4>908</vt:i4>
      </vt:variant>
      <vt:variant>
        <vt:i4>0</vt:i4>
      </vt:variant>
      <vt:variant>
        <vt:i4>5</vt:i4>
      </vt:variant>
      <vt:variant>
        <vt:lpwstr/>
      </vt:variant>
      <vt:variant>
        <vt:lpwstr>_Toc510071134</vt:lpwstr>
      </vt:variant>
      <vt:variant>
        <vt:i4>1310771</vt:i4>
      </vt:variant>
      <vt:variant>
        <vt:i4>902</vt:i4>
      </vt:variant>
      <vt:variant>
        <vt:i4>0</vt:i4>
      </vt:variant>
      <vt:variant>
        <vt:i4>5</vt:i4>
      </vt:variant>
      <vt:variant>
        <vt:lpwstr/>
      </vt:variant>
      <vt:variant>
        <vt:lpwstr>_Toc510071133</vt:lpwstr>
      </vt:variant>
      <vt:variant>
        <vt:i4>1310771</vt:i4>
      </vt:variant>
      <vt:variant>
        <vt:i4>896</vt:i4>
      </vt:variant>
      <vt:variant>
        <vt:i4>0</vt:i4>
      </vt:variant>
      <vt:variant>
        <vt:i4>5</vt:i4>
      </vt:variant>
      <vt:variant>
        <vt:lpwstr/>
      </vt:variant>
      <vt:variant>
        <vt:lpwstr>_Toc510071132</vt:lpwstr>
      </vt:variant>
      <vt:variant>
        <vt:i4>1310771</vt:i4>
      </vt:variant>
      <vt:variant>
        <vt:i4>890</vt:i4>
      </vt:variant>
      <vt:variant>
        <vt:i4>0</vt:i4>
      </vt:variant>
      <vt:variant>
        <vt:i4>5</vt:i4>
      </vt:variant>
      <vt:variant>
        <vt:lpwstr/>
      </vt:variant>
      <vt:variant>
        <vt:lpwstr>_Toc510071131</vt:lpwstr>
      </vt:variant>
      <vt:variant>
        <vt:i4>1310771</vt:i4>
      </vt:variant>
      <vt:variant>
        <vt:i4>884</vt:i4>
      </vt:variant>
      <vt:variant>
        <vt:i4>0</vt:i4>
      </vt:variant>
      <vt:variant>
        <vt:i4>5</vt:i4>
      </vt:variant>
      <vt:variant>
        <vt:lpwstr/>
      </vt:variant>
      <vt:variant>
        <vt:lpwstr>_Toc510071130</vt:lpwstr>
      </vt:variant>
      <vt:variant>
        <vt:i4>1376307</vt:i4>
      </vt:variant>
      <vt:variant>
        <vt:i4>878</vt:i4>
      </vt:variant>
      <vt:variant>
        <vt:i4>0</vt:i4>
      </vt:variant>
      <vt:variant>
        <vt:i4>5</vt:i4>
      </vt:variant>
      <vt:variant>
        <vt:lpwstr/>
      </vt:variant>
      <vt:variant>
        <vt:lpwstr>_Toc510071129</vt:lpwstr>
      </vt:variant>
      <vt:variant>
        <vt:i4>1376307</vt:i4>
      </vt:variant>
      <vt:variant>
        <vt:i4>872</vt:i4>
      </vt:variant>
      <vt:variant>
        <vt:i4>0</vt:i4>
      </vt:variant>
      <vt:variant>
        <vt:i4>5</vt:i4>
      </vt:variant>
      <vt:variant>
        <vt:lpwstr/>
      </vt:variant>
      <vt:variant>
        <vt:lpwstr>_Toc510071128</vt:lpwstr>
      </vt:variant>
      <vt:variant>
        <vt:i4>1376307</vt:i4>
      </vt:variant>
      <vt:variant>
        <vt:i4>866</vt:i4>
      </vt:variant>
      <vt:variant>
        <vt:i4>0</vt:i4>
      </vt:variant>
      <vt:variant>
        <vt:i4>5</vt:i4>
      </vt:variant>
      <vt:variant>
        <vt:lpwstr/>
      </vt:variant>
      <vt:variant>
        <vt:lpwstr>_Toc510071127</vt:lpwstr>
      </vt:variant>
      <vt:variant>
        <vt:i4>1376307</vt:i4>
      </vt:variant>
      <vt:variant>
        <vt:i4>860</vt:i4>
      </vt:variant>
      <vt:variant>
        <vt:i4>0</vt:i4>
      </vt:variant>
      <vt:variant>
        <vt:i4>5</vt:i4>
      </vt:variant>
      <vt:variant>
        <vt:lpwstr/>
      </vt:variant>
      <vt:variant>
        <vt:lpwstr>_Toc510071126</vt:lpwstr>
      </vt:variant>
      <vt:variant>
        <vt:i4>1376307</vt:i4>
      </vt:variant>
      <vt:variant>
        <vt:i4>854</vt:i4>
      </vt:variant>
      <vt:variant>
        <vt:i4>0</vt:i4>
      </vt:variant>
      <vt:variant>
        <vt:i4>5</vt:i4>
      </vt:variant>
      <vt:variant>
        <vt:lpwstr/>
      </vt:variant>
      <vt:variant>
        <vt:lpwstr>_Toc510071125</vt:lpwstr>
      </vt:variant>
      <vt:variant>
        <vt:i4>1376307</vt:i4>
      </vt:variant>
      <vt:variant>
        <vt:i4>848</vt:i4>
      </vt:variant>
      <vt:variant>
        <vt:i4>0</vt:i4>
      </vt:variant>
      <vt:variant>
        <vt:i4>5</vt:i4>
      </vt:variant>
      <vt:variant>
        <vt:lpwstr/>
      </vt:variant>
      <vt:variant>
        <vt:lpwstr>_Toc510071124</vt:lpwstr>
      </vt:variant>
      <vt:variant>
        <vt:i4>1376307</vt:i4>
      </vt:variant>
      <vt:variant>
        <vt:i4>842</vt:i4>
      </vt:variant>
      <vt:variant>
        <vt:i4>0</vt:i4>
      </vt:variant>
      <vt:variant>
        <vt:i4>5</vt:i4>
      </vt:variant>
      <vt:variant>
        <vt:lpwstr/>
      </vt:variant>
      <vt:variant>
        <vt:lpwstr>_Toc510071123</vt:lpwstr>
      </vt:variant>
      <vt:variant>
        <vt:i4>1376307</vt:i4>
      </vt:variant>
      <vt:variant>
        <vt:i4>836</vt:i4>
      </vt:variant>
      <vt:variant>
        <vt:i4>0</vt:i4>
      </vt:variant>
      <vt:variant>
        <vt:i4>5</vt:i4>
      </vt:variant>
      <vt:variant>
        <vt:lpwstr/>
      </vt:variant>
      <vt:variant>
        <vt:lpwstr>_Toc510071122</vt:lpwstr>
      </vt:variant>
      <vt:variant>
        <vt:i4>1376307</vt:i4>
      </vt:variant>
      <vt:variant>
        <vt:i4>830</vt:i4>
      </vt:variant>
      <vt:variant>
        <vt:i4>0</vt:i4>
      </vt:variant>
      <vt:variant>
        <vt:i4>5</vt:i4>
      </vt:variant>
      <vt:variant>
        <vt:lpwstr/>
      </vt:variant>
      <vt:variant>
        <vt:lpwstr>_Toc510071121</vt:lpwstr>
      </vt:variant>
      <vt:variant>
        <vt:i4>1376307</vt:i4>
      </vt:variant>
      <vt:variant>
        <vt:i4>824</vt:i4>
      </vt:variant>
      <vt:variant>
        <vt:i4>0</vt:i4>
      </vt:variant>
      <vt:variant>
        <vt:i4>5</vt:i4>
      </vt:variant>
      <vt:variant>
        <vt:lpwstr/>
      </vt:variant>
      <vt:variant>
        <vt:lpwstr>_Toc510071120</vt:lpwstr>
      </vt:variant>
      <vt:variant>
        <vt:i4>1441843</vt:i4>
      </vt:variant>
      <vt:variant>
        <vt:i4>818</vt:i4>
      </vt:variant>
      <vt:variant>
        <vt:i4>0</vt:i4>
      </vt:variant>
      <vt:variant>
        <vt:i4>5</vt:i4>
      </vt:variant>
      <vt:variant>
        <vt:lpwstr/>
      </vt:variant>
      <vt:variant>
        <vt:lpwstr>_Toc510071119</vt:lpwstr>
      </vt:variant>
      <vt:variant>
        <vt:i4>1441843</vt:i4>
      </vt:variant>
      <vt:variant>
        <vt:i4>812</vt:i4>
      </vt:variant>
      <vt:variant>
        <vt:i4>0</vt:i4>
      </vt:variant>
      <vt:variant>
        <vt:i4>5</vt:i4>
      </vt:variant>
      <vt:variant>
        <vt:lpwstr/>
      </vt:variant>
      <vt:variant>
        <vt:lpwstr>_Toc510071118</vt:lpwstr>
      </vt:variant>
      <vt:variant>
        <vt:i4>1441843</vt:i4>
      </vt:variant>
      <vt:variant>
        <vt:i4>806</vt:i4>
      </vt:variant>
      <vt:variant>
        <vt:i4>0</vt:i4>
      </vt:variant>
      <vt:variant>
        <vt:i4>5</vt:i4>
      </vt:variant>
      <vt:variant>
        <vt:lpwstr/>
      </vt:variant>
      <vt:variant>
        <vt:lpwstr>_Toc510071117</vt:lpwstr>
      </vt:variant>
      <vt:variant>
        <vt:i4>1441843</vt:i4>
      </vt:variant>
      <vt:variant>
        <vt:i4>800</vt:i4>
      </vt:variant>
      <vt:variant>
        <vt:i4>0</vt:i4>
      </vt:variant>
      <vt:variant>
        <vt:i4>5</vt:i4>
      </vt:variant>
      <vt:variant>
        <vt:lpwstr/>
      </vt:variant>
      <vt:variant>
        <vt:lpwstr>_Toc510071116</vt:lpwstr>
      </vt:variant>
      <vt:variant>
        <vt:i4>1441843</vt:i4>
      </vt:variant>
      <vt:variant>
        <vt:i4>794</vt:i4>
      </vt:variant>
      <vt:variant>
        <vt:i4>0</vt:i4>
      </vt:variant>
      <vt:variant>
        <vt:i4>5</vt:i4>
      </vt:variant>
      <vt:variant>
        <vt:lpwstr/>
      </vt:variant>
      <vt:variant>
        <vt:lpwstr>_Toc510071115</vt:lpwstr>
      </vt:variant>
      <vt:variant>
        <vt:i4>1441843</vt:i4>
      </vt:variant>
      <vt:variant>
        <vt:i4>788</vt:i4>
      </vt:variant>
      <vt:variant>
        <vt:i4>0</vt:i4>
      </vt:variant>
      <vt:variant>
        <vt:i4>5</vt:i4>
      </vt:variant>
      <vt:variant>
        <vt:lpwstr/>
      </vt:variant>
      <vt:variant>
        <vt:lpwstr>_Toc510071114</vt:lpwstr>
      </vt:variant>
      <vt:variant>
        <vt:i4>1441843</vt:i4>
      </vt:variant>
      <vt:variant>
        <vt:i4>782</vt:i4>
      </vt:variant>
      <vt:variant>
        <vt:i4>0</vt:i4>
      </vt:variant>
      <vt:variant>
        <vt:i4>5</vt:i4>
      </vt:variant>
      <vt:variant>
        <vt:lpwstr/>
      </vt:variant>
      <vt:variant>
        <vt:lpwstr>_Toc510071113</vt:lpwstr>
      </vt:variant>
      <vt:variant>
        <vt:i4>1441843</vt:i4>
      </vt:variant>
      <vt:variant>
        <vt:i4>776</vt:i4>
      </vt:variant>
      <vt:variant>
        <vt:i4>0</vt:i4>
      </vt:variant>
      <vt:variant>
        <vt:i4>5</vt:i4>
      </vt:variant>
      <vt:variant>
        <vt:lpwstr/>
      </vt:variant>
      <vt:variant>
        <vt:lpwstr>_Toc510071112</vt:lpwstr>
      </vt:variant>
      <vt:variant>
        <vt:i4>1441843</vt:i4>
      </vt:variant>
      <vt:variant>
        <vt:i4>770</vt:i4>
      </vt:variant>
      <vt:variant>
        <vt:i4>0</vt:i4>
      </vt:variant>
      <vt:variant>
        <vt:i4>5</vt:i4>
      </vt:variant>
      <vt:variant>
        <vt:lpwstr/>
      </vt:variant>
      <vt:variant>
        <vt:lpwstr>_Toc510071111</vt:lpwstr>
      </vt:variant>
      <vt:variant>
        <vt:i4>1441843</vt:i4>
      </vt:variant>
      <vt:variant>
        <vt:i4>764</vt:i4>
      </vt:variant>
      <vt:variant>
        <vt:i4>0</vt:i4>
      </vt:variant>
      <vt:variant>
        <vt:i4>5</vt:i4>
      </vt:variant>
      <vt:variant>
        <vt:lpwstr/>
      </vt:variant>
      <vt:variant>
        <vt:lpwstr>_Toc510071110</vt:lpwstr>
      </vt:variant>
      <vt:variant>
        <vt:i4>1507379</vt:i4>
      </vt:variant>
      <vt:variant>
        <vt:i4>758</vt:i4>
      </vt:variant>
      <vt:variant>
        <vt:i4>0</vt:i4>
      </vt:variant>
      <vt:variant>
        <vt:i4>5</vt:i4>
      </vt:variant>
      <vt:variant>
        <vt:lpwstr/>
      </vt:variant>
      <vt:variant>
        <vt:lpwstr>_Toc510071109</vt:lpwstr>
      </vt:variant>
      <vt:variant>
        <vt:i4>1507379</vt:i4>
      </vt:variant>
      <vt:variant>
        <vt:i4>752</vt:i4>
      </vt:variant>
      <vt:variant>
        <vt:i4>0</vt:i4>
      </vt:variant>
      <vt:variant>
        <vt:i4>5</vt:i4>
      </vt:variant>
      <vt:variant>
        <vt:lpwstr/>
      </vt:variant>
      <vt:variant>
        <vt:lpwstr>_Toc510071108</vt:lpwstr>
      </vt:variant>
      <vt:variant>
        <vt:i4>1507379</vt:i4>
      </vt:variant>
      <vt:variant>
        <vt:i4>746</vt:i4>
      </vt:variant>
      <vt:variant>
        <vt:i4>0</vt:i4>
      </vt:variant>
      <vt:variant>
        <vt:i4>5</vt:i4>
      </vt:variant>
      <vt:variant>
        <vt:lpwstr/>
      </vt:variant>
      <vt:variant>
        <vt:lpwstr>_Toc510071107</vt:lpwstr>
      </vt:variant>
      <vt:variant>
        <vt:i4>1507379</vt:i4>
      </vt:variant>
      <vt:variant>
        <vt:i4>740</vt:i4>
      </vt:variant>
      <vt:variant>
        <vt:i4>0</vt:i4>
      </vt:variant>
      <vt:variant>
        <vt:i4>5</vt:i4>
      </vt:variant>
      <vt:variant>
        <vt:lpwstr/>
      </vt:variant>
      <vt:variant>
        <vt:lpwstr>_Toc510071106</vt:lpwstr>
      </vt:variant>
      <vt:variant>
        <vt:i4>1507379</vt:i4>
      </vt:variant>
      <vt:variant>
        <vt:i4>734</vt:i4>
      </vt:variant>
      <vt:variant>
        <vt:i4>0</vt:i4>
      </vt:variant>
      <vt:variant>
        <vt:i4>5</vt:i4>
      </vt:variant>
      <vt:variant>
        <vt:lpwstr/>
      </vt:variant>
      <vt:variant>
        <vt:lpwstr>_Toc510071105</vt:lpwstr>
      </vt:variant>
      <vt:variant>
        <vt:i4>1507379</vt:i4>
      </vt:variant>
      <vt:variant>
        <vt:i4>728</vt:i4>
      </vt:variant>
      <vt:variant>
        <vt:i4>0</vt:i4>
      </vt:variant>
      <vt:variant>
        <vt:i4>5</vt:i4>
      </vt:variant>
      <vt:variant>
        <vt:lpwstr/>
      </vt:variant>
      <vt:variant>
        <vt:lpwstr>_Toc510071104</vt:lpwstr>
      </vt:variant>
      <vt:variant>
        <vt:i4>1507379</vt:i4>
      </vt:variant>
      <vt:variant>
        <vt:i4>722</vt:i4>
      </vt:variant>
      <vt:variant>
        <vt:i4>0</vt:i4>
      </vt:variant>
      <vt:variant>
        <vt:i4>5</vt:i4>
      </vt:variant>
      <vt:variant>
        <vt:lpwstr/>
      </vt:variant>
      <vt:variant>
        <vt:lpwstr>_Toc510071103</vt:lpwstr>
      </vt:variant>
      <vt:variant>
        <vt:i4>1507379</vt:i4>
      </vt:variant>
      <vt:variant>
        <vt:i4>716</vt:i4>
      </vt:variant>
      <vt:variant>
        <vt:i4>0</vt:i4>
      </vt:variant>
      <vt:variant>
        <vt:i4>5</vt:i4>
      </vt:variant>
      <vt:variant>
        <vt:lpwstr/>
      </vt:variant>
      <vt:variant>
        <vt:lpwstr>_Toc510071102</vt:lpwstr>
      </vt:variant>
      <vt:variant>
        <vt:i4>1507379</vt:i4>
      </vt:variant>
      <vt:variant>
        <vt:i4>710</vt:i4>
      </vt:variant>
      <vt:variant>
        <vt:i4>0</vt:i4>
      </vt:variant>
      <vt:variant>
        <vt:i4>5</vt:i4>
      </vt:variant>
      <vt:variant>
        <vt:lpwstr/>
      </vt:variant>
      <vt:variant>
        <vt:lpwstr>_Toc510071101</vt:lpwstr>
      </vt:variant>
      <vt:variant>
        <vt:i4>1507379</vt:i4>
      </vt:variant>
      <vt:variant>
        <vt:i4>704</vt:i4>
      </vt:variant>
      <vt:variant>
        <vt:i4>0</vt:i4>
      </vt:variant>
      <vt:variant>
        <vt:i4>5</vt:i4>
      </vt:variant>
      <vt:variant>
        <vt:lpwstr/>
      </vt:variant>
      <vt:variant>
        <vt:lpwstr>_Toc510071100</vt:lpwstr>
      </vt:variant>
      <vt:variant>
        <vt:i4>1966130</vt:i4>
      </vt:variant>
      <vt:variant>
        <vt:i4>698</vt:i4>
      </vt:variant>
      <vt:variant>
        <vt:i4>0</vt:i4>
      </vt:variant>
      <vt:variant>
        <vt:i4>5</vt:i4>
      </vt:variant>
      <vt:variant>
        <vt:lpwstr/>
      </vt:variant>
      <vt:variant>
        <vt:lpwstr>_Toc510071099</vt:lpwstr>
      </vt:variant>
      <vt:variant>
        <vt:i4>1966130</vt:i4>
      </vt:variant>
      <vt:variant>
        <vt:i4>692</vt:i4>
      </vt:variant>
      <vt:variant>
        <vt:i4>0</vt:i4>
      </vt:variant>
      <vt:variant>
        <vt:i4>5</vt:i4>
      </vt:variant>
      <vt:variant>
        <vt:lpwstr/>
      </vt:variant>
      <vt:variant>
        <vt:lpwstr>_Toc510071098</vt:lpwstr>
      </vt:variant>
      <vt:variant>
        <vt:i4>1966130</vt:i4>
      </vt:variant>
      <vt:variant>
        <vt:i4>686</vt:i4>
      </vt:variant>
      <vt:variant>
        <vt:i4>0</vt:i4>
      </vt:variant>
      <vt:variant>
        <vt:i4>5</vt:i4>
      </vt:variant>
      <vt:variant>
        <vt:lpwstr/>
      </vt:variant>
      <vt:variant>
        <vt:lpwstr>_Toc510071097</vt:lpwstr>
      </vt:variant>
      <vt:variant>
        <vt:i4>1966130</vt:i4>
      </vt:variant>
      <vt:variant>
        <vt:i4>680</vt:i4>
      </vt:variant>
      <vt:variant>
        <vt:i4>0</vt:i4>
      </vt:variant>
      <vt:variant>
        <vt:i4>5</vt:i4>
      </vt:variant>
      <vt:variant>
        <vt:lpwstr/>
      </vt:variant>
      <vt:variant>
        <vt:lpwstr>_Toc510071096</vt:lpwstr>
      </vt:variant>
      <vt:variant>
        <vt:i4>1966130</vt:i4>
      </vt:variant>
      <vt:variant>
        <vt:i4>674</vt:i4>
      </vt:variant>
      <vt:variant>
        <vt:i4>0</vt:i4>
      </vt:variant>
      <vt:variant>
        <vt:i4>5</vt:i4>
      </vt:variant>
      <vt:variant>
        <vt:lpwstr/>
      </vt:variant>
      <vt:variant>
        <vt:lpwstr>_Toc510071095</vt:lpwstr>
      </vt:variant>
      <vt:variant>
        <vt:i4>1966130</vt:i4>
      </vt:variant>
      <vt:variant>
        <vt:i4>668</vt:i4>
      </vt:variant>
      <vt:variant>
        <vt:i4>0</vt:i4>
      </vt:variant>
      <vt:variant>
        <vt:i4>5</vt:i4>
      </vt:variant>
      <vt:variant>
        <vt:lpwstr/>
      </vt:variant>
      <vt:variant>
        <vt:lpwstr>_Toc510071094</vt:lpwstr>
      </vt:variant>
      <vt:variant>
        <vt:i4>1966130</vt:i4>
      </vt:variant>
      <vt:variant>
        <vt:i4>662</vt:i4>
      </vt:variant>
      <vt:variant>
        <vt:i4>0</vt:i4>
      </vt:variant>
      <vt:variant>
        <vt:i4>5</vt:i4>
      </vt:variant>
      <vt:variant>
        <vt:lpwstr/>
      </vt:variant>
      <vt:variant>
        <vt:lpwstr>_Toc510071093</vt:lpwstr>
      </vt:variant>
      <vt:variant>
        <vt:i4>1966130</vt:i4>
      </vt:variant>
      <vt:variant>
        <vt:i4>656</vt:i4>
      </vt:variant>
      <vt:variant>
        <vt:i4>0</vt:i4>
      </vt:variant>
      <vt:variant>
        <vt:i4>5</vt:i4>
      </vt:variant>
      <vt:variant>
        <vt:lpwstr/>
      </vt:variant>
      <vt:variant>
        <vt:lpwstr>_Toc510071092</vt:lpwstr>
      </vt:variant>
      <vt:variant>
        <vt:i4>1966130</vt:i4>
      </vt:variant>
      <vt:variant>
        <vt:i4>650</vt:i4>
      </vt:variant>
      <vt:variant>
        <vt:i4>0</vt:i4>
      </vt:variant>
      <vt:variant>
        <vt:i4>5</vt:i4>
      </vt:variant>
      <vt:variant>
        <vt:lpwstr/>
      </vt:variant>
      <vt:variant>
        <vt:lpwstr>_Toc510071091</vt:lpwstr>
      </vt:variant>
      <vt:variant>
        <vt:i4>1966130</vt:i4>
      </vt:variant>
      <vt:variant>
        <vt:i4>644</vt:i4>
      </vt:variant>
      <vt:variant>
        <vt:i4>0</vt:i4>
      </vt:variant>
      <vt:variant>
        <vt:i4>5</vt:i4>
      </vt:variant>
      <vt:variant>
        <vt:lpwstr/>
      </vt:variant>
      <vt:variant>
        <vt:lpwstr>_Toc510071090</vt:lpwstr>
      </vt:variant>
      <vt:variant>
        <vt:i4>2031666</vt:i4>
      </vt:variant>
      <vt:variant>
        <vt:i4>638</vt:i4>
      </vt:variant>
      <vt:variant>
        <vt:i4>0</vt:i4>
      </vt:variant>
      <vt:variant>
        <vt:i4>5</vt:i4>
      </vt:variant>
      <vt:variant>
        <vt:lpwstr/>
      </vt:variant>
      <vt:variant>
        <vt:lpwstr>_Toc510071089</vt:lpwstr>
      </vt:variant>
      <vt:variant>
        <vt:i4>2031666</vt:i4>
      </vt:variant>
      <vt:variant>
        <vt:i4>632</vt:i4>
      </vt:variant>
      <vt:variant>
        <vt:i4>0</vt:i4>
      </vt:variant>
      <vt:variant>
        <vt:i4>5</vt:i4>
      </vt:variant>
      <vt:variant>
        <vt:lpwstr/>
      </vt:variant>
      <vt:variant>
        <vt:lpwstr>_Toc510071088</vt:lpwstr>
      </vt:variant>
      <vt:variant>
        <vt:i4>2031666</vt:i4>
      </vt:variant>
      <vt:variant>
        <vt:i4>626</vt:i4>
      </vt:variant>
      <vt:variant>
        <vt:i4>0</vt:i4>
      </vt:variant>
      <vt:variant>
        <vt:i4>5</vt:i4>
      </vt:variant>
      <vt:variant>
        <vt:lpwstr/>
      </vt:variant>
      <vt:variant>
        <vt:lpwstr>_Toc510071087</vt:lpwstr>
      </vt:variant>
      <vt:variant>
        <vt:i4>2031666</vt:i4>
      </vt:variant>
      <vt:variant>
        <vt:i4>620</vt:i4>
      </vt:variant>
      <vt:variant>
        <vt:i4>0</vt:i4>
      </vt:variant>
      <vt:variant>
        <vt:i4>5</vt:i4>
      </vt:variant>
      <vt:variant>
        <vt:lpwstr/>
      </vt:variant>
      <vt:variant>
        <vt:lpwstr>_Toc510071086</vt:lpwstr>
      </vt:variant>
      <vt:variant>
        <vt:i4>2031666</vt:i4>
      </vt:variant>
      <vt:variant>
        <vt:i4>614</vt:i4>
      </vt:variant>
      <vt:variant>
        <vt:i4>0</vt:i4>
      </vt:variant>
      <vt:variant>
        <vt:i4>5</vt:i4>
      </vt:variant>
      <vt:variant>
        <vt:lpwstr/>
      </vt:variant>
      <vt:variant>
        <vt:lpwstr>_Toc510071085</vt:lpwstr>
      </vt:variant>
      <vt:variant>
        <vt:i4>2031666</vt:i4>
      </vt:variant>
      <vt:variant>
        <vt:i4>608</vt:i4>
      </vt:variant>
      <vt:variant>
        <vt:i4>0</vt:i4>
      </vt:variant>
      <vt:variant>
        <vt:i4>5</vt:i4>
      </vt:variant>
      <vt:variant>
        <vt:lpwstr/>
      </vt:variant>
      <vt:variant>
        <vt:lpwstr>_Toc510071084</vt:lpwstr>
      </vt:variant>
      <vt:variant>
        <vt:i4>2031666</vt:i4>
      </vt:variant>
      <vt:variant>
        <vt:i4>602</vt:i4>
      </vt:variant>
      <vt:variant>
        <vt:i4>0</vt:i4>
      </vt:variant>
      <vt:variant>
        <vt:i4>5</vt:i4>
      </vt:variant>
      <vt:variant>
        <vt:lpwstr/>
      </vt:variant>
      <vt:variant>
        <vt:lpwstr>_Toc510071083</vt:lpwstr>
      </vt:variant>
      <vt:variant>
        <vt:i4>2031666</vt:i4>
      </vt:variant>
      <vt:variant>
        <vt:i4>596</vt:i4>
      </vt:variant>
      <vt:variant>
        <vt:i4>0</vt:i4>
      </vt:variant>
      <vt:variant>
        <vt:i4>5</vt:i4>
      </vt:variant>
      <vt:variant>
        <vt:lpwstr/>
      </vt:variant>
      <vt:variant>
        <vt:lpwstr>_Toc510071082</vt:lpwstr>
      </vt:variant>
      <vt:variant>
        <vt:i4>2031666</vt:i4>
      </vt:variant>
      <vt:variant>
        <vt:i4>590</vt:i4>
      </vt:variant>
      <vt:variant>
        <vt:i4>0</vt:i4>
      </vt:variant>
      <vt:variant>
        <vt:i4>5</vt:i4>
      </vt:variant>
      <vt:variant>
        <vt:lpwstr/>
      </vt:variant>
      <vt:variant>
        <vt:lpwstr>_Toc510071081</vt:lpwstr>
      </vt:variant>
      <vt:variant>
        <vt:i4>2031666</vt:i4>
      </vt:variant>
      <vt:variant>
        <vt:i4>584</vt:i4>
      </vt:variant>
      <vt:variant>
        <vt:i4>0</vt:i4>
      </vt:variant>
      <vt:variant>
        <vt:i4>5</vt:i4>
      </vt:variant>
      <vt:variant>
        <vt:lpwstr/>
      </vt:variant>
      <vt:variant>
        <vt:lpwstr>_Toc510071080</vt:lpwstr>
      </vt:variant>
      <vt:variant>
        <vt:i4>1048626</vt:i4>
      </vt:variant>
      <vt:variant>
        <vt:i4>578</vt:i4>
      </vt:variant>
      <vt:variant>
        <vt:i4>0</vt:i4>
      </vt:variant>
      <vt:variant>
        <vt:i4>5</vt:i4>
      </vt:variant>
      <vt:variant>
        <vt:lpwstr/>
      </vt:variant>
      <vt:variant>
        <vt:lpwstr>_Toc510071079</vt:lpwstr>
      </vt:variant>
      <vt:variant>
        <vt:i4>1048626</vt:i4>
      </vt:variant>
      <vt:variant>
        <vt:i4>572</vt:i4>
      </vt:variant>
      <vt:variant>
        <vt:i4>0</vt:i4>
      </vt:variant>
      <vt:variant>
        <vt:i4>5</vt:i4>
      </vt:variant>
      <vt:variant>
        <vt:lpwstr/>
      </vt:variant>
      <vt:variant>
        <vt:lpwstr>_Toc510071078</vt:lpwstr>
      </vt:variant>
      <vt:variant>
        <vt:i4>1048626</vt:i4>
      </vt:variant>
      <vt:variant>
        <vt:i4>566</vt:i4>
      </vt:variant>
      <vt:variant>
        <vt:i4>0</vt:i4>
      </vt:variant>
      <vt:variant>
        <vt:i4>5</vt:i4>
      </vt:variant>
      <vt:variant>
        <vt:lpwstr/>
      </vt:variant>
      <vt:variant>
        <vt:lpwstr>_Toc510071077</vt:lpwstr>
      </vt:variant>
      <vt:variant>
        <vt:i4>1048626</vt:i4>
      </vt:variant>
      <vt:variant>
        <vt:i4>560</vt:i4>
      </vt:variant>
      <vt:variant>
        <vt:i4>0</vt:i4>
      </vt:variant>
      <vt:variant>
        <vt:i4>5</vt:i4>
      </vt:variant>
      <vt:variant>
        <vt:lpwstr/>
      </vt:variant>
      <vt:variant>
        <vt:lpwstr>_Toc510071076</vt:lpwstr>
      </vt:variant>
      <vt:variant>
        <vt:i4>1048626</vt:i4>
      </vt:variant>
      <vt:variant>
        <vt:i4>554</vt:i4>
      </vt:variant>
      <vt:variant>
        <vt:i4>0</vt:i4>
      </vt:variant>
      <vt:variant>
        <vt:i4>5</vt:i4>
      </vt:variant>
      <vt:variant>
        <vt:lpwstr/>
      </vt:variant>
      <vt:variant>
        <vt:lpwstr>_Toc510071075</vt:lpwstr>
      </vt:variant>
      <vt:variant>
        <vt:i4>1048626</vt:i4>
      </vt:variant>
      <vt:variant>
        <vt:i4>548</vt:i4>
      </vt:variant>
      <vt:variant>
        <vt:i4>0</vt:i4>
      </vt:variant>
      <vt:variant>
        <vt:i4>5</vt:i4>
      </vt:variant>
      <vt:variant>
        <vt:lpwstr/>
      </vt:variant>
      <vt:variant>
        <vt:lpwstr>_Toc510071074</vt:lpwstr>
      </vt:variant>
      <vt:variant>
        <vt:i4>1048626</vt:i4>
      </vt:variant>
      <vt:variant>
        <vt:i4>542</vt:i4>
      </vt:variant>
      <vt:variant>
        <vt:i4>0</vt:i4>
      </vt:variant>
      <vt:variant>
        <vt:i4>5</vt:i4>
      </vt:variant>
      <vt:variant>
        <vt:lpwstr/>
      </vt:variant>
      <vt:variant>
        <vt:lpwstr>_Toc510071073</vt:lpwstr>
      </vt:variant>
      <vt:variant>
        <vt:i4>1048626</vt:i4>
      </vt:variant>
      <vt:variant>
        <vt:i4>536</vt:i4>
      </vt:variant>
      <vt:variant>
        <vt:i4>0</vt:i4>
      </vt:variant>
      <vt:variant>
        <vt:i4>5</vt:i4>
      </vt:variant>
      <vt:variant>
        <vt:lpwstr/>
      </vt:variant>
      <vt:variant>
        <vt:lpwstr>_Toc510071072</vt:lpwstr>
      </vt:variant>
      <vt:variant>
        <vt:i4>1048626</vt:i4>
      </vt:variant>
      <vt:variant>
        <vt:i4>530</vt:i4>
      </vt:variant>
      <vt:variant>
        <vt:i4>0</vt:i4>
      </vt:variant>
      <vt:variant>
        <vt:i4>5</vt:i4>
      </vt:variant>
      <vt:variant>
        <vt:lpwstr/>
      </vt:variant>
      <vt:variant>
        <vt:lpwstr>_Toc510071071</vt:lpwstr>
      </vt:variant>
      <vt:variant>
        <vt:i4>1048626</vt:i4>
      </vt:variant>
      <vt:variant>
        <vt:i4>524</vt:i4>
      </vt:variant>
      <vt:variant>
        <vt:i4>0</vt:i4>
      </vt:variant>
      <vt:variant>
        <vt:i4>5</vt:i4>
      </vt:variant>
      <vt:variant>
        <vt:lpwstr/>
      </vt:variant>
      <vt:variant>
        <vt:lpwstr>_Toc510071070</vt:lpwstr>
      </vt:variant>
      <vt:variant>
        <vt:i4>1114162</vt:i4>
      </vt:variant>
      <vt:variant>
        <vt:i4>518</vt:i4>
      </vt:variant>
      <vt:variant>
        <vt:i4>0</vt:i4>
      </vt:variant>
      <vt:variant>
        <vt:i4>5</vt:i4>
      </vt:variant>
      <vt:variant>
        <vt:lpwstr/>
      </vt:variant>
      <vt:variant>
        <vt:lpwstr>_Toc510071069</vt:lpwstr>
      </vt:variant>
      <vt:variant>
        <vt:i4>1114162</vt:i4>
      </vt:variant>
      <vt:variant>
        <vt:i4>512</vt:i4>
      </vt:variant>
      <vt:variant>
        <vt:i4>0</vt:i4>
      </vt:variant>
      <vt:variant>
        <vt:i4>5</vt:i4>
      </vt:variant>
      <vt:variant>
        <vt:lpwstr/>
      </vt:variant>
      <vt:variant>
        <vt:lpwstr>_Toc510071068</vt:lpwstr>
      </vt:variant>
      <vt:variant>
        <vt:i4>1114162</vt:i4>
      </vt:variant>
      <vt:variant>
        <vt:i4>506</vt:i4>
      </vt:variant>
      <vt:variant>
        <vt:i4>0</vt:i4>
      </vt:variant>
      <vt:variant>
        <vt:i4>5</vt:i4>
      </vt:variant>
      <vt:variant>
        <vt:lpwstr/>
      </vt:variant>
      <vt:variant>
        <vt:lpwstr>_Toc510071067</vt:lpwstr>
      </vt:variant>
      <vt:variant>
        <vt:i4>1114162</vt:i4>
      </vt:variant>
      <vt:variant>
        <vt:i4>500</vt:i4>
      </vt:variant>
      <vt:variant>
        <vt:i4>0</vt:i4>
      </vt:variant>
      <vt:variant>
        <vt:i4>5</vt:i4>
      </vt:variant>
      <vt:variant>
        <vt:lpwstr/>
      </vt:variant>
      <vt:variant>
        <vt:lpwstr>_Toc510071066</vt:lpwstr>
      </vt:variant>
      <vt:variant>
        <vt:i4>1114162</vt:i4>
      </vt:variant>
      <vt:variant>
        <vt:i4>494</vt:i4>
      </vt:variant>
      <vt:variant>
        <vt:i4>0</vt:i4>
      </vt:variant>
      <vt:variant>
        <vt:i4>5</vt:i4>
      </vt:variant>
      <vt:variant>
        <vt:lpwstr/>
      </vt:variant>
      <vt:variant>
        <vt:lpwstr>_Toc510071065</vt:lpwstr>
      </vt:variant>
      <vt:variant>
        <vt:i4>1114162</vt:i4>
      </vt:variant>
      <vt:variant>
        <vt:i4>488</vt:i4>
      </vt:variant>
      <vt:variant>
        <vt:i4>0</vt:i4>
      </vt:variant>
      <vt:variant>
        <vt:i4>5</vt:i4>
      </vt:variant>
      <vt:variant>
        <vt:lpwstr/>
      </vt:variant>
      <vt:variant>
        <vt:lpwstr>_Toc510071064</vt:lpwstr>
      </vt:variant>
      <vt:variant>
        <vt:i4>1114162</vt:i4>
      </vt:variant>
      <vt:variant>
        <vt:i4>482</vt:i4>
      </vt:variant>
      <vt:variant>
        <vt:i4>0</vt:i4>
      </vt:variant>
      <vt:variant>
        <vt:i4>5</vt:i4>
      </vt:variant>
      <vt:variant>
        <vt:lpwstr/>
      </vt:variant>
      <vt:variant>
        <vt:lpwstr>_Toc510071063</vt:lpwstr>
      </vt:variant>
      <vt:variant>
        <vt:i4>1114162</vt:i4>
      </vt:variant>
      <vt:variant>
        <vt:i4>476</vt:i4>
      </vt:variant>
      <vt:variant>
        <vt:i4>0</vt:i4>
      </vt:variant>
      <vt:variant>
        <vt:i4>5</vt:i4>
      </vt:variant>
      <vt:variant>
        <vt:lpwstr/>
      </vt:variant>
      <vt:variant>
        <vt:lpwstr>_Toc510071062</vt:lpwstr>
      </vt:variant>
      <vt:variant>
        <vt:i4>1114162</vt:i4>
      </vt:variant>
      <vt:variant>
        <vt:i4>470</vt:i4>
      </vt:variant>
      <vt:variant>
        <vt:i4>0</vt:i4>
      </vt:variant>
      <vt:variant>
        <vt:i4>5</vt:i4>
      </vt:variant>
      <vt:variant>
        <vt:lpwstr/>
      </vt:variant>
      <vt:variant>
        <vt:lpwstr>_Toc510071061</vt:lpwstr>
      </vt:variant>
      <vt:variant>
        <vt:i4>1114162</vt:i4>
      </vt:variant>
      <vt:variant>
        <vt:i4>464</vt:i4>
      </vt:variant>
      <vt:variant>
        <vt:i4>0</vt:i4>
      </vt:variant>
      <vt:variant>
        <vt:i4>5</vt:i4>
      </vt:variant>
      <vt:variant>
        <vt:lpwstr/>
      </vt:variant>
      <vt:variant>
        <vt:lpwstr>_Toc510071060</vt:lpwstr>
      </vt:variant>
      <vt:variant>
        <vt:i4>1179698</vt:i4>
      </vt:variant>
      <vt:variant>
        <vt:i4>458</vt:i4>
      </vt:variant>
      <vt:variant>
        <vt:i4>0</vt:i4>
      </vt:variant>
      <vt:variant>
        <vt:i4>5</vt:i4>
      </vt:variant>
      <vt:variant>
        <vt:lpwstr/>
      </vt:variant>
      <vt:variant>
        <vt:lpwstr>_Toc510071059</vt:lpwstr>
      </vt:variant>
      <vt:variant>
        <vt:i4>1179698</vt:i4>
      </vt:variant>
      <vt:variant>
        <vt:i4>452</vt:i4>
      </vt:variant>
      <vt:variant>
        <vt:i4>0</vt:i4>
      </vt:variant>
      <vt:variant>
        <vt:i4>5</vt:i4>
      </vt:variant>
      <vt:variant>
        <vt:lpwstr/>
      </vt:variant>
      <vt:variant>
        <vt:lpwstr>_Toc510071058</vt:lpwstr>
      </vt:variant>
      <vt:variant>
        <vt:i4>1179698</vt:i4>
      </vt:variant>
      <vt:variant>
        <vt:i4>446</vt:i4>
      </vt:variant>
      <vt:variant>
        <vt:i4>0</vt:i4>
      </vt:variant>
      <vt:variant>
        <vt:i4>5</vt:i4>
      </vt:variant>
      <vt:variant>
        <vt:lpwstr/>
      </vt:variant>
      <vt:variant>
        <vt:lpwstr>_Toc510071057</vt:lpwstr>
      </vt:variant>
      <vt:variant>
        <vt:i4>1179698</vt:i4>
      </vt:variant>
      <vt:variant>
        <vt:i4>440</vt:i4>
      </vt:variant>
      <vt:variant>
        <vt:i4>0</vt:i4>
      </vt:variant>
      <vt:variant>
        <vt:i4>5</vt:i4>
      </vt:variant>
      <vt:variant>
        <vt:lpwstr/>
      </vt:variant>
      <vt:variant>
        <vt:lpwstr>_Toc510071056</vt:lpwstr>
      </vt:variant>
      <vt:variant>
        <vt:i4>1179698</vt:i4>
      </vt:variant>
      <vt:variant>
        <vt:i4>434</vt:i4>
      </vt:variant>
      <vt:variant>
        <vt:i4>0</vt:i4>
      </vt:variant>
      <vt:variant>
        <vt:i4>5</vt:i4>
      </vt:variant>
      <vt:variant>
        <vt:lpwstr/>
      </vt:variant>
      <vt:variant>
        <vt:lpwstr>_Toc510071055</vt:lpwstr>
      </vt:variant>
      <vt:variant>
        <vt:i4>1179698</vt:i4>
      </vt:variant>
      <vt:variant>
        <vt:i4>428</vt:i4>
      </vt:variant>
      <vt:variant>
        <vt:i4>0</vt:i4>
      </vt:variant>
      <vt:variant>
        <vt:i4>5</vt:i4>
      </vt:variant>
      <vt:variant>
        <vt:lpwstr/>
      </vt:variant>
      <vt:variant>
        <vt:lpwstr>_Toc510071054</vt:lpwstr>
      </vt:variant>
      <vt:variant>
        <vt:i4>1179698</vt:i4>
      </vt:variant>
      <vt:variant>
        <vt:i4>422</vt:i4>
      </vt:variant>
      <vt:variant>
        <vt:i4>0</vt:i4>
      </vt:variant>
      <vt:variant>
        <vt:i4>5</vt:i4>
      </vt:variant>
      <vt:variant>
        <vt:lpwstr/>
      </vt:variant>
      <vt:variant>
        <vt:lpwstr>_Toc510071053</vt:lpwstr>
      </vt:variant>
      <vt:variant>
        <vt:i4>1179698</vt:i4>
      </vt:variant>
      <vt:variant>
        <vt:i4>416</vt:i4>
      </vt:variant>
      <vt:variant>
        <vt:i4>0</vt:i4>
      </vt:variant>
      <vt:variant>
        <vt:i4>5</vt:i4>
      </vt:variant>
      <vt:variant>
        <vt:lpwstr/>
      </vt:variant>
      <vt:variant>
        <vt:lpwstr>_Toc510071052</vt:lpwstr>
      </vt:variant>
      <vt:variant>
        <vt:i4>1179698</vt:i4>
      </vt:variant>
      <vt:variant>
        <vt:i4>410</vt:i4>
      </vt:variant>
      <vt:variant>
        <vt:i4>0</vt:i4>
      </vt:variant>
      <vt:variant>
        <vt:i4>5</vt:i4>
      </vt:variant>
      <vt:variant>
        <vt:lpwstr/>
      </vt:variant>
      <vt:variant>
        <vt:lpwstr>_Toc510071051</vt:lpwstr>
      </vt:variant>
      <vt:variant>
        <vt:i4>1179698</vt:i4>
      </vt:variant>
      <vt:variant>
        <vt:i4>404</vt:i4>
      </vt:variant>
      <vt:variant>
        <vt:i4>0</vt:i4>
      </vt:variant>
      <vt:variant>
        <vt:i4>5</vt:i4>
      </vt:variant>
      <vt:variant>
        <vt:lpwstr/>
      </vt:variant>
      <vt:variant>
        <vt:lpwstr>_Toc510071050</vt:lpwstr>
      </vt:variant>
      <vt:variant>
        <vt:i4>1245234</vt:i4>
      </vt:variant>
      <vt:variant>
        <vt:i4>398</vt:i4>
      </vt:variant>
      <vt:variant>
        <vt:i4>0</vt:i4>
      </vt:variant>
      <vt:variant>
        <vt:i4>5</vt:i4>
      </vt:variant>
      <vt:variant>
        <vt:lpwstr/>
      </vt:variant>
      <vt:variant>
        <vt:lpwstr>_Toc510071049</vt:lpwstr>
      </vt:variant>
      <vt:variant>
        <vt:i4>1245234</vt:i4>
      </vt:variant>
      <vt:variant>
        <vt:i4>392</vt:i4>
      </vt:variant>
      <vt:variant>
        <vt:i4>0</vt:i4>
      </vt:variant>
      <vt:variant>
        <vt:i4>5</vt:i4>
      </vt:variant>
      <vt:variant>
        <vt:lpwstr/>
      </vt:variant>
      <vt:variant>
        <vt:lpwstr>_Toc510071048</vt:lpwstr>
      </vt:variant>
      <vt:variant>
        <vt:i4>1245234</vt:i4>
      </vt:variant>
      <vt:variant>
        <vt:i4>386</vt:i4>
      </vt:variant>
      <vt:variant>
        <vt:i4>0</vt:i4>
      </vt:variant>
      <vt:variant>
        <vt:i4>5</vt:i4>
      </vt:variant>
      <vt:variant>
        <vt:lpwstr/>
      </vt:variant>
      <vt:variant>
        <vt:lpwstr>_Toc510071047</vt:lpwstr>
      </vt:variant>
      <vt:variant>
        <vt:i4>1245234</vt:i4>
      </vt:variant>
      <vt:variant>
        <vt:i4>380</vt:i4>
      </vt:variant>
      <vt:variant>
        <vt:i4>0</vt:i4>
      </vt:variant>
      <vt:variant>
        <vt:i4>5</vt:i4>
      </vt:variant>
      <vt:variant>
        <vt:lpwstr/>
      </vt:variant>
      <vt:variant>
        <vt:lpwstr>_Toc510071046</vt:lpwstr>
      </vt:variant>
      <vt:variant>
        <vt:i4>1245234</vt:i4>
      </vt:variant>
      <vt:variant>
        <vt:i4>374</vt:i4>
      </vt:variant>
      <vt:variant>
        <vt:i4>0</vt:i4>
      </vt:variant>
      <vt:variant>
        <vt:i4>5</vt:i4>
      </vt:variant>
      <vt:variant>
        <vt:lpwstr/>
      </vt:variant>
      <vt:variant>
        <vt:lpwstr>_Toc510071045</vt:lpwstr>
      </vt:variant>
      <vt:variant>
        <vt:i4>1245234</vt:i4>
      </vt:variant>
      <vt:variant>
        <vt:i4>368</vt:i4>
      </vt:variant>
      <vt:variant>
        <vt:i4>0</vt:i4>
      </vt:variant>
      <vt:variant>
        <vt:i4>5</vt:i4>
      </vt:variant>
      <vt:variant>
        <vt:lpwstr/>
      </vt:variant>
      <vt:variant>
        <vt:lpwstr>_Toc510071044</vt:lpwstr>
      </vt:variant>
      <vt:variant>
        <vt:i4>1245234</vt:i4>
      </vt:variant>
      <vt:variant>
        <vt:i4>362</vt:i4>
      </vt:variant>
      <vt:variant>
        <vt:i4>0</vt:i4>
      </vt:variant>
      <vt:variant>
        <vt:i4>5</vt:i4>
      </vt:variant>
      <vt:variant>
        <vt:lpwstr/>
      </vt:variant>
      <vt:variant>
        <vt:lpwstr>_Toc510071043</vt:lpwstr>
      </vt:variant>
      <vt:variant>
        <vt:i4>1245234</vt:i4>
      </vt:variant>
      <vt:variant>
        <vt:i4>356</vt:i4>
      </vt:variant>
      <vt:variant>
        <vt:i4>0</vt:i4>
      </vt:variant>
      <vt:variant>
        <vt:i4>5</vt:i4>
      </vt:variant>
      <vt:variant>
        <vt:lpwstr/>
      </vt:variant>
      <vt:variant>
        <vt:lpwstr>_Toc510071042</vt:lpwstr>
      </vt:variant>
      <vt:variant>
        <vt:i4>1245234</vt:i4>
      </vt:variant>
      <vt:variant>
        <vt:i4>350</vt:i4>
      </vt:variant>
      <vt:variant>
        <vt:i4>0</vt:i4>
      </vt:variant>
      <vt:variant>
        <vt:i4>5</vt:i4>
      </vt:variant>
      <vt:variant>
        <vt:lpwstr/>
      </vt:variant>
      <vt:variant>
        <vt:lpwstr>_Toc510071041</vt:lpwstr>
      </vt:variant>
      <vt:variant>
        <vt:i4>1245234</vt:i4>
      </vt:variant>
      <vt:variant>
        <vt:i4>344</vt:i4>
      </vt:variant>
      <vt:variant>
        <vt:i4>0</vt:i4>
      </vt:variant>
      <vt:variant>
        <vt:i4>5</vt:i4>
      </vt:variant>
      <vt:variant>
        <vt:lpwstr/>
      </vt:variant>
      <vt:variant>
        <vt:lpwstr>_Toc510071040</vt:lpwstr>
      </vt:variant>
      <vt:variant>
        <vt:i4>1310770</vt:i4>
      </vt:variant>
      <vt:variant>
        <vt:i4>338</vt:i4>
      </vt:variant>
      <vt:variant>
        <vt:i4>0</vt:i4>
      </vt:variant>
      <vt:variant>
        <vt:i4>5</vt:i4>
      </vt:variant>
      <vt:variant>
        <vt:lpwstr/>
      </vt:variant>
      <vt:variant>
        <vt:lpwstr>_Toc510071039</vt:lpwstr>
      </vt:variant>
      <vt:variant>
        <vt:i4>1310770</vt:i4>
      </vt:variant>
      <vt:variant>
        <vt:i4>332</vt:i4>
      </vt:variant>
      <vt:variant>
        <vt:i4>0</vt:i4>
      </vt:variant>
      <vt:variant>
        <vt:i4>5</vt:i4>
      </vt:variant>
      <vt:variant>
        <vt:lpwstr/>
      </vt:variant>
      <vt:variant>
        <vt:lpwstr>_Toc510071038</vt:lpwstr>
      </vt:variant>
      <vt:variant>
        <vt:i4>1310770</vt:i4>
      </vt:variant>
      <vt:variant>
        <vt:i4>326</vt:i4>
      </vt:variant>
      <vt:variant>
        <vt:i4>0</vt:i4>
      </vt:variant>
      <vt:variant>
        <vt:i4>5</vt:i4>
      </vt:variant>
      <vt:variant>
        <vt:lpwstr/>
      </vt:variant>
      <vt:variant>
        <vt:lpwstr>_Toc510071037</vt:lpwstr>
      </vt:variant>
      <vt:variant>
        <vt:i4>1310770</vt:i4>
      </vt:variant>
      <vt:variant>
        <vt:i4>320</vt:i4>
      </vt:variant>
      <vt:variant>
        <vt:i4>0</vt:i4>
      </vt:variant>
      <vt:variant>
        <vt:i4>5</vt:i4>
      </vt:variant>
      <vt:variant>
        <vt:lpwstr/>
      </vt:variant>
      <vt:variant>
        <vt:lpwstr>_Toc510071036</vt:lpwstr>
      </vt:variant>
      <vt:variant>
        <vt:i4>1310770</vt:i4>
      </vt:variant>
      <vt:variant>
        <vt:i4>314</vt:i4>
      </vt:variant>
      <vt:variant>
        <vt:i4>0</vt:i4>
      </vt:variant>
      <vt:variant>
        <vt:i4>5</vt:i4>
      </vt:variant>
      <vt:variant>
        <vt:lpwstr/>
      </vt:variant>
      <vt:variant>
        <vt:lpwstr>_Toc510071035</vt:lpwstr>
      </vt:variant>
      <vt:variant>
        <vt:i4>1310770</vt:i4>
      </vt:variant>
      <vt:variant>
        <vt:i4>308</vt:i4>
      </vt:variant>
      <vt:variant>
        <vt:i4>0</vt:i4>
      </vt:variant>
      <vt:variant>
        <vt:i4>5</vt:i4>
      </vt:variant>
      <vt:variant>
        <vt:lpwstr/>
      </vt:variant>
      <vt:variant>
        <vt:lpwstr>_Toc510071034</vt:lpwstr>
      </vt:variant>
      <vt:variant>
        <vt:i4>1310770</vt:i4>
      </vt:variant>
      <vt:variant>
        <vt:i4>302</vt:i4>
      </vt:variant>
      <vt:variant>
        <vt:i4>0</vt:i4>
      </vt:variant>
      <vt:variant>
        <vt:i4>5</vt:i4>
      </vt:variant>
      <vt:variant>
        <vt:lpwstr/>
      </vt:variant>
      <vt:variant>
        <vt:lpwstr>_Toc510071033</vt:lpwstr>
      </vt:variant>
      <vt:variant>
        <vt:i4>1310770</vt:i4>
      </vt:variant>
      <vt:variant>
        <vt:i4>296</vt:i4>
      </vt:variant>
      <vt:variant>
        <vt:i4>0</vt:i4>
      </vt:variant>
      <vt:variant>
        <vt:i4>5</vt:i4>
      </vt:variant>
      <vt:variant>
        <vt:lpwstr/>
      </vt:variant>
      <vt:variant>
        <vt:lpwstr>_Toc510071032</vt:lpwstr>
      </vt:variant>
      <vt:variant>
        <vt:i4>1310770</vt:i4>
      </vt:variant>
      <vt:variant>
        <vt:i4>290</vt:i4>
      </vt:variant>
      <vt:variant>
        <vt:i4>0</vt:i4>
      </vt:variant>
      <vt:variant>
        <vt:i4>5</vt:i4>
      </vt:variant>
      <vt:variant>
        <vt:lpwstr/>
      </vt:variant>
      <vt:variant>
        <vt:lpwstr>_Toc510071031</vt:lpwstr>
      </vt:variant>
      <vt:variant>
        <vt:i4>1310770</vt:i4>
      </vt:variant>
      <vt:variant>
        <vt:i4>284</vt:i4>
      </vt:variant>
      <vt:variant>
        <vt:i4>0</vt:i4>
      </vt:variant>
      <vt:variant>
        <vt:i4>5</vt:i4>
      </vt:variant>
      <vt:variant>
        <vt:lpwstr/>
      </vt:variant>
      <vt:variant>
        <vt:lpwstr>_Toc510071030</vt:lpwstr>
      </vt:variant>
      <vt:variant>
        <vt:i4>1376306</vt:i4>
      </vt:variant>
      <vt:variant>
        <vt:i4>278</vt:i4>
      </vt:variant>
      <vt:variant>
        <vt:i4>0</vt:i4>
      </vt:variant>
      <vt:variant>
        <vt:i4>5</vt:i4>
      </vt:variant>
      <vt:variant>
        <vt:lpwstr/>
      </vt:variant>
      <vt:variant>
        <vt:lpwstr>_Toc510071029</vt:lpwstr>
      </vt:variant>
      <vt:variant>
        <vt:i4>1376306</vt:i4>
      </vt:variant>
      <vt:variant>
        <vt:i4>272</vt:i4>
      </vt:variant>
      <vt:variant>
        <vt:i4>0</vt:i4>
      </vt:variant>
      <vt:variant>
        <vt:i4>5</vt:i4>
      </vt:variant>
      <vt:variant>
        <vt:lpwstr/>
      </vt:variant>
      <vt:variant>
        <vt:lpwstr>_Toc510071028</vt:lpwstr>
      </vt:variant>
      <vt:variant>
        <vt:i4>1376306</vt:i4>
      </vt:variant>
      <vt:variant>
        <vt:i4>266</vt:i4>
      </vt:variant>
      <vt:variant>
        <vt:i4>0</vt:i4>
      </vt:variant>
      <vt:variant>
        <vt:i4>5</vt:i4>
      </vt:variant>
      <vt:variant>
        <vt:lpwstr/>
      </vt:variant>
      <vt:variant>
        <vt:lpwstr>_Toc510071027</vt:lpwstr>
      </vt:variant>
      <vt:variant>
        <vt:i4>1376306</vt:i4>
      </vt:variant>
      <vt:variant>
        <vt:i4>260</vt:i4>
      </vt:variant>
      <vt:variant>
        <vt:i4>0</vt:i4>
      </vt:variant>
      <vt:variant>
        <vt:i4>5</vt:i4>
      </vt:variant>
      <vt:variant>
        <vt:lpwstr/>
      </vt:variant>
      <vt:variant>
        <vt:lpwstr>_Toc510071026</vt:lpwstr>
      </vt:variant>
      <vt:variant>
        <vt:i4>1376306</vt:i4>
      </vt:variant>
      <vt:variant>
        <vt:i4>254</vt:i4>
      </vt:variant>
      <vt:variant>
        <vt:i4>0</vt:i4>
      </vt:variant>
      <vt:variant>
        <vt:i4>5</vt:i4>
      </vt:variant>
      <vt:variant>
        <vt:lpwstr/>
      </vt:variant>
      <vt:variant>
        <vt:lpwstr>_Toc510071025</vt:lpwstr>
      </vt:variant>
      <vt:variant>
        <vt:i4>1376306</vt:i4>
      </vt:variant>
      <vt:variant>
        <vt:i4>248</vt:i4>
      </vt:variant>
      <vt:variant>
        <vt:i4>0</vt:i4>
      </vt:variant>
      <vt:variant>
        <vt:i4>5</vt:i4>
      </vt:variant>
      <vt:variant>
        <vt:lpwstr/>
      </vt:variant>
      <vt:variant>
        <vt:lpwstr>_Toc510071024</vt:lpwstr>
      </vt:variant>
      <vt:variant>
        <vt:i4>1376306</vt:i4>
      </vt:variant>
      <vt:variant>
        <vt:i4>242</vt:i4>
      </vt:variant>
      <vt:variant>
        <vt:i4>0</vt:i4>
      </vt:variant>
      <vt:variant>
        <vt:i4>5</vt:i4>
      </vt:variant>
      <vt:variant>
        <vt:lpwstr/>
      </vt:variant>
      <vt:variant>
        <vt:lpwstr>_Toc510071023</vt:lpwstr>
      </vt:variant>
      <vt:variant>
        <vt:i4>1376306</vt:i4>
      </vt:variant>
      <vt:variant>
        <vt:i4>236</vt:i4>
      </vt:variant>
      <vt:variant>
        <vt:i4>0</vt:i4>
      </vt:variant>
      <vt:variant>
        <vt:i4>5</vt:i4>
      </vt:variant>
      <vt:variant>
        <vt:lpwstr/>
      </vt:variant>
      <vt:variant>
        <vt:lpwstr>_Toc510071022</vt:lpwstr>
      </vt:variant>
      <vt:variant>
        <vt:i4>1376306</vt:i4>
      </vt:variant>
      <vt:variant>
        <vt:i4>230</vt:i4>
      </vt:variant>
      <vt:variant>
        <vt:i4>0</vt:i4>
      </vt:variant>
      <vt:variant>
        <vt:i4>5</vt:i4>
      </vt:variant>
      <vt:variant>
        <vt:lpwstr/>
      </vt:variant>
      <vt:variant>
        <vt:lpwstr>_Toc510071021</vt:lpwstr>
      </vt:variant>
      <vt:variant>
        <vt:i4>1376306</vt:i4>
      </vt:variant>
      <vt:variant>
        <vt:i4>224</vt:i4>
      </vt:variant>
      <vt:variant>
        <vt:i4>0</vt:i4>
      </vt:variant>
      <vt:variant>
        <vt:i4>5</vt:i4>
      </vt:variant>
      <vt:variant>
        <vt:lpwstr/>
      </vt:variant>
      <vt:variant>
        <vt:lpwstr>_Toc510071020</vt:lpwstr>
      </vt:variant>
      <vt:variant>
        <vt:i4>1441842</vt:i4>
      </vt:variant>
      <vt:variant>
        <vt:i4>218</vt:i4>
      </vt:variant>
      <vt:variant>
        <vt:i4>0</vt:i4>
      </vt:variant>
      <vt:variant>
        <vt:i4>5</vt:i4>
      </vt:variant>
      <vt:variant>
        <vt:lpwstr/>
      </vt:variant>
      <vt:variant>
        <vt:lpwstr>_Toc510071019</vt:lpwstr>
      </vt:variant>
      <vt:variant>
        <vt:i4>1441842</vt:i4>
      </vt:variant>
      <vt:variant>
        <vt:i4>212</vt:i4>
      </vt:variant>
      <vt:variant>
        <vt:i4>0</vt:i4>
      </vt:variant>
      <vt:variant>
        <vt:i4>5</vt:i4>
      </vt:variant>
      <vt:variant>
        <vt:lpwstr/>
      </vt:variant>
      <vt:variant>
        <vt:lpwstr>_Toc510071018</vt:lpwstr>
      </vt:variant>
      <vt:variant>
        <vt:i4>1441842</vt:i4>
      </vt:variant>
      <vt:variant>
        <vt:i4>206</vt:i4>
      </vt:variant>
      <vt:variant>
        <vt:i4>0</vt:i4>
      </vt:variant>
      <vt:variant>
        <vt:i4>5</vt:i4>
      </vt:variant>
      <vt:variant>
        <vt:lpwstr/>
      </vt:variant>
      <vt:variant>
        <vt:lpwstr>_Toc510071017</vt:lpwstr>
      </vt:variant>
      <vt:variant>
        <vt:i4>1441842</vt:i4>
      </vt:variant>
      <vt:variant>
        <vt:i4>200</vt:i4>
      </vt:variant>
      <vt:variant>
        <vt:i4>0</vt:i4>
      </vt:variant>
      <vt:variant>
        <vt:i4>5</vt:i4>
      </vt:variant>
      <vt:variant>
        <vt:lpwstr/>
      </vt:variant>
      <vt:variant>
        <vt:lpwstr>_Toc510071016</vt:lpwstr>
      </vt:variant>
      <vt:variant>
        <vt:i4>1441842</vt:i4>
      </vt:variant>
      <vt:variant>
        <vt:i4>194</vt:i4>
      </vt:variant>
      <vt:variant>
        <vt:i4>0</vt:i4>
      </vt:variant>
      <vt:variant>
        <vt:i4>5</vt:i4>
      </vt:variant>
      <vt:variant>
        <vt:lpwstr/>
      </vt:variant>
      <vt:variant>
        <vt:lpwstr>_Toc510071015</vt:lpwstr>
      </vt:variant>
      <vt:variant>
        <vt:i4>1441842</vt:i4>
      </vt:variant>
      <vt:variant>
        <vt:i4>188</vt:i4>
      </vt:variant>
      <vt:variant>
        <vt:i4>0</vt:i4>
      </vt:variant>
      <vt:variant>
        <vt:i4>5</vt:i4>
      </vt:variant>
      <vt:variant>
        <vt:lpwstr/>
      </vt:variant>
      <vt:variant>
        <vt:lpwstr>_Toc510071014</vt:lpwstr>
      </vt:variant>
      <vt:variant>
        <vt:i4>1441842</vt:i4>
      </vt:variant>
      <vt:variant>
        <vt:i4>182</vt:i4>
      </vt:variant>
      <vt:variant>
        <vt:i4>0</vt:i4>
      </vt:variant>
      <vt:variant>
        <vt:i4>5</vt:i4>
      </vt:variant>
      <vt:variant>
        <vt:lpwstr/>
      </vt:variant>
      <vt:variant>
        <vt:lpwstr>_Toc510071013</vt:lpwstr>
      </vt:variant>
      <vt:variant>
        <vt:i4>1441842</vt:i4>
      </vt:variant>
      <vt:variant>
        <vt:i4>176</vt:i4>
      </vt:variant>
      <vt:variant>
        <vt:i4>0</vt:i4>
      </vt:variant>
      <vt:variant>
        <vt:i4>5</vt:i4>
      </vt:variant>
      <vt:variant>
        <vt:lpwstr/>
      </vt:variant>
      <vt:variant>
        <vt:lpwstr>_Toc510071012</vt:lpwstr>
      </vt:variant>
      <vt:variant>
        <vt:i4>1441842</vt:i4>
      </vt:variant>
      <vt:variant>
        <vt:i4>170</vt:i4>
      </vt:variant>
      <vt:variant>
        <vt:i4>0</vt:i4>
      </vt:variant>
      <vt:variant>
        <vt:i4>5</vt:i4>
      </vt:variant>
      <vt:variant>
        <vt:lpwstr/>
      </vt:variant>
      <vt:variant>
        <vt:lpwstr>_Toc510071011</vt:lpwstr>
      </vt:variant>
      <vt:variant>
        <vt:i4>1441842</vt:i4>
      </vt:variant>
      <vt:variant>
        <vt:i4>164</vt:i4>
      </vt:variant>
      <vt:variant>
        <vt:i4>0</vt:i4>
      </vt:variant>
      <vt:variant>
        <vt:i4>5</vt:i4>
      </vt:variant>
      <vt:variant>
        <vt:lpwstr/>
      </vt:variant>
      <vt:variant>
        <vt:lpwstr>_Toc510071010</vt:lpwstr>
      </vt:variant>
      <vt:variant>
        <vt:i4>1507378</vt:i4>
      </vt:variant>
      <vt:variant>
        <vt:i4>158</vt:i4>
      </vt:variant>
      <vt:variant>
        <vt:i4>0</vt:i4>
      </vt:variant>
      <vt:variant>
        <vt:i4>5</vt:i4>
      </vt:variant>
      <vt:variant>
        <vt:lpwstr/>
      </vt:variant>
      <vt:variant>
        <vt:lpwstr>_Toc510071009</vt:lpwstr>
      </vt:variant>
      <vt:variant>
        <vt:i4>1507378</vt:i4>
      </vt:variant>
      <vt:variant>
        <vt:i4>152</vt:i4>
      </vt:variant>
      <vt:variant>
        <vt:i4>0</vt:i4>
      </vt:variant>
      <vt:variant>
        <vt:i4>5</vt:i4>
      </vt:variant>
      <vt:variant>
        <vt:lpwstr/>
      </vt:variant>
      <vt:variant>
        <vt:lpwstr>_Toc510071008</vt:lpwstr>
      </vt:variant>
      <vt:variant>
        <vt:i4>1507378</vt:i4>
      </vt:variant>
      <vt:variant>
        <vt:i4>146</vt:i4>
      </vt:variant>
      <vt:variant>
        <vt:i4>0</vt:i4>
      </vt:variant>
      <vt:variant>
        <vt:i4>5</vt:i4>
      </vt:variant>
      <vt:variant>
        <vt:lpwstr/>
      </vt:variant>
      <vt:variant>
        <vt:lpwstr>_Toc510071007</vt:lpwstr>
      </vt:variant>
      <vt:variant>
        <vt:i4>1507378</vt:i4>
      </vt:variant>
      <vt:variant>
        <vt:i4>140</vt:i4>
      </vt:variant>
      <vt:variant>
        <vt:i4>0</vt:i4>
      </vt:variant>
      <vt:variant>
        <vt:i4>5</vt:i4>
      </vt:variant>
      <vt:variant>
        <vt:lpwstr/>
      </vt:variant>
      <vt:variant>
        <vt:lpwstr>_Toc510071006</vt:lpwstr>
      </vt:variant>
      <vt:variant>
        <vt:i4>1507378</vt:i4>
      </vt:variant>
      <vt:variant>
        <vt:i4>134</vt:i4>
      </vt:variant>
      <vt:variant>
        <vt:i4>0</vt:i4>
      </vt:variant>
      <vt:variant>
        <vt:i4>5</vt:i4>
      </vt:variant>
      <vt:variant>
        <vt:lpwstr/>
      </vt:variant>
      <vt:variant>
        <vt:lpwstr>_Toc510071005</vt:lpwstr>
      </vt:variant>
      <vt:variant>
        <vt:i4>1507378</vt:i4>
      </vt:variant>
      <vt:variant>
        <vt:i4>128</vt:i4>
      </vt:variant>
      <vt:variant>
        <vt:i4>0</vt:i4>
      </vt:variant>
      <vt:variant>
        <vt:i4>5</vt:i4>
      </vt:variant>
      <vt:variant>
        <vt:lpwstr/>
      </vt:variant>
      <vt:variant>
        <vt:lpwstr>_Toc510071004</vt:lpwstr>
      </vt:variant>
      <vt:variant>
        <vt:i4>1507378</vt:i4>
      </vt:variant>
      <vt:variant>
        <vt:i4>122</vt:i4>
      </vt:variant>
      <vt:variant>
        <vt:i4>0</vt:i4>
      </vt:variant>
      <vt:variant>
        <vt:i4>5</vt:i4>
      </vt:variant>
      <vt:variant>
        <vt:lpwstr/>
      </vt:variant>
      <vt:variant>
        <vt:lpwstr>_Toc510071003</vt:lpwstr>
      </vt:variant>
      <vt:variant>
        <vt:i4>1507378</vt:i4>
      </vt:variant>
      <vt:variant>
        <vt:i4>116</vt:i4>
      </vt:variant>
      <vt:variant>
        <vt:i4>0</vt:i4>
      </vt:variant>
      <vt:variant>
        <vt:i4>5</vt:i4>
      </vt:variant>
      <vt:variant>
        <vt:lpwstr/>
      </vt:variant>
      <vt:variant>
        <vt:lpwstr>_Toc510071002</vt:lpwstr>
      </vt:variant>
      <vt:variant>
        <vt:i4>1507378</vt:i4>
      </vt:variant>
      <vt:variant>
        <vt:i4>110</vt:i4>
      </vt:variant>
      <vt:variant>
        <vt:i4>0</vt:i4>
      </vt:variant>
      <vt:variant>
        <vt:i4>5</vt:i4>
      </vt:variant>
      <vt:variant>
        <vt:lpwstr/>
      </vt:variant>
      <vt:variant>
        <vt:lpwstr>_Toc510071001</vt:lpwstr>
      </vt:variant>
      <vt:variant>
        <vt:i4>1507378</vt:i4>
      </vt:variant>
      <vt:variant>
        <vt:i4>104</vt:i4>
      </vt:variant>
      <vt:variant>
        <vt:i4>0</vt:i4>
      </vt:variant>
      <vt:variant>
        <vt:i4>5</vt:i4>
      </vt:variant>
      <vt:variant>
        <vt:lpwstr/>
      </vt:variant>
      <vt:variant>
        <vt:lpwstr>_Toc510071000</vt:lpwstr>
      </vt:variant>
      <vt:variant>
        <vt:i4>2031675</vt:i4>
      </vt:variant>
      <vt:variant>
        <vt:i4>98</vt:i4>
      </vt:variant>
      <vt:variant>
        <vt:i4>0</vt:i4>
      </vt:variant>
      <vt:variant>
        <vt:i4>5</vt:i4>
      </vt:variant>
      <vt:variant>
        <vt:lpwstr/>
      </vt:variant>
      <vt:variant>
        <vt:lpwstr>_Toc510070999</vt:lpwstr>
      </vt:variant>
      <vt:variant>
        <vt:i4>2031675</vt:i4>
      </vt:variant>
      <vt:variant>
        <vt:i4>92</vt:i4>
      </vt:variant>
      <vt:variant>
        <vt:i4>0</vt:i4>
      </vt:variant>
      <vt:variant>
        <vt:i4>5</vt:i4>
      </vt:variant>
      <vt:variant>
        <vt:lpwstr/>
      </vt:variant>
      <vt:variant>
        <vt:lpwstr>_Toc510070998</vt:lpwstr>
      </vt:variant>
      <vt:variant>
        <vt:i4>2031675</vt:i4>
      </vt:variant>
      <vt:variant>
        <vt:i4>86</vt:i4>
      </vt:variant>
      <vt:variant>
        <vt:i4>0</vt:i4>
      </vt:variant>
      <vt:variant>
        <vt:i4>5</vt:i4>
      </vt:variant>
      <vt:variant>
        <vt:lpwstr/>
      </vt:variant>
      <vt:variant>
        <vt:lpwstr>_Toc510070997</vt:lpwstr>
      </vt:variant>
      <vt:variant>
        <vt:i4>2031675</vt:i4>
      </vt:variant>
      <vt:variant>
        <vt:i4>80</vt:i4>
      </vt:variant>
      <vt:variant>
        <vt:i4>0</vt:i4>
      </vt:variant>
      <vt:variant>
        <vt:i4>5</vt:i4>
      </vt:variant>
      <vt:variant>
        <vt:lpwstr/>
      </vt:variant>
      <vt:variant>
        <vt:lpwstr>_Toc510070996</vt:lpwstr>
      </vt:variant>
      <vt:variant>
        <vt:i4>2031675</vt:i4>
      </vt:variant>
      <vt:variant>
        <vt:i4>74</vt:i4>
      </vt:variant>
      <vt:variant>
        <vt:i4>0</vt:i4>
      </vt:variant>
      <vt:variant>
        <vt:i4>5</vt:i4>
      </vt:variant>
      <vt:variant>
        <vt:lpwstr/>
      </vt:variant>
      <vt:variant>
        <vt:lpwstr>_Toc510070995</vt:lpwstr>
      </vt:variant>
      <vt:variant>
        <vt:i4>2031675</vt:i4>
      </vt:variant>
      <vt:variant>
        <vt:i4>68</vt:i4>
      </vt:variant>
      <vt:variant>
        <vt:i4>0</vt:i4>
      </vt:variant>
      <vt:variant>
        <vt:i4>5</vt:i4>
      </vt:variant>
      <vt:variant>
        <vt:lpwstr/>
      </vt:variant>
      <vt:variant>
        <vt:lpwstr>_Toc510070994</vt:lpwstr>
      </vt:variant>
      <vt:variant>
        <vt:i4>2031675</vt:i4>
      </vt:variant>
      <vt:variant>
        <vt:i4>62</vt:i4>
      </vt:variant>
      <vt:variant>
        <vt:i4>0</vt:i4>
      </vt:variant>
      <vt:variant>
        <vt:i4>5</vt:i4>
      </vt:variant>
      <vt:variant>
        <vt:lpwstr/>
      </vt:variant>
      <vt:variant>
        <vt:lpwstr>_Toc510070993</vt:lpwstr>
      </vt:variant>
      <vt:variant>
        <vt:i4>2031675</vt:i4>
      </vt:variant>
      <vt:variant>
        <vt:i4>56</vt:i4>
      </vt:variant>
      <vt:variant>
        <vt:i4>0</vt:i4>
      </vt:variant>
      <vt:variant>
        <vt:i4>5</vt:i4>
      </vt:variant>
      <vt:variant>
        <vt:lpwstr/>
      </vt:variant>
      <vt:variant>
        <vt:lpwstr>_Toc510070992</vt:lpwstr>
      </vt:variant>
      <vt:variant>
        <vt:i4>2031675</vt:i4>
      </vt:variant>
      <vt:variant>
        <vt:i4>50</vt:i4>
      </vt:variant>
      <vt:variant>
        <vt:i4>0</vt:i4>
      </vt:variant>
      <vt:variant>
        <vt:i4>5</vt:i4>
      </vt:variant>
      <vt:variant>
        <vt:lpwstr/>
      </vt:variant>
      <vt:variant>
        <vt:lpwstr>_Toc510070991</vt:lpwstr>
      </vt:variant>
      <vt:variant>
        <vt:i4>2031675</vt:i4>
      </vt:variant>
      <vt:variant>
        <vt:i4>44</vt:i4>
      </vt:variant>
      <vt:variant>
        <vt:i4>0</vt:i4>
      </vt:variant>
      <vt:variant>
        <vt:i4>5</vt:i4>
      </vt:variant>
      <vt:variant>
        <vt:lpwstr/>
      </vt:variant>
      <vt:variant>
        <vt:lpwstr>_Toc510070990</vt:lpwstr>
      </vt:variant>
      <vt:variant>
        <vt:i4>1966139</vt:i4>
      </vt:variant>
      <vt:variant>
        <vt:i4>38</vt:i4>
      </vt:variant>
      <vt:variant>
        <vt:i4>0</vt:i4>
      </vt:variant>
      <vt:variant>
        <vt:i4>5</vt:i4>
      </vt:variant>
      <vt:variant>
        <vt:lpwstr/>
      </vt:variant>
      <vt:variant>
        <vt:lpwstr>_Toc510070989</vt:lpwstr>
      </vt:variant>
      <vt:variant>
        <vt:i4>1966139</vt:i4>
      </vt:variant>
      <vt:variant>
        <vt:i4>32</vt:i4>
      </vt:variant>
      <vt:variant>
        <vt:i4>0</vt:i4>
      </vt:variant>
      <vt:variant>
        <vt:i4>5</vt:i4>
      </vt:variant>
      <vt:variant>
        <vt:lpwstr/>
      </vt:variant>
      <vt:variant>
        <vt:lpwstr>_Toc510070988</vt:lpwstr>
      </vt:variant>
      <vt:variant>
        <vt:i4>1966139</vt:i4>
      </vt:variant>
      <vt:variant>
        <vt:i4>26</vt:i4>
      </vt:variant>
      <vt:variant>
        <vt:i4>0</vt:i4>
      </vt:variant>
      <vt:variant>
        <vt:i4>5</vt:i4>
      </vt:variant>
      <vt:variant>
        <vt:lpwstr/>
      </vt:variant>
      <vt:variant>
        <vt:lpwstr>_Toc510070987</vt:lpwstr>
      </vt:variant>
      <vt:variant>
        <vt:i4>1966139</vt:i4>
      </vt:variant>
      <vt:variant>
        <vt:i4>20</vt:i4>
      </vt:variant>
      <vt:variant>
        <vt:i4>0</vt:i4>
      </vt:variant>
      <vt:variant>
        <vt:i4>5</vt:i4>
      </vt:variant>
      <vt:variant>
        <vt:lpwstr/>
      </vt:variant>
      <vt:variant>
        <vt:lpwstr>_Toc510070986</vt:lpwstr>
      </vt:variant>
      <vt:variant>
        <vt:i4>1966139</vt:i4>
      </vt:variant>
      <vt:variant>
        <vt:i4>14</vt:i4>
      </vt:variant>
      <vt:variant>
        <vt:i4>0</vt:i4>
      </vt:variant>
      <vt:variant>
        <vt:i4>5</vt:i4>
      </vt:variant>
      <vt:variant>
        <vt:lpwstr/>
      </vt:variant>
      <vt:variant>
        <vt:lpwstr>_Toc510070985</vt:lpwstr>
      </vt:variant>
      <vt:variant>
        <vt:i4>1966139</vt:i4>
      </vt:variant>
      <vt:variant>
        <vt:i4>8</vt:i4>
      </vt:variant>
      <vt:variant>
        <vt:i4>0</vt:i4>
      </vt:variant>
      <vt:variant>
        <vt:i4>5</vt:i4>
      </vt:variant>
      <vt:variant>
        <vt:lpwstr/>
      </vt:variant>
      <vt:variant>
        <vt:lpwstr>_Toc510070984</vt:lpwstr>
      </vt:variant>
      <vt:variant>
        <vt:i4>1966139</vt:i4>
      </vt:variant>
      <vt:variant>
        <vt:i4>2</vt:i4>
      </vt:variant>
      <vt:variant>
        <vt:i4>0</vt:i4>
      </vt:variant>
      <vt:variant>
        <vt:i4>5</vt:i4>
      </vt:variant>
      <vt:variant>
        <vt:lpwstr/>
      </vt:variant>
      <vt:variant>
        <vt:lpwstr>_Toc510070983</vt:lpwstr>
      </vt:variant>
      <vt:variant>
        <vt:i4>8061004</vt:i4>
      </vt:variant>
      <vt:variant>
        <vt:i4>92738</vt:i4>
      </vt:variant>
      <vt:variant>
        <vt:i4>1067</vt:i4>
      </vt:variant>
      <vt:variant>
        <vt:i4>1</vt:i4>
      </vt:variant>
      <vt:variant>
        <vt:lpwstr>cid:image005.jpg@01D3B6E5.93EFD210</vt:lpwstr>
      </vt:variant>
      <vt:variant>
        <vt:lpwstr/>
      </vt:variant>
      <vt:variant>
        <vt:i4>6684762</vt:i4>
      </vt:variant>
      <vt:variant>
        <vt:i4>97849</vt:i4>
      </vt:variant>
      <vt:variant>
        <vt:i4>1070</vt:i4>
      </vt:variant>
      <vt:variant>
        <vt:i4>1</vt:i4>
      </vt:variant>
      <vt:variant>
        <vt:lpwstr>cid:image002.png@01D3A02B.61C03260</vt:lpwstr>
      </vt:variant>
      <vt:variant>
        <vt:lpwstr/>
      </vt:variant>
      <vt:variant>
        <vt:i4>3342347</vt:i4>
      </vt:variant>
      <vt:variant>
        <vt:i4>108591</vt:i4>
      </vt:variant>
      <vt:variant>
        <vt:i4>1073</vt:i4>
      </vt:variant>
      <vt:variant>
        <vt:i4>1</vt:i4>
      </vt:variant>
      <vt:variant>
        <vt:lpwstr>cid:image003.png@01D2B822.A71E8600</vt:lpwstr>
      </vt:variant>
      <vt:variant>
        <vt:lpwstr/>
      </vt:variant>
      <vt:variant>
        <vt:i4>4063243</vt:i4>
      </vt:variant>
      <vt:variant>
        <vt:i4>108723</vt:i4>
      </vt:variant>
      <vt:variant>
        <vt:i4>1074</vt:i4>
      </vt:variant>
      <vt:variant>
        <vt:i4>1</vt:i4>
      </vt:variant>
      <vt:variant>
        <vt:lpwstr>cid:image001.png@01D3BCFE.4CB82D10</vt:lpwstr>
      </vt:variant>
      <vt:variant>
        <vt:lpwstr/>
      </vt:variant>
      <vt:variant>
        <vt:i4>3473453</vt:i4>
      </vt:variant>
      <vt:variant>
        <vt:i4>118697</vt:i4>
      </vt:variant>
      <vt:variant>
        <vt:i4>1097</vt:i4>
      </vt:variant>
      <vt:variant>
        <vt:i4>1</vt:i4>
      </vt:variant>
      <vt:variant>
        <vt:lpwstr>http://msdn.microsoft.com/library/en-us/dnacc/html/atg_keyboardshortcuts_10.gif</vt:lpwstr>
      </vt:variant>
      <vt:variant>
        <vt:lpwstr/>
      </vt:variant>
      <vt:variant>
        <vt:i4>3473453</vt:i4>
      </vt:variant>
      <vt:variant>
        <vt:i4>265471</vt:i4>
      </vt:variant>
      <vt:variant>
        <vt:i4>1177</vt:i4>
      </vt:variant>
      <vt:variant>
        <vt:i4>1</vt:i4>
      </vt:variant>
      <vt:variant>
        <vt:lpwstr>http://msdn.microsoft.com/library/en-us/dnacc/html/atg_keyboardshortcuts_10.gif</vt:lpwstr>
      </vt:variant>
      <vt:variant>
        <vt:lpwstr/>
      </vt:variant>
      <vt:variant>
        <vt:i4>2424896</vt:i4>
      </vt:variant>
      <vt:variant>
        <vt:i4>621855</vt:i4>
      </vt:variant>
      <vt:variant>
        <vt:i4>1275</vt:i4>
      </vt:variant>
      <vt:variant>
        <vt:i4>1</vt:i4>
      </vt:variant>
      <vt:variant>
        <vt:lpwstr>cid:image001.jpg@01CFF8D3.98CB1E30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2.3.4 User Guide</dc:title>
  <dc:subject/>
  <dc:creator>Blalock, David W. (Leidos)</dc:creator>
  <cp:keywords/>
  <dc:description/>
  <cp:lastModifiedBy>David Blalock</cp:lastModifiedBy>
  <cp:revision>58</cp:revision>
  <cp:lastPrinted>2024-05-15T16:40:00Z</cp:lastPrinted>
  <dcterms:created xsi:type="dcterms:W3CDTF">2023-10-11T15:10:00Z</dcterms:created>
  <dcterms:modified xsi:type="dcterms:W3CDTF">2024-05-15T16:44:00Z</dcterms:modified>
</cp:coreProperties>
</file>